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05947" w:rsidRDefault="00B05947" w:rsidP="00B05947">
      <w:pPr>
        <w:pStyle w:val="Glava"/>
        <w:tabs>
          <w:tab w:val="clear" w:pos="4320"/>
          <w:tab w:val="left" w:pos="5112"/>
        </w:tabs>
        <w:spacing w:before="120" w:line="240" w:lineRule="exact"/>
        <w:rPr>
          <w:rFonts w:cs="Arial"/>
          <w:sz w:val="16"/>
        </w:rPr>
      </w:pPr>
      <w:bookmarkStart w:id="0" w:name="_GoBack"/>
      <w:bookmarkEnd w:id="0"/>
      <w:r>
        <w:rPr>
          <w:noProof/>
          <w:lang w:eastAsia="sl-SI"/>
        </w:rPr>
        <w:drawing>
          <wp:anchor distT="0" distB="0" distL="114300" distR="114300" simplePos="0" relativeHeight="251659264" behindDoc="0" locked="0" layoutInCell="1" allowOverlap="1">
            <wp:simplePos x="0" y="0"/>
            <wp:positionH relativeFrom="page">
              <wp:posOffset>0</wp:posOffset>
            </wp:positionH>
            <wp:positionV relativeFrom="page">
              <wp:posOffset>0</wp:posOffset>
            </wp:positionV>
            <wp:extent cx="4321810" cy="972185"/>
            <wp:effectExtent l="0" t="0" r="2540" b="0"/>
            <wp:wrapSquare wrapText="bothSides"/>
            <wp:docPr id="2" name="Slika 2" descr="10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1024"/>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pic:spPr>
                </pic:pic>
              </a:graphicData>
            </a:graphic>
            <wp14:sizeRelH relativeFrom="page">
              <wp14:pctWidth>0</wp14:pctWidth>
            </wp14:sizeRelH>
            <wp14:sizeRelV relativeFrom="page">
              <wp14:pctHeight>0</wp14:pctHeight>
            </wp14:sizeRelV>
          </wp:anchor>
        </w:drawing>
      </w:r>
      <w:r>
        <w:rPr>
          <w:rFonts w:cs="Arial"/>
          <w:sz w:val="16"/>
        </w:rPr>
        <w:t>Gregorčičeva 20–25, Sl-1001 Ljubljana</w:t>
      </w:r>
      <w:r>
        <w:rPr>
          <w:rFonts w:cs="Arial"/>
          <w:sz w:val="16"/>
        </w:rPr>
        <w:tab/>
        <w:t>T: +386 1 478 1000</w:t>
      </w:r>
    </w:p>
    <w:p w:rsidR="00B05947" w:rsidRDefault="00B05947" w:rsidP="00B05947">
      <w:pPr>
        <w:pStyle w:val="Glava"/>
        <w:tabs>
          <w:tab w:val="clear" w:pos="4320"/>
          <w:tab w:val="left" w:pos="5112"/>
        </w:tabs>
        <w:spacing w:line="240" w:lineRule="exact"/>
        <w:rPr>
          <w:rFonts w:cs="Arial"/>
          <w:sz w:val="16"/>
        </w:rPr>
      </w:pPr>
      <w:r>
        <w:rPr>
          <w:rFonts w:cs="Arial"/>
          <w:sz w:val="16"/>
        </w:rPr>
        <w:tab/>
        <w:t>F: +386 1 478 1607</w:t>
      </w:r>
    </w:p>
    <w:p w:rsidR="00B05947" w:rsidRDefault="00B05947" w:rsidP="00B05947">
      <w:pPr>
        <w:pStyle w:val="Glava"/>
        <w:tabs>
          <w:tab w:val="clear" w:pos="4320"/>
          <w:tab w:val="left" w:pos="5112"/>
        </w:tabs>
        <w:spacing w:line="240" w:lineRule="exact"/>
        <w:rPr>
          <w:rFonts w:cs="Arial"/>
          <w:sz w:val="16"/>
        </w:rPr>
      </w:pPr>
      <w:r>
        <w:rPr>
          <w:rFonts w:cs="Arial"/>
          <w:sz w:val="16"/>
        </w:rPr>
        <w:tab/>
        <w:t>E: gp.gs@gov.si</w:t>
      </w:r>
    </w:p>
    <w:p w:rsidR="00B05947" w:rsidRDefault="00B05947" w:rsidP="00B05947">
      <w:pPr>
        <w:pStyle w:val="Glava"/>
        <w:tabs>
          <w:tab w:val="clear" w:pos="4320"/>
          <w:tab w:val="left" w:pos="5112"/>
        </w:tabs>
        <w:spacing w:line="240" w:lineRule="exact"/>
        <w:rPr>
          <w:rFonts w:cs="Arial"/>
          <w:sz w:val="16"/>
        </w:rPr>
      </w:pPr>
      <w:r>
        <w:rPr>
          <w:rFonts w:cs="Arial"/>
          <w:sz w:val="16"/>
        </w:rPr>
        <w:tab/>
        <w:t>http://www.vlada.si/</w:t>
      </w:r>
    </w:p>
    <w:p w:rsidR="00B05947" w:rsidRDefault="00B05947" w:rsidP="009501A9">
      <w:pPr>
        <w:pStyle w:val="Naslovpredpisa"/>
        <w:spacing w:before="0" w:after="0" w:line="288" w:lineRule="auto"/>
        <w:jc w:val="right"/>
        <w:rPr>
          <w:sz w:val="20"/>
          <w:szCs w:val="20"/>
        </w:rPr>
      </w:pPr>
    </w:p>
    <w:p w:rsidR="00B05947" w:rsidRDefault="00B05947" w:rsidP="009501A9">
      <w:pPr>
        <w:pStyle w:val="Naslovpredpisa"/>
        <w:spacing w:before="0" w:after="0" w:line="288" w:lineRule="auto"/>
        <w:jc w:val="right"/>
        <w:rPr>
          <w:sz w:val="20"/>
          <w:szCs w:val="20"/>
        </w:rPr>
      </w:pPr>
      <w:r>
        <w:rPr>
          <w:sz w:val="20"/>
          <w:szCs w:val="20"/>
        </w:rPr>
        <w:t>PREDLOG</w:t>
      </w:r>
    </w:p>
    <w:p w:rsidR="009501A9" w:rsidRPr="009501A9" w:rsidRDefault="009501A9" w:rsidP="009501A9">
      <w:pPr>
        <w:pStyle w:val="Naslovpredpisa"/>
        <w:spacing w:before="0" w:after="0" w:line="288" w:lineRule="auto"/>
        <w:jc w:val="right"/>
        <w:rPr>
          <w:sz w:val="20"/>
          <w:szCs w:val="20"/>
        </w:rPr>
      </w:pPr>
      <w:r w:rsidRPr="009501A9">
        <w:rPr>
          <w:sz w:val="20"/>
          <w:szCs w:val="20"/>
        </w:rPr>
        <w:t>SKRAJŠANI POSTOPEK</w:t>
      </w:r>
    </w:p>
    <w:p w:rsidR="009501A9" w:rsidRPr="009501A9" w:rsidRDefault="009501A9" w:rsidP="009501A9">
      <w:pPr>
        <w:pStyle w:val="Naslovpredpisa"/>
        <w:spacing w:before="0" w:after="0" w:line="288" w:lineRule="auto"/>
        <w:jc w:val="right"/>
        <w:rPr>
          <w:sz w:val="20"/>
          <w:szCs w:val="20"/>
        </w:rPr>
      </w:pPr>
      <w:r w:rsidRPr="009501A9">
        <w:rPr>
          <w:sz w:val="20"/>
          <w:szCs w:val="20"/>
        </w:rPr>
        <w:t>EVA: 20</w:t>
      </w:r>
      <w:r>
        <w:rPr>
          <w:sz w:val="20"/>
          <w:szCs w:val="20"/>
        </w:rPr>
        <w:t>20</w:t>
      </w:r>
      <w:r w:rsidRPr="009501A9">
        <w:rPr>
          <w:sz w:val="20"/>
          <w:szCs w:val="20"/>
        </w:rPr>
        <w:t>-2030-00</w:t>
      </w:r>
      <w:r>
        <w:rPr>
          <w:sz w:val="20"/>
          <w:szCs w:val="20"/>
        </w:rPr>
        <w:t>05</w:t>
      </w:r>
    </w:p>
    <w:p w:rsidR="009501A9" w:rsidRPr="009501A9" w:rsidRDefault="009501A9" w:rsidP="009501A9">
      <w:pPr>
        <w:pStyle w:val="Naslovpredpisa"/>
        <w:spacing w:before="0" w:after="0" w:line="288" w:lineRule="auto"/>
        <w:rPr>
          <w:sz w:val="20"/>
          <w:szCs w:val="20"/>
        </w:rPr>
      </w:pPr>
    </w:p>
    <w:p w:rsidR="009501A9" w:rsidRDefault="009501A9" w:rsidP="009501A9">
      <w:pPr>
        <w:pStyle w:val="Naslovpredpisa"/>
        <w:spacing w:before="0" w:after="0" w:line="288" w:lineRule="auto"/>
        <w:rPr>
          <w:sz w:val="20"/>
          <w:szCs w:val="20"/>
        </w:rPr>
      </w:pPr>
    </w:p>
    <w:p w:rsidR="00AE2155" w:rsidRPr="009501A9" w:rsidRDefault="00B05947" w:rsidP="009501A9">
      <w:pPr>
        <w:pStyle w:val="Naslovpredpisa"/>
        <w:spacing w:before="0" w:after="0" w:line="288" w:lineRule="auto"/>
        <w:rPr>
          <w:sz w:val="20"/>
          <w:szCs w:val="20"/>
        </w:rPr>
      </w:pPr>
      <w:r>
        <w:rPr>
          <w:sz w:val="20"/>
          <w:szCs w:val="20"/>
        </w:rPr>
        <w:t>ZAKON</w:t>
      </w:r>
      <w:r w:rsidR="00AE2155" w:rsidRPr="009501A9">
        <w:rPr>
          <w:sz w:val="20"/>
          <w:szCs w:val="20"/>
        </w:rPr>
        <w:t xml:space="preserve"> O SPREMEMBAH IN DOPOLNITVAH </w:t>
      </w:r>
    </w:p>
    <w:p w:rsidR="00AE2155" w:rsidRPr="009501A9" w:rsidRDefault="00AE2155" w:rsidP="009501A9">
      <w:pPr>
        <w:spacing w:line="288" w:lineRule="auto"/>
        <w:jc w:val="center"/>
        <w:rPr>
          <w:b/>
          <w:szCs w:val="20"/>
        </w:rPr>
      </w:pPr>
      <w:r w:rsidRPr="009501A9">
        <w:rPr>
          <w:b/>
          <w:szCs w:val="20"/>
        </w:rPr>
        <w:t xml:space="preserve">ZAKONA O DRŽAVNEM TOŽILSTVU </w:t>
      </w:r>
    </w:p>
    <w:p w:rsidR="00AE2155" w:rsidRDefault="00AE2155" w:rsidP="00B644CC">
      <w:pPr>
        <w:spacing w:line="288" w:lineRule="auto"/>
        <w:jc w:val="center"/>
        <w:rPr>
          <w:b/>
          <w:sz w:val="22"/>
          <w:szCs w:val="22"/>
        </w:rPr>
      </w:pPr>
    </w:p>
    <w:p w:rsidR="00AE2155" w:rsidRDefault="00AE2155" w:rsidP="00B644CC">
      <w:pPr>
        <w:spacing w:line="288" w:lineRule="auto"/>
        <w:jc w:val="center"/>
        <w:rPr>
          <w:b/>
          <w:sz w:val="22"/>
          <w:szCs w:val="22"/>
        </w:rPr>
      </w:pPr>
    </w:p>
    <w:p w:rsidR="00AE2155" w:rsidRDefault="00AE2155" w:rsidP="00B644CC">
      <w:pPr>
        <w:spacing w:line="288" w:lineRule="auto"/>
        <w:rPr>
          <w:rFonts w:cs="Arial"/>
          <w:color w:val="000000"/>
        </w:rPr>
      </w:pPr>
    </w:p>
    <w:p w:rsidR="00FD6AFE" w:rsidRDefault="00503F6A" w:rsidP="00FD6AFE">
      <w:pPr>
        <w:spacing w:line="288" w:lineRule="auto"/>
        <w:jc w:val="both"/>
        <w:rPr>
          <w:rFonts w:cs="Arial"/>
          <w:b/>
          <w:color w:val="000000"/>
        </w:rPr>
      </w:pPr>
      <w:r>
        <w:rPr>
          <w:rFonts w:cs="Arial"/>
          <w:b/>
          <w:color w:val="000000"/>
        </w:rPr>
        <w:t xml:space="preserve">I. </w:t>
      </w:r>
      <w:r w:rsidR="00AE2155" w:rsidRPr="00EE5F05">
        <w:rPr>
          <w:rFonts w:cs="Arial"/>
          <w:b/>
          <w:color w:val="000000"/>
        </w:rPr>
        <w:t>UVOD</w:t>
      </w:r>
    </w:p>
    <w:p w:rsidR="00FD6AFE" w:rsidRDefault="00FD6AFE" w:rsidP="00FD6AFE">
      <w:pPr>
        <w:spacing w:line="288" w:lineRule="auto"/>
        <w:jc w:val="both"/>
        <w:rPr>
          <w:rFonts w:cs="Arial"/>
          <w:b/>
          <w:color w:val="000000"/>
        </w:rPr>
      </w:pPr>
    </w:p>
    <w:p w:rsidR="00AE2155" w:rsidRPr="00FD6AFE" w:rsidRDefault="00AE2155" w:rsidP="00FD6AFE">
      <w:pPr>
        <w:spacing w:line="288" w:lineRule="auto"/>
        <w:jc w:val="both"/>
        <w:rPr>
          <w:rFonts w:cs="Arial"/>
          <w:b/>
          <w:color w:val="000000"/>
        </w:rPr>
      </w:pPr>
      <w:r w:rsidRPr="00FD6AFE">
        <w:rPr>
          <w:rFonts w:cs="Arial"/>
          <w:b/>
          <w:color w:val="000000"/>
        </w:rPr>
        <w:t>1. OCENA STANJA IN RAZLOGI ZA SPREJEM PREDLOGA ZAKONA</w:t>
      </w:r>
    </w:p>
    <w:p w:rsidR="00AE2155" w:rsidRDefault="00AE2155" w:rsidP="00B644CC">
      <w:pPr>
        <w:spacing w:line="288" w:lineRule="auto"/>
        <w:jc w:val="both"/>
        <w:rPr>
          <w:rFonts w:cs="Arial"/>
          <w:color w:val="000000"/>
        </w:rPr>
      </w:pPr>
    </w:p>
    <w:p w:rsidR="00AE2155" w:rsidRPr="00196CFE" w:rsidRDefault="00AE2155" w:rsidP="00503F6A">
      <w:pPr>
        <w:numPr>
          <w:ilvl w:val="1"/>
          <w:numId w:val="31"/>
        </w:numPr>
        <w:spacing w:line="288" w:lineRule="auto"/>
        <w:jc w:val="both"/>
        <w:rPr>
          <w:rFonts w:cs="Arial"/>
          <w:b/>
          <w:color w:val="000000"/>
        </w:rPr>
      </w:pPr>
      <w:r w:rsidRPr="00196CFE">
        <w:rPr>
          <w:rFonts w:eastAsia="Calibri" w:cs="Arial"/>
          <w:b/>
          <w:szCs w:val="20"/>
        </w:rPr>
        <w:t>Agencij</w:t>
      </w:r>
      <w:r>
        <w:rPr>
          <w:rFonts w:eastAsia="Calibri" w:cs="Arial"/>
          <w:b/>
          <w:szCs w:val="20"/>
        </w:rPr>
        <w:t>a</w:t>
      </w:r>
      <w:r w:rsidRPr="00196CFE">
        <w:rPr>
          <w:rFonts w:eastAsia="Calibri" w:cs="Arial"/>
          <w:b/>
          <w:szCs w:val="20"/>
        </w:rPr>
        <w:t xml:space="preserve"> Evropske unije za pravosodno sodelovanje v kazenskih zadevah – </w:t>
      </w:r>
      <w:proofErr w:type="spellStart"/>
      <w:r w:rsidRPr="00196CFE">
        <w:rPr>
          <w:rFonts w:eastAsia="Calibri" w:cs="Arial"/>
          <w:b/>
          <w:szCs w:val="20"/>
        </w:rPr>
        <w:t>Eurojust</w:t>
      </w:r>
      <w:proofErr w:type="spellEnd"/>
    </w:p>
    <w:p w:rsidR="00AE2155" w:rsidRDefault="00AE2155" w:rsidP="00B644CC">
      <w:pPr>
        <w:spacing w:line="288" w:lineRule="auto"/>
        <w:jc w:val="both"/>
        <w:rPr>
          <w:rFonts w:eastAsia="Calibri" w:cs="Arial"/>
          <w:szCs w:val="20"/>
        </w:rPr>
      </w:pPr>
    </w:p>
    <w:p w:rsidR="00AE2155" w:rsidRDefault="00AE2155" w:rsidP="00B644CC">
      <w:pPr>
        <w:spacing w:line="288" w:lineRule="auto"/>
        <w:jc w:val="both"/>
        <w:rPr>
          <w:rFonts w:cs="Arial"/>
          <w:color w:val="000000"/>
        </w:rPr>
      </w:pPr>
      <w:r w:rsidRPr="00CB651B">
        <w:rPr>
          <w:rFonts w:cs="Arial"/>
          <w:color w:val="000000"/>
        </w:rPr>
        <w:t>Evropa</w:t>
      </w:r>
      <w:r>
        <w:rPr>
          <w:rFonts w:cs="Arial"/>
          <w:color w:val="000000"/>
        </w:rPr>
        <w:t xml:space="preserve"> </w:t>
      </w:r>
      <w:r w:rsidRPr="00CB651B">
        <w:rPr>
          <w:rFonts w:cs="Arial"/>
          <w:color w:val="000000"/>
        </w:rPr>
        <w:t>kot odgovor na grožnje notranji varnosti</w:t>
      </w:r>
      <w:r>
        <w:rPr>
          <w:rFonts w:cs="Arial"/>
          <w:color w:val="000000"/>
        </w:rPr>
        <w:t xml:space="preserve"> </w:t>
      </w:r>
      <w:r w:rsidRPr="00CB651B">
        <w:rPr>
          <w:rFonts w:cs="Arial"/>
          <w:color w:val="000000"/>
        </w:rPr>
        <w:t>posebno pozornost namenja organiziranemu</w:t>
      </w:r>
      <w:r>
        <w:rPr>
          <w:rFonts w:cs="Arial"/>
          <w:color w:val="000000"/>
        </w:rPr>
        <w:t xml:space="preserve"> </w:t>
      </w:r>
      <w:r w:rsidRPr="00CB651B">
        <w:rPr>
          <w:rFonts w:cs="Arial"/>
          <w:color w:val="000000"/>
        </w:rPr>
        <w:t>kriminalu, terorizmu, kibernetski kriminaliteti</w:t>
      </w:r>
      <w:r>
        <w:rPr>
          <w:rFonts w:cs="Arial"/>
          <w:color w:val="000000"/>
        </w:rPr>
        <w:t xml:space="preserve"> </w:t>
      </w:r>
      <w:r w:rsidRPr="00CB651B">
        <w:rPr>
          <w:rFonts w:cs="Arial"/>
          <w:color w:val="000000"/>
        </w:rPr>
        <w:t>in tihotapljenju migrantov. Te vrste kriminala</w:t>
      </w:r>
      <w:r>
        <w:rPr>
          <w:rFonts w:cs="Arial"/>
          <w:color w:val="000000"/>
        </w:rPr>
        <w:t xml:space="preserve"> </w:t>
      </w:r>
      <w:r w:rsidRPr="00CB651B">
        <w:rPr>
          <w:rFonts w:cs="Arial"/>
          <w:color w:val="000000"/>
        </w:rPr>
        <w:t>imajo še posebno velik vpliv, so medsebojno</w:t>
      </w:r>
      <w:r>
        <w:rPr>
          <w:rFonts w:cs="Arial"/>
          <w:color w:val="000000"/>
        </w:rPr>
        <w:t xml:space="preserve"> </w:t>
      </w:r>
      <w:r w:rsidRPr="00CB651B">
        <w:rPr>
          <w:rFonts w:cs="Arial"/>
          <w:color w:val="000000"/>
        </w:rPr>
        <w:t xml:space="preserve">povezane in </w:t>
      </w:r>
      <w:r w:rsidR="00FE7FEA">
        <w:rPr>
          <w:rFonts w:cs="Arial"/>
          <w:color w:val="000000"/>
        </w:rPr>
        <w:t>pomenijo</w:t>
      </w:r>
      <w:r w:rsidRPr="00CB651B">
        <w:rPr>
          <w:rFonts w:cs="Arial"/>
          <w:color w:val="000000"/>
        </w:rPr>
        <w:t xml:space="preserve"> kazniva dejanja</w:t>
      </w:r>
      <w:r>
        <w:rPr>
          <w:rFonts w:cs="Arial"/>
          <w:color w:val="000000"/>
        </w:rPr>
        <w:t xml:space="preserve"> </w:t>
      </w:r>
      <w:r w:rsidRPr="00CB651B">
        <w:rPr>
          <w:rFonts w:cs="Arial"/>
          <w:color w:val="000000"/>
        </w:rPr>
        <w:t>z močno čezmejno razsežnostjo.</w:t>
      </w:r>
    </w:p>
    <w:p w:rsidR="00AE2155" w:rsidRPr="00DE4518" w:rsidRDefault="00AE2155" w:rsidP="00B644CC">
      <w:pPr>
        <w:spacing w:line="288" w:lineRule="auto"/>
        <w:jc w:val="both"/>
        <w:rPr>
          <w:rFonts w:cs="Arial"/>
          <w:color w:val="FF0000"/>
        </w:rPr>
      </w:pPr>
    </w:p>
    <w:p w:rsidR="00AE2155" w:rsidRPr="00115F14" w:rsidRDefault="00AE2155" w:rsidP="00B644CC">
      <w:pPr>
        <w:spacing w:line="288" w:lineRule="auto"/>
        <w:jc w:val="both"/>
        <w:rPr>
          <w:rFonts w:cs="Arial"/>
        </w:rPr>
      </w:pPr>
      <w:r w:rsidRPr="00115F14">
        <w:rPr>
          <w:rFonts w:cs="Arial"/>
        </w:rPr>
        <w:t xml:space="preserve">Zgodovina </w:t>
      </w:r>
      <w:proofErr w:type="spellStart"/>
      <w:r w:rsidRPr="00115F14">
        <w:rPr>
          <w:rFonts w:cs="Arial"/>
        </w:rPr>
        <w:t>Eurojusta</w:t>
      </w:r>
      <w:proofErr w:type="spellEnd"/>
      <w:r w:rsidRPr="00115F14">
        <w:rPr>
          <w:rFonts w:cs="Arial"/>
        </w:rPr>
        <w:t xml:space="preserve"> sega vse do zasedanja Evropskega sveta v </w:t>
      </w:r>
      <w:proofErr w:type="spellStart"/>
      <w:r w:rsidRPr="00115F14">
        <w:rPr>
          <w:rFonts w:cs="Arial"/>
        </w:rPr>
        <w:t>Tampereju</w:t>
      </w:r>
      <w:proofErr w:type="spellEnd"/>
      <w:r w:rsidRPr="00115F14">
        <w:rPr>
          <w:rFonts w:cs="Arial"/>
        </w:rPr>
        <w:t xml:space="preserve"> (</w:t>
      </w:r>
      <w:r w:rsidR="00FE7FEA">
        <w:rPr>
          <w:rFonts w:cs="Arial"/>
        </w:rPr>
        <w:t xml:space="preserve">od </w:t>
      </w:r>
      <w:r w:rsidRPr="00115F14">
        <w:rPr>
          <w:rFonts w:cs="Arial"/>
        </w:rPr>
        <w:t>14. do 16. oktobra 1999), kjer je bila za okrepitev boja proti hudim oblikam organiziranega kriminala postavljena zahteva po ustanovitvi organa za pravosodno sodelovanje (</w:t>
      </w:r>
      <w:proofErr w:type="spellStart"/>
      <w:r w:rsidRPr="00115F14">
        <w:rPr>
          <w:rFonts w:cs="Arial"/>
        </w:rPr>
        <w:t>Eurojust</w:t>
      </w:r>
      <w:proofErr w:type="spellEnd"/>
      <w:r w:rsidRPr="00115F14">
        <w:rPr>
          <w:rFonts w:cs="Arial"/>
        </w:rPr>
        <w:t xml:space="preserve">). Evropski svet se je odločil ustanoviti </w:t>
      </w:r>
      <w:proofErr w:type="spellStart"/>
      <w:r w:rsidRPr="00115F14">
        <w:rPr>
          <w:rFonts w:cs="Arial"/>
        </w:rPr>
        <w:t>Eurojust</w:t>
      </w:r>
      <w:proofErr w:type="spellEnd"/>
      <w:r w:rsidRPr="00115F14">
        <w:rPr>
          <w:rFonts w:cs="Arial"/>
        </w:rPr>
        <w:t xml:space="preserve">, sestavljen iz državnih tožilcev, sodnikov ali policistov s podobnimi pristojnostmi, ki jih posamezne države članice </w:t>
      </w:r>
      <w:r w:rsidR="00FE7FEA">
        <w:rPr>
          <w:rFonts w:cs="Arial"/>
        </w:rPr>
        <w:t>imenujejo</w:t>
      </w:r>
      <w:r w:rsidRPr="00115F14">
        <w:rPr>
          <w:rFonts w:cs="Arial"/>
        </w:rPr>
        <w:t xml:space="preserve"> v skladu s svojo zakonodajo.</w:t>
      </w:r>
    </w:p>
    <w:p w:rsidR="00AE2155" w:rsidRPr="00115F14" w:rsidRDefault="00AE2155" w:rsidP="00B644CC">
      <w:pPr>
        <w:spacing w:line="288" w:lineRule="auto"/>
        <w:jc w:val="both"/>
        <w:rPr>
          <w:rFonts w:cs="Arial"/>
        </w:rPr>
      </w:pPr>
    </w:p>
    <w:p w:rsidR="00AE2155" w:rsidRPr="00115F14" w:rsidRDefault="00AE2155" w:rsidP="00B644CC">
      <w:pPr>
        <w:spacing w:line="288" w:lineRule="auto"/>
        <w:jc w:val="both"/>
        <w:rPr>
          <w:rFonts w:cs="Arial"/>
        </w:rPr>
      </w:pPr>
      <w:proofErr w:type="spellStart"/>
      <w:r w:rsidRPr="00115F14">
        <w:rPr>
          <w:rFonts w:cs="Arial"/>
        </w:rPr>
        <w:t>Eurojust</w:t>
      </w:r>
      <w:proofErr w:type="spellEnd"/>
      <w:r w:rsidRPr="00115F14">
        <w:rPr>
          <w:rFonts w:cs="Arial"/>
        </w:rPr>
        <w:t xml:space="preserve"> je bil ustanovljen 24. februarja 2001 s Sklepom Sveta 2002/187/PNZ</w:t>
      </w:r>
      <w:r w:rsidRPr="00115F14">
        <w:rPr>
          <w:rStyle w:val="Sprotnaopomba-sklic"/>
          <w:rFonts w:cs="Arial"/>
        </w:rPr>
        <w:footnoteReference w:id="1"/>
      </w:r>
      <w:r w:rsidRPr="00115F14">
        <w:rPr>
          <w:rFonts w:cs="Arial"/>
        </w:rPr>
        <w:t xml:space="preserve"> za krepitev boja proti hudim oblikam organiziranega kriminala v Evropski uniji</w:t>
      </w:r>
      <w:r w:rsidR="00863752">
        <w:rPr>
          <w:rFonts w:cs="Arial"/>
        </w:rPr>
        <w:t xml:space="preserve"> (v nadaljnjem besedilu: Sklep </w:t>
      </w:r>
      <w:r w:rsidR="00863752" w:rsidRPr="00115F14">
        <w:rPr>
          <w:rFonts w:cs="Arial"/>
        </w:rPr>
        <w:t>2002/187/PNZ</w:t>
      </w:r>
      <w:r w:rsidR="00863752">
        <w:rPr>
          <w:rFonts w:cs="Arial"/>
        </w:rPr>
        <w:t>)</w:t>
      </w:r>
      <w:r w:rsidRPr="00115F14">
        <w:rPr>
          <w:rFonts w:cs="Arial"/>
        </w:rPr>
        <w:t xml:space="preserve">. Od takrat sodeluje pri usklajevanju in sodelovanju med </w:t>
      </w:r>
      <w:r w:rsidR="00FE7FEA">
        <w:rPr>
          <w:rFonts w:cs="Arial"/>
        </w:rPr>
        <w:t xml:space="preserve">pristojnimi </w:t>
      </w:r>
      <w:r w:rsidRPr="00115F14">
        <w:rPr>
          <w:rFonts w:cs="Arial"/>
        </w:rPr>
        <w:t>organi držav članic Evropske unije, kadar imajo opravka s hudimi oblikami čezmejne kriminalitete in organiziranega kriminala.</w:t>
      </w:r>
    </w:p>
    <w:p w:rsidR="00AE2155" w:rsidRPr="00115F14" w:rsidRDefault="00AE2155" w:rsidP="00B644CC">
      <w:pPr>
        <w:spacing w:line="288" w:lineRule="auto"/>
        <w:jc w:val="both"/>
        <w:rPr>
          <w:rFonts w:cs="Arial"/>
        </w:rPr>
      </w:pPr>
    </w:p>
    <w:p w:rsidR="00AE2155" w:rsidRPr="00115F14" w:rsidRDefault="00AE2155" w:rsidP="00B644CC">
      <w:pPr>
        <w:spacing w:line="288" w:lineRule="auto"/>
        <w:jc w:val="both"/>
        <w:rPr>
          <w:rFonts w:cs="Arial"/>
        </w:rPr>
      </w:pPr>
      <w:r w:rsidRPr="00115F14">
        <w:rPr>
          <w:rFonts w:cs="Arial"/>
        </w:rPr>
        <w:t>Boj proti organiziranemu kriminalu s ciljem</w:t>
      </w:r>
      <w:r>
        <w:rPr>
          <w:rFonts w:cs="Arial"/>
        </w:rPr>
        <w:t xml:space="preserve"> </w:t>
      </w:r>
      <w:r w:rsidRPr="00115F14">
        <w:rPr>
          <w:rFonts w:cs="Arial"/>
        </w:rPr>
        <w:t xml:space="preserve">dokončnega uničenja kriminalnih organizacij ostaja vsakdanji izziv. V preteklem desetletju se je zaradi odprtih meja, prostega pretoka oseb pa tudi migracij organizirana kriminaliteta še dodatno razširila, zlasti trgovina s prepovedanimi drogami, trgovina z ljudmi, terorizem in spletni kriminal, vključno z otroško pornografijo. Skupna značilnost vseh teh področij kriminalitete je, da čezmejna kazniva dejanja storijo zelo mobilne in </w:t>
      </w:r>
      <w:r w:rsidR="00FE7FEA">
        <w:rPr>
          <w:rFonts w:cs="Arial"/>
        </w:rPr>
        <w:t>prilagodljive</w:t>
      </w:r>
      <w:r w:rsidRPr="00115F14">
        <w:rPr>
          <w:rFonts w:cs="Arial"/>
        </w:rPr>
        <w:t xml:space="preserve"> </w:t>
      </w:r>
      <w:r>
        <w:rPr>
          <w:rFonts w:cs="Arial"/>
        </w:rPr>
        <w:t xml:space="preserve">kriminalne </w:t>
      </w:r>
      <w:r w:rsidRPr="00115F14">
        <w:rPr>
          <w:rFonts w:cs="Arial"/>
        </w:rPr>
        <w:t>skupine, ki delujejo v več pravnih redih in na različnih področjih kriminala. Za učinkovit boj proti njim je potrebno usklajeno vseevropsko ukrepanje.</w:t>
      </w:r>
    </w:p>
    <w:p w:rsidR="00AE2155" w:rsidRPr="00115F14" w:rsidRDefault="00AE2155" w:rsidP="00B644CC">
      <w:pPr>
        <w:spacing w:line="288" w:lineRule="auto"/>
        <w:jc w:val="both"/>
        <w:rPr>
          <w:rFonts w:cs="Arial"/>
        </w:rPr>
      </w:pPr>
    </w:p>
    <w:p w:rsidR="00AE2155" w:rsidRPr="00115F14" w:rsidRDefault="00AE2155" w:rsidP="00B644CC">
      <w:pPr>
        <w:spacing w:line="288" w:lineRule="auto"/>
        <w:jc w:val="both"/>
        <w:rPr>
          <w:rFonts w:cs="Arial"/>
        </w:rPr>
      </w:pPr>
      <w:proofErr w:type="spellStart"/>
      <w:r w:rsidRPr="00115F14">
        <w:rPr>
          <w:rFonts w:cs="Arial"/>
        </w:rPr>
        <w:t>Eurojust</w:t>
      </w:r>
      <w:proofErr w:type="spellEnd"/>
      <w:r w:rsidRPr="00115F14">
        <w:rPr>
          <w:rFonts w:cs="Arial"/>
        </w:rPr>
        <w:t xml:space="preserve"> je pomemben del </w:t>
      </w:r>
      <w:r w:rsidR="00FE7FEA">
        <w:rPr>
          <w:rFonts w:cs="Arial"/>
        </w:rPr>
        <w:t>neposredno dejavnega (</w:t>
      </w:r>
      <w:r w:rsidRPr="00115F14">
        <w:rPr>
          <w:rFonts w:cs="Arial"/>
        </w:rPr>
        <w:t>operativnega</w:t>
      </w:r>
      <w:r w:rsidR="00FE7FEA">
        <w:rPr>
          <w:rFonts w:cs="Arial"/>
        </w:rPr>
        <w:t>)</w:t>
      </w:r>
      <w:r w:rsidRPr="00115F14">
        <w:rPr>
          <w:rFonts w:cs="Arial"/>
        </w:rPr>
        <w:t xml:space="preserve"> odziva v</w:t>
      </w:r>
      <w:r>
        <w:rPr>
          <w:rFonts w:cs="Arial"/>
        </w:rPr>
        <w:t xml:space="preserve"> </w:t>
      </w:r>
      <w:r w:rsidRPr="00115F14">
        <w:rPr>
          <w:rFonts w:cs="Arial"/>
        </w:rPr>
        <w:t>boju proti t</w:t>
      </w:r>
      <w:r w:rsidR="00FE7FEA">
        <w:rPr>
          <w:rFonts w:cs="Arial"/>
        </w:rPr>
        <w:t>akim</w:t>
      </w:r>
      <w:r w:rsidRPr="00115F14">
        <w:rPr>
          <w:rFonts w:cs="Arial"/>
        </w:rPr>
        <w:t xml:space="preserve"> grožnjam. V vsakem</w:t>
      </w:r>
      <w:r>
        <w:rPr>
          <w:rFonts w:cs="Arial"/>
        </w:rPr>
        <w:t xml:space="preserve"> </w:t>
      </w:r>
      <w:r w:rsidRPr="00115F14">
        <w:rPr>
          <w:rFonts w:cs="Arial"/>
        </w:rPr>
        <w:t>primeru posebej zagotavlja usklajevanje preiskav s</w:t>
      </w:r>
      <w:r>
        <w:rPr>
          <w:rFonts w:cs="Arial"/>
        </w:rPr>
        <w:t xml:space="preserve"> </w:t>
      </w:r>
      <w:r w:rsidRPr="00115F14">
        <w:rPr>
          <w:rFonts w:cs="Arial"/>
        </w:rPr>
        <w:t>spodbujanjem izmenjave informacij, odkrivanjem</w:t>
      </w:r>
      <w:r>
        <w:rPr>
          <w:rFonts w:cs="Arial"/>
        </w:rPr>
        <w:t xml:space="preserve"> </w:t>
      </w:r>
      <w:r w:rsidRPr="00115F14">
        <w:rPr>
          <w:rFonts w:cs="Arial"/>
        </w:rPr>
        <w:t>navzkrižnih povezav med tekočimi preiskavami,</w:t>
      </w:r>
      <w:r>
        <w:rPr>
          <w:rFonts w:cs="Arial"/>
        </w:rPr>
        <w:t xml:space="preserve"> </w:t>
      </w:r>
      <w:r w:rsidRPr="00115F14">
        <w:rPr>
          <w:rFonts w:cs="Arial"/>
        </w:rPr>
        <w:t>razvojem strategij tožilstva in izvajanjem skupnih</w:t>
      </w:r>
      <w:r>
        <w:rPr>
          <w:rFonts w:cs="Arial"/>
        </w:rPr>
        <w:t xml:space="preserve"> </w:t>
      </w:r>
      <w:r w:rsidRPr="00115F14">
        <w:rPr>
          <w:rFonts w:cs="Arial"/>
        </w:rPr>
        <w:t>ukrepov. Pogosto je treba reševati resna vprašanja</w:t>
      </w:r>
      <w:r>
        <w:rPr>
          <w:rFonts w:cs="Arial"/>
        </w:rPr>
        <w:t xml:space="preserve"> </w:t>
      </w:r>
      <w:r w:rsidRPr="00115F14">
        <w:rPr>
          <w:rFonts w:cs="Arial"/>
        </w:rPr>
        <w:t>glede pristojn</w:t>
      </w:r>
      <w:r>
        <w:rPr>
          <w:rFonts w:cs="Arial"/>
        </w:rPr>
        <w:t>ega sodišča</w:t>
      </w:r>
      <w:r w:rsidRPr="00115F14">
        <w:rPr>
          <w:rFonts w:cs="Arial"/>
        </w:rPr>
        <w:t>. Ta odločitev je zlasti pomembna pri</w:t>
      </w:r>
      <w:r>
        <w:rPr>
          <w:rFonts w:cs="Arial"/>
        </w:rPr>
        <w:t xml:space="preserve"> </w:t>
      </w:r>
      <w:r w:rsidRPr="00115F14">
        <w:rPr>
          <w:rFonts w:cs="Arial"/>
        </w:rPr>
        <w:t>čezmejnih</w:t>
      </w:r>
      <w:r>
        <w:rPr>
          <w:rFonts w:cs="Arial"/>
        </w:rPr>
        <w:t xml:space="preserve"> </w:t>
      </w:r>
      <w:r w:rsidRPr="00115F14">
        <w:rPr>
          <w:rFonts w:cs="Arial"/>
        </w:rPr>
        <w:t>preiskavah, saj se v skladu s ključnim</w:t>
      </w:r>
      <w:r>
        <w:rPr>
          <w:rFonts w:cs="Arial"/>
        </w:rPr>
        <w:t xml:space="preserve"> </w:t>
      </w:r>
      <w:r w:rsidRPr="00115F14">
        <w:rPr>
          <w:rFonts w:cs="Arial"/>
        </w:rPr>
        <w:t xml:space="preserve">načelom kazenskega prava </w:t>
      </w:r>
      <w:r w:rsidRPr="00115F14">
        <w:rPr>
          <w:rFonts w:cs="Arial"/>
          <w:i/>
        </w:rPr>
        <w:t xml:space="preserve">ne bis in </w:t>
      </w:r>
      <w:proofErr w:type="spellStart"/>
      <w:r w:rsidRPr="00115F14">
        <w:rPr>
          <w:rFonts w:cs="Arial"/>
          <w:i/>
        </w:rPr>
        <w:t>idem</w:t>
      </w:r>
      <w:proofErr w:type="spellEnd"/>
      <w:r w:rsidRPr="00115F14">
        <w:rPr>
          <w:rFonts w:cs="Arial"/>
        </w:rPr>
        <w:t xml:space="preserve"> osebi za isto</w:t>
      </w:r>
      <w:r>
        <w:rPr>
          <w:rFonts w:cs="Arial"/>
        </w:rPr>
        <w:t xml:space="preserve"> </w:t>
      </w:r>
      <w:r w:rsidRPr="00115F14">
        <w:rPr>
          <w:rFonts w:cs="Arial"/>
        </w:rPr>
        <w:t>kaznivo dejanje lahko sodi samo enkrat.</w:t>
      </w:r>
      <w:r w:rsidRPr="00115F14">
        <w:rPr>
          <w:rStyle w:val="Sprotnaopomba-sklic"/>
          <w:rFonts w:cs="Arial"/>
        </w:rPr>
        <w:footnoteReference w:id="2"/>
      </w:r>
    </w:p>
    <w:p w:rsidR="00AE2155" w:rsidRPr="00115F14" w:rsidRDefault="00AE2155" w:rsidP="00B644CC">
      <w:pPr>
        <w:spacing w:line="288" w:lineRule="auto"/>
        <w:jc w:val="both"/>
        <w:rPr>
          <w:rFonts w:cs="Arial"/>
        </w:rPr>
      </w:pPr>
    </w:p>
    <w:p w:rsidR="00CA56C1" w:rsidRDefault="00AE2155" w:rsidP="00CA56C1">
      <w:pPr>
        <w:spacing w:line="288" w:lineRule="auto"/>
        <w:jc w:val="both"/>
        <w:rPr>
          <w:rFonts w:cs="Arial"/>
        </w:rPr>
      </w:pPr>
      <w:r w:rsidRPr="00115F14">
        <w:rPr>
          <w:rFonts w:cs="Arial"/>
        </w:rPr>
        <w:t xml:space="preserve">Zaradi povečane čezmejne razsežnosti kaznivih dejanj in njihove </w:t>
      </w:r>
      <w:r w:rsidR="00B12E0D">
        <w:rPr>
          <w:rFonts w:cs="Arial"/>
        </w:rPr>
        <w:t>raznovrstnosti</w:t>
      </w:r>
      <w:r w:rsidRPr="00115F14">
        <w:rPr>
          <w:rFonts w:cs="Arial"/>
        </w:rPr>
        <w:t xml:space="preserve"> posamezne države članice težje odkrivajo in preganjajo čezmejna kazniva dejanja (to še posebej velja za kazniva dejanja organiziranega kriminala). V tem okviru je vloga </w:t>
      </w:r>
      <w:proofErr w:type="spellStart"/>
      <w:r w:rsidRPr="00115F14">
        <w:rPr>
          <w:rFonts w:cs="Arial"/>
        </w:rPr>
        <w:t>Eurojusta</w:t>
      </w:r>
      <w:proofErr w:type="spellEnd"/>
      <w:r w:rsidRPr="00115F14">
        <w:rPr>
          <w:rFonts w:cs="Arial"/>
        </w:rPr>
        <w:t xml:space="preserve"> glede izboljšanja pravosodnega sodelovanja in usklajevanja med pristojnimi pravosodnimi organi držav članic ter</w:t>
      </w:r>
      <w:r>
        <w:rPr>
          <w:rFonts w:cs="Arial"/>
        </w:rPr>
        <w:t xml:space="preserve"> </w:t>
      </w:r>
      <w:r w:rsidRPr="00115F14">
        <w:rPr>
          <w:rFonts w:cs="Arial"/>
        </w:rPr>
        <w:t xml:space="preserve">pomoči pri preiskavah, ki vključujejo tretje države, še naprej </w:t>
      </w:r>
      <w:r w:rsidR="00B12E0D">
        <w:rPr>
          <w:rFonts w:cs="Arial"/>
        </w:rPr>
        <w:t>temeljnega</w:t>
      </w:r>
      <w:r w:rsidRPr="00115F14">
        <w:rPr>
          <w:rFonts w:cs="Arial"/>
        </w:rPr>
        <w:t xml:space="preserve"> pomena.</w:t>
      </w:r>
      <w:r w:rsidR="005771B0" w:rsidRPr="005771B0">
        <w:rPr>
          <w:rFonts w:cs="Arial"/>
        </w:rPr>
        <w:t xml:space="preserve"> </w:t>
      </w:r>
    </w:p>
    <w:p w:rsidR="00CA56C1" w:rsidRDefault="00CA56C1" w:rsidP="00CA56C1">
      <w:pPr>
        <w:spacing w:line="288" w:lineRule="auto"/>
        <w:jc w:val="both"/>
        <w:rPr>
          <w:rFonts w:cs="Arial"/>
        </w:rPr>
      </w:pPr>
    </w:p>
    <w:p w:rsidR="00FE7FEA" w:rsidRDefault="00CA56C1" w:rsidP="005771B0">
      <w:pPr>
        <w:spacing w:line="288" w:lineRule="auto"/>
        <w:jc w:val="both"/>
        <w:rPr>
          <w:rFonts w:cs="Arial"/>
        </w:rPr>
      </w:pPr>
      <w:r w:rsidRPr="00115F14">
        <w:rPr>
          <w:rFonts w:cs="Arial"/>
        </w:rPr>
        <w:t xml:space="preserve">Iz letnega poročila </w:t>
      </w:r>
      <w:proofErr w:type="spellStart"/>
      <w:r w:rsidRPr="00115F14">
        <w:rPr>
          <w:rFonts w:cs="Arial"/>
        </w:rPr>
        <w:t>Eurojust</w:t>
      </w:r>
      <w:proofErr w:type="spellEnd"/>
      <w:r w:rsidRPr="00115F14">
        <w:rPr>
          <w:rFonts w:cs="Arial"/>
        </w:rPr>
        <w:t xml:space="preserve"> za leto 2018 izhaja primerjalna preglednica obravnavanih primerov, sestankov in skupnih dejavnosti na prednostnih področjih kaznivih dejanj v obdobju </w:t>
      </w:r>
      <w:r w:rsidR="00B12E0D">
        <w:rPr>
          <w:rFonts w:cs="Arial"/>
        </w:rPr>
        <w:t xml:space="preserve">od leta </w:t>
      </w:r>
      <w:r w:rsidRPr="00115F14">
        <w:rPr>
          <w:rFonts w:cs="Arial"/>
        </w:rPr>
        <w:t>2015</w:t>
      </w:r>
      <w:r w:rsidR="00B12E0D">
        <w:rPr>
          <w:rFonts w:cs="Arial"/>
        </w:rPr>
        <w:t xml:space="preserve"> do </w:t>
      </w:r>
      <w:r w:rsidRPr="00115F14">
        <w:rPr>
          <w:rFonts w:cs="Arial"/>
        </w:rPr>
        <w:t xml:space="preserve">2018. </w:t>
      </w:r>
    </w:p>
    <w:p w:rsidR="00FE7FEA" w:rsidRDefault="00FE7FEA" w:rsidP="005771B0">
      <w:pPr>
        <w:spacing w:line="288" w:lineRule="auto"/>
        <w:jc w:val="both"/>
        <w:rPr>
          <w:rFonts w:cs="Arial"/>
        </w:rPr>
      </w:pPr>
    </w:p>
    <w:tbl>
      <w:tblPr>
        <w:tblStyle w:val="Tabelamrea"/>
        <w:tblW w:w="0" w:type="auto"/>
        <w:tblLook w:val="04A0" w:firstRow="1" w:lastRow="0" w:firstColumn="1" w:lastColumn="0" w:noHBand="0" w:noVBand="1"/>
      </w:tblPr>
      <w:tblGrid>
        <w:gridCol w:w="8637"/>
      </w:tblGrid>
      <w:tr w:rsidR="00FE7FEA" w:rsidTr="00FE7FEA">
        <w:tc>
          <w:tcPr>
            <w:tcW w:w="8637" w:type="dxa"/>
          </w:tcPr>
          <w:tbl>
            <w:tblPr>
              <w:tblpPr w:leftFromText="141" w:rightFromText="141" w:vertAnchor="page" w:horzAnchor="margin" w:tblpY="84"/>
              <w:tblW w:w="8634" w:type="dxa"/>
              <w:tblCellMar>
                <w:left w:w="0" w:type="dxa"/>
                <w:right w:w="75" w:type="dxa"/>
              </w:tblCellMar>
              <w:tblLook w:val="04A0" w:firstRow="1" w:lastRow="0" w:firstColumn="1" w:lastColumn="0" w:noHBand="0" w:noVBand="1"/>
            </w:tblPr>
            <w:tblGrid>
              <w:gridCol w:w="2566"/>
              <w:gridCol w:w="421"/>
              <w:gridCol w:w="1804"/>
              <w:gridCol w:w="1804"/>
              <w:gridCol w:w="2039"/>
            </w:tblGrid>
            <w:tr w:rsidR="00FE7FEA" w:rsidRPr="00115F14" w:rsidTr="00FE7FEA">
              <w:trPr>
                <w:trHeight w:val="405"/>
              </w:trPr>
              <w:tc>
                <w:tcPr>
                  <w:tcW w:w="2987" w:type="dxa"/>
                  <w:gridSpan w:val="2"/>
                  <w:tcBorders>
                    <w:top w:val="nil"/>
                    <w:left w:val="nil"/>
                    <w:bottom w:val="nil"/>
                    <w:right w:val="single" w:sz="24" w:space="0" w:color="FFFFFF"/>
                  </w:tcBorders>
                  <w:shd w:val="clear" w:color="auto" w:fill="40586B"/>
                </w:tcPr>
                <w:p w:rsidR="00FE7FEA" w:rsidRPr="00115F14" w:rsidRDefault="00FE7FEA" w:rsidP="00FE7FEA">
                  <w:pPr>
                    <w:spacing w:after="160" w:line="259" w:lineRule="auto"/>
                    <w:rPr>
                      <w:sz w:val="22"/>
                      <w:szCs w:val="22"/>
                    </w:rPr>
                  </w:pPr>
                </w:p>
              </w:tc>
              <w:tc>
                <w:tcPr>
                  <w:tcW w:w="1804" w:type="dxa"/>
                  <w:tcBorders>
                    <w:top w:val="nil"/>
                    <w:left w:val="single" w:sz="24" w:space="0" w:color="FFFFFF"/>
                    <w:bottom w:val="nil"/>
                    <w:right w:val="single" w:sz="24" w:space="0" w:color="FFFFFF"/>
                  </w:tcBorders>
                  <w:shd w:val="clear" w:color="auto" w:fill="40586B"/>
                  <w:vAlign w:val="center"/>
                </w:tcPr>
                <w:p w:rsidR="00FE7FEA" w:rsidRPr="00115F14" w:rsidRDefault="00FE7FEA" w:rsidP="00FE7FEA">
                  <w:pPr>
                    <w:spacing w:line="259" w:lineRule="auto"/>
                    <w:jc w:val="center"/>
                    <w:rPr>
                      <w:sz w:val="22"/>
                      <w:szCs w:val="22"/>
                    </w:rPr>
                  </w:pPr>
                  <w:r w:rsidRPr="00115F14">
                    <w:rPr>
                      <w:rFonts w:ascii="Calibri" w:eastAsia="Calibri" w:hAnsi="Calibri" w:cs="Calibri"/>
                      <w:b/>
                      <w:szCs w:val="22"/>
                    </w:rPr>
                    <w:t>TERORIZEM</w:t>
                  </w:r>
                </w:p>
              </w:tc>
              <w:tc>
                <w:tcPr>
                  <w:tcW w:w="1804" w:type="dxa"/>
                  <w:tcBorders>
                    <w:top w:val="nil"/>
                    <w:left w:val="single" w:sz="24" w:space="0" w:color="FFFFFF"/>
                    <w:bottom w:val="nil"/>
                    <w:right w:val="single" w:sz="24" w:space="0" w:color="FFFFFF"/>
                  </w:tcBorders>
                  <w:shd w:val="clear" w:color="auto" w:fill="40586B"/>
                </w:tcPr>
                <w:p w:rsidR="00FE7FEA" w:rsidRPr="00115F14" w:rsidRDefault="00FE7FEA" w:rsidP="00FE7FEA">
                  <w:pPr>
                    <w:spacing w:line="259" w:lineRule="auto"/>
                    <w:jc w:val="center"/>
                    <w:rPr>
                      <w:sz w:val="22"/>
                      <w:szCs w:val="22"/>
                    </w:rPr>
                  </w:pPr>
                  <w:r w:rsidRPr="00115F14">
                    <w:rPr>
                      <w:rFonts w:ascii="Calibri" w:eastAsia="Calibri" w:hAnsi="Calibri" w:cs="Calibri"/>
                      <w:b/>
                      <w:szCs w:val="22"/>
                    </w:rPr>
                    <w:t>KIBERNETSKA KRIMINALITETA</w:t>
                  </w:r>
                </w:p>
              </w:tc>
              <w:tc>
                <w:tcPr>
                  <w:tcW w:w="2039" w:type="dxa"/>
                  <w:tcBorders>
                    <w:top w:val="nil"/>
                    <w:left w:val="single" w:sz="24" w:space="0" w:color="FFFFFF"/>
                    <w:bottom w:val="nil"/>
                    <w:right w:val="nil"/>
                  </w:tcBorders>
                  <w:shd w:val="clear" w:color="auto" w:fill="40586B"/>
                </w:tcPr>
                <w:p w:rsidR="00FE7FEA" w:rsidRPr="00115F14" w:rsidRDefault="00FE7FEA" w:rsidP="00FE7FEA">
                  <w:pPr>
                    <w:spacing w:line="259" w:lineRule="auto"/>
                    <w:jc w:val="center"/>
                    <w:rPr>
                      <w:sz w:val="22"/>
                      <w:szCs w:val="22"/>
                    </w:rPr>
                  </w:pPr>
                  <w:r w:rsidRPr="00115F14">
                    <w:rPr>
                      <w:rFonts w:ascii="Calibri" w:eastAsia="Calibri" w:hAnsi="Calibri" w:cs="Calibri"/>
                      <w:b/>
                      <w:szCs w:val="22"/>
                    </w:rPr>
                    <w:t>TIHOTAPLJENJE MIGRANTOV</w:t>
                  </w:r>
                </w:p>
              </w:tc>
            </w:tr>
            <w:tr w:rsidR="00FE7FEA" w:rsidRPr="00115F14" w:rsidTr="00FE7FEA">
              <w:trPr>
                <w:trHeight w:val="249"/>
              </w:trPr>
              <w:tc>
                <w:tcPr>
                  <w:tcW w:w="2987" w:type="dxa"/>
                  <w:gridSpan w:val="2"/>
                  <w:tcBorders>
                    <w:top w:val="nil"/>
                    <w:left w:val="nil"/>
                    <w:bottom w:val="nil"/>
                    <w:right w:val="single" w:sz="24" w:space="0" w:color="FFFFFF"/>
                  </w:tcBorders>
                  <w:shd w:val="clear" w:color="auto" w:fill="F1F1F0"/>
                </w:tcPr>
                <w:p w:rsidR="00FE7FEA" w:rsidRPr="00115F14" w:rsidRDefault="00FE7FEA" w:rsidP="00FE7FEA">
                  <w:pPr>
                    <w:spacing w:line="259" w:lineRule="auto"/>
                    <w:ind w:right="47"/>
                    <w:jc w:val="right"/>
                    <w:rPr>
                      <w:sz w:val="22"/>
                      <w:szCs w:val="22"/>
                    </w:rPr>
                  </w:pPr>
                  <w:r w:rsidRPr="00115F14">
                    <w:rPr>
                      <w:rFonts w:ascii="Calibri" w:eastAsia="Calibri" w:hAnsi="Calibri" w:cs="Calibri"/>
                      <w:i/>
                      <w:sz w:val="17"/>
                      <w:szCs w:val="22"/>
                    </w:rPr>
                    <w:t>2018</w:t>
                  </w:r>
                </w:p>
              </w:tc>
              <w:tc>
                <w:tcPr>
                  <w:tcW w:w="1804" w:type="dxa"/>
                  <w:tcBorders>
                    <w:top w:val="nil"/>
                    <w:left w:val="single" w:sz="24" w:space="0" w:color="FFFFFF"/>
                    <w:bottom w:val="single" w:sz="8" w:space="0" w:color="FFFFFF"/>
                    <w:right w:val="single" w:sz="24" w:space="0" w:color="FFFFFF"/>
                  </w:tcBorders>
                  <w:shd w:val="clear" w:color="auto" w:fill="F1F1F0"/>
                </w:tcPr>
                <w:p w:rsidR="00FE7FEA" w:rsidRPr="00115F14" w:rsidRDefault="00FE7FEA" w:rsidP="00FE7FEA">
                  <w:pPr>
                    <w:spacing w:line="259" w:lineRule="auto"/>
                    <w:jc w:val="center"/>
                    <w:rPr>
                      <w:sz w:val="22"/>
                      <w:szCs w:val="22"/>
                    </w:rPr>
                  </w:pPr>
                  <w:r w:rsidRPr="00115F14">
                    <w:rPr>
                      <w:rFonts w:ascii="Calibri" w:eastAsia="Calibri" w:hAnsi="Calibri" w:cs="Calibri"/>
                      <w:b/>
                      <w:szCs w:val="22"/>
                    </w:rPr>
                    <w:t>191</w:t>
                  </w:r>
                </w:p>
              </w:tc>
              <w:tc>
                <w:tcPr>
                  <w:tcW w:w="1804" w:type="dxa"/>
                  <w:tcBorders>
                    <w:top w:val="nil"/>
                    <w:left w:val="single" w:sz="24" w:space="0" w:color="FFFFFF"/>
                    <w:bottom w:val="single" w:sz="8" w:space="0" w:color="FFFFFF"/>
                    <w:right w:val="single" w:sz="24" w:space="0" w:color="FFFFFF"/>
                  </w:tcBorders>
                  <w:shd w:val="clear" w:color="auto" w:fill="F1F1F0"/>
                </w:tcPr>
                <w:p w:rsidR="00FE7FEA" w:rsidRPr="00115F14" w:rsidRDefault="00FE7FEA" w:rsidP="00FE7FEA">
                  <w:pPr>
                    <w:spacing w:line="259" w:lineRule="auto"/>
                    <w:jc w:val="center"/>
                    <w:rPr>
                      <w:sz w:val="22"/>
                      <w:szCs w:val="22"/>
                    </w:rPr>
                  </w:pPr>
                  <w:r w:rsidRPr="00115F14">
                    <w:rPr>
                      <w:rFonts w:ascii="Calibri" w:eastAsia="Calibri" w:hAnsi="Calibri" w:cs="Calibri"/>
                      <w:b/>
                      <w:szCs w:val="22"/>
                    </w:rPr>
                    <w:t>219</w:t>
                  </w:r>
                </w:p>
              </w:tc>
              <w:tc>
                <w:tcPr>
                  <w:tcW w:w="2039" w:type="dxa"/>
                  <w:tcBorders>
                    <w:top w:val="nil"/>
                    <w:left w:val="single" w:sz="24" w:space="0" w:color="FFFFFF"/>
                    <w:bottom w:val="single" w:sz="8" w:space="0" w:color="FFFFFF"/>
                    <w:right w:val="nil"/>
                  </w:tcBorders>
                  <w:shd w:val="clear" w:color="auto" w:fill="F1F1F0"/>
                </w:tcPr>
                <w:p w:rsidR="00FE7FEA" w:rsidRPr="00115F14" w:rsidRDefault="00FE7FEA" w:rsidP="00FE7FEA">
                  <w:pPr>
                    <w:spacing w:line="259" w:lineRule="auto"/>
                    <w:jc w:val="center"/>
                    <w:rPr>
                      <w:sz w:val="22"/>
                      <w:szCs w:val="22"/>
                    </w:rPr>
                  </w:pPr>
                  <w:r w:rsidRPr="00115F14">
                    <w:rPr>
                      <w:rFonts w:ascii="Calibri" w:eastAsia="Calibri" w:hAnsi="Calibri" w:cs="Calibri"/>
                      <w:b/>
                      <w:szCs w:val="22"/>
                    </w:rPr>
                    <w:t>157</w:t>
                  </w:r>
                </w:p>
              </w:tc>
            </w:tr>
            <w:tr w:rsidR="00FE7FEA" w:rsidRPr="00115F14" w:rsidTr="00FE7FEA">
              <w:trPr>
                <w:trHeight w:val="249"/>
              </w:trPr>
              <w:tc>
                <w:tcPr>
                  <w:tcW w:w="2987" w:type="dxa"/>
                  <w:gridSpan w:val="2"/>
                  <w:tcBorders>
                    <w:top w:val="nil"/>
                    <w:left w:val="nil"/>
                    <w:bottom w:val="nil"/>
                    <w:right w:val="single" w:sz="24" w:space="0" w:color="FFFFFF"/>
                  </w:tcBorders>
                  <w:shd w:val="clear" w:color="auto" w:fill="F1F1F0"/>
                </w:tcPr>
                <w:p w:rsidR="00FE7FEA" w:rsidRPr="00115F14" w:rsidRDefault="00FE7FEA" w:rsidP="00FE7FEA">
                  <w:pPr>
                    <w:tabs>
                      <w:tab w:val="center" w:pos="1495"/>
                      <w:tab w:val="right" w:pos="3454"/>
                    </w:tabs>
                    <w:spacing w:line="259" w:lineRule="auto"/>
                    <w:rPr>
                      <w:sz w:val="22"/>
                      <w:szCs w:val="22"/>
                    </w:rPr>
                  </w:pPr>
                  <w:r w:rsidRPr="00115F14">
                    <w:rPr>
                      <w:rFonts w:ascii="Calibri" w:eastAsia="Calibri" w:hAnsi="Calibri" w:cs="Calibri"/>
                      <w:sz w:val="22"/>
                      <w:szCs w:val="22"/>
                    </w:rPr>
                    <w:tab/>
                  </w:r>
                  <w:r w:rsidRPr="00115F14">
                    <w:rPr>
                      <w:rFonts w:ascii="Calibri" w:eastAsia="Calibri" w:hAnsi="Calibri" w:cs="Calibri"/>
                      <w:b/>
                      <w:szCs w:val="22"/>
                    </w:rPr>
                    <w:t>Primeri</w:t>
                  </w:r>
                  <w:r w:rsidRPr="00115F14">
                    <w:rPr>
                      <w:rFonts w:ascii="Calibri" w:eastAsia="Calibri" w:hAnsi="Calibri" w:cs="Calibri"/>
                      <w:szCs w:val="22"/>
                    </w:rPr>
                    <w:tab/>
                  </w:r>
                  <w:r w:rsidRPr="00115F14">
                    <w:rPr>
                      <w:rFonts w:ascii="Calibri" w:eastAsia="Calibri" w:hAnsi="Calibri" w:cs="Calibri"/>
                      <w:i/>
                      <w:sz w:val="17"/>
                      <w:szCs w:val="22"/>
                    </w:rPr>
                    <w:t>2017</w:t>
                  </w:r>
                </w:p>
              </w:tc>
              <w:tc>
                <w:tcPr>
                  <w:tcW w:w="1804" w:type="dxa"/>
                  <w:tcBorders>
                    <w:top w:val="single" w:sz="8" w:space="0" w:color="FFFFFF"/>
                    <w:left w:val="single" w:sz="24" w:space="0" w:color="FFFFFF"/>
                    <w:bottom w:val="single" w:sz="8" w:space="0" w:color="FFFFFF"/>
                    <w:right w:val="single" w:sz="24" w:space="0" w:color="FFFFFF"/>
                  </w:tcBorders>
                  <w:shd w:val="clear" w:color="auto" w:fill="F1F1F0"/>
                </w:tcPr>
                <w:p w:rsidR="00FE7FEA" w:rsidRPr="00115F14" w:rsidRDefault="00FE7FEA" w:rsidP="00FE7FEA">
                  <w:pPr>
                    <w:spacing w:line="259" w:lineRule="auto"/>
                    <w:jc w:val="center"/>
                    <w:rPr>
                      <w:sz w:val="22"/>
                      <w:szCs w:val="22"/>
                    </w:rPr>
                  </w:pPr>
                  <w:r w:rsidRPr="00115F14">
                    <w:rPr>
                      <w:rFonts w:ascii="Calibri" w:eastAsia="Calibri" w:hAnsi="Calibri" w:cs="Calibri"/>
                      <w:szCs w:val="22"/>
                    </w:rPr>
                    <w:t>178</w:t>
                  </w:r>
                </w:p>
              </w:tc>
              <w:tc>
                <w:tcPr>
                  <w:tcW w:w="1804" w:type="dxa"/>
                  <w:tcBorders>
                    <w:top w:val="single" w:sz="8" w:space="0" w:color="FFFFFF"/>
                    <w:left w:val="single" w:sz="24" w:space="0" w:color="FFFFFF"/>
                    <w:bottom w:val="single" w:sz="8" w:space="0" w:color="FFFFFF"/>
                    <w:right w:val="single" w:sz="24" w:space="0" w:color="FFFFFF"/>
                  </w:tcBorders>
                  <w:shd w:val="clear" w:color="auto" w:fill="F1F1F0"/>
                </w:tcPr>
                <w:p w:rsidR="00FE7FEA" w:rsidRPr="00115F14" w:rsidRDefault="00FE7FEA" w:rsidP="00FE7FEA">
                  <w:pPr>
                    <w:spacing w:line="259" w:lineRule="auto"/>
                    <w:jc w:val="center"/>
                    <w:rPr>
                      <w:sz w:val="22"/>
                      <w:szCs w:val="22"/>
                    </w:rPr>
                  </w:pPr>
                  <w:r w:rsidRPr="00115F14">
                    <w:rPr>
                      <w:rFonts w:ascii="Calibri" w:eastAsia="Calibri" w:hAnsi="Calibri" w:cs="Calibri"/>
                      <w:szCs w:val="22"/>
                    </w:rPr>
                    <w:t>176</w:t>
                  </w:r>
                </w:p>
              </w:tc>
              <w:tc>
                <w:tcPr>
                  <w:tcW w:w="2039" w:type="dxa"/>
                  <w:tcBorders>
                    <w:top w:val="single" w:sz="8" w:space="0" w:color="FFFFFF"/>
                    <w:left w:val="single" w:sz="24" w:space="0" w:color="FFFFFF"/>
                    <w:bottom w:val="single" w:sz="8" w:space="0" w:color="FFFFFF"/>
                    <w:right w:val="nil"/>
                  </w:tcBorders>
                  <w:shd w:val="clear" w:color="auto" w:fill="F1F1F0"/>
                </w:tcPr>
                <w:p w:rsidR="00FE7FEA" w:rsidRPr="00115F14" w:rsidRDefault="00FE7FEA" w:rsidP="00FE7FEA">
                  <w:pPr>
                    <w:spacing w:line="259" w:lineRule="auto"/>
                    <w:jc w:val="center"/>
                    <w:rPr>
                      <w:sz w:val="22"/>
                      <w:szCs w:val="22"/>
                    </w:rPr>
                  </w:pPr>
                  <w:r w:rsidRPr="00115F14">
                    <w:rPr>
                      <w:rFonts w:ascii="Calibri" w:eastAsia="Calibri" w:hAnsi="Calibri" w:cs="Calibri"/>
                      <w:szCs w:val="22"/>
                    </w:rPr>
                    <w:t>153</w:t>
                  </w:r>
                </w:p>
              </w:tc>
            </w:tr>
            <w:tr w:rsidR="00FE7FEA" w:rsidRPr="00115F14" w:rsidTr="00FE7FEA">
              <w:trPr>
                <w:trHeight w:val="249"/>
              </w:trPr>
              <w:tc>
                <w:tcPr>
                  <w:tcW w:w="2566" w:type="dxa"/>
                  <w:vMerge w:val="restart"/>
                  <w:tcBorders>
                    <w:top w:val="nil"/>
                    <w:left w:val="nil"/>
                    <w:bottom w:val="single" w:sz="24" w:space="0" w:color="FFFFFF"/>
                    <w:right w:val="nil"/>
                  </w:tcBorders>
                  <w:shd w:val="clear" w:color="auto" w:fill="F1F1F0"/>
                </w:tcPr>
                <w:p w:rsidR="00FE7FEA" w:rsidRDefault="00FE7FEA" w:rsidP="00FE7FEA">
                  <w:pPr>
                    <w:spacing w:line="259" w:lineRule="auto"/>
                    <w:ind w:left="142"/>
                    <w:jc w:val="center"/>
                    <w:rPr>
                      <w:rFonts w:ascii="Calibri" w:eastAsia="Calibri" w:hAnsi="Calibri" w:cs="Calibri"/>
                      <w:sz w:val="16"/>
                      <w:szCs w:val="22"/>
                    </w:rPr>
                  </w:pPr>
                  <w:r w:rsidRPr="00115F14">
                    <w:rPr>
                      <w:rFonts w:ascii="Calibri" w:eastAsia="Calibri" w:hAnsi="Calibri" w:cs="Calibri"/>
                      <w:sz w:val="16"/>
                      <w:szCs w:val="22"/>
                    </w:rPr>
                    <w:t>(vsota novih primerov in</w:t>
                  </w:r>
                </w:p>
                <w:p w:rsidR="00FE7FEA" w:rsidRPr="00115F14" w:rsidRDefault="00FE7FEA" w:rsidP="00FE7FEA">
                  <w:pPr>
                    <w:spacing w:line="259" w:lineRule="auto"/>
                    <w:ind w:left="142"/>
                    <w:jc w:val="center"/>
                    <w:rPr>
                      <w:sz w:val="22"/>
                      <w:szCs w:val="22"/>
                    </w:rPr>
                  </w:pPr>
                  <w:r w:rsidRPr="00115F14">
                    <w:rPr>
                      <w:rFonts w:ascii="Calibri" w:eastAsia="Calibri" w:hAnsi="Calibri" w:cs="Calibri"/>
                      <w:sz w:val="16"/>
                      <w:szCs w:val="22"/>
                    </w:rPr>
                    <w:t>primerov v teku iz prejšnjih let)</w:t>
                  </w:r>
                </w:p>
              </w:tc>
              <w:tc>
                <w:tcPr>
                  <w:tcW w:w="421" w:type="dxa"/>
                  <w:tcBorders>
                    <w:top w:val="single" w:sz="8" w:space="0" w:color="FFFFFF"/>
                    <w:left w:val="nil"/>
                    <w:bottom w:val="single" w:sz="8" w:space="0" w:color="FFFFFF"/>
                    <w:right w:val="single" w:sz="24" w:space="0" w:color="FFFFFF"/>
                  </w:tcBorders>
                  <w:shd w:val="clear" w:color="auto" w:fill="F1F1F0"/>
                </w:tcPr>
                <w:p w:rsidR="00FE7FEA" w:rsidRPr="00115F14" w:rsidRDefault="00FE7FEA" w:rsidP="00FE7FEA">
                  <w:pPr>
                    <w:spacing w:line="259" w:lineRule="auto"/>
                    <w:rPr>
                      <w:sz w:val="22"/>
                      <w:szCs w:val="22"/>
                    </w:rPr>
                  </w:pPr>
                  <w:r w:rsidRPr="00115F14">
                    <w:rPr>
                      <w:rFonts w:ascii="Calibri" w:eastAsia="Calibri" w:hAnsi="Calibri" w:cs="Calibri"/>
                      <w:i/>
                      <w:sz w:val="17"/>
                      <w:szCs w:val="22"/>
                    </w:rPr>
                    <w:t>2016</w:t>
                  </w:r>
                </w:p>
              </w:tc>
              <w:tc>
                <w:tcPr>
                  <w:tcW w:w="1804" w:type="dxa"/>
                  <w:tcBorders>
                    <w:top w:val="single" w:sz="8" w:space="0" w:color="FFFFFF"/>
                    <w:left w:val="single" w:sz="24" w:space="0" w:color="FFFFFF"/>
                    <w:bottom w:val="single" w:sz="8" w:space="0" w:color="FFFFFF"/>
                    <w:right w:val="single" w:sz="24" w:space="0" w:color="FFFFFF"/>
                  </w:tcBorders>
                  <w:shd w:val="clear" w:color="auto" w:fill="F1F1F0"/>
                </w:tcPr>
                <w:p w:rsidR="00FE7FEA" w:rsidRPr="00115F14" w:rsidRDefault="00FE7FEA" w:rsidP="00FE7FEA">
                  <w:pPr>
                    <w:spacing w:line="259" w:lineRule="auto"/>
                    <w:jc w:val="center"/>
                    <w:rPr>
                      <w:sz w:val="22"/>
                      <w:szCs w:val="22"/>
                    </w:rPr>
                  </w:pPr>
                  <w:r w:rsidRPr="00115F14">
                    <w:rPr>
                      <w:rFonts w:ascii="Calibri" w:eastAsia="Calibri" w:hAnsi="Calibri" w:cs="Calibri"/>
                      <w:szCs w:val="22"/>
                    </w:rPr>
                    <w:t>124</w:t>
                  </w:r>
                </w:p>
              </w:tc>
              <w:tc>
                <w:tcPr>
                  <w:tcW w:w="1804" w:type="dxa"/>
                  <w:tcBorders>
                    <w:top w:val="single" w:sz="8" w:space="0" w:color="FFFFFF"/>
                    <w:left w:val="single" w:sz="24" w:space="0" w:color="FFFFFF"/>
                    <w:bottom w:val="single" w:sz="8" w:space="0" w:color="FFFFFF"/>
                    <w:right w:val="single" w:sz="24" w:space="0" w:color="FFFFFF"/>
                  </w:tcBorders>
                  <w:shd w:val="clear" w:color="auto" w:fill="F1F1F0"/>
                </w:tcPr>
                <w:p w:rsidR="00FE7FEA" w:rsidRPr="00115F14" w:rsidRDefault="00FE7FEA" w:rsidP="00FE7FEA">
                  <w:pPr>
                    <w:spacing w:line="259" w:lineRule="auto"/>
                    <w:jc w:val="center"/>
                    <w:rPr>
                      <w:sz w:val="22"/>
                      <w:szCs w:val="22"/>
                    </w:rPr>
                  </w:pPr>
                  <w:r w:rsidRPr="00115F14">
                    <w:rPr>
                      <w:rFonts w:ascii="Calibri" w:eastAsia="Calibri" w:hAnsi="Calibri" w:cs="Calibri"/>
                      <w:szCs w:val="22"/>
                    </w:rPr>
                    <w:t>151</w:t>
                  </w:r>
                </w:p>
              </w:tc>
              <w:tc>
                <w:tcPr>
                  <w:tcW w:w="2039" w:type="dxa"/>
                  <w:tcBorders>
                    <w:top w:val="single" w:sz="8" w:space="0" w:color="FFFFFF"/>
                    <w:left w:val="single" w:sz="24" w:space="0" w:color="FFFFFF"/>
                    <w:bottom w:val="single" w:sz="8" w:space="0" w:color="FFFFFF"/>
                    <w:right w:val="nil"/>
                  </w:tcBorders>
                  <w:shd w:val="clear" w:color="auto" w:fill="F1F1F0"/>
                </w:tcPr>
                <w:p w:rsidR="00FE7FEA" w:rsidRPr="00115F14" w:rsidRDefault="00FE7FEA" w:rsidP="00FE7FEA">
                  <w:pPr>
                    <w:spacing w:line="259" w:lineRule="auto"/>
                    <w:jc w:val="center"/>
                    <w:rPr>
                      <w:sz w:val="22"/>
                      <w:szCs w:val="22"/>
                    </w:rPr>
                  </w:pPr>
                  <w:r w:rsidRPr="00115F14">
                    <w:rPr>
                      <w:rFonts w:ascii="Calibri" w:eastAsia="Calibri" w:hAnsi="Calibri" w:cs="Calibri"/>
                      <w:szCs w:val="22"/>
                    </w:rPr>
                    <w:t>133</w:t>
                  </w:r>
                </w:p>
              </w:tc>
            </w:tr>
            <w:tr w:rsidR="00FE7FEA" w:rsidRPr="00115F14" w:rsidTr="00FE7FEA">
              <w:trPr>
                <w:trHeight w:val="249"/>
              </w:trPr>
              <w:tc>
                <w:tcPr>
                  <w:tcW w:w="0" w:type="auto"/>
                  <w:vMerge/>
                  <w:tcBorders>
                    <w:top w:val="nil"/>
                    <w:left w:val="nil"/>
                    <w:bottom w:val="single" w:sz="24" w:space="0" w:color="FFFFFF"/>
                    <w:right w:val="nil"/>
                  </w:tcBorders>
                  <w:shd w:val="clear" w:color="auto" w:fill="auto"/>
                </w:tcPr>
                <w:p w:rsidR="00FE7FEA" w:rsidRPr="00115F14" w:rsidRDefault="00FE7FEA" w:rsidP="00FE7FEA">
                  <w:pPr>
                    <w:spacing w:after="160" w:line="259" w:lineRule="auto"/>
                    <w:rPr>
                      <w:sz w:val="22"/>
                      <w:szCs w:val="22"/>
                    </w:rPr>
                  </w:pPr>
                </w:p>
              </w:tc>
              <w:tc>
                <w:tcPr>
                  <w:tcW w:w="421" w:type="dxa"/>
                  <w:tcBorders>
                    <w:top w:val="single" w:sz="8" w:space="0" w:color="FFFFFF"/>
                    <w:left w:val="nil"/>
                    <w:bottom w:val="single" w:sz="24" w:space="0" w:color="FFFFFF"/>
                    <w:right w:val="single" w:sz="24" w:space="0" w:color="FFFFFF"/>
                  </w:tcBorders>
                  <w:shd w:val="clear" w:color="auto" w:fill="F1F1F0"/>
                </w:tcPr>
                <w:p w:rsidR="00FE7FEA" w:rsidRPr="00115F14" w:rsidRDefault="00FE7FEA" w:rsidP="00FE7FEA">
                  <w:pPr>
                    <w:spacing w:line="259" w:lineRule="auto"/>
                    <w:rPr>
                      <w:sz w:val="22"/>
                      <w:szCs w:val="22"/>
                    </w:rPr>
                  </w:pPr>
                  <w:r w:rsidRPr="00115F14">
                    <w:rPr>
                      <w:rFonts w:ascii="Calibri" w:eastAsia="Calibri" w:hAnsi="Calibri" w:cs="Calibri"/>
                      <w:i/>
                      <w:sz w:val="17"/>
                      <w:szCs w:val="22"/>
                    </w:rPr>
                    <w:t>2015</w:t>
                  </w:r>
                </w:p>
              </w:tc>
              <w:tc>
                <w:tcPr>
                  <w:tcW w:w="1804" w:type="dxa"/>
                  <w:tcBorders>
                    <w:top w:val="single" w:sz="8" w:space="0" w:color="FFFFFF"/>
                    <w:left w:val="single" w:sz="24" w:space="0" w:color="FFFFFF"/>
                    <w:bottom w:val="single" w:sz="24" w:space="0" w:color="FFFFFF"/>
                    <w:right w:val="single" w:sz="24" w:space="0" w:color="FFFFFF"/>
                  </w:tcBorders>
                  <w:shd w:val="clear" w:color="auto" w:fill="F1F1F0"/>
                </w:tcPr>
                <w:p w:rsidR="00FE7FEA" w:rsidRPr="00115F14" w:rsidRDefault="00FE7FEA" w:rsidP="00FE7FEA">
                  <w:pPr>
                    <w:spacing w:line="259" w:lineRule="auto"/>
                    <w:jc w:val="center"/>
                    <w:rPr>
                      <w:sz w:val="22"/>
                      <w:szCs w:val="22"/>
                    </w:rPr>
                  </w:pPr>
                  <w:r w:rsidRPr="00115F14">
                    <w:rPr>
                      <w:rFonts w:ascii="Calibri" w:eastAsia="Calibri" w:hAnsi="Calibri" w:cs="Calibri"/>
                      <w:szCs w:val="22"/>
                    </w:rPr>
                    <w:t>74</w:t>
                  </w:r>
                </w:p>
              </w:tc>
              <w:tc>
                <w:tcPr>
                  <w:tcW w:w="1804" w:type="dxa"/>
                  <w:tcBorders>
                    <w:top w:val="single" w:sz="8" w:space="0" w:color="FFFFFF"/>
                    <w:left w:val="single" w:sz="24" w:space="0" w:color="FFFFFF"/>
                    <w:bottom w:val="single" w:sz="24" w:space="0" w:color="FFFFFF"/>
                    <w:right w:val="single" w:sz="24" w:space="0" w:color="FFFFFF"/>
                  </w:tcBorders>
                  <w:shd w:val="clear" w:color="auto" w:fill="F1F1F0"/>
                </w:tcPr>
                <w:p w:rsidR="00FE7FEA" w:rsidRPr="00115F14" w:rsidRDefault="00FE7FEA" w:rsidP="00FE7FEA">
                  <w:pPr>
                    <w:spacing w:line="259" w:lineRule="auto"/>
                    <w:jc w:val="center"/>
                    <w:rPr>
                      <w:sz w:val="22"/>
                      <w:szCs w:val="22"/>
                    </w:rPr>
                  </w:pPr>
                  <w:r w:rsidRPr="00115F14">
                    <w:rPr>
                      <w:rFonts w:ascii="Calibri" w:eastAsia="Calibri" w:hAnsi="Calibri" w:cs="Calibri"/>
                      <w:szCs w:val="22"/>
                    </w:rPr>
                    <w:t>131</w:t>
                  </w:r>
                </w:p>
              </w:tc>
              <w:tc>
                <w:tcPr>
                  <w:tcW w:w="2039" w:type="dxa"/>
                  <w:tcBorders>
                    <w:top w:val="single" w:sz="8" w:space="0" w:color="FFFFFF"/>
                    <w:left w:val="single" w:sz="24" w:space="0" w:color="FFFFFF"/>
                    <w:bottom w:val="single" w:sz="24" w:space="0" w:color="FFFFFF"/>
                    <w:right w:val="nil"/>
                  </w:tcBorders>
                  <w:shd w:val="clear" w:color="auto" w:fill="F1F1F0"/>
                </w:tcPr>
                <w:p w:rsidR="00FE7FEA" w:rsidRPr="00115F14" w:rsidRDefault="00FE7FEA" w:rsidP="00FE7FEA">
                  <w:pPr>
                    <w:spacing w:line="259" w:lineRule="auto"/>
                    <w:jc w:val="center"/>
                    <w:rPr>
                      <w:sz w:val="22"/>
                      <w:szCs w:val="22"/>
                    </w:rPr>
                  </w:pPr>
                  <w:r w:rsidRPr="00115F14">
                    <w:rPr>
                      <w:rFonts w:ascii="Calibri" w:eastAsia="Calibri" w:hAnsi="Calibri" w:cs="Calibri"/>
                      <w:szCs w:val="22"/>
                    </w:rPr>
                    <w:t>94</w:t>
                  </w:r>
                </w:p>
              </w:tc>
            </w:tr>
            <w:tr w:rsidR="00FE7FEA" w:rsidRPr="00115F14" w:rsidTr="00FE7FEA">
              <w:trPr>
                <w:trHeight w:val="249"/>
              </w:trPr>
              <w:tc>
                <w:tcPr>
                  <w:tcW w:w="2566" w:type="dxa"/>
                  <w:vMerge w:val="restart"/>
                  <w:tcBorders>
                    <w:top w:val="single" w:sz="24" w:space="0" w:color="FFFFFF"/>
                    <w:left w:val="nil"/>
                    <w:bottom w:val="single" w:sz="24" w:space="0" w:color="FFFFFF"/>
                    <w:right w:val="nil"/>
                  </w:tcBorders>
                  <w:shd w:val="clear" w:color="auto" w:fill="E8E8E6"/>
                  <w:vAlign w:val="center"/>
                </w:tcPr>
                <w:p w:rsidR="00FE7FEA" w:rsidRPr="00115F14" w:rsidRDefault="00FE7FEA" w:rsidP="00FE7FEA">
                  <w:pPr>
                    <w:spacing w:line="259" w:lineRule="auto"/>
                    <w:jc w:val="center"/>
                    <w:rPr>
                      <w:sz w:val="22"/>
                      <w:szCs w:val="22"/>
                    </w:rPr>
                  </w:pPr>
                  <w:r w:rsidRPr="00115F14">
                    <w:rPr>
                      <w:rFonts w:ascii="Calibri" w:eastAsia="Calibri" w:hAnsi="Calibri" w:cs="Calibri"/>
                      <w:b/>
                      <w:szCs w:val="22"/>
                    </w:rPr>
                    <w:t>Koordinacijski sestanki</w:t>
                  </w:r>
                </w:p>
              </w:tc>
              <w:tc>
                <w:tcPr>
                  <w:tcW w:w="421" w:type="dxa"/>
                  <w:tcBorders>
                    <w:top w:val="single" w:sz="24" w:space="0" w:color="FFFFFF"/>
                    <w:left w:val="nil"/>
                    <w:bottom w:val="single" w:sz="8" w:space="0" w:color="FFFFFF"/>
                    <w:right w:val="single" w:sz="24" w:space="0" w:color="FFFFFF"/>
                  </w:tcBorders>
                  <w:shd w:val="clear" w:color="auto" w:fill="E8E8E6"/>
                </w:tcPr>
                <w:p w:rsidR="00FE7FEA" w:rsidRPr="00115F14" w:rsidRDefault="00FE7FEA" w:rsidP="00FE7FEA">
                  <w:pPr>
                    <w:spacing w:line="259" w:lineRule="auto"/>
                    <w:rPr>
                      <w:sz w:val="22"/>
                      <w:szCs w:val="22"/>
                    </w:rPr>
                  </w:pPr>
                  <w:r w:rsidRPr="00115F14">
                    <w:rPr>
                      <w:rFonts w:ascii="Calibri" w:eastAsia="Calibri" w:hAnsi="Calibri" w:cs="Calibri"/>
                      <w:i/>
                      <w:sz w:val="17"/>
                      <w:szCs w:val="22"/>
                    </w:rPr>
                    <w:t>2018</w:t>
                  </w:r>
                </w:p>
              </w:tc>
              <w:tc>
                <w:tcPr>
                  <w:tcW w:w="1804" w:type="dxa"/>
                  <w:tcBorders>
                    <w:top w:val="single" w:sz="24" w:space="0" w:color="FFFFFF"/>
                    <w:left w:val="single" w:sz="24" w:space="0" w:color="FFFFFF"/>
                    <w:bottom w:val="single" w:sz="8" w:space="0" w:color="FFFFFF"/>
                    <w:right w:val="single" w:sz="24" w:space="0" w:color="FFFFFF"/>
                  </w:tcBorders>
                  <w:shd w:val="clear" w:color="auto" w:fill="E8E8E6"/>
                </w:tcPr>
                <w:p w:rsidR="00FE7FEA" w:rsidRPr="00115F14" w:rsidRDefault="00FE7FEA" w:rsidP="00FE7FEA">
                  <w:pPr>
                    <w:spacing w:line="259" w:lineRule="auto"/>
                    <w:jc w:val="center"/>
                    <w:rPr>
                      <w:sz w:val="22"/>
                      <w:szCs w:val="22"/>
                    </w:rPr>
                  </w:pPr>
                  <w:r w:rsidRPr="00115F14">
                    <w:rPr>
                      <w:rFonts w:ascii="Calibri" w:eastAsia="Calibri" w:hAnsi="Calibri" w:cs="Calibri"/>
                      <w:b/>
                      <w:szCs w:val="22"/>
                    </w:rPr>
                    <w:t>20</w:t>
                  </w:r>
                </w:p>
              </w:tc>
              <w:tc>
                <w:tcPr>
                  <w:tcW w:w="1804" w:type="dxa"/>
                  <w:tcBorders>
                    <w:top w:val="single" w:sz="24" w:space="0" w:color="FFFFFF"/>
                    <w:left w:val="single" w:sz="24" w:space="0" w:color="FFFFFF"/>
                    <w:bottom w:val="single" w:sz="8" w:space="0" w:color="FFFFFF"/>
                    <w:right w:val="single" w:sz="24" w:space="0" w:color="FFFFFF"/>
                  </w:tcBorders>
                  <w:shd w:val="clear" w:color="auto" w:fill="E8E8E6"/>
                </w:tcPr>
                <w:p w:rsidR="00FE7FEA" w:rsidRPr="00115F14" w:rsidRDefault="00FE7FEA" w:rsidP="00FE7FEA">
                  <w:pPr>
                    <w:spacing w:line="259" w:lineRule="auto"/>
                    <w:jc w:val="center"/>
                    <w:rPr>
                      <w:sz w:val="22"/>
                      <w:szCs w:val="22"/>
                    </w:rPr>
                  </w:pPr>
                  <w:r w:rsidRPr="00115F14">
                    <w:rPr>
                      <w:rFonts w:ascii="Calibri" w:eastAsia="Calibri" w:hAnsi="Calibri" w:cs="Calibri"/>
                      <w:b/>
                      <w:szCs w:val="22"/>
                    </w:rPr>
                    <w:t>28</w:t>
                  </w:r>
                </w:p>
              </w:tc>
              <w:tc>
                <w:tcPr>
                  <w:tcW w:w="2039" w:type="dxa"/>
                  <w:tcBorders>
                    <w:top w:val="single" w:sz="24" w:space="0" w:color="FFFFFF"/>
                    <w:left w:val="single" w:sz="24" w:space="0" w:color="FFFFFF"/>
                    <w:bottom w:val="single" w:sz="8" w:space="0" w:color="FFFFFF"/>
                    <w:right w:val="nil"/>
                  </w:tcBorders>
                  <w:shd w:val="clear" w:color="auto" w:fill="E8E8E6"/>
                </w:tcPr>
                <w:p w:rsidR="00FE7FEA" w:rsidRPr="00115F14" w:rsidRDefault="00FE7FEA" w:rsidP="00FE7FEA">
                  <w:pPr>
                    <w:spacing w:line="259" w:lineRule="auto"/>
                    <w:jc w:val="center"/>
                    <w:rPr>
                      <w:sz w:val="22"/>
                      <w:szCs w:val="22"/>
                    </w:rPr>
                  </w:pPr>
                  <w:r w:rsidRPr="00115F14">
                    <w:rPr>
                      <w:rFonts w:ascii="Calibri" w:eastAsia="Calibri" w:hAnsi="Calibri" w:cs="Calibri"/>
                      <w:b/>
                      <w:szCs w:val="22"/>
                    </w:rPr>
                    <w:t>17</w:t>
                  </w:r>
                </w:p>
              </w:tc>
            </w:tr>
            <w:tr w:rsidR="00FE7FEA" w:rsidRPr="00115F14" w:rsidTr="00FE7FEA">
              <w:trPr>
                <w:trHeight w:val="249"/>
              </w:trPr>
              <w:tc>
                <w:tcPr>
                  <w:tcW w:w="0" w:type="auto"/>
                  <w:vMerge/>
                  <w:tcBorders>
                    <w:top w:val="nil"/>
                    <w:left w:val="nil"/>
                    <w:bottom w:val="nil"/>
                    <w:right w:val="nil"/>
                  </w:tcBorders>
                  <w:shd w:val="clear" w:color="auto" w:fill="auto"/>
                </w:tcPr>
                <w:p w:rsidR="00FE7FEA" w:rsidRPr="00115F14" w:rsidRDefault="00FE7FEA" w:rsidP="00FE7FEA">
                  <w:pPr>
                    <w:spacing w:after="160" w:line="259" w:lineRule="auto"/>
                    <w:rPr>
                      <w:sz w:val="22"/>
                      <w:szCs w:val="22"/>
                    </w:rPr>
                  </w:pPr>
                </w:p>
              </w:tc>
              <w:tc>
                <w:tcPr>
                  <w:tcW w:w="421" w:type="dxa"/>
                  <w:tcBorders>
                    <w:top w:val="single" w:sz="8" w:space="0" w:color="FFFFFF"/>
                    <w:left w:val="nil"/>
                    <w:bottom w:val="single" w:sz="8" w:space="0" w:color="FFFFFF"/>
                    <w:right w:val="single" w:sz="24" w:space="0" w:color="FFFFFF"/>
                  </w:tcBorders>
                  <w:shd w:val="clear" w:color="auto" w:fill="E8E8E6"/>
                </w:tcPr>
                <w:p w:rsidR="00FE7FEA" w:rsidRPr="00115F14" w:rsidRDefault="00FE7FEA" w:rsidP="00FE7FEA">
                  <w:pPr>
                    <w:spacing w:line="259" w:lineRule="auto"/>
                    <w:rPr>
                      <w:sz w:val="22"/>
                      <w:szCs w:val="22"/>
                    </w:rPr>
                  </w:pPr>
                  <w:r w:rsidRPr="00115F14">
                    <w:rPr>
                      <w:rFonts w:ascii="Calibri" w:eastAsia="Calibri" w:hAnsi="Calibri" w:cs="Calibri"/>
                      <w:i/>
                      <w:sz w:val="17"/>
                      <w:szCs w:val="22"/>
                    </w:rPr>
                    <w:t>2017</w:t>
                  </w:r>
                </w:p>
              </w:tc>
              <w:tc>
                <w:tcPr>
                  <w:tcW w:w="1804" w:type="dxa"/>
                  <w:tcBorders>
                    <w:top w:val="single" w:sz="8" w:space="0" w:color="FFFFFF"/>
                    <w:left w:val="single" w:sz="24" w:space="0" w:color="FFFFFF"/>
                    <w:bottom w:val="single" w:sz="8" w:space="0" w:color="FFFFFF"/>
                    <w:right w:val="single" w:sz="24" w:space="0" w:color="FFFFFF"/>
                  </w:tcBorders>
                  <w:shd w:val="clear" w:color="auto" w:fill="E8E8E6"/>
                </w:tcPr>
                <w:p w:rsidR="00FE7FEA" w:rsidRPr="00115F14" w:rsidRDefault="00FE7FEA" w:rsidP="00FE7FEA">
                  <w:pPr>
                    <w:spacing w:line="259" w:lineRule="auto"/>
                    <w:jc w:val="center"/>
                    <w:rPr>
                      <w:sz w:val="22"/>
                      <w:szCs w:val="22"/>
                    </w:rPr>
                  </w:pPr>
                  <w:r w:rsidRPr="00115F14">
                    <w:rPr>
                      <w:rFonts w:ascii="Calibri" w:eastAsia="Calibri" w:hAnsi="Calibri" w:cs="Calibri"/>
                      <w:szCs w:val="22"/>
                    </w:rPr>
                    <w:t>14</w:t>
                  </w:r>
                </w:p>
              </w:tc>
              <w:tc>
                <w:tcPr>
                  <w:tcW w:w="1804" w:type="dxa"/>
                  <w:tcBorders>
                    <w:top w:val="single" w:sz="8" w:space="0" w:color="FFFFFF"/>
                    <w:left w:val="single" w:sz="24" w:space="0" w:color="FFFFFF"/>
                    <w:bottom w:val="single" w:sz="8" w:space="0" w:color="FFFFFF"/>
                    <w:right w:val="single" w:sz="24" w:space="0" w:color="FFFFFF"/>
                  </w:tcBorders>
                  <w:shd w:val="clear" w:color="auto" w:fill="E8E8E6"/>
                </w:tcPr>
                <w:p w:rsidR="00FE7FEA" w:rsidRPr="00115F14" w:rsidRDefault="00FE7FEA" w:rsidP="00FE7FEA">
                  <w:pPr>
                    <w:spacing w:line="259" w:lineRule="auto"/>
                    <w:jc w:val="center"/>
                    <w:rPr>
                      <w:sz w:val="22"/>
                      <w:szCs w:val="22"/>
                    </w:rPr>
                  </w:pPr>
                  <w:r w:rsidRPr="00115F14">
                    <w:rPr>
                      <w:rFonts w:ascii="Calibri" w:eastAsia="Calibri" w:hAnsi="Calibri" w:cs="Calibri"/>
                      <w:szCs w:val="22"/>
                    </w:rPr>
                    <w:t>9</w:t>
                  </w:r>
                </w:p>
              </w:tc>
              <w:tc>
                <w:tcPr>
                  <w:tcW w:w="2039" w:type="dxa"/>
                  <w:tcBorders>
                    <w:top w:val="single" w:sz="8" w:space="0" w:color="FFFFFF"/>
                    <w:left w:val="single" w:sz="24" w:space="0" w:color="FFFFFF"/>
                    <w:bottom w:val="single" w:sz="8" w:space="0" w:color="FFFFFF"/>
                    <w:right w:val="nil"/>
                  </w:tcBorders>
                  <w:shd w:val="clear" w:color="auto" w:fill="E8E8E6"/>
                </w:tcPr>
                <w:p w:rsidR="00FE7FEA" w:rsidRPr="00115F14" w:rsidRDefault="00FE7FEA" w:rsidP="00FE7FEA">
                  <w:pPr>
                    <w:spacing w:line="259" w:lineRule="auto"/>
                    <w:jc w:val="center"/>
                    <w:rPr>
                      <w:sz w:val="22"/>
                      <w:szCs w:val="22"/>
                    </w:rPr>
                  </w:pPr>
                  <w:r w:rsidRPr="00115F14">
                    <w:rPr>
                      <w:rFonts w:ascii="Calibri" w:eastAsia="Calibri" w:hAnsi="Calibri" w:cs="Calibri"/>
                      <w:szCs w:val="22"/>
                    </w:rPr>
                    <w:t>15</w:t>
                  </w:r>
                </w:p>
              </w:tc>
            </w:tr>
            <w:tr w:rsidR="00FE7FEA" w:rsidRPr="00115F14" w:rsidTr="00FE7FEA">
              <w:trPr>
                <w:trHeight w:val="249"/>
              </w:trPr>
              <w:tc>
                <w:tcPr>
                  <w:tcW w:w="0" w:type="auto"/>
                  <w:vMerge/>
                  <w:tcBorders>
                    <w:top w:val="nil"/>
                    <w:left w:val="nil"/>
                    <w:bottom w:val="nil"/>
                    <w:right w:val="nil"/>
                  </w:tcBorders>
                  <w:shd w:val="clear" w:color="auto" w:fill="auto"/>
                </w:tcPr>
                <w:p w:rsidR="00FE7FEA" w:rsidRPr="00115F14" w:rsidRDefault="00FE7FEA" w:rsidP="00FE7FEA">
                  <w:pPr>
                    <w:spacing w:after="160" w:line="259" w:lineRule="auto"/>
                    <w:rPr>
                      <w:sz w:val="22"/>
                      <w:szCs w:val="22"/>
                    </w:rPr>
                  </w:pPr>
                </w:p>
              </w:tc>
              <w:tc>
                <w:tcPr>
                  <w:tcW w:w="421" w:type="dxa"/>
                  <w:tcBorders>
                    <w:top w:val="single" w:sz="8" w:space="0" w:color="FFFFFF"/>
                    <w:left w:val="nil"/>
                    <w:bottom w:val="single" w:sz="8" w:space="0" w:color="FFFFFF"/>
                    <w:right w:val="single" w:sz="24" w:space="0" w:color="FFFFFF"/>
                  </w:tcBorders>
                  <w:shd w:val="clear" w:color="auto" w:fill="E8E8E6"/>
                </w:tcPr>
                <w:p w:rsidR="00FE7FEA" w:rsidRPr="00115F14" w:rsidRDefault="00FE7FEA" w:rsidP="00FE7FEA">
                  <w:pPr>
                    <w:spacing w:line="259" w:lineRule="auto"/>
                    <w:rPr>
                      <w:sz w:val="22"/>
                      <w:szCs w:val="22"/>
                    </w:rPr>
                  </w:pPr>
                  <w:r w:rsidRPr="00115F14">
                    <w:rPr>
                      <w:rFonts w:ascii="Calibri" w:eastAsia="Calibri" w:hAnsi="Calibri" w:cs="Calibri"/>
                      <w:i/>
                      <w:sz w:val="17"/>
                      <w:szCs w:val="22"/>
                    </w:rPr>
                    <w:t>2016</w:t>
                  </w:r>
                </w:p>
              </w:tc>
              <w:tc>
                <w:tcPr>
                  <w:tcW w:w="1804" w:type="dxa"/>
                  <w:tcBorders>
                    <w:top w:val="single" w:sz="8" w:space="0" w:color="FFFFFF"/>
                    <w:left w:val="single" w:sz="24" w:space="0" w:color="FFFFFF"/>
                    <w:bottom w:val="single" w:sz="8" w:space="0" w:color="FFFFFF"/>
                    <w:right w:val="single" w:sz="24" w:space="0" w:color="FFFFFF"/>
                  </w:tcBorders>
                  <w:shd w:val="clear" w:color="auto" w:fill="E8E8E6"/>
                </w:tcPr>
                <w:p w:rsidR="00FE7FEA" w:rsidRPr="00115F14" w:rsidRDefault="00FE7FEA" w:rsidP="00FE7FEA">
                  <w:pPr>
                    <w:spacing w:line="259" w:lineRule="auto"/>
                    <w:jc w:val="center"/>
                    <w:rPr>
                      <w:sz w:val="22"/>
                      <w:szCs w:val="22"/>
                    </w:rPr>
                  </w:pPr>
                  <w:r w:rsidRPr="00115F14">
                    <w:rPr>
                      <w:rFonts w:ascii="Calibri" w:eastAsia="Calibri" w:hAnsi="Calibri" w:cs="Calibri"/>
                      <w:szCs w:val="22"/>
                    </w:rPr>
                    <w:t>18</w:t>
                  </w:r>
                </w:p>
              </w:tc>
              <w:tc>
                <w:tcPr>
                  <w:tcW w:w="1804" w:type="dxa"/>
                  <w:tcBorders>
                    <w:top w:val="single" w:sz="8" w:space="0" w:color="FFFFFF"/>
                    <w:left w:val="single" w:sz="24" w:space="0" w:color="FFFFFF"/>
                    <w:bottom w:val="single" w:sz="8" w:space="0" w:color="FFFFFF"/>
                    <w:right w:val="single" w:sz="24" w:space="0" w:color="FFFFFF"/>
                  </w:tcBorders>
                  <w:shd w:val="clear" w:color="auto" w:fill="E8E8E6"/>
                </w:tcPr>
                <w:p w:rsidR="00FE7FEA" w:rsidRPr="00115F14" w:rsidRDefault="00FE7FEA" w:rsidP="00FE7FEA">
                  <w:pPr>
                    <w:spacing w:line="259" w:lineRule="auto"/>
                    <w:jc w:val="center"/>
                    <w:rPr>
                      <w:sz w:val="22"/>
                      <w:szCs w:val="22"/>
                    </w:rPr>
                  </w:pPr>
                  <w:r w:rsidRPr="00115F14">
                    <w:rPr>
                      <w:rFonts w:ascii="Calibri" w:eastAsia="Calibri" w:hAnsi="Calibri" w:cs="Calibri"/>
                      <w:szCs w:val="22"/>
                    </w:rPr>
                    <w:t>13</w:t>
                  </w:r>
                </w:p>
              </w:tc>
              <w:tc>
                <w:tcPr>
                  <w:tcW w:w="2039" w:type="dxa"/>
                  <w:tcBorders>
                    <w:top w:val="single" w:sz="8" w:space="0" w:color="FFFFFF"/>
                    <w:left w:val="single" w:sz="24" w:space="0" w:color="FFFFFF"/>
                    <w:bottom w:val="single" w:sz="8" w:space="0" w:color="FFFFFF"/>
                    <w:right w:val="nil"/>
                  </w:tcBorders>
                  <w:shd w:val="clear" w:color="auto" w:fill="E8E8E6"/>
                </w:tcPr>
                <w:p w:rsidR="00FE7FEA" w:rsidRPr="00115F14" w:rsidRDefault="00FE7FEA" w:rsidP="00FE7FEA">
                  <w:pPr>
                    <w:spacing w:line="259" w:lineRule="auto"/>
                    <w:jc w:val="center"/>
                    <w:rPr>
                      <w:sz w:val="22"/>
                      <w:szCs w:val="22"/>
                    </w:rPr>
                  </w:pPr>
                  <w:r w:rsidRPr="00115F14">
                    <w:rPr>
                      <w:rFonts w:ascii="Calibri" w:eastAsia="Calibri" w:hAnsi="Calibri" w:cs="Calibri"/>
                      <w:szCs w:val="22"/>
                    </w:rPr>
                    <w:t>12</w:t>
                  </w:r>
                </w:p>
              </w:tc>
            </w:tr>
            <w:tr w:rsidR="00FE7FEA" w:rsidRPr="00115F14" w:rsidTr="00FE7FEA">
              <w:trPr>
                <w:trHeight w:val="249"/>
              </w:trPr>
              <w:tc>
                <w:tcPr>
                  <w:tcW w:w="0" w:type="auto"/>
                  <w:vMerge/>
                  <w:tcBorders>
                    <w:top w:val="nil"/>
                    <w:left w:val="nil"/>
                    <w:bottom w:val="single" w:sz="24" w:space="0" w:color="FFFFFF"/>
                    <w:right w:val="nil"/>
                  </w:tcBorders>
                  <w:shd w:val="clear" w:color="auto" w:fill="auto"/>
                </w:tcPr>
                <w:p w:rsidR="00FE7FEA" w:rsidRPr="00115F14" w:rsidRDefault="00FE7FEA" w:rsidP="00FE7FEA">
                  <w:pPr>
                    <w:spacing w:after="160" w:line="259" w:lineRule="auto"/>
                    <w:rPr>
                      <w:sz w:val="22"/>
                      <w:szCs w:val="22"/>
                    </w:rPr>
                  </w:pPr>
                </w:p>
              </w:tc>
              <w:tc>
                <w:tcPr>
                  <w:tcW w:w="421" w:type="dxa"/>
                  <w:tcBorders>
                    <w:top w:val="single" w:sz="8" w:space="0" w:color="FFFFFF"/>
                    <w:left w:val="nil"/>
                    <w:bottom w:val="single" w:sz="24" w:space="0" w:color="FFFFFF"/>
                    <w:right w:val="single" w:sz="24" w:space="0" w:color="FFFFFF"/>
                  </w:tcBorders>
                  <w:shd w:val="clear" w:color="auto" w:fill="E8E8E6"/>
                </w:tcPr>
                <w:p w:rsidR="00FE7FEA" w:rsidRPr="00115F14" w:rsidRDefault="00FE7FEA" w:rsidP="00FE7FEA">
                  <w:pPr>
                    <w:spacing w:line="259" w:lineRule="auto"/>
                    <w:rPr>
                      <w:sz w:val="22"/>
                      <w:szCs w:val="22"/>
                    </w:rPr>
                  </w:pPr>
                  <w:r w:rsidRPr="00115F14">
                    <w:rPr>
                      <w:rFonts w:ascii="Calibri" w:eastAsia="Calibri" w:hAnsi="Calibri" w:cs="Calibri"/>
                      <w:i/>
                      <w:sz w:val="17"/>
                      <w:szCs w:val="22"/>
                    </w:rPr>
                    <w:t>2015</w:t>
                  </w:r>
                </w:p>
              </w:tc>
              <w:tc>
                <w:tcPr>
                  <w:tcW w:w="1804" w:type="dxa"/>
                  <w:tcBorders>
                    <w:top w:val="single" w:sz="8" w:space="0" w:color="FFFFFF"/>
                    <w:left w:val="single" w:sz="24" w:space="0" w:color="FFFFFF"/>
                    <w:bottom w:val="single" w:sz="24" w:space="0" w:color="FFFFFF"/>
                    <w:right w:val="single" w:sz="24" w:space="0" w:color="FFFFFF"/>
                  </w:tcBorders>
                  <w:shd w:val="clear" w:color="auto" w:fill="E8E8E6"/>
                </w:tcPr>
                <w:p w:rsidR="00FE7FEA" w:rsidRPr="00115F14" w:rsidRDefault="00FE7FEA" w:rsidP="00FE7FEA">
                  <w:pPr>
                    <w:spacing w:line="259" w:lineRule="auto"/>
                    <w:jc w:val="center"/>
                    <w:rPr>
                      <w:sz w:val="22"/>
                      <w:szCs w:val="22"/>
                    </w:rPr>
                  </w:pPr>
                  <w:r w:rsidRPr="00115F14">
                    <w:rPr>
                      <w:rFonts w:ascii="Calibri" w:eastAsia="Calibri" w:hAnsi="Calibri" w:cs="Calibri"/>
                      <w:szCs w:val="22"/>
                    </w:rPr>
                    <w:t>15</w:t>
                  </w:r>
                </w:p>
              </w:tc>
              <w:tc>
                <w:tcPr>
                  <w:tcW w:w="1804" w:type="dxa"/>
                  <w:tcBorders>
                    <w:top w:val="single" w:sz="8" w:space="0" w:color="FFFFFF"/>
                    <w:left w:val="single" w:sz="24" w:space="0" w:color="FFFFFF"/>
                    <w:bottom w:val="single" w:sz="24" w:space="0" w:color="FFFFFF"/>
                    <w:right w:val="single" w:sz="24" w:space="0" w:color="FFFFFF"/>
                  </w:tcBorders>
                  <w:shd w:val="clear" w:color="auto" w:fill="E8E8E6"/>
                </w:tcPr>
                <w:p w:rsidR="00FE7FEA" w:rsidRPr="00115F14" w:rsidRDefault="00FE7FEA" w:rsidP="00FE7FEA">
                  <w:pPr>
                    <w:spacing w:line="259" w:lineRule="auto"/>
                    <w:jc w:val="center"/>
                    <w:rPr>
                      <w:sz w:val="22"/>
                      <w:szCs w:val="22"/>
                    </w:rPr>
                  </w:pPr>
                  <w:r w:rsidRPr="00115F14">
                    <w:rPr>
                      <w:rFonts w:ascii="Calibri" w:eastAsia="Calibri" w:hAnsi="Calibri" w:cs="Calibri"/>
                      <w:szCs w:val="22"/>
                    </w:rPr>
                    <w:t>19</w:t>
                  </w:r>
                </w:p>
              </w:tc>
              <w:tc>
                <w:tcPr>
                  <w:tcW w:w="2039" w:type="dxa"/>
                  <w:tcBorders>
                    <w:top w:val="single" w:sz="8" w:space="0" w:color="FFFFFF"/>
                    <w:left w:val="single" w:sz="24" w:space="0" w:color="FFFFFF"/>
                    <w:bottom w:val="single" w:sz="24" w:space="0" w:color="FFFFFF"/>
                    <w:right w:val="nil"/>
                  </w:tcBorders>
                  <w:shd w:val="clear" w:color="auto" w:fill="E8E8E6"/>
                </w:tcPr>
                <w:p w:rsidR="00FE7FEA" w:rsidRPr="00115F14" w:rsidRDefault="00FE7FEA" w:rsidP="00FE7FEA">
                  <w:pPr>
                    <w:spacing w:line="259" w:lineRule="auto"/>
                    <w:jc w:val="center"/>
                    <w:rPr>
                      <w:sz w:val="22"/>
                      <w:szCs w:val="22"/>
                    </w:rPr>
                  </w:pPr>
                  <w:r w:rsidRPr="00115F14">
                    <w:rPr>
                      <w:rFonts w:ascii="Calibri" w:eastAsia="Calibri" w:hAnsi="Calibri" w:cs="Calibri"/>
                      <w:szCs w:val="22"/>
                    </w:rPr>
                    <w:t>20</w:t>
                  </w:r>
                </w:p>
              </w:tc>
            </w:tr>
            <w:tr w:rsidR="00FE7FEA" w:rsidRPr="00115F14" w:rsidTr="00FE7FEA">
              <w:trPr>
                <w:trHeight w:val="249"/>
              </w:trPr>
              <w:tc>
                <w:tcPr>
                  <w:tcW w:w="2566" w:type="dxa"/>
                  <w:vMerge w:val="restart"/>
                  <w:tcBorders>
                    <w:top w:val="single" w:sz="24" w:space="0" w:color="FFFFFF"/>
                    <w:left w:val="nil"/>
                    <w:bottom w:val="single" w:sz="24" w:space="0" w:color="FFFFFF"/>
                    <w:right w:val="nil"/>
                  </w:tcBorders>
                  <w:shd w:val="clear" w:color="auto" w:fill="DFDEDC"/>
                  <w:vAlign w:val="center"/>
                </w:tcPr>
                <w:p w:rsidR="00FE7FEA" w:rsidRPr="00115F14" w:rsidRDefault="00FE7FEA" w:rsidP="00FE7FEA">
                  <w:pPr>
                    <w:spacing w:line="259" w:lineRule="auto"/>
                    <w:jc w:val="center"/>
                    <w:rPr>
                      <w:sz w:val="22"/>
                      <w:szCs w:val="22"/>
                    </w:rPr>
                  </w:pPr>
                  <w:r w:rsidRPr="00115F14">
                    <w:rPr>
                      <w:rFonts w:ascii="Calibri" w:eastAsia="Calibri" w:hAnsi="Calibri" w:cs="Calibri"/>
                      <w:b/>
                      <w:szCs w:val="22"/>
                    </w:rPr>
                    <w:t>Skupne preiskovalne skupine</w:t>
                  </w:r>
                </w:p>
                <w:p w:rsidR="00FE7FEA" w:rsidRPr="00115F14" w:rsidRDefault="00FE7FEA" w:rsidP="00FE7FEA">
                  <w:pPr>
                    <w:spacing w:line="259" w:lineRule="auto"/>
                    <w:ind w:firstLine="120"/>
                    <w:jc w:val="center"/>
                    <w:rPr>
                      <w:sz w:val="22"/>
                      <w:szCs w:val="22"/>
                    </w:rPr>
                  </w:pPr>
                  <w:r w:rsidRPr="00115F14">
                    <w:rPr>
                      <w:rFonts w:ascii="Calibri" w:eastAsia="Calibri" w:hAnsi="Calibri" w:cs="Calibri"/>
                      <w:sz w:val="16"/>
                      <w:szCs w:val="22"/>
                    </w:rPr>
                    <w:t>(vsota novoustanovljenih skupnih preiskovalnih skupin in skupnih preiskovalnih skupin iz prejšnjih let)</w:t>
                  </w:r>
                </w:p>
              </w:tc>
              <w:tc>
                <w:tcPr>
                  <w:tcW w:w="421" w:type="dxa"/>
                  <w:tcBorders>
                    <w:top w:val="single" w:sz="24" w:space="0" w:color="FFFFFF"/>
                    <w:left w:val="nil"/>
                    <w:bottom w:val="single" w:sz="8" w:space="0" w:color="FFFFFF"/>
                    <w:right w:val="single" w:sz="24" w:space="0" w:color="FFFFFF"/>
                  </w:tcBorders>
                  <w:shd w:val="clear" w:color="auto" w:fill="DFDEDC"/>
                </w:tcPr>
                <w:p w:rsidR="00FE7FEA" w:rsidRPr="00115F14" w:rsidRDefault="00FE7FEA" w:rsidP="00FE7FEA">
                  <w:pPr>
                    <w:spacing w:line="259" w:lineRule="auto"/>
                    <w:rPr>
                      <w:sz w:val="22"/>
                      <w:szCs w:val="22"/>
                    </w:rPr>
                  </w:pPr>
                  <w:r w:rsidRPr="00115F14">
                    <w:rPr>
                      <w:rFonts w:ascii="Calibri" w:eastAsia="Calibri" w:hAnsi="Calibri" w:cs="Calibri"/>
                      <w:i/>
                      <w:sz w:val="17"/>
                      <w:szCs w:val="22"/>
                    </w:rPr>
                    <w:t>2018</w:t>
                  </w:r>
                </w:p>
              </w:tc>
              <w:tc>
                <w:tcPr>
                  <w:tcW w:w="1804" w:type="dxa"/>
                  <w:tcBorders>
                    <w:top w:val="single" w:sz="24" w:space="0" w:color="FFFFFF"/>
                    <w:left w:val="single" w:sz="24" w:space="0" w:color="FFFFFF"/>
                    <w:bottom w:val="single" w:sz="8" w:space="0" w:color="FFFFFF"/>
                    <w:right w:val="single" w:sz="24" w:space="0" w:color="FFFFFF"/>
                  </w:tcBorders>
                  <w:shd w:val="clear" w:color="auto" w:fill="DFDEDC"/>
                </w:tcPr>
                <w:p w:rsidR="00FE7FEA" w:rsidRPr="00115F14" w:rsidRDefault="00FE7FEA" w:rsidP="00FE7FEA">
                  <w:pPr>
                    <w:spacing w:line="259" w:lineRule="auto"/>
                    <w:jc w:val="center"/>
                    <w:rPr>
                      <w:sz w:val="22"/>
                      <w:szCs w:val="22"/>
                    </w:rPr>
                  </w:pPr>
                  <w:r w:rsidRPr="00115F14">
                    <w:rPr>
                      <w:rFonts w:ascii="Calibri" w:eastAsia="Calibri" w:hAnsi="Calibri" w:cs="Calibri"/>
                      <w:b/>
                      <w:szCs w:val="22"/>
                    </w:rPr>
                    <w:t>11</w:t>
                  </w:r>
                </w:p>
              </w:tc>
              <w:tc>
                <w:tcPr>
                  <w:tcW w:w="1804" w:type="dxa"/>
                  <w:tcBorders>
                    <w:top w:val="single" w:sz="24" w:space="0" w:color="FFFFFF"/>
                    <w:left w:val="single" w:sz="24" w:space="0" w:color="FFFFFF"/>
                    <w:bottom w:val="single" w:sz="8" w:space="0" w:color="FFFFFF"/>
                    <w:right w:val="single" w:sz="24" w:space="0" w:color="FFFFFF"/>
                  </w:tcBorders>
                  <w:shd w:val="clear" w:color="auto" w:fill="DFDEDC"/>
                </w:tcPr>
                <w:p w:rsidR="00FE7FEA" w:rsidRPr="00115F14" w:rsidRDefault="00FE7FEA" w:rsidP="00FE7FEA">
                  <w:pPr>
                    <w:spacing w:line="259" w:lineRule="auto"/>
                    <w:jc w:val="center"/>
                    <w:rPr>
                      <w:sz w:val="22"/>
                      <w:szCs w:val="22"/>
                    </w:rPr>
                  </w:pPr>
                  <w:r w:rsidRPr="00115F14">
                    <w:rPr>
                      <w:rFonts w:ascii="Calibri" w:eastAsia="Calibri" w:hAnsi="Calibri" w:cs="Calibri"/>
                      <w:b/>
                      <w:szCs w:val="22"/>
                    </w:rPr>
                    <w:t>9</w:t>
                  </w:r>
                </w:p>
              </w:tc>
              <w:tc>
                <w:tcPr>
                  <w:tcW w:w="2039" w:type="dxa"/>
                  <w:tcBorders>
                    <w:top w:val="single" w:sz="24" w:space="0" w:color="FFFFFF"/>
                    <w:left w:val="single" w:sz="24" w:space="0" w:color="FFFFFF"/>
                    <w:bottom w:val="single" w:sz="8" w:space="0" w:color="FFFFFF"/>
                    <w:right w:val="nil"/>
                  </w:tcBorders>
                  <w:shd w:val="clear" w:color="auto" w:fill="DFDEDC"/>
                </w:tcPr>
                <w:p w:rsidR="00FE7FEA" w:rsidRPr="00115F14" w:rsidRDefault="00FE7FEA" w:rsidP="00FE7FEA">
                  <w:pPr>
                    <w:spacing w:line="259" w:lineRule="auto"/>
                    <w:jc w:val="center"/>
                    <w:rPr>
                      <w:sz w:val="22"/>
                      <w:szCs w:val="22"/>
                    </w:rPr>
                  </w:pPr>
                  <w:r w:rsidRPr="00115F14">
                    <w:rPr>
                      <w:rFonts w:ascii="Calibri" w:eastAsia="Calibri" w:hAnsi="Calibri" w:cs="Calibri"/>
                      <w:b/>
                      <w:szCs w:val="22"/>
                    </w:rPr>
                    <w:t>12</w:t>
                  </w:r>
                </w:p>
              </w:tc>
            </w:tr>
            <w:tr w:rsidR="00FE7FEA" w:rsidRPr="00115F14" w:rsidTr="00FE7FEA">
              <w:trPr>
                <w:trHeight w:val="249"/>
              </w:trPr>
              <w:tc>
                <w:tcPr>
                  <w:tcW w:w="0" w:type="auto"/>
                  <w:vMerge/>
                  <w:tcBorders>
                    <w:top w:val="nil"/>
                    <w:left w:val="nil"/>
                    <w:bottom w:val="nil"/>
                    <w:right w:val="nil"/>
                  </w:tcBorders>
                  <w:shd w:val="clear" w:color="auto" w:fill="auto"/>
                </w:tcPr>
                <w:p w:rsidR="00FE7FEA" w:rsidRPr="00115F14" w:rsidRDefault="00FE7FEA" w:rsidP="00FE7FEA">
                  <w:pPr>
                    <w:spacing w:after="160" w:line="259" w:lineRule="auto"/>
                    <w:rPr>
                      <w:sz w:val="22"/>
                      <w:szCs w:val="22"/>
                    </w:rPr>
                  </w:pPr>
                </w:p>
              </w:tc>
              <w:tc>
                <w:tcPr>
                  <w:tcW w:w="421" w:type="dxa"/>
                  <w:tcBorders>
                    <w:top w:val="single" w:sz="8" w:space="0" w:color="FFFFFF"/>
                    <w:left w:val="nil"/>
                    <w:bottom w:val="single" w:sz="8" w:space="0" w:color="FFFFFF"/>
                    <w:right w:val="single" w:sz="24" w:space="0" w:color="FFFFFF"/>
                  </w:tcBorders>
                  <w:shd w:val="clear" w:color="auto" w:fill="DFDEDC"/>
                </w:tcPr>
                <w:p w:rsidR="00FE7FEA" w:rsidRPr="00115F14" w:rsidRDefault="00FE7FEA" w:rsidP="00FE7FEA">
                  <w:pPr>
                    <w:spacing w:line="259" w:lineRule="auto"/>
                    <w:rPr>
                      <w:sz w:val="22"/>
                      <w:szCs w:val="22"/>
                    </w:rPr>
                  </w:pPr>
                  <w:r w:rsidRPr="00115F14">
                    <w:rPr>
                      <w:rFonts w:ascii="Calibri" w:eastAsia="Calibri" w:hAnsi="Calibri" w:cs="Calibri"/>
                      <w:i/>
                      <w:sz w:val="17"/>
                      <w:szCs w:val="22"/>
                    </w:rPr>
                    <w:t>2017</w:t>
                  </w:r>
                </w:p>
              </w:tc>
              <w:tc>
                <w:tcPr>
                  <w:tcW w:w="1804" w:type="dxa"/>
                  <w:tcBorders>
                    <w:top w:val="single" w:sz="8" w:space="0" w:color="FFFFFF"/>
                    <w:left w:val="single" w:sz="24" w:space="0" w:color="FFFFFF"/>
                    <w:bottom w:val="single" w:sz="8" w:space="0" w:color="FFFFFF"/>
                    <w:right w:val="single" w:sz="24" w:space="0" w:color="FFFFFF"/>
                  </w:tcBorders>
                  <w:shd w:val="clear" w:color="auto" w:fill="DFDEDC"/>
                </w:tcPr>
                <w:p w:rsidR="00FE7FEA" w:rsidRPr="00115F14" w:rsidRDefault="00FE7FEA" w:rsidP="00FE7FEA">
                  <w:pPr>
                    <w:spacing w:line="259" w:lineRule="auto"/>
                    <w:jc w:val="center"/>
                    <w:rPr>
                      <w:sz w:val="22"/>
                      <w:szCs w:val="22"/>
                    </w:rPr>
                  </w:pPr>
                  <w:r w:rsidRPr="00115F14">
                    <w:rPr>
                      <w:rFonts w:ascii="Calibri" w:eastAsia="Calibri" w:hAnsi="Calibri" w:cs="Calibri"/>
                      <w:szCs w:val="22"/>
                    </w:rPr>
                    <w:t>12</w:t>
                  </w:r>
                </w:p>
              </w:tc>
              <w:tc>
                <w:tcPr>
                  <w:tcW w:w="1804" w:type="dxa"/>
                  <w:tcBorders>
                    <w:top w:val="single" w:sz="8" w:space="0" w:color="FFFFFF"/>
                    <w:left w:val="single" w:sz="24" w:space="0" w:color="FFFFFF"/>
                    <w:bottom w:val="single" w:sz="8" w:space="0" w:color="FFFFFF"/>
                    <w:right w:val="single" w:sz="24" w:space="0" w:color="FFFFFF"/>
                  </w:tcBorders>
                  <w:shd w:val="clear" w:color="auto" w:fill="DFDEDC"/>
                </w:tcPr>
                <w:p w:rsidR="00FE7FEA" w:rsidRPr="00115F14" w:rsidRDefault="00FE7FEA" w:rsidP="00FE7FEA">
                  <w:pPr>
                    <w:spacing w:line="259" w:lineRule="auto"/>
                    <w:jc w:val="center"/>
                    <w:rPr>
                      <w:sz w:val="22"/>
                      <w:szCs w:val="22"/>
                    </w:rPr>
                  </w:pPr>
                  <w:r w:rsidRPr="00115F14">
                    <w:rPr>
                      <w:rFonts w:ascii="Calibri" w:eastAsia="Calibri" w:hAnsi="Calibri" w:cs="Calibri"/>
                      <w:szCs w:val="22"/>
                    </w:rPr>
                    <w:t>7</w:t>
                  </w:r>
                </w:p>
              </w:tc>
              <w:tc>
                <w:tcPr>
                  <w:tcW w:w="2039" w:type="dxa"/>
                  <w:tcBorders>
                    <w:top w:val="single" w:sz="8" w:space="0" w:color="FFFFFF"/>
                    <w:left w:val="single" w:sz="24" w:space="0" w:color="FFFFFF"/>
                    <w:bottom w:val="single" w:sz="8" w:space="0" w:color="FFFFFF"/>
                    <w:right w:val="nil"/>
                  </w:tcBorders>
                  <w:shd w:val="clear" w:color="auto" w:fill="DFDEDC"/>
                </w:tcPr>
                <w:p w:rsidR="00FE7FEA" w:rsidRPr="00115F14" w:rsidRDefault="00FE7FEA" w:rsidP="00FE7FEA">
                  <w:pPr>
                    <w:spacing w:line="259" w:lineRule="auto"/>
                    <w:jc w:val="center"/>
                    <w:rPr>
                      <w:sz w:val="22"/>
                      <w:szCs w:val="22"/>
                    </w:rPr>
                  </w:pPr>
                  <w:r w:rsidRPr="00115F14">
                    <w:rPr>
                      <w:rFonts w:ascii="Calibri" w:eastAsia="Calibri" w:hAnsi="Calibri" w:cs="Calibri"/>
                      <w:szCs w:val="22"/>
                    </w:rPr>
                    <w:t>14</w:t>
                  </w:r>
                </w:p>
              </w:tc>
            </w:tr>
            <w:tr w:rsidR="00FE7FEA" w:rsidRPr="00115F14" w:rsidTr="00FE7FEA">
              <w:trPr>
                <w:trHeight w:val="249"/>
              </w:trPr>
              <w:tc>
                <w:tcPr>
                  <w:tcW w:w="0" w:type="auto"/>
                  <w:vMerge/>
                  <w:tcBorders>
                    <w:top w:val="nil"/>
                    <w:left w:val="nil"/>
                    <w:bottom w:val="nil"/>
                    <w:right w:val="nil"/>
                  </w:tcBorders>
                  <w:shd w:val="clear" w:color="auto" w:fill="auto"/>
                </w:tcPr>
                <w:p w:rsidR="00FE7FEA" w:rsidRPr="00115F14" w:rsidRDefault="00FE7FEA" w:rsidP="00FE7FEA">
                  <w:pPr>
                    <w:spacing w:after="160" w:line="259" w:lineRule="auto"/>
                    <w:rPr>
                      <w:sz w:val="22"/>
                      <w:szCs w:val="22"/>
                    </w:rPr>
                  </w:pPr>
                </w:p>
              </w:tc>
              <w:tc>
                <w:tcPr>
                  <w:tcW w:w="421" w:type="dxa"/>
                  <w:tcBorders>
                    <w:top w:val="single" w:sz="8" w:space="0" w:color="FFFFFF"/>
                    <w:left w:val="nil"/>
                    <w:bottom w:val="single" w:sz="8" w:space="0" w:color="FFFFFF"/>
                    <w:right w:val="single" w:sz="24" w:space="0" w:color="FFFFFF"/>
                  </w:tcBorders>
                  <w:shd w:val="clear" w:color="auto" w:fill="DFDEDC"/>
                </w:tcPr>
                <w:p w:rsidR="00FE7FEA" w:rsidRPr="00115F14" w:rsidRDefault="00FE7FEA" w:rsidP="00FE7FEA">
                  <w:pPr>
                    <w:spacing w:line="259" w:lineRule="auto"/>
                    <w:rPr>
                      <w:sz w:val="22"/>
                      <w:szCs w:val="22"/>
                    </w:rPr>
                  </w:pPr>
                  <w:r w:rsidRPr="00115F14">
                    <w:rPr>
                      <w:rFonts w:ascii="Calibri" w:eastAsia="Calibri" w:hAnsi="Calibri" w:cs="Calibri"/>
                      <w:i/>
                      <w:sz w:val="17"/>
                      <w:szCs w:val="22"/>
                    </w:rPr>
                    <w:t>2016</w:t>
                  </w:r>
                </w:p>
              </w:tc>
              <w:tc>
                <w:tcPr>
                  <w:tcW w:w="1804" w:type="dxa"/>
                  <w:tcBorders>
                    <w:top w:val="single" w:sz="8" w:space="0" w:color="FFFFFF"/>
                    <w:left w:val="single" w:sz="24" w:space="0" w:color="FFFFFF"/>
                    <w:bottom w:val="single" w:sz="8" w:space="0" w:color="FFFFFF"/>
                    <w:right w:val="single" w:sz="24" w:space="0" w:color="FFFFFF"/>
                  </w:tcBorders>
                  <w:shd w:val="clear" w:color="auto" w:fill="DFDEDC"/>
                </w:tcPr>
                <w:p w:rsidR="00FE7FEA" w:rsidRPr="00115F14" w:rsidRDefault="00FE7FEA" w:rsidP="00FE7FEA">
                  <w:pPr>
                    <w:spacing w:line="259" w:lineRule="auto"/>
                    <w:jc w:val="center"/>
                    <w:rPr>
                      <w:sz w:val="22"/>
                      <w:szCs w:val="22"/>
                    </w:rPr>
                  </w:pPr>
                  <w:r w:rsidRPr="00115F14">
                    <w:rPr>
                      <w:rFonts w:ascii="Calibri" w:eastAsia="Calibri" w:hAnsi="Calibri" w:cs="Calibri"/>
                      <w:szCs w:val="22"/>
                    </w:rPr>
                    <w:t>6</w:t>
                  </w:r>
                </w:p>
              </w:tc>
              <w:tc>
                <w:tcPr>
                  <w:tcW w:w="1804" w:type="dxa"/>
                  <w:tcBorders>
                    <w:top w:val="single" w:sz="8" w:space="0" w:color="FFFFFF"/>
                    <w:left w:val="single" w:sz="24" w:space="0" w:color="FFFFFF"/>
                    <w:bottom w:val="single" w:sz="8" w:space="0" w:color="FFFFFF"/>
                    <w:right w:val="single" w:sz="24" w:space="0" w:color="FFFFFF"/>
                  </w:tcBorders>
                  <w:shd w:val="clear" w:color="auto" w:fill="DFDEDC"/>
                </w:tcPr>
                <w:p w:rsidR="00FE7FEA" w:rsidRPr="00115F14" w:rsidRDefault="00FE7FEA" w:rsidP="00FE7FEA">
                  <w:pPr>
                    <w:spacing w:line="259" w:lineRule="auto"/>
                    <w:jc w:val="center"/>
                    <w:rPr>
                      <w:sz w:val="22"/>
                      <w:szCs w:val="22"/>
                    </w:rPr>
                  </w:pPr>
                  <w:r w:rsidRPr="00115F14">
                    <w:rPr>
                      <w:rFonts w:ascii="Calibri" w:eastAsia="Calibri" w:hAnsi="Calibri" w:cs="Calibri"/>
                      <w:szCs w:val="22"/>
                    </w:rPr>
                    <w:t>8</w:t>
                  </w:r>
                </w:p>
              </w:tc>
              <w:tc>
                <w:tcPr>
                  <w:tcW w:w="2039" w:type="dxa"/>
                  <w:tcBorders>
                    <w:top w:val="single" w:sz="8" w:space="0" w:color="FFFFFF"/>
                    <w:left w:val="single" w:sz="24" w:space="0" w:color="FFFFFF"/>
                    <w:bottom w:val="single" w:sz="8" w:space="0" w:color="FFFFFF"/>
                    <w:right w:val="nil"/>
                  </w:tcBorders>
                  <w:shd w:val="clear" w:color="auto" w:fill="DFDEDC"/>
                </w:tcPr>
                <w:p w:rsidR="00FE7FEA" w:rsidRPr="00115F14" w:rsidRDefault="00FE7FEA" w:rsidP="00FE7FEA">
                  <w:pPr>
                    <w:spacing w:line="259" w:lineRule="auto"/>
                    <w:jc w:val="center"/>
                    <w:rPr>
                      <w:sz w:val="22"/>
                      <w:szCs w:val="22"/>
                    </w:rPr>
                  </w:pPr>
                  <w:r w:rsidRPr="00115F14">
                    <w:rPr>
                      <w:rFonts w:ascii="Calibri" w:eastAsia="Calibri" w:hAnsi="Calibri" w:cs="Calibri"/>
                      <w:szCs w:val="22"/>
                    </w:rPr>
                    <w:t>11</w:t>
                  </w:r>
                </w:p>
              </w:tc>
            </w:tr>
            <w:tr w:rsidR="00FE7FEA" w:rsidRPr="00115F14" w:rsidTr="00FE7FEA">
              <w:trPr>
                <w:trHeight w:val="249"/>
              </w:trPr>
              <w:tc>
                <w:tcPr>
                  <w:tcW w:w="0" w:type="auto"/>
                  <w:vMerge/>
                  <w:tcBorders>
                    <w:top w:val="nil"/>
                    <w:left w:val="nil"/>
                    <w:bottom w:val="single" w:sz="24" w:space="0" w:color="FFFFFF"/>
                    <w:right w:val="nil"/>
                  </w:tcBorders>
                  <w:shd w:val="clear" w:color="auto" w:fill="auto"/>
                </w:tcPr>
                <w:p w:rsidR="00FE7FEA" w:rsidRPr="00115F14" w:rsidRDefault="00FE7FEA" w:rsidP="00FE7FEA">
                  <w:pPr>
                    <w:spacing w:after="160" w:line="259" w:lineRule="auto"/>
                    <w:rPr>
                      <w:sz w:val="22"/>
                      <w:szCs w:val="22"/>
                    </w:rPr>
                  </w:pPr>
                </w:p>
              </w:tc>
              <w:tc>
                <w:tcPr>
                  <w:tcW w:w="421" w:type="dxa"/>
                  <w:tcBorders>
                    <w:top w:val="single" w:sz="8" w:space="0" w:color="FFFFFF"/>
                    <w:left w:val="nil"/>
                    <w:bottom w:val="single" w:sz="24" w:space="0" w:color="FFFFFF"/>
                    <w:right w:val="single" w:sz="24" w:space="0" w:color="FFFFFF"/>
                  </w:tcBorders>
                  <w:shd w:val="clear" w:color="auto" w:fill="DFDEDC"/>
                </w:tcPr>
                <w:p w:rsidR="00FE7FEA" w:rsidRPr="00115F14" w:rsidRDefault="00FE7FEA" w:rsidP="00FE7FEA">
                  <w:pPr>
                    <w:spacing w:line="259" w:lineRule="auto"/>
                    <w:rPr>
                      <w:sz w:val="22"/>
                      <w:szCs w:val="22"/>
                    </w:rPr>
                  </w:pPr>
                  <w:r w:rsidRPr="00115F14">
                    <w:rPr>
                      <w:rFonts w:ascii="Calibri" w:eastAsia="Calibri" w:hAnsi="Calibri" w:cs="Calibri"/>
                      <w:i/>
                      <w:sz w:val="17"/>
                      <w:szCs w:val="22"/>
                    </w:rPr>
                    <w:t>2015</w:t>
                  </w:r>
                </w:p>
              </w:tc>
              <w:tc>
                <w:tcPr>
                  <w:tcW w:w="1804" w:type="dxa"/>
                  <w:tcBorders>
                    <w:top w:val="single" w:sz="8" w:space="0" w:color="FFFFFF"/>
                    <w:left w:val="single" w:sz="24" w:space="0" w:color="FFFFFF"/>
                    <w:bottom w:val="single" w:sz="24" w:space="0" w:color="FFFFFF"/>
                    <w:right w:val="single" w:sz="24" w:space="0" w:color="FFFFFF"/>
                  </w:tcBorders>
                  <w:shd w:val="clear" w:color="auto" w:fill="DFDEDC"/>
                </w:tcPr>
                <w:p w:rsidR="00FE7FEA" w:rsidRPr="00115F14" w:rsidRDefault="00FE7FEA" w:rsidP="00FE7FEA">
                  <w:pPr>
                    <w:spacing w:line="259" w:lineRule="auto"/>
                    <w:jc w:val="center"/>
                    <w:rPr>
                      <w:sz w:val="22"/>
                      <w:szCs w:val="22"/>
                    </w:rPr>
                  </w:pPr>
                  <w:r w:rsidRPr="00115F14">
                    <w:rPr>
                      <w:rFonts w:ascii="Calibri" w:eastAsia="Calibri" w:hAnsi="Calibri" w:cs="Calibri"/>
                      <w:szCs w:val="22"/>
                    </w:rPr>
                    <w:t>5</w:t>
                  </w:r>
                </w:p>
              </w:tc>
              <w:tc>
                <w:tcPr>
                  <w:tcW w:w="1804" w:type="dxa"/>
                  <w:tcBorders>
                    <w:top w:val="single" w:sz="8" w:space="0" w:color="FFFFFF"/>
                    <w:left w:val="single" w:sz="24" w:space="0" w:color="FFFFFF"/>
                    <w:bottom w:val="single" w:sz="24" w:space="0" w:color="FFFFFF"/>
                    <w:right w:val="single" w:sz="24" w:space="0" w:color="FFFFFF"/>
                  </w:tcBorders>
                  <w:shd w:val="clear" w:color="auto" w:fill="DFDEDC"/>
                </w:tcPr>
                <w:p w:rsidR="00FE7FEA" w:rsidRPr="00115F14" w:rsidRDefault="00FE7FEA" w:rsidP="00FE7FEA">
                  <w:pPr>
                    <w:spacing w:line="259" w:lineRule="auto"/>
                    <w:jc w:val="center"/>
                    <w:rPr>
                      <w:sz w:val="22"/>
                      <w:szCs w:val="22"/>
                    </w:rPr>
                  </w:pPr>
                  <w:r w:rsidRPr="00115F14">
                    <w:rPr>
                      <w:rFonts w:ascii="Calibri" w:eastAsia="Calibri" w:hAnsi="Calibri" w:cs="Calibri"/>
                      <w:szCs w:val="22"/>
                    </w:rPr>
                    <w:t>10</w:t>
                  </w:r>
                </w:p>
              </w:tc>
              <w:tc>
                <w:tcPr>
                  <w:tcW w:w="2039" w:type="dxa"/>
                  <w:tcBorders>
                    <w:top w:val="single" w:sz="8" w:space="0" w:color="FFFFFF"/>
                    <w:left w:val="single" w:sz="24" w:space="0" w:color="FFFFFF"/>
                    <w:bottom w:val="single" w:sz="24" w:space="0" w:color="FFFFFF"/>
                    <w:right w:val="nil"/>
                  </w:tcBorders>
                  <w:shd w:val="clear" w:color="auto" w:fill="DFDEDC"/>
                </w:tcPr>
                <w:p w:rsidR="00FE7FEA" w:rsidRPr="00115F14" w:rsidRDefault="00FE7FEA" w:rsidP="00FE7FEA">
                  <w:pPr>
                    <w:spacing w:line="259" w:lineRule="auto"/>
                    <w:jc w:val="center"/>
                    <w:rPr>
                      <w:sz w:val="22"/>
                      <w:szCs w:val="22"/>
                    </w:rPr>
                  </w:pPr>
                  <w:r w:rsidRPr="00115F14">
                    <w:rPr>
                      <w:rFonts w:ascii="Calibri" w:eastAsia="Calibri" w:hAnsi="Calibri" w:cs="Calibri"/>
                      <w:szCs w:val="22"/>
                    </w:rPr>
                    <w:t>10</w:t>
                  </w:r>
                </w:p>
              </w:tc>
            </w:tr>
            <w:tr w:rsidR="00FE7FEA" w:rsidRPr="00115F14" w:rsidTr="00FE7FEA">
              <w:trPr>
                <w:trHeight w:val="249"/>
              </w:trPr>
              <w:tc>
                <w:tcPr>
                  <w:tcW w:w="2987" w:type="dxa"/>
                  <w:gridSpan w:val="2"/>
                  <w:tcBorders>
                    <w:top w:val="single" w:sz="24" w:space="0" w:color="FFFFFF"/>
                    <w:left w:val="nil"/>
                    <w:bottom w:val="nil"/>
                    <w:right w:val="single" w:sz="24" w:space="0" w:color="FFFFFF"/>
                  </w:tcBorders>
                  <w:shd w:val="clear" w:color="auto" w:fill="D6D5D2"/>
                </w:tcPr>
                <w:p w:rsidR="00FE7FEA" w:rsidRPr="00115F14" w:rsidRDefault="00FE7FEA" w:rsidP="00FE7FEA">
                  <w:pPr>
                    <w:spacing w:line="259" w:lineRule="auto"/>
                    <w:ind w:right="47"/>
                    <w:jc w:val="right"/>
                    <w:rPr>
                      <w:sz w:val="22"/>
                      <w:szCs w:val="22"/>
                    </w:rPr>
                  </w:pPr>
                  <w:r>
                    <w:rPr>
                      <w:rFonts w:ascii="Calibri" w:eastAsia="Calibri" w:hAnsi="Calibri" w:cs="Calibri"/>
                      <w:b/>
                      <w:szCs w:val="22"/>
                    </w:rPr>
                    <w:t xml:space="preserve">          </w:t>
                  </w:r>
                  <w:r w:rsidRPr="00115F14">
                    <w:rPr>
                      <w:rFonts w:ascii="Calibri" w:eastAsia="Calibri" w:hAnsi="Calibri" w:cs="Calibri"/>
                      <w:b/>
                      <w:szCs w:val="22"/>
                    </w:rPr>
                    <w:t>Koordinacijski centri</w:t>
                  </w:r>
                  <w:r>
                    <w:rPr>
                      <w:rFonts w:ascii="Calibri" w:eastAsia="Calibri" w:hAnsi="Calibri" w:cs="Calibri"/>
                      <w:b/>
                      <w:szCs w:val="22"/>
                    </w:rPr>
                    <w:t xml:space="preserve">        </w:t>
                  </w:r>
                  <w:r w:rsidRPr="00115F14">
                    <w:rPr>
                      <w:rFonts w:ascii="Calibri" w:eastAsia="Calibri" w:hAnsi="Calibri" w:cs="Calibri"/>
                      <w:i/>
                      <w:sz w:val="17"/>
                      <w:szCs w:val="22"/>
                    </w:rPr>
                    <w:t>2018</w:t>
                  </w:r>
                </w:p>
              </w:tc>
              <w:tc>
                <w:tcPr>
                  <w:tcW w:w="1804" w:type="dxa"/>
                  <w:tcBorders>
                    <w:top w:val="single" w:sz="24" w:space="0" w:color="FFFFFF"/>
                    <w:left w:val="single" w:sz="24" w:space="0" w:color="FFFFFF"/>
                    <w:bottom w:val="single" w:sz="8" w:space="0" w:color="FFFFFF"/>
                    <w:right w:val="single" w:sz="24" w:space="0" w:color="FFFFFF"/>
                  </w:tcBorders>
                  <w:shd w:val="clear" w:color="auto" w:fill="D6D5D2"/>
                </w:tcPr>
                <w:p w:rsidR="00FE7FEA" w:rsidRPr="00115F14" w:rsidRDefault="00FE7FEA" w:rsidP="00FE7FEA">
                  <w:pPr>
                    <w:spacing w:line="259" w:lineRule="auto"/>
                    <w:jc w:val="center"/>
                    <w:rPr>
                      <w:sz w:val="22"/>
                      <w:szCs w:val="22"/>
                    </w:rPr>
                  </w:pPr>
                  <w:r w:rsidRPr="00115F14">
                    <w:rPr>
                      <w:rFonts w:ascii="Calibri" w:eastAsia="Calibri" w:hAnsi="Calibri" w:cs="Calibri"/>
                      <w:b/>
                      <w:szCs w:val="22"/>
                    </w:rPr>
                    <w:t>1</w:t>
                  </w:r>
                </w:p>
              </w:tc>
              <w:tc>
                <w:tcPr>
                  <w:tcW w:w="1804" w:type="dxa"/>
                  <w:tcBorders>
                    <w:top w:val="single" w:sz="24" w:space="0" w:color="FFFFFF"/>
                    <w:left w:val="single" w:sz="24" w:space="0" w:color="FFFFFF"/>
                    <w:bottom w:val="single" w:sz="8" w:space="0" w:color="FFFFFF"/>
                    <w:right w:val="single" w:sz="24" w:space="0" w:color="FFFFFF"/>
                  </w:tcBorders>
                  <w:shd w:val="clear" w:color="auto" w:fill="D6D5D2"/>
                </w:tcPr>
                <w:p w:rsidR="00FE7FEA" w:rsidRPr="00115F14" w:rsidRDefault="00FE7FEA" w:rsidP="00FE7FEA">
                  <w:pPr>
                    <w:spacing w:line="259" w:lineRule="auto"/>
                    <w:jc w:val="center"/>
                    <w:rPr>
                      <w:sz w:val="22"/>
                      <w:szCs w:val="22"/>
                    </w:rPr>
                  </w:pPr>
                  <w:r w:rsidRPr="00115F14">
                    <w:rPr>
                      <w:rFonts w:ascii="Calibri" w:eastAsia="Calibri" w:hAnsi="Calibri" w:cs="Calibri"/>
                      <w:b/>
                      <w:szCs w:val="22"/>
                    </w:rPr>
                    <w:t>2</w:t>
                  </w:r>
                </w:p>
              </w:tc>
              <w:tc>
                <w:tcPr>
                  <w:tcW w:w="2039" w:type="dxa"/>
                  <w:tcBorders>
                    <w:top w:val="single" w:sz="24" w:space="0" w:color="FFFFFF"/>
                    <w:left w:val="single" w:sz="24" w:space="0" w:color="FFFFFF"/>
                    <w:bottom w:val="single" w:sz="8" w:space="0" w:color="FFFFFF"/>
                    <w:right w:val="nil"/>
                  </w:tcBorders>
                  <w:shd w:val="clear" w:color="auto" w:fill="D6D5D2"/>
                </w:tcPr>
                <w:p w:rsidR="00FE7FEA" w:rsidRPr="00115F14" w:rsidRDefault="00FE7FEA" w:rsidP="00FE7FEA">
                  <w:pPr>
                    <w:spacing w:line="259" w:lineRule="auto"/>
                    <w:jc w:val="center"/>
                    <w:rPr>
                      <w:sz w:val="22"/>
                      <w:szCs w:val="22"/>
                    </w:rPr>
                  </w:pPr>
                  <w:r w:rsidRPr="00115F14">
                    <w:rPr>
                      <w:rFonts w:ascii="Calibri" w:eastAsia="Calibri" w:hAnsi="Calibri" w:cs="Calibri"/>
                      <w:b/>
                      <w:szCs w:val="22"/>
                    </w:rPr>
                    <w:t>3</w:t>
                  </w:r>
                </w:p>
              </w:tc>
            </w:tr>
            <w:tr w:rsidR="00FE7FEA" w:rsidRPr="00115F14" w:rsidTr="00FE7FEA">
              <w:trPr>
                <w:trHeight w:val="249"/>
              </w:trPr>
              <w:tc>
                <w:tcPr>
                  <w:tcW w:w="2987" w:type="dxa"/>
                  <w:gridSpan w:val="2"/>
                  <w:tcBorders>
                    <w:top w:val="nil"/>
                    <w:left w:val="nil"/>
                    <w:bottom w:val="nil"/>
                    <w:right w:val="single" w:sz="24" w:space="0" w:color="FFFFFF"/>
                  </w:tcBorders>
                  <w:shd w:val="clear" w:color="auto" w:fill="D6D5D2"/>
                  <w:vAlign w:val="bottom"/>
                </w:tcPr>
                <w:p w:rsidR="00FE7FEA" w:rsidRPr="00FE4991" w:rsidRDefault="00FE7FEA" w:rsidP="00FE7FEA">
                  <w:pPr>
                    <w:tabs>
                      <w:tab w:val="center" w:pos="1985"/>
                      <w:tab w:val="right" w:pos="3454"/>
                    </w:tabs>
                    <w:spacing w:line="259" w:lineRule="auto"/>
                    <w:rPr>
                      <w:rFonts w:ascii="Calibri" w:eastAsia="Calibri" w:hAnsi="Calibri" w:cs="Calibri"/>
                      <w:bCs/>
                      <w:i/>
                      <w:iCs/>
                      <w:sz w:val="17"/>
                      <w:szCs w:val="17"/>
                    </w:rPr>
                  </w:pPr>
                  <w:r>
                    <w:rPr>
                      <w:rFonts w:ascii="Calibri" w:eastAsia="Calibri" w:hAnsi="Calibri" w:cs="Calibri"/>
                      <w:b/>
                      <w:szCs w:val="22"/>
                    </w:rPr>
                    <w:t xml:space="preserve">                                                        </w:t>
                  </w:r>
                  <w:r w:rsidRPr="00FE4991">
                    <w:rPr>
                      <w:rFonts w:ascii="Calibri" w:eastAsia="Calibri" w:hAnsi="Calibri" w:cs="Calibri"/>
                      <w:bCs/>
                      <w:i/>
                      <w:iCs/>
                      <w:sz w:val="17"/>
                      <w:szCs w:val="17"/>
                    </w:rPr>
                    <w:t>2017</w:t>
                  </w:r>
                </w:p>
              </w:tc>
              <w:tc>
                <w:tcPr>
                  <w:tcW w:w="1804" w:type="dxa"/>
                  <w:tcBorders>
                    <w:top w:val="single" w:sz="8" w:space="0" w:color="FFFFFF"/>
                    <w:left w:val="single" w:sz="24" w:space="0" w:color="FFFFFF"/>
                    <w:bottom w:val="single" w:sz="8" w:space="0" w:color="FFFFFF"/>
                    <w:right w:val="single" w:sz="24" w:space="0" w:color="FFFFFF"/>
                  </w:tcBorders>
                  <w:shd w:val="clear" w:color="auto" w:fill="D6D5D2"/>
                </w:tcPr>
                <w:p w:rsidR="00FE7FEA" w:rsidRPr="00115F14" w:rsidRDefault="00FE7FEA" w:rsidP="00FE7FEA">
                  <w:pPr>
                    <w:spacing w:line="259" w:lineRule="auto"/>
                    <w:jc w:val="center"/>
                    <w:rPr>
                      <w:sz w:val="22"/>
                      <w:szCs w:val="22"/>
                    </w:rPr>
                  </w:pPr>
                  <w:r w:rsidRPr="00115F14">
                    <w:rPr>
                      <w:rFonts w:ascii="Calibri" w:eastAsia="Calibri" w:hAnsi="Calibri" w:cs="Calibri"/>
                      <w:szCs w:val="22"/>
                    </w:rPr>
                    <w:t>1</w:t>
                  </w:r>
                </w:p>
              </w:tc>
              <w:tc>
                <w:tcPr>
                  <w:tcW w:w="1804" w:type="dxa"/>
                  <w:tcBorders>
                    <w:top w:val="single" w:sz="8" w:space="0" w:color="FFFFFF"/>
                    <w:left w:val="single" w:sz="24" w:space="0" w:color="FFFFFF"/>
                    <w:bottom w:val="single" w:sz="8" w:space="0" w:color="FFFFFF"/>
                    <w:right w:val="single" w:sz="24" w:space="0" w:color="FFFFFF"/>
                  </w:tcBorders>
                  <w:shd w:val="clear" w:color="auto" w:fill="D6D5D2"/>
                </w:tcPr>
                <w:p w:rsidR="00FE7FEA" w:rsidRPr="00115F14" w:rsidRDefault="00FE7FEA" w:rsidP="00FE7FEA">
                  <w:pPr>
                    <w:spacing w:line="259" w:lineRule="auto"/>
                    <w:jc w:val="center"/>
                    <w:rPr>
                      <w:sz w:val="22"/>
                      <w:szCs w:val="22"/>
                    </w:rPr>
                  </w:pPr>
                  <w:r w:rsidRPr="00115F14">
                    <w:rPr>
                      <w:rFonts w:ascii="Calibri" w:eastAsia="Calibri" w:hAnsi="Calibri" w:cs="Calibri"/>
                      <w:szCs w:val="22"/>
                    </w:rPr>
                    <w:t>1</w:t>
                  </w:r>
                </w:p>
              </w:tc>
              <w:tc>
                <w:tcPr>
                  <w:tcW w:w="2039" w:type="dxa"/>
                  <w:tcBorders>
                    <w:top w:val="single" w:sz="8" w:space="0" w:color="FFFFFF"/>
                    <w:left w:val="single" w:sz="24" w:space="0" w:color="FFFFFF"/>
                    <w:bottom w:val="single" w:sz="8" w:space="0" w:color="FFFFFF"/>
                    <w:right w:val="nil"/>
                  </w:tcBorders>
                  <w:shd w:val="clear" w:color="auto" w:fill="D6D5D2"/>
                </w:tcPr>
                <w:p w:rsidR="00FE7FEA" w:rsidRPr="00115F14" w:rsidRDefault="00FE7FEA" w:rsidP="00FE7FEA">
                  <w:pPr>
                    <w:spacing w:line="259" w:lineRule="auto"/>
                    <w:jc w:val="center"/>
                    <w:rPr>
                      <w:sz w:val="22"/>
                      <w:szCs w:val="22"/>
                    </w:rPr>
                  </w:pPr>
                  <w:r w:rsidRPr="00115F14">
                    <w:rPr>
                      <w:rFonts w:ascii="Calibri" w:eastAsia="Calibri" w:hAnsi="Calibri" w:cs="Calibri"/>
                      <w:szCs w:val="22"/>
                    </w:rPr>
                    <w:t>2</w:t>
                  </w:r>
                </w:p>
              </w:tc>
            </w:tr>
            <w:tr w:rsidR="00FE7FEA" w:rsidRPr="00115F14" w:rsidTr="00FE7FEA">
              <w:trPr>
                <w:trHeight w:val="249"/>
              </w:trPr>
              <w:tc>
                <w:tcPr>
                  <w:tcW w:w="2987" w:type="dxa"/>
                  <w:gridSpan w:val="2"/>
                  <w:tcBorders>
                    <w:top w:val="nil"/>
                    <w:left w:val="nil"/>
                    <w:bottom w:val="nil"/>
                    <w:right w:val="single" w:sz="24" w:space="0" w:color="FFFFFF"/>
                  </w:tcBorders>
                  <w:shd w:val="clear" w:color="auto" w:fill="D6D5D2"/>
                </w:tcPr>
                <w:p w:rsidR="00FE7FEA" w:rsidRPr="005F3775" w:rsidRDefault="00FE7FEA" w:rsidP="00FE7FEA">
                  <w:pPr>
                    <w:tabs>
                      <w:tab w:val="center" w:pos="2694"/>
                      <w:tab w:val="right" w:pos="3454"/>
                    </w:tabs>
                    <w:spacing w:line="259" w:lineRule="auto"/>
                    <w:rPr>
                      <w:rFonts w:ascii="Calibri" w:eastAsia="Calibri" w:hAnsi="Calibri" w:cs="Calibri"/>
                      <w:sz w:val="22"/>
                      <w:szCs w:val="22"/>
                    </w:rPr>
                  </w:pPr>
                  <w:r w:rsidRPr="00B12E0D">
                    <w:rPr>
                      <w:rFonts w:ascii="Calibri" w:eastAsia="Calibri" w:hAnsi="Calibri" w:cs="Calibri"/>
                      <w:b/>
                      <w:bCs/>
                      <w:sz w:val="22"/>
                      <w:szCs w:val="22"/>
                    </w:rPr>
                    <w:t xml:space="preserve">               A</w:t>
                  </w:r>
                  <w:r w:rsidRPr="00115F14">
                    <w:rPr>
                      <w:rFonts w:ascii="Calibri" w:eastAsia="Calibri" w:hAnsi="Calibri" w:cs="Calibri"/>
                      <w:b/>
                      <w:szCs w:val="22"/>
                    </w:rPr>
                    <w:t>kcijski dnevi</w:t>
                  </w:r>
                  <w:r w:rsidRPr="00115F14">
                    <w:rPr>
                      <w:rFonts w:ascii="Calibri" w:eastAsia="Calibri" w:hAnsi="Calibri" w:cs="Calibri"/>
                      <w:b/>
                      <w:szCs w:val="22"/>
                    </w:rPr>
                    <w:tab/>
                  </w:r>
                  <w:r w:rsidRPr="00115F14">
                    <w:rPr>
                      <w:rFonts w:ascii="Calibri" w:eastAsia="Calibri" w:hAnsi="Calibri" w:cs="Calibri"/>
                      <w:i/>
                      <w:sz w:val="17"/>
                      <w:szCs w:val="22"/>
                    </w:rPr>
                    <w:t>2016</w:t>
                  </w:r>
                </w:p>
              </w:tc>
              <w:tc>
                <w:tcPr>
                  <w:tcW w:w="1804" w:type="dxa"/>
                  <w:tcBorders>
                    <w:top w:val="single" w:sz="8" w:space="0" w:color="FFFFFF"/>
                    <w:left w:val="single" w:sz="24" w:space="0" w:color="FFFFFF"/>
                    <w:bottom w:val="single" w:sz="8" w:space="0" w:color="FFFFFF"/>
                    <w:right w:val="single" w:sz="24" w:space="0" w:color="FFFFFF"/>
                  </w:tcBorders>
                  <w:shd w:val="clear" w:color="auto" w:fill="D6D5D2"/>
                </w:tcPr>
                <w:p w:rsidR="00FE7FEA" w:rsidRPr="00115F14" w:rsidRDefault="00FE7FEA" w:rsidP="00FE7FEA">
                  <w:pPr>
                    <w:spacing w:line="259" w:lineRule="auto"/>
                    <w:jc w:val="center"/>
                    <w:rPr>
                      <w:sz w:val="22"/>
                      <w:szCs w:val="22"/>
                    </w:rPr>
                  </w:pPr>
                  <w:r w:rsidRPr="00115F14">
                    <w:rPr>
                      <w:rFonts w:ascii="Calibri" w:eastAsia="Calibri" w:hAnsi="Calibri" w:cs="Calibri"/>
                      <w:szCs w:val="22"/>
                    </w:rPr>
                    <w:t>-</w:t>
                  </w:r>
                </w:p>
              </w:tc>
              <w:tc>
                <w:tcPr>
                  <w:tcW w:w="1804" w:type="dxa"/>
                  <w:tcBorders>
                    <w:top w:val="single" w:sz="8" w:space="0" w:color="FFFFFF"/>
                    <w:left w:val="single" w:sz="24" w:space="0" w:color="FFFFFF"/>
                    <w:bottom w:val="single" w:sz="8" w:space="0" w:color="FFFFFF"/>
                    <w:right w:val="single" w:sz="24" w:space="0" w:color="FFFFFF"/>
                  </w:tcBorders>
                  <w:shd w:val="clear" w:color="auto" w:fill="D6D5D2"/>
                </w:tcPr>
                <w:p w:rsidR="00FE7FEA" w:rsidRPr="00115F14" w:rsidRDefault="00FE7FEA" w:rsidP="00FE7FEA">
                  <w:pPr>
                    <w:spacing w:line="259" w:lineRule="auto"/>
                    <w:jc w:val="center"/>
                    <w:rPr>
                      <w:sz w:val="22"/>
                      <w:szCs w:val="22"/>
                    </w:rPr>
                  </w:pPr>
                  <w:r w:rsidRPr="00115F14">
                    <w:rPr>
                      <w:rFonts w:ascii="Calibri" w:eastAsia="Calibri" w:hAnsi="Calibri" w:cs="Calibri"/>
                      <w:szCs w:val="22"/>
                    </w:rPr>
                    <w:t>-</w:t>
                  </w:r>
                </w:p>
              </w:tc>
              <w:tc>
                <w:tcPr>
                  <w:tcW w:w="2039" w:type="dxa"/>
                  <w:tcBorders>
                    <w:top w:val="single" w:sz="8" w:space="0" w:color="FFFFFF"/>
                    <w:left w:val="single" w:sz="24" w:space="0" w:color="FFFFFF"/>
                    <w:bottom w:val="single" w:sz="8" w:space="0" w:color="FFFFFF"/>
                    <w:right w:val="nil"/>
                  </w:tcBorders>
                  <w:shd w:val="clear" w:color="auto" w:fill="D6D5D2"/>
                </w:tcPr>
                <w:p w:rsidR="00FE7FEA" w:rsidRPr="00115F14" w:rsidRDefault="00FE7FEA" w:rsidP="00FE7FEA">
                  <w:pPr>
                    <w:spacing w:line="259" w:lineRule="auto"/>
                    <w:jc w:val="center"/>
                    <w:rPr>
                      <w:sz w:val="22"/>
                      <w:szCs w:val="22"/>
                    </w:rPr>
                  </w:pPr>
                  <w:r w:rsidRPr="00115F14">
                    <w:rPr>
                      <w:rFonts w:ascii="Calibri" w:eastAsia="Calibri" w:hAnsi="Calibri" w:cs="Calibri"/>
                      <w:szCs w:val="22"/>
                    </w:rPr>
                    <w:t>-</w:t>
                  </w:r>
                </w:p>
              </w:tc>
            </w:tr>
            <w:tr w:rsidR="00FE7FEA" w:rsidRPr="00115F14" w:rsidTr="00FE7FEA">
              <w:trPr>
                <w:trHeight w:val="249"/>
              </w:trPr>
              <w:tc>
                <w:tcPr>
                  <w:tcW w:w="2987" w:type="dxa"/>
                  <w:gridSpan w:val="2"/>
                  <w:tcBorders>
                    <w:top w:val="nil"/>
                    <w:left w:val="nil"/>
                    <w:bottom w:val="nil"/>
                    <w:right w:val="single" w:sz="24" w:space="0" w:color="FFFFFF"/>
                  </w:tcBorders>
                  <w:shd w:val="clear" w:color="auto" w:fill="D6D5D2"/>
                </w:tcPr>
                <w:p w:rsidR="00FE7FEA" w:rsidRPr="00115F14" w:rsidRDefault="00FE7FEA" w:rsidP="00FE7FEA">
                  <w:pPr>
                    <w:spacing w:line="259" w:lineRule="auto"/>
                    <w:ind w:right="47"/>
                    <w:jc w:val="right"/>
                    <w:rPr>
                      <w:sz w:val="22"/>
                      <w:szCs w:val="22"/>
                    </w:rPr>
                  </w:pPr>
                  <w:r w:rsidRPr="00115F14">
                    <w:rPr>
                      <w:rFonts w:ascii="Calibri" w:eastAsia="Calibri" w:hAnsi="Calibri" w:cs="Calibri"/>
                      <w:i/>
                      <w:sz w:val="17"/>
                      <w:szCs w:val="22"/>
                    </w:rPr>
                    <w:t>2015</w:t>
                  </w:r>
                </w:p>
              </w:tc>
              <w:tc>
                <w:tcPr>
                  <w:tcW w:w="1804" w:type="dxa"/>
                  <w:tcBorders>
                    <w:top w:val="single" w:sz="8" w:space="0" w:color="FFFFFF"/>
                    <w:left w:val="single" w:sz="24" w:space="0" w:color="FFFFFF"/>
                    <w:bottom w:val="nil"/>
                    <w:right w:val="single" w:sz="24" w:space="0" w:color="FFFFFF"/>
                  </w:tcBorders>
                  <w:shd w:val="clear" w:color="auto" w:fill="D6D5D2"/>
                </w:tcPr>
                <w:p w:rsidR="00FE7FEA" w:rsidRPr="00115F14" w:rsidRDefault="00FE7FEA" w:rsidP="00FE7FEA">
                  <w:pPr>
                    <w:spacing w:line="259" w:lineRule="auto"/>
                    <w:jc w:val="center"/>
                    <w:rPr>
                      <w:sz w:val="22"/>
                      <w:szCs w:val="22"/>
                    </w:rPr>
                  </w:pPr>
                  <w:r w:rsidRPr="00115F14">
                    <w:rPr>
                      <w:rFonts w:ascii="Calibri" w:eastAsia="Calibri" w:hAnsi="Calibri" w:cs="Calibri"/>
                      <w:szCs w:val="22"/>
                    </w:rPr>
                    <w:t>1</w:t>
                  </w:r>
                </w:p>
              </w:tc>
              <w:tc>
                <w:tcPr>
                  <w:tcW w:w="1804" w:type="dxa"/>
                  <w:tcBorders>
                    <w:top w:val="single" w:sz="8" w:space="0" w:color="FFFFFF"/>
                    <w:left w:val="single" w:sz="24" w:space="0" w:color="FFFFFF"/>
                    <w:bottom w:val="nil"/>
                    <w:right w:val="single" w:sz="24" w:space="0" w:color="FFFFFF"/>
                  </w:tcBorders>
                  <w:shd w:val="clear" w:color="auto" w:fill="D6D5D2"/>
                </w:tcPr>
                <w:p w:rsidR="00FE7FEA" w:rsidRPr="00115F14" w:rsidRDefault="00FE7FEA" w:rsidP="00FE7FEA">
                  <w:pPr>
                    <w:spacing w:line="259" w:lineRule="auto"/>
                    <w:jc w:val="center"/>
                    <w:rPr>
                      <w:sz w:val="22"/>
                      <w:szCs w:val="22"/>
                    </w:rPr>
                  </w:pPr>
                  <w:r w:rsidRPr="00115F14">
                    <w:rPr>
                      <w:rFonts w:ascii="Calibri" w:eastAsia="Calibri" w:hAnsi="Calibri" w:cs="Calibri"/>
                      <w:szCs w:val="22"/>
                    </w:rPr>
                    <w:t>1</w:t>
                  </w:r>
                </w:p>
              </w:tc>
              <w:tc>
                <w:tcPr>
                  <w:tcW w:w="2039" w:type="dxa"/>
                  <w:tcBorders>
                    <w:top w:val="single" w:sz="8" w:space="0" w:color="FFFFFF"/>
                    <w:left w:val="single" w:sz="24" w:space="0" w:color="FFFFFF"/>
                    <w:bottom w:val="nil"/>
                    <w:right w:val="nil"/>
                  </w:tcBorders>
                  <w:shd w:val="clear" w:color="auto" w:fill="D6D5D2"/>
                </w:tcPr>
                <w:p w:rsidR="00FE7FEA" w:rsidRPr="00115F14" w:rsidRDefault="00FE7FEA" w:rsidP="00FE7FEA">
                  <w:pPr>
                    <w:spacing w:line="259" w:lineRule="auto"/>
                    <w:jc w:val="center"/>
                    <w:rPr>
                      <w:sz w:val="22"/>
                      <w:szCs w:val="22"/>
                    </w:rPr>
                  </w:pPr>
                  <w:r w:rsidRPr="00115F14">
                    <w:rPr>
                      <w:rFonts w:ascii="Calibri" w:eastAsia="Calibri" w:hAnsi="Calibri" w:cs="Calibri"/>
                      <w:szCs w:val="22"/>
                    </w:rPr>
                    <w:t>1</w:t>
                  </w:r>
                </w:p>
              </w:tc>
            </w:tr>
          </w:tbl>
          <w:p w:rsidR="00FE7FEA" w:rsidRDefault="00FE7FEA" w:rsidP="005771B0">
            <w:pPr>
              <w:spacing w:line="288" w:lineRule="auto"/>
              <w:jc w:val="both"/>
              <w:rPr>
                <w:rFonts w:cs="Arial"/>
              </w:rPr>
            </w:pPr>
          </w:p>
        </w:tc>
      </w:tr>
    </w:tbl>
    <w:p w:rsidR="00FE7FEA" w:rsidRDefault="00FE7FEA" w:rsidP="00B644CC">
      <w:pPr>
        <w:spacing w:line="288" w:lineRule="auto"/>
        <w:jc w:val="both"/>
        <w:rPr>
          <w:rFonts w:cs="Arial"/>
        </w:rPr>
      </w:pPr>
    </w:p>
    <w:p w:rsidR="00AE2155" w:rsidRPr="00B644CC" w:rsidRDefault="004F1D99" w:rsidP="00B644CC">
      <w:pPr>
        <w:spacing w:line="288" w:lineRule="auto"/>
        <w:jc w:val="both"/>
        <w:rPr>
          <w:rFonts w:cs="Arial"/>
        </w:rPr>
      </w:pPr>
      <w:r w:rsidRPr="00115F14">
        <w:rPr>
          <w:rFonts w:cs="Arial"/>
        </w:rPr>
        <w:t xml:space="preserve">Iz leta v leto aktivnosti </w:t>
      </w:r>
      <w:proofErr w:type="spellStart"/>
      <w:r w:rsidRPr="00115F14">
        <w:rPr>
          <w:rFonts w:cs="Arial"/>
        </w:rPr>
        <w:t>Eurojusta</w:t>
      </w:r>
      <w:proofErr w:type="spellEnd"/>
      <w:r w:rsidRPr="00115F14">
        <w:rPr>
          <w:rFonts w:cs="Arial"/>
        </w:rPr>
        <w:t xml:space="preserve"> kažejo na porast pravosodnega sodelovanja med državami članicami pri preprečevanju in odkrivanju kaznivih dejanj terorizma, kibernetske kriminalitete in tihotapljenja migrantov.</w:t>
      </w:r>
      <w:r w:rsidR="00B644CC">
        <w:rPr>
          <w:rFonts w:cs="Arial"/>
        </w:rPr>
        <w:t xml:space="preserve"> Zato i</w:t>
      </w:r>
      <w:r w:rsidR="00AE2155" w:rsidRPr="00115F14">
        <w:rPr>
          <w:rFonts w:cs="Arial"/>
        </w:rPr>
        <w:t xml:space="preserve">z navedenih razlogov nova </w:t>
      </w:r>
      <w:r w:rsidR="00AE2155" w:rsidRPr="00115F14">
        <w:rPr>
          <w:rFonts w:eastAsia="Calibri" w:cs="Arial"/>
          <w:szCs w:val="20"/>
        </w:rPr>
        <w:t>Uredba (EU) 2018/1727 Evropskega parlamenta in Sveta z dne 14. novembra 2018 o Agenciji Evropske unije za pravosodno sodelovanje v kazenskih zadevah (</w:t>
      </w:r>
      <w:proofErr w:type="spellStart"/>
      <w:r w:rsidR="00AE2155" w:rsidRPr="00115F14">
        <w:rPr>
          <w:rFonts w:eastAsia="Calibri" w:cs="Arial"/>
          <w:szCs w:val="20"/>
        </w:rPr>
        <w:t>Eurojust</w:t>
      </w:r>
      <w:proofErr w:type="spellEnd"/>
      <w:r w:rsidR="00AE2155" w:rsidRPr="00115F14">
        <w:rPr>
          <w:rFonts w:eastAsia="Calibri" w:cs="Arial"/>
          <w:szCs w:val="20"/>
        </w:rPr>
        <w:t>) ter nadomestitvi in razveljavitvi Sklepa Sveta 2002/187/PNZ (UL L št. 295 z dne 21. 11. 2018, str. 138; v nadaljnjem besedilu: Uredba 2018/1727/EU)</w:t>
      </w:r>
      <w:r w:rsidR="00AE2155">
        <w:rPr>
          <w:rFonts w:eastAsia="Calibri" w:cs="Arial"/>
          <w:szCs w:val="20"/>
        </w:rPr>
        <w:t xml:space="preserve"> </w:t>
      </w:r>
      <w:r w:rsidR="00AE2155" w:rsidRPr="00115F14">
        <w:rPr>
          <w:rFonts w:cs="Arial"/>
        </w:rPr>
        <w:t>zagotavlja enoten in prenovljen pravni okvir nove</w:t>
      </w:r>
      <w:r w:rsidR="00AE2155">
        <w:rPr>
          <w:rFonts w:cs="Arial"/>
        </w:rPr>
        <w:t xml:space="preserve"> </w:t>
      </w:r>
      <w:r w:rsidR="00AE2155" w:rsidRPr="00115F14">
        <w:rPr>
          <w:rFonts w:cs="Arial"/>
        </w:rPr>
        <w:t>Agencije</w:t>
      </w:r>
      <w:r w:rsidR="00B12E0D">
        <w:rPr>
          <w:rFonts w:cs="Arial"/>
        </w:rPr>
        <w:t xml:space="preserve"> EU</w:t>
      </w:r>
      <w:r w:rsidR="00AE2155" w:rsidRPr="00115F14">
        <w:rPr>
          <w:rFonts w:cs="Arial"/>
        </w:rPr>
        <w:t xml:space="preserve"> za pravosodno sodelovanje v kazenskih zadevah (</w:t>
      </w:r>
      <w:proofErr w:type="spellStart"/>
      <w:r w:rsidR="00AE2155" w:rsidRPr="00115F14">
        <w:rPr>
          <w:rFonts w:cs="Arial"/>
        </w:rPr>
        <w:t>Eurojust</w:t>
      </w:r>
      <w:proofErr w:type="spellEnd"/>
      <w:r w:rsidR="00AE2155" w:rsidRPr="00115F14">
        <w:rPr>
          <w:rFonts w:cs="Arial"/>
        </w:rPr>
        <w:t xml:space="preserve">), ki je pravni naslednik </w:t>
      </w:r>
      <w:proofErr w:type="spellStart"/>
      <w:r w:rsidR="00AE2155" w:rsidRPr="00115F14">
        <w:rPr>
          <w:rFonts w:cs="Arial"/>
        </w:rPr>
        <w:t>Eurojusta</w:t>
      </w:r>
      <w:proofErr w:type="spellEnd"/>
      <w:r w:rsidR="00AE2155" w:rsidRPr="00115F14">
        <w:rPr>
          <w:rFonts w:cs="Arial"/>
        </w:rPr>
        <w:t xml:space="preserve">, kakor je bil </w:t>
      </w:r>
      <w:r w:rsidR="00AE2155" w:rsidRPr="00115F14">
        <w:rPr>
          <w:rFonts w:cs="Arial"/>
        </w:rPr>
        <w:lastRenderedPageBreak/>
        <w:t>ustanovljen s Sklepom 2002/187/PNZ.</w:t>
      </w:r>
      <w:r w:rsidR="00AE2155" w:rsidRPr="00115F14">
        <w:rPr>
          <w:rFonts w:cs="Arial"/>
          <w:szCs w:val="20"/>
        </w:rPr>
        <w:t xml:space="preserve"> Pravno podlago za njeno delovanje določa 85. člen Pogodbe o delovanju Evropske unije (PDEU), ki se glasi:</w:t>
      </w:r>
    </w:p>
    <w:p w:rsidR="00AE2155" w:rsidRPr="00115F14" w:rsidRDefault="00AE2155" w:rsidP="00B644CC">
      <w:pPr>
        <w:spacing w:line="288" w:lineRule="auto"/>
        <w:jc w:val="both"/>
      </w:pPr>
    </w:p>
    <w:p w:rsidR="00AE2155" w:rsidRPr="00115F14" w:rsidRDefault="00AE2155" w:rsidP="00B644CC">
      <w:pPr>
        <w:spacing w:line="288" w:lineRule="auto"/>
        <w:jc w:val="both"/>
        <w:rPr>
          <w:rFonts w:cs="Arial"/>
          <w:szCs w:val="20"/>
        </w:rPr>
      </w:pPr>
      <w:r w:rsidRPr="00115F14">
        <w:rPr>
          <w:rFonts w:cs="Arial"/>
          <w:szCs w:val="20"/>
        </w:rPr>
        <w:t xml:space="preserve">»Naloga </w:t>
      </w:r>
      <w:proofErr w:type="spellStart"/>
      <w:r w:rsidRPr="00115F14">
        <w:rPr>
          <w:rFonts w:cs="Arial"/>
          <w:szCs w:val="20"/>
        </w:rPr>
        <w:t>Eurojusta</w:t>
      </w:r>
      <w:proofErr w:type="spellEnd"/>
      <w:r w:rsidRPr="00115F14">
        <w:rPr>
          <w:rFonts w:cs="Arial"/>
          <w:szCs w:val="20"/>
        </w:rPr>
        <w:t xml:space="preserve"> je podpirati in krepiti koordinacijo in sodelovanje nacionalnih organov, pristojnih za preiskave in pregon hudih oblik kriminala, ki se nanašajo na dve ali več držav članic ali zahtevajo skupni pregon, na podlagi postopkov, ki jih izvajajo</w:t>
      </w:r>
      <w:r w:rsidR="00B12E0D">
        <w:rPr>
          <w:rFonts w:cs="Arial"/>
          <w:szCs w:val="20"/>
        </w:rPr>
        <w:t>,</w:t>
      </w:r>
      <w:r w:rsidRPr="00115F14">
        <w:rPr>
          <w:rFonts w:cs="Arial"/>
          <w:szCs w:val="20"/>
        </w:rPr>
        <w:t xml:space="preserve"> in informacij, ki jih pošljejo organi držav članic </w:t>
      </w:r>
      <w:r>
        <w:rPr>
          <w:rFonts w:cs="Arial"/>
          <w:szCs w:val="20"/>
        </w:rPr>
        <w:t>ter</w:t>
      </w:r>
      <w:r w:rsidRPr="00115F14">
        <w:rPr>
          <w:rFonts w:cs="Arial"/>
          <w:szCs w:val="20"/>
        </w:rPr>
        <w:t xml:space="preserve"> Europol.«</w:t>
      </w:r>
    </w:p>
    <w:p w:rsidR="00AE2155" w:rsidRPr="00115F14" w:rsidRDefault="00AE2155" w:rsidP="00B644CC">
      <w:pPr>
        <w:spacing w:line="288" w:lineRule="auto"/>
        <w:jc w:val="both"/>
        <w:rPr>
          <w:rFonts w:cs="Arial"/>
          <w:szCs w:val="20"/>
        </w:rPr>
      </w:pPr>
    </w:p>
    <w:p w:rsidR="00AE2155" w:rsidRPr="00115F14" w:rsidRDefault="00AE2155" w:rsidP="00B644CC">
      <w:pPr>
        <w:spacing w:line="288" w:lineRule="auto"/>
        <w:jc w:val="both"/>
        <w:rPr>
          <w:rFonts w:cs="Arial"/>
          <w:szCs w:val="20"/>
        </w:rPr>
      </w:pPr>
      <w:r w:rsidRPr="00115F14">
        <w:rPr>
          <w:rFonts w:cs="Arial"/>
          <w:szCs w:val="20"/>
        </w:rPr>
        <w:t xml:space="preserve">V tej zvezi Evropski parlament in Svet z uredbami, sprejetimi po rednem zakonodajnem postopku, določita strukturo, delovanje, področje ukrepanja in naloge </w:t>
      </w:r>
      <w:proofErr w:type="spellStart"/>
      <w:r w:rsidRPr="00115F14">
        <w:rPr>
          <w:rFonts w:cs="Arial"/>
          <w:szCs w:val="20"/>
        </w:rPr>
        <w:t>Eurojusta</w:t>
      </w:r>
      <w:proofErr w:type="spellEnd"/>
      <w:r w:rsidRPr="00115F14">
        <w:rPr>
          <w:rFonts w:cs="Arial"/>
          <w:szCs w:val="20"/>
        </w:rPr>
        <w:t>. Te naloge lahko zajemajo</w:t>
      </w:r>
      <w:r>
        <w:rPr>
          <w:rFonts w:cs="Arial"/>
          <w:szCs w:val="20"/>
        </w:rPr>
        <w:t xml:space="preserve"> </w:t>
      </w:r>
      <w:r w:rsidRPr="00115F14">
        <w:rPr>
          <w:rFonts w:cs="Arial"/>
          <w:szCs w:val="20"/>
        </w:rPr>
        <w:t>uvedbo kazenskih preiskav kakor tudi uvedb</w:t>
      </w:r>
      <w:r w:rsidR="00B12E0D">
        <w:rPr>
          <w:rFonts w:cs="Arial"/>
          <w:szCs w:val="20"/>
        </w:rPr>
        <w:t>o</w:t>
      </w:r>
      <w:r w:rsidRPr="00115F14">
        <w:rPr>
          <w:rFonts w:cs="Arial"/>
          <w:szCs w:val="20"/>
        </w:rPr>
        <w:t xml:space="preserve"> pregona, ki ga izvajajo pristojni organi</w:t>
      </w:r>
      <w:r w:rsidR="00B12E0D">
        <w:rPr>
          <w:rFonts w:cs="Arial"/>
          <w:szCs w:val="20"/>
        </w:rPr>
        <w:t xml:space="preserve"> držav članic</w:t>
      </w:r>
      <w:r w:rsidRPr="00115F14">
        <w:rPr>
          <w:rFonts w:cs="Arial"/>
          <w:szCs w:val="20"/>
        </w:rPr>
        <w:t xml:space="preserve">, zlasti </w:t>
      </w:r>
      <w:r w:rsidR="00B12E0D">
        <w:rPr>
          <w:rFonts w:cs="Arial"/>
          <w:szCs w:val="20"/>
        </w:rPr>
        <w:t>ob</w:t>
      </w:r>
      <w:r w:rsidRPr="00115F14">
        <w:rPr>
          <w:rFonts w:cs="Arial"/>
          <w:szCs w:val="20"/>
        </w:rPr>
        <w:t xml:space="preserve"> kršitv</w:t>
      </w:r>
      <w:r w:rsidR="00B12E0D">
        <w:rPr>
          <w:rFonts w:cs="Arial"/>
          <w:szCs w:val="20"/>
        </w:rPr>
        <w:t>ah</w:t>
      </w:r>
      <w:r w:rsidRPr="00115F14">
        <w:rPr>
          <w:rFonts w:cs="Arial"/>
          <w:szCs w:val="20"/>
        </w:rPr>
        <w:t xml:space="preserve"> finančnih interesov Unije, </w:t>
      </w:r>
      <w:r w:rsidR="00B12E0D">
        <w:rPr>
          <w:rFonts w:cs="Arial"/>
          <w:szCs w:val="20"/>
        </w:rPr>
        <w:t>usklajevanje</w:t>
      </w:r>
      <w:r w:rsidRPr="00115F14">
        <w:rPr>
          <w:rFonts w:cs="Arial"/>
          <w:szCs w:val="20"/>
        </w:rPr>
        <w:t xml:space="preserve"> preiskav in pregona, krepitev pravosodnega sodelovanja, skupaj z reševanjem sporov o pristojnosti in s tesnim sodelovanjem z Evropsko pravosodno mrežo.</w:t>
      </w:r>
      <w:r>
        <w:rPr>
          <w:rFonts w:cs="Arial"/>
          <w:szCs w:val="20"/>
        </w:rPr>
        <w:t xml:space="preserve"> </w:t>
      </w:r>
      <w:r w:rsidRPr="00115F14">
        <w:rPr>
          <w:rFonts w:cs="Arial"/>
          <w:szCs w:val="20"/>
        </w:rPr>
        <w:t xml:space="preserve">S temi uredbami se določijo tudi podrobnosti glede sodelovanja Evropskega parlamenta in parlamentov držav članic pri ocenjevanju dejavnosti </w:t>
      </w:r>
      <w:proofErr w:type="spellStart"/>
      <w:r w:rsidRPr="00115F14">
        <w:rPr>
          <w:rFonts w:cs="Arial"/>
          <w:szCs w:val="20"/>
        </w:rPr>
        <w:t>Eurojusta</w:t>
      </w:r>
      <w:proofErr w:type="spellEnd"/>
      <w:r w:rsidRPr="00115F14">
        <w:rPr>
          <w:rFonts w:cs="Arial"/>
          <w:szCs w:val="20"/>
        </w:rPr>
        <w:t>.</w:t>
      </w:r>
    </w:p>
    <w:p w:rsidR="00AE2155" w:rsidRPr="00115F14" w:rsidRDefault="00AE2155" w:rsidP="00B644CC">
      <w:pPr>
        <w:spacing w:line="288" w:lineRule="auto"/>
        <w:jc w:val="both"/>
        <w:rPr>
          <w:rFonts w:cs="Arial"/>
          <w:szCs w:val="20"/>
        </w:rPr>
      </w:pPr>
    </w:p>
    <w:p w:rsidR="00AE2155" w:rsidRPr="00115F14" w:rsidRDefault="00AE2155" w:rsidP="00B644CC">
      <w:pPr>
        <w:spacing w:line="288" w:lineRule="auto"/>
        <w:jc w:val="both"/>
        <w:rPr>
          <w:rFonts w:cs="Arial"/>
        </w:rPr>
      </w:pPr>
      <w:r w:rsidRPr="00115F14">
        <w:rPr>
          <w:rFonts w:eastAsia="Calibri" w:cs="Arial"/>
          <w:szCs w:val="20"/>
        </w:rPr>
        <w:t>Uredba 2018/1727/EU</w:t>
      </w:r>
      <w:r w:rsidRPr="00115F14">
        <w:rPr>
          <w:rFonts w:cs="Arial"/>
        </w:rPr>
        <w:t xml:space="preserve"> po eni strani ohranja tiste </w:t>
      </w:r>
      <w:r w:rsidR="00B12E0D">
        <w:rPr>
          <w:rFonts w:cs="Arial"/>
        </w:rPr>
        <w:t>prvine</w:t>
      </w:r>
      <w:r w:rsidRPr="00115F14">
        <w:rPr>
          <w:rFonts w:cs="Arial"/>
        </w:rPr>
        <w:t>, ki so se izkazal</w:t>
      </w:r>
      <w:r w:rsidR="00B12E0D">
        <w:rPr>
          <w:rFonts w:cs="Arial"/>
        </w:rPr>
        <w:t>e</w:t>
      </w:r>
      <w:r w:rsidRPr="00115F14">
        <w:rPr>
          <w:rFonts w:cs="Arial"/>
        </w:rPr>
        <w:t xml:space="preserve"> za učinkovite pri upravljanju in delovanju </w:t>
      </w:r>
      <w:proofErr w:type="spellStart"/>
      <w:r w:rsidRPr="00115F14">
        <w:rPr>
          <w:rFonts w:cs="Arial"/>
        </w:rPr>
        <w:t>Eurojusta</w:t>
      </w:r>
      <w:proofErr w:type="spellEnd"/>
      <w:r w:rsidRPr="00115F14">
        <w:rPr>
          <w:rFonts w:cs="Arial"/>
        </w:rPr>
        <w:t xml:space="preserve"> v preteklosti, po drugi strani pa posodablja njegov pravni okvir ter </w:t>
      </w:r>
      <w:r w:rsidR="00B12E0D">
        <w:rPr>
          <w:rFonts w:cs="Arial"/>
        </w:rPr>
        <w:t>razumno opredeli</w:t>
      </w:r>
      <w:r w:rsidRPr="00115F14">
        <w:rPr>
          <w:rFonts w:cs="Arial"/>
        </w:rPr>
        <w:t xml:space="preserve"> njegovo delovanje in organizacijsko strukturo v skladu z Lizbonsko pogodbo. </w:t>
      </w:r>
    </w:p>
    <w:p w:rsidR="00AE2155" w:rsidRPr="00115F14" w:rsidRDefault="00AE2155" w:rsidP="00B644CC">
      <w:pPr>
        <w:spacing w:line="288" w:lineRule="auto"/>
        <w:jc w:val="both"/>
        <w:rPr>
          <w:rFonts w:cs="Arial"/>
        </w:rPr>
      </w:pPr>
    </w:p>
    <w:p w:rsidR="00AE2155" w:rsidRPr="00115F14" w:rsidRDefault="00AE2155" w:rsidP="00B644CC">
      <w:pPr>
        <w:spacing w:line="288" w:lineRule="auto"/>
        <w:jc w:val="both"/>
        <w:rPr>
          <w:rFonts w:cs="Arial"/>
        </w:rPr>
      </w:pPr>
      <w:r w:rsidRPr="00115F14">
        <w:rPr>
          <w:rFonts w:cs="Arial"/>
        </w:rPr>
        <w:t xml:space="preserve">Glavni cilji, </w:t>
      </w:r>
      <w:r w:rsidR="00B12E0D">
        <w:rPr>
          <w:rFonts w:cs="Arial"/>
        </w:rPr>
        <w:t>za katere si prizadeva</w:t>
      </w:r>
      <w:r w:rsidRPr="00115F14">
        <w:rPr>
          <w:rFonts w:cs="Arial"/>
        </w:rPr>
        <w:t xml:space="preserve"> </w:t>
      </w:r>
      <w:r w:rsidRPr="00115F14">
        <w:rPr>
          <w:rFonts w:eastAsia="Calibri" w:cs="Arial"/>
          <w:szCs w:val="20"/>
        </w:rPr>
        <w:t xml:space="preserve">Uredba 2018/1727/EU, so usmerjeni k </w:t>
      </w:r>
      <w:r w:rsidRPr="00115F14">
        <w:rPr>
          <w:rFonts w:cs="Arial"/>
        </w:rPr>
        <w:t>povečanju učinkovitosti</w:t>
      </w:r>
      <w:r>
        <w:rPr>
          <w:rFonts w:cs="Arial"/>
        </w:rPr>
        <w:t xml:space="preserve"> </w:t>
      </w:r>
      <w:proofErr w:type="spellStart"/>
      <w:r w:rsidRPr="00115F14">
        <w:rPr>
          <w:rFonts w:cs="Arial"/>
        </w:rPr>
        <w:t>Eurojusta</w:t>
      </w:r>
      <w:proofErr w:type="spellEnd"/>
      <w:r w:rsidRPr="00115F14">
        <w:rPr>
          <w:rFonts w:cs="Arial"/>
        </w:rPr>
        <w:t>, tako da se zagotovi nova struktura upravljanja</w:t>
      </w:r>
      <w:r w:rsidR="00B12E0D">
        <w:rPr>
          <w:rFonts w:cs="Arial"/>
        </w:rPr>
        <w:t xml:space="preserve"> ter</w:t>
      </w:r>
      <w:r>
        <w:rPr>
          <w:rFonts w:cs="Arial"/>
        </w:rPr>
        <w:t xml:space="preserve"> </w:t>
      </w:r>
      <w:r w:rsidRPr="00115F14">
        <w:rPr>
          <w:rFonts w:cs="Arial"/>
        </w:rPr>
        <w:t xml:space="preserve">izboljša njegova </w:t>
      </w:r>
      <w:r w:rsidR="00B12E0D">
        <w:rPr>
          <w:rFonts w:cs="Arial"/>
        </w:rPr>
        <w:t>neposredno dejavna (</w:t>
      </w:r>
      <w:r w:rsidRPr="00115F14">
        <w:rPr>
          <w:rFonts w:cs="Arial"/>
        </w:rPr>
        <w:t>operativna</w:t>
      </w:r>
      <w:r w:rsidR="00B12E0D">
        <w:rPr>
          <w:rFonts w:cs="Arial"/>
        </w:rPr>
        <w:t>)</w:t>
      </w:r>
      <w:r w:rsidRPr="00115F14">
        <w:rPr>
          <w:rFonts w:cs="Arial"/>
        </w:rPr>
        <w:t xml:space="preserve"> učinkovitost</w:t>
      </w:r>
      <w:r>
        <w:rPr>
          <w:rFonts w:cs="Arial"/>
        </w:rPr>
        <w:t xml:space="preserve"> </w:t>
      </w:r>
      <w:r w:rsidRPr="00115F14">
        <w:rPr>
          <w:rFonts w:cs="Arial"/>
        </w:rPr>
        <w:t xml:space="preserve">z enotno opredelitvijo položaja in pooblastil nacionalnih članov. Uredba </w:t>
      </w:r>
      <w:r w:rsidRPr="00115F14">
        <w:rPr>
          <w:rFonts w:eastAsia="Calibri" w:cs="Arial"/>
          <w:szCs w:val="20"/>
        </w:rPr>
        <w:t>2018/1727/EU</w:t>
      </w:r>
      <w:r>
        <w:rPr>
          <w:rFonts w:eastAsia="Calibri" w:cs="Arial"/>
          <w:szCs w:val="20"/>
        </w:rPr>
        <w:t xml:space="preserve"> </w:t>
      </w:r>
      <w:r w:rsidRPr="00115F14">
        <w:rPr>
          <w:rFonts w:cs="Arial"/>
        </w:rPr>
        <w:t>na podlagi</w:t>
      </w:r>
      <w:r>
        <w:rPr>
          <w:rFonts w:cs="Arial"/>
        </w:rPr>
        <w:t xml:space="preserve"> </w:t>
      </w:r>
      <w:r w:rsidRPr="00115F14">
        <w:rPr>
          <w:rFonts w:cs="Arial"/>
        </w:rPr>
        <w:t xml:space="preserve">nedavnih reform Europola in </w:t>
      </w:r>
      <w:proofErr w:type="spellStart"/>
      <w:r w:rsidRPr="00115F14">
        <w:rPr>
          <w:rFonts w:cs="Arial"/>
        </w:rPr>
        <w:t>Frontexa</w:t>
      </w:r>
      <w:proofErr w:type="spellEnd"/>
      <w:r w:rsidRPr="00115F14">
        <w:rPr>
          <w:rFonts w:cs="Arial"/>
        </w:rPr>
        <w:t xml:space="preserve"> ter ustanovitve</w:t>
      </w:r>
      <w:r>
        <w:rPr>
          <w:rFonts w:cs="Arial"/>
        </w:rPr>
        <w:t xml:space="preserve"> </w:t>
      </w:r>
      <w:r w:rsidRPr="00115F14">
        <w:rPr>
          <w:rFonts w:cs="Arial"/>
        </w:rPr>
        <w:t>Evropskega javnega tožilstva dopolnjuje</w:t>
      </w:r>
      <w:r>
        <w:rPr>
          <w:rFonts w:cs="Arial"/>
        </w:rPr>
        <w:t xml:space="preserve"> </w:t>
      </w:r>
      <w:r w:rsidRPr="00115F14">
        <w:rPr>
          <w:rFonts w:cs="Arial"/>
        </w:rPr>
        <w:t>nov okvir EU za kazensko pravosodje in po</w:t>
      </w:r>
      <w:r>
        <w:rPr>
          <w:rFonts w:cs="Arial"/>
        </w:rPr>
        <w:t xml:space="preserve"> </w:t>
      </w:r>
      <w:r w:rsidRPr="00115F14">
        <w:rPr>
          <w:rFonts w:cs="Arial"/>
        </w:rPr>
        <w:t>celotni EU vzpostavlja novo varnostno strukturo</w:t>
      </w:r>
      <w:r>
        <w:rPr>
          <w:rFonts w:cs="Arial"/>
        </w:rPr>
        <w:t xml:space="preserve"> </w:t>
      </w:r>
      <w:r w:rsidRPr="00115F14">
        <w:rPr>
          <w:rFonts w:cs="Arial"/>
        </w:rPr>
        <w:t>v podporo boju proti čezmejnemu kriminalu.</w:t>
      </w:r>
    </w:p>
    <w:p w:rsidR="00AE2155" w:rsidRPr="00115F14" w:rsidRDefault="00AE2155" w:rsidP="00B644CC">
      <w:pPr>
        <w:spacing w:line="288" w:lineRule="auto"/>
        <w:jc w:val="both"/>
        <w:rPr>
          <w:rFonts w:cs="Arial"/>
        </w:rPr>
      </w:pPr>
    </w:p>
    <w:p w:rsidR="00AE2155" w:rsidRPr="00115F14" w:rsidRDefault="00AE2155" w:rsidP="00B644CC">
      <w:pPr>
        <w:spacing w:line="288" w:lineRule="auto"/>
        <w:jc w:val="both"/>
        <w:rPr>
          <w:rFonts w:cs="Arial"/>
        </w:rPr>
      </w:pPr>
      <w:proofErr w:type="spellStart"/>
      <w:r w:rsidRPr="00115F14">
        <w:rPr>
          <w:rFonts w:cs="Arial"/>
        </w:rPr>
        <w:t>Eurojust</w:t>
      </w:r>
      <w:proofErr w:type="spellEnd"/>
      <w:r w:rsidRPr="00115F14">
        <w:rPr>
          <w:rFonts w:cs="Arial"/>
        </w:rPr>
        <w:t xml:space="preserve"> sestavljajo nacionalni člani, kolegij, izvršni odbor</w:t>
      </w:r>
      <w:r>
        <w:rPr>
          <w:rFonts w:cs="Arial"/>
        </w:rPr>
        <w:t xml:space="preserve"> </w:t>
      </w:r>
      <w:r w:rsidRPr="00115F14">
        <w:rPr>
          <w:rFonts w:cs="Arial"/>
        </w:rPr>
        <w:t>in</w:t>
      </w:r>
      <w:r>
        <w:rPr>
          <w:rFonts w:cs="Arial"/>
        </w:rPr>
        <w:t xml:space="preserve"> </w:t>
      </w:r>
      <w:r w:rsidRPr="00115F14">
        <w:rPr>
          <w:rFonts w:cs="Arial"/>
        </w:rPr>
        <w:t>upravni direktor.</w:t>
      </w:r>
    </w:p>
    <w:p w:rsidR="00AE2155" w:rsidRPr="00115F14" w:rsidRDefault="00AE2155" w:rsidP="00B644CC">
      <w:pPr>
        <w:spacing w:line="288" w:lineRule="auto"/>
        <w:jc w:val="both"/>
        <w:rPr>
          <w:rFonts w:cs="Arial"/>
        </w:rPr>
      </w:pPr>
    </w:p>
    <w:p w:rsidR="004F1D99" w:rsidRPr="004F1D99" w:rsidRDefault="00AE2155" w:rsidP="00B644CC">
      <w:pPr>
        <w:spacing w:line="288" w:lineRule="auto"/>
        <w:jc w:val="both"/>
        <w:rPr>
          <w:rFonts w:cs="Arial"/>
        </w:rPr>
      </w:pPr>
      <w:r w:rsidRPr="00115F14">
        <w:rPr>
          <w:rFonts w:cs="Arial"/>
        </w:rPr>
        <w:t xml:space="preserve">V </w:t>
      </w:r>
      <w:proofErr w:type="spellStart"/>
      <w:r w:rsidRPr="00115F14">
        <w:rPr>
          <w:rFonts w:cs="Arial"/>
        </w:rPr>
        <w:t>Eurojust</w:t>
      </w:r>
      <w:proofErr w:type="spellEnd"/>
      <w:r w:rsidRPr="00115F14">
        <w:rPr>
          <w:rFonts w:cs="Arial"/>
        </w:rPr>
        <w:t xml:space="preserve"> vsaka država članica v skladu s svojim pravnim sistemom začasno imenuje po enega </w:t>
      </w:r>
      <w:r w:rsidRPr="00115F14">
        <w:rPr>
          <w:rFonts w:cs="Arial"/>
          <w:b/>
        </w:rPr>
        <w:t xml:space="preserve">nacionalnega </w:t>
      </w:r>
      <w:r>
        <w:rPr>
          <w:rFonts w:cs="Arial"/>
          <w:b/>
        </w:rPr>
        <w:t>predstavnika</w:t>
      </w:r>
      <w:r w:rsidRPr="00115F14">
        <w:rPr>
          <w:rFonts w:cs="Arial"/>
        </w:rPr>
        <w:t xml:space="preserve">, katerega stalno delovno mesto je na sedežu </w:t>
      </w:r>
      <w:proofErr w:type="spellStart"/>
      <w:r w:rsidRPr="00115F14">
        <w:rPr>
          <w:rFonts w:cs="Arial"/>
        </w:rPr>
        <w:t>Eurojusta</w:t>
      </w:r>
      <w:proofErr w:type="spellEnd"/>
      <w:r w:rsidRPr="00115F14">
        <w:rPr>
          <w:rFonts w:cs="Arial"/>
        </w:rPr>
        <w:t>.</w:t>
      </w:r>
      <w:r>
        <w:rPr>
          <w:rFonts w:cs="Arial"/>
        </w:rPr>
        <w:t xml:space="preserve"> </w:t>
      </w:r>
      <w:r w:rsidRPr="00115F14">
        <w:rPr>
          <w:rFonts w:cs="Arial"/>
        </w:rPr>
        <w:t xml:space="preserve">Vsakemu nacionalnemu </w:t>
      </w:r>
      <w:r>
        <w:rPr>
          <w:rFonts w:cs="Arial"/>
        </w:rPr>
        <w:t>predstavniku</w:t>
      </w:r>
      <w:r w:rsidRPr="00115F14">
        <w:rPr>
          <w:rFonts w:cs="Arial"/>
        </w:rPr>
        <w:t xml:space="preserve"> pomagata </w:t>
      </w:r>
      <w:r w:rsidRPr="00115F14">
        <w:rPr>
          <w:rFonts w:cs="Arial"/>
          <w:b/>
        </w:rPr>
        <w:t>namestnik</w:t>
      </w:r>
      <w:r w:rsidRPr="00115F14">
        <w:rPr>
          <w:rFonts w:cs="Arial"/>
        </w:rPr>
        <w:t xml:space="preserve"> in </w:t>
      </w:r>
      <w:r w:rsidRPr="00115F14">
        <w:rPr>
          <w:rFonts w:cs="Arial"/>
          <w:b/>
        </w:rPr>
        <w:t>pomočnik</w:t>
      </w:r>
      <w:r w:rsidR="00B12E0D">
        <w:rPr>
          <w:rFonts w:cs="Arial"/>
        </w:rPr>
        <w:t xml:space="preserve">, ki </w:t>
      </w:r>
      <w:r w:rsidRPr="00115F14">
        <w:rPr>
          <w:rFonts w:cs="Arial"/>
        </w:rPr>
        <w:t>imata lahko stalno delovno mesto v</w:t>
      </w:r>
      <w:r>
        <w:rPr>
          <w:rFonts w:cs="Arial"/>
        </w:rPr>
        <w:t xml:space="preserve"> </w:t>
      </w:r>
      <w:proofErr w:type="spellStart"/>
      <w:r w:rsidRPr="00115F14">
        <w:rPr>
          <w:rFonts w:cs="Arial"/>
        </w:rPr>
        <w:t>Eurojustu</w:t>
      </w:r>
      <w:proofErr w:type="spellEnd"/>
      <w:r w:rsidR="00B12E0D">
        <w:rPr>
          <w:rFonts w:cs="Arial"/>
        </w:rPr>
        <w:t xml:space="preserve">, </w:t>
      </w:r>
      <w:r w:rsidR="005D14D7">
        <w:rPr>
          <w:rFonts w:cs="Arial"/>
        </w:rPr>
        <w:t>ali</w:t>
      </w:r>
      <w:r w:rsidR="00B12E0D">
        <w:rPr>
          <w:rFonts w:cs="Arial"/>
        </w:rPr>
        <w:t xml:space="preserve"> </w:t>
      </w:r>
      <w:r w:rsidRPr="00115F14">
        <w:rPr>
          <w:rFonts w:cs="Arial"/>
        </w:rPr>
        <w:t xml:space="preserve">v svoji državi članici. Odločitev o kraju delovnega mesta namestnika in pomočnika je v diskreciji države članice. </w:t>
      </w:r>
      <w:r w:rsidR="004F1D99" w:rsidRPr="004F1D99">
        <w:rPr>
          <w:rFonts w:cs="Arial"/>
        </w:rPr>
        <w:t xml:space="preserve">Če država članica sprejme odločitev o tem, da bosta namestnik in pomočnik svoje stalno delovno mesto imela v državi članici, o tem uradno obvesti kolegij. V vsakem primeru pa lahko, če to zahtevajo operativne potrebe </w:t>
      </w:r>
      <w:proofErr w:type="spellStart"/>
      <w:r w:rsidR="004F1D99" w:rsidRPr="004F1D99">
        <w:rPr>
          <w:rFonts w:cs="Arial"/>
        </w:rPr>
        <w:t>Eurojusta</w:t>
      </w:r>
      <w:proofErr w:type="spellEnd"/>
      <w:r w:rsidR="004F1D99" w:rsidRPr="004F1D99">
        <w:rPr>
          <w:rFonts w:cs="Arial"/>
        </w:rPr>
        <w:t xml:space="preserve">, kolegij od države članice zahteva, da namestnika ali pomočnika ali oba za določen čas namesti na sedežu </w:t>
      </w:r>
      <w:proofErr w:type="spellStart"/>
      <w:r w:rsidR="004F1D99" w:rsidRPr="004F1D99">
        <w:rPr>
          <w:rFonts w:cs="Arial"/>
        </w:rPr>
        <w:t>Eurojusta</w:t>
      </w:r>
      <w:proofErr w:type="spellEnd"/>
      <w:r w:rsidR="004F1D99" w:rsidRPr="004F1D99">
        <w:rPr>
          <w:rFonts w:cs="Arial"/>
        </w:rPr>
        <w:t xml:space="preserve">. </w:t>
      </w:r>
    </w:p>
    <w:p w:rsidR="004F1D99" w:rsidRDefault="004F1D99" w:rsidP="00B644CC">
      <w:pPr>
        <w:spacing w:line="288" w:lineRule="auto"/>
        <w:jc w:val="both"/>
        <w:rPr>
          <w:rFonts w:cs="Arial"/>
        </w:rPr>
      </w:pPr>
    </w:p>
    <w:p w:rsidR="00AE2155" w:rsidRPr="00115F14" w:rsidRDefault="00AE2155" w:rsidP="00B644CC">
      <w:pPr>
        <w:spacing w:line="288" w:lineRule="auto"/>
        <w:jc w:val="both"/>
        <w:rPr>
          <w:rFonts w:cs="Arial"/>
        </w:rPr>
      </w:pPr>
      <w:r w:rsidRPr="00115F14">
        <w:rPr>
          <w:rFonts w:cs="Arial"/>
        </w:rPr>
        <w:t xml:space="preserve">Nacionalni </w:t>
      </w:r>
      <w:r>
        <w:rPr>
          <w:rFonts w:cs="Arial"/>
        </w:rPr>
        <w:t>predstavniki</w:t>
      </w:r>
      <w:r w:rsidRPr="00115F14">
        <w:rPr>
          <w:rFonts w:cs="Arial"/>
        </w:rPr>
        <w:t xml:space="preserve"> in namestniki imajo položaj tožilca, sodnika ali predstavnika sodnega organa z enakovrednimi pristojnostmi, kot jih ima tožilec ali sodnik v skladu z </w:t>
      </w:r>
      <w:r w:rsidR="005D14D7">
        <w:rPr>
          <w:rFonts w:cs="Arial"/>
        </w:rPr>
        <w:t>notranjim</w:t>
      </w:r>
      <w:r w:rsidRPr="00115F14">
        <w:rPr>
          <w:rFonts w:cs="Arial"/>
        </w:rPr>
        <w:t xml:space="preserve"> pravom</w:t>
      </w:r>
      <w:r w:rsidR="005D14D7">
        <w:rPr>
          <w:rFonts w:cs="Arial"/>
        </w:rPr>
        <w:t xml:space="preserve"> države članice</w:t>
      </w:r>
      <w:r w:rsidRPr="00115F14">
        <w:rPr>
          <w:rFonts w:cs="Arial"/>
        </w:rPr>
        <w:t>. Pristojni organi</w:t>
      </w:r>
      <w:r w:rsidR="005D14D7">
        <w:rPr>
          <w:rFonts w:cs="Arial"/>
        </w:rPr>
        <w:t xml:space="preserve"> držav članic</w:t>
      </w:r>
      <w:r w:rsidRPr="00115F14">
        <w:rPr>
          <w:rFonts w:cs="Arial"/>
        </w:rPr>
        <w:t xml:space="preserve"> jim podelijo pooblastila iz te uredbe, da lahko izpolnjujejo svoje naloge.</w:t>
      </w:r>
      <w:r>
        <w:rPr>
          <w:rFonts w:cs="Arial"/>
        </w:rPr>
        <w:t xml:space="preserve"> </w:t>
      </w:r>
      <w:r w:rsidRPr="00115F14">
        <w:rPr>
          <w:rFonts w:cs="Arial"/>
        </w:rPr>
        <w:t xml:space="preserve">Namestnik in pomočnik lahko delujeta v imenu nacionalnega </w:t>
      </w:r>
      <w:r>
        <w:rPr>
          <w:rFonts w:cs="Arial"/>
        </w:rPr>
        <w:t>predstavnika</w:t>
      </w:r>
      <w:r w:rsidRPr="00115F14">
        <w:rPr>
          <w:rFonts w:cs="Arial"/>
        </w:rPr>
        <w:t xml:space="preserve"> ali ga nadomeščata. Plače in drugi prejemki nacionalnih </w:t>
      </w:r>
      <w:r>
        <w:rPr>
          <w:rFonts w:cs="Arial"/>
        </w:rPr>
        <w:t>predstavnikov</w:t>
      </w:r>
      <w:r w:rsidRPr="00115F14">
        <w:rPr>
          <w:rFonts w:cs="Arial"/>
        </w:rPr>
        <w:t>, namestnikov in pomočnikov se zagotovijo v proračunu države članice</w:t>
      </w:r>
      <w:r w:rsidR="005D14D7">
        <w:rPr>
          <w:rFonts w:cs="Arial"/>
        </w:rPr>
        <w:t>,</w:t>
      </w:r>
      <w:r w:rsidRPr="00115F14">
        <w:rPr>
          <w:rFonts w:cs="Arial"/>
        </w:rPr>
        <w:t xml:space="preserve"> iz katere prihajajo.</w:t>
      </w:r>
    </w:p>
    <w:p w:rsidR="00AE2155" w:rsidRPr="00115F14" w:rsidRDefault="00AE2155" w:rsidP="00B644CC">
      <w:pPr>
        <w:spacing w:line="288" w:lineRule="auto"/>
        <w:jc w:val="both"/>
        <w:rPr>
          <w:rFonts w:cs="Arial"/>
        </w:rPr>
      </w:pPr>
    </w:p>
    <w:p w:rsidR="00AE2155" w:rsidRPr="00115F14" w:rsidRDefault="00AE2155" w:rsidP="00B644CC">
      <w:pPr>
        <w:spacing w:line="288" w:lineRule="auto"/>
        <w:jc w:val="both"/>
        <w:rPr>
          <w:rFonts w:cs="Arial"/>
        </w:rPr>
      </w:pPr>
      <w:r w:rsidRPr="00115F14">
        <w:rPr>
          <w:rFonts w:cs="Arial"/>
        </w:rPr>
        <w:t xml:space="preserve">Mandat nacionalnih </w:t>
      </w:r>
      <w:r>
        <w:rPr>
          <w:rFonts w:cs="Arial"/>
        </w:rPr>
        <w:t>predstavnikov</w:t>
      </w:r>
      <w:r w:rsidRPr="00115F14">
        <w:rPr>
          <w:rFonts w:cs="Arial"/>
        </w:rPr>
        <w:t xml:space="preserve"> in njihovih namestnikov je pet let in se lahko enkrat podaljša.</w:t>
      </w:r>
      <w:r w:rsidR="00F93359">
        <w:rPr>
          <w:rFonts w:cs="Arial"/>
        </w:rPr>
        <w:t xml:space="preserve"> Upoštevaje jezikovno terminologijo </w:t>
      </w:r>
      <w:r w:rsidR="00F93359" w:rsidRPr="00115F14">
        <w:rPr>
          <w:rFonts w:cs="Arial"/>
        </w:rPr>
        <w:t>Uredb</w:t>
      </w:r>
      <w:r w:rsidR="005D14D7">
        <w:rPr>
          <w:rFonts w:cs="Arial"/>
        </w:rPr>
        <w:t>e</w:t>
      </w:r>
      <w:r w:rsidR="00F93359" w:rsidRPr="00115F14">
        <w:rPr>
          <w:rFonts w:cs="Arial"/>
        </w:rPr>
        <w:t xml:space="preserve"> </w:t>
      </w:r>
      <w:r w:rsidR="00F93359" w:rsidRPr="00115F14">
        <w:rPr>
          <w:rFonts w:eastAsia="Calibri" w:cs="Arial"/>
          <w:szCs w:val="20"/>
        </w:rPr>
        <w:t>2018/1727/EU</w:t>
      </w:r>
      <w:r w:rsidR="00F93359">
        <w:rPr>
          <w:rFonts w:eastAsia="Calibri" w:cs="Arial"/>
          <w:szCs w:val="20"/>
        </w:rPr>
        <w:t xml:space="preserve"> v angleškem, nemškem, hrvaškem, francoskem besedilu se navedeno nanaša na možnost </w:t>
      </w:r>
      <w:r w:rsidR="00D55A71">
        <w:rPr>
          <w:rFonts w:eastAsia="Calibri" w:cs="Arial"/>
          <w:szCs w:val="20"/>
        </w:rPr>
        <w:t>enkratne obnov</w:t>
      </w:r>
      <w:r w:rsidR="009208A1">
        <w:rPr>
          <w:rFonts w:eastAsia="Calibri" w:cs="Arial"/>
          <w:szCs w:val="20"/>
        </w:rPr>
        <w:t>itve</w:t>
      </w:r>
      <w:r w:rsidR="00D55A71">
        <w:rPr>
          <w:rFonts w:eastAsia="Calibri" w:cs="Arial"/>
          <w:szCs w:val="20"/>
        </w:rPr>
        <w:t xml:space="preserve"> mandata. V izjemnih primerih pa lahko po izteku mandata nacionalni predstavnik nadaljuje delo nacionalnega predstavnika v </w:t>
      </w:r>
      <w:proofErr w:type="spellStart"/>
      <w:r w:rsidR="00D55A71">
        <w:rPr>
          <w:rFonts w:eastAsia="Calibri" w:cs="Arial"/>
          <w:szCs w:val="20"/>
        </w:rPr>
        <w:t>Eurojust</w:t>
      </w:r>
      <w:r w:rsidR="005D14D7">
        <w:rPr>
          <w:rFonts w:eastAsia="Calibri" w:cs="Arial"/>
          <w:szCs w:val="20"/>
        </w:rPr>
        <w:t>u</w:t>
      </w:r>
      <w:proofErr w:type="spellEnd"/>
      <w:r w:rsidR="00D55A71">
        <w:rPr>
          <w:rFonts w:eastAsia="Calibri" w:cs="Arial"/>
          <w:szCs w:val="20"/>
        </w:rPr>
        <w:t xml:space="preserve"> do obnov</w:t>
      </w:r>
      <w:r w:rsidR="009208A1">
        <w:rPr>
          <w:rFonts w:eastAsia="Calibri" w:cs="Arial"/>
          <w:szCs w:val="20"/>
        </w:rPr>
        <w:t>itve</w:t>
      </w:r>
      <w:r w:rsidR="00D55A71">
        <w:rPr>
          <w:rFonts w:eastAsia="Calibri" w:cs="Arial"/>
          <w:szCs w:val="20"/>
        </w:rPr>
        <w:t xml:space="preserve"> mandata oziroma njegove zamenjave. </w:t>
      </w:r>
      <w:r w:rsidR="002545A3">
        <w:rPr>
          <w:rFonts w:eastAsia="Calibri" w:cs="Arial"/>
          <w:szCs w:val="20"/>
        </w:rPr>
        <w:t xml:space="preserve">Določitev postopka </w:t>
      </w:r>
      <w:r w:rsidR="002545A3">
        <w:rPr>
          <w:rFonts w:eastAsia="Calibri" w:cs="Arial"/>
          <w:szCs w:val="20"/>
        </w:rPr>
        <w:lastRenderedPageBreak/>
        <w:t xml:space="preserve">ponovnega </w:t>
      </w:r>
      <w:r w:rsidR="009208A1">
        <w:rPr>
          <w:rFonts w:eastAsia="Calibri" w:cs="Arial"/>
          <w:szCs w:val="20"/>
        </w:rPr>
        <w:t xml:space="preserve">imenovanja oziroma obnovitve mandata </w:t>
      </w:r>
      <w:r w:rsidR="002545A3">
        <w:rPr>
          <w:rFonts w:eastAsia="Calibri" w:cs="Arial"/>
          <w:szCs w:val="20"/>
        </w:rPr>
        <w:t xml:space="preserve">je v diskreciji držav članic. </w:t>
      </w:r>
      <w:r w:rsidR="00D55A71">
        <w:rPr>
          <w:rFonts w:eastAsia="Calibri" w:cs="Arial"/>
          <w:szCs w:val="20"/>
        </w:rPr>
        <w:t xml:space="preserve">Trajanje </w:t>
      </w:r>
      <w:r w:rsidR="00D55A71">
        <w:rPr>
          <w:rFonts w:cs="Arial"/>
        </w:rPr>
        <w:t>m</w:t>
      </w:r>
      <w:r w:rsidRPr="00115F14">
        <w:rPr>
          <w:rFonts w:cs="Arial"/>
        </w:rPr>
        <w:t xml:space="preserve">andata pomočnika nacionalnega predstavnika </w:t>
      </w:r>
      <w:r w:rsidRPr="00115F14">
        <w:rPr>
          <w:rFonts w:eastAsia="Calibri" w:cs="Arial"/>
          <w:szCs w:val="20"/>
        </w:rPr>
        <w:t>Uredba 2018/1727/EU ne določa, zato je njegova določitev v diskreciji držav članic.</w:t>
      </w:r>
      <w:r w:rsidR="002545A3">
        <w:rPr>
          <w:rFonts w:eastAsia="Calibri" w:cs="Arial"/>
          <w:szCs w:val="20"/>
        </w:rPr>
        <w:t xml:space="preserve"> </w:t>
      </w:r>
      <w:r w:rsidR="00D55A71">
        <w:rPr>
          <w:rFonts w:eastAsia="Calibri" w:cs="Arial"/>
          <w:szCs w:val="20"/>
        </w:rPr>
        <w:t xml:space="preserve"> </w:t>
      </w:r>
    </w:p>
    <w:p w:rsidR="00AE2155" w:rsidRDefault="00AE2155" w:rsidP="00B644CC">
      <w:pPr>
        <w:spacing w:line="288" w:lineRule="auto"/>
        <w:jc w:val="both"/>
        <w:rPr>
          <w:rFonts w:cs="Arial"/>
        </w:rPr>
      </w:pPr>
    </w:p>
    <w:p w:rsidR="009208A1" w:rsidRPr="009208A1" w:rsidRDefault="009208A1" w:rsidP="00B644CC">
      <w:pPr>
        <w:spacing w:line="288" w:lineRule="auto"/>
        <w:jc w:val="both"/>
        <w:rPr>
          <w:rFonts w:cs="Arial"/>
        </w:rPr>
      </w:pPr>
      <w:bookmarkStart w:id="1" w:name="_Hlk40860320"/>
      <w:r w:rsidRPr="009208A1">
        <w:rPr>
          <w:rFonts w:cs="Arial"/>
        </w:rPr>
        <w:t>V zvezi z vprašanjem postopka podaljšanja</w:t>
      </w:r>
      <w:r>
        <w:rPr>
          <w:rFonts w:cs="Arial"/>
        </w:rPr>
        <w:t xml:space="preserve"> oziroma </w:t>
      </w:r>
      <w:r w:rsidRPr="009208A1">
        <w:rPr>
          <w:rFonts w:cs="Arial"/>
        </w:rPr>
        <w:t xml:space="preserve">obnovitve mandata nacionalnega člana je pomembno, da gre za nacionalnega člana, ki je napoten </w:t>
      </w:r>
      <w:r w:rsidR="00863752">
        <w:rPr>
          <w:rFonts w:cs="Arial"/>
        </w:rPr>
        <w:t xml:space="preserve">v </w:t>
      </w:r>
      <w:proofErr w:type="spellStart"/>
      <w:r w:rsidR="00863752">
        <w:rPr>
          <w:rFonts w:cs="Arial"/>
        </w:rPr>
        <w:t>Eurojust</w:t>
      </w:r>
      <w:proofErr w:type="spellEnd"/>
      <w:r w:rsidR="00863752">
        <w:rPr>
          <w:rFonts w:cs="Arial"/>
        </w:rPr>
        <w:t xml:space="preserve"> </w:t>
      </w:r>
      <w:r w:rsidRPr="009208A1">
        <w:rPr>
          <w:rFonts w:cs="Arial"/>
        </w:rPr>
        <w:t>(</w:t>
      </w:r>
      <w:r>
        <w:rPr>
          <w:rFonts w:cs="Arial"/>
        </w:rPr>
        <w:t>prvi odstavek 7. člena</w:t>
      </w:r>
      <w:r w:rsidRPr="009208A1">
        <w:rPr>
          <w:rFonts w:cs="Arial"/>
        </w:rPr>
        <w:t>. Uredbe</w:t>
      </w:r>
      <w:r>
        <w:rPr>
          <w:rFonts w:cs="Arial"/>
        </w:rPr>
        <w:t xml:space="preserve"> </w:t>
      </w:r>
      <w:r w:rsidRPr="00115F14">
        <w:rPr>
          <w:rFonts w:eastAsia="Calibri" w:cs="Arial"/>
          <w:szCs w:val="20"/>
        </w:rPr>
        <w:t>2018/1727/EU</w:t>
      </w:r>
      <w:r w:rsidRPr="009208A1">
        <w:rPr>
          <w:rFonts w:cs="Arial"/>
        </w:rPr>
        <w:t xml:space="preserve">). Sam obseg veljavnosti Uredbe </w:t>
      </w:r>
      <w:r w:rsidRPr="00115F14">
        <w:rPr>
          <w:rFonts w:eastAsia="Calibri" w:cs="Arial"/>
          <w:szCs w:val="20"/>
        </w:rPr>
        <w:t xml:space="preserve">2018/1727/EU </w:t>
      </w:r>
      <w:r w:rsidRPr="009208A1">
        <w:rPr>
          <w:rFonts w:cs="Arial"/>
        </w:rPr>
        <w:t>se ne razteza na postopek imenovanja oz</w:t>
      </w:r>
      <w:r>
        <w:rPr>
          <w:rFonts w:cs="Arial"/>
        </w:rPr>
        <w:t>iroma</w:t>
      </w:r>
      <w:r w:rsidRPr="009208A1">
        <w:rPr>
          <w:rFonts w:cs="Arial"/>
        </w:rPr>
        <w:t xml:space="preserve"> tega postopka Uredba</w:t>
      </w:r>
      <w:r>
        <w:rPr>
          <w:rFonts w:cs="Arial"/>
        </w:rPr>
        <w:t xml:space="preserve"> </w:t>
      </w:r>
      <w:r w:rsidRPr="00115F14">
        <w:rPr>
          <w:rFonts w:eastAsia="Calibri" w:cs="Arial"/>
          <w:szCs w:val="20"/>
        </w:rPr>
        <w:t>2018/1727/EU</w:t>
      </w:r>
      <w:r w:rsidRPr="009208A1">
        <w:rPr>
          <w:rFonts w:cs="Arial"/>
        </w:rPr>
        <w:t xml:space="preserve"> ne ureja. Države članice </w:t>
      </w:r>
      <w:r w:rsidR="005D14D7">
        <w:rPr>
          <w:rFonts w:cs="Arial"/>
        </w:rPr>
        <w:t>le</w:t>
      </w:r>
      <w:r w:rsidRPr="009208A1">
        <w:rPr>
          <w:rFonts w:cs="Arial"/>
        </w:rPr>
        <w:t xml:space="preserve"> notificirajo </w:t>
      </w:r>
      <w:proofErr w:type="spellStart"/>
      <w:r w:rsidRPr="009208A1">
        <w:rPr>
          <w:rFonts w:cs="Arial"/>
        </w:rPr>
        <w:t>Eurojust</w:t>
      </w:r>
      <w:proofErr w:type="spellEnd"/>
      <w:r w:rsidRPr="009208A1">
        <w:rPr>
          <w:rFonts w:cs="Arial"/>
        </w:rPr>
        <w:t xml:space="preserve"> in Evropsko komisijo o imenovanju nacionaln</w:t>
      </w:r>
      <w:r w:rsidR="005D14D7">
        <w:rPr>
          <w:rFonts w:cs="Arial"/>
        </w:rPr>
        <w:t>ih</w:t>
      </w:r>
      <w:r w:rsidRPr="009208A1">
        <w:rPr>
          <w:rFonts w:cs="Arial"/>
        </w:rPr>
        <w:t xml:space="preserve"> član</w:t>
      </w:r>
      <w:r w:rsidR="005D14D7">
        <w:rPr>
          <w:rFonts w:cs="Arial"/>
        </w:rPr>
        <w:t>ov</w:t>
      </w:r>
      <w:r w:rsidRPr="009208A1">
        <w:rPr>
          <w:rFonts w:cs="Arial"/>
        </w:rPr>
        <w:t xml:space="preserve"> (</w:t>
      </w:r>
      <w:r>
        <w:rPr>
          <w:rFonts w:cs="Arial"/>
        </w:rPr>
        <w:t>tretji odstavek 7. člena</w:t>
      </w:r>
      <w:r w:rsidRPr="009208A1">
        <w:rPr>
          <w:rFonts w:cs="Arial"/>
        </w:rPr>
        <w:t xml:space="preserve"> Uredbe</w:t>
      </w:r>
      <w:r>
        <w:rPr>
          <w:rFonts w:cs="Arial"/>
        </w:rPr>
        <w:t xml:space="preserve"> </w:t>
      </w:r>
      <w:r w:rsidRPr="00115F14">
        <w:rPr>
          <w:rFonts w:eastAsia="Calibri" w:cs="Arial"/>
          <w:szCs w:val="20"/>
        </w:rPr>
        <w:t>2018/1727/EU</w:t>
      </w:r>
      <w:r w:rsidRPr="009208A1">
        <w:rPr>
          <w:rFonts w:cs="Arial"/>
        </w:rPr>
        <w:t xml:space="preserve">). </w:t>
      </w:r>
    </w:p>
    <w:p w:rsidR="009208A1" w:rsidRPr="009208A1" w:rsidRDefault="009208A1" w:rsidP="00B644CC">
      <w:pPr>
        <w:spacing w:line="288" w:lineRule="auto"/>
        <w:jc w:val="both"/>
        <w:rPr>
          <w:rFonts w:cs="Arial"/>
        </w:rPr>
      </w:pPr>
    </w:p>
    <w:p w:rsidR="009208A1" w:rsidRDefault="009208A1" w:rsidP="00B644CC">
      <w:pPr>
        <w:spacing w:line="288" w:lineRule="auto"/>
        <w:jc w:val="both"/>
        <w:rPr>
          <w:rFonts w:cs="Arial"/>
        </w:rPr>
      </w:pPr>
      <w:r w:rsidRPr="009208A1">
        <w:rPr>
          <w:rFonts w:cs="Arial"/>
        </w:rPr>
        <w:t xml:space="preserve">Uredba </w:t>
      </w:r>
      <w:r w:rsidRPr="00115F14">
        <w:rPr>
          <w:rFonts w:eastAsia="Calibri" w:cs="Arial"/>
          <w:szCs w:val="20"/>
        </w:rPr>
        <w:t xml:space="preserve">2018/1727/EU </w:t>
      </w:r>
      <w:r w:rsidRPr="009208A1">
        <w:rPr>
          <w:rFonts w:cs="Arial"/>
        </w:rPr>
        <w:t xml:space="preserve">v </w:t>
      </w:r>
      <w:r>
        <w:rPr>
          <w:rFonts w:cs="Arial"/>
        </w:rPr>
        <w:t>petem odstavku 7. člena</w:t>
      </w:r>
      <w:r w:rsidRPr="009208A1">
        <w:rPr>
          <w:rFonts w:cs="Arial"/>
        </w:rPr>
        <w:t xml:space="preserve"> omejuje število mandatov na dva. Slovenska jezikovna različica uporablja termin »podaljšanje« mandata, pri čemer iz terminološke neenotnosti jezikovnih različic izhaja, da samega </w:t>
      </w:r>
      <w:r w:rsidR="005D14D7">
        <w:rPr>
          <w:rFonts w:cs="Arial"/>
        </w:rPr>
        <w:t>izraza</w:t>
      </w:r>
      <w:r w:rsidRPr="009208A1">
        <w:rPr>
          <w:rFonts w:cs="Arial"/>
        </w:rPr>
        <w:t xml:space="preserve"> </w:t>
      </w:r>
      <w:r w:rsidR="005D14D7">
        <w:rPr>
          <w:rFonts w:cs="Arial"/>
        </w:rPr>
        <w:t>»</w:t>
      </w:r>
      <w:r w:rsidRPr="009208A1">
        <w:rPr>
          <w:rFonts w:cs="Arial"/>
        </w:rPr>
        <w:t>podaljšanje</w:t>
      </w:r>
      <w:r w:rsidR="005D14D7">
        <w:rPr>
          <w:rFonts w:cs="Arial"/>
        </w:rPr>
        <w:t>«</w:t>
      </w:r>
      <w:r w:rsidRPr="009208A1">
        <w:rPr>
          <w:rFonts w:cs="Arial"/>
        </w:rPr>
        <w:t xml:space="preserve"> (</w:t>
      </w:r>
      <w:r>
        <w:rPr>
          <w:rFonts w:cs="Arial"/>
        </w:rPr>
        <w:t>angleška</w:t>
      </w:r>
      <w:r w:rsidRPr="009208A1">
        <w:rPr>
          <w:rFonts w:cs="Arial"/>
        </w:rPr>
        <w:t xml:space="preserve"> in </w:t>
      </w:r>
      <w:r>
        <w:rPr>
          <w:rFonts w:cs="Arial"/>
        </w:rPr>
        <w:t xml:space="preserve">francoska </w:t>
      </w:r>
      <w:r w:rsidRPr="009208A1">
        <w:rPr>
          <w:rFonts w:cs="Arial"/>
        </w:rPr>
        <w:t>jezikovn</w:t>
      </w:r>
      <w:r>
        <w:rPr>
          <w:rFonts w:cs="Arial"/>
        </w:rPr>
        <w:t>a</w:t>
      </w:r>
      <w:r w:rsidRPr="009208A1">
        <w:rPr>
          <w:rFonts w:cs="Arial"/>
        </w:rPr>
        <w:t xml:space="preserve"> različic</w:t>
      </w:r>
      <w:r>
        <w:rPr>
          <w:rFonts w:cs="Arial"/>
        </w:rPr>
        <w:t>a</w:t>
      </w:r>
      <w:r w:rsidRPr="009208A1">
        <w:rPr>
          <w:rFonts w:cs="Arial"/>
        </w:rPr>
        <w:t xml:space="preserve"> uporablja</w:t>
      </w:r>
      <w:r w:rsidR="005D14D7">
        <w:rPr>
          <w:rFonts w:cs="Arial"/>
        </w:rPr>
        <w:t>ta</w:t>
      </w:r>
      <w:r w:rsidRPr="009208A1">
        <w:rPr>
          <w:rFonts w:cs="Arial"/>
        </w:rPr>
        <w:t xml:space="preserve"> termin »obnovitev«) ne </w:t>
      </w:r>
      <w:r w:rsidR="005D14D7">
        <w:rPr>
          <w:rFonts w:cs="Arial"/>
        </w:rPr>
        <w:t xml:space="preserve">smemo </w:t>
      </w:r>
      <w:r w:rsidRPr="009208A1">
        <w:rPr>
          <w:rFonts w:cs="Arial"/>
        </w:rPr>
        <w:t>razumeti ozko</w:t>
      </w:r>
      <w:r w:rsidR="005E00EF">
        <w:rPr>
          <w:rFonts w:cs="Arial"/>
        </w:rPr>
        <w:t>, da bi se moral mandat nacionalnemu predstavniku po izteku dobe imenovanja še enkrat podaljšati brez novega pozivnega postopka</w:t>
      </w:r>
      <w:r w:rsidRPr="009208A1">
        <w:rPr>
          <w:rFonts w:cs="Arial"/>
        </w:rPr>
        <w:t xml:space="preserve">. Tako iz določb Uredbe </w:t>
      </w:r>
      <w:r w:rsidR="005E00EF" w:rsidRPr="00115F14">
        <w:rPr>
          <w:rFonts w:eastAsia="Calibri" w:cs="Arial"/>
          <w:szCs w:val="20"/>
        </w:rPr>
        <w:t xml:space="preserve">2018/1727/EU </w:t>
      </w:r>
      <w:r w:rsidRPr="009208A1">
        <w:rPr>
          <w:rFonts w:cs="Arial"/>
        </w:rPr>
        <w:t xml:space="preserve">o statusu nacionalnih članov kot tudi iz primerjalne analize </w:t>
      </w:r>
      <w:r w:rsidR="005D14D7">
        <w:rPr>
          <w:rFonts w:cs="Arial"/>
        </w:rPr>
        <w:t>drugih</w:t>
      </w:r>
      <w:r w:rsidRPr="009208A1">
        <w:rPr>
          <w:rFonts w:cs="Arial"/>
        </w:rPr>
        <w:t xml:space="preserve"> jezikovnih različic izhaja, da </w:t>
      </w:r>
      <w:r w:rsidR="005E00EF">
        <w:rPr>
          <w:rFonts w:cs="Arial"/>
        </w:rPr>
        <w:t>se</w:t>
      </w:r>
      <w:r w:rsidRPr="009208A1">
        <w:rPr>
          <w:rFonts w:cs="Arial"/>
        </w:rPr>
        <w:t xml:space="preserve"> pomen </w:t>
      </w:r>
      <w:r w:rsidR="005D14D7">
        <w:rPr>
          <w:rFonts w:cs="Arial"/>
        </w:rPr>
        <w:t>izraza</w:t>
      </w:r>
      <w:r w:rsidRPr="009208A1">
        <w:rPr>
          <w:rFonts w:cs="Arial"/>
        </w:rPr>
        <w:t xml:space="preserve"> »podaljšanje« </w:t>
      </w:r>
      <w:r w:rsidR="005E00EF">
        <w:rPr>
          <w:rFonts w:cs="Arial"/>
        </w:rPr>
        <w:t xml:space="preserve">ne nanaša na </w:t>
      </w:r>
      <w:r w:rsidRPr="009208A1">
        <w:rPr>
          <w:rFonts w:cs="Arial"/>
        </w:rPr>
        <w:t>urejanje nacionalnih postopkov imenovanja</w:t>
      </w:r>
      <w:r w:rsidR="005D14D7" w:rsidRPr="005D14D7">
        <w:rPr>
          <w:rFonts w:cs="Arial"/>
          <w:i/>
          <w:iCs/>
        </w:rPr>
        <w:t xml:space="preserve"> </w:t>
      </w:r>
      <w:r w:rsidR="005D14D7" w:rsidRPr="005E00EF">
        <w:rPr>
          <w:rFonts w:cs="Arial"/>
          <w:i/>
          <w:iCs/>
        </w:rPr>
        <w:t xml:space="preserve">de lege </w:t>
      </w:r>
      <w:proofErr w:type="spellStart"/>
      <w:r w:rsidR="005D14D7" w:rsidRPr="005E00EF">
        <w:rPr>
          <w:rFonts w:cs="Arial"/>
          <w:i/>
          <w:iCs/>
        </w:rPr>
        <w:t>ferenda</w:t>
      </w:r>
      <w:proofErr w:type="spellEnd"/>
      <w:r w:rsidRPr="009208A1">
        <w:rPr>
          <w:rFonts w:cs="Arial"/>
        </w:rPr>
        <w:t xml:space="preserve">, </w:t>
      </w:r>
      <w:r w:rsidR="005D14D7">
        <w:rPr>
          <w:rFonts w:cs="Arial"/>
        </w:rPr>
        <w:t>temveč</w:t>
      </w:r>
      <w:r w:rsidRPr="009208A1">
        <w:rPr>
          <w:rFonts w:cs="Arial"/>
        </w:rPr>
        <w:t xml:space="preserve"> </w:t>
      </w:r>
      <w:r w:rsidR="005E00EF">
        <w:rPr>
          <w:rFonts w:cs="Arial"/>
        </w:rPr>
        <w:t>na</w:t>
      </w:r>
      <w:r w:rsidRPr="009208A1">
        <w:rPr>
          <w:rFonts w:cs="Arial"/>
        </w:rPr>
        <w:t xml:space="preserve"> omejitev na dva mandata. Iz neenotnosti jezikovnih različic (</w:t>
      </w:r>
      <w:r w:rsidR="005E00EF">
        <w:rPr>
          <w:rFonts w:cs="Arial"/>
        </w:rPr>
        <w:t>v slovenskem jeziku</w:t>
      </w:r>
      <w:r w:rsidRPr="009208A1">
        <w:rPr>
          <w:rFonts w:cs="Arial"/>
        </w:rPr>
        <w:t xml:space="preserve">: podaljša; </w:t>
      </w:r>
      <w:r w:rsidR="005E00EF">
        <w:rPr>
          <w:rFonts w:cs="Arial"/>
        </w:rPr>
        <w:t>angleškem</w:t>
      </w:r>
      <w:r w:rsidRPr="009208A1">
        <w:rPr>
          <w:rFonts w:cs="Arial"/>
        </w:rPr>
        <w:t xml:space="preserve">: </w:t>
      </w:r>
      <w:proofErr w:type="spellStart"/>
      <w:r w:rsidRPr="009208A1">
        <w:rPr>
          <w:rFonts w:cs="Arial"/>
        </w:rPr>
        <w:t>renewable</w:t>
      </w:r>
      <w:proofErr w:type="spellEnd"/>
      <w:r w:rsidRPr="009208A1">
        <w:rPr>
          <w:rFonts w:cs="Arial"/>
        </w:rPr>
        <w:t xml:space="preserve">, </w:t>
      </w:r>
      <w:r w:rsidR="005E00EF">
        <w:rPr>
          <w:rFonts w:cs="Arial"/>
        </w:rPr>
        <w:t>francoskem</w:t>
      </w:r>
      <w:r w:rsidRPr="009208A1">
        <w:rPr>
          <w:rFonts w:cs="Arial"/>
        </w:rPr>
        <w:t xml:space="preserve">: </w:t>
      </w:r>
      <w:proofErr w:type="spellStart"/>
      <w:r w:rsidRPr="009208A1">
        <w:rPr>
          <w:rFonts w:cs="Arial"/>
        </w:rPr>
        <w:t>renouvelable</w:t>
      </w:r>
      <w:proofErr w:type="spellEnd"/>
      <w:r w:rsidRPr="009208A1">
        <w:rPr>
          <w:rFonts w:cs="Arial"/>
        </w:rPr>
        <w:t xml:space="preserve">; </w:t>
      </w:r>
      <w:r w:rsidR="005E00EF">
        <w:rPr>
          <w:rFonts w:cs="Arial"/>
        </w:rPr>
        <w:t>nemškem</w:t>
      </w:r>
      <w:r w:rsidRPr="009208A1">
        <w:rPr>
          <w:rFonts w:cs="Arial"/>
        </w:rPr>
        <w:t xml:space="preserve">: </w:t>
      </w:r>
      <w:proofErr w:type="spellStart"/>
      <w:r w:rsidRPr="009208A1">
        <w:rPr>
          <w:rFonts w:cs="Arial"/>
        </w:rPr>
        <w:t>verlängert</w:t>
      </w:r>
      <w:proofErr w:type="spellEnd"/>
      <w:r w:rsidRPr="009208A1">
        <w:rPr>
          <w:rFonts w:cs="Arial"/>
        </w:rPr>
        <w:t xml:space="preserve">; </w:t>
      </w:r>
      <w:r w:rsidR="005E00EF">
        <w:rPr>
          <w:rFonts w:cs="Arial"/>
        </w:rPr>
        <w:t>hrvaškem</w:t>
      </w:r>
      <w:r w:rsidRPr="009208A1">
        <w:rPr>
          <w:rFonts w:cs="Arial"/>
        </w:rPr>
        <w:t>: obnovit</w:t>
      </w:r>
      <w:r w:rsidR="005D14D7">
        <w:rPr>
          <w:rFonts w:cs="Arial"/>
        </w:rPr>
        <w:t>i</w:t>
      </w:r>
      <w:r w:rsidRPr="009208A1">
        <w:rPr>
          <w:rFonts w:cs="Arial"/>
        </w:rPr>
        <w:t>) izhaja, da gre pri terminu podaljšanje/obno</w:t>
      </w:r>
      <w:r w:rsidR="005E00EF">
        <w:rPr>
          <w:rFonts w:cs="Arial"/>
        </w:rPr>
        <w:t>vitev</w:t>
      </w:r>
      <w:r w:rsidRPr="009208A1">
        <w:rPr>
          <w:rFonts w:cs="Arial"/>
        </w:rPr>
        <w:t xml:space="preserve"> za splošnejši termin, ki ga </w:t>
      </w:r>
      <w:r w:rsidR="005D14D7">
        <w:rPr>
          <w:rFonts w:cs="Arial"/>
        </w:rPr>
        <w:t xml:space="preserve">moramo </w:t>
      </w:r>
      <w:r w:rsidRPr="009208A1">
        <w:rPr>
          <w:rFonts w:cs="Arial"/>
        </w:rPr>
        <w:t xml:space="preserve">razumeti v okviru </w:t>
      </w:r>
      <w:r w:rsidR="005E00EF">
        <w:rPr>
          <w:rFonts w:cs="Arial"/>
        </w:rPr>
        <w:t xml:space="preserve">namena </w:t>
      </w:r>
      <w:r w:rsidRPr="009208A1">
        <w:rPr>
          <w:rFonts w:cs="Arial"/>
        </w:rPr>
        <w:t>Uredbe</w:t>
      </w:r>
      <w:r w:rsidR="005E00EF">
        <w:rPr>
          <w:rFonts w:cs="Arial"/>
        </w:rPr>
        <w:t xml:space="preserve">, ki pa ni v </w:t>
      </w:r>
      <w:r w:rsidR="00E7688C">
        <w:rPr>
          <w:rFonts w:cs="Arial"/>
        </w:rPr>
        <w:t xml:space="preserve">posrednem ali neposrednem določanju </w:t>
      </w:r>
      <w:r w:rsidR="005D14D7">
        <w:rPr>
          <w:rFonts w:cs="Arial"/>
        </w:rPr>
        <w:t xml:space="preserve">notranjih </w:t>
      </w:r>
      <w:r w:rsidR="00E7688C">
        <w:rPr>
          <w:rFonts w:cs="Arial"/>
        </w:rPr>
        <w:t xml:space="preserve">postopkov imenovanja članov </w:t>
      </w:r>
      <w:proofErr w:type="spellStart"/>
      <w:r w:rsidR="00E7688C">
        <w:rPr>
          <w:rFonts w:cs="Arial"/>
        </w:rPr>
        <w:t>Eurojusta</w:t>
      </w:r>
      <w:proofErr w:type="spellEnd"/>
      <w:r w:rsidR="00E7688C">
        <w:rPr>
          <w:rFonts w:cs="Arial"/>
        </w:rPr>
        <w:t xml:space="preserve"> </w:t>
      </w:r>
      <w:r w:rsidR="005D14D7">
        <w:rPr>
          <w:rFonts w:cs="Arial"/>
        </w:rPr>
        <w:t xml:space="preserve">v državah članicah, </w:t>
      </w:r>
      <w:r w:rsidR="00E7688C">
        <w:rPr>
          <w:rFonts w:cs="Arial"/>
        </w:rPr>
        <w:t>temveč</w:t>
      </w:r>
      <w:r w:rsidR="005D14D7">
        <w:rPr>
          <w:rFonts w:cs="Arial"/>
        </w:rPr>
        <w:t xml:space="preserve"> v</w:t>
      </w:r>
      <w:r w:rsidR="00E7688C">
        <w:rPr>
          <w:rFonts w:cs="Arial"/>
        </w:rPr>
        <w:t xml:space="preserve"> omejitvi trajnega mandata</w:t>
      </w:r>
      <w:r w:rsidRPr="009208A1">
        <w:rPr>
          <w:rFonts w:cs="Arial"/>
        </w:rPr>
        <w:t xml:space="preserve">. </w:t>
      </w:r>
    </w:p>
    <w:p w:rsidR="005E00EF" w:rsidRPr="009208A1" w:rsidRDefault="005E00EF" w:rsidP="00B644CC">
      <w:pPr>
        <w:spacing w:line="288" w:lineRule="auto"/>
        <w:jc w:val="both"/>
        <w:rPr>
          <w:rFonts w:cs="Arial"/>
        </w:rPr>
      </w:pPr>
    </w:p>
    <w:p w:rsidR="009208A1" w:rsidRDefault="009208A1" w:rsidP="00B644CC">
      <w:pPr>
        <w:spacing w:line="288" w:lineRule="auto"/>
        <w:jc w:val="both"/>
        <w:rPr>
          <w:rFonts w:cs="Arial"/>
        </w:rPr>
      </w:pPr>
      <w:r w:rsidRPr="009208A1">
        <w:rPr>
          <w:rFonts w:cs="Arial"/>
        </w:rPr>
        <w:t>Sicer zgoraj navedene jezikovne različice v analogni določbi 9. čl</w:t>
      </w:r>
      <w:r w:rsidR="00E7688C">
        <w:rPr>
          <w:rFonts w:cs="Arial"/>
        </w:rPr>
        <w:t>ena</w:t>
      </w:r>
      <w:r w:rsidRPr="009208A1">
        <w:rPr>
          <w:rFonts w:cs="Arial"/>
        </w:rPr>
        <w:t xml:space="preserve"> konsolidirane različice prej veljavnega Sklepa </w:t>
      </w:r>
      <w:r w:rsidR="00863752" w:rsidRPr="00115F14">
        <w:rPr>
          <w:rFonts w:cs="Arial"/>
        </w:rPr>
        <w:t>2002/187/PNZ</w:t>
      </w:r>
      <w:r w:rsidR="00863752" w:rsidRPr="009208A1">
        <w:rPr>
          <w:rFonts w:cs="Arial"/>
        </w:rPr>
        <w:t xml:space="preserve"> </w:t>
      </w:r>
      <w:r w:rsidRPr="009208A1">
        <w:rPr>
          <w:rFonts w:cs="Arial"/>
        </w:rPr>
        <w:t>uporabljajo iste izraze (</w:t>
      </w:r>
      <w:r w:rsidR="00E7688C">
        <w:rPr>
          <w:rFonts w:cs="Arial"/>
        </w:rPr>
        <w:t>v angleškem jeziku</w:t>
      </w:r>
      <w:r w:rsidRPr="009208A1">
        <w:rPr>
          <w:rFonts w:cs="Arial"/>
        </w:rPr>
        <w:t xml:space="preserve">: </w:t>
      </w:r>
      <w:proofErr w:type="spellStart"/>
      <w:r w:rsidRPr="009208A1">
        <w:rPr>
          <w:rFonts w:cs="Arial"/>
        </w:rPr>
        <w:t>renew</w:t>
      </w:r>
      <w:proofErr w:type="spellEnd"/>
      <w:r w:rsidRPr="009208A1">
        <w:rPr>
          <w:rFonts w:cs="Arial"/>
        </w:rPr>
        <w:t xml:space="preserve">; </w:t>
      </w:r>
      <w:r w:rsidR="00E7688C">
        <w:rPr>
          <w:rFonts w:cs="Arial"/>
        </w:rPr>
        <w:t>nemškem</w:t>
      </w:r>
      <w:r w:rsidRPr="009208A1">
        <w:rPr>
          <w:rFonts w:cs="Arial"/>
        </w:rPr>
        <w:t xml:space="preserve">: </w:t>
      </w:r>
      <w:proofErr w:type="spellStart"/>
      <w:r w:rsidRPr="009208A1">
        <w:rPr>
          <w:rFonts w:cs="Arial"/>
        </w:rPr>
        <w:t>verlängern</w:t>
      </w:r>
      <w:proofErr w:type="spellEnd"/>
      <w:r w:rsidRPr="009208A1">
        <w:rPr>
          <w:rFonts w:cs="Arial"/>
        </w:rPr>
        <w:t xml:space="preserve">; </w:t>
      </w:r>
      <w:r w:rsidR="00E7688C">
        <w:rPr>
          <w:rFonts w:cs="Arial"/>
        </w:rPr>
        <w:t>francoskem</w:t>
      </w:r>
      <w:r w:rsidRPr="009208A1">
        <w:rPr>
          <w:rFonts w:cs="Arial"/>
        </w:rPr>
        <w:t xml:space="preserve">: </w:t>
      </w:r>
      <w:proofErr w:type="spellStart"/>
      <w:r w:rsidRPr="009208A1">
        <w:rPr>
          <w:rFonts w:cs="Arial"/>
        </w:rPr>
        <w:t>renouveler</w:t>
      </w:r>
      <w:proofErr w:type="spellEnd"/>
      <w:r w:rsidRPr="009208A1">
        <w:rPr>
          <w:rFonts w:cs="Arial"/>
        </w:rPr>
        <w:t xml:space="preserve">) kot </w:t>
      </w:r>
      <w:r w:rsidR="00A6688B">
        <w:rPr>
          <w:rFonts w:cs="Arial"/>
        </w:rPr>
        <w:t>tehtne</w:t>
      </w:r>
      <w:r w:rsidRPr="009208A1">
        <w:rPr>
          <w:rFonts w:cs="Arial"/>
        </w:rPr>
        <w:t xml:space="preserve"> jezikovne različice </w:t>
      </w:r>
      <w:r w:rsidR="00A6688B">
        <w:rPr>
          <w:rFonts w:cs="Arial"/>
        </w:rPr>
        <w:t>zdaj</w:t>
      </w:r>
      <w:r w:rsidRPr="009208A1">
        <w:rPr>
          <w:rFonts w:cs="Arial"/>
        </w:rPr>
        <w:t xml:space="preserve"> veljavne Uredbe</w:t>
      </w:r>
      <w:r w:rsidR="00E7688C">
        <w:rPr>
          <w:rFonts w:cs="Arial"/>
        </w:rPr>
        <w:t xml:space="preserve"> </w:t>
      </w:r>
      <w:r w:rsidR="00E7688C" w:rsidRPr="00115F14">
        <w:rPr>
          <w:rFonts w:eastAsia="Calibri" w:cs="Arial"/>
          <w:szCs w:val="20"/>
        </w:rPr>
        <w:t>2018/1727/EU</w:t>
      </w:r>
      <w:r w:rsidRPr="009208A1">
        <w:rPr>
          <w:rFonts w:cs="Arial"/>
        </w:rPr>
        <w:t xml:space="preserve">. Izjema je slovenska jezikovna različica, ki v prejšnjem Sklepu </w:t>
      </w:r>
      <w:r w:rsidR="00863752" w:rsidRPr="00115F14">
        <w:rPr>
          <w:rFonts w:cs="Arial"/>
        </w:rPr>
        <w:t>2002/187/PNZ</w:t>
      </w:r>
      <w:r w:rsidR="00863752" w:rsidRPr="009208A1">
        <w:rPr>
          <w:rFonts w:cs="Arial"/>
        </w:rPr>
        <w:t xml:space="preserve"> </w:t>
      </w:r>
      <w:r w:rsidRPr="009208A1">
        <w:rPr>
          <w:rFonts w:cs="Arial"/>
        </w:rPr>
        <w:t xml:space="preserve">uporablja izraz »obnovi«. Gre za terminološko rešitev slovenskega prevajalca, vsebinsko pa tako prejšnji </w:t>
      </w:r>
      <w:r w:rsidR="00863752">
        <w:rPr>
          <w:rFonts w:cs="Arial"/>
        </w:rPr>
        <w:t>S</w:t>
      </w:r>
      <w:r w:rsidRPr="009208A1">
        <w:rPr>
          <w:rFonts w:cs="Arial"/>
        </w:rPr>
        <w:t xml:space="preserve">klep </w:t>
      </w:r>
      <w:r w:rsidR="00863752" w:rsidRPr="00115F14">
        <w:rPr>
          <w:rFonts w:cs="Arial"/>
        </w:rPr>
        <w:t>2002/187/PNZ</w:t>
      </w:r>
      <w:r w:rsidRPr="009208A1">
        <w:rPr>
          <w:rFonts w:cs="Arial"/>
        </w:rPr>
        <w:t xml:space="preserve">, kot tudi nova </w:t>
      </w:r>
      <w:r w:rsidR="00863752">
        <w:rPr>
          <w:rFonts w:cs="Arial"/>
        </w:rPr>
        <w:t>u</w:t>
      </w:r>
      <w:r w:rsidRPr="009208A1">
        <w:rPr>
          <w:rFonts w:cs="Arial"/>
        </w:rPr>
        <w:t>redba</w:t>
      </w:r>
      <w:r w:rsidR="00E7688C">
        <w:rPr>
          <w:rFonts w:cs="Arial"/>
        </w:rPr>
        <w:t xml:space="preserve"> </w:t>
      </w:r>
      <w:r w:rsidR="00E7688C" w:rsidRPr="00115F14">
        <w:rPr>
          <w:rFonts w:eastAsia="Calibri" w:cs="Arial"/>
          <w:szCs w:val="20"/>
        </w:rPr>
        <w:t>2018/1727/EU</w:t>
      </w:r>
      <w:r w:rsidRPr="009208A1">
        <w:rPr>
          <w:rFonts w:cs="Arial"/>
        </w:rPr>
        <w:t xml:space="preserve"> ne urejata postopkov imenovanja nacionalnih </w:t>
      </w:r>
      <w:r w:rsidR="00E7688C">
        <w:rPr>
          <w:rFonts w:cs="Arial"/>
        </w:rPr>
        <w:t xml:space="preserve">članov </w:t>
      </w:r>
      <w:proofErr w:type="spellStart"/>
      <w:r w:rsidR="00E7688C">
        <w:rPr>
          <w:rFonts w:cs="Arial"/>
        </w:rPr>
        <w:t>Eurojust</w:t>
      </w:r>
      <w:r w:rsidR="00A6688B">
        <w:rPr>
          <w:rFonts w:cs="Arial"/>
        </w:rPr>
        <w:t>a</w:t>
      </w:r>
      <w:proofErr w:type="spellEnd"/>
      <w:r w:rsidR="00A6688B">
        <w:rPr>
          <w:rFonts w:cs="Arial"/>
        </w:rPr>
        <w:t xml:space="preserve"> v državah članicah</w:t>
      </w:r>
      <w:r w:rsidRPr="009208A1">
        <w:rPr>
          <w:rFonts w:cs="Arial"/>
        </w:rPr>
        <w:t xml:space="preserve">.  </w:t>
      </w:r>
    </w:p>
    <w:bookmarkEnd w:id="1"/>
    <w:p w:rsidR="00E7688C" w:rsidRPr="00115F14" w:rsidRDefault="00E7688C" w:rsidP="00B644CC">
      <w:pPr>
        <w:spacing w:line="288" w:lineRule="auto"/>
        <w:jc w:val="both"/>
        <w:rPr>
          <w:rFonts w:cs="Arial"/>
        </w:rPr>
      </w:pPr>
    </w:p>
    <w:p w:rsidR="00AE2155" w:rsidRPr="00115F14" w:rsidRDefault="00AE2155" w:rsidP="00B644CC">
      <w:pPr>
        <w:spacing w:line="288" w:lineRule="auto"/>
        <w:jc w:val="both"/>
        <w:rPr>
          <w:rFonts w:cs="Arial"/>
        </w:rPr>
      </w:pPr>
      <w:r w:rsidRPr="00115F14">
        <w:rPr>
          <w:rFonts w:cs="Arial"/>
          <w:b/>
        </w:rPr>
        <w:t xml:space="preserve">Kolegij </w:t>
      </w:r>
      <w:proofErr w:type="spellStart"/>
      <w:r w:rsidRPr="00115F14">
        <w:rPr>
          <w:rFonts w:cs="Arial"/>
        </w:rPr>
        <w:t>Eurojusta</w:t>
      </w:r>
      <w:proofErr w:type="spellEnd"/>
      <w:r w:rsidRPr="00115F14">
        <w:rPr>
          <w:rFonts w:cs="Arial"/>
        </w:rPr>
        <w:t xml:space="preserve">, ki ga sestavljajo vsi nacionalni </w:t>
      </w:r>
      <w:r>
        <w:rPr>
          <w:rFonts w:cs="Arial"/>
        </w:rPr>
        <w:t>predstavniki</w:t>
      </w:r>
      <w:r w:rsidRPr="00115F14">
        <w:rPr>
          <w:rFonts w:cs="Arial"/>
        </w:rPr>
        <w:t xml:space="preserve">, bo še naprej opravljal svoje naloge, prav tako ohranja svojo vlogo tudi upravni direktor. Kolegij je odgovoren za operativno delo in ima ključne upravljavske funkcije, kot so sprejetje proračuna, letni in večletni program dela, letno poročilo, izvolitev predsednika in dveh podpredsednikov </w:t>
      </w:r>
      <w:proofErr w:type="spellStart"/>
      <w:r w:rsidRPr="00115F14">
        <w:rPr>
          <w:rFonts w:cs="Arial"/>
        </w:rPr>
        <w:t>Eurojusta</w:t>
      </w:r>
      <w:proofErr w:type="spellEnd"/>
      <w:r>
        <w:rPr>
          <w:rFonts w:cs="Arial"/>
        </w:rPr>
        <w:t xml:space="preserve"> </w:t>
      </w:r>
      <w:r w:rsidRPr="00115F14">
        <w:rPr>
          <w:rFonts w:cs="Arial"/>
        </w:rPr>
        <w:t>ter imenovanje upravnega direktorja.</w:t>
      </w:r>
    </w:p>
    <w:p w:rsidR="00AE2155" w:rsidRPr="00115F14" w:rsidRDefault="00AE2155" w:rsidP="00B644CC">
      <w:pPr>
        <w:spacing w:line="288" w:lineRule="auto"/>
        <w:jc w:val="both"/>
        <w:rPr>
          <w:rFonts w:cs="Arial"/>
        </w:rPr>
      </w:pPr>
    </w:p>
    <w:p w:rsidR="00AE2155" w:rsidRPr="00115F14" w:rsidRDefault="00AE2155" w:rsidP="00B644CC">
      <w:pPr>
        <w:spacing w:line="288" w:lineRule="auto"/>
        <w:jc w:val="both"/>
        <w:rPr>
          <w:rFonts w:cs="Arial"/>
        </w:rPr>
      </w:pPr>
      <w:r w:rsidRPr="00115F14">
        <w:rPr>
          <w:rFonts w:cs="Arial"/>
        </w:rPr>
        <w:t xml:space="preserve">Za pomoč kolegiju je bil z </w:t>
      </w:r>
      <w:r w:rsidRPr="00115F14">
        <w:rPr>
          <w:rFonts w:eastAsia="Calibri" w:cs="Arial"/>
          <w:szCs w:val="20"/>
        </w:rPr>
        <w:t>Uredbo 2018/1727/EU</w:t>
      </w:r>
      <w:r>
        <w:rPr>
          <w:rFonts w:eastAsia="Calibri" w:cs="Arial"/>
          <w:szCs w:val="20"/>
        </w:rPr>
        <w:t xml:space="preserve"> </w:t>
      </w:r>
      <w:r w:rsidRPr="00115F14">
        <w:rPr>
          <w:rFonts w:cs="Arial"/>
        </w:rPr>
        <w:t xml:space="preserve">ustanovljen </w:t>
      </w:r>
      <w:r w:rsidRPr="00115F14">
        <w:rPr>
          <w:rFonts w:cs="Arial"/>
          <w:b/>
        </w:rPr>
        <w:t>izvršni odbor</w:t>
      </w:r>
      <w:r w:rsidRPr="00115F14">
        <w:rPr>
          <w:rFonts w:cs="Arial"/>
        </w:rPr>
        <w:t>, k</w:t>
      </w:r>
      <w:r w:rsidR="00A6688B">
        <w:rPr>
          <w:rFonts w:cs="Arial"/>
        </w:rPr>
        <w:t>aterega člani so</w:t>
      </w:r>
      <w:r w:rsidRPr="00115F14">
        <w:rPr>
          <w:rFonts w:cs="Arial"/>
        </w:rPr>
        <w:t>:</w:t>
      </w:r>
    </w:p>
    <w:p w:rsidR="00AE2155" w:rsidRPr="00115F14" w:rsidRDefault="00AE2155" w:rsidP="008647C7">
      <w:pPr>
        <w:numPr>
          <w:ilvl w:val="0"/>
          <w:numId w:val="4"/>
        </w:numPr>
        <w:spacing w:line="288" w:lineRule="auto"/>
        <w:ind w:left="284" w:hanging="284"/>
        <w:jc w:val="both"/>
        <w:rPr>
          <w:rFonts w:cs="Arial"/>
        </w:rPr>
      </w:pPr>
      <w:r w:rsidRPr="00115F14">
        <w:rPr>
          <w:rFonts w:cs="Arial"/>
        </w:rPr>
        <w:t>predsednik in podpredsednik</w:t>
      </w:r>
      <w:r>
        <w:rPr>
          <w:rFonts w:cs="Arial"/>
        </w:rPr>
        <w:t xml:space="preserve"> </w:t>
      </w:r>
      <w:proofErr w:type="spellStart"/>
      <w:r w:rsidRPr="00115F14">
        <w:rPr>
          <w:rFonts w:cs="Arial"/>
        </w:rPr>
        <w:t>Eurojusta</w:t>
      </w:r>
      <w:proofErr w:type="spellEnd"/>
      <w:r w:rsidRPr="00115F14">
        <w:rPr>
          <w:rFonts w:cs="Arial"/>
        </w:rPr>
        <w:t>,</w:t>
      </w:r>
    </w:p>
    <w:p w:rsidR="00AE2155" w:rsidRPr="00115F14" w:rsidRDefault="00AE2155" w:rsidP="008647C7">
      <w:pPr>
        <w:numPr>
          <w:ilvl w:val="0"/>
          <w:numId w:val="4"/>
        </w:numPr>
        <w:spacing w:line="288" w:lineRule="auto"/>
        <w:ind w:left="284" w:hanging="284"/>
        <w:jc w:val="both"/>
        <w:rPr>
          <w:rFonts w:cs="Arial"/>
        </w:rPr>
      </w:pPr>
      <w:r w:rsidRPr="00115F14">
        <w:rPr>
          <w:rFonts w:cs="Arial"/>
        </w:rPr>
        <w:t>predstavnik Evropske komisije</w:t>
      </w:r>
      <w:r>
        <w:rPr>
          <w:rFonts w:cs="Arial"/>
        </w:rPr>
        <w:t xml:space="preserve"> </w:t>
      </w:r>
      <w:r w:rsidRPr="00115F14">
        <w:rPr>
          <w:rFonts w:cs="Arial"/>
        </w:rPr>
        <w:t>in</w:t>
      </w:r>
    </w:p>
    <w:p w:rsidR="00AE2155" w:rsidRPr="00115F14" w:rsidRDefault="00AE2155" w:rsidP="008647C7">
      <w:pPr>
        <w:numPr>
          <w:ilvl w:val="0"/>
          <w:numId w:val="4"/>
        </w:numPr>
        <w:spacing w:line="288" w:lineRule="auto"/>
        <w:ind w:left="284" w:hanging="284"/>
        <w:jc w:val="both"/>
        <w:rPr>
          <w:rFonts w:cs="Arial"/>
        </w:rPr>
      </w:pPr>
      <w:r w:rsidRPr="00115F14">
        <w:rPr>
          <w:rFonts w:cs="Arial"/>
        </w:rPr>
        <w:t xml:space="preserve">dva druga nacionalna </w:t>
      </w:r>
      <w:r>
        <w:rPr>
          <w:rFonts w:cs="Arial"/>
        </w:rPr>
        <w:t>predstavnika</w:t>
      </w:r>
      <w:r w:rsidR="005719E8">
        <w:rPr>
          <w:rFonts w:cs="Arial"/>
        </w:rPr>
        <w:t>,</w:t>
      </w:r>
      <w:r w:rsidRPr="00115F14">
        <w:rPr>
          <w:rFonts w:cs="Arial"/>
        </w:rPr>
        <w:t xml:space="preserve"> imenovana po dvoletnem načelu rotacije.</w:t>
      </w:r>
    </w:p>
    <w:p w:rsidR="00AE2155" w:rsidRPr="00115F14" w:rsidRDefault="00AE2155" w:rsidP="00B644CC">
      <w:pPr>
        <w:spacing w:line="288" w:lineRule="auto"/>
        <w:jc w:val="both"/>
        <w:rPr>
          <w:rFonts w:cs="Arial"/>
        </w:rPr>
      </w:pPr>
    </w:p>
    <w:p w:rsidR="00AE2155" w:rsidRPr="00115F14" w:rsidRDefault="00AE2155" w:rsidP="00B644CC">
      <w:pPr>
        <w:spacing w:line="288" w:lineRule="auto"/>
        <w:jc w:val="both"/>
        <w:rPr>
          <w:rFonts w:cs="Arial"/>
        </w:rPr>
      </w:pPr>
      <w:r w:rsidRPr="00115F14">
        <w:rPr>
          <w:rFonts w:cs="Arial"/>
        </w:rPr>
        <w:t xml:space="preserve">Izvršni odbor je tako pristojen za sprejemanje upravnih odločitev za zagotovitev pravilnega delovanja </w:t>
      </w:r>
      <w:proofErr w:type="spellStart"/>
      <w:r w:rsidRPr="00115F14">
        <w:rPr>
          <w:rFonts w:cs="Arial"/>
        </w:rPr>
        <w:t>Eurojusta</w:t>
      </w:r>
      <w:proofErr w:type="spellEnd"/>
      <w:r w:rsidRPr="00115F14">
        <w:rPr>
          <w:rFonts w:cs="Arial"/>
        </w:rPr>
        <w:t>, za sprejem finančnih pravil</w:t>
      </w:r>
      <w:r w:rsidR="005719E8">
        <w:rPr>
          <w:rFonts w:cs="Arial"/>
        </w:rPr>
        <w:t xml:space="preserve"> in</w:t>
      </w:r>
      <w:r w:rsidRPr="00115F14">
        <w:rPr>
          <w:rFonts w:cs="Arial"/>
        </w:rPr>
        <w:t xml:space="preserve"> pregled letnega poročila </w:t>
      </w:r>
      <w:proofErr w:type="spellStart"/>
      <w:r w:rsidRPr="00115F14">
        <w:rPr>
          <w:rFonts w:cs="Arial"/>
        </w:rPr>
        <w:t>Eurojusta</w:t>
      </w:r>
      <w:proofErr w:type="spellEnd"/>
      <w:r w:rsidRPr="00115F14">
        <w:rPr>
          <w:rFonts w:cs="Arial"/>
        </w:rPr>
        <w:t xml:space="preserve"> ter drugih upravnih dokumentov, za vzpostavitev in spreminjanje notranjih upravnih struktur, za sprejem strategije </w:t>
      </w:r>
      <w:proofErr w:type="spellStart"/>
      <w:r w:rsidRPr="00115F14">
        <w:rPr>
          <w:rFonts w:cs="Arial"/>
        </w:rPr>
        <w:t>Eurojusta</w:t>
      </w:r>
      <w:proofErr w:type="spellEnd"/>
      <w:r w:rsidRPr="00115F14">
        <w:rPr>
          <w:rFonts w:cs="Arial"/>
        </w:rPr>
        <w:t xml:space="preserve"> za boj proti goljufijam in sprejem izvedbenih pravil za uveljavitev kadrovskih </w:t>
      </w:r>
      <w:r w:rsidRPr="00115F14">
        <w:rPr>
          <w:rFonts w:cs="Arial"/>
        </w:rPr>
        <w:lastRenderedPageBreak/>
        <w:t xml:space="preserve">predpisov za uradnike EU in Pogojev za zaposlitev drugih uslužbencev EU. </w:t>
      </w:r>
      <w:r w:rsidR="005719E8">
        <w:rPr>
          <w:rFonts w:cs="Arial"/>
        </w:rPr>
        <w:t>I</w:t>
      </w:r>
      <w:r w:rsidRPr="00115F14">
        <w:rPr>
          <w:rFonts w:cs="Arial"/>
        </w:rPr>
        <w:t>zvršni odbor ni vključen</w:t>
      </w:r>
      <w:r w:rsidR="005719E8">
        <w:rPr>
          <w:rFonts w:cs="Arial"/>
        </w:rPr>
        <w:t xml:space="preserve"> v operativne funkcije </w:t>
      </w:r>
      <w:proofErr w:type="spellStart"/>
      <w:r w:rsidR="005719E8">
        <w:rPr>
          <w:rFonts w:cs="Arial"/>
        </w:rPr>
        <w:t>Eurojusta</w:t>
      </w:r>
      <w:proofErr w:type="spellEnd"/>
      <w:r w:rsidRPr="00115F14">
        <w:rPr>
          <w:rFonts w:cs="Arial"/>
        </w:rPr>
        <w:t>.</w:t>
      </w:r>
    </w:p>
    <w:p w:rsidR="00AE2155" w:rsidRPr="00115F14" w:rsidRDefault="00AE2155" w:rsidP="00B644CC">
      <w:pPr>
        <w:spacing w:line="288" w:lineRule="auto"/>
        <w:jc w:val="both"/>
        <w:rPr>
          <w:rFonts w:cs="Arial"/>
        </w:rPr>
      </w:pPr>
    </w:p>
    <w:p w:rsidR="00AE2155" w:rsidRPr="00115F14" w:rsidRDefault="00AE2155" w:rsidP="00B644CC">
      <w:pPr>
        <w:spacing w:line="288" w:lineRule="auto"/>
        <w:jc w:val="both"/>
        <w:rPr>
          <w:rFonts w:cs="Arial"/>
        </w:rPr>
      </w:pPr>
      <w:r w:rsidRPr="00115F14">
        <w:rPr>
          <w:rFonts w:cs="Arial"/>
          <w:b/>
        </w:rPr>
        <w:t>Upravni direktor</w:t>
      </w:r>
      <w:r w:rsidRPr="00115F14">
        <w:rPr>
          <w:rFonts w:cs="Arial"/>
        </w:rPr>
        <w:t xml:space="preserve"> je začasni uslužbenec </w:t>
      </w:r>
      <w:proofErr w:type="spellStart"/>
      <w:r w:rsidRPr="00115F14">
        <w:rPr>
          <w:rFonts w:cs="Arial"/>
        </w:rPr>
        <w:t>Eurojusta</w:t>
      </w:r>
      <w:proofErr w:type="spellEnd"/>
      <w:r w:rsidRPr="00115F14">
        <w:rPr>
          <w:rFonts w:cs="Arial"/>
        </w:rPr>
        <w:t xml:space="preserve">, imenuje ga kolegij na predlog izvršnega odbora po izvedenem javnem izbirnem postopku, Upravni direktor se imenuje za obdobje štirih let z možnostjo, da se mu mandat enkrat podaljša za največ štiri leta. </w:t>
      </w:r>
      <w:r w:rsidR="005719E8">
        <w:rPr>
          <w:rFonts w:cs="Arial"/>
        </w:rPr>
        <w:t>U</w:t>
      </w:r>
      <w:r w:rsidRPr="00115F14">
        <w:rPr>
          <w:rFonts w:cs="Arial"/>
        </w:rPr>
        <w:t>deležuje</w:t>
      </w:r>
      <w:r w:rsidR="005719E8">
        <w:rPr>
          <w:rFonts w:cs="Arial"/>
        </w:rPr>
        <w:t xml:space="preserve"> se</w:t>
      </w:r>
      <w:r w:rsidRPr="00115F14">
        <w:rPr>
          <w:rFonts w:cs="Arial"/>
        </w:rPr>
        <w:t xml:space="preserve"> sej izvršnega odbora</w:t>
      </w:r>
      <w:r w:rsidR="005719E8">
        <w:rPr>
          <w:rFonts w:cs="Arial"/>
        </w:rPr>
        <w:t>,</w:t>
      </w:r>
      <w:r w:rsidRPr="00115F14">
        <w:rPr>
          <w:rFonts w:cs="Arial"/>
        </w:rPr>
        <w:t xml:space="preserve"> vendar nima</w:t>
      </w:r>
      <w:r>
        <w:rPr>
          <w:rFonts w:cs="Arial"/>
        </w:rPr>
        <w:t xml:space="preserve"> </w:t>
      </w:r>
      <w:r w:rsidRPr="00115F14">
        <w:rPr>
          <w:rFonts w:cs="Arial"/>
        </w:rPr>
        <w:t>glasovalne pravice. Kadar se na seji izvršnega odbora obravnavajo vprašanja</w:t>
      </w:r>
      <w:r w:rsidR="005719E8">
        <w:rPr>
          <w:rFonts w:cs="Arial"/>
        </w:rPr>
        <w:t>,</w:t>
      </w:r>
      <w:r w:rsidRPr="00115F14">
        <w:rPr>
          <w:rFonts w:cs="Arial"/>
        </w:rPr>
        <w:t xml:space="preserve"> pomembna za delovanje Evropskega javnega tožilstva</w:t>
      </w:r>
      <w:r w:rsidR="005719E8">
        <w:rPr>
          <w:rFonts w:cs="Arial"/>
        </w:rPr>
        <w:t>,</w:t>
      </w:r>
      <w:r w:rsidRPr="00115F14">
        <w:rPr>
          <w:rFonts w:cs="Arial"/>
        </w:rPr>
        <w:t xml:space="preserve"> </w:t>
      </w:r>
      <w:r w:rsidR="005719E8">
        <w:rPr>
          <w:rFonts w:cs="Arial"/>
        </w:rPr>
        <w:t>j</w:t>
      </w:r>
      <w:r w:rsidRPr="00115F14">
        <w:rPr>
          <w:rFonts w:cs="Arial"/>
        </w:rPr>
        <w:t>e na sejo povab</w:t>
      </w:r>
      <w:r w:rsidR="005719E8">
        <w:rPr>
          <w:rFonts w:cs="Arial"/>
        </w:rPr>
        <w:t>ljen</w:t>
      </w:r>
      <w:r w:rsidRPr="00115F14">
        <w:rPr>
          <w:rFonts w:cs="Arial"/>
        </w:rPr>
        <w:t xml:space="preserve"> tudi predstavnik Evropskega javnega tožilstva.</w:t>
      </w:r>
    </w:p>
    <w:p w:rsidR="00AE2155" w:rsidRPr="00115F14" w:rsidRDefault="00AE2155" w:rsidP="00B644CC">
      <w:pPr>
        <w:spacing w:line="288" w:lineRule="auto"/>
        <w:jc w:val="both"/>
        <w:rPr>
          <w:rFonts w:cs="Arial"/>
        </w:rPr>
      </w:pPr>
    </w:p>
    <w:p w:rsidR="00AE2155" w:rsidRPr="00115F14" w:rsidRDefault="00AE2155" w:rsidP="00B644CC">
      <w:pPr>
        <w:spacing w:line="288" w:lineRule="auto"/>
        <w:jc w:val="both"/>
        <w:rPr>
          <w:rFonts w:cs="Arial"/>
          <w:szCs w:val="20"/>
        </w:rPr>
      </w:pPr>
      <w:r w:rsidRPr="00115F14">
        <w:rPr>
          <w:rFonts w:eastAsia="Calibri" w:cs="Arial"/>
          <w:szCs w:val="20"/>
        </w:rPr>
        <w:t xml:space="preserve">Uredba 2018/1727/EU </w:t>
      </w:r>
      <w:r w:rsidRPr="00115F14">
        <w:rPr>
          <w:rFonts w:cs="Arial"/>
          <w:szCs w:val="20"/>
        </w:rPr>
        <w:t xml:space="preserve">je začela veljati 11. decembra 2018, uporabljati pa se je začela leto </w:t>
      </w:r>
      <w:r w:rsidR="005719E8">
        <w:rPr>
          <w:rFonts w:cs="Arial"/>
          <w:szCs w:val="20"/>
        </w:rPr>
        <w:t>pozneje</w:t>
      </w:r>
      <w:r w:rsidRPr="00115F14">
        <w:rPr>
          <w:rFonts w:cs="Arial"/>
          <w:szCs w:val="20"/>
        </w:rPr>
        <w:t xml:space="preserve"> 12. decembra 2019. J</w:t>
      </w:r>
      <w:r w:rsidRPr="00115F14">
        <w:t>e v celoti zavezujoča in se neposredno uporablja v državah članicah.</w:t>
      </w:r>
      <w:r>
        <w:t xml:space="preserve"> </w:t>
      </w:r>
      <w:r w:rsidRPr="00115F14">
        <w:rPr>
          <w:rFonts w:cs="Arial"/>
          <w:szCs w:val="20"/>
        </w:rPr>
        <w:t xml:space="preserve">Po prehodni določbi 80. člena </w:t>
      </w:r>
      <w:r w:rsidRPr="00115F14">
        <w:rPr>
          <w:rFonts w:eastAsia="Calibri" w:cs="Arial"/>
          <w:szCs w:val="20"/>
        </w:rPr>
        <w:t>Uredbe 2018/1727/EU</w:t>
      </w:r>
      <w:r w:rsidRPr="00115F14">
        <w:rPr>
          <w:rFonts w:cs="Arial"/>
          <w:szCs w:val="20"/>
        </w:rPr>
        <w:t xml:space="preserve"> je </w:t>
      </w:r>
      <w:proofErr w:type="spellStart"/>
      <w:r w:rsidRPr="00115F14">
        <w:rPr>
          <w:rFonts w:cs="Arial"/>
          <w:szCs w:val="20"/>
        </w:rPr>
        <w:t>Eurojust</w:t>
      </w:r>
      <w:proofErr w:type="spellEnd"/>
      <w:r w:rsidRPr="00115F14">
        <w:rPr>
          <w:rFonts w:cs="Arial"/>
          <w:szCs w:val="20"/>
        </w:rPr>
        <w:t xml:space="preserve"> splošni pravni naslednik glede vseh pogodb, ki jih je sklenil </w:t>
      </w:r>
      <w:proofErr w:type="spellStart"/>
      <w:r w:rsidRPr="00115F14">
        <w:rPr>
          <w:rFonts w:cs="Arial"/>
          <w:szCs w:val="20"/>
        </w:rPr>
        <w:t>Eurojust</w:t>
      </w:r>
      <w:proofErr w:type="spellEnd"/>
      <w:r w:rsidRPr="00115F14">
        <w:rPr>
          <w:rFonts w:cs="Arial"/>
          <w:szCs w:val="20"/>
        </w:rPr>
        <w:t>, kakor je bil ustanovljen s Sklepom 2002/187/PNZ, ter glede vseh njegovih obveznosti in lastnine, ki jo je pridobil.</w:t>
      </w:r>
      <w:r>
        <w:rPr>
          <w:rFonts w:cs="Arial"/>
          <w:szCs w:val="20"/>
        </w:rPr>
        <w:t xml:space="preserve"> </w:t>
      </w:r>
      <w:r w:rsidRPr="00115F14">
        <w:rPr>
          <w:rFonts w:cs="Arial"/>
          <w:szCs w:val="20"/>
        </w:rPr>
        <w:t>Nacionalni</w:t>
      </w:r>
      <w:r>
        <w:rPr>
          <w:rFonts w:cs="Arial"/>
          <w:szCs w:val="20"/>
        </w:rPr>
        <w:t xml:space="preserve"> predstavnik</w:t>
      </w:r>
      <w:r w:rsidRPr="00115F14">
        <w:rPr>
          <w:rFonts w:cs="Arial"/>
          <w:szCs w:val="20"/>
        </w:rPr>
        <w:t xml:space="preserve"> </w:t>
      </w:r>
      <w:proofErr w:type="spellStart"/>
      <w:r w:rsidRPr="00115F14">
        <w:rPr>
          <w:rFonts w:cs="Arial"/>
          <w:szCs w:val="20"/>
        </w:rPr>
        <w:t>Eurojusta</w:t>
      </w:r>
      <w:proofErr w:type="spellEnd"/>
      <w:r w:rsidRPr="00115F14">
        <w:rPr>
          <w:rFonts w:cs="Arial"/>
          <w:szCs w:val="20"/>
        </w:rPr>
        <w:t>, ki ga je po Sklepu 2002/187/PNZ imenovala vsaka država članica, prevzame</w:t>
      </w:r>
      <w:r>
        <w:rPr>
          <w:rFonts w:cs="Arial"/>
          <w:szCs w:val="20"/>
        </w:rPr>
        <w:t xml:space="preserve"> </w:t>
      </w:r>
      <w:r w:rsidRPr="00115F14">
        <w:rPr>
          <w:rFonts w:cs="Arial"/>
          <w:szCs w:val="20"/>
        </w:rPr>
        <w:t xml:space="preserve">na podlagi drugega oddelka poglavja II </w:t>
      </w:r>
      <w:r w:rsidRPr="00115F14">
        <w:rPr>
          <w:rFonts w:eastAsia="Calibri" w:cs="Arial"/>
          <w:szCs w:val="20"/>
        </w:rPr>
        <w:t>Uredbe 2018/1727/EU</w:t>
      </w:r>
      <w:r>
        <w:rPr>
          <w:rFonts w:eastAsia="Calibri" w:cs="Arial"/>
          <w:szCs w:val="20"/>
        </w:rPr>
        <w:t xml:space="preserve"> </w:t>
      </w:r>
      <w:r w:rsidRPr="00115F14">
        <w:rPr>
          <w:rFonts w:cs="Arial"/>
          <w:szCs w:val="20"/>
        </w:rPr>
        <w:t xml:space="preserve">vlogo nacionalnega </w:t>
      </w:r>
      <w:r>
        <w:rPr>
          <w:rFonts w:cs="Arial"/>
          <w:szCs w:val="20"/>
        </w:rPr>
        <w:t xml:space="preserve">predstavnika </w:t>
      </w:r>
      <w:proofErr w:type="spellStart"/>
      <w:r w:rsidRPr="00115F14">
        <w:rPr>
          <w:rFonts w:cs="Arial"/>
          <w:szCs w:val="20"/>
        </w:rPr>
        <w:t>Eurojusta</w:t>
      </w:r>
      <w:proofErr w:type="spellEnd"/>
      <w:r w:rsidR="005719E8">
        <w:rPr>
          <w:rFonts w:cs="Arial"/>
          <w:szCs w:val="20"/>
        </w:rPr>
        <w:t>,</w:t>
      </w:r>
      <w:r w:rsidRPr="00115F14">
        <w:rPr>
          <w:rFonts w:cs="Arial"/>
          <w:szCs w:val="20"/>
        </w:rPr>
        <w:t xml:space="preserve"> kot ga določa ta uredba. Mandat nacionalnega predstavnika se lahko po začetku veljavnosti te uredbe enkrat</w:t>
      </w:r>
      <w:r>
        <w:rPr>
          <w:rFonts w:cs="Arial"/>
          <w:szCs w:val="20"/>
        </w:rPr>
        <w:t xml:space="preserve"> </w:t>
      </w:r>
      <w:r w:rsidRPr="00115F14">
        <w:rPr>
          <w:rFonts w:cs="Arial"/>
          <w:szCs w:val="20"/>
        </w:rPr>
        <w:t>podaljša ne glede na morebitna prejšnja podaljšanja.</w:t>
      </w:r>
    </w:p>
    <w:p w:rsidR="00AE2155" w:rsidRPr="00115F14" w:rsidRDefault="00AE2155" w:rsidP="00B644CC">
      <w:pPr>
        <w:spacing w:line="288" w:lineRule="auto"/>
        <w:jc w:val="both"/>
        <w:rPr>
          <w:rFonts w:cs="Arial"/>
          <w:szCs w:val="20"/>
          <w:highlight w:val="yellow"/>
        </w:rPr>
      </w:pPr>
    </w:p>
    <w:p w:rsidR="00AE2155" w:rsidRPr="00115F14" w:rsidRDefault="00AE2155" w:rsidP="00B644CC">
      <w:pPr>
        <w:spacing w:line="288" w:lineRule="auto"/>
        <w:jc w:val="both"/>
        <w:rPr>
          <w:rFonts w:cs="Arial"/>
        </w:rPr>
      </w:pPr>
      <w:r w:rsidRPr="00115F14">
        <w:rPr>
          <w:rFonts w:cs="Arial"/>
        </w:rPr>
        <w:t xml:space="preserve">Glavne spremembe, ki jih je uvedla </w:t>
      </w:r>
      <w:r w:rsidRPr="00115F14">
        <w:rPr>
          <w:rFonts w:eastAsia="Calibri" w:cs="Arial"/>
          <w:szCs w:val="20"/>
        </w:rPr>
        <w:t>Uredba 2018/1727/EU</w:t>
      </w:r>
      <w:r w:rsidR="005719E8">
        <w:rPr>
          <w:rFonts w:eastAsia="Calibri" w:cs="Arial"/>
          <w:szCs w:val="20"/>
        </w:rPr>
        <w:t>,</w:t>
      </w:r>
      <w:r w:rsidRPr="00115F14">
        <w:rPr>
          <w:rFonts w:eastAsia="Calibri" w:cs="Arial"/>
          <w:szCs w:val="20"/>
        </w:rPr>
        <w:t xml:space="preserve"> so:</w:t>
      </w:r>
    </w:p>
    <w:p w:rsidR="00AE2155" w:rsidRPr="00115F14" w:rsidRDefault="00AE2155" w:rsidP="008647C7">
      <w:pPr>
        <w:numPr>
          <w:ilvl w:val="0"/>
          <w:numId w:val="4"/>
        </w:numPr>
        <w:spacing w:line="288" w:lineRule="auto"/>
        <w:ind w:left="284" w:hanging="284"/>
        <w:jc w:val="both"/>
        <w:rPr>
          <w:rFonts w:cs="Arial"/>
        </w:rPr>
      </w:pPr>
      <w:r w:rsidRPr="00115F14">
        <w:rPr>
          <w:rFonts w:cs="Arial"/>
        </w:rPr>
        <w:t>nova struktura upravljanja z izvršnim odborom šestih članov;</w:t>
      </w:r>
    </w:p>
    <w:p w:rsidR="00AE2155" w:rsidRPr="00115F14" w:rsidRDefault="00AE2155" w:rsidP="008647C7">
      <w:pPr>
        <w:numPr>
          <w:ilvl w:val="0"/>
          <w:numId w:val="4"/>
        </w:numPr>
        <w:spacing w:line="288" w:lineRule="auto"/>
        <w:ind w:left="284" w:hanging="284"/>
        <w:jc w:val="both"/>
        <w:rPr>
          <w:rFonts w:cs="Arial"/>
        </w:rPr>
      </w:pPr>
      <w:r w:rsidRPr="00115F14">
        <w:rPr>
          <w:rFonts w:cs="Arial"/>
        </w:rPr>
        <w:t>nov režim varstva podatkov, ki se prilagaja spremenjenemu pravnemu okviru EU o varstvu osebnih podatkov;</w:t>
      </w:r>
    </w:p>
    <w:p w:rsidR="00AE2155" w:rsidRPr="00115F14" w:rsidRDefault="00AE2155" w:rsidP="008647C7">
      <w:pPr>
        <w:numPr>
          <w:ilvl w:val="0"/>
          <w:numId w:val="4"/>
        </w:numPr>
        <w:spacing w:line="288" w:lineRule="auto"/>
        <w:ind w:left="284" w:hanging="284"/>
        <w:jc w:val="both"/>
        <w:rPr>
          <w:rFonts w:cs="Arial"/>
        </w:rPr>
      </w:pPr>
      <w:r w:rsidRPr="00115F14">
        <w:rPr>
          <w:rFonts w:cs="Arial"/>
        </w:rPr>
        <w:t xml:space="preserve">usklajevanje zunanjih odnosov </w:t>
      </w:r>
      <w:proofErr w:type="spellStart"/>
      <w:r w:rsidRPr="00115F14">
        <w:rPr>
          <w:rFonts w:cs="Arial"/>
        </w:rPr>
        <w:t>Eurojusta</w:t>
      </w:r>
      <w:proofErr w:type="spellEnd"/>
      <w:r w:rsidRPr="00115F14">
        <w:rPr>
          <w:rFonts w:cs="Arial"/>
        </w:rPr>
        <w:t xml:space="preserve"> z načeli, ki jih na tem področju uvaja Lizbonska pogodba;</w:t>
      </w:r>
    </w:p>
    <w:p w:rsidR="00AE2155" w:rsidRPr="00115F14" w:rsidRDefault="00AE2155" w:rsidP="008647C7">
      <w:pPr>
        <w:numPr>
          <w:ilvl w:val="0"/>
          <w:numId w:val="4"/>
        </w:numPr>
        <w:spacing w:line="288" w:lineRule="auto"/>
        <w:ind w:left="284" w:hanging="284"/>
        <w:jc w:val="both"/>
        <w:rPr>
          <w:rFonts w:cs="Arial"/>
        </w:rPr>
      </w:pPr>
      <w:r w:rsidRPr="00115F14">
        <w:rPr>
          <w:rFonts w:cs="Arial"/>
        </w:rPr>
        <w:t xml:space="preserve">okrepitev vloge evropskega parlamenta in parlamentov </w:t>
      </w:r>
      <w:r w:rsidR="005719E8">
        <w:rPr>
          <w:rFonts w:cs="Arial"/>
        </w:rPr>
        <w:t xml:space="preserve">držav članic </w:t>
      </w:r>
      <w:r w:rsidRPr="00115F14">
        <w:rPr>
          <w:rFonts w:cs="Arial"/>
        </w:rPr>
        <w:t xml:space="preserve">pri demokratičnem nadzoru nad delovanjem </w:t>
      </w:r>
      <w:proofErr w:type="spellStart"/>
      <w:r w:rsidRPr="00115F14">
        <w:rPr>
          <w:rFonts w:cs="Arial"/>
        </w:rPr>
        <w:t>Eurojusta</w:t>
      </w:r>
      <w:proofErr w:type="spellEnd"/>
      <w:r w:rsidRPr="00115F14">
        <w:rPr>
          <w:rFonts w:cs="Arial"/>
        </w:rPr>
        <w:t>;</w:t>
      </w:r>
    </w:p>
    <w:p w:rsidR="00AE2155" w:rsidRPr="00115F14" w:rsidRDefault="00AE2155" w:rsidP="008647C7">
      <w:pPr>
        <w:numPr>
          <w:ilvl w:val="0"/>
          <w:numId w:val="4"/>
        </w:numPr>
        <w:spacing w:line="288" w:lineRule="auto"/>
        <w:ind w:left="284" w:hanging="284"/>
        <w:jc w:val="both"/>
        <w:rPr>
          <w:rFonts w:cs="Arial"/>
        </w:rPr>
      </w:pPr>
      <w:r w:rsidRPr="00115F14">
        <w:rPr>
          <w:rFonts w:cs="Arial"/>
        </w:rPr>
        <w:t xml:space="preserve">razmerje med </w:t>
      </w:r>
      <w:proofErr w:type="spellStart"/>
      <w:r w:rsidRPr="00115F14">
        <w:rPr>
          <w:rFonts w:cs="Arial"/>
        </w:rPr>
        <w:t>Eurojustom</w:t>
      </w:r>
      <w:proofErr w:type="spellEnd"/>
      <w:r w:rsidRPr="00115F14">
        <w:rPr>
          <w:rFonts w:cs="Arial"/>
        </w:rPr>
        <w:t xml:space="preserve"> in Evropskim javnim tožilstvom</w:t>
      </w:r>
      <w:r>
        <w:rPr>
          <w:rFonts w:cs="Arial"/>
        </w:rPr>
        <w:t xml:space="preserve"> </w:t>
      </w:r>
      <w:r w:rsidRPr="00115F14">
        <w:rPr>
          <w:rFonts w:cs="Arial"/>
        </w:rPr>
        <w:t>temelji na medsebojnem sodelovanju v okviru njihovih pooblastil in pristojnosti ter nadaljnjem razvoju njunih operativnih, upravljavskih in morda upravnih povezav;</w:t>
      </w:r>
    </w:p>
    <w:p w:rsidR="00AE2155" w:rsidRPr="00115F14" w:rsidRDefault="00AE2155" w:rsidP="008647C7">
      <w:pPr>
        <w:numPr>
          <w:ilvl w:val="0"/>
          <w:numId w:val="4"/>
        </w:numPr>
        <w:spacing w:line="288" w:lineRule="auto"/>
        <w:ind w:left="284" w:hanging="284"/>
        <w:jc w:val="both"/>
        <w:rPr>
          <w:rFonts w:cs="Arial"/>
        </w:rPr>
      </w:pPr>
      <w:r w:rsidRPr="00115F14">
        <w:rPr>
          <w:rFonts w:cs="Arial"/>
        </w:rPr>
        <w:t xml:space="preserve">vojni zločini in genocid so bili dodani </w:t>
      </w:r>
      <w:r>
        <w:rPr>
          <w:rFonts w:cs="Arial"/>
        </w:rPr>
        <w:t xml:space="preserve">k </w:t>
      </w:r>
      <w:r w:rsidRPr="00115F14">
        <w:rPr>
          <w:rFonts w:cs="Arial"/>
        </w:rPr>
        <w:t xml:space="preserve">oblikam hudih kaznivih dejanj, za katere je pristojen </w:t>
      </w:r>
      <w:proofErr w:type="spellStart"/>
      <w:r w:rsidRPr="00115F14">
        <w:rPr>
          <w:rFonts w:cs="Arial"/>
        </w:rPr>
        <w:t>Eurojust</w:t>
      </w:r>
      <w:proofErr w:type="spellEnd"/>
      <w:r w:rsidRPr="00115F14">
        <w:rPr>
          <w:rFonts w:cs="Arial"/>
        </w:rPr>
        <w:t xml:space="preserve">, in našteti v </w:t>
      </w:r>
      <w:r w:rsidR="005719E8">
        <w:rPr>
          <w:rFonts w:cs="Arial"/>
        </w:rPr>
        <w:t>p</w:t>
      </w:r>
      <w:r w:rsidRPr="00115F14">
        <w:rPr>
          <w:rFonts w:cs="Arial"/>
        </w:rPr>
        <w:t xml:space="preserve">rilogi 1 k </w:t>
      </w:r>
      <w:r w:rsidR="005719E8">
        <w:rPr>
          <w:rFonts w:cs="Arial"/>
        </w:rPr>
        <w:t>u</w:t>
      </w:r>
      <w:r w:rsidRPr="00115F14">
        <w:rPr>
          <w:rFonts w:cs="Arial"/>
        </w:rPr>
        <w:t>redbi;</w:t>
      </w:r>
    </w:p>
    <w:p w:rsidR="00AE2155" w:rsidRPr="00115F14" w:rsidRDefault="00AE2155" w:rsidP="008647C7">
      <w:pPr>
        <w:numPr>
          <w:ilvl w:val="0"/>
          <w:numId w:val="4"/>
        </w:numPr>
        <w:spacing w:line="288" w:lineRule="auto"/>
        <w:ind w:left="284" w:hanging="284"/>
        <w:jc w:val="both"/>
        <w:rPr>
          <w:rFonts w:cs="Arial"/>
        </w:rPr>
      </w:pPr>
      <w:r w:rsidRPr="00115F14">
        <w:rPr>
          <w:rFonts w:cs="Arial"/>
        </w:rPr>
        <w:t>mandat nacionalnega predstavnika in njegovega namestnika in</w:t>
      </w:r>
    </w:p>
    <w:p w:rsidR="00AE2155" w:rsidRPr="00115F14" w:rsidRDefault="00AE2155" w:rsidP="008647C7">
      <w:pPr>
        <w:numPr>
          <w:ilvl w:val="0"/>
          <w:numId w:val="4"/>
        </w:numPr>
        <w:spacing w:line="288" w:lineRule="auto"/>
        <w:ind w:left="284" w:hanging="284"/>
        <w:jc w:val="both"/>
        <w:rPr>
          <w:rFonts w:cs="Arial"/>
        </w:rPr>
      </w:pPr>
      <w:r w:rsidRPr="00115F14">
        <w:rPr>
          <w:rFonts w:cs="Arial"/>
        </w:rPr>
        <w:t xml:space="preserve">širši nabor kandidatov za imenovanje nacionalnega predstavnika in njegovega namestnika tudi iz vrst sodnikov oziroma predstavnikov sodnega organa z enakovrednimi pristojnostmi, kot jih ima državni tožilec ali sodnik v skladu </w:t>
      </w:r>
      <w:r w:rsidR="005719E8">
        <w:rPr>
          <w:rFonts w:cs="Arial"/>
        </w:rPr>
        <w:t>s</w:t>
      </w:r>
      <w:r w:rsidRPr="00115F14">
        <w:rPr>
          <w:rFonts w:cs="Arial"/>
        </w:rPr>
        <w:t xml:space="preserve"> prav</w:t>
      </w:r>
      <w:r w:rsidR="005719E8">
        <w:rPr>
          <w:rFonts w:cs="Arial"/>
        </w:rPr>
        <w:t>nim redom držav članic</w:t>
      </w:r>
      <w:r w:rsidRPr="00115F14">
        <w:rPr>
          <w:rFonts w:cs="Arial"/>
        </w:rPr>
        <w:t>.</w:t>
      </w:r>
    </w:p>
    <w:p w:rsidR="00AE2155" w:rsidRPr="00115F14" w:rsidRDefault="00AE2155" w:rsidP="00B644CC">
      <w:pPr>
        <w:spacing w:line="288" w:lineRule="auto"/>
        <w:jc w:val="center"/>
        <w:rPr>
          <w:rFonts w:cs="Arial"/>
          <w:szCs w:val="20"/>
        </w:rPr>
      </w:pPr>
    </w:p>
    <w:p w:rsidR="00AE2155" w:rsidRPr="00115F14" w:rsidRDefault="00AE2155" w:rsidP="00B644CC">
      <w:pPr>
        <w:autoSpaceDE w:val="0"/>
        <w:autoSpaceDN w:val="0"/>
        <w:adjustRightInd w:val="0"/>
        <w:spacing w:line="288" w:lineRule="auto"/>
        <w:jc w:val="both"/>
        <w:rPr>
          <w:rFonts w:cs="Arial"/>
          <w:szCs w:val="20"/>
        </w:rPr>
      </w:pPr>
      <w:r w:rsidRPr="00115F14">
        <w:rPr>
          <w:rFonts w:cs="Arial"/>
          <w:szCs w:val="20"/>
        </w:rPr>
        <w:t xml:space="preserve">Z Uredbo </w:t>
      </w:r>
      <w:bookmarkStart w:id="2" w:name="_Hlk40861071"/>
      <w:r w:rsidRPr="00115F14">
        <w:rPr>
          <w:rFonts w:eastAsia="Calibri" w:cs="Arial"/>
          <w:szCs w:val="20"/>
        </w:rPr>
        <w:t xml:space="preserve">2018/1727/EU </w:t>
      </w:r>
      <w:bookmarkEnd w:id="2"/>
      <w:r w:rsidRPr="00115F14">
        <w:rPr>
          <w:rFonts w:eastAsia="Calibri" w:cs="Arial"/>
          <w:szCs w:val="20"/>
        </w:rPr>
        <w:t xml:space="preserve">se določa tudi </w:t>
      </w:r>
      <w:r w:rsidR="005719E8">
        <w:rPr>
          <w:rFonts w:cs="Arial"/>
          <w:szCs w:val="20"/>
        </w:rPr>
        <w:t>n</w:t>
      </w:r>
      <w:r w:rsidRPr="00115F14">
        <w:rPr>
          <w:rFonts w:cs="Arial"/>
          <w:szCs w:val="20"/>
        </w:rPr>
        <w:t xml:space="preserve">acionalni sistem za usklajevanje dejavnosti </w:t>
      </w:r>
      <w:proofErr w:type="spellStart"/>
      <w:r w:rsidRPr="00115F14">
        <w:rPr>
          <w:rFonts w:cs="Arial"/>
          <w:szCs w:val="20"/>
        </w:rPr>
        <w:t>Eurojusta</w:t>
      </w:r>
      <w:proofErr w:type="spellEnd"/>
      <w:r w:rsidRPr="00115F14">
        <w:rPr>
          <w:rFonts w:cs="Arial"/>
          <w:szCs w:val="20"/>
        </w:rPr>
        <w:t>, ki</w:t>
      </w:r>
      <w:r w:rsidR="005719E8">
        <w:rPr>
          <w:rFonts w:cs="Arial"/>
          <w:szCs w:val="20"/>
        </w:rPr>
        <w:t xml:space="preserve"> </w:t>
      </w:r>
      <w:r w:rsidRPr="00115F14">
        <w:rPr>
          <w:rFonts w:cs="Arial"/>
          <w:szCs w:val="20"/>
        </w:rPr>
        <w:t xml:space="preserve">v svojem bistvu ne odstopa od uveljavljene ureditve v ZDT-1 z nekoliko drugačno sestavo. </w:t>
      </w:r>
    </w:p>
    <w:p w:rsidR="00AE2155" w:rsidRPr="00115F14" w:rsidRDefault="00AE2155" w:rsidP="00B644CC">
      <w:pPr>
        <w:spacing w:line="288" w:lineRule="auto"/>
        <w:jc w:val="center"/>
        <w:rPr>
          <w:rFonts w:cs="Arial"/>
          <w:szCs w:val="20"/>
        </w:rPr>
      </w:pPr>
    </w:p>
    <w:p w:rsidR="00AE2155" w:rsidRPr="00115F14" w:rsidRDefault="00AE2155" w:rsidP="00B644CC">
      <w:pPr>
        <w:autoSpaceDE w:val="0"/>
        <w:autoSpaceDN w:val="0"/>
        <w:adjustRightInd w:val="0"/>
        <w:spacing w:line="288" w:lineRule="auto"/>
        <w:jc w:val="both"/>
        <w:rPr>
          <w:rFonts w:cs="Arial"/>
          <w:szCs w:val="20"/>
        </w:rPr>
      </w:pPr>
      <w:r w:rsidRPr="00115F14">
        <w:rPr>
          <w:rFonts w:cs="Arial"/>
          <w:szCs w:val="20"/>
        </w:rPr>
        <w:t xml:space="preserve">Nacionalni sistem za usklajevanje dejavnosti </w:t>
      </w:r>
      <w:proofErr w:type="spellStart"/>
      <w:r w:rsidRPr="00115F14">
        <w:rPr>
          <w:rFonts w:cs="Arial"/>
          <w:szCs w:val="20"/>
        </w:rPr>
        <w:t>Eurojusta</w:t>
      </w:r>
      <w:proofErr w:type="spellEnd"/>
      <w:r w:rsidRPr="00115F14">
        <w:rPr>
          <w:rFonts w:cs="Arial"/>
          <w:szCs w:val="20"/>
        </w:rPr>
        <w:t xml:space="preserve"> sestavljajo:</w:t>
      </w:r>
    </w:p>
    <w:p w:rsidR="00AE2155" w:rsidRPr="00115F14" w:rsidRDefault="00AE2155" w:rsidP="008647C7">
      <w:pPr>
        <w:pStyle w:val="Odstavekseznama"/>
        <w:numPr>
          <w:ilvl w:val="0"/>
          <w:numId w:val="12"/>
        </w:numPr>
        <w:suppressAutoHyphens/>
        <w:autoSpaceDE w:val="0"/>
        <w:autoSpaceDN w:val="0"/>
        <w:adjustRightInd w:val="0"/>
        <w:spacing w:line="288" w:lineRule="auto"/>
        <w:ind w:left="360"/>
        <w:jc w:val="both"/>
        <w:rPr>
          <w:rFonts w:cs="Arial"/>
          <w:szCs w:val="20"/>
        </w:rPr>
      </w:pPr>
      <w:r w:rsidRPr="00115F14">
        <w:rPr>
          <w:rFonts w:cs="Arial"/>
          <w:szCs w:val="20"/>
        </w:rPr>
        <w:t xml:space="preserve">nacionalni korespondent </w:t>
      </w:r>
      <w:proofErr w:type="spellStart"/>
      <w:r w:rsidRPr="00115F14">
        <w:rPr>
          <w:rFonts w:cs="Arial"/>
          <w:szCs w:val="20"/>
        </w:rPr>
        <w:t>Eurojusta</w:t>
      </w:r>
      <w:proofErr w:type="spellEnd"/>
      <w:r w:rsidRPr="00115F14">
        <w:rPr>
          <w:rFonts w:cs="Arial"/>
          <w:szCs w:val="20"/>
        </w:rPr>
        <w:t xml:space="preserve">;   </w:t>
      </w:r>
    </w:p>
    <w:p w:rsidR="00AE2155" w:rsidRPr="00115F14" w:rsidRDefault="00AE2155" w:rsidP="008647C7">
      <w:pPr>
        <w:pStyle w:val="Odstavekseznama"/>
        <w:numPr>
          <w:ilvl w:val="0"/>
          <w:numId w:val="12"/>
        </w:numPr>
        <w:suppressAutoHyphens/>
        <w:autoSpaceDE w:val="0"/>
        <w:autoSpaceDN w:val="0"/>
        <w:adjustRightInd w:val="0"/>
        <w:spacing w:line="288" w:lineRule="auto"/>
        <w:ind w:left="360"/>
        <w:jc w:val="both"/>
        <w:rPr>
          <w:rFonts w:cs="Arial"/>
          <w:szCs w:val="20"/>
        </w:rPr>
      </w:pPr>
      <w:r w:rsidRPr="00115F14">
        <w:rPr>
          <w:rFonts w:cs="Arial"/>
          <w:szCs w:val="20"/>
        </w:rPr>
        <w:t>nacionalni korespondent za vprašanja, povezana s pristojnostmi Evropskega javnega tožilstva;</w:t>
      </w:r>
    </w:p>
    <w:p w:rsidR="00AE2155" w:rsidRPr="00115F14" w:rsidRDefault="00AE2155" w:rsidP="008647C7">
      <w:pPr>
        <w:pStyle w:val="Odstavekseznama"/>
        <w:numPr>
          <w:ilvl w:val="0"/>
          <w:numId w:val="12"/>
        </w:numPr>
        <w:suppressAutoHyphens/>
        <w:autoSpaceDE w:val="0"/>
        <w:autoSpaceDN w:val="0"/>
        <w:adjustRightInd w:val="0"/>
        <w:spacing w:line="288" w:lineRule="auto"/>
        <w:ind w:left="360"/>
        <w:jc w:val="both"/>
        <w:rPr>
          <w:rFonts w:cs="Arial"/>
          <w:szCs w:val="20"/>
        </w:rPr>
      </w:pPr>
      <w:r w:rsidRPr="00115F14">
        <w:rPr>
          <w:rFonts w:cs="Arial"/>
          <w:szCs w:val="20"/>
        </w:rPr>
        <w:t xml:space="preserve">nacionalni korespondent </w:t>
      </w:r>
      <w:proofErr w:type="spellStart"/>
      <w:r w:rsidRPr="00115F14">
        <w:rPr>
          <w:rFonts w:cs="Arial"/>
          <w:szCs w:val="20"/>
        </w:rPr>
        <w:t>Eurojusta</w:t>
      </w:r>
      <w:proofErr w:type="spellEnd"/>
      <w:r w:rsidRPr="00115F14">
        <w:rPr>
          <w:rFonts w:cs="Arial"/>
          <w:szCs w:val="20"/>
        </w:rPr>
        <w:t xml:space="preserve"> za področje terorizma;   </w:t>
      </w:r>
    </w:p>
    <w:p w:rsidR="00AE2155" w:rsidRPr="00115F14" w:rsidRDefault="00AE2155" w:rsidP="008647C7">
      <w:pPr>
        <w:pStyle w:val="Odstavekseznama"/>
        <w:numPr>
          <w:ilvl w:val="0"/>
          <w:numId w:val="12"/>
        </w:numPr>
        <w:suppressAutoHyphens/>
        <w:autoSpaceDE w:val="0"/>
        <w:autoSpaceDN w:val="0"/>
        <w:adjustRightInd w:val="0"/>
        <w:spacing w:line="288" w:lineRule="auto"/>
        <w:ind w:left="360"/>
        <w:jc w:val="both"/>
        <w:rPr>
          <w:rFonts w:cs="Arial"/>
          <w:szCs w:val="20"/>
        </w:rPr>
      </w:pPr>
      <w:r w:rsidRPr="00115F14">
        <w:rPr>
          <w:rFonts w:cs="Arial"/>
          <w:szCs w:val="20"/>
        </w:rPr>
        <w:t>nacionalni korespondent Evropske pravosodne mreže in še največ tri druge kontaktne točke</w:t>
      </w:r>
    </w:p>
    <w:p w:rsidR="00AE2155" w:rsidRPr="00115F14" w:rsidRDefault="00AE2155" w:rsidP="008647C7">
      <w:pPr>
        <w:pStyle w:val="Odstavekseznama"/>
        <w:suppressAutoHyphens/>
        <w:autoSpaceDE w:val="0"/>
        <w:autoSpaceDN w:val="0"/>
        <w:adjustRightInd w:val="0"/>
        <w:spacing w:line="288" w:lineRule="auto"/>
        <w:ind w:left="360"/>
        <w:jc w:val="both"/>
        <w:rPr>
          <w:rFonts w:cs="Arial"/>
          <w:szCs w:val="20"/>
        </w:rPr>
      </w:pPr>
      <w:r w:rsidRPr="00115F14">
        <w:rPr>
          <w:rFonts w:cs="Arial"/>
          <w:szCs w:val="20"/>
        </w:rPr>
        <w:t>Evropske pravosodne mreže, ki jih slednja za to določi;</w:t>
      </w:r>
    </w:p>
    <w:p w:rsidR="00AE2155" w:rsidRPr="00115F14" w:rsidRDefault="00AE2155" w:rsidP="008647C7">
      <w:pPr>
        <w:pStyle w:val="Odstavekseznama"/>
        <w:numPr>
          <w:ilvl w:val="0"/>
          <w:numId w:val="12"/>
        </w:numPr>
        <w:suppressAutoHyphens/>
        <w:autoSpaceDE w:val="0"/>
        <w:autoSpaceDN w:val="0"/>
        <w:adjustRightInd w:val="0"/>
        <w:spacing w:line="288" w:lineRule="auto"/>
        <w:ind w:left="360"/>
        <w:jc w:val="both"/>
        <w:rPr>
          <w:rFonts w:cs="Arial"/>
          <w:szCs w:val="20"/>
        </w:rPr>
      </w:pPr>
      <w:r w:rsidRPr="00115F14">
        <w:rPr>
          <w:rFonts w:cs="Arial"/>
          <w:szCs w:val="20"/>
        </w:rPr>
        <w:t>kontaktna točka mreže za področje genocida, vojnih zločinov in zločinov proti človeštvu;</w:t>
      </w:r>
    </w:p>
    <w:p w:rsidR="00AE2155" w:rsidRPr="00115F14" w:rsidRDefault="00AE2155" w:rsidP="008647C7">
      <w:pPr>
        <w:pStyle w:val="Odstavekseznama"/>
        <w:numPr>
          <w:ilvl w:val="0"/>
          <w:numId w:val="12"/>
        </w:numPr>
        <w:suppressAutoHyphens/>
        <w:autoSpaceDE w:val="0"/>
        <w:autoSpaceDN w:val="0"/>
        <w:adjustRightInd w:val="0"/>
        <w:spacing w:line="288" w:lineRule="auto"/>
        <w:ind w:left="360"/>
        <w:jc w:val="both"/>
        <w:rPr>
          <w:rFonts w:cs="Arial"/>
          <w:szCs w:val="20"/>
        </w:rPr>
      </w:pPr>
      <w:r w:rsidRPr="00115F14">
        <w:rPr>
          <w:rFonts w:cs="Arial"/>
          <w:szCs w:val="20"/>
        </w:rPr>
        <w:t>kontaktne točke mreže skupnih preiskovalnih skupin;</w:t>
      </w:r>
    </w:p>
    <w:p w:rsidR="00AE2155" w:rsidRPr="00115F14" w:rsidRDefault="00AE2155" w:rsidP="008647C7">
      <w:pPr>
        <w:pStyle w:val="Odstavekseznama"/>
        <w:numPr>
          <w:ilvl w:val="0"/>
          <w:numId w:val="12"/>
        </w:numPr>
        <w:suppressAutoHyphens/>
        <w:autoSpaceDE w:val="0"/>
        <w:autoSpaceDN w:val="0"/>
        <w:adjustRightInd w:val="0"/>
        <w:spacing w:line="288" w:lineRule="auto"/>
        <w:ind w:left="360"/>
        <w:jc w:val="both"/>
        <w:rPr>
          <w:rFonts w:cs="Arial"/>
          <w:szCs w:val="20"/>
        </w:rPr>
      </w:pPr>
      <w:r w:rsidRPr="00115F14">
        <w:rPr>
          <w:rFonts w:cs="Arial"/>
          <w:szCs w:val="20"/>
        </w:rPr>
        <w:lastRenderedPageBreak/>
        <w:t xml:space="preserve">kontaktna točka </w:t>
      </w:r>
      <w:r w:rsidRPr="00115F14">
        <w:t>mreže za boj proti korupciji</w:t>
      </w:r>
      <w:r>
        <w:t xml:space="preserve"> </w:t>
      </w:r>
      <w:r w:rsidRPr="00115F14">
        <w:rPr>
          <w:rFonts w:cs="Arial"/>
          <w:szCs w:val="20"/>
        </w:rPr>
        <w:t>in</w:t>
      </w:r>
    </w:p>
    <w:p w:rsidR="00AE2155" w:rsidRPr="00115F14" w:rsidRDefault="00AE2155" w:rsidP="008647C7">
      <w:pPr>
        <w:pStyle w:val="Odstavekseznama"/>
        <w:numPr>
          <w:ilvl w:val="0"/>
          <w:numId w:val="12"/>
        </w:numPr>
        <w:suppressAutoHyphens/>
        <w:autoSpaceDE w:val="0"/>
        <w:autoSpaceDN w:val="0"/>
        <w:adjustRightInd w:val="0"/>
        <w:spacing w:line="288" w:lineRule="auto"/>
        <w:ind w:left="360"/>
        <w:jc w:val="both"/>
        <w:rPr>
          <w:rFonts w:cs="Arial"/>
          <w:szCs w:val="20"/>
        </w:rPr>
      </w:pPr>
      <w:r w:rsidRPr="00115F14">
        <w:rPr>
          <w:rFonts w:cs="Arial"/>
          <w:szCs w:val="20"/>
        </w:rPr>
        <w:t>kontaktna točka uradov za odvzem premoženjske koristi (ARO).</w:t>
      </w:r>
    </w:p>
    <w:p w:rsidR="00AE2155" w:rsidRPr="00115F14" w:rsidRDefault="00AE2155" w:rsidP="00B644CC">
      <w:pPr>
        <w:spacing w:line="288" w:lineRule="auto"/>
        <w:jc w:val="both"/>
        <w:rPr>
          <w:rFonts w:eastAsia="Calibri" w:cs="Arial"/>
          <w:szCs w:val="20"/>
        </w:rPr>
      </w:pPr>
    </w:p>
    <w:p w:rsidR="00AE2155" w:rsidRPr="005719E8" w:rsidRDefault="00AE2155" w:rsidP="005719E8">
      <w:pPr>
        <w:spacing w:line="288" w:lineRule="auto"/>
        <w:jc w:val="both"/>
        <w:rPr>
          <w:rFonts w:eastAsia="Calibri" w:cs="Arial"/>
          <w:szCs w:val="20"/>
        </w:rPr>
      </w:pPr>
      <w:r w:rsidRPr="00115F14">
        <w:rPr>
          <w:rFonts w:eastAsia="Calibri" w:cs="Arial"/>
          <w:szCs w:val="20"/>
        </w:rPr>
        <w:t xml:space="preserve">Po potrebi lahko nacionalni sistem za usklajevanje dejavnosti </w:t>
      </w:r>
      <w:proofErr w:type="spellStart"/>
      <w:r w:rsidRPr="00115F14">
        <w:rPr>
          <w:rFonts w:eastAsia="Calibri" w:cs="Arial"/>
          <w:szCs w:val="20"/>
        </w:rPr>
        <w:t>Eurojusta</w:t>
      </w:r>
      <w:proofErr w:type="spellEnd"/>
      <w:r w:rsidRPr="00115F14">
        <w:rPr>
          <w:rFonts w:eastAsia="Calibri" w:cs="Arial"/>
          <w:szCs w:val="20"/>
        </w:rPr>
        <w:t xml:space="preserve"> </w:t>
      </w:r>
      <w:r w:rsidR="005719E8">
        <w:rPr>
          <w:rFonts w:eastAsia="Calibri" w:cs="Arial"/>
          <w:szCs w:val="20"/>
        </w:rPr>
        <w:t xml:space="preserve">sestavljajo </w:t>
      </w:r>
      <w:r w:rsidRPr="00115F14">
        <w:rPr>
          <w:rFonts w:eastAsia="Calibri" w:cs="Arial"/>
          <w:szCs w:val="20"/>
        </w:rPr>
        <w:t>tudi drugi pravosodni organi.</w:t>
      </w:r>
    </w:p>
    <w:p w:rsidR="00AE2155" w:rsidRPr="00115F14" w:rsidRDefault="00AE2155" w:rsidP="00B644CC">
      <w:pPr>
        <w:spacing w:line="288" w:lineRule="auto"/>
        <w:jc w:val="center"/>
        <w:rPr>
          <w:rFonts w:cs="Arial"/>
          <w:szCs w:val="20"/>
        </w:rPr>
      </w:pPr>
      <w:r w:rsidRPr="00115F14">
        <w:rPr>
          <w:rFonts w:cs="Arial"/>
          <w:szCs w:val="20"/>
        </w:rPr>
        <w:t>Organizacijska shema EUROJUST:</w:t>
      </w:r>
    </w:p>
    <w:p w:rsidR="00AE2155" w:rsidRPr="00115F14" w:rsidRDefault="00AE2155" w:rsidP="00B644CC">
      <w:pPr>
        <w:spacing w:line="288" w:lineRule="auto"/>
        <w:jc w:val="both"/>
        <w:rPr>
          <w:rFonts w:cs="Arial"/>
          <w:szCs w:val="20"/>
        </w:rPr>
      </w:pPr>
    </w:p>
    <w:p w:rsidR="00AE2155" w:rsidRPr="00115F14" w:rsidRDefault="009A57DF" w:rsidP="00B644CC">
      <w:pPr>
        <w:spacing w:line="288" w:lineRule="auto"/>
        <w:jc w:val="center"/>
        <w:rPr>
          <w:rFonts w:cs="Arial"/>
          <w:szCs w:val="20"/>
        </w:rPr>
      </w:pPr>
      <w:r>
        <w:rPr>
          <w:rFonts w:cs="Arial"/>
          <w:noProof/>
          <w:szCs w:val="20"/>
          <w:lang w:eastAsia="sl-SI"/>
        </w:rPr>
        <w:drawing>
          <wp:inline distT="0" distB="0" distL="0" distR="0">
            <wp:extent cx="5334000" cy="3152775"/>
            <wp:effectExtent l="0" t="0" r="0" b="0"/>
            <wp:docPr id="3" name="Slika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ka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334000" cy="3152775"/>
                    </a:xfrm>
                    <a:prstGeom prst="rect">
                      <a:avLst/>
                    </a:prstGeom>
                    <a:noFill/>
                    <a:ln>
                      <a:noFill/>
                    </a:ln>
                  </pic:spPr>
                </pic:pic>
              </a:graphicData>
            </a:graphic>
          </wp:inline>
        </w:drawing>
      </w:r>
    </w:p>
    <w:p w:rsidR="00AE2155" w:rsidRPr="00115F14" w:rsidRDefault="00AE2155" w:rsidP="00B644CC">
      <w:pPr>
        <w:pStyle w:val="Navaden2"/>
        <w:spacing w:before="0" w:beforeAutospacing="0" w:after="0" w:afterAutospacing="0" w:line="288" w:lineRule="auto"/>
        <w:jc w:val="both"/>
        <w:rPr>
          <w:rFonts w:ascii="Arial" w:hAnsi="Arial" w:cs="Arial"/>
          <w:b/>
          <w:bCs/>
          <w:sz w:val="20"/>
          <w:szCs w:val="20"/>
        </w:rPr>
      </w:pPr>
    </w:p>
    <w:p w:rsidR="00AE2155" w:rsidRPr="00115F14" w:rsidRDefault="00AE2155" w:rsidP="00B644CC">
      <w:pPr>
        <w:spacing w:line="288" w:lineRule="auto"/>
        <w:jc w:val="both"/>
        <w:rPr>
          <w:rFonts w:eastAsia="Calibri" w:cs="Arial"/>
          <w:szCs w:val="20"/>
        </w:rPr>
      </w:pPr>
      <w:r w:rsidRPr="00115F14">
        <w:rPr>
          <w:rFonts w:eastAsia="Calibri" w:cs="Arial"/>
          <w:szCs w:val="20"/>
        </w:rPr>
        <w:t xml:space="preserve">V skladu z 20. členom Uredbe 2018/1727/EU vsaka država članica imenuje enega ali več nacionalnih korespondentov </w:t>
      </w:r>
      <w:proofErr w:type="spellStart"/>
      <w:r w:rsidRPr="00115F14">
        <w:rPr>
          <w:rFonts w:eastAsia="Calibri" w:cs="Arial"/>
          <w:szCs w:val="20"/>
        </w:rPr>
        <w:t>Eurojusta</w:t>
      </w:r>
      <w:proofErr w:type="spellEnd"/>
      <w:r w:rsidRPr="00115F14">
        <w:rPr>
          <w:rFonts w:eastAsia="Calibri" w:cs="Arial"/>
          <w:szCs w:val="20"/>
        </w:rPr>
        <w:t xml:space="preserve">. Nacionalni sistem za usklajevanje dejavnosti </w:t>
      </w:r>
      <w:proofErr w:type="spellStart"/>
      <w:r w:rsidRPr="00115F14">
        <w:rPr>
          <w:rFonts w:eastAsia="Calibri" w:cs="Arial"/>
          <w:szCs w:val="20"/>
        </w:rPr>
        <w:t>Eurojusta</w:t>
      </w:r>
      <w:proofErr w:type="spellEnd"/>
      <w:r>
        <w:rPr>
          <w:rFonts w:eastAsia="Calibri" w:cs="Arial"/>
          <w:szCs w:val="20"/>
        </w:rPr>
        <w:t xml:space="preserve"> po veljavni ureditvi</w:t>
      </w:r>
      <w:r w:rsidRPr="00115F14">
        <w:rPr>
          <w:rFonts w:eastAsia="Calibri" w:cs="Arial"/>
          <w:szCs w:val="20"/>
        </w:rPr>
        <w:t xml:space="preserve"> z navodilom določi generalni državni tožilec.</w:t>
      </w:r>
    </w:p>
    <w:p w:rsidR="00AE2155" w:rsidRPr="00115F14" w:rsidRDefault="00AE2155" w:rsidP="00B644CC">
      <w:pPr>
        <w:spacing w:line="288" w:lineRule="auto"/>
        <w:jc w:val="both"/>
        <w:rPr>
          <w:rFonts w:eastAsia="Calibri" w:cs="Arial"/>
          <w:szCs w:val="20"/>
        </w:rPr>
      </w:pPr>
    </w:p>
    <w:p w:rsidR="00AE2155" w:rsidRPr="00115F14" w:rsidRDefault="00AE2155" w:rsidP="00B644CC">
      <w:pPr>
        <w:spacing w:line="288" w:lineRule="auto"/>
        <w:jc w:val="both"/>
        <w:rPr>
          <w:rFonts w:eastAsia="Calibri" w:cs="Arial"/>
          <w:szCs w:val="20"/>
        </w:rPr>
      </w:pPr>
      <w:r w:rsidRPr="00115F14">
        <w:rPr>
          <w:rFonts w:eastAsia="Calibri" w:cs="Arial"/>
          <w:szCs w:val="20"/>
        </w:rPr>
        <w:t>Ker je za izvajanje Uredbe 2018/1727/EU treba spremeniti in dopolniti veljavno ureditev drugega poglavja ZDT-1 (8. oddelek), se s predlogom zakona določa</w:t>
      </w:r>
      <w:r w:rsidR="005719E8">
        <w:rPr>
          <w:rFonts w:eastAsia="Calibri" w:cs="Arial"/>
          <w:szCs w:val="20"/>
        </w:rPr>
        <w:t>jo</w:t>
      </w:r>
      <w:r w:rsidRPr="00115F14">
        <w:rPr>
          <w:rFonts w:eastAsia="Calibri" w:cs="Arial"/>
          <w:szCs w:val="20"/>
        </w:rPr>
        <w:t xml:space="preserve"> postopek in pogoj</w:t>
      </w:r>
      <w:r w:rsidR="005719E8">
        <w:rPr>
          <w:rFonts w:eastAsia="Calibri" w:cs="Arial"/>
          <w:szCs w:val="20"/>
        </w:rPr>
        <w:t>i</w:t>
      </w:r>
      <w:r w:rsidRPr="00115F14">
        <w:rPr>
          <w:rFonts w:eastAsia="Calibri" w:cs="Arial"/>
          <w:szCs w:val="20"/>
        </w:rPr>
        <w:t xml:space="preserve"> za imenovanje nacionalnega </w:t>
      </w:r>
      <w:r>
        <w:rPr>
          <w:rFonts w:eastAsia="Calibri" w:cs="Arial"/>
          <w:szCs w:val="20"/>
        </w:rPr>
        <w:t>predstavnika</w:t>
      </w:r>
      <w:r w:rsidRPr="00115F14">
        <w:rPr>
          <w:rFonts w:eastAsia="Calibri" w:cs="Arial"/>
          <w:szCs w:val="20"/>
        </w:rPr>
        <w:t>, njegovega namestnika in pomočnika, doba imenovanja ter pravice in pooblastila, ki gredo imenovanim</w:t>
      </w:r>
      <w:r w:rsidR="00822DD6">
        <w:rPr>
          <w:rFonts w:eastAsia="Calibri" w:cs="Arial"/>
          <w:szCs w:val="20"/>
        </w:rPr>
        <w:t xml:space="preserve"> članom</w:t>
      </w:r>
      <w:r>
        <w:rPr>
          <w:rFonts w:eastAsia="Calibri" w:cs="Arial"/>
          <w:szCs w:val="20"/>
        </w:rPr>
        <w:t xml:space="preserve"> </w:t>
      </w:r>
      <w:proofErr w:type="spellStart"/>
      <w:r w:rsidRPr="00115F14">
        <w:rPr>
          <w:rFonts w:eastAsia="Calibri" w:cs="Arial"/>
          <w:szCs w:val="20"/>
        </w:rPr>
        <w:t>Eurojusta</w:t>
      </w:r>
      <w:proofErr w:type="spellEnd"/>
      <w:r w:rsidRPr="00115F14">
        <w:rPr>
          <w:rFonts w:eastAsia="Calibri" w:cs="Arial"/>
          <w:szCs w:val="20"/>
        </w:rPr>
        <w:t xml:space="preserve"> iz Republike Slovenije.</w:t>
      </w:r>
    </w:p>
    <w:p w:rsidR="00B644CC" w:rsidRPr="00115F14" w:rsidRDefault="00B644CC" w:rsidP="00B644CC">
      <w:pPr>
        <w:spacing w:line="288" w:lineRule="auto"/>
        <w:jc w:val="both"/>
        <w:rPr>
          <w:rFonts w:eastAsia="Calibri" w:cs="Arial"/>
          <w:szCs w:val="20"/>
        </w:rPr>
      </w:pPr>
    </w:p>
    <w:p w:rsidR="00AE2155" w:rsidRPr="00115F14" w:rsidRDefault="00AE2155" w:rsidP="00B644CC">
      <w:pPr>
        <w:spacing w:line="288" w:lineRule="auto"/>
        <w:jc w:val="both"/>
        <w:rPr>
          <w:rFonts w:cs="Arial"/>
          <w:b/>
        </w:rPr>
      </w:pPr>
      <w:r w:rsidRPr="00115F14">
        <w:rPr>
          <w:rFonts w:cs="Arial"/>
          <w:b/>
        </w:rPr>
        <w:t>1.2 Priporočila Računskega sodišča RS</w:t>
      </w:r>
    </w:p>
    <w:p w:rsidR="00AE2155" w:rsidRPr="00115F14" w:rsidRDefault="00AE2155" w:rsidP="00B644CC">
      <w:pPr>
        <w:spacing w:line="288" w:lineRule="auto"/>
        <w:jc w:val="both"/>
        <w:rPr>
          <w:rFonts w:cs="Arial"/>
          <w:b/>
        </w:rPr>
      </w:pPr>
    </w:p>
    <w:p w:rsidR="00AE2155" w:rsidRPr="00115F14" w:rsidRDefault="00AE2155" w:rsidP="00B644CC">
      <w:pPr>
        <w:pStyle w:val="Golobesedilo"/>
        <w:spacing w:line="288" w:lineRule="auto"/>
        <w:jc w:val="both"/>
        <w:rPr>
          <w:rFonts w:ascii="Arial" w:eastAsia="Times New Roman" w:hAnsi="Arial" w:cs="Arial"/>
          <w:sz w:val="20"/>
          <w:szCs w:val="24"/>
        </w:rPr>
      </w:pPr>
      <w:bookmarkStart w:id="3" w:name="_Hlk530400995"/>
      <w:bookmarkStart w:id="4" w:name="_Hlk532289015"/>
      <w:r w:rsidRPr="00115F14">
        <w:rPr>
          <w:rFonts w:ascii="Arial" w:eastAsia="Times New Roman" w:hAnsi="Arial" w:cs="Arial"/>
          <w:sz w:val="20"/>
          <w:szCs w:val="24"/>
        </w:rPr>
        <w:t xml:space="preserve">Računsko sodišče je izvedlo revizijo učinkovitosti sistema opravljanja nujnih procesnih dejanj v pravosodnih organih v obdobju od 1. </w:t>
      </w:r>
      <w:r w:rsidR="005719E8">
        <w:rPr>
          <w:rFonts w:ascii="Arial" w:eastAsia="Times New Roman" w:hAnsi="Arial" w:cs="Arial"/>
          <w:sz w:val="20"/>
          <w:szCs w:val="24"/>
        </w:rPr>
        <w:t>januarja</w:t>
      </w:r>
      <w:r w:rsidRPr="00115F14">
        <w:rPr>
          <w:rFonts w:ascii="Arial" w:eastAsia="Times New Roman" w:hAnsi="Arial" w:cs="Arial"/>
          <w:sz w:val="20"/>
          <w:szCs w:val="24"/>
        </w:rPr>
        <w:t xml:space="preserve"> 2014 do 31. </w:t>
      </w:r>
      <w:r w:rsidR="005719E8">
        <w:rPr>
          <w:rFonts w:ascii="Arial" w:eastAsia="Times New Roman" w:hAnsi="Arial" w:cs="Arial"/>
          <w:sz w:val="20"/>
          <w:szCs w:val="24"/>
        </w:rPr>
        <w:t>maja</w:t>
      </w:r>
      <w:r w:rsidRPr="00115F14">
        <w:rPr>
          <w:rFonts w:ascii="Arial" w:eastAsia="Times New Roman" w:hAnsi="Arial" w:cs="Arial"/>
          <w:sz w:val="20"/>
          <w:szCs w:val="24"/>
        </w:rPr>
        <w:t xml:space="preserve"> 2016. </w:t>
      </w:r>
      <w:r w:rsidR="00C82497">
        <w:rPr>
          <w:rFonts w:ascii="Arial" w:eastAsia="Times New Roman" w:hAnsi="Arial" w:cs="Arial"/>
          <w:sz w:val="20"/>
          <w:szCs w:val="24"/>
        </w:rPr>
        <w:t>V revizijo s</w:t>
      </w:r>
      <w:r w:rsidRPr="00115F14">
        <w:rPr>
          <w:rFonts w:ascii="Arial" w:eastAsia="Times New Roman" w:hAnsi="Arial" w:cs="Arial"/>
          <w:sz w:val="20"/>
          <w:szCs w:val="24"/>
        </w:rPr>
        <w:t>istem</w:t>
      </w:r>
      <w:r w:rsidR="00C82497">
        <w:rPr>
          <w:rFonts w:ascii="Arial" w:eastAsia="Times New Roman" w:hAnsi="Arial" w:cs="Arial"/>
          <w:sz w:val="20"/>
          <w:szCs w:val="24"/>
        </w:rPr>
        <w:t>a</w:t>
      </w:r>
      <w:r w:rsidRPr="00115F14">
        <w:rPr>
          <w:rFonts w:ascii="Arial" w:eastAsia="Times New Roman" w:hAnsi="Arial" w:cs="Arial"/>
          <w:sz w:val="20"/>
          <w:szCs w:val="24"/>
        </w:rPr>
        <w:t xml:space="preserve"> opravljanja nujnih procesnih dejanj </w:t>
      </w:r>
      <w:r w:rsidR="00C82497">
        <w:rPr>
          <w:rFonts w:ascii="Arial" w:eastAsia="Times New Roman" w:hAnsi="Arial" w:cs="Arial"/>
          <w:sz w:val="20"/>
          <w:szCs w:val="24"/>
        </w:rPr>
        <w:t>so bili vključeni</w:t>
      </w:r>
      <w:r w:rsidRPr="00115F14">
        <w:rPr>
          <w:rFonts w:ascii="Arial" w:eastAsia="Times New Roman" w:hAnsi="Arial" w:cs="Arial"/>
          <w:sz w:val="20"/>
          <w:szCs w:val="24"/>
        </w:rPr>
        <w:t xml:space="preserve"> Ministrstv</w:t>
      </w:r>
      <w:r w:rsidR="00C82497">
        <w:rPr>
          <w:rFonts w:ascii="Arial" w:eastAsia="Times New Roman" w:hAnsi="Arial" w:cs="Arial"/>
          <w:sz w:val="20"/>
          <w:szCs w:val="24"/>
        </w:rPr>
        <w:t>o</w:t>
      </w:r>
      <w:r w:rsidRPr="00115F14">
        <w:rPr>
          <w:rFonts w:ascii="Arial" w:eastAsia="Times New Roman" w:hAnsi="Arial" w:cs="Arial"/>
          <w:sz w:val="20"/>
          <w:szCs w:val="24"/>
        </w:rPr>
        <w:t xml:space="preserve"> za pravosodje, Vrhovn</w:t>
      </w:r>
      <w:r w:rsidR="00C82497">
        <w:rPr>
          <w:rFonts w:ascii="Arial" w:eastAsia="Times New Roman" w:hAnsi="Arial" w:cs="Arial"/>
          <w:sz w:val="20"/>
          <w:szCs w:val="24"/>
        </w:rPr>
        <w:t>o</w:t>
      </w:r>
      <w:r w:rsidRPr="00115F14">
        <w:rPr>
          <w:rFonts w:ascii="Arial" w:eastAsia="Times New Roman" w:hAnsi="Arial" w:cs="Arial"/>
          <w:sz w:val="20"/>
          <w:szCs w:val="24"/>
        </w:rPr>
        <w:t xml:space="preserve"> državn</w:t>
      </w:r>
      <w:r w:rsidR="00C82497">
        <w:rPr>
          <w:rFonts w:ascii="Arial" w:eastAsia="Times New Roman" w:hAnsi="Arial" w:cs="Arial"/>
          <w:sz w:val="20"/>
          <w:szCs w:val="24"/>
        </w:rPr>
        <w:t>o</w:t>
      </w:r>
      <w:r w:rsidRPr="00115F14">
        <w:rPr>
          <w:rFonts w:ascii="Arial" w:eastAsia="Times New Roman" w:hAnsi="Arial" w:cs="Arial"/>
          <w:sz w:val="20"/>
          <w:szCs w:val="24"/>
        </w:rPr>
        <w:t xml:space="preserve"> tožilstv</w:t>
      </w:r>
      <w:r w:rsidR="00C82497">
        <w:rPr>
          <w:rFonts w:ascii="Arial" w:eastAsia="Times New Roman" w:hAnsi="Arial" w:cs="Arial"/>
          <w:sz w:val="20"/>
          <w:szCs w:val="24"/>
        </w:rPr>
        <w:t>o</w:t>
      </w:r>
      <w:r w:rsidRPr="00115F14">
        <w:rPr>
          <w:rFonts w:ascii="Arial" w:eastAsia="Times New Roman" w:hAnsi="Arial" w:cs="Arial"/>
          <w:sz w:val="20"/>
          <w:szCs w:val="24"/>
        </w:rPr>
        <w:t xml:space="preserve"> Republike Slovenije, Vrhovn</w:t>
      </w:r>
      <w:r w:rsidR="00C82497">
        <w:rPr>
          <w:rFonts w:ascii="Arial" w:eastAsia="Times New Roman" w:hAnsi="Arial" w:cs="Arial"/>
          <w:sz w:val="20"/>
          <w:szCs w:val="24"/>
        </w:rPr>
        <w:t>o</w:t>
      </w:r>
      <w:r w:rsidRPr="00115F14">
        <w:rPr>
          <w:rFonts w:ascii="Arial" w:eastAsia="Times New Roman" w:hAnsi="Arial" w:cs="Arial"/>
          <w:sz w:val="20"/>
          <w:szCs w:val="24"/>
        </w:rPr>
        <w:t xml:space="preserve"> sodišč</w:t>
      </w:r>
      <w:r w:rsidR="00C82497">
        <w:rPr>
          <w:rFonts w:ascii="Arial" w:eastAsia="Times New Roman" w:hAnsi="Arial" w:cs="Arial"/>
          <w:sz w:val="20"/>
          <w:szCs w:val="24"/>
        </w:rPr>
        <w:t>e</w:t>
      </w:r>
      <w:r w:rsidRPr="00115F14">
        <w:rPr>
          <w:rFonts w:ascii="Arial" w:eastAsia="Times New Roman" w:hAnsi="Arial" w:cs="Arial"/>
          <w:sz w:val="20"/>
          <w:szCs w:val="24"/>
        </w:rPr>
        <w:t xml:space="preserve"> Republike Slovenije, Okrožn</w:t>
      </w:r>
      <w:r w:rsidR="00C82497">
        <w:rPr>
          <w:rFonts w:ascii="Arial" w:eastAsia="Times New Roman" w:hAnsi="Arial" w:cs="Arial"/>
          <w:sz w:val="20"/>
          <w:szCs w:val="24"/>
        </w:rPr>
        <w:t>o</w:t>
      </w:r>
      <w:r w:rsidRPr="00115F14">
        <w:rPr>
          <w:rFonts w:ascii="Arial" w:eastAsia="Times New Roman" w:hAnsi="Arial" w:cs="Arial"/>
          <w:sz w:val="20"/>
          <w:szCs w:val="24"/>
        </w:rPr>
        <w:t xml:space="preserve"> sodišč</w:t>
      </w:r>
      <w:r w:rsidR="00C82497">
        <w:rPr>
          <w:rFonts w:ascii="Arial" w:eastAsia="Times New Roman" w:hAnsi="Arial" w:cs="Arial"/>
          <w:sz w:val="20"/>
          <w:szCs w:val="24"/>
        </w:rPr>
        <w:t>e</w:t>
      </w:r>
      <w:r w:rsidRPr="00115F14">
        <w:rPr>
          <w:rFonts w:ascii="Arial" w:eastAsia="Times New Roman" w:hAnsi="Arial" w:cs="Arial"/>
          <w:sz w:val="20"/>
          <w:szCs w:val="24"/>
        </w:rPr>
        <w:t xml:space="preserve"> v Celju, Okrožn</w:t>
      </w:r>
      <w:r w:rsidR="00C82497">
        <w:rPr>
          <w:rFonts w:ascii="Arial" w:eastAsia="Times New Roman" w:hAnsi="Arial" w:cs="Arial"/>
          <w:sz w:val="20"/>
          <w:szCs w:val="24"/>
        </w:rPr>
        <w:t>o</w:t>
      </w:r>
      <w:r w:rsidRPr="00115F14">
        <w:rPr>
          <w:rFonts w:ascii="Arial" w:eastAsia="Times New Roman" w:hAnsi="Arial" w:cs="Arial"/>
          <w:sz w:val="20"/>
          <w:szCs w:val="24"/>
        </w:rPr>
        <w:t xml:space="preserve"> državn</w:t>
      </w:r>
      <w:r w:rsidR="00C82497">
        <w:rPr>
          <w:rFonts w:ascii="Arial" w:eastAsia="Times New Roman" w:hAnsi="Arial" w:cs="Arial"/>
          <w:sz w:val="20"/>
          <w:szCs w:val="24"/>
        </w:rPr>
        <w:t>o</w:t>
      </w:r>
      <w:r w:rsidRPr="00115F14">
        <w:rPr>
          <w:rFonts w:ascii="Arial" w:eastAsia="Times New Roman" w:hAnsi="Arial" w:cs="Arial"/>
          <w:sz w:val="20"/>
          <w:szCs w:val="24"/>
        </w:rPr>
        <w:t xml:space="preserve"> tožilstv</w:t>
      </w:r>
      <w:r w:rsidR="00C82497">
        <w:rPr>
          <w:rFonts w:ascii="Arial" w:eastAsia="Times New Roman" w:hAnsi="Arial" w:cs="Arial"/>
          <w:sz w:val="20"/>
          <w:szCs w:val="24"/>
        </w:rPr>
        <w:t>o</w:t>
      </w:r>
      <w:r w:rsidRPr="00115F14">
        <w:rPr>
          <w:rFonts w:ascii="Arial" w:eastAsia="Times New Roman" w:hAnsi="Arial" w:cs="Arial"/>
          <w:sz w:val="20"/>
          <w:szCs w:val="24"/>
        </w:rPr>
        <w:t xml:space="preserve"> v Celju in Specializiran</w:t>
      </w:r>
      <w:r w:rsidR="00C82497">
        <w:rPr>
          <w:rFonts w:ascii="Arial" w:eastAsia="Times New Roman" w:hAnsi="Arial" w:cs="Arial"/>
          <w:sz w:val="20"/>
          <w:szCs w:val="24"/>
        </w:rPr>
        <w:t>o</w:t>
      </w:r>
      <w:r w:rsidRPr="00115F14">
        <w:rPr>
          <w:rFonts w:ascii="Arial" w:eastAsia="Times New Roman" w:hAnsi="Arial" w:cs="Arial"/>
          <w:sz w:val="20"/>
          <w:szCs w:val="24"/>
        </w:rPr>
        <w:t xml:space="preserve"> državn</w:t>
      </w:r>
      <w:r w:rsidR="00C82497">
        <w:rPr>
          <w:rFonts w:ascii="Arial" w:eastAsia="Times New Roman" w:hAnsi="Arial" w:cs="Arial"/>
          <w:sz w:val="20"/>
          <w:szCs w:val="24"/>
        </w:rPr>
        <w:t>o</w:t>
      </w:r>
      <w:r w:rsidRPr="00115F14">
        <w:rPr>
          <w:rFonts w:ascii="Arial" w:eastAsia="Times New Roman" w:hAnsi="Arial" w:cs="Arial"/>
          <w:sz w:val="20"/>
          <w:szCs w:val="24"/>
        </w:rPr>
        <w:t xml:space="preserve"> tožilstv</w:t>
      </w:r>
      <w:r w:rsidR="00C82497">
        <w:rPr>
          <w:rFonts w:ascii="Arial" w:eastAsia="Times New Roman" w:hAnsi="Arial" w:cs="Arial"/>
          <w:sz w:val="20"/>
          <w:szCs w:val="24"/>
        </w:rPr>
        <w:t>o</w:t>
      </w:r>
      <w:r w:rsidRPr="00115F14">
        <w:rPr>
          <w:rFonts w:ascii="Arial" w:eastAsia="Times New Roman" w:hAnsi="Arial" w:cs="Arial"/>
          <w:sz w:val="20"/>
          <w:szCs w:val="24"/>
        </w:rPr>
        <w:t xml:space="preserve"> Republike Slovenije.</w:t>
      </w:r>
    </w:p>
    <w:p w:rsidR="00AE2155" w:rsidRPr="00115F14" w:rsidRDefault="00AE2155" w:rsidP="00B644CC">
      <w:pPr>
        <w:pStyle w:val="Golobesedilo"/>
        <w:spacing w:line="288" w:lineRule="auto"/>
        <w:jc w:val="both"/>
        <w:rPr>
          <w:rFonts w:ascii="Arial" w:eastAsia="Times New Roman" w:hAnsi="Arial" w:cs="Arial"/>
          <w:sz w:val="20"/>
          <w:szCs w:val="24"/>
        </w:rPr>
      </w:pPr>
    </w:p>
    <w:p w:rsidR="00AE2155" w:rsidRPr="00115F14" w:rsidRDefault="00AE2155" w:rsidP="00B644CC">
      <w:pPr>
        <w:pStyle w:val="Golobesedilo"/>
        <w:spacing w:line="288" w:lineRule="auto"/>
        <w:jc w:val="both"/>
        <w:rPr>
          <w:rFonts w:ascii="Arial" w:eastAsia="Times New Roman" w:hAnsi="Arial" w:cs="Arial"/>
          <w:sz w:val="20"/>
          <w:szCs w:val="24"/>
        </w:rPr>
      </w:pPr>
      <w:r w:rsidRPr="00115F14">
        <w:rPr>
          <w:rFonts w:ascii="Arial" w:eastAsia="Times New Roman" w:hAnsi="Arial" w:cs="Arial"/>
          <w:sz w:val="20"/>
          <w:szCs w:val="24"/>
        </w:rPr>
        <w:t>Iz ocene računskega sodišča izhaja, da je sistem opravljanja nujnih procesnih dejanj v pravosodnih organih delno učinkovit, saj ni bil v celoti vzpostavljen normativni okvir za</w:t>
      </w:r>
      <w:r>
        <w:rPr>
          <w:rFonts w:ascii="Arial" w:eastAsia="Times New Roman" w:hAnsi="Arial" w:cs="Arial"/>
          <w:sz w:val="20"/>
          <w:szCs w:val="24"/>
        </w:rPr>
        <w:t xml:space="preserve"> </w:t>
      </w:r>
      <w:r w:rsidRPr="00115F14">
        <w:rPr>
          <w:rFonts w:ascii="Arial" w:eastAsia="Times New Roman" w:hAnsi="Arial" w:cs="Arial"/>
          <w:sz w:val="20"/>
          <w:szCs w:val="24"/>
        </w:rPr>
        <w:t>ureditev pravic in obveznosti javnih uslužbencev, ko sodelujejo pri opravljanju nujnih procesnih dejanj.</w:t>
      </w:r>
    </w:p>
    <w:p w:rsidR="00AE2155" w:rsidRPr="00115F14" w:rsidRDefault="00AE2155" w:rsidP="00B644CC">
      <w:pPr>
        <w:pStyle w:val="Golobesedilo"/>
        <w:spacing w:line="288" w:lineRule="auto"/>
        <w:jc w:val="both"/>
        <w:rPr>
          <w:rFonts w:ascii="Arial" w:eastAsia="Times New Roman" w:hAnsi="Arial" w:cs="Arial"/>
          <w:sz w:val="20"/>
          <w:szCs w:val="24"/>
        </w:rPr>
      </w:pPr>
    </w:p>
    <w:p w:rsidR="00AE2155" w:rsidRPr="00115F14" w:rsidRDefault="00AE2155" w:rsidP="00B644CC">
      <w:pPr>
        <w:pStyle w:val="Golobesedilo"/>
        <w:spacing w:line="288" w:lineRule="auto"/>
        <w:jc w:val="both"/>
        <w:rPr>
          <w:rFonts w:ascii="Arial" w:eastAsia="Times New Roman" w:hAnsi="Arial" w:cs="Arial"/>
          <w:sz w:val="20"/>
          <w:szCs w:val="24"/>
        </w:rPr>
      </w:pPr>
      <w:r w:rsidRPr="00115F14">
        <w:rPr>
          <w:rFonts w:ascii="Arial" w:eastAsia="Times New Roman" w:hAnsi="Arial" w:cs="Arial"/>
          <w:sz w:val="20"/>
          <w:szCs w:val="24"/>
        </w:rPr>
        <w:t xml:space="preserve">Ker področni zakoni ne določajo posebnih pravic in dolžnosti sodnega oziroma državno tožilskega osebja, da opravlja svoje delo tudi v dežurstvu in pripravljenosti, ko sodeluje pri izvajanju nujnih </w:t>
      </w:r>
      <w:r w:rsidRPr="00115F14">
        <w:rPr>
          <w:rFonts w:ascii="Arial" w:eastAsia="Times New Roman" w:hAnsi="Arial" w:cs="Arial"/>
          <w:sz w:val="20"/>
          <w:szCs w:val="24"/>
        </w:rPr>
        <w:lastRenderedPageBreak/>
        <w:t>procesnih dejanj izven delovnega časa, pri obračunih in izplačilih plač pa se v praksi niso</w:t>
      </w:r>
      <w:r w:rsidR="00C82497">
        <w:rPr>
          <w:rFonts w:ascii="Arial" w:eastAsia="Times New Roman" w:hAnsi="Arial" w:cs="Arial"/>
          <w:sz w:val="20"/>
          <w:szCs w:val="24"/>
        </w:rPr>
        <w:t xml:space="preserve"> </w:t>
      </w:r>
      <w:r w:rsidRPr="00115F14">
        <w:rPr>
          <w:rFonts w:ascii="Arial" w:eastAsia="Times New Roman" w:hAnsi="Arial" w:cs="Arial"/>
          <w:sz w:val="20"/>
          <w:szCs w:val="24"/>
        </w:rPr>
        <w:t>upoštevala določila Zakona o sistemu plač v javnem sektorju</w:t>
      </w:r>
      <w:r w:rsidRPr="00115F14">
        <w:rPr>
          <w:rStyle w:val="Sprotnaopomba-sklic"/>
          <w:rFonts w:ascii="Arial" w:eastAsia="Times New Roman" w:hAnsi="Arial" w:cs="Arial"/>
          <w:sz w:val="20"/>
          <w:szCs w:val="24"/>
        </w:rPr>
        <w:footnoteReference w:id="3"/>
      </w:r>
      <w:r w:rsidRPr="00115F14">
        <w:rPr>
          <w:rFonts w:ascii="Arial" w:eastAsia="Times New Roman" w:hAnsi="Arial" w:cs="Arial"/>
          <w:sz w:val="20"/>
          <w:szCs w:val="24"/>
        </w:rPr>
        <w:t xml:space="preserve"> (</w:t>
      </w:r>
      <w:r>
        <w:rPr>
          <w:rFonts w:ascii="Arial" w:eastAsia="Times New Roman" w:hAnsi="Arial" w:cs="Arial"/>
          <w:sz w:val="20"/>
          <w:szCs w:val="24"/>
        </w:rPr>
        <w:t xml:space="preserve">v nadaljnjem besedilu: </w:t>
      </w:r>
      <w:r w:rsidRPr="00115F14">
        <w:rPr>
          <w:rFonts w:ascii="Arial" w:eastAsia="Times New Roman" w:hAnsi="Arial" w:cs="Arial"/>
          <w:sz w:val="20"/>
          <w:szCs w:val="24"/>
        </w:rPr>
        <w:t xml:space="preserve">ZSPJS), se s predlogom tega zakona </w:t>
      </w:r>
      <w:r w:rsidR="00C82497">
        <w:rPr>
          <w:rFonts w:ascii="Arial" w:eastAsia="Times New Roman" w:hAnsi="Arial" w:cs="Arial"/>
          <w:sz w:val="20"/>
          <w:szCs w:val="24"/>
        </w:rPr>
        <w:t>upoštevajo</w:t>
      </w:r>
      <w:r w:rsidRPr="00115F14">
        <w:rPr>
          <w:rFonts w:ascii="Arial" w:eastAsia="Times New Roman" w:hAnsi="Arial" w:cs="Arial"/>
          <w:sz w:val="20"/>
          <w:szCs w:val="24"/>
        </w:rPr>
        <w:t xml:space="preserve"> priporočil</w:t>
      </w:r>
      <w:r w:rsidR="00C82497">
        <w:rPr>
          <w:rFonts w:ascii="Arial" w:eastAsia="Times New Roman" w:hAnsi="Arial" w:cs="Arial"/>
          <w:sz w:val="20"/>
          <w:szCs w:val="24"/>
        </w:rPr>
        <w:t>a</w:t>
      </w:r>
      <w:r w:rsidRPr="00115F14">
        <w:rPr>
          <w:rFonts w:ascii="Arial" w:eastAsia="Times New Roman" w:hAnsi="Arial" w:cs="Arial"/>
          <w:sz w:val="20"/>
          <w:szCs w:val="24"/>
        </w:rPr>
        <w:t xml:space="preserve"> </w:t>
      </w:r>
      <w:r w:rsidR="00C82497">
        <w:rPr>
          <w:rFonts w:ascii="Arial" w:eastAsia="Times New Roman" w:hAnsi="Arial" w:cs="Arial"/>
          <w:sz w:val="20"/>
          <w:szCs w:val="24"/>
        </w:rPr>
        <w:t>r</w:t>
      </w:r>
      <w:r w:rsidRPr="00115F14">
        <w:rPr>
          <w:rFonts w:ascii="Arial" w:eastAsia="Times New Roman" w:hAnsi="Arial" w:cs="Arial"/>
          <w:sz w:val="20"/>
          <w:szCs w:val="24"/>
        </w:rPr>
        <w:t>ačunskega sodišča.</w:t>
      </w:r>
    </w:p>
    <w:p w:rsidR="00AE2155" w:rsidRPr="00115F14" w:rsidRDefault="00AE2155" w:rsidP="00B644CC">
      <w:pPr>
        <w:pStyle w:val="Golobesedilo"/>
        <w:spacing w:line="288" w:lineRule="auto"/>
        <w:jc w:val="both"/>
        <w:rPr>
          <w:rFonts w:ascii="Arial" w:eastAsia="Times New Roman" w:hAnsi="Arial" w:cs="Arial"/>
          <w:sz w:val="20"/>
          <w:szCs w:val="24"/>
        </w:rPr>
      </w:pPr>
    </w:p>
    <w:p w:rsidR="00AE2155" w:rsidRPr="00115F14" w:rsidRDefault="00AE2155" w:rsidP="00B644CC">
      <w:pPr>
        <w:pStyle w:val="Golobesedilo"/>
        <w:spacing w:line="288" w:lineRule="auto"/>
        <w:jc w:val="both"/>
        <w:rPr>
          <w:rFonts w:ascii="Arial" w:hAnsi="Arial" w:cs="Arial"/>
          <w:sz w:val="20"/>
          <w:szCs w:val="20"/>
        </w:rPr>
      </w:pPr>
      <w:r w:rsidRPr="00115F14">
        <w:rPr>
          <w:rFonts w:ascii="Arial" w:eastAsia="Times New Roman" w:hAnsi="Arial" w:cs="Arial"/>
          <w:sz w:val="20"/>
          <w:szCs w:val="24"/>
        </w:rPr>
        <w:t>Predlagatelj ugotavlja, da delovnopravna zakonodaja, zlasti Zakon o javnih uslužbencih</w:t>
      </w:r>
      <w:r w:rsidRPr="00115F14">
        <w:rPr>
          <w:rStyle w:val="Sprotnaopomba-sklic"/>
          <w:rFonts w:ascii="Arial" w:hAnsi="Arial" w:cs="Arial"/>
          <w:sz w:val="20"/>
          <w:szCs w:val="20"/>
        </w:rPr>
        <w:footnoteReference w:id="4"/>
      </w:r>
      <w:r>
        <w:rPr>
          <w:rFonts w:ascii="Arial" w:eastAsia="Times New Roman" w:hAnsi="Arial" w:cs="Arial"/>
          <w:sz w:val="20"/>
          <w:szCs w:val="24"/>
        </w:rPr>
        <w:t xml:space="preserve"> </w:t>
      </w:r>
      <w:r w:rsidRPr="00115F14">
        <w:rPr>
          <w:rFonts w:ascii="Arial" w:eastAsia="Times New Roman" w:hAnsi="Arial" w:cs="Arial"/>
          <w:sz w:val="20"/>
          <w:szCs w:val="24"/>
        </w:rPr>
        <w:t>(</w:t>
      </w:r>
      <w:r>
        <w:rPr>
          <w:rFonts w:ascii="Arial" w:eastAsia="Times New Roman" w:hAnsi="Arial" w:cs="Arial"/>
          <w:sz w:val="20"/>
          <w:szCs w:val="24"/>
        </w:rPr>
        <w:t xml:space="preserve">v nadaljnjem besedilu: </w:t>
      </w:r>
      <w:r w:rsidRPr="00115F14">
        <w:rPr>
          <w:rFonts w:ascii="Arial" w:eastAsia="Times New Roman" w:hAnsi="Arial" w:cs="Arial"/>
          <w:sz w:val="20"/>
          <w:szCs w:val="24"/>
        </w:rPr>
        <w:t>ZJU) in ZSPJS na</w:t>
      </w:r>
      <w:r>
        <w:rPr>
          <w:rFonts w:ascii="Arial" w:eastAsia="Times New Roman" w:hAnsi="Arial" w:cs="Arial"/>
          <w:sz w:val="20"/>
          <w:szCs w:val="24"/>
        </w:rPr>
        <w:t xml:space="preserve"> </w:t>
      </w:r>
      <w:r w:rsidRPr="00115F14">
        <w:rPr>
          <w:rFonts w:ascii="Arial" w:eastAsia="Times New Roman" w:hAnsi="Arial" w:cs="Arial"/>
          <w:sz w:val="20"/>
          <w:szCs w:val="24"/>
        </w:rPr>
        <w:t xml:space="preserve">področju dežurstev in nadurnega dela ter pripravljenosti ne določa posebnosti, ki bi veljale za sodno oziroma </w:t>
      </w:r>
      <w:proofErr w:type="spellStart"/>
      <w:r w:rsidRPr="00115F14">
        <w:rPr>
          <w:rFonts w:ascii="Arial" w:eastAsia="Times New Roman" w:hAnsi="Arial" w:cs="Arial"/>
          <w:sz w:val="20"/>
          <w:szCs w:val="24"/>
        </w:rPr>
        <w:t>državnotožilsko</w:t>
      </w:r>
      <w:proofErr w:type="spellEnd"/>
      <w:r w:rsidRPr="00115F14">
        <w:rPr>
          <w:rFonts w:ascii="Arial" w:eastAsia="Times New Roman" w:hAnsi="Arial" w:cs="Arial"/>
          <w:sz w:val="20"/>
          <w:szCs w:val="24"/>
        </w:rPr>
        <w:t xml:space="preserve"> osebje. </w:t>
      </w:r>
      <w:r w:rsidRPr="00115F14">
        <w:rPr>
          <w:rFonts w:ascii="Arial" w:hAnsi="Arial" w:cs="Arial"/>
          <w:sz w:val="20"/>
          <w:szCs w:val="20"/>
        </w:rPr>
        <w:t>Ker se na podlagi tretjega odstavka 22. člena ZJU lahko posamezna vprašanja za sodno osebje in osebje državnih tožilstev z zakonom uredi</w:t>
      </w:r>
      <w:r w:rsidR="00C82497">
        <w:rPr>
          <w:rFonts w:ascii="Arial" w:hAnsi="Arial" w:cs="Arial"/>
          <w:sz w:val="20"/>
          <w:szCs w:val="20"/>
        </w:rPr>
        <w:t>jo</w:t>
      </w:r>
      <w:r w:rsidRPr="00115F14">
        <w:rPr>
          <w:rFonts w:ascii="Arial" w:hAnsi="Arial" w:cs="Arial"/>
          <w:sz w:val="20"/>
          <w:szCs w:val="20"/>
        </w:rPr>
        <w:t xml:space="preserve"> drugače, kot so urejena v ZJU, se s predlogom zakona dopolnjujejo zakonske podlage za sodelovanje </w:t>
      </w:r>
      <w:proofErr w:type="spellStart"/>
      <w:r w:rsidRPr="00115F14">
        <w:rPr>
          <w:rFonts w:ascii="Arial" w:hAnsi="Arial" w:cs="Arial"/>
          <w:sz w:val="20"/>
          <w:szCs w:val="20"/>
        </w:rPr>
        <w:t>državnotožilskega</w:t>
      </w:r>
      <w:proofErr w:type="spellEnd"/>
      <w:r w:rsidRPr="00115F14">
        <w:rPr>
          <w:rFonts w:ascii="Arial" w:hAnsi="Arial" w:cs="Arial"/>
          <w:sz w:val="20"/>
          <w:szCs w:val="20"/>
        </w:rPr>
        <w:t xml:space="preserve"> osebja pri opravljanju nujnih procesnih dejanj. V primerih sodelovanja javnih uslužbencev pri zagotavljanju izvajanja nujnih procesnih dejanj gre za specifično naravo njihovih nalog, hkrati pa za sistemsko ureditev posebnih dolžnosti </w:t>
      </w:r>
      <w:proofErr w:type="spellStart"/>
      <w:r w:rsidRPr="00115F14">
        <w:rPr>
          <w:rFonts w:ascii="Arial" w:hAnsi="Arial" w:cs="Arial"/>
          <w:sz w:val="20"/>
          <w:szCs w:val="20"/>
        </w:rPr>
        <w:t>državnotožilskega</w:t>
      </w:r>
      <w:proofErr w:type="spellEnd"/>
      <w:r w:rsidRPr="00115F14">
        <w:rPr>
          <w:rFonts w:ascii="Arial" w:hAnsi="Arial" w:cs="Arial"/>
          <w:sz w:val="20"/>
          <w:szCs w:val="20"/>
        </w:rPr>
        <w:t xml:space="preserve"> osebja, ki v času dežurstva in pripravljenosti sodeluje z državnimi tožilci pri opravljanju nujnih procesnih dejanj. Zato se s predlogom zakona urejajo pogoji in plačilo za opravljeno delo z navezavo na sistemski predpis, ki enotno ureja podlage in postopek določitve plač ter dodatkov za celotni javni sektor. </w:t>
      </w:r>
    </w:p>
    <w:p w:rsidR="00AE2155" w:rsidRDefault="00AE2155" w:rsidP="00B644CC">
      <w:pPr>
        <w:pStyle w:val="Golobesedilo"/>
        <w:spacing w:line="288" w:lineRule="auto"/>
        <w:jc w:val="both"/>
        <w:rPr>
          <w:rFonts w:ascii="Arial" w:eastAsia="Times New Roman" w:hAnsi="Arial" w:cs="Arial"/>
          <w:sz w:val="20"/>
          <w:szCs w:val="24"/>
        </w:rPr>
      </w:pPr>
    </w:p>
    <w:p w:rsidR="00E762CA" w:rsidRDefault="00E762CA" w:rsidP="00E762CA">
      <w:pPr>
        <w:spacing w:line="288" w:lineRule="auto"/>
        <w:jc w:val="both"/>
        <w:rPr>
          <w:rFonts w:cs="Arial"/>
          <w:szCs w:val="20"/>
        </w:rPr>
      </w:pPr>
      <w:r>
        <w:rPr>
          <w:rFonts w:cs="Arial"/>
          <w:color w:val="000000"/>
          <w:szCs w:val="20"/>
        </w:rPr>
        <w:t>Dodatke za delo</w:t>
      </w:r>
      <w:r>
        <w:rPr>
          <w:rFonts w:ascii="Arial;sans-serif" w:hAnsi="Arial;sans-serif"/>
          <w:color w:val="000000"/>
          <w:szCs w:val="20"/>
        </w:rPr>
        <w:t xml:space="preserve"> v manj ugodnem delovnem času in za čas pripravljenosti za javne uslužbence določa ZSPJS. Izjemoma so do teh dodatkov upravičeni tudi sodniki in državni tožilc</w:t>
      </w:r>
      <w:r w:rsidR="00C82497">
        <w:rPr>
          <w:rFonts w:ascii="Arial;sans-serif" w:hAnsi="Arial;sans-serif"/>
          <w:color w:val="000000"/>
          <w:szCs w:val="20"/>
        </w:rPr>
        <w:t>i</w:t>
      </w:r>
      <w:r>
        <w:rPr>
          <w:rFonts w:ascii="Arial;sans-serif" w:hAnsi="Arial;sans-serif"/>
          <w:color w:val="000000"/>
          <w:szCs w:val="20"/>
        </w:rPr>
        <w:t xml:space="preserve">, </w:t>
      </w:r>
      <w:r w:rsidR="00C82497">
        <w:rPr>
          <w:rFonts w:ascii="Arial;sans-serif" w:hAnsi="Arial;sans-serif"/>
          <w:color w:val="000000"/>
          <w:szCs w:val="20"/>
        </w:rPr>
        <w:t>pre</w:t>
      </w:r>
      <w:r>
        <w:rPr>
          <w:rFonts w:ascii="Arial;sans-serif" w:hAnsi="Arial;sans-serif"/>
          <w:color w:val="000000"/>
          <w:szCs w:val="20"/>
        </w:rPr>
        <w:t xml:space="preserve">ostali funkcionarji pa do dodatkov, razen dodatka na delovno dobo, niso upravičeni. Glede višine dodatkov zakon napotuje na kolektivne pogodbe dejavnosti. Vsebinska opredelitev kategorij dela v manj ugodnem delovnem času je prepuščena kolektivnim pogodbam in področnim zakonom, kjer so določene posebnosti glede na </w:t>
      </w:r>
      <w:r w:rsidR="00C82497">
        <w:rPr>
          <w:rFonts w:ascii="Arial;sans-serif" w:hAnsi="Arial;sans-serif"/>
          <w:color w:val="000000"/>
          <w:szCs w:val="20"/>
        </w:rPr>
        <w:t>vrsto in vsebino</w:t>
      </w:r>
      <w:r>
        <w:rPr>
          <w:rFonts w:ascii="Arial;sans-serif" w:hAnsi="Arial;sans-serif"/>
          <w:color w:val="000000"/>
          <w:szCs w:val="20"/>
        </w:rPr>
        <w:t xml:space="preserve"> dela posameznega področja.</w:t>
      </w:r>
      <w:r>
        <w:rPr>
          <w:rFonts w:cs="Arial"/>
          <w:color w:val="000000"/>
          <w:szCs w:val="20"/>
        </w:rPr>
        <w:t xml:space="preserve"> </w:t>
      </w:r>
    </w:p>
    <w:p w:rsidR="00E762CA" w:rsidRDefault="00E762CA" w:rsidP="00B644CC">
      <w:pPr>
        <w:pStyle w:val="Golobesedilo"/>
        <w:spacing w:line="288" w:lineRule="auto"/>
        <w:jc w:val="both"/>
        <w:rPr>
          <w:rFonts w:ascii="Arial" w:eastAsia="Times New Roman" w:hAnsi="Arial" w:cs="Arial"/>
          <w:sz w:val="20"/>
          <w:szCs w:val="24"/>
        </w:rPr>
      </w:pPr>
    </w:p>
    <w:p w:rsidR="0055102A" w:rsidRPr="00115F14" w:rsidRDefault="0055102A" w:rsidP="0055102A">
      <w:pPr>
        <w:pStyle w:val="rkovnatokazaodstavkom"/>
        <w:numPr>
          <w:ilvl w:val="0"/>
          <w:numId w:val="0"/>
        </w:numPr>
        <w:spacing w:line="288" w:lineRule="auto"/>
        <w:rPr>
          <w:rFonts w:cs="Arial"/>
        </w:rPr>
      </w:pPr>
      <w:r w:rsidRPr="00115F14">
        <w:rPr>
          <w:rFonts w:cs="Arial"/>
        </w:rPr>
        <w:t>Zakon o delovnih razmerjih</w:t>
      </w:r>
      <w:r w:rsidRPr="00115F14">
        <w:rPr>
          <w:rStyle w:val="Sprotnaopomba-sklic"/>
          <w:rFonts w:cs="Arial"/>
        </w:rPr>
        <w:footnoteReference w:id="5"/>
      </w:r>
      <w:r>
        <w:rPr>
          <w:rFonts w:cs="Arial"/>
        </w:rPr>
        <w:t xml:space="preserve"> </w:t>
      </w:r>
      <w:r w:rsidRPr="00115F14">
        <w:rPr>
          <w:rFonts w:cs="Arial"/>
        </w:rPr>
        <w:t>(</w:t>
      </w:r>
      <w:r>
        <w:rPr>
          <w:rFonts w:cs="Arial"/>
        </w:rPr>
        <w:t xml:space="preserve">v nadaljnjem besedilu: </w:t>
      </w:r>
      <w:r w:rsidRPr="00115F14">
        <w:rPr>
          <w:rFonts w:cs="Arial"/>
        </w:rPr>
        <w:t xml:space="preserve">ZDR-1), ki </w:t>
      </w:r>
      <w:r w:rsidR="00C82497">
        <w:rPr>
          <w:rFonts w:cs="Arial"/>
        </w:rPr>
        <w:t xml:space="preserve">je </w:t>
      </w:r>
      <w:r w:rsidRPr="00115F14">
        <w:rPr>
          <w:rFonts w:cs="Arial"/>
        </w:rPr>
        <w:t xml:space="preserve">v Republiki Sloveniji krovni zakon na področju delovnih razmerij, pripravljenosti </w:t>
      </w:r>
      <w:r w:rsidR="00C82497">
        <w:rPr>
          <w:rFonts w:cs="Arial"/>
        </w:rPr>
        <w:t>z</w:t>
      </w:r>
      <w:r w:rsidRPr="00115F14">
        <w:rPr>
          <w:rFonts w:cs="Arial"/>
        </w:rPr>
        <w:t>a delo ne opredeljuje. Glede delovnega časa pa splošno določa, da je delovni čas efektivni delovni čas in čas odmora po 154. členu tega zakona ter čas upravičenih odsotnosti z dela v skladu z zakonom in kolektivno pogodbo oziroma splošnim aktom (prvi odstavek 142. člena ZDR-1). Efektivni delovni čas je vsak čas, v katerem delavec dela, kar pomeni, da je na razpolago delodajalcu in izpolnjuje svoje delovne obveznosti iz pogodbe o zaposlitvi</w:t>
      </w:r>
      <w:r w:rsidR="00C82497">
        <w:rPr>
          <w:rFonts w:cs="Arial"/>
        </w:rPr>
        <w:t>, ter</w:t>
      </w:r>
      <w:r w:rsidRPr="00115F14">
        <w:rPr>
          <w:rFonts w:cs="Arial"/>
        </w:rPr>
        <w:t xml:space="preserve"> je osnova za izračun produktivnosti dela (drugi in tretji odstavek 142. člena ZDR-1).</w:t>
      </w:r>
    </w:p>
    <w:p w:rsidR="0055102A" w:rsidRPr="00115F14" w:rsidRDefault="0055102A" w:rsidP="00B644CC">
      <w:pPr>
        <w:pStyle w:val="Golobesedilo"/>
        <w:spacing w:line="288" w:lineRule="auto"/>
        <w:jc w:val="both"/>
        <w:rPr>
          <w:rFonts w:ascii="Arial" w:eastAsia="Times New Roman" w:hAnsi="Arial" w:cs="Arial"/>
          <w:sz w:val="20"/>
          <w:szCs w:val="24"/>
        </w:rPr>
      </w:pPr>
    </w:p>
    <w:p w:rsidR="00E762CA" w:rsidRDefault="00E762CA" w:rsidP="00E762CA">
      <w:pPr>
        <w:pStyle w:val="rkovnatokazaodstavkom"/>
        <w:numPr>
          <w:ilvl w:val="0"/>
          <w:numId w:val="0"/>
        </w:numPr>
        <w:spacing w:line="288" w:lineRule="auto"/>
        <w:rPr>
          <w:rFonts w:cs="Arial"/>
          <w:color w:val="000000"/>
        </w:rPr>
      </w:pPr>
      <w:r>
        <w:rPr>
          <w:rFonts w:cs="Arial"/>
          <w:color w:val="000000"/>
        </w:rPr>
        <w:t xml:space="preserve">Pripravljenost je kot institut predmet ureditve nekaterih </w:t>
      </w:r>
      <w:r w:rsidR="00C82497">
        <w:rPr>
          <w:rFonts w:cs="Arial"/>
          <w:color w:val="000000"/>
        </w:rPr>
        <w:t xml:space="preserve">posebnih </w:t>
      </w:r>
      <w:r>
        <w:rPr>
          <w:rFonts w:cs="Arial"/>
          <w:color w:val="000000"/>
        </w:rPr>
        <w:t xml:space="preserve">zakonov na področju javnega sektorja, kjer je </w:t>
      </w:r>
      <w:r w:rsidR="00C82497">
        <w:rPr>
          <w:rFonts w:cs="Arial"/>
          <w:color w:val="000000"/>
        </w:rPr>
        <w:t>potrebno</w:t>
      </w:r>
      <w:r>
        <w:rPr>
          <w:rFonts w:cs="Arial"/>
          <w:color w:val="000000"/>
        </w:rPr>
        <w:t>, da je delavec izven delovnega mesta dosegljiv za opravljanje delovnih nalog, predvsem na področju zdravstva, organ</w:t>
      </w:r>
      <w:r w:rsidR="00C82497">
        <w:rPr>
          <w:rFonts w:cs="Arial"/>
          <w:color w:val="000000"/>
        </w:rPr>
        <w:t>iziranosti</w:t>
      </w:r>
      <w:r>
        <w:rPr>
          <w:rFonts w:cs="Arial"/>
          <w:color w:val="000000"/>
        </w:rPr>
        <w:t xml:space="preserve"> in dela policije, obrambe, zaščite in reševanja, veterinarstva, sodniške službe, državnega tožilstva, zunanjih zadev </w:t>
      </w:r>
      <w:r w:rsidR="00C82497">
        <w:rPr>
          <w:rFonts w:cs="Arial"/>
          <w:color w:val="000000"/>
        </w:rPr>
        <w:t>ter</w:t>
      </w:r>
      <w:r>
        <w:rPr>
          <w:rFonts w:cs="Arial"/>
          <w:color w:val="000000"/>
        </w:rPr>
        <w:t xml:space="preserve"> gasilstva.</w:t>
      </w:r>
    </w:p>
    <w:p w:rsidR="00E762CA" w:rsidRDefault="00E762CA" w:rsidP="00E762CA">
      <w:pPr>
        <w:pStyle w:val="rkovnatokazaodstavkom"/>
        <w:numPr>
          <w:ilvl w:val="0"/>
          <w:numId w:val="0"/>
        </w:numPr>
        <w:spacing w:line="288" w:lineRule="auto"/>
        <w:rPr>
          <w:rFonts w:cs="Arial"/>
          <w:color w:val="000000"/>
        </w:rPr>
      </w:pPr>
    </w:p>
    <w:p w:rsidR="00E762CA" w:rsidRPr="00A616EE" w:rsidRDefault="00E762CA" w:rsidP="00E762CA">
      <w:pPr>
        <w:spacing w:line="288" w:lineRule="auto"/>
        <w:jc w:val="both"/>
        <w:rPr>
          <w:rFonts w:cs="Arial"/>
          <w:szCs w:val="20"/>
        </w:rPr>
      </w:pPr>
      <w:r w:rsidRPr="00A616EE">
        <w:rPr>
          <w:rFonts w:ascii="Arial;sans-serif" w:hAnsi="Arial;sans-serif"/>
          <w:color w:val="000000"/>
          <w:szCs w:val="20"/>
        </w:rPr>
        <w:t>Glede pripravljenosti</w:t>
      </w:r>
      <w:r w:rsidRPr="00A616EE">
        <w:rPr>
          <w:rFonts w:cs="Arial"/>
          <w:color w:val="000000"/>
          <w:szCs w:val="20"/>
        </w:rPr>
        <w:t xml:space="preserve"> za delo </w:t>
      </w:r>
      <w:r w:rsidRPr="00A616EE">
        <w:rPr>
          <w:rFonts w:ascii="Arial;sans-serif" w:hAnsi="Arial;sans-serif"/>
          <w:color w:val="000000"/>
          <w:szCs w:val="20"/>
        </w:rPr>
        <w:t>Zakon o organiziranosti in delu v policiji</w:t>
      </w:r>
      <w:r w:rsidRPr="00A616EE">
        <w:rPr>
          <w:rStyle w:val="Sidrosprotneopombe"/>
          <w:rFonts w:cs="Arial"/>
          <w:szCs w:val="20"/>
        </w:rPr>
        <w:footnoteReference w:id="6"/>
      </w:r>
      <w:r w:rsidRPr="00A616EE">
        <w:rPr>
          <w:rFonts w:cs="Arial"/>
          <w:szCs w:val="20"/>
        </w:rPr>
        <w:t xml:space="preserve"> (</w:t>
      </w:r>
      <w:proofErr w:type="spellStart"/>
      <w:r w:rsidRPr="00A616EE">
        <w:rPr>
          <w:rFonts w:cs="Arial"/>
          <w:szCs w:val="20"/>
        </w:rPr>
        <w:t>ZODPol</w:t>
      </w:r>
      <w:proofErr w:type="spellEnd"/>
      <w:r w:rsidRPr="00A616EE">
        <w:rPr>
          <w:rFonts w:cs="Arial"/>
          <w:szCs w:val="20"/>
        </w:rPr>
        <w:t xml:space="preserve">) določa, da je to poseben delovni pogoj, </w:t>
      </w:r>
      <w:r w:rsidRPr="00A616EE">
        <w:rPr>
          <w:rFonts w:ascii="Arial;sans-serif" w:hAnsi="Arial;sans-serif" w:cs="Arial"/>
          <w:color w:val="000000"/>
          <w:szCs w:val="20"/>
        </w:rPr>
        <w:t>pri katerem mora biti uslužbenec policije, ki mu je pripravljenost odrejena, v pripravljenosti za delo doma ali na določenem kraju. Pripravljenost pomeni dosegljivost uslužbenca policije po telefonu ali drugih sredstvih za potrebe prihoda na delovno mesto ali na kraj, kjer je treba opraviti nujno nalogo.</w:t>
      </w:r>
      <w:r w:rsidRPr="00A616EE">
        <w:rPr>
          <w:rFonts w:cs="Arial"/>
          <w:szCs w:val="20"/>
        </w:rPr>
        <w:t xml:space="preserve"> </w:t>
      </w:r>
      <w:r w:rsidRPr="00A616EE">
        <w:rPr>
          <w:rFonts w:ascii="Arial;sans-serif" w:hAnsi="Arial;sans-serif" w:cs="Arial"/>
          <w:color w:val="000000"/>
          <w:szCs w:val="20"/>
        </w:rPr>
        <w:t xml:space="preserve">Uslužbenec policije, ki je v času pripravljenosti poklican na delo, </w:t>
      </w:r>
      <w:r w:rsidRPr="00A616EE">
        <w:rPr>
          <w:rFonts w:ascii="Arial;sans-serif" w:hAnsi="Arial;sans-serif" w:cs="Arial"/>
          <w:color w:val="000000"/>
          <w:szCs w:val="20"/>
        </w:rPr>
        <w:lastRenderedPageBreak/>
        <w:t>se mora v najkrajšem možnem času zglasiti na delovnem mestu ali kraju, kjer je treba opraviti nujno nalogo.</w:t>
      </w:r>
      <w:r w:rsidRPr="00A616EE">
        <w:rPr>
          <w:rFonts w:cs="Arial"/>
          <w:color w:val="000000"/>
          <w:szCs w:val="20"/>
        </w:rPr>
        <w:t xml:space="preserve"> Pripravljenost za delo se ne šteje v delovni čas. </w:t>
      </w:r>
      <w:r w:rsidRPr="00A616EE">
        <w:rPr>
          <w:rFonts w:ascii="Arial;sans-serif" w:hAnsi="Arial;sans-serif"/>
          <w:color w:val="000000"/>
          <w:szCs w:val="20"/>
        </w:rPr>
        <w:t>Če uslužbenec policije med pripravljenostjo za delo začne opravljati delo, se mu čas opravljanja dela šteje v delovni čas. Pripravljenost za delo je podrobneje urejena še v Kolektivni pogodbi za policiste</w:t>
      </w:r>
      <w:r w:rsidR="00C82497">
        <w:rPr>
          <w:rFonts w:ascii="Arial;sans-serif" w:hAnsi="Arial;sans-serif"/>
          <w:color w:val="000000"/>
          <w:szCs w:val="20"/>
        </w:rPr>
        <w:t>.</w:t>
      </w:r>
      <w:r w:rsidRPr="00A616EE">
        <w:rPr>
          <w:rStyle w:val="Sidrosprotneopombe"/>
          <w:rFonts w:ascii="Arial;sans-serif" w:hAnsi="Arial;sans-serif"/>
          <w:color w:val="000000"/>
          <w:szCs w:val="20"/>
        </w:rPr>
        <w:footnoteReference w:id="7"/>
      </w:r>
    </w:p>
    <w:p w:rsidR="00E762CA" w:rsidRPr="00115F14" w:rsidRDefault="00E762CA" w:rsidP="00E762CA">
      <w:pPr>
        <w:pStyle w:val="rkovnatokazaodstavkom"/>
        <w:numPr>
          <w:ilvl w:val="0"/>
          <w:numId w:val="0"/>
        </w:numPr>
        <w:spacing w:line="288" w:lineRule="auto"/>
        <w:rPr>
          <w:rFonts w:cs="Arial"/>
        </w:rPr>
      </w:pPr>
    </w:p>
    <w:p w:rsidR="00E762CA" w:rsidRDefault="00E762CA" w:rsidP="00E762CA">
      <w:pPr>
        <w:spacing w:line="288" w:lineRule="auto"/>
        <w:jc w:val="both"/>
        <w:rPr>
          <w:rFonts w:ascii="Arial;sans-serif" w:hAnsi="Arial;sans-serif"/>
          <w:color w:val="000000"/>
          <w:szCs w:val="20"/>
        </w:rPr>
      </w:pPr>
      <w:r w:rsidRPr="00A616EE">
        <w:rPr>
          <w:rFonts w:cs="Arial"/>
          <w:szCs w:val="20"/>
        </w:rPr>
        <w:t>Pripravljenost za delo je možna tudi pri uslužbencih finančne uprave, in sicer je opredeljena v 82. členu Zakona o finančni upravi</w:t>
      </w:r>
      <w:r w:rsidRPr="00A616EE">
        <w:rPr>
          <w:rStyle w:val="Sidrosprotneopombe"/>
          <w:rFonts w:cs="Arial"/>
          <w:szCs w:val="20"/>
        </w:rPr>
        <w:footnoteReference w:id="8"/>
      </w:r>
      <w:r w:rsidRPr="00A616EE">
        <w:rPr>
          <w:rFonts w:cs="Arial"/>
          <w:szCs w:val="20"/>
        </w:rPr>
        <w:t xml:space="preserve"> (ZFU). Pripravljenost kot posebni delovni pogoj</w:t>
      </w:r>
      <w:r w:rsidRPr="00A616EE">
        <w:rPr>
          <w:rFonts w:ascii="Arial;sans-serif" w:hAnsi="Arial;sans-serif" w:cs="Arial"/>
          <w:color w:val="000000"/>
          <w:szCs w:val="20"/>
        </w:rPr>
        <w:t xml:space="preserve"> pomeni dosegljivost uslužbenca finančne uprave po telefonu ali drugih sredstvih zaradi morebitnega prihoda na delovno mesto ali na kraj, kjer je treba opraviti </w:t>
      </w:r>
      <w:r w:rsidR="00C82497" w:rsidRPr="00A616EE">
        <w:rPr>
          <w:rFonts w:ascii="Arial;sans-serif" w:hAnsi="Arial;sans-serif" w:cs="Arial"/>
          <w:color w:val="000000"/>
          <w:szCs w:val="20"/>
        </w:rPr>
        <w:t xml:space="preserve">nujno </w:t>
      </w:r>
      <w:r w:rsidRPr="00A616EE">
        <w:rPr>
          <w:rFonts w:ascii="Arial;sans-serif" w:hAnsi="Arial;sans-serif" w:cs="Arial"/>
          <w:color w:val="000000"/>
          <w:szCs w:val="20"/>
        </w:rPr>
        <w:t>nalogo. Pripravljenost se uslužbencu finančne uprave odreja glede na potrebe delovnega procesa.</w:t>
      </w:r>
      <w:r w:rsidRPr="00A616EE">
        <w:rPr>
          <w:rFonts w:cs="Arial"/>
          <w:szCs w:val="20"/>
        </w:rPr>
        <w:t xml:space="preserve"> </w:t>
      </w:r>
      <w:r w:rsidRPr="00A616EE">
        <w:rPr>
          <w:rFonts w:cs="Arial"/>
          <w:color w:val="000000"/>
          <w:szCs w:val="20"/>
        </w:rPr>
        <w:t>Uslužbenec finančne uprave, ki je med pripravljenostjo poklican na delo, se mora v najkrajšem mogočem času zglasiti na delovnem mestu ali kraju, kjer je treba opraviti določeno nalogo. P</w:t>
      </w:r>
      <w:r w:rsidRPr="00A616EE">
        <w:rPr>
          <w:rFonts w:ascii="Arial;sans-serif" w:hAnsi="Arial;sans-serif"/>
          <w:color w:val="000000"/>
          <w:szCs w:val="20"/>
        </w:rPr>
        <w:t>ripravljenost se ne všteva v število ur tedenske oziroma mesečne delovne obveznosti. Če mora uslužbenec finančne uprave med pripravljenostjo dejansko delati, se ure dejanskega dela vštevajo v število ur tedenske oziroma mesečne delovne obveznosti.</w:t>
      </w:r>
    </w:p>
    <w:p w:rsidR="00E762CA" w:rsidRDefault="00E762CA" w:rsidP="00E762CA">
      <w:pPr>
        <w:spacing w:line="288" w:lineRule="auto"/>
        <w:jc w:val="both"/>
        <w:rPr>
          <w:rFonts w:ascii="Arial;sans-serif" w:hAnsi="Arial;sans-serif"/>
          <w:color w:val="000000"/>
          <w:szCs w:val="20"/>
        </w:rPr>
      </w:pPr>
    </w:p>
    <w:p w:rsidR="00E762CA" w:rsidRDefault="00E762CA" w:rsidP="00E762CA">
      <w:pPr>
        <w:spacing w:line="288" w:lineRule="auto"/>
        <w:jc w:val="both"/>
        <w:rPr>
          <w:rFonts w:cs="Arial"/>
          <w:szCs w:val="20"/>
        </w:rPr>
      </w:pPr>
      <w:r>
        <w:rPr>
          <w:rFonts w:cs="Arial"/>
          <w:szCs w:val="20"/>
        </w:rPr>
        <w:t>Za delavce na obrambnem področju pripravljenost za delo določa Zakon o obrambi</w:t>
      </w:r>
      <w:r>
        <w:rPr>
          <w:rStyle w:val="Sidrosprotneopombe"/>
          <w:rFonts w:cs="Arial"/>
          <w:szCs w:val="20"/>
        </w:rPr>
        <w:footnoteReference w:id="9"/>
      </w:r>
      <w:r>
        <w:rPr>
          <w:rFonts w:cs="Arial"/>
          <w:szCs w:val="20"/>
        </w:rPr>
        <w:t xml:space="preserve"> (ZObr), ki v 97.e členu določa, da mora biti delavec </w:t>
      </w:r>
      <w:r>
        <w:rPr>
          <w:rFonts w:cs="Arial"/>
          <w:color w:val="000000"/>
          <w:szCs w:val="20"/>
        </w:rPr>
        <w:t>v pripravljenosti za delo na delovnem mestu, na določenem kraju ali na domu.</w:t>
      </w:r>
      <w:r>
        <w:rPr>
          <w:rFonts w:cs="Arial"/>
          <w:szCs w:val="20"/>
        </w:rPr>
        <w:t xml:space="preserve"> </w:t>
      </w:r>
      <w:r>
        <w:rPr>
          <w:rFonts w:cs="Arial"/>
          <w:color w:val="000000"/>
          <w:szCs w:val="20"/>
        </w:rPr>
        <w:t>Pripravljenost za delo se ne všteva v število ur tedenske oziroma mesečne delovne obveznosti. Če mora delavec v času pripravljenosti za delo dejansko delati, se te ure dejanskega dela vštevajo v število ur tedenske oziroma mesečne delovne obveznosti.</w:t>
      </w:r>
      <w:r>
        <w:rPr>
          <w:rFonts w:cs="Arial"/>
          <w:szCs w:val="20"/>
        </w:rPr>
        <w:t xml:space="preserve"> </w:t>
      </w:r>
      <w:r>
        <w:rPr>
          <w:rFonts w:cs="Arial"/>
          <w:color w:val="000000"/>
          <w:szCs w:val="20"/>
        </w:rPr>
        <w:t>Pripravljenost za delo na določenem kraju je izenačena s pripravljenostjo za delo na delovnem mestu.</w:t>
      </w:r>
      <w:r>
        <w:rPr>
          <w:rFonts w:cs="Arial"/>
          <w:szCs w:val="20"/>
        </w:rPr>
        <w:t xml:space="preserve"> </w:t>
      </w:r>
    </w:p>
    <w:p w:rsidR="00E762CA" w:rsidRPr="00A616EE" w:rsidRDefault="00E762CA" w:rsidP="00E762CA">
      <w:pPr>
        <w:spacing w:line="288" w:lineRule="auto"/>
        <w:jc w:val="both"/>
        <w:rPr>
          <w:rFonts w:cs="Arial"/>
          <w:szCs w:val="20"/>
        </w:rPr>
      </w:pPr>
    </w:p>
    <w:p w:rsidR="00E762CA" w:rsidRDefault="00E762CA" w:rsidP="00E762CA">
      <w:pPr>
        <w:pStyle w:val="rkovnatokazaodstavkom"/>
        <w:numPr>
          <w:ilvl w:val="0"/>
          <w:numId w:val="0"/>
        </w:numPr>
        <w:spacing w:line="288" w:lineRule="auto"/>
      </w:pPr>
      <w:r>
        <w:rPr>
          <w:rFonts w:cs="Arial"/>
        </w:rPr>
        <w:t xml:space="preserve">Za državne tožilce pravice in obveznosti iz </w:t>
      </w:r>
      <w:proofErr w:type="spellStart"/>
      <w:r>
        <w:rPr>
          <w:rFonts w:cs="Arial"/>
        </w:rPr>
        <w:t>državnotožilske</w:t>
      </w:r>
      <w:proofErr w:type="spellEnd"/>
      <w:r>
        <w:rPr>
          <w:rFonts w:cs="Arial"/>
        </w:rPr>
        <w:t xml:space="preserve"> službe ureja ZDT-1. Državni tožilci opravljajo delo v okviru poslovnega časa državnih tožilstev, zaradi opravljanja nujnih procesnih dejanj pa tudi izven poslovnega časa, kar ima izvor v procesni zakonodaji in se šteje za </w:t>
      </w:r>
      <w:r w:rsidR="00C82497">
        <w:rPr>
          <w:rFonts w:cs="Arial"/>
        </w:rPr>
        <w:t>posebnost</w:t>
      </w:r>
      <w:r>
        <w:rPr>
          <w:rFonts w:cs="Arial"/>
        </w:rPr>
        <w:t xml:space="preserve"> glede na </w:t>
      </w:r>
      <w:r w:rsidR="00C82497">
        <w:rPr>
          <w:rFonts w:cs="Arial"/>
        </w:rPr>
        <w:t>vrsto in vsebino</w:t>
      </w:r>
      <w:r>
        <w:rPr>
          <w:rFonts w:cs="Arial"/>
        </w:rPr>
        <w:t xml:space="preserve"> dela. </w:t>
      </w:r>
      <w:r w:rsidRPr="00115F14">
        <w:t xml:space="preserve">Pripravljenost pomeni dosegljivost državnega tožilca po telefonu ali z uporabo drugih sredstev za potrebe opravljanja nujnih procesnih dejanj oziroma usmerjanja. Ure pripravljenosti se ne štejejo v delovni čas. V času dežurstva državni tožilec opravlja nujna procesna dejanja oziroma usmerjanja na delovnem mestu ali na drugem kraju, kjer </w:t>
      </w:r>
      <w:r>
        <w:t>se opravljajo nujna procesna dejanja</w:t>
      </w:r>
      <w:r w:rsidRPr="00115F14">
        <w:t xml:space="preserve">. Ure dežurstva se štejejo v delovni čas. </w:t>
      </w:r>
    </w:p>
    <w:p w:rsidR="00E762CA" w:rsidRPr="00115F14" w:rsidRDefault="00E762CA" w:rsidP="00E762CA">
      <w:pPr>
        <w:pStyle w:val="rkovnatokazaodstavkom"/>
        <w:numPr>
          <w:ilvl w:val="0"/>
          <w:numId w:val="0"/>
        </w:numPr>
        <w:spacing w:line="288" w:lineRule="auto"/>
      </w:pPr>
    </w:p>
    <w:p w:rsidR="00E762CA" w:rsidRDefault="00E762CA" w:rsidP="00E762CA">
      <w:pPr>
        <w:pStyle w:val="Navadensplet"/>
        <w:suppressAutoHyphens/>
        <w:spacing w:before="0" w:beforeAutospacing="0" w:after="0" w:afterAutospacing="0" w:line="288" w:lineRule="auto"/>
        <w:jc w:val="both"/>
        <w:rPr>
          <w:rFonts w:ascii="Arial" w:hAnsi="Arial" w:cs="Arial"/>
          <w:sz w:val="20"/>
          <w:szCs w:val="20"/>
        </w:rPr>
      </w:pPr>
      <w:r>
        <w:rPr>
          <w:rFonts w:ascii="Arial" w:hAnsi="Arial" w:cs="Arial"/>
          <w:sz w:val="20"/>
          <w:szCs w:val="20"/>
        </w:rPr>
        <w:t>Funkcionarjem dodatki k plači ne pripadajo, razen dodatka na delovno dobo. Izjemoma pripada omejen nabor dodatkov državnim tožilcem, in sicer d</w:t>
      </w:r>
      <w:r>
        <w:rPr>
          <w:rFonts w:ascii="Arial;sans-serif" w:hAnsi="Arial;sans-serif" w:cs="Arial"/>
          <w:color w:val="000000"/>
          <w:sz w:val="20"/>
          <w:szCs w:val="20"/>
        </w:rPr>
        <w:t>odatki za dvojezičnost, položajni dodatek, dodatek za delo v manj ugodnem delovnem času ter za pripravljenost.</w:t>
      </w:r>
      <w:r>
        <w:rPr>
          <w:rFonts w:ascii="Arial" w:hAnsi="Arial" w:cs="Arial"/>
          <w:sz w:val="20"/>
          <w:szCs w:val="20"/>
        </w:rPr>
        <w:t xml:space="preserve"> Dodatki državnih tožilcev za delo v manj ugodnem delovnem času in za stalno pripravljenost so urejeni v 32.a členu ZSPJS. Dodatek se obračuna na osnovno plačo funkcionarja. </w:t>
      </w:r>
      <w:r>
        <w:rPr>
          <w:rFonts w:ascii="Arial" w:hAnsi="Arial" w:cs="Arial"/>
          <w:color w:val="000000"/>
          <w:sz w:val="20"/>
          <w:szCs w:val="20"/>
        </w:rPr>
        <w:t>Državnim tožilcem pripadajo naslednji dodatki za delo v manj ugodnem delovnem času:</w:t>
      </w:r>
    </w:p>
    <w:p w:rsidR="00E762CA" w:rsidRPr="005928FE" w:rsidRDefault="00E762CA" w:rsidP="005928FE">
      <w:pPr>
        <w:pStyle w:val="Telobesedila"/>
        <w:numPr>
          <w:ilvl w:val="0"/>
          <w:numId w:val="46"/>
        </w:numPr>
        <w:spacing w:after="0" w:line="288" w:lineRule="auto"/>
        <w:ind w:left="142" w:hanging="142"/>
        <w:jc w:val="both"/>
        <w:rPr>
          <w:rFonts w:ascii="Arial" w:hAnsi="Arial" w:cs="Arial"/>
          <w:sz w:val="20"/>
          <w:szCs w:val="20"/>
        </w:rPr>
      </w:pPr>
      <w:r>
        <w:rPr>
          <w:rFonts w:ascii="Arial;sans-serif" w:hAnsi="Arial;sans-serif"/>
          <w:color w:val="000000"/>
          <w:sz w:val="20"/>
          <w:szCs w:val="20"/>
        </w:rPr>
        <w:t>za delo prek polnega delovnega časa,</w:t>
      </w:r>
    </w:p>
    <w:p w:rsidR="00E762CA" w:rsidRPr="005928FE" w:rsidRDefault="00E762CA" w:rsidP="005928FE">
      <w:pPr>
        <w:pStyle w:val="Telobesedila"/>
        <w:numPr>
          <w:ilvl w:val="0"/>
          <w:numId w:val="46"/>
        </w:numPr>
        <w:spacing w:after="0" w:line="288" w:lineRule="auto"/>
        <w:ind w:left="142" w:hanging="142"/>
        <w:jc w:val="both"/>
        <w:rPr>
          <w:rFonts w:ascii="Arial" w:hAnsi="Arial" w:cs="Arial"/>
          <w:sz w:val="20"/>
          <w:szCs w:val="20"/>
        </w:rPr>
      </w:pPr>
      <w:r w:rsidRPr="005928FE">
        <w:rPr>
          <w:rFonts w:ascii="Arial;sans-serif" w:hAnsi="Arial;sans-serif"/>
          <w:color w:val="000000"/>
          <w:sz w:val="20"/>
          <w:szCs w:val="20"/>
        </w:rPr>
        <w:t>za čas dežurstva, ki presega polni delovni čas,</w:t>
      </w:r>
    </w:p>
    <w:p w:rsidR="00E762CA" w:rsidRPr="005928FE" w:rsidRDefault="00E762CA" w:rsidP="005928FE">
      <w:pPr>
        <w:pStyle w:val="Telobesedila"/>
        <w:numPr>
          <w:ilvl w:val="0"/>
          <w:numId w:val="46"/>
        </w:numPr>
        <w:spacing w:after="0" w:line="288" w:lineRule="auto"/>
        <w:ind w:left="142" w:hanging="142"/>
        <w:jc w:val="both"/>
        <w:rPr>
          <w:rFonts w:ascii="Arial" w:hAnsi="Arial" w:cs="Arial"/>
          <w:sz w:val="20"/>
          <w:szCs w:val="20"/>
        </w:rPr>
      </w:pPr>
      <w:r w:rsidRPr="005928FE">
        <w:rPr>
          <w:rFonts w:ascii="Arial;sans-serif" w:hAnsi="Arial;sans-serif"/>
          <w:color w:val="000000"/>
          <w:sz w:val="20"/>
          <w:szCs w:val="20"/>
        </w:rPr>
        <w:t>za delo ponoči,</w:t>
      </w:r>
    </w:p>
    <w:p w:rsidR="00E762CA" w:rsidRPr="005928FE" w:rsidRDefault="00E762CA" w:rsidP="005928FE">
      <w:pPr>
        <w:pStyle w:val="Telobesedila"/>
        <w:numPr>
          <w:ilvl w:val="0"/>
          <w:numId w:val="46"/>
        </w:numPr>
        <w:spacing w:after="0" w:line="288" w:lineRule="auto"/>
        <w:ind w:left="142" w:hanging="142"/>
        <w:jc w:val="both"/>
        <w:rPr>
          <w:rFonts w:ascii="Arial" w:hAnsi="Arial" w:cs="Arial"/>
          <w:sz w:val="20"/>
          <w:szCs w:val="20"/>
        </w:rPr>
      </w:pPr>
      <w:r w:rsidRPr="005928FE">
        <w:rPr>
          <w:rFonts w:ascii="Arial;sans-serif" w:hAnsi="Arial;sans-serif"/>
          <w:color w:val="000000"/>
          <w:sz w:val="20"/>
          <w:szCs w:val="20"/>
        </w:rPr>
        <w:t>za delo v nedeljo in</w:t>
      </w:r>
    </w:p>
    <w:p w:rsidR="00E762CA" w:rsidRPr="005928FE" w:rsidRDefault="00E762CA" w:rsidP="005928FE">
      <w:pPr>
        <w:pStyle w:val="Telobesedila"/>
        <w:numPr>
          <w:ilvl w:val="0"/>
          <w:numId w:val="46"/>
        </w:numPr>
        <w:spacing w:after="0" w:line="288" w:lineRule="auto"/>
        <w:ind w:left="142" w:hanging="142"/>
        <w:jc w:val="both"/>
        <w:rPr>
          <w:rFonts w:ascii="Arial" w:hAnsi="Arial" w:cs="Arial"/>
          <w:sz w:val="20"/>
          <w:szCs w:val="20"/>
        </w:rPr>
      </w:pPr>
      <w:r w:rsidRPr="005928FE">
        <w:rPr>
          <w:rFonts w:ascii="Arial;sans-serif" w:hAnsi="Arial;sans-serif"/>
          <w:color w:val="000000"/>
          <w:sz w:val="20"/>
          <w:szCs w:val="20"/>
        </w:rPr>
        <w:t>za delo na dan, ki je z zakonom določen kot dela prost dan.</w:t>
      </w:r>
    </w:p>
    <w:p w:rsidR="00E762CA" w:rsidRDefault="00E762CA" w:rsidP="00E762CA">
      <w:pPr>
        <w:pStyle w:val="Telobesedila"/>
        <w:spacing w:after="0" w:line="288" w:lineRule="auto"/>
        <w:ind w:left="425" w:hanging="425"/>
        <w:jc w:val="both"/>
        <w:rPr>
          <w:rFonts w:ascii="Arial" w:hAnsi="Arial" w:cs="Arial"/>
          <w:sz w:val="20"/>
          <w:szCs w:val="20"/>
        </w:rPr>
      </w:pPr>
    </w:p>
    <w:p w:rsidR="00E762CA" w:rsidRDefault="00E762CA" w:rsidP="00E762CA">
      <w:pPr>
        <w:pStyle w:val="Telobesedila"/>
        <w:spacing w:after="0" w:line="288" w:lineRule="auto"/>
        <w:ind w:left="425" w:hanging="425"/>
        <w:jc w:val="both"/>
        <w:rPr>
          <w:rFonts w:ascii="Arial" w:hAnsi="Arial" w:cs="Arial"/>
          <w:sz w:val="20"/>
          <w:szCs w:val="20"/>
        </w:rPr>
      </w:pPr>
      <w:r>
        <w:rPr>
          <w:rFonts w:ascii="Arial" w:hAnsi="Arial" w:cs="Arial"/>
          <w:color w:val="000000"/>
          <w:sz w:val="20"/>
          <w:szCs w:val="20"/>
        </w:rPr>
        <w:t>Dodatek za pripravljenost je določen kot poseben dodatek.</w:t>
      </w:r>
    </w:p>
    <w:p w:rsidR="00E762CA" w:rsidRDefault="00E762CA" w:rsidP="00E762CA">
      <w:pPr>
        <w:pStyle w:val="Telobesedila"/>
        <w:spacing w:after="0"/>
        <w:jc w:val="both"/>
        <w:rPr>
          <w:rFonts w:ascii="Arial" w:hAnsi="Arial" w:cs="Arial"/>
          <w:sz w:val="20"/>
          <w:szCs w:val="20"/>
        </w:rPr>
      </w:pPr>
    </w:p>
    <w:p w:rsidR="00E762CA" w:rsidRDefault="00E762CA" w:rsidP="00E762CA">
      <w:pPr>
        <w:pStyle w:val="Navadensplet"/>
        <w:suppressAutoHyphens/>
        <w:spacing w:beforeAutospacing="0" w:afterAutospacing="0" w:line="288" w:lineRule="auto"/>
        <w:rPr>
          <w:rFonts w:ascii="Arial" w:hAnsi="Arial" w:cs="Arial"/>
          <w:sz w:val="20"/>
          <w:szCs w:val="20"/>
        </w:rPr>
      </w:pPr>
      <w:r>
        <w:rPr>
          <w:rFonts w:ascii="Arial" w:hAnsi="Arial" w:cs="Arial"/>
          <w:sz w:val="20"/>
          <w:szCs w:val="20"/>
        </w:rPr>
        <w:lastRenderedPageBreak/>
        <w:t>Višina dodatkov za državne tožilce:</w:t>
      </w:r>
    </w:p>
    <w:tbl>
      <w:tblPr>
        <w:tblW w:w="8647"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102"/>
        <w:gridCol w:w="3545"/>
      </w:tblGrid>
      <w:tr w:rsidR="00E762CA" w:rsidTr="00F25413">
        <w:tc>
          <w:tcPr>
            <w:tcW w:w="5102" w:type="dxa"/>
            <w:shd w:val="clear" w:color="auto" w:fill="auto"/>
          </w:tcPr>
          <w:p w:rsidR="00E762CA" w:rsidRPr="00925AFB" w:rsidRDefault="00E762CA" w:rsidP="00925AFB">
            <w:pPr>
              <w:pStyle w:val="Navadensplet"/>
              <w:suppressAutoHyphens/>
              <w:spacing w:beforeAutospacing="0" w:afterAutospacing="0" w:line="288" w:lineRule="auto"/>
              <w:jc w:val="center"/>
              <w:rPr>
                <w:rFonts w:ascii="Arial" w:hAnsi="Arial" w:cs="Arial"/>
                <w:b/>
                <w:sz w:val="20"/>
                <w:szCs w:val="20"/>
              </w:rPr>
            </w:pPr>
            <w:r w:rsidRPr="00925AFB">
              <w:rPr>
                <w:rFonts w:ascii="Arial" w:hAnsi="Arial" w:cs="Arial"/>
                <w:sz w:val="20"/>
                <w:szCs w:val="20"/>
              </w:rPr>
              <w:t>DODATEK</w:t>
            </w:r>
          </w:p>
        </w:tc>
        <w:tc>
          <w:tcPr>
            <w:tcW w:w="3545" w:type="dxa"/>
            <w:shd w:val="clear" w:color="auto" w:fill="auto"/>
          </w:tcPr>
          <w:p w:rsidR="00E762CA" w:rsidRPr="00925AFB" w:rsidRDefault="00E762CA" w:rsidP="00925AFB">
            <w:pPr>
              <w:pStyle w:val="Navadensplet"/>
              <w:suppressAutoHyphens/>
              <w:spacing w:beforeAutospacing="0" w:afterAutospacing="0" w:line="288" w:lineRule="auto"/>
              <w:jc w:val="center"/>
              <w:rPr>
                <w:rFonts w:ascii="Arial" w:hAnsi="Arial" w:cs="Arial"/>
                <w:b/>
                <w:sz w:val="20"/>
                <w:szCs w:val="20"/>
              </w:rPr>
            </w:pPr>
            <w:r w:rsidRPr="00925AFB">
              <w:rPr>
                <w:rFonts w:ascii="Arial" w:hAnsi="Arial" w:cs="Arial"/>
                <w:sz w:val="20"/>
                <w:szCs w:val="20"/>
              </w:rPr>
              <w:t>VIŠINA DODATKA</w:t>
            </w:r>
          </w:p>
        </w:tc>
      </w:tr>
      <w:tr w:rsidR="00E762CA" w:rsidTr="00F25413">
        <w:trPr>
          <w:trHeight w:val="327"/>
        </w:trPr>
        <w:tc>
          <w:tcPr>
            <w:tcW w:w="5102" w:type="dxa"/>
            <w:shd w:val="clear" w:color="auto" w:fill="auto"/>
          </w:tcPr>
          <w:p w:rsidR="00E762CA" w:rsidRPr="00925AFB" w:rsidRDefault="00E762CA" w:rsidP="00925AFB">
            <w:pPr>
              <w:pStyle w:val="Navadensplet"/>
              <w:suppressAutoHyphens/>
              <w:spacing w:beforeAutospacing="0" w:afterAutospacing="0" w:line="288" w:lineRule="auto"/>
              <w:rPr>
                <w:rFonts w:ascii="Arial" w:hAnsi="Arial" w:cs="Arial"/>
                <w:sz w:val="20"/>
                <w:szCs w:val="20"/>
              </w:rPr>
            </w:pPr>
            <w:r w:rsidRPr="00925AFB">
              <w:rPr>
                <w:rFonts w:ascii="Arial" w:hAnsi="Arial" w:cs="Arial"/>
                <w:sz w:val="20"/>
                <w:szCs w:val="20"/>
              </w:rPr>
              <w:t>Delo ponoči</w:t>
            </w:r>
          </w:p>
        </w:tc>
        <w:tc>
          <w:tcPr>
            <w:tcW w:w="3545" w:type="dxa"/>
            <w:shd w:val="clear" w:color="auto" w:fill="auto"/>
          </w:tcPr>
          <w:p w:rsidR="00E762CA" w:rsidRPr="00925AFB" w:rsidRDefault="00E762CA" w:rsidP="00925AFB">
            <w:pPr>
              <w:pStyle w:val="Navadensplet"/>
              <w:suppressAutoHyphens/>
              <w:spacing w:beforeAutospacing="0" w:afterAutospacing="0" w:line="288" w:lineRule="auto"/>
              <w:jc w:val="center"/>
              <w:rPr>
                <w:rFonts w:ascii="Arial" w:hAnsi="Arial" w:cs="Arial"/>
                <w:sz w:val="20"/>
                <w:szCs w:val="20"/>
              </w:rPr>
            </w:pPr>
            <w:r w:rsidRPr="00925AFB">
              <w:rPr>
                <w:rFonts w:ascii="Arial" w:hAnsi="Arial" w:cs="Arial"/>
                <w:sz w:val="20"/>
                <w:szCs w:val="20"/>
              </w:rPr>
              <w:t>30</w:t>
            </w:r>
            <w:r w:rsidR="005928FE">
              <w:rPr>
                <w:rFonts w:ascii="Arial" w:hAnsi="Arial" w:cs="Arial"/>
                <w:sz w:val="20"/>
                <w:szCs w:val="20"/>
              </w:rPr>
              <w:t xml:space="preserve"> </w:t>
            </w:r>
            <w:r w:rsidRPr="00925AFB">
              <w:rPr>
                <w:rFonts w:ascii="Arial" w:hAnsi="Arial" w:cs="Arial"/>
                <w:sz w:val="20"/>
                <w:szCs w:val="20"/>
              </w:rPr>
              <w:t>%</w:t>
            </w:r>
          </w:p>
        </w:tc>
      </w:tr>
      <w:tr w:rsidR="00E762CA" w:rsidTr="00F25413">
        <w:tc>
          <w:tcPr>
            <w:tcW w:w="5102" w:type="dxa"/>
            <w:shd w:val="clear" w:color="auto" w:fill="auto"/>
          </w:tcPr>
          <w:p w:rsidR="00E762CA" w:rsidRPr="00925AFB" w:rsidRDefault="00E762CA" w:rsidP="00925AFB">
            <w:pPr>
              <w:pStyle w:val="Navadensplet"/>
              <w:suppressAutoHyphens/>
              <w:spacing w:beforeAutospacing="0" w:afterAutospacing="0" w:line="288" w:lineRule="auto"/>
              <w:rPr>
                <w:rFonts w:ascii="Arial" w:hAnsi="Arial" w:cs="Arial"/>
                <w:sz w:val="20"/>
                <w:szCs w:val="20"/>
              </w:rPr>
            </w:pPr>
            <w:r w:rsidRPr="00925AFB">
              <w:rPr>
                <w:rFonts w:ascii="Arial" w:hAnsi="Arial" w:cs="Arial"/>
                <w:sz w:val="20"/>
                <w:szCs w:val="20"/>
              </w:rPr>
              <w:t>Delo v nedeljo</w:t>
            </w:r>
          </w:p>
        </w:tc>
        <w:tc>
          <w:tcPr>
            <w:tcW w:w="3545" w:type="dxa"/>
            <w:shd w:val="clear" w:color="auto" w:fill="auto"/>
          </w:tcPr>
          <w:p w:rsidR="00E762CA" w:rsidRPr="00925AFB" w:rsidRDefault="00E762CA" w:rsidP="00925AFB">
            <w:pPr>
              <w:pStyle w:val="Navadensplet"/>
              <w:suppressAutoHyphens/>
              <w:spacing w:beforeAutospacing="0" w:afterAutospacing="0" w:line="288" w:lineRule="auto"/>
              <w:jc w:val="center"/>
              <w:rPr>
                <w:rFonts w:ascii="Arial" w:hAnsi="Arial" w:cs="Arial"/>
                <w:sz w:val="20"/>
                <w:szCs w:val="20"/>
              </w:rPr>
            </w:pPr>
            <w:r w:rsidRPr="00925AFB">
              <w:rPr>
                <w:rFonts w:ascii="Arial" w:hAnsi="Arial" w:cs="Arial"/>
                <w:sz w:val="20"/>
                <w:szCs w:val="20"/>
              </w:rPr>
              <w:t>75</w:t>
            </w:r>
            <w:r w:rsidR="005928FE">
              <w:rPr>
                <w:rFonts w:ascii="Arial" w:hAnsi="Arial" w:cs="Arial"/>
                <w:sz w:val="20"/>
                <w:szCs w:val="20"/>
              </w:rPr>
              <w:t xml:space="preserve"> </w:t>
            </w:r>
            <w:r w:rsidRPr="00925AFB">
              <w:rPr>
                <w:rFonts w:ascii="Arial" w:hAnsi="Arial" w:cs="Arial"/>
                <w:sz w:val="20"/>
                <w:szCs w:val="20"/>
              </w:rPr>
              <w:t>%</w:t>
            </w:r>
          </w:p>
        </w:tc>
      </w:tr>
      <w:tr w:rsidR="00E762CA" w:rsidTr="00F25413">
        <w:tc>
          <w:tcPr>
            <w:tcW w:w="5102" w:type="dxa"/>
            <w:shd w:val="clear" w:color="auto" w:fill="auto"/>
          </w:tcPr>
          <w:p w:rsidR="00E762CA" w:rsidRPr="00925AFB" w:rsidRDefault="00E762CA" w:rsidP="00925AFB">
            <w:pPr>
              <w:pStyle w:val="Navadensplet"/>
              <w:suppressAutoHyphens/>
              <w:spacing w:beforeAutospacing="0" w:afterAutospacing="0" w:line="288" w:lineRule="auto"/>
              <w:rPr>
                <w:rFonts w:ascii="Arial" w:hAnsi="Arial" w:cs="Arial"/>
                <w:sz w:val="20"/>
                <w:szCs w:val="20"/>
              </w:rPr>
            </w:pPr>
            <w:r w:rsidRPr="00925AFB">
              <w:rPr>
                <w:rFonts w:ascii="Arial" w:hAnsi="Arial" w:cs="Arial"/>
                <w:sz w:val="20"/>
                <w:szCs w:val="20"/>
              </w:rPr>
              <w:t>Dela prost dan (praznik)</w:t>
            </w:r>
          </w:p>
        </w:tc>
        <w:tc>
          <w:tcPr>
            <w:tcW w:w="3545" w:type="dxa"/>
            <w:shd w:val="clear" w:color="auto" w:fill="auto"/>
          </w:tcPr>
          <w:p w:rsidR="00E762CA" w:rsidRPr="00925AFB" w:rsidRDefault="00E762CA" w:rsidP="00925AFB">
            <w:pPr>
              <w:pStyle w:val="Navadensplet"/>
              <w:suppressAutoHyphens/>
              <w:spacing w:beforeAutospacing="0" w:afterAutospacing="0" w:line="288" w:lineRule="auto"/>
              <w:jc w:val="center"/>
              <w:rPr>
                <w:rFonts w:ascii="Arial" w:hAnsi="Arial" w:cs="Arial"/>
                <w:sz w:val="20"/>
                <w:szCs w:val="20"/>
              </w:rPr>
            </w:pPr>
            <w:r w:rsidRPr="00925AFB">
              <w:rPr>
                <w:rFonts w:ascii="Arial" w:hAnsi="Arial" w:cs="Arial"/>
                <w:sz w:val="20"/>
                <w:szCs w:val="20"/>
              </w:rPr>
              <w:t>90</w:t>
            </w:r>
            <w:r w:rsidR="005928FE">
              <w:rPr>
                <w:rFonts w:ascii="Arial" w:hAnsi="Arial" w:cs="Arial"/>
                <w:sz w:val="20"/>
                <w:szCs w:val="20"/>
              </w:rPr>
              <w:t xml:space="preserve"> </w:t>
            </w:r>
            <w:r w:rsidRPr="00925AFB">
              <w:rPr>
                <w:rFonts w:ascii="Arial" w:hAnsi="Arial" w:cs="Arial"/>
                <w:sz w:val="20"/>
                <w:szCs w:val="20"/>
              </w:rPr>
              <w:t>%</w:t>
            </w:r>
          </w:p>
        </w:tc>
      </w:tr>
      <w:tr w:rsidR="00E762CA" w:rsidTr="00F25413">
        <w:tc>
          <w:tcPr>
            <w:tcW w:w="5102" w:type="dxa"/>
            <w:shd w:val="clear" w:color="auto" w:fill="auto"/>
          </w:tcPr>
          <w:p w:rsidR="00E762CA" w:rsidRPr="00925AFB" w:rsidRDefault="00E762CA" w:rsidP="00925AFB">
            <w:pPr>
              <w:pStyle w:val="Navadensplet"/>
              <w:suppressAutoHyphens/>
              <w:spacing w:beforeAutospacing="0" w:afterAutospacing="0" w:line="288" w:lineRule="auto"/>
              <w:rPr>
                <w:rFonts w:ascii="Arial" w:hAnsi="Arial" w:cs="Arial"/>
                <w:sz w:val="20"/>
                <w:szCs w:val="20"/>
              </w:rPr>
            </w:pPr>
            <w:r w:rsidRPr="00925AFB">
              <w:rPr>
                <w:rFonts w:ascii="Arial" w:hAnsi="Arial" w:cs="Arial"/>
                <w:sz w:val="20"/>
                <w:szCs w:val="20"/>
              </w:rPr>
              <w:t>Delo prek polnega delovnega časa (nadurno delo)</w:t>
            </w:r>
          </w:p>
        </w:tc>
        <w:tc>
          <w:tcPr>
            <w:tcW w:w="3545" w:type="dxa"/>
            <w:shd w:val="clear" w:color="auto" w:fill="auto"/>
          </w:tcPr>
          <w:p w:rsidR="00E762CA" w:rsidRPr="00925AFB" w:rsidRDefault="00E762CA" w:rsidP="00925AFB">
            <w:pPr>
              <w:pStyle w:val="Navadensplet"/>
              <w:suppressAutoHyphens/>
              <w:spacing w:beforeAutospacing="0" w:afterAutospacing="0" w:line="288" w:lineRule="auto"/>
              <w:jc w:val="center"/>
              <w:rPr>
                <w:rFonts w:ascii="Arial" w:hAnsi="Arial" w:cs="Arial"/>
                <w:sz w:val="20"/>
                <w:szCs w:val="20"/>
              </w:rPr>
            </w:pPr>
            <w:r w:rsidRPr="00925AFB">
              <w:rPr>
                <w:rFonts w:ascii="Arial" w:hAnsi="Arial" w:cs="Arial"/>
                <w:sz w:val="20"/>
                <w:szCs w:val="20"/>
              </w:rPr>
              <w:t>30</w:t>
            </w:r>
            <w:r w:rsidR="005928FE">
              <w:rPr>
                <w:rFonts w:ascii="Arial" w:hAnsi="Arial" w:cs="Arial"/>
                <w:sz w:val="20"/>
                <w:szCs w:val="20"/>
              </w:rPr>
              <w:t xml:space="preserve"> </w:t>
            </w:r>
            <w:r w:rsidRPr="00925AFB">
              <w:rPr>
                <w:rFonts w:ascii="Arial" w:hAnsi="Arial" w:cs="Arial"/>
                <w:sz w:val="20"/>
                <w:szCs w:val="20"/>
              </w:rPr>
              <w:t>%</w:t>
            </w:r>
          </w:p>
        </w:tc>
      </w:tr>
      <w:tr w:rsidR="00E762CA" w:rsidTr="00F25413">
        <w:tc>
          <w:tcPr>
            <w:tcW w:w="5102" w:type="dxa"/>
            <w:shd w:val="clear" w:color="auto" w:fill="auto"/>
          </w:tcPr>
          <w:p w:rsidR="00E762CA" w:rsidRPr="00925AFB" w:rsidRDefault="00E762CA" w:rsidP="00925AFB">
            <w:pPr>
              <w:pStyle w:val="Navadensplet"/>
              <w:suppressAutoHyphens/>
              <w:spacing w:beforeAutospacing="0" w:afterAutospacing="0" w:line="288" w:lineRule="auto"/>
              <w:rPr>
                <w:rFonts w:ascii="Arial" w:hAnsi="Arial" w:cs="Arial"/>
                <w:sz w:val="20"/>
                <w:szCs w:val="20"/>
              </w:rPr>
            </w:pPr>
            <w:r w:rsidRPr="00925AFB">
              <w:rPr>
                <w:rFonts w:ascii="Arial" w:hAnsi="Arial" w:cs="Arial"/>
                <w:sz w:val="20"/>
                <w:szCs w:val="20"/>
              </w:rPr>
              <w:t>Dodatek za čas dežurstva</w:t>
            </w:r>
          </w:p>
        </w:tc>
        <w:tc>
          <w:tcPr>
            <w:tcW w:w="3545" w:type="dxa"/>
            <w:shd w:val="clear" w:color="auto" w:fill="auto"/>
          </w:tcPr>
          <w:p w:rsidR="00E762CA" w:rsidRPr="00925AFB" w:rsidRDefault="00E762CA" w:rsidP="00925AFB">
            <w:pPr>
              <w:pStyle w:val="Navadensplet"/>
              <w:suppressAutoHyphens/>
              <w:spacing w:beforeAutospacing="0" w:afterAutospacing="0" w:line="288" w:lineRule="auto"/>
              <w:jc w:val="center"/>
              <w:rPr>
                <w:rFonts w:ascii="Arial" w:hAnsi="Arial" w:cs="Arial"/>
                <w:sz w:val="20"/>
                <w:szCs w:val="20"/>
              </w:rPr>
            </w:pPr>
            <w:r w:rsidRPr="00925AFB">
              <w:rPr>
                <w:rFonts w:ascii="Arial" w:hAnsi="Arial" w:cs="Arial"/>
                <w:sz w:val="20"/>
                <w:szCs w:val="20"/>
              </w:rPr>
              <w:t>20</w:t>
            </w:r>
            <w:r w:rsidR="005928FE">
              <w:rPr>
                <w:rFonts w:ascii="Arial" w:hAnsi="Arial" w:cs="Arial"/>
                <w:sz w:val="20"/>
                <w:szCs w:val="20"/>
              </w:rPr>
              <w:t xml:space="preserve"> </w:t>
            </w:r>
            <w:r w:rsidRPr="00925AFB">
              <w:rPr>
                <w:rFonts w:ascii="Arial" w:hAnsi="Arial" w:cs="Arial"/>
                <w:sz w:val="20"/>
                <w:szCs w:val="20"/>
              </w:rPr>
              <w:t>%</w:t>
            </w:r>
          </w:p>
        </w:tc>
      </w:tr>
      <w:tr w:rsidR="00E762CA" w:rsidTr="00F25413">
        <w:trPr>
          <w:trHeight w:val="163"/>
        </w:trPr>
        <w:tc>
          <w:tcPr>
            <w:tcW w:w="5102" w:type="dxa"/>
            <w:shd w:val="clear" w:color="auto" w:fill="auto"/>
          </w:tcPr>
          <w:p w:rsidR="00E762CA" w:rsidRPr="00925AFB" w:rsidRDefault="00E762CA" w:rsidP="00925AFB">
            <w:pPr>
              <w:pStyle w:val="Navadensplet"/>
              <w:suppressAutoHyphens/>
              <w:spacing w:beforeAutospacing="0" w:afterAutospacing="0" w:line="288" w:lineRule="auto"/>
              <w:rPr>
                <w:rFonts w:ascii="Arial" w:hAnsi="Arial" w:cs="Arial"/>
                <w:sz w:val="20"/>
                <w:szCs w:val="20"/>
              </w:rPr>
            </w:pPr>
            <w:r w:rsidRPr="00925AFB">
              <w:rPr>
                <w:rFonts w:ascii="Arial" w:hAnsi="Arial" w:cs="Arial"/>
                <w:sz w:val="20"/>
                <w:szCs w:val="20"/>
              </w:rPr>
              <w:t>Dodatek za pripravljenost</w:t>
            </w:r>
          </w:p>
        </w:tc>
        <w:tc>
          <w:tcPr>
            <w:tcW w:w="3545" w:type="dxa"/>
            <w:shd w:val="clear" w:color="auto" w:fill="auto"/>
          </w:tcPr>
          <w:p w:rsidR="00E762CA" w:rsidRPr="00925AFB" w:rsidRDefault="00E762CA" w:rsidP="00925AFB">
            <w:pPr>
              <w:pStyle w:val="Navadensplet"/>
              <w:suppressAutoHyphens/>
              <w:spacing w:beforeAutospacing="0" w:afterAutospacing="0" w:line="288" w:lineRule="auto"/>
              <w:jc w:val="center"/>
              <w:rPr>
                <w:rFonts w:ascii="Arial" w:hAnsi="Arial" w:cs="Arial"/>
                <w:sz w:val="20"/>
                <w:szCs w:val="20"/>
              </w:rPr>
            </w:pPr>
            <w:r w:rsidRPr="00925AFB">
              <w:rPr>
                <w:rFonts w:ascii="Arial" w:hAnsi="Arial" w:cs="Arial"/>
                <w:sz w:val="20"/>
                <w:szCs w:val="20"/>
              </w:rPr>
              <w:t>30</w:t>
            </w:r>
            <w:r w:rsidR="005928FE">
              <w:rPr>
                <w:rFonts w:ascii="Arial" w:hAnsi="Arial" w:cs="Arial"/>
                <w:sz w:val="20"/>
                <w:szCs w:val="20"/>
              </w:rPr>
              <w:t xml:space="preserve"> </w:t>
            </w:r>
            <w:r w:rsidRPr="00925AFB">
              <w:rPr>
                <w:rFonts w:ascii="Arial" w:hAnsi="Arial" w:cs="Arial"/>
                <w:sz w:val="20"/>
                <w:szCs w:val="20"/>
              </w:rPr>
              <w:t>%</w:t>
            </w:r>
          </w:p>
        </w:tc>
      </w:tr>
    </w:tbl>
    <w:p w:rsidR="00E762CA" w:rsidRDefault="00E762CA" w:rsidP="00B644CC">
      <w:pPr>
        <w:spacing w:line="288" w:lineRule="auto"/>
        <w:jc w:val="both"/>
        <w:rPr>
          <w:rFonts w:eastAsia="Calibri" w:cs="Arial"/>
          <w:szCs w:val="20"/>
        </w:rPr>
      </w:pPr>
    </w:p>
    <w:p w:rsidR="006A6AAA" w:rsidRPr="007C1380" w:rsidRDefault="006A6AAA" w:rsidP="006A6AAA">
      <w:pPr>
        <w:spacing w:line="288" w:lineRule="auto"/>
        <w:jc w:val="both"/>
        <w:rPr>
          <w:rFonts w:cs="Arial"/>
          <w:szCs w:val="20"/>
          <w:lang w:eastAsia="sl-SI"/>
        </w:rPr>
      </w:pPr>
      <w:r>
        <w:rPr>
          <w:rFonts w:cs="Arial"/>
          <w:szCs w:val="20"/>
          <w:lang w:eastAsia="sl-SI"/>
        </w:rPr>
        <w:t xml:space="preserve">Javnim uslužbencem pripadajo za delo v delovnem času, ki </w:t>
      </w:r>
      <w:r w:rsidRPr="007C1380">
        <w:rPr>
          <w:rFonts w:cs="Arial"/>
          <w:szCs w:val="20"/>
          <w:lang w:eastAsia="sl-SI"/>
        </w:rPr>
        <w:t>je zanje manj ugoden, dodatki za</w:t>
      </w:r>
      <w:r>
        <w:rPr>
          <w:rFonts w:cs="Arial"/>
          <w:szCs w:val="20"/>
          <w:lang w:eastAsia="sl-SI"/>
        </w:rPr>
        <w:t xml:space="preserve"> (32. člen</w:t>
      </w:r>
      <w:r w:rsidRPr="00F177DE">
        <w:rPr>
          <w:rFonts w:cs="Arial"/>
          <w:szCs w:val="20"/>
          <w:lang w:eastAsia="sl-SI"/>
        </w:rPr>
        <w:t xml:space="preserve"> </w:t>
      </w:r>
      <w:r>
        <w:rPr>
          <w:rFonts w:cs="Arial"/>
          <w:szCs w:val="20"/>
          <w:lang w:eastAsia="sl-SI"/>
        </w:rPr>
        <w:t>ZSPJS)</w:t>
      </w:r>
      <w:r w:rsidRPr="007C1380">
        <w:rPr>
          <w:rFonts w:cs="Arial"/>
          <w:szCs w:val="20"/>
          <w:lang w:eastAsia="sl-SI"/>
        </w:rPr>
        <w:t>:</w:t>
      </w:r>
    </w:p>
    <w:p w:rsidR="006A6AAA" w:rsidRDefault="006A6AAA" w:rsidP="005928FE">
      <w:pPr>
        <w:pStyle w:val="Odstavekseznama"/>
        <w:numPr>
          <w:ilvl w:val="0"/>
          <w:numId w:val="38"/>
        </w:numPr>
        <w:spacing w:line="288" w:lineRule="auto"/>
        <w:ind w:left="142" w:hanging="142"/>
        <w:jc w:val="both"/>
        <w:rPr>
          <w:rFonts w:cs="Arial"/>
          <w:szCs w:val="20"/>
          <w:lang w:eastAsia="sl-SI"/>
        </w:rPr>
      </w:pPr>
      <w:r w:rsidRPr="005928FE">
        <w:rPr>
          <w:rFonts w:cs="Arial"/>
          <w:szCs w:val="20"/>
          <w:lang w:eastAsia="sl-SI"/>
        </w:rPr>
        <w:t>izmensko delo,</w:t>
      </w:r>
    </w:p>
    <w:p w:rsidR="006A6AAA" w:rsidRDefault="006A6AAA" w:rsidP="006A6AAA">
      <w:pPr>
        <w:pStyle w:val="Odstavekseznama"/>
        <w:numPr>
          <w:ilvl w:val="0"/>
          <w:numId w:val="38"/>
        </w:numPr>
        <w:spacing w:line="288" w:lineRule="auto"/>
        <w:ind w:left="142" w:hanging="142"/>
        <w:jc w:val="both"/>
        <w:rPr>
          <w:rFonts w:cs="Arial"/>
          <w:szCs w:val="20"/>
          <w:lang w:eastAsia="sl-SI"/>
        </w:rPr>
      </w:pPr>
      <w:r w:rsidRPr="005928FE">
        <w:rPr>
          <w:rFonts w:cs="Arial"/>
          <w:szCs w:val="20"/>
          <w:lang w:eastAsia="sl-SI"/>
        </w:rPr>
        <w:t>delo v deljenem delovnem času,</w:t>
      </w:r>
    </w:p>
    <w:p w:rsidR="006A6AAA" w:rsidRDefault="006A6AAA" w:rsidP="006A6AAA">
      <w:pPr>
        <w:pStyle w:val="Odstavekseznama"/>
        <w:numPr>
          <w:ilvl w:val="0"/>
          <w:numId w:val="38"/>
        </w:numPr>
        <w:spacing w:line="288" w:lineRule="auto"/>
        <w:ind w:left="142" w:hanging="142"/>
        <w:jc w:val="both"/>
        <w:rPr>
          <w:rFonts w:cs="Arial"/>
          <w:szCs w:val="20"/>
          <w:lang w:eastAsia="sl-SI"/>
        </w:rPr>
      </w:pPr>
      <w:r w:rsidRPr="005928FE">
        <w:rPr>
          <w:rFonts w:cs="Arial"/>
          <w:szCs w:val="20"/>
          <w:lang w:eastAsia="sl-SI"/>
        </w:rPr>
        <w:t>delo v neenakomerno razporejenem delovnem času</w:t>
      </w:r>
      <w:r w:rsidR="005928FE">
        <w:rPr>
          <w:rFonts w:cs="Arial"/>
          <w:szCs w:val="20"/>
          <w:lang w:eastAsia="sl-SI"/>
        </w:rPr>
        <w:t>,</w:t>
      </w:r>
    </w:p>
    <w:p w:rsidR="006A6AAA" w:rsidRDefault="006A6AAA" w:rsidP="006A6AAA">
      <w:pPr>
        <w:pStyle w:val="Odstavekseznama"/>
        <w:numPr>
          <w:ilvl w:val="0"/>
          <w:numId w:val="38"/>
        </w:numPr>
        <w:spacing w:line="288" w:lineRule="auto"/>
        <w:ind w:left="142" w:hanging="142"/>
        <w:jc w:val="both"/>
        <w:rPr>
          <w:rFonts w:cs="Arial"/>
          <w:szCs w:val="20"/>
          <w:lang w:eastAsia="sl-SI"/>
        </w:rPr>
      </w:pPr>
      <w:r w:rsidRPr="005928FE">
        <w:rPr>
          <w:rFonts w:cs="Arial"/>
          <w:szCs w:val="20"/>
          <w:lang w:eastAsia="sl-SI"/>
        </w:rPr>
        <w:t>delo ponoči, v nedeljo in na dan, ki je z zakonom določen kot dela prost dan ali praznik</w:t>
      </w:r>
      <w:r w:rsidR="005928FE">
        <w:rPr>
          <w:rFonts w:cs="Arial"/>
          <w:szCs w:val="20"/>
          <w:lang w:eastAsia="sl-SI"/>
        </w:rPr>
        <w:t>,</w:t>
      </w:r>
      <w:r w:rsidRPr="005928FE">
        <w:rPr>
          <w:rFonts w:cs="Arial"/>
          <w:szCs w:val="20"/>
          <w:lang w:eastAsia="sl-SI"/>
        </w:rPr>
        <w:t xml:space="preserve"> ter</w:t>
      </w:r>
    </w:p>
    <w:p w:rsidR="006A6AAA" w:rsidRPr="005928FE" w:rsidRDefault="006A6AAA" w:rsidP="006A6AAA">
      <w:pPr>
        <w:pStyle w:val="Odstavekseznama"/>
        <w:numPr>
          <w:ilvl w:val="0"/>
          <w:numId w:val="38"/>
        </w:numPr>
        <w:spacing w:line="288" w:lineRule="auto"/>
        <w:ind w:left="142" w:hanging="142"/>
        <w:jc w:val="both"/>
        <w:rPr>
          <w:rFonts w:cs="Arial"/>
          <w:szCs w:val="20"/>
          <w:lang w:eastAsia="sl-SI"/>
        </w:rPr>
      </w:pPr>
      <w:r w:rsidRPr="005928FE">
        <w:rPr>
          <w:rFonts w:cs="Arial"/>
          <w:szCs w:val="20"/>
          <w:lang w:eastAsia="sl-SI"/>
        </w:rPr>
        <w:t>delo prek polnega delovnega časa.</w:t>
      </w:r>
    </w:p>
    <w:p w:rsidR="005F09BC" w:rsidRDefault="005F09BC" w:rsidP="006A6AAA">
      <w:pPr>
        <w:spacing w:line="288" w:lineRule="auto"/>
        <w:jc w:val="both"/>
        <w:rPr>
          <w:rFonts w:cs="Arial"/>
          <w:szCs w:val="20"/>
          <w:lang w:eastAsia="sl-SI"/>
        </w:rPr>
      </w:pPr>
    </w:p>
    <w:p w:rsidR="006A6AAA" w:rsidRDefault="006A6AAA" w:rsidP="006A6AAA">
      <w:pPr>
        <w:spacing w:line="288" w:lineRule="auto"/>
        <w:jc w:val="both"/>
        <w:rPr>
          <w:rFonts w:cs="Arial"/>
          <w:szCs w:val="20"/>
          <w:lang w:eastAsia="sl-SI"/>
        </w:rPr>
      </w:pPr>
      <w:r>
        <w:rPr>
          <w:rFonts w:cs="Arial"/>
          <w:szCs w:val="20"/>
          <w:lang w:eastAsia="sl-SI"/>
        </w:rPr>
        <w:t xml:space="preserve">Dodatki iz prve, druge in tretje alinee se med seboj izključujejo. Javnim uslužbencem pripada tudi dodatek za stalno pripravljenost. Dodatki </w:t>
      </w:r>
      <w:r w:rsidR="005928FE">
        <w:rPr>
          <w:rFonts w:cs="Arial"/>
          <w:szCs w:val="20"/>
          <w:lang w:eastAsia="sl-SI"/>
        </w:rPr>
        <w:t xml:space="preserve">posameznemu javnemu uslužbencu </w:t>
      </w:r>
      <w:r>
        <w:rPr>
          <w:rFonts w:cs="Arial"/>
          <w:szCs w:val="20"/>
          <w:lang w:eastAsia="sl-SI"/>
        </w:rPr>
        <w:t xml:space="preserve">pripadajo le za </w:t>
      </w:r>
      <w:r w:rsidR="005928FE">
        <w:rPr>
          <w:rFonts w:cs="Arial"/>
          <w:szCs w:val="20"/>
          <w:lang w:eastAsia="sl-SI"/>
        </w:rPr>
        <w:t>obdobje</w:t>
      </w:r>
      <w:r>
        <w:rPr>
          <w:rFonts w:cs="Arial"/>
          <w:szCs w:val="20"/>
          <w:lang w:eastAsia="sl-SI"/>
        </w:rPr>
        <w:t>, ko dela v času, ki je manj ugoden.</w:t>
      </w:r>
    </w:p>
    <w:p w:rsidR="006A6AAA" w:rsidRDefault="006A6AAA" w:rsidP="006A6AAA">
      <w:pPr>
        <w:spacing w:beforeAutospacing="1" w:afterAutospacing="1" w:line="288" w:lineRule="auto"/>
        <w:jc w:val="both"/>
        <w:rPr>
          <w:rFonts w:cs="Arial"/>
          <w:szCs w:val="20"/>
          <w:lang w:eastAsia="sl-SI"/>
        </w:rPr>
      </w:pPr>
      <w:r>
        <w:rPr>
          <w:rFonts w:cs="Arial"/>
          <w:szCs w:val="20"/>
          <w:lang w:eastAsia="sl-SI"/>
        </w:rPr>
        <w:t xml:space="preserve">Višina dodatkov se za javne uslužbence določi s </w:t>
      </w:r>
      <w:r w:rsidR="005928FE">
        <w:rPr>
          <w:rFonts w:cs="Arial"/>
          <w:szCs w:val="20"/>
          <w:lang w:eastAsia="sl-SI"/>
        </w:rPr>
        <w:t>K</w:t>
      </w:r>
      <w:r>
        <w:rPr>
          <w:rFonts w:cs="Arial"/>
          <w:szCs w:val="20"/>
          <w:lang w:eastAsia="sl-SI"/>
        </w:rPr>
        <w:t>olektivno pogodbo za javni sektor</w:t>
      </w:r>
      <w:r w:rsidR="005928FE">
        <w:rPr>
          <w:rFonts w:cs="Arial"/>
          <w:szCs w:val="20"/>
          <w:lang w:eastAsia="sl-SI"/>
        </w:rPr>
        <w:t xml:space="preserve"> (v nadaljnjem besedilu: KPJS)</w:t>
      </w:r>
      <w:r>
        <w:rPr>
          <w:rFonts w:cs="Arial"/>
          <w:szCs w:val="20"/>
          <w:lang w:eastAsia="sl-SI"/>
        </w:rPr>
        <w:t xml:space="preserve">. Osnova za obračun dodatkov je osnovna plača javnega uslužbenca. V času dežurstva pripada javnim uslužbencem dodatek za delo prek polnega delovnega časa v višini, določeni s KPJS in </w:t>
      </w:r>
      <w:r w:rsidR="005928FE">
        <w:rPr>
          <w:rFonts w:cs="Arial"/>
          <w:szCs w:val="20"/>
          <w:lang w:eastAsia="sl-SI"/>
        </w:rPr>
        <w:t>pre</w:t>
      </w:r>
      <w:r>
        <w:rPr>
          <w:rFonts w:cs="Arial"/>
          <w:szCs w:val="20"/>
          <w:lang w:eastAsia="sl-SI"/>
        </w:rPr>
        <w:t xml:space="preserve">ostali dodatki za delo v delovnem času, ki je zanje manj ugoden, ki pa se v času dežurstva izplačujejo v </w:t>
      </w:r>
      <w:r w:rsidR="005928FE">
        <w:rPr>
          <w:rFonts w:cs="Arial"/>
          <w:szCs w:val="20"/>
          <w:lang w:eastAsia="sl-SI"/>
        </w:rPr>
        <w:t xml:space="preserve">deležu </w:t>
      </w:r>
      <w:r>
        <w:rPr>
          <w:rFonts w:cs="Arial"/>
          <w:szCs w:val="20"/>
          <w:lang w:eastAsia="sl-SI"/>
        </w:rPr>
        <w:t>50% višine za dodatke določen</w:t>
      </w:r>
      <w:r w:rsidR="00005A63">
        <w:rPr>
          <w:rFonts w:cs="Arial"/>
          <w:szCs w:val="20"/>
          <w:lang w:eastAsia="sl-SI"/>
        </w:rPr>
        <w:t>e</w:t>
      </w:r>
      <w:r>
        <w:rPr>
          <w:rFonts w:cs="Arial"/>
          <w:szCs w:val="20"/>
          <w:lang w:eastAsia="sl-SI"/>
        </w:rPr>
        <w:t xml:space="preserve"> v K</w:t>
      </w:r>
      <w:r w:rsidR="005928FE">
        <w:rPr>
          <w:rFonts w:cs="Arial"/>
          <w:szCs w:val="20"/>
          <w:lang w:eastAsia="sl-SI"/>
        </w:rPr>
        <w:t>PJS</w:t>
      </w:r>
      <w:r>
        <w:rPr>
          <w:rFonts w:cs="Arial"/>
          <w:szCs w:val="20"/>
          <w:lang w:eastAsia="sl-SI"/>
        </w:rPr>
        <w:t xml:space="preserve">. </w:t>
      </w:r>
    </w:p>
    <w:p w:rsidR="006A6AAA" w:rsidRPr="00E762CA" w:rsidRDefault="006A6AAA" w:rsidP="006A6AAA">
      <w:pPr>
        <w:pStyle w:val="Navadensplet"/>
        <w:suppressAutoHyphens/>
        <w:spacing w:beforeAutospacing="0" w:afterAutospacing="0" w:line="288" w:lineRule="auto"/>
        <w:jc w:val="both"/>
        <w:rPr>
          <w:rFonts w:ascii="Arial" w:hAnsi="Arial" w:cs="Arial"/>
          <w:sz w:val="20"/>
          <w:szCs w:val="20"/>
        </w:rPr>
      </w:pPr>
      <w:r>
        <w:rPr>
          <w:rFonts w:ascii="Arial" w:hAnsi="Arial" w:cs="Arial"/>
          <w:sz w:val="20"/>
          <w:szCs w:val="20"/>
        </w:rPr>
        <w:t>Višina dodatkov za delo javnih uslužbencev v manj ugodnem delovnem času in za čas pripravljenosti:</w:t>
      </w:r>
    </w:p>
    <w:tbl>
      <w:tblPr>
        <w:tblW w:w="8647"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895"/>
        <w:gridCol w:w="1156"/>
        <w:gridCol w:w="3596"/>
      </w:tblGrid>
      <w:tr w:rsidR="006A6AAA" w:rsidTr="00F25413">
        <w:trPr>
          <w:trHeight w:val="687"/>
        </w:trPr>
        <w:tc>
          <w:tcPr>
            <w:tcW w:w="3895" w:type="dxa"/>
            <w:shd w:val="clear" w:color="auto" w:fill="auto"/>
            <w:vAlign w:val="center"/>
          </w:tcPr>
          <w:p w:rsidR="006A6AAA" w:rsidRPr="00925AFB" w:rsidRDefault="006A6AAA" w:rsidP="00925AFB">
            <w:pPr>
              <w:pStyle w:val="Navadensplet"/>
              <w:suppressAutoHyphens/>
              <w:spacing w:beforeAutospacing="0" w:afterAutospacing="0" w:line="288" w:lineRule="auto"/>
              <w:jc w:val="center"/>
              <w:rPr>
                <w:rFonts w:ascii="Arial" w:hAnsi="Arial" w:cs="Arial"/>
                <w:bCs/>
                <w:sz w:val="20"/>
                <w:szCs w:val="20"/>
              </w:rPr>
            </w:pPr>
            <w:r w:rsidRPr="00925AFB">
              <w:rPr>
                <w:rFonts w:ascii="Arial" w:hAnsi="Arial" w:cs="Arial"/>
                <w:bCs/>
                <w:sz w:val="20"/>
                <w:szCs w:val="20"/>
              </w:rPr>
              <w:t>DODATEK</w:t>
            </w:r>
          </w:p>
        </w:tc>
        <w:tc>
          <w:tcPr>
            <w:tcW w:w="1156" w:type="dxa"/>
            <w:shd w:val="clear" w:color="auto" w:fill="auto"/>
            <w:vAlign w:val="center"/>
          </w:tcPr>
          <w:p w:rsidR="006A6AAA" w:rsidRPr="00925AFB" w:rsidRDefault="006A6AAA" w:rsidP="00925AFB">
            <w:pPr>
              <w:pStyle w:val="Navadensplet"/>
              <w:suppressAutoHyphens/>
              <w:spacing w:beforeAutospacing="0" w:afterAutospacing="0" w:line="288" w:lineRule="auto"/>
              <w:jc w:val="center"/>
              <w:rPr>
                <w:rFonts w:ascii="Arial" w:hAnsi="Arial" w:cs="Arial"/>
                <w:sz w:val="20"/>
                <w:szCs w:val="20"/>
              </w:rPr>
            </w:pPr>
            <w:r w:rsidRPr="00925AFB">
              <w:rPr>
                <w:rFonts w:ascii="Arial" w:hAnsi="Arial" w:cs="Arial"/>
                <w:sz w:val="20"/>
                <w:szCs w:val="20"/>
              </w:rPr>
              <w:t>KPJS</w:t>
            </w:r>
          </w:p>
        </w:tc>
        <w:tc>
          <w:tcPr>
            <w:tcW w:w="3596" w:type="dxa"/>
            <w:shd w:val="clear" w:color="auto" w:fill="auto"/>
            <w:vAlign w:val="center"/>
          </w:tcPr>
          <w:p w:rsidR="006A6AAA" w:rsidRPr="00925AFB" w:rsidRDefault="006A6AAA" w:rsidP="00925AFB">
            <w:pPr>
              <w:pStyle w:val="Navadensplet"/>
              <w:suppressAutoHyphens/>
              <w:spacing w:beforeAutospacing="0" w:afterAutospacing="0" w:line="288" w:lineRule="auto"/>
              <w:jc w:val="center"/>
              <w:rPr>
                <w:rFonts w:ascii="Arial" w:hAnsi="Arial" w:cs="Arial"/>
                <w:sz w:val="20"/>
                <w:szCs w:val="20"/>
              </w:rPr>
            </w:pPr>
            <w:r w:rsidRPr="00925AFB">
              <w:rPr>
                <w:rFonts w:ascii="Arial" w:hAnsi="Arial" w:cs="Arial"/>
                <w:sz w:val="20"/>
                <w:szCs w:val="20"/>
              </w:rPr>
              <w:t>Višina dodatka</w:t>
            </w:r>
          </w:p>
        </w:tc>
      </w:tr>
      <w:tr w:rsidR="006A6AAA" w:rsidTr="00F25413">
        <w:trPr>
          <w:trHeight w:val="426"/>
        </w:trPr>
        <w:tc>
          <w:tcPr>
            <w:tcW w:w="3895" w:type="dxa"/>
            <w:shd w:val="clear" w:color="auto" w:fill="auto"/>
          </w:tcPr>
          <w:p w:rsidR="006A6AAA" w:rsidRPr="00925AFB" w:rsidRDefault="006A6AAA" w:rsidP="00925AFB">
            <w:pPr>
              <w:pStyle w:val="Navadensplet"/>
              <w:suppressAutoHyphens/>
              <w:spacing w:beforeAutospacing="0" w:afterAutospacing="0" w:line="288" w:lineRule="auto"/>
              <w:rPr>
                <w:rFonts w:ascii="Arial" w:hAnsi="Arial" w:cs="Arial"/>
                <w:sz w:val="20"/>
                <w:szCs w:val="20"/>
              </w:rPr>
            </w:pPr>
            <w:r w:rsidRPr="00925AFB">
              <w:rPr>
                <w:rFonts w:ascii="Arial" w:hAnsi="Arial" w:cs="Arial"/>
                <w:sz w:val="20"/>
                <w:szCs w:val="20"/>
              </w:rPr>
              <w:t>Izmensko delo</w:t>
            </w:r>
          </w:p>
        </w:tc>
        <w:tc>
          <w:tcPr>
            <w:tcW w:w="1156" w:type="dxa"/>
            <w:shd w:val="clear" w:color="auto" w:fill="auto"/>
            <w:vAlign w:val="center"/>
          </w:tcPr>
          <w:p w:rsidR="006A6AAA" w:rsidRPr="00925AFB" w:rsidRDefault="006A6AAA" w:rsidP="00925AFB">
            <w:pPr>
              <w:pStyle w:val="Navadensplet"/>
              <w:suppressAutoHyphens/>
              <w:spacing w:beforeAutospacing="0" w:afterAutospacing="0" w:line="288" w:lineRule="auto"/>
              <w:jc w:val="center"/>
              <w:rPr>
                <w:rFonts w:ascii="Arial" w:hAnsi="Arial" w:cs="Arial"/>
                <w:sz w:val="20"/>
                <w:szCs w:val="20"/>
              </w:rPr>
            </w:pPr>
            <w:r w:rsidRPr="00925AFB">
              <w:rPr>
                <w:rFonts w:ascii="Arial" w:hAnsi="Arial" w:cs="Arial"/>
                <w:sz w:val="20"/>
                <w:szCs w:val="20"/>
              </w:rPr>
              <w:t>40. člen</w:t>
            </w:r>
          </w:p>
        </w:tc>
        <w:tc>
          <w:tcPr>
            <w:tcW w:w="3596" w:type="dxa"/>
            <w:shd w:val="clear" w:color="auto" w:fill="auto"/>
            <w:vAlign w:val="center"/>
          </w:tcPr>
          <w:p w:rsidR="006A6AAA" w:rsidRPr="00925AFB" w:rsidRDefault="006A6AAA" w:rsidP="00925AFB">
            <w:pPr>
              <w:pStyle w:val="Navadensplet"/>
              <w:suppressAutoHyphens/>
              <w:spacing w:beforeAutospacing="0" w:afterAutospacing="0" w:line="288" w:lineRule="auto"/>
              <w:jc w:val="center"/>
              <w:rPr>
                <w:rFonts w:ascii="Arial" w:hAnsi="Arial" w:cs="Arial"/>
                <w:sz w:val="20"/>
                <w:szCs w:val="20"/>
              </w:rPr>
            </w:pPr>
            <w:r w:rsidRPr="00925AFB">
              <w:rPr>
                <w:rFonts w:ascii="Arial" w:hAnsi="Arial" w:cs="Arial"/>
                <w:sz w:val="20"/>
                <w:szCs w:val="20"/>
              </w:rPr>
              <w:t>7</w:t>
            </w:r>
            <w:r w:rsidR="005928FE">
              <w:rPr>
                <w:rFonts w:ascii="Arial" w:hAnsi="Arial" w:cs="Arial"/>
                <w:sz w:val="20"/>
                <w:szCs w:val="20"/>
              </w:rPr>
              <w:t xml:space="preserve"> </w:t>
            </w:r>
            <w:r w:rsidRPr="00925AFB">
              <w:rPr>
                <w:rFonts w:ascii="Arial" w:hAnsi="Arial" w:cs="Arial"/>
                <w:sz w:val="20"/>
                <w:szCs w:val="20"/>
              </w:rPr>
              <w:t>%</w:t>
            </w:r>
          </w:p>
        </w:tc>
      </w:tr>
      <w:tr w:rsidR="006A6AAA" w:rsidTr="00F25413">
        <w:trPr>
          <w:trHeight w:val="440"/>
        </w:trPr>
        <w:tc>
          <w:tcPr>
            <w:tcW w:w="3895" w:type="dxa"/>
            <w:shd w:val="clear" w:color="auto" w:fill="auto"/>
          </w:tcPr>
          <w:p w:rsidR="006A6AAA" w:rsidRPr="00925AFB" w:rsidRDefault="006A6AAA" w:rsidP="00925AFB">
            <w:pPr>
              <w:pStyle w:val="Navadensplet"/>
              <w:suppressAutoHyphens/>
              <w:spacing w:beforeAutospacing="0" w:afterAutospacing="0" w:line="288" w:lineRule="auto"/>
              <w:rPr>
                <w:rFonts w:ascii="Arial" w:hAnsi="Arial" w:cs="Arial"/>
                <w:sz w:val="20"/>
                <w:szCs w:val="20"/>
              </w:rPr>
            </w:pPr>
            <w:r w:rsidRPr="00925AFB">
              <w:rPr>
                <w:rFonts w:ascii="Arial" w:hAnsi="Arial" w:cs="Arial"/>
                <w:sz w:val="20"/>
                <w:szCs w:val="20"/>
              </w:rPr>
              <w:t>Delo v deljenem delovnem času</w:t>
            </w:r>
          </w:p>
        </w:tc>
        <w:tc>
          <w:tcPr>
            <w:tcW w:w="1156" w:type="dxa"/>
            <w:shd w:val="clear" w:color="auto" w:fill="auto"/>
            <w:vAlign w:val="center"/>
          </w:tcPr>
          <w:p w:rsidR="006A6AAA" w:rsidRPr="00925AFB" w:rsidRDefault="006A6AAA" w:rsidP="00925AFB">
            <w:pPr>
              <w:pStyle w:val="Navadensplet"/>
              <w:suppressAutoHyphens/>
              <w:spacing w:beforeAutospacing="0" w:afterAutospacing="0" w:line="288" w:lineRule="auto"/>
              <w:jc w:val="center"/>
              <w:rPr>
                <w:rFonts w:ascii="Arial" w:hAnsi="Arial" w:cs="Arial"/>
                <w:sz w:val="20"/>
                <w:szCs w:val="20"/>
              </w:rPr>
            </w:pPr>
            <w:r w:rsidRPr="00925AFB">
              <w:rPr>
                <w:rFonts w:ascii="Arial" w:hAnsi="Arial" w:cs="Arial"/>
                <w:sz w:val="20"/>
                <w:szCs w:val="20"/>
              </w:rPr>
              <w:t>41. člen</w:t>
            </w:r>
          </w:p>
        </w:tc>
        <w:tc>
          <w:tcPr>
            <w:tcW w:w="3596" w:type="dxa"/>
            <w:shd w:val="clear" w:color="auto" w:fill="auto"/>
            <w:vAlign w:val="center"/>
          </w:tcPr>
          <w:p w:rsidR="006A6AAA" w:rsidRPr="00925AFB" w:rsidRDefault="006A6AAA" w:rsidP="00925AFB">
            <w:pPr>
              <w:pStyle w:val="Navadensplet"/>
              <w:suppressAutoHyphens/>
              <w:spacing w:beforeAutospacing="0" w:afterAutospacing="0" w:line="288" w:lineRule="auto"/>
              <w:jc w:val="center"/>
              <w:rPr>
                <w:rFonts w:ascii="Arial" w:hAnsi="Arial" w:cs="Arial"/>
                <w:sz w:val="20"/>
                <w:szCs w:val="20"/>
              </w:rPr>
            </w:pPr>
            <w:r w:rsidRPr="00925AFB">
              <w:rPr>
                <w:rFonts w:ascii="Arial" w:hAnsi="Arial" w:cs="Arial"/>
                <w:sz w:val="20"/>
                <w:szCs w:val="20"/>
              </w:rPr>
              <w:t>15</w:t>
            </w:r>
            <w:r w:rsidR="005928FE">
              <w:rPr>
                <w:rFonts w:ascii="Arial" w:hAnsi="Arial" w:cs="Arial"/>
                <w:sz w:val="20"/>
                <w:szCs w:val="20"/>
              </w:rPr>
              <w:t xml:space="preserve"> </w:t>
            </w:r>
            <w:r w:rsidRPr="00925AFB">
              <w:rPr>
                <w:rFonts w:ascii="Arial" w:hAnsi="Arial" w:cs="Arial"/>
                <w:sz w:val="20"/>
                <w:szCs w:val="20"/>
              </w:rPr>
              <w:t>%</w:t>
            </w:r>
          </w:p>
        </w:tc>
      </w:tr>
      <w:tr w:rsidR="006A6AAA" w:rsidTr="00F25413">
        <w:trPr>
          <w:trHeight w:val="426"/>
        </w:trPr>
        <w:tc>
          <w:tcPr>
            <w:tcW w:w="3895" w:type="dxa"/>
            <w:shd w:val="clear" w:color="auto" w:fill="auto"/>
          </w:tcPr>
          <w:p w:rsidR="006A6AAA" w:rsidRPr="00925AFB" w:rsidRDefault="006A6AAA" w:rsidP="00925AFB">
            <w:pPr>
              <w:pStyle w:val="Navadensplet"/>
              <w:suppressAutoHyphens/>
              <w:spacing w:beforeAutospacing="0" w:afterAutospacing="0" w:line="288" w:lineRule="auto"/>
              <w:rPr>
                <w:rFonts w:ascii="Arial" w:hAnsi="Arial" w:cs="Arial"/>
                <w:sz w:val="20"/>
                <w:szCs w:val="20"/>
              </w:rPr>
            </w:pPr>
            <w:r w:rsidRPr="00925AFB">
              <w:rPr>
                <w:rFonts w:ascii="Arial" w:hAnsi="Arial" w:cs="Arial"/>
                <w:sz w:val="20"/>
                <w:szCs w:val="20"/>
              </w:rPr>
              <w:t>Neenakomerno razporejen delovni čas</w:t>
            </w:r>
          </w:p>
        </w:tc>
        <w:tc>
          <w:tcPr>
            <w:tcW w:w="1156" w:type="dxa"/>
            <w:shd w:val="clear" w:color="auto" w:fill="auto"/>
            <w:vAlign w:val="center"/>
          </w:tcPr>
          <w:p w:rsidR="006A6AAA" w:rsidRPr="00925AFB" w:rsidRDefault="006A6AAA" w:rsidP="00925AFB">
            <w:pPr>
              <w:pStyle w:val="Navadensplet"/>
              <w:suppressAutoHyphens/>
              <w:spacing w:beforeAutospacing="0" w:afterAutospacing="0" w:line="288" w:lineRule="auto"/>
              <w:jc w:val="center"/>
              <w:rPr>
                <w:rFonts w:ascii="Arial" w:hAnsi="Arial" w:cs="Arial"/>
                <w:sz w:val="20"/>
                <w:szCs w:val="20"/>
              </w:rPr>
            </w:pPr>
            <w:r w:rsidRPr="00925AFB">
              <w:rPr>
                <w:rFonts w:ascii="Arial" w:hAnsi="Arial" w:cs="Arial"/>
                <w:sz w:val="20"/>
                <w:szCs w:val="20"/>
              </w:rPr>
              <w:t>42. člen</w:t>
            </w:r>
          </w:p>
        </w:tc>
        <w:tc>
          <w:tcPr>
            <w:tcW w:w="3596" w:type="dxa"/>
            <w:shd w:val="clear" w:color="auto" w:fill="auto"/>
            <w:vAlign w:val="center"/>
          </w:tcPr>
          <w:p w:rsidR="006A6AAA" w:rsidRPr="00925AFB" w:rsidRDefault="006A6AAA" w:rsidP="00925AFB">
            <w:pPr>
              <w:pStyle w:val="Navadensplet"/>
              <w:suppressAutoHyphens/>
              <w:spacing w:beforeAutospacing="0" w:afterAutospacing="0" w:line="288" w:lineRule="auto"/>
              <w:jc w:val="center"/>
              <w:rPr>
                <w:rFonts w:ascii="Arial" w:hAnsi="Arial" w:cs="Arial"/>
                <w:sz w:val="20"/>
                <w:szCs w:val="20"/>
              </w:rPr>
            </w:pPr>
            <w:r w:rsidRPr="00925AFB">
              <w:rPr>
                <w:rFonts w:ascii="Arial" w:hAnsi="Arial" w:cs="Arial"/>
                <w:sz w:val="20"/>
                <w:szCs w:val="20"/>
              </w:rPr>
              <w:t>10-20</w:t>
            </w:r>
            <w:r w:rsidR="005928FE">
              <w:rPr>
                <w:rFonts w:ascii="Arial" w:hAnsi="Arial" w:cs="Arial"/>
                <w:sz w:val="20"/>
                <w:szCs w:val="20"/>
              </w:rPr>
              <w:t xml:space="preserve"> </w:t>
            </w:r>
            <w:r w:rsidRPr="00925AFB">
              <w:rPr>
                <w:rFonts w:ascii="Arial" w:hAnsi="Arial" w:cs="Arial"/>
                <w:sz w:val="20"/>
                <w:szCs w:val="20"/>
              </w:rPr>
              <w:t>%</w:t>
            </w:r>
          </w:p>
        </w:tc>
      </w:tr>
      <w:tr w:rsidR="006A6AAA" w:rsidTr="00F25413">
        <w:trPr>
          <w:trHeight w:val="426"/>
        </w:trPr>
        <w:tc>
          <w:tcPr>
            <w:tcW w:w="3895" w:type="dxa"/>
            <w:shd w:val="clear" w:color="auto" w:fill="auto"/>
          </w:tcPr>
          <w:p w:rsidR="006A6AAA" w:rsidRPr="00925AFB" w:rsidRDefault="006A6AAA" w:rsidP="00925AFB">
            <w:pPr>
              <w:pStyle w:val="Navadensplet"/>
              <w:suppressAutoHyphens/>
              <w:spacing w:beforeAutospacing="0" w:afterAutospacing="0" w:line="288" w:lineRule="auto"/>
              <w:rPr>
                <w:rFonts w:ascii="Arial" w:hAnsi="Arial" w:cs="Arial"/>
                <w:sz w:val="20"/>
                <w:szCs w:val="20"/>
              </w:rPr>
            </w:pPr>
            <w:r w:rsidRPr="00925AFB">
              <w:rPr>
                <w:rFonts w:ascii="Arial" w:hAnsi="Arial" w:cs="Arial"/>
                <w:sz w:val="20"/>
                <w:szCs w:val="20"/>
              </w:rPr>
              <w:t>Delo ponoči</w:t>
            </w:r>
          </w:p>
        </w:tc>
        <w:tc>
          <w:tcPr>
            <w:tcW w:w="1156" w:type="dxa"/>
            <w:shd w:val="clear" w:color="auto" w:fill="auto"/>
            <w:vAlign w:val="center"/>
          </w:tcPr>
          <w:p w:rsidR="006A6AAA" w:rsidRPr="00925AFB" w:rsidRDefault="006A6AAA" w:rsidP="00925AFB">
            <w:pPr>
              <w:pStyle w:val="Navadensplet"/>
              <w:suppressAutoHyphens/>
              <w:spacing w:beforeAutospacing="0" w:afterAutospacing="0" w:line="288" w:lineRule="auto"/>
              <w:jc w:val="center"/>
              <w:rPr>
                <w:rFonts w:ascii="Arial" w:hAnsi="Arial" w:cs="Arial"/>
                <w:sz w:val="20"/>
                <w:szCs w:val="20"/>
              </w:rPr>
            </w:pPr>
            <w:r w:rsidRPr="00925AFB">
              <w:rPr>
                <w:rFonts w:ascii="Arial" w:hAnsi="Arial" w:cs="Arial"/>
                <w:sz w:val="20"/>
                <w:szCs w:val="20"/>
              </w:rPr>
              <w:t>43. člen</w:t>
            </w:r>
          </w:p>
        </w:tc>
        <w:tc>
          <w:tcPr>
            <w:tcW w:w="3596" w:type="dxa"/>
            <w:shd w:val="clear" w:color="auto" w:fill="auto"/>
            <w:vAlign w:val="center"/>
          </w:tcPr>
          <w:p w:rsidR="006A6AAA" w:rsidRPr="00925AFB" w:rsidRDefault="006A6AAA" w:rsidP="00925AFB">
            <w:pPr>
              <w:pStyle w:val="Navadensplet"/>
              <w:suppressAutoHyphens/>
              <w:spacing w:beforeAutospacing="0" w:afterAutospacing="0" w:line="288" w:lineRule="auto"/>
              <w:jc w:val="center"/>
              <w:rPr>
                <w:rFonts w:ascii="Arial" w:hAnsi="Arial" w:cs="Arial"/>
                <w:sz w:val="20"/>
                <w:szCs w:val="20"/>
              </w:rPr>
            </w:pPr>
            <w:r w:rsidRPr="00925AFB">
              <w:rPr>
                <w:rFonts w:ascii="Arial" w:hAnsi="Arial" w:cs="Arial"/>
                <w:sz w:val="20"/>
                <w:szCs w:val="20"/>
              </w:rPr>
              <w:t>40</w:t>
            </w:r>
            <w:r w:rsidR="005928FE">
              <w:rPr>
                <w:rFonts w:ascii="Arial" w:hAnsi="Arial" w:cs="Arial"/>
                <w:sz w:val="20"/>
                <w:szCs w:val="20"/>
              </w:rPr>
              <w:t xml:space="preserve"> </w:t>
            </w:r>
            <w:r w:rsidRPr="00925AFB">
              <w:rPr>
                <w:rFonts w:ascii="Arial" w:hAnsi="Arial" w:cs="Arial"/>
                <w:sz w:val="20"/>
                <w:szCs w:val="20"/>
              </w:rPr>
              <w:t>%</w:t>
            </w:r>
          </w:p>
        </w:tc>
      </w:tr>
      <w:tr w:rsidR="006A6AAA" w:rsidTr="00F25413">
        <w:trPr>
          <w:trHeight w:val="440"/>
        </w:trPr>
        <w:tc>
          <w:tcPr>
            <w:tcW w:w="3895" w:type="dxa"/>
            <w:shd w:val="clear" w:color="auto" w:fill="auto"/>
          </w:tcPr>
          <w:p w:rsidR="006A6AAA" w:rsidRPr="00925AFB" w:rsidRDefault="006A6AAA" w:rsidP="00925AFB">
            <w:pPr>
              <w:pStyle w:val="Navadensplet"/>
              <w:suppressAutoHyphens/>
              <w:spacing w:beforeAutospacing="0" w:afterAutospacing="0" w:line="288" w:lineRule="auto"/>
              <w:rPr>
                <w:rFonts w:ascii="Arial" w:hAnsi="Arial" w:cs="Arial"/>
                <w:sz w:val="20"/>
                <w:szCs w:val="20"/>
              </w:rPr>
            </w:pPr>
            <w:r w:rsidRPr="00925AFB">
              <w:rPr>
                <w:rFonts w:ascii="Arial" w:hAnsi="Arial" w:cs="Arial"/>
                <w:sz w:val="20"/>
                <w:szCs w:val="20"/>
              </w:rPr>
              <w:t>Delo v nedeljo</w:t>
            </w:r>
          </w:p>
        </w:tc>
        <w:tc>
          <w:tcPr>
            <w:tcW w:w="1156" w:type="dxa"/>
            <w:shd w:val="clear" w:color="auto" w:fill="auto"/>
            <w:vAlign w:val="center"/>
          </w:tcPr>
          <w:p w:rsidR="006A6AAA" w:rsidRPr="00925AFB" w:rsidRDefault="006A6AAA" w:rsidP="00925AFB">
            <w:pPr>
              <w:pStyle w:val="Navadensplet"/>
              <w:suppressAutoHyphens/>
              <w:spacing w:beforeAutospacing="0" w:afterAutospacing="0" w:line="288" w:lineRule="auto"/>
              <w:jc w:val="center"/>
              <w:rPr>
                <w:rFonts w:ascii="Arial" w:hAnsi="Arial" w:cs="Arial"/>
                <w:sz w:val="20"/>
                <w:szCs w:val="20"/>
              </w:rPr>
            </w:pPr>
            <w:r w:rsidRPr="00925AFB">
              <w:rPr>
                <w:rFonts w:ascii="Arial" w:hAnsi="Arial" w:cs="Arial"/>
                <w:sz w:val="20"/>
                <w:szCs w:val="20"/>
              </w:rPr>
              <w:t>44. člen</w:t>
            </w:r>
          </w:p>
        </w:tc>
        <w:tc>
          <w:tcPr>
            <w:tcW w:w="3596" w:type="dxa"/>
            <w:shd w:val="clear" w:color="auto" w:fill="auto"/>
            <w:vAlign w:val="center"/>
          </w:tcPr>
          <w:p w:rsidR="006A6AAA" w:rsidRPr="00925AFB" w:rsidRDefault="006A6AAA" w:rsidP="00925AFB">
            <w:pPr>
              <w:pStyle w:val="Navadensplet"/>
              <w:suppressAutoHyphens/>
              <w:spacing w:beforeAutospacing="0" w:afterAutospacing="0" w:line="288" w:lineRule="auto"/>
              <w:jc w:val="center"/>
              <w:rPr>
                <w:rFonts w:ascii="Arial" w:hAnsi="Arial" w:cs="Arial"/>
                <w:sz w:val="20"/>
                <w:szCs w:val="20"/>
              </w:rPr>
            </w:pPr>
            <w:r w:rsidRPr="00925AFB">
              <w:rPr>
                <w:rFonts w:ascii="Arial" w:hAnsi="Arial" w:cs="Arial"/>
                <w:sz w:val="20"/>
                <w:szCs w:val="20"/>
              </w:rPr>
              <w:t>90</w:t>
            </w:r>
            <w:r w:rsidR="005928FE">
              <w:rPr>
                <w:rFonts w:ascii="Arial" w:hAnsi="Arial" w:cs="Arial"/>
                <w:sz w:val="20"/>
                <w:szCs w:val="20"/>
              </w:rPr>
              <w:t xml:space="preserve"> </w:t>
            </w:r>
            <w:r w:rsidRPr="00925AFB">
              <w:rPr>
                <w:rFonts w:ascii="Arial" w:hAnsi="Arial" w:cs="Arial"/>
                <w:sz w:val="20"/>
                <w:szCs w:val="20"/>
              </w:rPr>
              <w:t>%</w:t>
            </w:r>
          </w:p>
        </w:tc>
      </w:tr>
      <w:tr w:rsidR="006A6AAA" w:rsidTr="00F25413">
        <w:trPr>
          <w:trHeight w:val="426"/>
        </w:trPr>
        <w:tc>
          <w:tcPr>
            <w:tcW w:w="3895" w:type="dxa"/>
            <w:shd w:val="clear" w:color="auto" w:fill="auto"/>
          </w:tcPr>
          <w:p w:rsidR="006A6AAA" w:rsidRPr="00925AFB" w:rsidRDefault="006A6AAA" w:rsidP="00925AFB">
            <w:pPr>
              <w:pStyle w:val="Navadensplet"/>
              <w:suppressAutoHyphens/>
              <w:spacing w:beforeAutospacing="0" w:afterAutospacing="0" w:line="288" w:lineRule="auto"/>
              <w:rPr>
                <w:rFonts w:ascii="Arial" w:hAnsi="Arial" w:cs="Arial"/>
                <w:sz w:val="20"/>
                <w:szCs w:val="20"/>
              </w:rPr>
            </w:pPr>
            <w:r w:rsidRPr="00925AFB">
              <w:rPr>
                <w:rFonts w:ascii="Arial" w:hAnsi="Arial" w:cs="Arial"/>
                <w:sz w:val="20"/>
                <w:szCs w:val="20"/>
              </w:rPr>
              <w:t>Dela prost dan (praznik)</w:t>
            </w:r>
          </w:p>
        </w:tc>
        <w:tc>
          <w:tcPr>
            <w:tcW w:w="1156" w:type="dxa"/>
            <w:shd w:val="clear" w:color="auto" w:fill="auto"/>
            <w:vAlign w:val="center"/>
          </w:tcPr>
          <w:p w:rsidR="006A6AAA" w:rsidRPr="00925AFB" w:rsidRDefault="006A6AAA" w:rsidP="00925AFB">
            <w:pPr>
              <w:pStyle w:val="Navadensplet"/>
              <w:suppressAutoHyphens/>
              <w:spacing w:beforeAutospacing="0" w:afterAutospacing="0" w:line="288" w:lineRule="auto"/>
              <w:jc w:val="center"/>
              <w:rPr>
                <w:rFonts w:ascii="Arial" w:hAnsi="Arial" w:cs="Arial"/>
                <w:sz w:val="20"/>
                <w:szCs w:val="20"/>
              </w:rPr>
            </w:pPr>
            <w:r w:rsidRPr="00925AFB">
              <w:rPr>
                <w:rFonts w:ascii="Arial" w:hAnsi="Arial" w:cs="Arial"/>
                <w:sz w:val="20"/>
                <w:szCs w:val="20"/>
              </w:rPr>
              <w:t>44. člen</w:t>
            </w:r>
          </w:p>
        </w:tc>
        <w:tc>
          <w:tcPr>
            <w:tcW w:w="3596" w:type="dxa"/>
            <w:shd w:val="clear" w:color="auto" w:fill="auto"/>
            <w:vAlign w:val="center"/>
          </w:tcPr>
          <w:p w:rsidR="006A6AAA" w:rsidRPr="00925AFB" w:rsidRDefault="006A6AAA" w:rsidP="00925AFB">
            <w:pPr>
              <w:pStyle w:val="Navadensplet"/>
              <w:suppressAutoHyphens/>
              <w:spacing w:beforeAutospacing="0" w:afterAutospacing="0" w:line="288" w:lineRule="auto"/>
              <w:jc w:val="center"/>
              <w:rPr>
                <w:rFonts w:ascii="Arial" w:hAnsi="Arial" w:cs="Arial"/>
                <w:sz w:val="20"/>
                <w:szCs w:val="20"/>
              </w:rPr>
            </w:pPr>
            <w:r w:rsidRPr="00925AFB">
              <w:rPr>
                <w:rFonts w:ascii="Arial" w:hAnsi="Arial" w:cs="Arial"/>
                <w:sz w:val="20"/>
                <w:szCs w:val="20"/>
              </w:rPr>
              <w:t>120</w:t>
            </w:r>
            <w:r w:rsidR="005928FE">
              <w:rPr>
                <w:rFonts w:ascii="Arial" w:hAnsi="Arial" w:cs="Arial"/>
                <w:sz w:val="20"/>
                <w:szCs w:val="20"/>
              </w:rPr>
              <w:t xml:space="preserve"> </w:t>
            </w:r>
            <w:r w:rsidRPr="00925AFB">
              <w:rPr>
                <w:rFonts w:ascii="Arial" w:hAnsi="Arial" w:cs="Arial"/>
                <w:sz w:val="20"/>
                <w:szCs w:val="20"/>
              </w:rPr>
              <w:t>%</w:t>
            </w:r>
          </w:p>
        </w:tc>
      </w:tr>
      <w:tr w:rsidR="006A6AAA" w:rsidTr="00F25413">
        <w:trPr>
          <w:trHeight w:val="687"/>
        </w:trPr>
        <w:tc>
          <w:tcPr>
            <w:tcW w:w="3895" w:type="dxa"/>
            <w:shd w:val="clear" w:color="auto" w:fill="auto"/>
          </w:tcPr>
          <w:p w:rsidR="006A6AAA" w:rsidRPr="00925AFB" w:rsidRDefault="006A6AAA" w:rsidP="00925AFB">
            <w:pPr>
              <w:pStyle w:val="Navadensplet"/>
              <w:suppressAutoHyphens/>
              <w:spacing w:beforeAutospacing="0" w:afterAutospacing="0" w:line="288" w:lineRule="auto"/>
              <w:rPr>
                <w:rFonts w:ascii="Arial" w:hAnsi="Arial" w:cs="Arial"/>
                <w:sz w:val="20"/>
                <w:szCs w:val="20"/>
              </w:rPr>
            </w:pPr>
            <w:r w:rsidRPr="00925AFB">
              <w:rPr>
                <w:rFonts w:ascii="Arial" w:hAnsi="Arial" w:cs="Arial"/>
                <w:sz w:val="20"/>
                <w:szCs w:val="20"/>
              </w:rPr>
              <w:lastRenderedPageBreak/>
              <w:t>Delo prek polnega delovnega časa (nadurno delo)</w:t>
            </w:r>
          </w:p>
        </w:tc>
        <w:tc>
          <w:tcPr>
            <w:tcW w:w="1156" w:type="dxa"/>
            <w:shd w:val="clear" w:color="auto" w:fill="auto"/>
            <w:vAlign w:val="center"/>
          </w:tcPr>
          <w:p w:rsidR="006A6AAA" w:rsidRPr="00925AFB" w:rsidRDefault="006A6AAA" w:rsidP="00925AFB">
            <w:pPr>
              <w:pStyle w:val="Navadensplet"/>
              <w:suppressAutoHyphens/>
              <w:spacing w:beforeAutospacing="0" w:afterAutospacing="0" w:line="288" w:lineRule="auto"/>
              <w:jc w:val="center"/>
              <w:rPr>
                <w:rFonts w:ascii="Arial" w:hAnsi="Arial" w:cs="Arial"/>
                <w:sz w:val="20"/>
                <w:szCs w:val="20"/>
              </w:rPr>
            </w:pPr>
            <w:r w:rsidRPr="00925AFB">
              <w:rPr>
                <w:rFonts w:ascii="Arial" w:hAnsi="Arial" w:cs="Arial"/>
                <w:sz w:val="20"/>
                <w:szCs w:val="20"/>
              </w:rPr>
              <w:t>45. člen</w:t>
            </w:r>
          </w:p>
        </w:tc>
        <w:tc>
          <w:tcPr>
            <w:tcW w:w="3596" w:type="dxa"/>
            <w:shd w:val="clear" w:color="auto" w:fill="auto"/>
            <w:vAlign w:val="center"/>
          </w:tcPr>
          <w:p w:rsidR="006A6AAA" w:rsidRPr="00925AFB" w:rsidRDefault="006A6AAA" w:rsidP="00925AFB">
            <w:pPr>
              <w:pStyle w:val="Navadensplet"/>
              <w:suppressAutoHyphens/>
              <w:spacing w:beforeAutospacing="0" w:afterAutospacing="0" w:line="288" w:lineRule="auto"/>
              <w:jc w:val="center"/>
              <w:rPr>
                <w:rFonts w:ascii="Arial" w:hAnsi="Arial" w:cs="Arial"/>
                <w:sz w:val="20"/>
                <w:szCs w:val="20"/>
              </w:rPr>
            </w:pPr>
            <w:r w:rsidRPr="00925AFB">
              <w:rPr>
                <w:rFonts w:ascii="Arial" w:hAnsi="Arial" w:cs="Arial"/>
                <w:sz w:val="20"/>
                <w:szCs w:val="20"/>
              </w:rPr>
              <w:t>30</w:t>
            </w:r>
            <w:r w:rsidR="005928FE">
              <w:rPr>
                <w:rFonts w:ascii="Arial" w:hAnsi="Arial" w:cs="Arial"/>
                <w:sz w:val="20"/>
                <w:szCs w:val="20"/>
              </w:rPr>
              <w:t xml:space="preserve"> </w:t>
            </w:r>
            <w:r w:rsidRPr="00925AFB">
              <w:rPr>
                <w:rFonts w:ascii="Arial" w:hAnsi="Arial" w:cs="Arial"/>
                <w:sz w:val="20"/>
                <w:szCs w:val="20"/>
              </w:rPr>
              <w:t>%</w:t>
            </w:r>
          </w:p>
        </w:tc>
      </w:tr>
      <w:tr w:rsidR="006A6AAA" w:rsidTr="00F25413">
        <w:trPr>
          <w:trHeight w:val="426"/>
        </w:trPr>
        <w:tc>
          <w:tcPr>
            <w:tcW w:w="3895" w:type="dxa"/>
            <w:shd w:val="clear" w:color="auto" w:fill="auto"/>
          </w:tcPr>
          <w:p w:rsidR="006A6AAA" w:rsidRPr="00925AFB" w:rsidRDefault="006A6AAA" w:rsidP="00925AFB">
            <w:pPr>
              <w:pStyle w:val="Navadensplet"/>
              <w:suppressAutoHyphens/>
              <w:spacing w:beforeAutospacing="0" w:afterAutospacing="0" w:line="288" w:lineRule="auto"/>
              <w:rPr>
                <w:rFonts w:ascii="Arial" w:hAnsi="Arial" w:cs="Arial"/>
                <w:sz w:val="20"/>
                <w:szCs w:val="20"/>
              </w:rPr>
            </w:pPr>
            <w:r w:rsidRPr="00925AFB">
              <w:rPr>
                <w:rFonts w:ascii="Arial" w:hAnsi="Arial" w:cs="Arial"/>
                <w:sz w:val="20"/>
                <w:szCs w:val="20"/>
              </w:rPr>
              <w:t>Dodatek za pripravljenost</w:t>
            </w:r>
          </w:p>
        </w:tc>
        <w:tc>
          <w:tcPr>
            <w:tcW w:w="1156" w:type="dxa"/>
            <w:shd w:val="clear" w:color="auto" w:fill="auto"/>
            <w:vAlign w:val="center"/>
          </w:tcPr>
          <w:p w:rsidR="006A6AAA" w:rsidRPr="00925AFB" w:rsidRDefault="006A6AAA" w:rsidP="00925AFB">
            <w:pPr>
              <w:pStyle w:val="Navadensplet"/>
              <w:suppressAutoHyphens/>
              <w:spacing w:beforeAutospacing="0" w:afterAutospacing="0" w:line="288" w:lineRule="auto"/>
              <w:jc w:val="center"/>
              <w:rPr>
                <w:rFonts w:ascii="Arial" w:hAnsi="Arial" w:cs="Arial"/>
                <w:sz w:val="20"/>
                <w:szCs w:val="20"/>
              </w:rPr>
            </w:pPr>
            <w:r w:rsidRPr="00925AFB">
              <w:rPr>
                <w:rFonts w:ascii="Arial" w:hAnsi="Arial" w:cs="Arial"/>
                <w:sz w:val="20"/>
                <w:szCs w:val="20"/>
              </w:rPr>
              <w:t>46. člen</w:t>
            </w:r>
          </w:p>
        </w:tc>
        <w:tc>
          <w:tcPr>
            <w:tcW w:w="3596" w:type="dxa"/>
            <w:shd w:val="clear" w:color="auto" w:fill="auto"/>
            <w:vAlign w:val="center"/>
          </w:tcPr>
          <w:p w:rsidR="006A6AAA" w:rsidRPr="00925AFB" w:rsidRDefault="006A6AAA" w:rsidP="00925AFB">
            <w:pPr>
              <w:pStyle w:val="Navadensplet"/>
              <w:suppressAutoHyphens/>
              <w:spacing w:beforeAutospacing="0" w:afterAutospacing="0" w:line="288" w:lineRule="auto"/>
              <w:jc w:val="center"/>
              <w:rPr>
                <w:rFonts w:ascii="Arial" w:hAnsi="Arial" w:cs="Arial"/>
                <w:sz w:val="20"/>
                <w:szCs w:val="20"/>
              </w:rPr>
            </w:pPr>
            <w:r w:rsidRPr="00925AFB">
              <w:rPr>
                <w:rFonts w:ascii="Arial" w:hAnsi="Arial" w:cs="Arial"/>
                <w:sz w:val="20"/>
                <w:szCs w:val="20"/>
              </w:rPr>
              <w:t>20</w:t>
            </w:r>
            <w:r w:rsidR="005928FE">
              <w:rPr>
                <w:rFonts w:ascii="Arial" w:hAnsi="Arial" w:cs="Arial"/>
                <w:sz w:val="20"/>
                <w:szCs w:val="20"/>
              </w:rPr>
              <w:t xml:space="preserve"> </w:t>
            </w:r>
            <w:r w:rsidRPr="00925AFB">
              <w:rPr>
                <w:rFonts w:ascii="Arial" w:hAnsi="Arial" w:cs="Arial"/>
                <w:sz w:val="20"/>
                <w:szCs w:val="20"/>
              </w:rPr>
              <w:t>%</w:t>
            </w:r>
          </w:p>
        </w:tc>
      </w:tr>
      <w:tr w:rsidR="006A6AAA" w:rsidTr="00F25413">
        <w:trPr>
          <w:trHeight w:val="426"/>
        </w:trPr>
        <w:tc>
          <w:tcPr>
            <w:tcW w:w="3895" w:type="dxa"/>
            <w:shd w:val="clear" w:color="auto" w:fill="auto"/>
          </w:tcPr>
          <w:p w:rsidR="006A6AAA" w:rsidRPr="00925AFB" w:rsidRDefault="006A6AAA" w:rsidP="00925AFB">
            <w:pPr>
              <w:pStyle w:val="Navadensplet"/>
              <w:suppressAutoHyphens/>
              <w:spacing w:beforeAutospacing="0" w:afterAutospacing="0" w:line="288" w:lineRule="auto"/>
              <w:rPr>
                <w:rFonts w:ascii="Arial" w:hAnsi="Arial" w:cs="Arial"/>
                <w:sz w:val="20"/>
                <w:szCs w:val="20"/>
              </w:rPr>
            </w:pPr>
            <w:r w:rsidRPr="00925AFB">
              <w:rPr>
                <w:rFonts w:ascii="Arial" w:hAnsi="Arial" w:cs="Arial"/>
                <w:sz w:val="20"/>
                <w:szCs w:val="20"/>
              </w:rPr>
              <w:t>Dodatek za čas dežurstva</w:t>
            </w:r>
          </w:p>
        </w:tc>
        <w:tc>
          <w:tcPr>
            <w:tcW w:w="1156" w:type="dxa"/>
            <w:shd w:val="clear" w:color="auto" w:fill="auto"/>
            <w:vAlign w:val="center"/>
          </w:tcPr>
          <w:p w:rsidR="006A6AAA" w:rsidRPr="00925AFB" w:rsidRDefault="006A6AAA" w:rsidP="00925AFB">
            <w:pPr>
              <w:pStyle w:val="Navadensplet"/>
              <w:suppressAutoHyphens/>
              <w:spacing w:beforeAutospacing="0" w:afterAutospacing="0" w:line="288" w:lineRule="auto"/>
              <w:jc w:val="center"/>
              <w:rPr>
                <w:rFonts w:ascii="Arial" w:hAnsi="Arial" w:cs="Arial"/>
                <w:sz w:val="20"/>
                <w:szCs w:val="20"/>
              </w:rPr>
            </w:pPr>
            <w:r w:rsidRPr="00925AFB">
              <w:rPr>
                <w:rFonts w:ascii="Arial" w:hAnsi="Arial" w:cs="Arial"/>
                <w:sz w:val="20"/>
                <w:szCs w:val="20"/>
              </w:rPr>
              <w:t xml:space="preserve">48. člen </w:t>
            </w:r>
          </w:p>
        </w:tc>
        <w:tc>
          <w:tcPr>
            <w:tcW w:w="3596" w:type="dxa"/>
            <w:shd w:val="clear" w:color="auto" w:fill="auto"/>
            <w:vAlign w:val="center"/>
          </w:tcPr>
          <w:p w:rsidR="006A6AAA" w:rsidRPr="00925AFB" w:rsidRDefault="006A6AAA" w:rsidP="00925AFB">
            <w:pPr>
              <w:pStyle w:val="Navadensplet"/>
              <w:suppressAutoHyphens/>
              <w:spacing w:beforeAutospacing="0" w:afterAutospacing="0" w:line="288" w:lineRule="auto"/>
              <w:jc w:val="center"/>
              <w:rPr>
                <w:rFonts w:ascii="Arial" w:hAnsi="Arial" w:cs="Arial"/>
                <w:sz w:val="20"/>
                <w:szCs w:val="20"/>
              </w:rPr>
            </w:pPr>
            <w:r w:rsidRPr="00925AFB">
              <w:rPr>
                <w:rFonts w:ascii="Arial" w:hAnsi="Arial" w:cs="Arial"/>
                <w:sz w:val="20"/>
                <w:szCs w:val="20"/>
              </w:rPr>
              <w:t>30</w:t>
            </w:r>
            <w:r w:rsidR="005928FE">
              <w:rPr>
                <w:rFonts w:ascii="Arial" w:hAnsi="Arial" w:cs="Arial"/>
                <w:sz w:val="20"/>
                <w:szCs w:val="20"/>
              </w:rPr>
              <w:t xml:space="preserve"> </w:t>
            </w:r>
            <w:r w:rsidRPr="00925AFB">
              <w:rPr>
                <w:rFonts w:ascii="Arial" w:hAnsi="Arial" w:cs="Arial"/>
                <w:sz w:val="20"/>
                <w:szCs w:val="20"/>
              </w:rPr>
              <w:t>%</w:t>
            </w:r>
          </w:p>
        </w:tc>
      </w:tr>
    </w:tbl>
    <w:p w:rsidR="00005A63" w:rsidRDefault="00005A63" w:rsidP="0055102A">
      <w:pPr>
        <w:pStyle w:val="rkovnatokazaodstavkom"/>
        <w:numPr>
          <w:ilvl w:val="0"/>
          <w:numId w:val="0"/>
        </w:numPr>
        <w:spacing w:line="288" w:lineRule="auto"/>
      </w:pPr>
    </w:p>
    <w:p w:rsidR="0055102A" w:rsidRPr="00115F14" w:rsidRDefault="0055102A" w:rsidP="0055102A">
      <w:pPr>
        <w:pStyle w:val="rkovnatokazaodstavkom"/>
        <w:numPr>
          <w:ilvl w:val="0"/>
          <w:numId w:val="0"/>
        </w:numPr>
        <w:spacing w:line="288" w:lineRule="auto"/>
      </w:pPr>
      <w:r w:rsidRPr="00115F14">
        <w:t>Računsko sodišče ugotavlja, da ZDT-1 za opravljanje nujnih procesnih dejanj ustrezno ureja bistvene pravice in obveznosti državnih tožilcev, ki opravljajo nujna procesna dejanja, saj določa obveznost opravljanja tožilske službe tudi izven poslovnega časa, ter pravico do dnevnega in tedenskega počitka.</w:t>
      </w:r>
    </w:p>
    <w:p w:rsidR="0055102A" w:rsidRPr="00115F14" w:rsidRDefault="0055102A" w:rsidP="0055102A">
      <w:pPr>
        <w:pStyle w:val="rkovnatokazaodstavkom"/>
        <w:numPr>
          <w:ilvl w:val="0"/>
          <w:numId w:val="0"/>
        </w:numPr>
        <w:spacing w:line="288" w:lineRule="auto"/>
      </w:pPr>
    </w:p>
    <w:p w:rsidR="0055102A" w:rsidRPr="00115F14" w:rsidRDefault="0055102A" w:rsidP="0055102A">
      <w:pPr>
        <w:pStyle w:val="rkovnatokazaodstavkom"/>
        <w:numPr>
          <w:ilvl w:val="0"/>
          <w:numId w:val="0"/>
        </w:numPr>
        <w:spacing w:line="288" w:lineRule="auto"/>
      </w:pPr>
      <w:r w:rsidRPr="00115F14">
        <w:t xml:space="preserve">Drugačne pa so ugotovitve glede </w:t>
      </w:r>
      <w:proofErr w:type="spellStart"/>
      <w:r w:rsidRPr="00115F14">
        <w:t>državnotožilske</w:t>
      </w:r>
      <w:proofErr w:type="spellEnd"/>
      <w:r w:rsidRPr="00115F14">
        <w:t xml:space="preserve"> osebja. Tretji odstavek 22. člena ZJU določa, da so lahko posamezna vprašanja za osebje državnih tožilstev z zakonom drugače urejena, kot so urejena v ZJU, če je to potrebno zaradi specifične narave njihovih nalog oziroma za izv</w:t>
      </w:r>
      <w:r w:rsidR="005928FE">
        <w:t xml:space="preserve">ajanje </w:t>
      </w:r>
      <w:r w:rsidRPr="00115F14">
        <w:t xml:space="preserve">posebnih dolžnosti in pooblastil. Obveznosti sodelovanja </w:t>
      </w:r>
      <w:proofErr w:type="spellStart"/>
      <w:r w:rsidRPr="00115F14">
        <w:t>državnotožilskega</w:t>
      </w:r>
      <w:proofErr w:type="spellEnd"/>
      <w:r w:rsidRPr="00115F14">
        <w:t xml:space="preserve"> osebja pri opravljanju nujnih procesnih dejanj </w:t>
      </w:r>
      <w:r w:rsidR="006A6AAA">
        <w:t xml:space="preserve">veljavni </w:t>
      </w:r>
      <w:r w:rsidRPr="00115F14">
        <w:t>ZDT-1 oziroma drug zakon neposredno ne ureja</w:t>
      </w:r>
      <w:r w:rsidR="006A6AAA">
        <w:t xml:space="preserve">, zato je </w:t>
      </w:r>
      <w:r w:rsidR="005928FE">
        <w:t>to vsebina</w:t>
      </w:r>
      <w:r w:rsidR="006A6AAA">
        <w:t xml:space="preserve"> urejanja v te</w:t>
      </w:r>
      <w:r w:rsidR="005928FE">
        <w:t>j</w:t>
      </w:r>
      <w:r w:rsidR="006A6AAA">
        <w:t xml:space="preserve"> novel</w:t>
      </w:r>
      <w:r w:rsidR="005928FE">
        <w:t>i</w:t>
      </w:r>
      <w:r w:rsidR="006A6AAA">
        <w:t xml:space="preserve"> zakona.</w:t>
      </w:r>
      <w:r w:rsidRPr="00115F14">
        <w:t xml:space="preserve"> </w:t>
      </w:r>
    </w:p>
    <w:p w:rsidR="00134E4C" w:rsidRDefault="00134E4C" w:rsidP="0055102A">
      <w:pPr>
        <w:pStyle w:val="rkovnatokazaodstavkom"/>
        <w:numPr>
          <w:ilvl w:val="0"/>
          <w:numId w:val="0"/>
        </w:numPr>
        <w:spacing w:line="288" w:lineRule="auto"/>
      </w:pPr>
    </w:p>
    <w:p w:rsidR="00AE2155" w:rsidRDefault="006A6AAA" w:rsidP="00B644CC">
      <w:pPr>
        <w:spacing w:line="288" w:lineRule="auto"/>
        <w:jc w:val="both"/>
        <w:rPr>
          <w:rFonts w:eastAsia="Calibri" w:cs="Arial"/>
          <w:szCs w:val="20"/>
        </w:rPr>
      </w:pPr>
      <w:r>
        <w:rPr>
          <w:rFonts w:eastAsia="Calibri" w:cs="Arial"/>
          <w:szCs w:val="20"/>
        </w:rPr>
        <w:t xml:space="preserve">Poleg navedenega je </w:t>
      </w:r>
      <w:r w:rsidR="005928FE">
        <w:rPr>
          <w:rFonts w:eastAsia="Calibri" w:cs="Arial"/>
          <w:szCs w:val="20"/>
        </w:rPr>
        <w:t xml:space="preserve">pomembnost </w:t>
      </w:r>
      <w:r w:rsidR="00AE2155" w:rsidRPr="00115F14">
        <w:rPr>
          <w:rFonts w:eastAsia="Calibri" w:cs="Arial"/>
          <w:szCs w:val="20"/>
        </w:rPr>
        <w:t>predlagane problematike v delu, ki zadeva izvajanje dežurne službe državnega tožilstva</w:t>
      </w:r>
      <w:r w:rsidR="005928FE">
        <w:rPr>
          <w:rFonts w:eastAsia="Calibri" w:cs="Arial"/>
          <w:szCs w:val="20"/>
        </w:rPr>
        <w:t>,</w:t>
      </w:r>
      <w:r w:rsidR="00AE2155" w:rsidRPr="00115F14">
        <w:rPr>
          <w:rFonts w:eastAsia="Calibri" w:cs="Arial"/>
          <w:szCs w:val="20"/>
        </w:rPr>
        <w:t xml:space="preserve"> in nujni ureditvi dejanskih aktivnosti državnega tožilca v delu, k</w:t>
      </w:r>
      <w:r w:rsidR="005928FE">
        <w:rPr>
          <w:rFonts w:eastAsia="Calibri" w:cs="Arial"/>
          <w:szCs w:val="20"/>
        </w:rPr>
        <w:t>jer</w:t>
      </w:r>
      <w:r w:rsidR="00AE2155" w:rsidRPr="00115F14">
        <w:rPr>
          <w:rFonts w:eastAsia="Calibri" w:cs="Arial"/>
          <w:szCs w:val="20"/>
        </w:rPr>
        <w:t xml:space="preserve"> niso zajete z zakonskimi rešitvami, odraz </w:t>
      </w:r>
      <w:r>
        <w:rPr>
          <w:rFonts w:eastAsia="Calibri" w:cs="Arial"/>
          <w:szCs w:val="20"/>
        </w:rPr>
        <w:t xml:space="preserve">tudi </w:t>
      </w:r>
      <w:r w:rsidR="00AE2155" w:rsidRPr="00115F14">
        <w:rPr>
          <w:rFonts w:eastAsia="Calibri" w:cs="Arial"/>
          <w:szCs w:val="20"/>
        </w:rPr>
        <w:t xml:space="preserve">različnih tolmačenj veljavne ureditve </w:t>
      </w:r>
      <w:r w:rsidR="00E25A13">
        <w:rPr>
          <w:rFonts w:eastAsia="Calibri" w:cs="Arial"/>
          <w:szCs w:val="20"/>
        </w:rPr>
        <w:t xml:space="preserve">pri </w:t>
      </w:r>
      <w:r w:rsidR="005928FE">
        <w:rPr>
          <w:rFonts w:eastAsia="Calibri" w:cs="Arial"/>
          <w:szCs w:val="20"/>
        </w:rPr>
        <w:t xml:space="preserve">beleženju </w:t>
      </w:r>
      <w:r w:rsidR="00E25A13">
        <w:rPr>
          <w:rFonts w:eastAsia="Calibri" w:cs="Arial"/>
          <w:szCs w:val="20"/>
        </w:rPr>
        <w:t xml:space="preserve">opravljenega dela v pripravljenosti. </w:t>
      </w:r>
      <w:r w:rsidR="00AE2155" w:rsidRPr="00115F14">
        <w:rPr>
          <w:rFonts w:eastAsia="Calibri" w:cs="Arial"/>
          <w:szCs w:val="20"/>
        </w:rPr>
        <w:t xml:space="preserve">V revizijskem poročilu je med drugim </w:t>
      </w:r>
      <w:r w:rsidR="00C965E3">
        <w:rPr>
          <w:rFonts w:eastAsia="Calibri" w:cs="Arial"/>
          <w:szCs w:val="20"/>
        </w:rPr>
        <w:t>r</w:t>
      </w:r>
      <w:r w:rsidR="00AE2155" w:rsidRPr="00115F14">
        <w:rPr>
          <w:rFonts w:eastAsia="Calibri" w:cs="Arial"/>
          <w:szCs w:val="20"/>
        </w:rPr>
        <w:t xml:space="preserve">ačunsko sodišče ocenilo, da je ureditev, po kateri se aktivnosti v zvezi s pozivi </w:t>
      </w:r>
      <w:r w:rsidR="00C965E3">
        <w:rPr>
          <w:rFonts w:eastAsia="Calibri" w:cs="Arial"/>
          <w:szCs w:val="20"/>
        </w:rPr>
        <w:t>beležijo</w:t>
      </w:r>
      <w:r w:rsidR="00AE2155" w:rsidRPr="00115F14">
        <w:rPr>
          <w:rFonts w:eastAsia="Calibri" w:cs="Arial"/>
          <w:szCs w:val="20"/>
        </w:rPr>
        <w:t xml:space="preserve"> po dejansko porabljenem času</w:t>
      </w:r>
      <w:r w:rsidR="00E25A13">
        <w:rPr>
          <w:rFonts w:eastAsia="Calibri" w:cs="Arial"/>
          <w:szCs w:val="20"/>
        </w:rPr>
        <w:t xml:space="preserve"> in ne pavšalno</w:t>
      </w:r>
      <w:r w:rsidR="00AE2155" w:rsidRPr="00115F14">
        <w:rPr>
          <w:rFonts w:eastAsia="Calibri" w:cs="Arial"/>
          <w:szCs w:val="20"/>
        </w:rPr>
        <w:t xml:space="preserve">, najustreznejša podlaga za obračun opravljenega dela.  </w:t>
      </w:r>
    </w:p>
    <w:p w:rsidR="00FE5F88" w:rsidRPr="00115F14" w:rsidRDefault="00FE5F88" w:rsidP="00B644CC">
      <w:pPr>
        <w:pStyle w:val="Golobesedilo"/>
        <w:spacing w:line="288" w:lineRule="auto"/>
        <w:jc w:val="both"/>
        <w:rPr>
          <w:rFonts w:ascii="Arial" w:eastAsia="Times New Roman" w:hAnsi="Arial" w:cs="Arial"/>
          <w:sz w:val="20"/>
          <w:szCs w:val="24"/>
        </w:rPr>
      </w:pPr>
    </w:p>
    <w:p w:rsidR="00FE5F88" w:rsidRDefault="00FE5F88" w:rsidP="00FE5F88">
      <w:pPr>
        <w:spacing w:line="288" w:lineRule="auto"/>
        <w:jc w:val="both"/>
        <w:rPr>
          <w:rFonts w:eastAsia="Calibri" w:cs="Arial"/>
          <w:b/>
          <w:bCs/>
          <w:szCs w:val="20"/>
        </w:rPr>
      </w:pPr>
      <w:r w:rsidRPr="00456775">
        <w:rPr>
          <w:rFonts w:eastAsia="Calibri" w:cs="Arial"/>
          <w:b/>
          <w:bCs/>
          <w:szCs w:val="20"/>
        </w:rPr>
        <w:t>1.</w:t>
      </w:r>
      <w:r>
        <w:rPr>
          <w:rFonts w:eastAsia="Calibri" w:cs="Arial"/>
          <w:b/>
          <w:bCs/>
          <w:szCs w:val="20"/>
        </w:rPr>
        <w:t>3</w:t>
      </w:r>
      <w:r w:rsidRPr="00456775">
        <w:rPr>
          <w:rFonts w:eastAsia="Calibri" w:cs="Arial"/>
          <w:b/>
          <w:bCs/>
          <w:szCs w:val="20"/>
        </w:rPr>
        <w:t xml:space="preserve"> </w:t>
      </w:r>
      <w:r>
        <w:rPr>
          <w:rFonts w:eastAsia="Calibri" w:cs="Arial"/>
          <w:b/>
          <w:bCs/>
          <w:szCs w:val="20"/>
        </w:rPr>
        <w:t>K</w:t>
      </w:r>
      <w:r w:rsidRPr="00456775">
        <w:rPr>
          <w:rFonts w:eastAsia="Calibri" w:cs="Arial"/>
          <w:b/>
          <w:bCs/>
          <w:szCs w:val="20"/>
        </w:rPr>
        <w:t>repitev odgovornosti vodje državnega tožilstva</w:t>
      </w:r>
    </w:p>
    <w:p w:rsidR="00FE5F88" w:rsidRDefault="00FE5F88" w:rsidP="00FE5F88">
      <w:pPr>
        <w:spacing w:line="288" w:lineRule="auto"/>
        <w:jc w:val="both"/>
        <w:rPr>
          <w:rFonts w:eastAsia="Calibri" w:cs="Arial"/>
          <w:b/>
          <w:bCs/>
          <w:szCs w:val="20"/>
        </w:rPr>
      </w:pPr>
    </w:p>
    <w:p w:rsidR="00FE5F88" w:rsidRDefault="00FE5F88" w:rsidP="00FE5F88">
      <w:pPr>
        <w:spacing w:line="288" w:lineRule="auto"/>
        <w:jc w:val="both"/>
        <w:rPr>
          <w:rFonts w:eastAsia="Calibri" w:cs="Arial"/>
          <w:szCs w:val="20"/>
          <w:lang w:eastAsia="sl-SI"/>
        </w:rPr>
      </w:pPr>
      <w:r>
        <w:rPr>
          <w:rFonts w:eastAsia="Calibri" w:cs="Arial"/>
          <w:szCs w:val="20"/>
          <w:lang w:eastAsia="sl-SI"/>
        </w:rPr>
        <w:t xml:space="preserve">Z uveljavitvijo </w:t>
      </w:r>
      <w:r w:rsidRPr="00076E88">
        <w:rPr>
          <w:rFonts w:eastAsia="Calibri" w:cs="Arial"/>
          <w:szCs w:val="20"/>
          <w:lang w:eastAsia="sl-SI"/>
        </w:rPr>
        <w:t>ZDT-1</w:t>
      </w:r>
      <w:r>
        <w:rPr>
          <w:rFonts w:eastAsia="Calibri" w:cs="Arial"/>
          <w:szCs w:val="20"/>
          <w:lang w:eastAsia="sl-SI"/>
        </w:rPr>
        <w:t xml:space="preserve"> leta 2011</w:t>
      </w:r>
      <w:r w:rsidRPr="00076E88">
        <w:rPr>
          <w:rFonts w:eastAsia="Calibri" w:cs="Arial"/>
          <w:szCs w:val="20"/>
          <w:lang w:eastAsia="sl-SI"/>
        </w:rPr>
        <w:t xml:space="preserve"> je bila poudarjena vloga vodje tožilstva, ki je sicer ohranil </w:t>
      </w:r>
      <w:r w:rsidR="00C965E3">
        <w:rPr>
          <w:rFonts w:eastAsia="Calibri" w:cs="Arial"/>
          <w:szCs w:val="20"/>
          <w:lang w:eastAsia="sl-SI"/>
        </w:rPr>
        <w:t>na</w:t>
      </w:r>
      <w:r w:rsidRPr="00076E88">
        <w:rPr>
          <w:rFonts w:eastAsia="Calibri" w:cs="Arial"/>
          <w:szCs w:val="20"/>
          <w:lang w:eastAsia="sl-SI"/>
        </w:rPr>
        <w:t>logo organizacijskega in izvedbenega usklajevanja in zagotavljanja enotnosti pregona, vendar pa je zakon njegovo vlogo odločanja v posameznih zadevah omejil. Ohranil je institut prevzema zadeve, ki upravičuje, da vodja poleg strokovnega usmerjanja izenačuje funkcijo pregona z neposrednim posegom, vendar ob večjem zagotovilu naknadnega preizkusa pravilnosti odločitve na podlagi zahteve državnega tožilca, ki mu je bila zadeva odvzeta.</w:t>
      </w:r>
    </w:p>
    <w:p w:rsidR="00FE5F88" w:rsidRDefault="00FE5F88" w:rsidP="00FE5F88">
      <w:pPr>
        <w:spacing w:line="288" w:lineRule="auto"/>
        <w:jc w:val="both"/>
        <w:rPr>
          <w:rFonts w:eastAsia="Calibri" w:cs="Arial"/>
          <w:szCs w:val="20"/>
          <w:lang w:eastAsia="sl-SI"/>
        </w:rPr>
      </w:pPr>
    </w:p>
    <w:p w:rsidR="00FE5F88" w:rsidRDefault="00FE5F88" w:rsidP="00FE5F88">
      <w:pPr>
        <w:spacing w:line="288" w:lineRule="auto"/>
        <w:jc w:val="both"/>
        <w:rPr>
          <w:rFonts w:eastAsia="Calibri" w:cs="Arial"/>
          <w:szCs w:val="20"/>
          <w:lang w:eastAsia="sl-SI"/>
        </w:rPr>
      </w:pPr>
      <w:r>
        <w:rPr>
          <w:rFonts w:eastAsia="Calibri" w:cs="Arial"/>
          <w:szCs w:val="20"/>
          <w:lang w:eastAsia="sl-SI"/>
        </w:rPr>
        <w:t>Z d</w:t>
      </w:r>
      <w:r w:rsidRPr="00076E88">
        <w:rPr>
          <w:rFonts w:eastAsia="Calibri" w:cs="Arial"/>
          <w:szCs w:val="20"/>
          <w:lang w:eastAsia="sl-SI"/>
        </w:rPr>
        <w:t>oločb</w:t>
      </w:r>
      <w:r>
        <w:rPr>
          <w:rFonts w:eastAsia="Calibri" w:cs="Arial"/>
          <w:szCs w:val="20"/>
          <w:lang w:eastAsia="sl-SI"/>
        </w:rPr>
        <w:t>o</w:t>
      </w:r>
      <w:r w:rsidRPr="00076E88">
        <w:rPr>
          <w:rFonts w:eastAsia="Calibri" w:cs="Arial"/>
          <w:szCs w:val="20"/>
          <w:lang w:eastAsia="sl-SI"/>
        </w:rPr>
        <w:t xml:space="preserve"> 169. člena </w:t>
      </w:r>
      <w:r>
        <w:rPr>
          <w:rFonts w:eastAsia="Calibri" w:cs="Arial"/>
          <w:szCs w:val="20"/>
          <w:lang w:eastAsia="sl-SI"/>
        </w:rPr>
        <w:t xml:space="preserve">se je v novo ureditev </w:t>
      </w:r>
      <w:proofErr w:type="spellStart"/>
      <w:r>
        <w:rPr>
          <w:rFonts w:eastAsia="Calibri" w:cs="Arial"/>
          <w:szCs w:val="20"/>
          <w:lang w:eastAsia="sl-SI"/>
        </w:rPr>
        <w:t>državnotožilske</w:t>
      </w:r>
      <w:proofErr w:type="spellEnd"/>
      <w:r>
        <w:rPr>
          <w:rFonts w:eastAsia="Calibri" w:cs="Arial"/>
          <w:szCs w:val="20"/>
          <w:lang w:eastAsia="sl-SI"/>
        </w:rPr>
        <w:t xml:space="preserve"> organiz</w:t>
      </w:r>
      <w:r w:rsidR="00C965E3">
        <w:rPr>
          <w:rFonts w:eastAsia="Calibri" w:cs="Arial"/>
          <w:szCs w:val="20"/>
          <w:lang w:eastAsia="sl-SI"/>
        </w:rPr>
        <w:t>iranosti</w:t>
      </w:r>
      <w:r>
        <w:rPr>
          <w:rFonts w:eastAsia="Calibri" w:cs="Arial"/>
          <w:szCs w:val="20"/>
          <w:lang w:eastAsia="sl-SI"/>
        </w:rPr>
        <w:t xml:space="preserve"> </w:t>
      </w:r>
      <w:r w:rsidRPr="00076E88">
        <w:rPr>
          <w:rFonts w:eastAsia="Calibri" w:cs="Arial"/>
          <w:szCs w:val="20"/>
          <w:lang w:eastAsia="sl-SI"/>
        </w:rPr>
        <w:t>uvedla novost, ki dotlej v zakonu ni bila poznana. Gre za določitev načinov zagotavljanja učinkovitosti in enotnosti pregona. Z določbo 169. člena se je v povezavi z določbo o prevzemu zadeve (170. člen</w:t>
      </w:r>
      <w:r>
        <w:rPr>
          <w:rFonts w:eastAsia="Calibri" w:cs="Arial"/>
          <w:szCs w:val="20"/>
          <w:lang w:eastAsia="sl-SI"/>
        </w:rPr>
        <w:t xml:space="preserve"> ZDT-1</w:t>
      </w:r>
      <w:r w:rsidRPr="00076E88">
        <w:rPr>
          <w:rFonts w:eastAsia="Calibri" w:cs="Arial"/>
          <w:szCs w:val="20"/>
          <w:lang w:eastAsia="sl-SI"/>
        </w:rPr>
        <w:t>) uredilo postopanje vodje državnega tožilstva v zadevah, v katerih si bo vodja pridržal predhodno seznanitev z odločitvijo državnega tožilca. Vodja državnega tožilstva naj bi tako najprej (tj. vnaprej) določil vrsto zadev in način obveščanja o zadevah, v katerih mu morajo državni tožilci pred odločitvijo predložiti na vpogled osnutek svojega akta zaradi zagotavljanja enotnosti pregona.</w:t>
      </w:r>
    </w:p>
    <w:p w:rsidR="00FE5F88" w:rsidRDefault="00FE5F88" w:rsidP="00FE5F88">
      <w:pPr>
        <w:spacing w:line="288" w:lineRule="auto"/>
        <w:jc w:val="both"/>
        <w:rPr>
          <w:rFonts w:eastAsia="Calibri" w:cs="Arial"/>
          <w:szCs w:val="20"/>
          <w:lang w:eastAsia="sl-SI"/>
        </w:rPr>
      </w:pPr>
    </w:p>
    <w:p w:rsidR="00FE5F88" w:rsidRDefault="00FE5F88" w:rsidP="00FE5F88">
      <w:pPr>
        <w:spacing w:line="288" w:lineRule="auto"/>
        <w:jc w:val="both"/>
        <w:rPr>
          <w:rFonts w:eastAsia="Calibri" w:cs="Arial"/>
          <w:szCs w:val="20"/>
        </w:rPr>
      </w:pPr>
      <w:r>
        <w:rPr>
          <w:rFonts w:eastAsia="Calibri" w:cs="Arial"/>
          <w:szCs w:val="20"/>
          <w:lang w:eastAsia="sl-SI"/>
        </w:rPr>
        <w:t>Izvajanje določbe 169. člena ZDT-1 je v praksi pokazalo, da navedena določba</w:t>
      </w:r>
      <w:r w:rsidRPr="00076E88">
        <w:rPr>
          <w:rFonts w:eastAsia="Calibri" w:cs="Arial"/>
          <w:szCs w:val="20"/>
          <w:lang w:eastAsia="sl-SI"/>
        </w:rPr>
        <w:t xml:space="preserve"> pri večini državnih tožilstev ni bila razumljena na način, kot je bila ob sprejemu ZDT-1 oblikovana</w:t>
      </w:r>
      <w:r>
        <w:rPr>
          <w:rFonts w:eastAsia="Calibri" w:cs="Arial"/>
          <w:szCs w:val="20"/>
          <w:lang w:eastAsia="sl-SI"/>
        </w:rPr>
        <w:t>.</w:t>
      </w:r>
    </w:p>
    <w:p w:rsidR="00FE5F88" w:rsidRDefault="00FE5F88" w:rsidP="00FE5F88">
      <w:pPr>
        <w:spacing w:line="288" w:lineRule="auto"/>
        <w:jc w:val="both"/>
        <w:rPr>
          <w:rFonts w:eastAsia="Calibri" w:cs="Arial"/>
          <w:szCs w:val="20"/>
        </w:rPr>
      </w:pPr>
    </w:p>
    <w:p w:rsidR="00FE5F88" w:rsidRPr="000E3AFF" w:rsidRDefault="00FE5F88" w:rsidP="00FE5F88">
      <w:pPr>
        <w:spacing w:line="288" w:lineRule="auto"/>
        <w:jc w:val="both"/>
        <w:rPr>
          <w:rFonts w:eastAsia="Calibri" w:cs="Arial"/>
          <w:szCs w:val="20"/>
        </w:rPr>
      </w:pPr>
      <w:r>
        <w:rPr>
          <w:rFonts w:eastAsia="Calibri" w:cs="Arial"/>
          <w:szCs w:val="20"/>
          <w:lang w:eastAsia="sl-SI"/>
        </w:rPr>
        <w:t>D</w:t>
      </w:r>
      <w:r w:rsidRPr="000E3AFF">
        <w:rPr>
          <w:rFonts w:eastAsia="Calibri" w:cs="Arial"/>
          <w:szCs w:val="20"/>
          <w:lang w:eastAsia="sl-SI"/>
        </w:rPr>
        <w:t>ržavni tožilec na podlagi 161. člena ZKP zavrže kazensko ovadbo</w:t>
      </w:r>
      <w:r w:rsidR="00C965E3">
        <w:rPr>
          <w:rFonts w:eastAsia="Calibri" w:cs="Arial"/>
          <w:szCs w:val="20"/>
          <w:lang w:eastAsia="sl-SI"/>
        </w:rPr>
        <w:t>, če</w:t>
      </w:r>
      <w:r w:rsidRPr="000E3AFF">
        <w:rPr>
          <w:rFonts w:eastAsia="Calibri" w:cs="Arial"/>
          <w:szCs w:val="20"/>
          <w:lang w:eastAsia="sl-SI"/>
        </w:rPr>
        <w:t>:</w:t>
      </w:r>
    </w:p>
    <w:p w:rsidR="00FE5F88" w:rsidRPr="001A24F5" w:rsidRDefault="00FE5F88" w:rsidP="00FE5F88">
      <w:pPr>
        <w:pStyle w:val="Odstavekseznama"/>
        <w:numPr>
          <w:ilvl w:val="0"/>
          <w:numId w:val="26"/>
        </w:numPr>
        <w:spacing w:line="288" w:lineRule="auto"/>
        <w:jc w:val="both"/>
        <w:rPr>
          <w:rFonts w:eastAsia="Calibri" w:cs="Arial"/>
          <w:szCs w:val="20"/>
          <w:lang w:eastAsia="sl-SI"/>
        </w:rPr>
      </w:pPr>
      <w:r w:rsidRPr="001A24F5">
        <w:rPr>
          <w:rFonts w:eastAsia="Calibri" w:cs="Arial"/>
          <w:szCs w:val="20"/>
          <w:lang w:eastAsia="sl-SI"/>
        </w:rPr>
        <w:t xml:space="preserve">iz nje izhaja, da naznanjeno dejanje ni kaznivo dejanje, za katero se storilec preganja po uradni dolžnosti; </w:t>
      </w:r>
    </w:p>
    <w:p w:rsidR="00FE5F88" w:rsidRPr="001A24F5" w:rsidRDefault="00FE5F88" w:rsidP="00FE5F88">
      <w:pPr>
        <w:pStyle w:val="Odstavekseznama"/>
        <w:numPr>
          <w:ilvl w:val="0"/>
          <w:numId w:val="26"/>
        </w:numPr>
        <w:spacing w:line="288" w:lineRule="auto"/>
        <w:jc w:val="both"/>
        <w:rPr>
          <w:rFonts w:eastAsia="Calibri" w:cs="Arial"/>
          <w:szCs w:val="20"/>
          <w:lang w:eastAsia="sl-SI"/>
        </w:rPr>
      </w:pPr>
      <w:r w:rsidRPr="001A24F5">
        <w:rPr>
          <w:rFonts w:eastAsia="Calibri" w:cs="Arial"/>
          <w:szCs w:val="20"/>
          <w:lang w:eastAsia="sl-SI"/>
        </w:rPr>
        <w:lastRenderedPageBreak/>
        <w:t xml:space="preserve">je pregon zastaran ali je dejanje obseženo z amnestijo oziroma pomilostitvijo ali če so podane druge okoliščine, ki izključujejo pregon; </w:t>
      </w:r>
    </w:p>
    <w:p w:rsidR="00FE5F88" w:rsidRPr="001A24F5" w:rsidRDefault="00FE5F88" w:rsidP="00FE5F88">
      <w:pPr>
        <w:pStyle w:val="Odstavekseznama"/>
        <w:numPr>
          <w:ilvl w:val="0"/>
          <w:numId w:val="26"/>
        </w:numPr>
        <w:spacing w:line="288" w:lineRule="auto"/>
        <w:jc w:val="both"/>
        <w:rPr>
          <w:rFonts w:eastAsia="Calibri" w:cs="Arial"/>
          <w:szCs w:val="20"/>
          <w:lang w:eastAsia="sl-SI"/>
        </w:rPr>
      </w:pPr>
      <w:r w:rsidRPr="001A24F5">
        <w:rPr>
          <w:rFonts w:eastAsia="Calibri" w:cs="Arial"/>
          <w:szCs w:val="20"/>
          <w:lang w:eastAsia="sl-SI"/>
        </w:rPr>
        <w:t xml:space="preserve">ni podanega utemeljenega suma, da je osumljenec storil naznanjeno kaznivo dejanje </w:t>
      </w:r>
    </w:p>
    <w:p w:rsidR="00C965E3" w:rsidRDefault="00FE5F88" w:rsidP="00C965E3">
      <w:pPr>
        <w:pStyle w:val="Odstavekseznama"/>
        <w:spacing w:line="288" w:lineRule="auto"/>
        <w:ind w:left="360"/>
        <w:jc w:val="both"/>
        <w:rPr>
          <w:rFonts w:eastAsia="Calibri" w:cs="Arial"/>
          <w:szCs w:val="20"/>
          <w:lang w:eastAsia="sl-SI"/>
        </w:rPr>
      </w:pPr>
      <w:r w:rsidRPr="001A24F5">
        <w:rPr>
          <w:rFonts w:eastAsia="Calibri" w:cs="Arial"/>
          <w:szCs w:val="20"/>
          <w:lang w:eastAsia="sl-SI"/>
        </w:rPr>
        <w:t xml:space="preserve">ali </w:t>
      </w:r>
    </w:p>
    <w:p w:rsidR="00FE5F88" w:rsidRPr="001A24F5" w:rsidRDefault="00FE5F88" w:rsidP="00FE5F88">
      <w:pPr>
        <w:pStyle w:val="Odstavekseznama"/>
        <w:numPr>
          <w:ilvl w:val="0"/>
          <w:numId w:val="26"/>
        </w:numPr>
        <w:spacing w:line="288" w:lineRule="auto"/>
        <w:jc w:val="both"/>
        <w:rPr>
          <w:rFonts w:eastAsia="Calibri" w:cs="Arial"/>
          <w:szCs w:val="20"/>
          <w:lang w:eastAsia="sl-SI"/>
        </w:rPr>
      </w:pPr>
      <w:r w:rsidRPr="001A24F5">
        <w:rPr>
          <w:rFonts w:eastAsia="Calibri" w:cs="Arial"/>
          <w:szCs w:val="20"/>
          <w:lang w:eastAsia="sl-SI"/>
        </w:rPr>
        <w:t xml:space="preserve">je podana nesorazmernost med majhnim pomenom kaznivega dejanja in posledicami, ki bi jih povzročil kazenski pregon. </w:t>
      </w:r>
    </w:p>
    <w:p w:rsidR="00FE5F88" w:rsidRDefault="00FE5F88" w:rsidP="00FE5F88">
      <w:pPr>
        <w:spacing w:line="288" w:lineRule="auto"/>
        <w:jc w:val="both"/>
        <w:rPr>
          <w:rFonts w:eastAsia="Calibri" w:cs="Arial"/>
          <w:szCs w:val="20"/>
          <w:lang w:eastAsia="sl-SI"/>
        </w:rPr>
      </w:pPr>
    </w:p>
    <w:p w:rsidR="00FE5F88" w:rsidRDefault="00FE5F88" w:rsidP="00FE5F88">
      <w:pPr>
        <w:spacing w:line="288" w:lineRule="auto"/>
        <w:jc w:val="both"/>
        <w:rPr>
          <w:rFonts w:eastAsia="Calibri" w:cs="Arial"/>
          <w:szCs w:val="20"/>
          <w:lang w:eastAsia="sl-SI"/>
        </w:rPr>
      </w:pPr>
      <w:r>
        <w:rPr>
          <w:rFonts w:eastAsia="Calibri" w:cs="Arial"/>
          <w:szCs w:val="20"/>
          <w:lang w:eastAsia="sl-SI"/>
        </w:rPr>
        <w:t xml:space="preserve">Upoštevaje vsebino in pomen odločitve državnega tožilca o zavrženju ovadbe se z namenom zagotovitve dodatnih orodij in vzvodov vodjem državnih tožilstev pri zagotavljanju enotnosti pregona ter širše krepitvi ugleda pravosodja v javnosti, predlaga predhodna predložitev osnutka akta o zavrženju ovadbe na pogled vodji državnega tožilstva ne le v zadevah posebnega pomena kot to izhaja iz veljavne določbe 90. člena </w:t>
      </w:r>
      <w:proofErr w:type="spellStart"/>
      <w:r>
        <w:rPr>
          <w:rFonts w:eastAsia="Calibri" w:cs="Arial"/>
          <w:szCs w:val="20"/>
          <w:lang w:eastAsia="sl-SI"/>
        </w:rPr>
        <w:t>Državnotožilskega</w:t>
      </w:r>
      <w:proofErr w:type="spellEnd"/>
      <w:r>
        <w:rPr>
          <w:rFonts w:eastAsia="Calibri" w:cs="Arial"/>
          <w:szCs w:val="20"/>
          <w:lang w:eastAsia="sl-SI"/>
        </w:rPr>
        <w:t xml:space="preserve"> reda, temveč tudi v primerih zavrženja ovadb za kazniva dejanja, za katera je v Kazenskem zakoniku predpisana kazen zapora več kot tri leta.</w:t>
      </w:r>
    </w:p>
    <w:p w:rsidR="00FE5F88" w:rsidRDefault="00FE5F88" w:rsidP="00FE5F88">
      <w:pPr>
        <w:spacing w:line="288" w:lineRule="auto"/>
        <w:jc w:val="both"/>
        <w:rPr>
          <w:rFonts w:eastAsia="Calibri" w:cs="Arial"/>
          <w:szCs w:val="20"/>
          <w:lang w:eastAsia="sl-SI"/>
        </w:rPr>
      </w:pPr>
    </w:p>
    <w:p w:rsidR="00FE5F88" w:rsidRDefault="00FE5F88" w:rsidP="00FE5F88">
      <w:pPr>
        <w:spacing w:line="288" w:lineRule="auto"/>
        <w:jc w:val="both"/>
        <w:rPr>
          <w:rFonts w:eastAsia="Calibri" w:cs="Arial"/>
          <w:szCs w:val="20"/>
          <w:lang w:eastAsia="sl-SI"/>
        </w:rPr>
      </w:pPr>
      <w:r>
        <w:rPr>
          <w:rFonts w:eastAsia="Calibri" w:cs="Arial"/>
          <w:szCs w:val="20"/>
        </w:rPr>
        <w:t xml:space="preserve">V </w:t>
      </w:r>
      <w:r w:rsidRPr="000E3AFF">
        <w:rPr>
          <w:rFonts w:eastAsia="Calibri" w:cs="Arial"/>
          <w:szCs w:val="20"/>
        </w:rPr>
        <w:t>Skupne</w:t>
      </w:r>
      <w:r>
        <w:rPr>
          <w:rFonts w:eastAsia="Calibri" w:cs="Arial"/>
          <w:szCs w:val="20"/>
        </w:rPr>
        <w:t>m</w:t>
      </w:r>
      <w:r w:rsidRPr="000E3AFF">
        <w:rPr>
          <w:rFonts w:eastAsia="Calibri" w:cs="Arial"/>
          <w:szCs w:val="20"/>
        </w:rPr>
        <w:t xml:space="preserve"> letne</w:t>
      </w:r>
      <w:r>
        <w:rPr>
          <w:rFonts w:eastAsia="Calibri" w:cs="Arial"/>
          <w:szCs w:val="20"/>
        </w:rPr>
        <w:t>m</w:t>
      </w:r>
      <w:r w:rsidRPr="000E3AFF">
        <w:rPr>
          <w:rFonts w:eastAsia="Calibri" w:cs="Arial"/>
          <w:szCs w:val="20"/>
        </w:rPr>
        <w:t xml:space="preserve"> poročil</w:t>
      </w:r>
      <w:r>
        <w:rPr>
          <w:rFonts w:eastAsia="Calibri" w:cs="Arial"/>
          <w:szCs w:val="20"/>
        </w:rPr>
        <w:t>u</w:t>
      </w:r>
      <w:r w:rsidRPr="000E3AFF">
        <w:rPr>
          <w:rFonts w:eastAsia="Calibri" w:cs="Arial"/>
          <w:szCs w:val="20"/>
        </w:rPr>
        <w:t xml:space="preserve"> državnega tožilstva za leto 2019</w:t>
      </w:r>
      <w:r>
        <w:rPr>
          <w:rFonts w:eastAsia="Calibri" w:cs="Arial"/>
          <w:szCs w:val="20"/>
        </w:rPr>
        <w:t>, v</w:t>
      </w:r>
      <w:r w:rsidRPr="000E3AFF">
        <w:rPr>
          <w:rFonts w:eastAsia="Calibri" w:cs="Arial"/>
          <w:szCs w:val="20"/>
          <w:lang w:eastAsia="sl-SI"/>
        </w:rPr>
        <w:t xml:space="preserve"> </w:t>
      </w:r>
      <w:r w:rsidR="00C965E3">
        <w:rPr>
          <w:rFonts w:eastAsia="Calibri" w:cs="Arial"/>
          <w:szCs w:val="20"/>
          <w:lang w:eastAsia="sl-SI"/>
        </w:rPr>
        <w:t>tabelah</w:t>
      </w:r>
      <w:r w:rsidRPr="000E3AFF">
        <w:rPr>
          <w:rFonts w:eastAsia="Calibri" w:cs="Arial"/>
          <w:szCs w:val="20"/>
          <w:lang w:eastAsia="sl-SI"/>
        </w:rPr>
        <w:t xml:space="preserve"> 11 (p), 11 (m), 11 (po) </w:t>
      </w:r>
      <w:r>
        <w:rPr>
          <w:rFonts w:eastAsia="Calibri" w:cs="Arial"/>
          <w:szCs w:val="20"/>
          <w:lang w:eastAsia="sl-SI"/>
        </w:rPr>
        <w:t xml:space="preserve">so </w:t>
      </w:r>
      <w:r w:rsidRPr="000E3AFF">
        <w:rPr>
          <w:rFonts w:eastAsia="Calibri" w:cs="Arial"/>
          <w:szCs w:val="20"/>
          <w:lang w:eastAsia="sl-SI"/>
        </w:rPr>
        <w:t xml:space="preserve">predstavljeni statistični podatki </w:t>
      </w:r>
      <w:r>
        <w:rPr>
          <w:rFonts w:eastAsia="Calibri" w:cs="Arial"/>
          <w:szCs w:val="20"/>
          <w:lang w:eastAsia="sl-SI"/>
        </w:rPr>
        <w:t xml:space="preserve">o zavrženju ovadb zoper polnoletne storilce kaznivih dejanj, </w:t>
      </w:r>
      <w:r w:rsidR="00C965E3">
        <w:rPr>
          <w:rFonts w:eastAsia="Calibri" w:cs="Arial"/>
          <w:szCs w:val="20"/>
          <w:lang w:eastAsia="sl-SI"/>
        </w:rPr>
        <w:t xml:space="preserve">o zavrženju ovadb </w:t>
      </w:r>
      <w:r>
        <w:rPr>
          <w:rFonts w:eastAsia="Calibri" w:cs="Arial"/>
          <w:szCs w:val="20"/>
          <w:lang w:eastAsia="sl-SI"/>
        </w:rPr>
        <w:t xml:space="preserve">proti mladoletnikom in </w:t>
      </w:r>
      <w:r w:rsidR="00C965E3">
        <w:rPr>
          <w:rFonts w:eastAsia="Calibri" w:cs="Arial"/>
          <w:szCs w:val="20"/>
          <w:lang w:eastAsia="sl-SI"/>
        </w:rPr>
        <w:t xml:space="preserve">o zavrženju ovadb </w:t>
      </w:r>
      <w:r>
        <w:rPr>
          <w:rFonts w:eastAsia="Calibri" w:cs="Arial"/>
          <w:szCs w:val="20"/>
          <w:lang w:eastAsia="sl-SI"/>
        </w:rPr>
        <w:t>zoper pravne osebe, ki se</w:t>
      </w:r>
      <w:r w:rsidRPr="000E3AFF">
        <w:rPr>
          <w:rFonts w:eastAsia="Calibri" w:cs="Arial"/>
          <w:szCs w:val="20"/>
          <w:lang w:eastAsia="sl-SI"/>
        </w:rPr>
        <w:t xml:space="preserve"> ustrezno</w:t>
      </w:r>
      <w:r w:rsidR="00C965E3">
        <w:rPr>
          <w:rFonts w:eastAsia="Calibri" w:cs="Arial"/>
          <w:szCs w:val="20"/>
          <w:lang w:eastAsia="sl-SI"/>
        </w:rPr>
        <w:t xml:space="preserve"> </w:t>
      </w:r>
      <w:r w:rsidRPr="000E3AFF">
        <w:rPr>
          <w:rFonts w:eastAsia="Calibri" w:cs="Arial"/>
          <w:szCs w:val="20"/>
          <w:lang w:eastAsia="sl-SI"/>
        </w:rPr>
        <w:t>dopolnjujejo</w:t>
      </w:r>
      <w:r w:rsidR="00C965E3">
        <w:rPr>
          <w:rFonts w:eastAsia="Calibri" w:cs="Arial"/>
          <w:szCs w:val="20"/>
          <w:lang w:eastAsia="sl-SI"/>
        </w:rPr>
        <w:t xml:space="preserve"> </w:t>
      </w:r>
      <w:r w:rsidRPr="000E3AFF">
        <w:rPr>
          <w:rFonts w:eastAsia="Calibri" w:cs="Arial"/>
          <w:szCs w:val="20"/>
          <w:lang w:eastAsia="sl-SI"/>
        </w:rPr>
        <w:t>s podatki o zavrženju ovadb na</w:t>
      </w:r>
      <w:r w:rsidR="00C965E3">
        <w:rPr>
          <w:rFonts w:eastAsia="Calibri" w:cs="Arial"/>
          <w:szCs w:val="20"/>
          <w:lang w:eastAsia="sl-SI"/>
        </w:rPr>
        <w:t xml:space="preserve"> </w:t>
      </w:r>
      <w:r w:rsidRPr="000E3AFF">
        <w:rPr>
          <w:rFonts w:eastAsia="Calibri" w:cs="Arial"/>
          <w:szCs w:val="20"/>
          <w:lang w:eastAsia="sl-SI"/>
        </w:rPr>
        <w:t>podlagi opravljenega postopka alternativnega</w:t>
      </w:r>
      <w:r w:rsidR="00C965E3">
        <w:rPr>
          <w:rFonts w:eastAsia="Calibri" w:cs="Arial"/>
          <w:szCs w:val="20"/>
          <w:lang w:eastAsia="sl-SI"/>
        </w:rPr>
        <w:t xml:space="preserve"> </w:t>
      </w:r>
      <w:r w:rsidRPr="000E3AFF">
        <w:rPr>
          <w:rFonts w:eastAsia="Calibri" w:cs="Arial"/>
          <w:szCs w:val="20"/>
          <w:lang w:eastAsia="sl-SI"/>
        </w:rPr>
        <w:t>pregona</w:t>
      </w:r>
      <w:r>
        <w:rPr>
          <w:rFonts w:eastAsia="Calibri" w:cs="Arial"/>
          <w:szCs w:val="20"/>
          <w:lang w:eastAsia="sl-SI"/>
        </w:rPr>
        <w:t xml:space="preserve">. </w:t>
      </w:r>
    </w:p>
    <w:p w:rsidR="00FE5F88" w:rsidRDefault="00FE5F88" w:rsidP="00FE5F88">
      <w:pPr>
        <w:pStyle w:val="Tabela-naslov"/>
      </w:pPr>
      <w:bookmarkStart w:id="5" w:name="_Toc502925397"/>
      <w:bookmarkStart w:id="6" w:name="_Toc504122495"/>
      <w:bookmarkStart w:id="7" w:name="_Toc37710496"/>
    </w:p>
    <w:p w:rsidR="00FE5F88" w:rsidRPr="00AB09A1" w:rsidRDefault="00FE5F88" w:rsidP="00FE5F88">
      <w:pPr>
        <w:pStyle w:val="Tabela-naslov"/>
      </w:pPr>
      <w:r w:rsidRPr="00AB09A1">
        <w:t>Tabela 11(p): Zavrženje ovadb zoper polnoletne storilce</w:t>
      </w:r>
      <w:bookmarkEnd w:id="5"/>
      <w:bookmarkEnd w:id="6"/>
      <w:bookmarkEnd w:id="7"/>
    </w:p>
    <w:tbl>
      <w:tblPr>
        <w:tblW w:w="5000" w:type="pct"/>
        <w:tblCellMar>
          <w:top w:w="28" w:type="dxa"/>
          <w:left w:w="57" w:type="dxa"/>
          <w:bottom w:w="28" w:type="dxa"/>
          <w:right w:w="57" w:type="dxa"/>
        </w:tblCellMar>
        <w:tblLook w:val="0000" w:firstRow="0" w:lastRow="0" w:firstColumn="0" w:lastColumn="0" w:noHBand="0" w:noVBand="0"/>
      </w:tblPr>
      <w:tblGrid>
        <w:gridCol w:w="772"/>
        <w:gridCol w:w="788"/>
        <w:gridCol w:w="1144"/>
        <w:gridCol w:w="472"/>
        <w:gridCol w:w="1181"/>
        <w:gridCol w:w="438"/>
        <w:gridCol w:w="1104"/>
        <w:gridCol w:w="550"/>
        <w:gridCol w:w="616"/>
        <w:gridCol w:w="483"/>
        <w:gridCol w:w="636"/>
        <w:gridCol w:w="463"/>
      </w:tblGrid>
      <w:tr w:rsidR="00FE5F88" w:rsidRPr="00B76559" w:rsidTr="000E1911">
        <w:trPr>
          <w:cantSplit/>
          <w:trHeight w:val="1135"/>
          <w:tblHeader/>
        </w:trPr>
        <w:tc>
          <w:tcPr>
            <w:tcW w:w="449" w:type="pct"/>
            <w:tcBorders>
              <w:right w:val="single" w:sz="8" w:space="0" w:color="FFFFFF"/>
            </w:tcBorders>
            <w:shd w:val="clear" w:color="auto" w:fill="877850"/>
            <w:vAlign w:val="center"/>
          </w:tcPr>
          <w:p w:rsidR="00FE5F88" w:rsidRPr="00B76559" w:rsidRDefault="00FE5F88" w:rsidP="000E1911">
            <w:pPr>
              <w:pStyle w:val="Tabela-vsebina-bold-center"/>
              <w:spacing w:line="160" w:lineRule="exact"/>
              <w:rPr>
                <w:rFonts w:cs="Calibri"/>
                <w:color w:val="FFFFFF"/>
                <w:sz w:val="18"/>
                <w:szCs w:val="18"/>
              </w:rPr>
            </w:pPr>
            <w:bookmarkStart w:id="8" w:name="LP11p"/>
            <w:r w:rsidRPr="00B76559">
              <w:rPr>
                <w:rFonts w:cs="Calibri"/>
                <w:color w:val="FFFFFF"/>
                <w:sz w:val="18"/>
                <w:szCs w:val="18"/>
              </w:rPr>
              <w:t>Državno tožilstvo</w:t>
            </w:r>
          </w:p>
        </w:tc>
        <w:tc>
          <w:tcPr>
            <w:tcW w:w="449" w:type="pct"/>
            <w:tcBorders>
              <w:left w:val="single" w:sz="8" w:space="0" w:color="FFFFFF"/>
              <w:right w:val="single" w:sz="8" w:space="0" w:color="FFFFFF"/>
            </w:tcBorders>
            <w:shd w:val="clear" w:color="auto" w:fill="877850"/>
            <w:vAlign w:val="center"/>
          </w:tcPr>
          <w:p w:rsidR="00FE5F88" w:rsidRPr="00B76559" w:rsidRDefault="00FE5F88" w:rsidP="000E1911">
            <w:pPr>
              <w:pStyle w:val="Tabela-vsebina-bold-center"/>
              <w:spacing w:line="160" w:lineRule="exact"/>
              <w:rPr>
                <w:rFonts w:cs="Calibri"/>
                <w:color w:val="FFFFFF"/>
                <w:sz w:val="18"/>
                <w:szCs w:val="18"/>
              </w:rPr>
            </w:pPr>
            <w:r w:rsidRPr="00B76559">
              <w:rPr>
                <w:rFonts w:cs="Calibri"/>
                <w:color w:val="FFFFFF"/>
                <w:sz w:val="18"/>
                <w:szCs w:val="18"/>
              </w:rPr>
              <w:t>Zavržene ovadbe skupaj</w:t>
            </w:r>
          </w:p>
        </w:tc>
        <w:tc>
          <w:tcPr>
            <w:tcW w:w="641" w:type="pct"/>
            <w:tcBorders>
              <w:left w:val="single" w:sz="8" w:space="0" w:color="FFFFFF"/>
              <w:right w:val="single" w:sz="8" w:space="0" w:color="FFFFFF"/>
            </w:tcBorders>
            <w:shd w:val="clear" w:color="auto" w:fill="877850"/>
            <w:vAlign w:val="center"/>
          </w:tcPr>
          <w:p w:rsidR="00FE5F88" w:rsidRPr="00B76559" w:rsidRDefault="00FE5F88" w:rsidP="000E1911">
            <w:pPr>
              <w:pStyle w:val="Tabela-vsebina-bold-center"/>
              <w:spacing w:line="160" w:lineRule="exact"/>
              <w:rPr>
                <w:rFonts w:cs="Calibri"/>
                <w:color w:val="FFFFFF"/>
                <w:sz w:val="18"/>
                <w:szCs w:val="18"/>
              </w:rPr>
            </w:pPr>
            <w:r w:rsidRPr="00B76559">
              <w:rPr>
                <w:rFonts w:cs="Calibri"/>
                <w:color w:val="FFFFFF"/>
                <w:sz w:val="18"/>
                <w:szCs w:val="18"/>
              </w:rPr>
              <w:t>Zavrženja po poravnavanju ali odloženem pregonu</w:t>
            </w:r>
          </w:p>
        </w:tc>
        <w:tc>
          <w:tcPr>
            <w:tcW w:w="276" w:type="pct"/>
            <w:tcBorders>
              <w:left w:val="single" w:sz="8" w:space="0" w:color="FFFFFF"/>
              <w:right w:val="single" w:sz="8" w:space="0" w:color="FFFFFF"/>
            </w:tcBorders>
            <w:shd w:val="clear" w:color="auto" w:fill="877850"/>
            <w:textDirection w:val="tbRl"/>
            <w:vAlign w:val="center"/>
          </w:tcPr>
          <w:p w:rsidR="00FE5F88" w:rsidRPr="00B76559" w:rsidRDefault="00FE5F88" w:rsidP="000E1911">
            <w:pPr>
              <w:pStyle w:val="Tabela-vsebina-bold-center"/>
              <w:spacing w:line="160" w:lineRule="exact"/>
              <w:rPr>
                <w:rFonts w:cs="Calibri"/>
                <w:color w:val="FFFFFF"/>
                <w:sz w:val="18"/>
                <w:szCs w:val="18"/>
              </w:rPr>
            </w:pPr>
            <w:r w:rsidRPr="00B76559">
              <w:rPr>
                <w:rFonts w:cs="Calibri"/>
                <w:color w:val="FFFFFF"/>
                <w:sz w:val="18"/>
                <w:szCs w:val="18"/>
              </w:rPr>
              <w:t>Odstotek od zavrženih</w:t>
            </w:r>
          </w:p>
        </w:tc>
        <w:tc>
          <w:tcPr>
            <w:tcW w:w="686" w:type="pct"/>
            <w:tcBorders>
              <w:left w:val="single" w:sz="8" w:space="0" w:color="FFFFFF"/>
              <w:right w:val="single" w:sz="8" w:space="0" w:color="FFFFFF"/>
            </w:tcBorders>
            <w:shd w:val="clear" w:color="auto" w:fill="877850"/>
            <w:vAlign w:val="center"/>
          </w:tcPr>
          <w:p w:rsidR="00FE5F88" w:rsidRPr="00B76559" w:rsidRDefault="00FE5F88" w:rsidP="000E1911">
            <w:pPr>
              <w:pStyle w:val="Tabela-vsebina-bold-center"/>
              <w:spacing w:line="160" w:lineRule="exact"/>
              <w:rPr>
                <w:rFonts w:cs="Calibri"/>
                <w:color w:val="FFFFFF"/>
                <w:sz w:val="18"/>
                <w:szCs w:val="18"/>
              </w:rPr>
            </w:pPr>
            <w:r w:rsidRPr="00B76559">
              <w:rPr>
                <w:rFonts w:cs="Calibri"/>
                <w:color w:val="FFFFFF"/>
                <w:sz w:val="18"/>
                <w:szCs w:val="18"/>
              </w:rPr>
              <w:t>Zavrženja zaradi majhnega pomena in načela sorazmernosti</w:t>
            </w:r>
          </w:p>
        </w:tc>
        <w:tc>
          <w:tcPr>
            <w:tcW w:w="256" w:type="pct"/>
            <w:tcBorders>
              <w:left w:val="single" w:sz="8" w:space="0" w:color="FFFFFF"/>
              <w:right w:val="single" w:sz="8" w:space="0" w:color="FFFFFF"/>
            </w:tcBorders>
            <w:shd w:val="clear" w:color="auto" w:fill="877850"/>
            <w:textDirection w:val="tbRl"/>
            <w:vAlign w:val="center"/>
          </w:tcPr>
          <w:p w:rsidR="00FE5F88" w:rsidRPr="00B76559" w:rsidRDefault="00FE5F88" w:rsidP="000E1911">
            <w:pPr>
              <w:pStyle w:val="Tabela-vsebina-bold-center"/>
              <w:spacing w:line="160" w:lineRule="exact"/>
              <w:rPr>
                <w:rFonts w:cs="Calibri"/>
                <w:color w:val="FFFFFF"/>
                <w:sz w:val="18"/>
                <w:szCs w:val="18"/>
              </w:rPr>
            </w:pPr>
            <w:r w:rsidRPr="00B76559">
              <w:rPr>
                <w:rFonts w:cs="Calibri"/>
                <w:color w:val="FFFFFF"/>
                <w:sz w:val="18"/>
                <w:szCs w:val="18"/>
              </w:rPr>
              <w:t>Odstotek od zavrženih</w:t>
            </w:r>
          </w:p>
        </w:tc>
        <w:tc>
          <w:tcPr>
            <w:tcW w:w="641" w:type="pct"/>
            <w:tcBorders>
              <w:left w:val="single" w:sz="8" w:space="0" w:color="FFFFFF"/>
              <w:right w:val="single" w:sz="8" w:space="0" w:color="FFFFFF"/>
            </w:tcBorders>
            <w:shd w:val="clear" w:color="auto" w:fill="877850"/>
            <w:vAlign w:val="center"/>
          </w:tcPr>
          <w:p w:rsidR="00FE5F88" w:rsidRPr="00B76559" w:rsidRDefault="00FE5F88" w:rsidP="000E1911">
            <w:pPr>
              <w:pStyle w:val="Tabela-vsebina-bold-center"/>
              <w:spacing w:line="160" w:lineRule="exact"/>
              <w:rPr>
                <w:rFonts w:cs="Calibri"/>
                <w:color w:val="FFFFFF"/>
                <w:sz w:val="18"/>
                <w:szCs w:val="18"/>
              </w:rPr>
            </w:pPr>
            <w:r w:rsidRPr="00B76559">
              <w:rPr>
                <w:rFonts w:cs="Calibri"/>
                <w:color w:val="FFFFFF"/>
                <w:sz w:val="18"/>
                <w:szCs w:val="18"/>
              </w:rPr>
              <w:t>Zavrženja zaradi umika predloga oškodovanca</w:t>
            </w:r>
          </w:p>
        </w:tc>
        <w:tc>
          <w:tcPr>
            <w:tcW w:w="321" w:type="pct"/>
            <w:tcBorders>
              <w:left w:val="single" w:sz="8" w:space="0" w:color="FFFFFF"/>
              <w:right w:val="single" w:sz="8" w:space="0" w:color="FFFFFF"/>
            </w:tcBorders>
            <w:shd w:val="clear" w:color="auto" w:fill="877850"/>
            <w:textDirection w:val="tbRl"/>
            <w:vAlign w:val="center"/>
          </w:tcPr>
          <w:p w:rsidR="00FE5F88" w:rsidRPr="00B76559" w:rsidRDefault="00FE5F88" w:rsidP="000E1911">
            <w:pPr>
              <w:pStyle w:val="Tabela-vsebina-bold-center"/>
              <w:spacing w:line="160" w:lineRule="exact"/>
              <w:rPr>
                <w:rFonts w:cs="Calibri"/>
                <w:color w:val="FFFFFF"/>
                <w:sz w:val="18"/>
                <w:szCs w:val="18"/>
              </w:rPr>
            </w:pPr>
            <w:r w:rsidRPr="00B76559">
              <w:rPr>
                <w:rFonts w:cs="Calibri"/>
                <w:color w:val="FFFFFF"/>
                <w:sz w:val="18"/>
                <w:szCs w:val="18"/>
              </w:rPr>
              <w:t>Odstotek od zavrženih</w:t>
            </w:r>
          </w:p>
        </w:tc>
        <w:tc>
          <w:tcPr>
            <w:tcW w:w="359" w:type="pct"/>
            <w:tcBorders>
              <w:left w:val="single" w:sz="8" w:space="0" w:color="FFFFFF"/>
              <w:right w:val="single" w:sz="8" w:space="0" w:color="FFFFFF"/>
            </w:tcBorders>
            <w:shd w:val="clear" w:color="auto" w:fill="877850"/>
            <w:textDirection w:val="tbRl"/>
            <w:vAlign w:val="center"/>
          </w:tcPr>
          <w:p w:rsidR="00FE5F88" w:rsidRPr="00B76559" w:rsidRDefault="00FE5F88" w:rsidP="000E1911">
            <w:pPr>
              <w:pStyle w:val="Tabela-vsebina-bold-center"/>
              <w:spacing w:line="160" w:lineRule="exact"/>
              <w:rPr>
                <w:rFonts w:cs="Calibri"/>
                <w:color w:val="FFFFFF"/>
                <w:sz w:val="18"/>
                <w:szCs w:val="18"/>
              </w:rPr>
            </w:pPr>
            <w:r w:rsidRPr="00B76559">
              <w:rPr>
                <w:rFonts w:cs="Calibri"/>
                <w:color w:val="FFFFFF"/>
                <w:sz w:val="18"/>
                <w:szCs w:val="18"/>
              </w:rPr>
              <w:t>Zavrženo zaradi zastaranja</w:t>
            </w:r>
          </w:p>
        </w:tc>
        <w:tc>
          <w:tcPr>
            <w:tcW w:w="282" w:type="pct"/>
            <w:tcBorders>
              <w:left w:val="single" w:sz="8" w:space="0" w:color="FFFFFF"/>
              <w:right w:val="single" w:sz="8" w:space="0" w:color="FFFFFF"/>
            </w:tcBorders>
            <w:shd w:val="clear" w:color="auto" w:fill="877850"/>
            <w:textDirection w:val="tbRl"/>
            <w:vAlign w:val="center"/>
          </w:tcPr>
          <w:p w:rsidR="00FE5F88" w:rsidRPr="00B76559" w:rsidRDefault="00FE5F88" w:rsidP="000E1911">
            <w:pPr>
              <w:pStyle w:val="Tabela-vsebina-bold-center"/>
              <w:spacing w:line="160" w:lineRule="exact"/>
              <w:rPr>
                <w:rFonts w:cs="Calibri"/>
                <w:color w:val="FFFFFF"/>
                <w:sz w:val="18"/>
                <w:szCs w:val="18"/>
              </w:rPr>
            </w:pPr>
            <w:r w:rsidRPr="00B76559">
              <w:rPr>
                <w:rFonts w:cs="Calibri"/>
                <w:color w:val="FFFFFF"/>
                <w:sz w:val="18"/>
                <w:szCs w:val="18"/>
              </w:rPr>
              <w:t>Odstotek od zavrženih</w:t>
            </w:r>
          </w:p>
        </w:tc>
        <w:tc>
          <w:tcPr>
            <w:tcW w:w="370" w:type="pct"/>
            <w:tcBorders>
              <w:left w:val="single" w:sz="8" w:space="0" w:color="FFFFFF"/>
              <w:right w:val="single" w:sz="8" w:space="0" w:color="FFFFFF"/>
            </w:tcBorders>
            <w:shd w:val="clear" w:color="auto" w:fill="877850"/>
            <w:textDirection w:val="tbRl"/>
            <w:vAlign w:val="center"/>
          </w:tcPr>
          <w:p w:rsidR="00FE5F88" w:rsidRPr="00B76559" w:rsidRDefault="00FE5F88" w:rsidP="000E1911">
            <w:pPr>
              <w:pStyle w:val="Tabela-vsebina-bold-center"/>
              <w:spacing w:line="160" w:lineRule="exact"/>
              <w:rPr>
                <w:rFonts w:cs="Calibri"/>
                <w:color w:val="FFFFFF"/>
                <w:sz w:val="18"/>
                <w:szCs w:val="18"/>
              </w:rPr>
            </w:pPr>
            <w:r w:rsidRPr="00B76559">
              <w:rPr>
                <w:rFonts w:cs="Calibri"/>
                <w:color w:val="FFFFFF"/>
                <w:sz w:val="18"/>
                <w:szCs w:val="18"/>
              </w:rPr>
              <w:t>Zavrženo iz drugih razlogov</w:t>
            </w:r>
          </w:p>
        </w:tc>
        <w:tc>
          <w:tcPr>
            <w:tcW w:w="270" w:type="pct"/>
            <w:tcBorders>
              <w:left w:val="single" w:sz="8" w:space="0" w:color="FFFFFF"/>
            </w:tcBorders>
            <w:shd w:val="clear" w:color="auto" w:fill="877850"/>
            <w:textDirection w:val="tbRl"/>
            <w:vAlign w:val="center"/>
          </w:tcPr>
          <w:p w:rsidR="00FE5F88" w:rsidRPr="00B76559" w:rsidRDefault="00FE5F88" w:rsidP="000E1911">
            <w:pPr>
              <w:pStyle w:val="Tabela-vsebina-bold-center"/>
              <w:spacing w:line="160" w:lineRule="exact"/>
              <w:rPr>
                <w:rFonts w:cs="Calibri"/>
                <w:color w:val="FFFFFF"/>
                <w:sz w:val="18"/>
                <w:szCs w:val="18"/>
              </w:rPr>
            </w:pPr>
            <w:r w:rsidRPr="00B76559">
              <w:rPr>
                <w:rFonts w:cs="Calibri"/>
                <w:color w:val="FFFFFF"/>
                <w:sz w:val="18"/>
                <w:szCs w:val="18"/>
              </w:rPr>
              <w:t>Odstotek od zavrženih</w:t>
            </w:r>
          </w:p>
        </w:tc>
      </w:tr>
      <w:tr w:rsidR="00FE5F88" w:rsidRPr="00B76559" w:rsidTr="000E1911">
        <w:trPr>
          <w:cantSplit/>
        </w:trPr>
        <w:tc>
          <w:tcPr>
            <w:tcW w:w="449" w:type="pct"/>
            <w:tcBorders>
              <w:bottom w:val="single" w:sz="4" w:space="0" w:color="877850"/>
            </w:tcBorders>
            <w:shd w:val="clear" w:color="auto" w:fill="auto"/>
            <w:vAlign w:val="center"/>
          </w:tcPr>
          <w:p w:rsidR="00FE5F88" w:rsidRPr="00B76559" w:rsidRDefault="00FE5F88" w:rsidP="000E1911">
            <w:pPr>
              <w:pStyle w:val="Tabela-vsebina-bold-left"/>
              <w:rPr>
                <w:rFonts w:cs="Calibri"/>
                <w:sz w:val="18"/>
                <w:szCs w:val="18"/>
              </w:rPr>
            </w:pPr>
            <w:r w:rsidRPr="00B76559">
              <w:rPr>
                <w:rFonts w:cs="Calibri"/>
                <w:sz w:val="18"/>
                <w:szCs w:val="18"/>
              </w:rPr>
              <w:t>ODT CE</w:t>
            </w:r>
          </w:p>
        </w:tc>
        <w:tc>
          <w:tcPr>
            <w:tcW w:w="449" w:type="pct"/>
            <w:tcBorders>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2.215</w:t>
            </w:r>
          </w:p>
        </w:tc>
        <w:tc>
          <w:tcPr>
            <w:tcW w:w="641" w:type="pct"/>
            <w:tcBorders>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249</w:t>
            </w:r>
          </w:p>
        </w:tc>
        <w:tc>
          <w:tcPr>
            <w:tcW w:w="276" w:type="pct"/>
            <w:tcBorders>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11</w:t>
            </w:r>
          </w:p>
        </w:tc>
        <w:tc>
          <w:tcPr>
            <w:tcW w:w="686" w:type="pct"/>
            <w:tcBorders>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235</w:t>
            </w:r>
          </w:p>
        </w:tc>
        <w:tc>
          <w:tcPr>
            <w:tcW w:w="256" w:type="pct"/>
            <w:tcBorders>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11</w:t>
            </w:r>
          </w:p>
        </w:tc>
        <w:tc>
          <w:tcPr>
            <w:tcW w:w="641" w:type="pct"/>
            <w:tcBorders>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502</w:t>
            </w:r>
          </w:p>
        </w:tc>
        <w:tc>
          <w:tcPr>
            <w:tcW w:w="321" w:type="pct"/>
            <w:tcBorders>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23</w:t>
            </w:r>
          </w:p>
        </w:tc>
        <w:tc>
          <w:tcPr>
            <w:tcW w:w="359" w:type="pct"/>
            <w:tcBorders>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11</w:t>
            </w:r>
          </w:p>
        </w:tc>
        <w:tc>
          <w:tcPr>
            <w:tcW w:w="282" w:type="pct"/>
            <w:tcBorders>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0</w:t>
            </w:r>
          </w:p>
        </w:tc>
        <w:tc>
          <w:tcPr>
            <w:tcW w:w="370" w:type="pct"/>
            <w:tcBorders>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1.218</w:t>
            </w:r>
          </w:p>
        </w:tc>
        <w:tc>
          <w:tcPr>
            <w:tcW w:w="270" w:type="pct"/>
            <w:tcBorders>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55</w:t>
            </w:r>
          </w:p>
        </w:tc>
      </w:tr>
      <w:tr w:rsidR="00FE5F88" w:rsidRPr="00B76559" w:rsidTr="000E1911">
        <w:trPr>
          <w:cantSplit/>
        </w:trPr>
        <w:tc>
          <w:tcPr>
            <w:tcW w:w="449"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bold-left"/>
              <w:rPr>
                <w:rFonts w:cs="Calibri"/>
                <w:sz w:val="18"/>
                <w:szCs w:val="18"/>
              </w:rPr>
            </w:pPr>
            <w:r w:rsidRPr="00B76559">
              <w:rPr>
                <w:rFonts w:cs="Calibri"/>
                <w:sz w:val="18"/>
                <w:szCs w:val="18"/>
              </w:rPr>
              <w:t>ODT KK</w:t>
            </w:r>
          </w:p>
        </w:tc>
        <w:tc>
          <w:tcPr>
            <w:tcW w:w="449"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536</w:t>
            </w:r>
          </w:p>
        </w:tc>
        <w:tc>
          <w:tcPr>
            <w:tcW w:w="641"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116</w:t>
            </w:r>
          </w:p>
        </w:tc>
        <w:tc>
          <w:tcPr>
            <w:tcW w:w="276"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22</w:t>
            </w:r>
          </w:p>
        </w:tc>
        <w:tc>
          <w:tcPr>
            <w:tcW w:w="686"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44</w:t>
            </w:r>
          </w:p>
        </w:tc>
        <w:tc>
          <w:tcPr>
            <w:tcW w:w="256"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8</w:t>
            </w:r>
          </w:p>
        </w:tc>
        <w:tc>
          <w:tcPr>
            <w:tcW w:w="641"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44</w:t>
            </w:r>
          </w:p>
        </w:tc>
        <w:tc>
          <w:tcPr>
            <w:tcW w:w="321"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8</w:t>
            </w:r>
          </w:p>
        </w:tc>
        <w:tc>
          <w:tcPr>
            <w:tcW w:w="359"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5</w:t>
            </w:r>
          </w:p>
        </w:tc>
        <w:tc>
          <w:tcPr>
            <w:tcW w:w="282"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1</w:t>
            </w:r>
          </w:p>
        </w:tc>
        <w:tc>
          <w:tcPr>
            <w:tcW w:w="370"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327</w:t>
            </w:r>
          </w:p>
        </w:tc>
        <w:tc>
          <w:tcPr>
            <w:tcW w:w="270"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61</w:t>
            </w:r>
          </w:p>
        </w:tc>
      </w:tr>
      <w:tr w:rsidR="00FE5F88" w:rsidRPr="00B76559" w:rsidTr="000E1911">
        <w:trPr>
          <w:cantSplit/>
        </w:trPr>
        <w:tc>
          <w:tcPr>
            <w:tcW w:w="449"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bold-left"/>
              <w:rPr>
                <w:rFonts w:cs="Calibri"/>
                <w:sz w:val="18"/>
                <w:szCs w:val="18"/>
              </w:rPr>
            </w:pPr>
            <w:r w:rsidRPr="00B76559">
              <w:rPr>
                <w:rFonts w:cs="Calibri"/>
                <w:sz w:val="18"/>
                <w:szCs w:val="18"/>
              </w:rPr>
              <w:t>ODT KP</w:t>
            </w:r>
          </w:p>
        </w:tc>
        <w:tc>
          <w:tcPr>
            <w:tcW w:w="449"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1.300</w:t>
            </w:r>
          </w:p>
        </w:tc>
        <w:tc>
          <w:tcPr>
            <w:tcW w:w="641"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80</w:t>
            </w:r>
          </w:p>
        </w:tc>
        <w:tc>
          <w:tcPr>
            <w:tcW w:w="276"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6</w:t>
            </w:r>
          </w:p>
        </w:tc>
        <w:tc>
          <w:tcPr>
            <w:tcW w:w="686"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168</w:t>
            </w:r>
          </w:p>
        </w:tc>
        <w:tc>
          <w:tcPr>
            <w:tcW w:w="256"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13</w:t>
            </w:r>
          </w:p>
        </w:tc>
        <w:tc>
          <w:tcPr>
            <w:tcW w:w="641"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81</w:t>
            </w:r>
          </w:p>
        </w:tc>
        <w:tc>
          <w:tcPr>
            <w:tcW w:w="321"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6</w:t>
            </w:r>
          </w:p>
        </w:tc>
        <w:tc>
          <w:tcPr>
            <w:tcW w:w="359"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5</w:t>
            </w:r>
          </w:p>
        </w:tc>
        <w:tc>
          <w:tcPr>
            <w:tcW w:w="282"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0</w:t>
            </w:r>
          </w:p>
        </w:tc>
        <w:tc>
          <w:tcPr>
            <w:tcW w:w="370"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966</w:t>
            </w:r>
          </w:p>
        </w:tc>
        <w:tc>
          <w:tcPr>
            <w:tcW w:w="270"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74</w:t>
            </w:r>
          </w:p>
        </w:tc>
      </w:tr>
      <w:tr w:rsidR="00FE5F88" w:rsidRPr="00B76559" w:rsidTr="000E1911">
        <w:trPr>
          <w:cantSplit/>
        </w:trPr>
        <w:tc>
          <w:tcPr>
            <w:tcW w:w="449"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bold-left"/>
              <w:rPr>
                <w:rFonts w:cs="Calibri"/>
                <w:sz w:val="18"/>
                <w:szCs w:val="18"/>
              </w:rPr>
            </w:pPr>
            <w:r w:rsidRPr="00B76559">
              <w:rPr>
                <w:rFonts w:cs="Calibri"/>
                <w:sz w:val="18"/>
                <w:szCs w:val="18"/>
              </w:rPr>
              <w:t>ODT KR</w:t>
            </w:r>
          </w:p>
        </w:tc>
        <w:tc>
          <w:tcPr>
            <w:tcW w:w="449"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1.000</w:t>
            </w:r>
          </w:p>
        </w:tc>
        <w:tc>
          <w:tcPr>
            <w:tcW w:w="641"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120</w:t>
            </w:r>
          </w:p>
        </w:tc>
        <w:tc>
          <w:tcPr>
            <w:tcW w:w="276"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12</w:t>
            </w:r>
          </w:p>
        </w:tc>
        <w:tc>
          <w:tcPr>
            <w:tcW w:w="686"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143</w:t>
            </w:r>
          </w:p>
        </w:tc>
        <w:tc>
          <w:tcPr>
            <w:tcW w:w="256"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14</w:t>
            </w:r>
          </w:p>
        </w:tc>
        <w:tc>
          <w:tcPr>
            <w:tcW w:w="641"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122</w:t>
            </w:r>
          </w:p>
        </w:tc>
        <w:tc>
          <w:tcPr>
            <w:tcW w:w="321"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12</w:t>
            </w:r>
          </w:p>
        </w:tc>
        <w:tc>
          <w:tcPr>
            <w:tcW w:w="359"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2</w:t>
            </w:r>
          </w:p>
        </w:tc>
        <w:tc>
          <w:tcPr>
            <w:tcW w:w="282"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0</w:t>
            </w:r>
          </w:p>
        </w:tc>
        <w:tc>
          <w:tcPr>
            <w:tcW w:w="370"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613</w:t>
            </w:r>
          </w:p>
        </w:tc>
        <w:tc>
          <w:tcPr>
            <w:tcW w:w="270"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61</w:t>
            </w:r>
          </w:p>
        </w:tc>
      </w:tr>
      <w:tr w:rsidR="00FE5F88" w:rsidRPr="00B76559" w:rsidTr="000E1911">
        <w:trPr>
          <w:cantSplit/>
        </w:trPr>
        <w:tc>
          <w:tcPr>
            <w:tcW w:w="449"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bold-left"/>
              <w:rPr>
                <w:rFonts w:cs="Calibri"/>
                <w:sz w:val="18"/>
                <w:szCs w:val="18"/>
              </w:rPr>
            </w:pPr>
            <w:r w:rsidRPr="00B76559">
              <w:rPr>
                <w:rFonts w:cs="Calibri"/>
                <w:sz w:val="18"/>
                <w:szCs w:val="18"/>
              </w:rPr>
              <w:t>ODT LJ</w:t>
            </w:r>
          </w:p>
        </w:tc>
        <w:tc>
          <w:tcPr>
            <w:tcW w:w="449"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5.383</w:t>
            </w:r>
          </w:p>
        </w:tc>
        <w:tc>
          <w:tcPr>
            <w:tcW w:w="641"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385</w:t>
            </w:r>
          </w:p>
        </w:tc>
        <w:tc>
          <w:tcPr>
            <w:tcW w:w="276"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7</w:t>
            </w:r>
          </w:p>
        </w:tc>
        <w:tc>
          <w:tcPr>
            <w:tcW w:w="686"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1.232</w:t>
            </w:r>
          </w:p>
        </w:tc>
        <w:tc>
          <w:tcPr>
            <w:tcW w:w="256"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23</w:t>
            </w:r>
          </w:p>
        </w:tc>
        <w:tc>
          <w:tcPr>
            <w:tcW w:w="641"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602</w:t>
            </w:r>
          </w:p>
        </w:tc>
        <w:tc>
          <w:tcPr>
            <w:tcW w:w="321"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11</w:t>
            </w:r>
          </w:p>
        </w:tc>
        <w:tc>
          <w:tcPr>
            <w:tcW w:w="359"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24</w:t>
            </w:r>
          </w:p>
        </w:tc>
        <w:tc>
          <w:tcPr>
            <w:tcW w:w="282"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0</w:t>
            </w:r>
          </w:p>
        </w:tc>
        <w:tc>
          <w:tcPr>
            <w:tcW w:w="370"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3.140</w:t>
            </w:r>
          </w:p>
        </w:tc>
        <w:tc>
          <w:tcPr>
            <w:tcW w:w="270"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58</w:t>
            </w:r>
          </w:p>
        </w:tc>
      </w:tr>
      <w:tr w:rsidR="00FE5F88" w:rsidRPr="00B76559" w:rsidTr="000E1911">
        <w:trPr>
          <w:cantSplit/>
        </w:trPr>
        <w:tc>
          <w:tcPr>
            <w:tcW w:w="449"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bold-left"/>
              <w:rPr>
                <w:rFonts w:cs="Calibri"/>
                <w:sz w:val="18"/>
                <w:szCs w:val="18"/>
              </w:rPr>
            </w:pPr>
            <w:r w:rsidRPr="00B76559">
              <w:rPr>
                <w:rFonts w:cs="Calibri"/>
                <w:sz w:val="18"/>
                <w:szCs w:val="18"/>
              </w:rPr>
              <w:t>ODT MB</w:t>
            </w:r>
          </w:p>
        </w:tc>
        <w:tc>
          <w:tcPr>
            <w:tcW w:w="449"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2.226</w:t>
            </w:r>
          </w:p>
        </w:tc>
        <w:tc>
          <w:tcPr>
            <w:tcW w:w="641"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183</w:t>
            </w:r>
          </w:p>
        </w:tc>
        <w:tc>
          <w:tcPr>
            <w:tcW w:w="276"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8</w:t>
            </w:r>
          </w:p>
        </w:tc>
        <w:tc>
          <w:tcPr>
            <w:tcW w:w="686"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299</w:t>
            </w:r>
          </w:p>
        </w:tc>
        <w:tc>
          <w:tcPr>
            <w:tcW w:w="256"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13</w:t>
            </w:r>
          </w:p>
        </w:tc>
        <w:tc>
          <w:tcPr>
            <w:tcW w:w="641"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476</w:t>
            </w:r>
          </w:p>
        </w:tc>
        <w:tc>
          <w:tcPr>
            <w:tcW w:w="321"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21</w:t>
            </w:r>
          </w:p>
        </w:tc>
        <w:tc>
          <w:tcPr>
            <w:tcW w:w="359"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8</w:t>
            </w:r>
          </w:p>
        </w:tc>
        <w:tc>
          <w:tcPr>
            <w:tcW w:w="282"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0</w:t>
            </w:r>
          </w:p>
        </w:tc>
        <w:tc>
          <w:tcPr>
            <w:tcW w:w="370"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1.260</w:t>
            </w:r>
          </w:p>
        </w:tc>
        <w:tc>
          <w:tcPr>
            <w:tcW w:w="270"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57</w:t>
            </w:r>
          </w:p>
        </w:tc>
      </w:tr>
      <w:tr w:rsidR="00FE5F88" w:rsidRPr="00B76559" w:rsidTr="000E1911">
        <w:trPr>
          <w:cantSplit/>
        </w:trPr>
        <w:tc>
          <w:tcPr>
            <w:tcW w:w="449"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bold-left"/>
              <w:rPr>
                <w:rFonts w:cs="Calibri"/>
                <w:sz w:val="18"/>
                <w:szCs w:val="18"/>
              </w:rPr>
            </w:pPr>
            <w:r w:rsidRPr="00B76559">
              <w:rPr>
                <w:rFonts w:cs="Calibri"/>
                <w:sz w:val="18"/>
                <w:szCs w:val="18"/>
              </w:rPr>
              <w:t>ODT MS</w:t>
            </w:r>
          </w:p>
        </w:tc>
        <w:tc>
          <w:tcPr>
            <w:tcW w:w="449"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705</w:t>
            </w:r>
          </w:p>
        </w:tc>
        <w:tc>
          <w:tcPr>
            <w:tcW w:w="641"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122</w:t>
            </w:r>
          </w:p>
        </w:tc>
        <w:tc>
          <w:tcPr>
            <w:tcW w:w="276"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17</w:t>
            </w:r>
          </w:p>
        </w:tc>
        <w:tc>
          <w:tcPr>
            <w:tcW w:w="686"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96</w:t>
            </w:r>
          </w:p>
        </w:tc>
        <w:tc>
          <w:tcPr>
            <w:tcW w:w="256"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14</w:t>
            </w:r>
          </w:p>
        </w:tc>
        <w:tc>
          <w:tcPr>
            <w:tcW w:w="641"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187</w:t>
            </w:r>
          </w:p>
        </w:tc>
        <w:tc>
          <w:tcPr>
            <w:tcW w:w="321"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27</w:t>
            </w:r>
          </w:p>
        </w:tc>
        <w:tc>
          <w:tcPr>
            <w:tcW w:w="359"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3</w:t>
            </w:r>
          </w:p>
        </w:tc>
        <w:tc>
          <w:tcPr>
            <w:tcW w:w="282"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0</w:t>
            </w:r>
          </w:p>
        </w:tc>
        <w:tc>
          <w:tcPr>
            <w:tcW w:w="370"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297</w:t>
            </w:r>
          </w:p>
        </w:tc>
        <w:tc>
          <w:tcPr>
            <w:tcW w:w="270"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42</w:t>
            </w:r>
          </w:p>
        </w:tc>
      </w:tr>
      <w:tr w:rsidR="00FE5F88" w:rsidRPr="00B76559" w:rsidTr="000E1911">
        <w:trPr>
          <w:cantSplit/>
        </w:trPr>
        <w:tc>
          <w:tcPr>
            <w:tcW w:w="449"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bold-left"/>
              <w:rPr>
                <w:rFonts w:cs="Calibri"/>
                <w:sz w:val="18"/>
                <w:szCs w:val="18"/>
              </w:rPr>
            </w:pPr>
            <w:r w:rsidRPr="00B76559">
              <w:rPr>
                <w:rFonts w:cs="Calibri"/>
                <w:sz w:val="18"/>
                <w:szCs w:val="18"/>
              </w:rPr>
              <w:t>ODT NG</w:t>
            </w:r>
          </w:p>
        </w:tc>
        <w:tc>
          <w:tcPr>
            <w:tcW w:w="449"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668</w:t>
            </w:r>
          </w:p>
        </w:tc>
        <w:tc>
          <w:tcPr>
            <w:tcW w:w="641"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48</w:t>
            </w:r>
          </w:p>
        </w:tc>
        <w:tc>
          <w:tcPr>
            <w:tcW w:w="276"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7</w:t>
            </w:r>
          </w:p>
        </w:tc>
        <w:tc>
          <w:tcPr>
            <w:tcW w:w="686"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109</w:t>
            </w:r>
          </w:p>
        </w:tc>
        <w:tc>
          <w:tcPr>
            <w:tcW w:w="256"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16</w:t>
            </w:r>
          </w:p>
        </w:tc>
        <w:tc>
          <w:tcPr>
            <w:tcW w:w="641"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134</w:t>
            </w:r>
          </w:p>
        </w:tc>
        <w:tc>
          <w:tcPr>
            <w:tcW w:w="321"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20</w:t>
            </w:r>
          </w:p>
        </w:tc>
        <w:tc>
          <w:tcPr>
            <w:tcW w:w="359"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5</w:t>
            </w:r>
          </w:p>
        </w:tc>
        <w:tc>
          <w:tcPr>
            <w:tcW w:w="282"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1</w:t>
            </w:r>
          </w:p>
        </w:tc>
        <w:tc>
          <w:tcPr>
            <w:tcW w:w="370"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372</w:t>
            </w:r>
          </w:p>
        </w:tc>
        <w:tc>
          <w:tcPr>
            <w:tcW w:w="270"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56</w:t>
            </w:r>
          </w:p>
        </w:tc>
      </w:tr>
      <w:tr w:rsidR="00FE5F88" w:rsidRPr="00B76559" w:rsidTr="000E1911">
        <w:trPr>
          <w:cantSplit/>
        </w:trPr>
        <w:tc>
          <w:tcPr>
            <w:tcW w:w="449"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bold-left"/>
              <w:rPr>
                <w:rFonts w:cs="Calibri"/>
                <w:sz w:val="18"/>
                <w:szCs w:val="18"/>
              </w:rPr>
            </w:pPr>
            <w:r w:rsidRPr="00B76559">
              <w:rPr>
                <w:rFonts w:cs="Calibri"/>
                <w:sz w:val="18"/>
                <w:szCs w:val="18"/>
              </w:rPr>
              <w:t>ODT NM</w:t>
            </w:r>
          </w:p>
        </w:tc>
        <w:tc>
          <w:tcPr>
            <w:tcW w:w="449"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915</w:t>
            </w:r>
          </w:p>
        </w:tc>
        <w:tc>
          <w:tcPr>
            <w:tcW w:w="641"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40</w:t>
            </w:r>
          </w:p>
        </w:tc>
        <w:tc>
          <w:tcPr>
            <w:tcW w:w="276"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4</w:t>
            </w:r>
          </w:p>
        </w:tc>
        <w:tc>
          <w:tcPr>
            <w:tcW w:w="686"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141</w:t>
            </w:r>
          </w:p>
        </w:tc>
        <w:tc>
          <w:tcPr>
            <w:tcW w:w="256"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15</w:t>
            </w:r>
          </w:p>
        </w:tc>
        <w:tc>
          <w:tcPr>
            <w:tcW w:w="641"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56</w:t>
            </w:r>
          </w:p>
        </w:tc>
        <w:tc>
          <w:tcPr>
            <w:tcW w:w="321"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6</w:t>
            </w:r>
          </w:p>
        </w:tc>
        <w:tc>
          <w:tcPr>
            <w:tcW w:w="359"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1</w:t>
            </w:r>
          </w:p>
        </w:tc>
        <w:tc>
          <w:tcPr>
            <w:tcW w:w="282"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0</w:t>
            </w:r>
          </w:p>
        </w:tc>
        <w:tc>
          <w:tcPr>
            <w:tcW w:w="370"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677</w:t>
            </w:r>
          </w:p>
        </w:tc>
        <w:tc>
          <w:tcPr>
            <w:tcW w:w="270"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74</w:t>
            </w:r>
          </w:p>
        </w:tc>
      </w:tr>
      <w:tr w:rsidR="00FE5F88" w:rsidRPr="00B76559" w:rsidTr="000E1911">
        <w:trPr>
          <w:cantSplit/>
        </w:trPr>
        <w:tc>
          <w:tcPr>
            <w:tcW w:w="449"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bold-left"/>
              <w:rPr>
                <w:rFonts w:cs="Calibri"/>
                <w:sz w:val="18"/>
                <w:szCs w:val="18"/>
              </w:rPr>
            </w:pPr>
            <w:r w:rsidRPr="00B76559">
              <w:rPr>
                <w:rFonts w:cs="Calibri"/>
                <w:sz w:val="18"/>
                <w:szCs w:val="18"/>
              </w:rPr>
              <w:t>ODT PT</w:t>
            </w:r>
          </w:p>
        </w:tc>
        <w:tc>
          <w:tcPr>
            <w:tcW w:w="449"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596</w:t>
            </w:r>
          </w:p>
        </w:tc>
        <w:tc>
          <w:tcPr>
            <w:tcW w:w="641"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65</w:t>
            </w:r>
          </w:p>
        </w:tc>
        <w:tc>
          <w:tcPr>
            <w:tcW w:w="276"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11</w:t>
            </w:r>
          </w:p>
        </w:tc>
        <w:tc>
          <w:tcPr>
            <w:tcW w:w="686"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69</w:t>
            </w:r>
          </w:p>
        </w:tc>
        <w:tc>
          <w:tcPr>
            <w:tcW w:w="256"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12</w:t>
            </w:r>
          </w:p>
        </w:tc>
        <w:tc>
          <w:tcPr>
            <w:tcW w:w="641"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112</w:t>
            </w:r>
          </w:p>
        </w:tc>
        <w:tc>
          <w:tcPr>
            <w:tcW w:w="321"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19</w:t>
            </w:r>
          </w:p>
        </w:tc>
        <w:tc>
          <w:tcPr>
            <w:tcW w:w="359"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1</w:t>
            </w:r>
          </w:p>
        </w:tc>
        <w:tc>
          <w:tcPr>
            <w:tcW w:w="282"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0</w:t>
            </w:r>
          </w:p>
        </w:tc>
        <w:tc>
          <w:tcPr>
            <w:tcW w:w="370"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349</w:t>
            </w:r>
          </w:p>
        </w:tc>
        <w:tc>
          <w:tcPr>
            <w:tcW w:w="270"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59</w:t>
            </w:r>
          </w:p>
        </w:tc>
      </w:tr>
      <w:tr w:rsidR="00FE5F88" w:rsidRPr="00B76559" w:rsidTr="000E1911">
        <w:trPr>
          <w:cantSplit/>
        </w:trPr>
        <w:tc>
          <w:tcPr>
            <w:tcW w:w="449"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bold-left"/>
              <w:rPr>
                <w:rFonts w:cs="Calibri"/>
                <w:sz w:val="18"/>
                <w:szCs w:val="18"/>
              </w:rPr>
            </w:pPr>
            <w:r w:rsidRPr="00B76559">
              <w:rPr>
                <w:rFonts w:cs="Calibri"/>
                <w:sz w:val="18"/>
                <w:szCs w:val="18"/>
              </w:rPr>
              <w:t>ODT SG</w:t>
            </w:r>
          </w:p>
        </w:tc>
        <w:tc>
          <w:tcPr>
            <w:tcW w:w="449"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417</w:t>
            </w:r>
          </w:p>
        </w:tc>
        <w:tc>
          <w:tcPr>
            <w:tcW w:w="641"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63</w:t>
            </w:r>
          </w:p>
        </w:tc>
        <w:tc>
          <w:tcPr>
            <w:tcW w:w="276"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15</w:t>
            </w:r>
          </w:p>
        </w:tc>
        <w:tc>
          <w:tcPr>
            <w:tcW w:w="686"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47</w:t>
            </w:r>
          </w:p>
        </w:tc>
        <w:tc>
          <w:tcPr>
            <w:tcW w:w="256"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11</w:t>
            </w:r>
          </w:p>
        </w:tc>
        <w:tc>
          <w:tcPr>
            <w:tcW w:w="641"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33</w:t>
            </w:r>
          </w:p>
        </w:tc>
        <w:tc>
          <w:tcPr>
            <w:tcW w:w="321"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8</w:t>
            </w:r>
          </w:p>
        </w:tc>
        <w:tc>
          <w:tcPr>
            <w:tcW w:w="359"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2</w:t>
            </w:r>
          </w:p>
        </w:tc>
        <w:tc>
          <w:tcPr>
            <w:tcW w:w="282"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0</w:t>
            </w:r>
          </w:p>
        </w:tc>
        <w:tc>
          <w:tcPr>
            <w:tcW w:w="370"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272</w:t>
            </w:r>
          </w:p>
        </w:tc>
        <w:tc>
          <w:tcPr>
            <w:tcW w:w="270"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65</w:t>
            </w:r>
          </w:p>
        </w:tc>
      </w:tr>
      <w:tr w:rsidR="00FE5F88" w:rsidRPr="00B76559" w:rsidTr="000E1911">
        <w:trPr>
          <w:cantSplit/>
        </w:trPr>
        <w:tc>
          <w:tcPr>
            <w:tcW w:w="449"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bold-left"/>
              <w:rPr>
                <w:rFonts w:cs="Calibri"/>
                <w:sz w:val="18"/>
                <w:szCs w:val="18"/>
              </w:rPr>
            </w:pPr>
            <w:r w:rsidRPr="00B76559">
              <w:rPr>
                <w:rFonts w:cs="Calibri"/>
                <w:sz w:val="18"/>
                <w:szCs w:val="18"/>
              </w:rPr>
              <w:t>OPP</w:t>
            </w:r>
          </w:p>
        </w:tc>
        <w:tc>
          <w:tcPr>
            <w:tcW w:w="449"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387</w:t>
            </w:r>
          </w:p>
        </w:tc>
        <w:tc>
          <w:tcPr>
            <w:tcW w:w="641"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5</w:t>
            </w:r>
          </w:p>
        </w:tc>
        <w:tc>
          <w:tcPr>
            <w:tcW w:w="276"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1</w:t>
            </w:r>
          </w:p>
        </w:tc>
        <w:tc>
          <w:tcPr>
            <w:tcW w:w="686"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11</w:t>
            </w:r>
          </w:p>
        </w:tc>
        <w:tc>
          <w:tcPr>
            <w:tcW w:w="256"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3</w:t>
            </w:r>
          </w:p>
        </w:tc>
        <w:tc>
          <w:tcPr>
            <w:tcW w:w="641"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1</w:t>
            </w:r>
          </w:p>
        </w:tc>
        <w:tc>
          <w:tcPr>
            <w:tcW w:w="321"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0</w:t>
            </w:r>
          </w:p>
        </w:tc>
        <w:tc>
          <w:tcPr>
            <w:tcW w:w="359"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0</w:t>
            </w:r>
          </w:p>
        </w:tc>
        <w:tc>
          <w:tcPr>
            <w:tcW w:w="282"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0</w:t>
            </w:r>
          </w:p>
        </w:tc>
        <w:tc>
          <w:tcPr>
            <w:tcW w:w="370"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370</w:t>
            </w:r>
          </w:p>
        </w:tc>
        <w:tc>
          <w:tcPr>
            <w:tcW w:w="270"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96</w:t>
            </w:r>
          </w:p>
        </w:tc>
      </w:tr>
      <w:tr w:rsidR="00FE5F88" w:rsidRPr="00B76559" w:rsidTr="000E1911">
        <w:trPr>
          <w:cantSplit/>
        </w:trPr>
        <w:tc>
          <w:tcPr>
            <w:tcW w:w="449" w:type="pct"/>
            <w:tcBorders>
              <w:top w:val="single" w:sz="4" w:space="0" w:color="877850"/>
              <w:bottom w:val="single" w:sz="4" w:space="0" w:color="877850"/>
            </w:tcBorders>
            <w:shd w:val="clear" w:color="auto" w:fill="auto"/>
            <w:vAlign w:val="center"/>
          </w:tcPr>
          <w:p w:rsidR="00FE5F88" w:rsidRPr="00AD12C4" w:rsidRDefault="00FE5F88" w:rsidP="000E1911">
            <w:pPr>
              <w:pStyle w:val="Tabela-vsebina-bold-left"/>
              <w:rPr>
                <w:rFonts w:cs="Calibri"/>
                <w:sz w:val="18"/>
                <w:szCs w:val="18"/>
              </w:rPr>
            </w:pPr>
            <w:r w:rsidRPr="00B76559">
              <w:rPr>
                <w:rFonts w:cs="Calibri"/>
                <w:sz w:val="18"/>
                <w:szCs w:val="18"/>
              </w:rPr>
              <w:t>SDT</w:t>
            </w:r>
            <w:r>
              <w:rPr>
                <w:rFonts w:cs="Calibri"/>
                <w:sz w:val="18"/>
                <w:szCs w:val="18"/>
              </w:rPr>
              <w:t xml:space="preserve"> RS</w:t>
            </w:r>
          </w:p>
        </w:tc>
        <w:tc>
          <w:tcPr>
            <w:tcW w:w="449"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206</w:t>
            </w:r>
          </w:p>
        </w:tc>
        <w:tc>
          <w:tcPr>
            <w:tcW w:w="641"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0</w:t>
            </w:r>
          </w:p>
        </w:tc>
        <w:tc>
          <w:tcPr>
            <w:tcW w:w="276"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0</w:t>
            </w:r>
          </w:p>
        </w:tc>
        <w:tc>
          <w:tcPr>
            <w:tcW w:w="686"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0</w:t>
            </w:r>
          </w:p>
        </w:tc>
        <w:tc>
          <w:tcPr>
            <w:tcW w:w="256"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0</w:t>
            </w:r>
          </w:p>
        </w:tc>
        <w:tc>
          <w:tcPr>
            <w:tcW w:w="641"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0</w:t>
            </w:r>
          </w:p>
        </w:tc>
        <w:tc>
          <w:tcPr>
            <w:tcW w:w="321"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0</w:t>
            </w:r>
          </w:p>
        </w:tc>
        <w:tc>
          <w:tcPr>
            <w:tcW w:w="359"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1</w:t>
            </w:r>
          </w:p>
        </w:tc>
        <w:tc>
          <w:tcPr>
            <w:tcW w:w="282"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0</w:t>
            </w:r>
          </w:p>
        </w:tc>
        <w:tc>
          <w:tcPr>
            <w:tcW w:w="370"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205</w:t>
            </w:r>
          </w:p>
        </w:tc>
        <w:tc>
          <w:tcPr>
            <w:tcW w:w="270"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100</w:t>
            </w:r>
          </w:p>
        </w:tc>
      </w:tr>
      <w:tr w:rsidR="00FE5F88" w:rsidRPr="00B76559" w:rsidTr="000E1911">
        <w:trPr>
          <w:cantSplit/>
        </w:trPr>
        <w:tc>
          <w:tcPr>
            <w:tcW w:w="449" w:type="pct"/>
            <w:tcBorders>
              <w:top w:val="single" w:sz="4" w:space="0" w:color="877850"/>
              <w:bottom w:val="single" w:sz="4" w:space="0" w:color="877850"/>
            </w:tcBorders>
            <w:shd w:val="clear" w:color="auto" w:fill="auto"/>
            <w:vAlign w:val="center"/>
          </w:tcPr>
          <w:p w:rsidR="00FE5F88" w:rsidRPr="00AD12C4" w:rsidRDefault="00FE5F88" w:rsidP="000E1911">
            <w:pPr>
              <w:pStyle w:val="Tabela-vsebina-bold-left"/>
              <w:rPr>
                <w:rFonts w:cs="Calibri"/>
                <w:sz w:val="18"/>
                <w:szCs w:val="18"/>
              </w:rPr>
            </w:pPr>
            <w:r w:rsidRPr="00B76559">
              <w:rPr>
                <w:rFonts w:cs="Calibri"/>
                <w:sz w:val="18"/>
                <w:szCs w:val="18"/>
              </w:rPr>
              <w:t>VDT</w:t>
            </w:r>
            <w:r>
              <w:rPr>
                <w:rFonts w:cs="Calibri"/>
                <w:sz w:val="18"/>
                <w:szCs w:val="18"/>
              </w:rPr>
              <w:t xml:space="preserve"> RS</w:t>
            </w:r>
          </w:p>
        </w:tc>
        <w:tc>
          <w:tcPr>
            <w:tcW w:w="449"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0</w:t>
            </w:r>
          </w:p>
        </w:tc>
        <w:tc>
          <w:tcPr>
            <w:tcW w:w="641"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0</w:t>
            </w:r>
          </w:p>
        </w:tc>
        <w:tc>
          <w:tcPr>
            <w:tcW w:w="276"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0</w:t>
            </w:r>
          </w:p>
        </w:tc>
        <w:tc>
          <w:tcPr>
            <w:tcW w:w="686"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0</w:t>
            </w:r>
          </w:p>
        </w:tc>
        <w:tc>
          <w:tcPr>
            <w:tcW w:w="256"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0</w:t>
            </w:r>
          </w:p>
        </w:tc>
        <w:tc>
          <w:tcPr>
            <w:tcW w:w="641"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0</w:t>
            </w:r>
          </w:p>
        </w:tc>
        <w:tc>
          <w:tcPr>
            <w:tcW w:w="321"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0</w:t>
            </w:r>
          </w:p>
        </w:tc>
        <w:tc>
          <w:tcPr>
            <w:tcW w:w="359"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0</w:t>
            </w:r>
          </w:p>
        </w:tc>
        <w:tc>
          <w:tcPr>
            <w:tcW w:w="282"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0</w:t>
            </w:r>
          </w:p>
        </w:tc>
        <w:tc>
          <w:tcPr>
            <w:tcW w:w="370"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0</w:t>
            </w:r>
          </w:p>
        </w:tc>
        <w:tc>
          <w:tcPr>
            <w:tcW w:w="270"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0</w:t>
            </w:r>
          </w:p>
        </w:tc>
      </w:tr>
      <w:tr w:rsidR="00FE5F88" w:rsidRPr="00B76559" w:rsidTr="000E1911">
        <w:trPr>
          <w:cantSplit/>
        </w:trPr>
        <w:tc>
          <w:tcPr>
            <w:tcW w:w="449"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bold-left"/>
              <w:rPr>
                <w:rFonts w:cs="Calibri"/>
                <w:sz w:val="18"/>
                <w:szCs w:val="18"/>
              </w:rPr>
            </w:pPr>
            <w:r w:rsidRPr="00B76559">
              <w:rPr>
                <w:rFonts w:cs="Calibri"/>
                <w:sz w:val="18"/>
                <w:szCs w:val="18"/>
              </w:rPr>
              <w:t>Skupaj</w:t>
            </w:r>
          </w:p>
        </w:tc>
        <w:tc>
          <w:tcPr>
            <w:tcW w:w="449"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b/>
                <w:bCs/>
                <w:sz w:val="18"/>
                <w:szCs w:val="18"/>
              </w:rPr>
            </w:pPr>
            <w:r w:rsidRPr="00B76559">
              <w:rPr>
                <w:rFonts w:cs="Calibri"/>
                <w:b/>
                <w:bCs/>
                <w:sz w:val="18"/>
                <w:szCs w:val="18"/>
              </w:rPr>
              <w:t>16.554</w:t>
            </w:r>
          </w:p>
        </w:tc>
        <w:tc>
          <w:tcPr>
            <w:tcW w:w="641"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b/>
                <w:bCs/>
                <w:sz w:val="18"/>
                <w:szCs w:val="18"/>
              </w:rPr>
            </w:pPr>
            <w:r w:rsidRPr="00B76559">
              <w:rPr>
                <w:rFonts w:cs="Calibri"/>
                <w:b/>
                <w:bCs/>
                <w:sz w:val="18"/>
                <w:szCs w:val="18"/>
              </w:rPr>
              <w:t>1.476</w:t>
            </w:r>
          </w:p>
        </w:tc>
        <w:tc>
          <w:tcPr>
            <w:tcW w:w="276"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b/>
                <w:bCs/>
                <w:sz w:val="18"/>
                <w:szCs w:val="18"/>
              </w:rPr>
            </w:pPr>
            <w:r w:rsidRPr="00B76559">
              <w:rPr>
                <w:rFonts w:cs="Calibri"/>
                <w:b/>
                <w:bCs/>
                <w:sz w:val="18"/>
                <w:szCs w:val="18"/>
              </w:rPr>
              <w:t>9</w:t>
            </w:r>
          </w:p>
        </w:tc>
        <w:tc>
          <w:tcPr>
            <w:tcW w:w="686"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b/>
                <w:bCs/>
                <w:sz w:val="18"/>
                <w:szCs w:val="18"/>
              </w:rPr>
            </w:pPr>
            <w:r w:rsidRPr="00B76559">
              <w:rPr>
                <w:rFonts w:cs="Calibri"/>
                <w:b/>
                <w:bCs/>
                <w:sz w:val="18"/>
                <w:szCs w:val="18"/>
              </w:rPr>
              <w:t>2.594</w:t>
            </w:r>
          </w:p>
        </w:tc>
        <w:tc>
          <w:tcPr>
            <w:tcW w:w="256"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b/>
                <w:bCs/>
                <w:sz w:val="18"/>
                <w:szCs w:val="18"/>
              </w:rPr>
            </w:pPr>
            <w:r w:rsidRPr="00B76559">
              <w:rPr>
                <w:rFonts w:cs="Calibri"/>
                <w:b/>
                <w:bCs/>
                <w:sz w:val="18"/>
                <w:szCs w:val="18"/>
              </w:rPr>
              <w:t>16</w:t>
            </w:r>
          </w:p>
        </w:tc>
        <w:tc>
          <w:tcPr>
            <w:tcW w:w="641"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b/>
                <w:bCs/>
                <w:sz w:val="18"/>
                <w:szCs w:val="18"/>
              </w:rPr>
            </w:pPr>
            <w:r w:rsidRPr="00B76559">
              <w:rPr>
                <w:rFonts w:cs="Calibri"/>
                <w:b/>
                <w:bCs/>
                <w:sz w:val="18"/>
                <w:szCs w:val="18"/>
              </w:rPr>
              <w:t>2.350</w:t>
            </w:r>
          </w:p>
        </w:tc>
        <w:tc>
          <w:tcPr>
            <w:tcW w:w="321"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b/>
                <w:bCs/>
                <w:sz w:val="18"/>
                <w:szCs w:val="18"/>
              </w:rPr>
            </w:pPr>
            <w:r w:rsidRPr="00B76559">
              <w:rPr>
                <w:rFonts w:cs="Calibri"/>
                <w:b/>
                <w:bCs/>
                <w:sz w:val="18"/>
                <w:szCs w:val="18"/>
              </w:rPr>
              <w:t>14</w:t>
            </w:r>
          </w:p>
        </w:tc>
        <w:tc>
          <w:tcPr>
            <w:tcW w:w="359"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b/>
                <w:bCs/>
                <w:sz w:val="18"/>
                <w:szCs w:val="18"/>
              </w:rPr>
            </w:pPr>
            <w:r w:rsidRPr="00B76559">
              <w:rPr>
                <w:rFonts w:cs="Calibri"/>
                <w:b/>
                <w:bCs/>
                <w:sz w:val="18"/>
                <w:szCs w:val="18"/>
              </w:rPr>
              <w:t>68</w:t>
            </w:r>
          </w:p>
        </w:tc>
        <w:tc>
          <w:tcPr>
            <w:tcW w:w="282"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b/>
                <w:bCs/>
                <w:sz w:val="18"/>
                <w:szCs w:val="18"/>
              </w:rPr>
            </w:pPr>
            <w:r w:rsidRPr="00B76559">
              <w:rPr>
                <w:rFonts w:cs="Calibri"/>
                <w:b/>
                <w:bCs/>
                <w:sz w:val="18"/>
                <w:szCs w:val="18"/>
              </w:rPr>
              <w:t>0</w:t>
            </w:r>
          </w:p>
        </w:tc>
        <w:tc>
          <w:tcPr>
            <w:tcW w:w="370"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b/>
                <w:bCs/>
                <w:sz w:val="18"/>
                <w:szCs w:val="18"/>
              </w:rPr>
            </w:pPr>
            <w:r w:rsidRPr="00B76559">
              <w:rPr>
                <w:rFonts w:cs="Calibri"/>
                <w:b/>
                <w:bCs/>
                <w:sz w:val="18"/>
                <w:szCs w:val="18"/>
              </w:rPr>
              <w:t>10.066</w:t>
            </w:r>
          </w:p>
        </w:tc>
        <w:tc>
          <w:tcPr>
            <w:tcW w:w="270"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b/>
                <w:bCs/>
                <w:sz w:val="18"/>
                <w:szCs w:val="18"/>
              </w:rPr>
            </w:pPr>
            <w:r w:rsidRPr="00B76559">
              <w:rPr>
                <w:rFonts w:cs="Calibri"/>
                <w:b/>
                <w:bCs/>
                <w:sz w:val="18"/>
                <w:szCs w:val="18"/>
              </w:rPr>
              <w:t>61</w:t>
            </w:r>
          </w:p>
        </w:tc>
      </w:tr>
      <w:tr w:rsidR="00FE5F88" w:rsidRPr="00B76559" w:rsidTr="000E1911">
        <w:trPr>
          <w:cantSplit/>
        </w:trPr>
        <w:tc>
          <w:tcPr>
            <w:tcW w:w="449"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bold-left"/>
              <w:rPr>
                <w:rFonts w:cs="Calibri"/>
                <w:sz w:val="18"/>
                <w:szCs w:val="18"/>
              </w:rPr>
            </w:pPr>
            <w:r w:rsidRPr="00B76559">
              <w:rPr>
                <w:rFonts w:cs="Calibri"/>
                <w:sz w:val="18"/>
                <w:szCs w:val="18"/>
              </w:rPr>
              <w:t>Poprečje ODT</w:t>
            </w:r>
          </w:p>
        </w:tc>
        <w:tc>
          <w:tcPr>
            <w:tcW w:w="449"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1.451</w:t>
            </w:r>
          </w:p>
        </w:tc>
        <w:tc>
          <w:tcPr>
            <w:tcW w:w="641"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134</w:t>
            </w:r>
          </w:p>
        </w:tc>
        <w:tc>
          <w:tcPr>
            <w:tcW w:w="276"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11</w:t>
            </w:r>
          </w:p>
        </w:tc>
        <w:tc>
          <w:tcPr>
            <w:tcW w:w="686"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235</w:t>
            </w:r>
          </w:p>
        </w:tc>
        <w:tc>
          <w:tcPr>
            <w:tcW w:w="256"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14</w:t>
            </w:r>
          </w:p>
        </w:tc>
        <w:tc>
          <w:tcPr>
            <w:tcW w:w="641"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214</w:t>
            </w:r>
          </w:p>
        </w:tc>
        <w:tc>
          <w:tcPr>
            <w:tcW w:w="321"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15</w:t>
            </w:r>
          </w:p>
        </w:tc>
        <w:tc>
          <w:tcPr>
            <w:tcW w:w="359"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6</w:t>
            </w:r>
          </w:p>
        </w:tc>
        <w:tc>
          <w:tcPr>
            <w:tcW w:w="282"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0</w:t>
            </w:r>
          </w:p>
        </w:tc>
        <w:tc>
          <w:tcPr>
            <w:tcW w:w="370"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863</w:t>
            </w:r>
          </w:p>
        </w:tc>
        <w:tc>
          <w:tcPr>
            <w:tcW w:w="270"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60</w:t>
            </w:r>
          </w:p>
        </w:tc>
      </w:tr>
      <w:tr w:rsidR="00FE5F88" w:rsidRPr="00B76559" w:rsidTr="000E1911">
        <w:trPr>
          <w:cantSplit/>
        </w:trPr>
        <w:tc>
          <w:tcPr>
            <w:tcW w:w="449" w:type="pct"/>
            <w:tcBorders>
              <w:top w:val="single" w:sz="4" w:space="0" w:color="877850"/>
              <w:bottom w:val="single" w:sz="12" w:space="0" w:color="877850"/>
            </w:tcBorders>
            <w:shd w:val="clear" w:color="auto" w:fill="auto"/>
            <w:vAlign w:val="center"/>
          </w:tcPr>
          <w:p w:rsidR="00FE5F88" w:rsidRPr="00B76559" w:rsidRDefault="00FE5F88" w:rsidP="000E1911">
            <w:pPr>
              <w:pStyle w:val="Tabela-vsebina-bold-left"/>
              <w:rPr>
                <w:rFonts w:cs="Calibri"/>
                <w:sz w:val="18"/>
                <w:szCs w:val="18"/>
              </w:rPr>
            </w:pPr>
            <w:r>
              <w:rPr>
                <w:rFonts w:cs="Calibri"/>
                <w:sz w:val="18"/>
                <w:szCs w:val="18"/>
              </w:rPr>
              <w:t>Poprečje ODT OPP SDT RS</w:t>
            </w:r>
          </w:p>
        </w:tc>
        <w:tc>
          <w:tcPr>
            <w:tcW w:w="449" w:type="pct"/>
            <w:tcBorders>
              <w:top w:val="single" w:sz="4" w:space="0" w:color="877850"/>
              <w:bottom w:val="single" w:sz="12"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1.273</w:t>
            </w:r>
          </w:p>
        </w:tc>
        <w:tc>
          <w:tcPr>
            <w:tcW w:w="641" w:type="pct"/>
            <w:tcBorders>
              <w:top w:val="single" w:sz="4" w:space="0" w:color="877850"/>
              <w:bottom w:val="single" w:sz="12"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114</w:t>
            </w:r>
          </w:p>
        </w:tc>
        <w:tc>
          <w:tcPr>
            <w:tcW w:w="276" w:type="pct"/>
            <w:tcBorders>
              <w:top w:val="single" w:sz="4" w:space="0" w:color="877850"/>
              <w:bottom w:val="single" w:sz="12"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9</w:t>
            </w:r>
          </w:p>
        </w:tc>
        <w:tc>
          <w:tcPr>
            <w:tcW w:w="686" w:type="pct"/>
            <w:tcBorders>
              <w:top w:val="single" w:sz="4" w:space="0" w:color="877850"/>
              <w:bottom w:val="single" w:sz="12"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200</w:t>
            </w:r>
          </w:p>
        </w:tc>
        <w:tc>
          <w:tcPr>
            <w:tcW w:w="256" w:type="pct"/>
            <w:tcBorders>
              <w:top w:val="single" w:sz="4" w:space="0" w:color="877850"/>
              <w:bottom w:val="single" w:sz="12"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12</w:t>
            </w:r>
          </w:p>
        </w:tc>
        <w:tc>
          <w:tcPr>
            <w:tcW w:w="641" w:type="pct"/>
            <w:tcBorders>
              <w:top w:val="single" w:sz="4" w:space="0" w:color="877850"/>
              <w:bottom w:val="single" w:sz="12"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181</w:t>
            </w:r>
          </w:p>
        </w:tc>
        <w:tc>
          <w:tcPr>
            <w:tcW w:w="321" w:type="pct"/>
            <w:tcBorders>
              <w:top w:val="single" w:sz="4" w:space="0" w:color="877850"/>
              <w:bottom w:val="single" w:sz="12"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12</w:t>
            </w:r>
          </w:p>
        </w:tc>
        <w:tc>
          <w:tcPr>
            <w:tcW w:w="359" w:type="pct"/>
            <w:tcBorders>
              <w:top w:val="single" w:sz="4" w:space="0" w:color="877850"/>
              <w:bottom w:val="single" w:sz="12"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5</w:t>
            </w:r>
          </w:p>
        </w:tc>
        <w:tc>
          <w:tcPr>
            <w:tcW w:w="282" w:type="pct"/>
            <w:tcBorders>
              <w:top w:val="single" w:sz="4" w:space="0" w:color="877850"/>
              <w:bottom w:val="single" w:sz="12"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0</w:t>
            </w:r>
          </w:p>
        </w:tc>
        <w:tc>
          <w:tcPr>
            <w:tcW w:w="370" w:type="pct"/>
            <w:tcBorders>
              <w:top w:val="single" w:sz="4" w:space="0" w:color="877850"/>
              <w:bottom w:val="single" w:sz="12"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774</w:t>
            </w:r>
          </w:p>
        </w:tc>
        <w:tc>
          <w:tcPr>
            <w:tcW w:w="270" w:type="pct"/>
            <w:tcBorders>
              <w:top w:val="single" w:sz="4" w:space="0" w:color="877850"/>
              <w:bottom w:val="single" w:sz="12"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66</w:t>
            </w:r>
          </w:p>
        </w:tc>
      </w:tr>
    </w:tbl>
    <w:p w:rsidR="00FE5F88" w:rsidRPr="00AB09A1" w:rsidRDefault="00FE5F88" w:rsidP="00FE5F88">
      <w:pPr>
        <w:pStyle w:val="Tabela-naslov"/>
      </w:pPr>
      <w:bookmarkStart w:id="9" w:name="_Toc502925398"/>
      <w:bookmarkStart w:id="10" w:name="_Toc504122496"/>
      <w:bookmarkStart w:id="11" w:name="_Toc37710497"/>
      <w:bookmarkEnd w:id="8"/>
      <w:r w:rsidRPr="00AB09A1">
        <w:lastRenderedPageBreak/>
        <w:t>Tabela 11(m): Zavrženje ovadb proti mladoletnikom</w:t>
      </w:r>
      <w:bookmarkEnd w:id="9"/>
      <w:bookmarkEnd w:id="10"/>
      <w:bookmarkEnd w:id="11"/>
      <w:r w:rsidRPr="00AB09A1">
        <w:t xml:space="preserve"> </w:t>
      </w:r>
    </w:p>
    <w:tbl>
      <w:tblPr>
        <w:tblW w:w="5000" w:type="pct"/>
        <w:tblCellMar>
          <w:top w:w="28" w:type="dxa"/>
          <w:left w:w="57" w:type="dxa"/>
          <w:bottom w:w="28" w:type="dxa"/>
          <w:right w:w="57" w:type="dxa"/>
        </w:tblCellMar>
        <w:tblLook w:val="0000" w:firstRow="0" w:lastRow="0" w:firstColumn="0" w:lastColumn="0" w:noHBand="0" w:noVBand="0"/>
      </w:tblPr>
      <w:tblGrid>
        <w:gridCol w:w="1056"/>
        <w:gridCol w:w="517"/>
        <w:gridCol w:w="920"/>
        <w:gridCol w:w="431"/>
        <w:gridCol w:w="920"/>
        <w:gridCol w:w="431"/>
        <w:gridCol w:w="671"/>
        <w:gridCol w:w="431"/>
        <w:gridCol w:w="671"/>
        <w:gridCol w:w="424"/>
        <w:gridCol w:w="669"/>
        <w:gridCol w:w="410"/>
        <w:gridCol w:w="669"/>
        <w:gridCol w:w="427"/>
      </w:tblGrid>
      <w:tr w:rsidR="00FE5F88" w:rsidRPr="00B76559" w:rsidTr="000E1911">
        <w:trPr>
          <w:cantSplit/>
          <w:trHeight w:val="1567"/>
          <w:tblHeader/>
        </w:trPr>
        <w:tc>
          <w:tcPr>
            <w:tcW w:w="611" w:type="pct"/>
            <w:tcBorders>
              <w:right w:val="single" w:sz="8" w:space="0" w:color="FFFFFF"/>
            </w:tcBorders>
            <w:shd w:val="clear" w:color="auto" w:fill="877850"/>
            <w:vAlign w:val="center"/>
          </w:tcPr>
          <w:p w:rsidR="00FE5F88" w:rsidRPr="00B76559" w:rsidRDefault="00FE5F88" w:rsidP="000E1911">
            <w:pPr>
              <w:pStyle w:val="Tabela-vsebina-bold-center"/>
              <w:spacing w:line="160" w:lineRule="exact"/>
              <w:rPr>
                <w:rFonts w:cs="Calibri"/>
                <w:color w:val="FFFFFF"/>
                <w:sz w:val="18"/>
                <w:szCs w:val="18"/>
              </w:rPr>
            </w:pPr>
            <w:bookmarkStart w:id="12" w:name="LP11m"/>
            <w:r w:rsidRPr="00B76559">
              <w:rPr>
                <w:rFonts w:cs="Calibri"/>
                <w:color w:val="FFFFFF"/>
                <w:sz w:val="18"/>
                <w:szCs w:val="18"/>
              </w:rPr>
              <w:t>Državno tožilstvo</w:t>
            </w:r>
          </w:p>
        </w:tc>
        <w:tc>
          <w:tcPr>
            <w:tcW w:w="299" w:type="pct"/>
            <w:tcBorders>
              <w:left w:val="single" w:sz="8" w:space="0" w:color="FFFFFF"/>
              <w:right w:val="single" w:sz="8" w:space="0" w:color="FFFFFF"/>
            </w:tcBorders>
            <w:shd w:val="clear" w:color="auto" w:fill="877850"/>
            <w:textDirection w:val="tbRl"/>
            <w:vAlign w:val="center"/>
          </w:tcPr>
          <w:p w:rsidR="00FE5F88" w:rsidRPr="00B76559" w:rsidRDefault="00FE5F88" w:rsidP="000E1911">
            <w:pPr>
              <w:pStyle w:val="Tabela-vsebina-bold-center"/>
              <w:spacing w:line="160" w:lineRule="exact"/>
              <w:rPr>
                <w:rFonts w:cs="Calibri"/>
                <w:color w:val="FFFFFF"/>
                <w:sz w:val="18"/>
                <w:szCs w:val="18"/>
              </w:rPr>
            </w:pPr>
            <w:r w:rsidRPr="00B76559">
              <w:rPr>
                <w:rFonts w:cs="Calibri"/>
                <w:color w:val="FFFFFF"/>
                <w:sz w:val="18"/>
                <w:szCs w:val="18"/>
              </w:rPr>
              <w:t>Zavržene ovadbe skupaj</w:t>
            </w:r>
          </w:p>
        </w:tc>
        <w:tc>
          <w:tcPr>
            <w:tcW w:w="532" w:type="pct"/>
            <w:tcBorders>
              <w:left w:val="single" w:sz="8" w:space="0" w:color="FFFFFF"/>
              <w:right w:val="single" w:sz="8" w:space="0" w:color="FFFFFF"/>
            </w:tcBorders>
            <w:shd w:val="clear" w:color="auto" w:fill="877850"/>
            <w:textDirection w:val="tbRl"/>
            <w:vAlign w:val="center"/>
          </w:tcPr>
          <w:p w:rsidR="00FE5F88" w:rsidRPr="00B76559" w:rsidRDefault="00FE5F88" w:rsidP="000E1911">
            <w:pPr>
              <w:pStyle w:val="Tabela-vsebina-bold-center"/>
              <w:spacing w:line="160" w:lineRule="exact"/>
              <w:rPr>
                <w:rFonts w:cs="Calibri"/>
                <w:color w:val="FFFFFF"/>
                <w:sz w:val="18"/>
                <w:szCs w:val="18"/>
              </w:rPr>
            </w:pPr>
            <w:r w:rsidRPr="00B76559">
              <w:rPr>
                <w:rFonts w:cs="Calibri"/>
                <w:color w:val="FFFFFF"/>
                <w:sz w:val="18"/>
                <w:szCs w:val="18"/>
              </w:rPr>
              <w:t>Zavrženja po poravnavanju ali odloženem pregonu</w:t>
            </w:r>
          </w:p>
        </w:tc>
        <w:tc>
          <w:tcPr>
            <w:tcW w:w="249" w:type="pct"/>
            <w:tcBorders>
              <w:left w:val="single" w:sz="8" w:space="0" w:color="FFFFFF"/>
              <w:right w:val="single" w:sz="8" w:space="0" w:color="FFFFFF"/>
            </w:tcBorders>
            <w:shd w:val="clear" w:color="auto" w:fill="877850"/>
            <w:textDirection w:val="tbRl"/>
            <w:vAlign w:val="center"/>
          </w:tcPr>
          <w:p w:rsidR="00FE5F88" w:rsidRPr="00B76559" w:rsidRDefault="00FE5F88" w:rsidP="000E1911">
            <w:pPr>
              <w:pStyle w:val="Tabela-vsebina-bold-center"/>
              <w:spacing w:line="160" w:lineRule="exact"/>
              <w:rPr>
                <w:rFonts w:cs="Calibri"/>
                <w:color w:val="FFFFFF"/>
                <w:sz w:val="18"/>
                <w:szCs w:val="18"/>
              </w:rPr>
            </w:pPr>
            <w:r w:rsidRPr="00B76559">
              <w:rPr>
                <w:rFonts w:cs="Calibri"/>
                <w:color w:val="FFFFFF"/>
                <w:sz w:val="18"/>
                <w:szCs w:val="18"/>
              </w:rPr>
              <w:t>Odstotek od zavrženih</w:t>
            </w:r>
          </w:p>
        </w:tc>
        <w:tc>
          <w:tcPr>
            <w:tcW w:w="532" w:type="pct"/>
            <w:tcBorders>
              <w:left w:val="single" w:sz="8" w:space="0" w:color="FFFFFF"/>
              <w:right w:val="single" w:sz="8" w:space="0" w:color="FFFFFF"/>
            </w:tcBorders>
            <w:shd w:val="clear" w:color="auto" w:fill="877850"/>
            <w:textDirection w:val="tbRl"/>
            <w:vAlign w:val="center"/>
          </w:tcPr>
          <w:p w:rsidR="00FE5F88" w:rsidRPr="00B76559" w:rsidRDefault="00FE5F88" w:rsidP="000E1911">
            <w:pPr>
              <w:pStyle w:val="Tabela-vsebina-bold-center"/>
              <w:spacing w:line="160" w:lineRule="exact"/>
              <w:rPr>
                <w:rFonts w:cs="Calibri"/>
                <w:color w:val="FFFFFF"/>
                <w:sz w:val="18"/>
                <w:szCs w:val="18"/>
              </w:rPr>
            </w:pPr>
            <w:r w:rsidRPr="00B76559">
              <w:rPr>
                <w:rFonts w:cs="Calibri"/>
                <w:color w:val="FFFFFF"/>
                <w:sz w:val="18"/>
                <w:szCs w:val="18"/>
              </w:rPr>
              <w:t>Zavrženja zaradi majhnega pomena in načela sorazmernosti</w:t>
            </w:r>
          </w:p>
        </w:tc>
        <w:tc>
          <w:tcPr>
            <w:tcW w:w="249" w:type="pct"/>
            <w:tcBorders>
              <w:left w:val="single" w:sz="8" w:space="0" w:color="FFFFFF"/>
              <w:right w:val="single" w:sz="8" w:space="0" w:color="FFFFFF"/>
            </w:tcBorders>
            <w:shd w:val="clear" w:color="auto" w:fill="877850"/>
            <w:textDirection w:val="tbRl"/>
            <w:vAlign w:val="center"/>
          </w:tcPr>
          <w:p w:rsidR="00FE5F88" w:rsidRPr="00B76559" w:rsidRDefault="00FE5F88" w:rsidP="000E1911">
            <w:pPr>
              <w:pStyle w:val="Tabela-vsebina-bold-center"/>
              <w:spacing w:line="160" w:lineRule="exact"/>
              <w:rPr>
                <w:rFonts w:cs="Calibri"/>
                <w:color w:val="FFFFFF"/>
                <w:sz w:val="18"/>
                <w:szCs w:val="18"/>
              </w:rPr>
            </w:pPr>
            <w:r w:rsidRPr="00B76559">
              <w:rPr>
                <w:rFonts w:cs="Calibri"/>
                <w:color w:val="FFFFFF"/>
                <w:sz w:val="18"/>
                <w:szCs w:val="18"/>
              </w:rPr>
              <w:t>Odstotek od zavrženih</w:t>
            </w:r>
          </w:p>
        </w:tc>
        <w:tc>
          <w:tcPr>
            <w:tcW w:w="388" w:type="pct"/>
            <w:tcBorders>
              <w:left w:val="single" w:sz="8" w:space="0" w:color="FFFFFF"/>
              <w:right w:val="single" w:sz="8" w:space="0" w:color="FFFFFF"/>
            </w:tcBorders>
            <w:shd w:val="clear" w:color="auto" w:fill="877850"/>
            <w:textDirection w:val="tbRl"/>
            <w:vAlign w:val="center"/>
          </w:tcPr>
          <w:p w:rsidR="00FE5F88" w:rsidRPr="00B76559" w:rsidRDefault="00FE5F88" w:rsidP="000E1911">
            <w:pPr>
              <w:pStyle w:val="Tabela-vsebina-bold-center"/>
              <w:spacing w:line="160" w:lineRule="exact"/>
              <w:rPr>
                <w:rFonts w:cs="Calibri"/>
                <w:color w:val="FFFFFF"/>
                <w:sz w:val="18"/>
                <w:szCs w:val="18"/>
              </w:rPr>
            </w:pPr>
            <w:r w:rsidRPr="00B76559">
              <w:rPr>
                <w:rFonts w:cs="Calibri"/>
                <w:color w:val="FFFFFF"/>
                <w:sz w:val="18"/>
                <w:szCs w:val="18"/>
              </w:rPr>
              <w:t>Zavrženje zaradi smotrnosti</w:t>
            </w:r>
          </w:p>
        </w:tc>
        <w:tc>
          <w:tcPr>
            <w:tcW w:w="249" w:type="pct"/>
            <w:tcBorders>
              <w:left w:val="single" w:sz="8" w:space="0" w:color="FFFFFF"/>
              <w:right w:val="single" w:sz="8" w:space="0" w:color="FFFFFF"/>
            </w:tcBorders>
            <w:shd w:val="clear" w:color="auto" w:fill="877850"/>
            <w:textDirection w:val="tbRl"/>
            <w:vAlign w:val="center"/>
          </w:tcPr>
          <w:p w:rsidR="00FE5F88" w:rsidRPr="00B76559" w:rsidRDefault="00FE5F88" w:rsidP="000E1911">
            <w:pPr>
              <w:pStyle w:val="Tabela-vsebina-bold-center"/>
              <w:spacing w:line="160" w:lineRule="exact"/>
              <w:rPr>
                <w:rFonts w:cs="Calibri"/>
                <w:color w:val="FFFFFF"/>
                <w:sz w:val="18"/>
                <w:szCs w:val="18"/>
              </w:rPr>
            </w:pPr>
            <w:r w:rsidRPr="00B76559">
              <w:rPr>
                <w:rFonts w:cs="Calibri"/>
                <w:color w:val="FFFFFF"/>
                <w:sz w:val="18"/>
                <w:szCs w:val="18"/>
              </w:rPr>
              <w:t>Odstotek od zavrženih</w:t>
            </w:r>
          </w:p>
        </w:tc>
        <w:tc>
          <w:tcPr>
            <w:tcW w:w="388" w:type="pct"/>
            <w:tcBorders>
              <w:left w:val="single" w:sz="8" w:space="0" w:color="FFFFFF"/>
              <w:right w:val="single" w:sz="8" w:space="0" w:color="FFFFFF"/>
            </w:tcBorders>
            <w:shd w:val="clear" w:color="auto" w:fill="877850"/>
            <w:textDirection w:val="tbRl"/>
            <w:vAlign w:val="center"/>
          </w:tcPr>
          <w:p w:rsidR="00FE5F88" w:rsidRPr="00B76559" w:rsidRDefault="00FE5F88" w:rsidP="000E1911">
            <w:pPr>
              <w:pStyle w:val="Tabela-vsebina-bold-center"/>
              <w:spacing w:line="160" w:lineRule="exact"/>
              <w:rPr>
                <w:rFonts w:cs="Calibri"/>
                <w:color w:val="FFFFFF"/>
                <w:sz w:val="18"/>
                <w:szCs w:val="18"/>
              </w:rPr>
            </w:pPr>
            <w:r w:rsidRPr="00B76559">
              <w:rPr>
                <w:rFonts w:cs="Calibri"/>
                <w:color w:val="FFFFFF"/>
                <w:sz w:val="18"/>
                <w:szCs w:val="18"/>
              </w:rPr>
              <w:t>Zavrženja zaradi umika predloga oškodovanca</w:t>
            </w:r>
          </w:p>
        </w:tc>
        <w:tc>
          <w:tcPr>
            <w:tcW w:w="245" w:type="pct"/>
            <w:tcBorders>
              <w:left w:val="single" w:sz="8" w:space="0" w:color="FFFFFF"/>
              <w:right w:val="single" w:sz="8" w:space="0" w:color="FFFFFF"/>
            </w:tcBorders>
            <w:shd w:val="clear" w:color="auto" w:fill="877850"/>
            <w:textDirection w:val="tbRl"/>
            <w:vAlign w:val="center"/>
          </w:tcPr>
          <w:p w:rsidR="00FE5F88" w:rsidRPr="00B76559" w:rsidRDefault="00FE5F88" w:rsidP="000E1911">
            <w:pPr>
              <w:pStyle w:val="Tabela-vsebina-bold-center"/>
              <w:spacing w:line="160" w:lineRule="exact"/>
              <w:rPr>
                <w:rFonts w:cs="Calibri"/>
                <w:color w:val="FFFFFF"/>
                <w:sz w:val="18"/>
                <w:szCs w:val="18"/>
              </w:rPr>
            </w:pPr>
            <w:r w:rsidRPr="00B76559">
              <w:rPr>
                <w:rFonts w:cs="Calibri"/>
                <w:color w:val="FFFFFF"/>
                <w:sz w:val="18"/>
                <w:szCs w:val="18"/>
              </w:rPr>
              <w:t>Odstotek od zavrženih</w:t>
            </w:r>
          </w:p>
        </w:tc>
        <w:tc>
          <w:tcPr>
            <w:tcW w:w="387" w:type="pct"/>
            <w:tcBorders>
              <w:left w:val="single" w:sz="8" w:space="0" w:color="FFFFFF"/>
              <w:right w:val="single" w:sz="8" w:space="0" w:color="FFFFFF"/>
            </w:tcBorders>
            <w:shd w:val="clear" w:color="auto" w:fill="877850"/>
            <w:textDirection w:val="tbRl"/>
            <w:vAlign w:val="center"/>
          </w:tcPr>
          <w:p w:rsidR="00FE5F88" w:rsidRPr="00B76559" w:rsidRDefault="00FE5F88" w:rsidP="000E1911">
            <w:pPr>
              <w:pStyle w:val="Tabela-vsebina-bold-center"/>
              <w:spacing w:line="160" w:lineRule="exact"/>
              <w:rPr>
                <w:rFonts w:cs="Calibri"/>
                <w:color w:val="FFFFFF"/>
                <w:sz w:val="18"/>
                <w:szCs w:val="18"/>
              </w:rPr>
            </w:pPr>
            <w:r w:rsidRPr="00B76559">
              <w:rPr>
                <w:rFonts w:cs="Calibri"/>
                <w:color w:val="FFFFFF"/>
                <w:sz w:val="18"/>
                <w:szCs w:val="18"/>
              </w:rPr>
              <w:t>Zavrženo zaradi zastaranja</w:t>
            </w:r>
          </w:p>
        </w:tc>
        <w:tc>
          <w:tcPr>
            <w:tcW w:w="237" w:type="pct"/>
            <w:tcBorders>
              <w:left w:val="single" w:sz="8" w:space="0" w:color="FFFFFF"/>
              <w:right w:val="single" w:sz="8" w:space="0" w:color="FFFFFF"/>
            </w:tcBorders>
            <w:shd w:val="clear" w:color="auto" w:fill="877850"/>
            <w:textDirection w:val="tbRl"/>
            <w:vAlign w:val="center"/>
          </w:tcPr>
          <w:p w:rsidR="00FE5F88" w:rsidRPr="00B76559" w:rsidRDefault="00FE5F88" w:rsidP="000E1911">
            <w:pPr>
              <w:pStyle w:val="Tabela-vsebina-bold-center"/>
              <w:spacing w:line="160" w:lineRule="exact"/>
              <w:rPr>
                <w:rFonts w:cs="Calibri"/>
                <w:color w:val="FFFFFF"/>
                <w:sz w:val="18"/>
                <w:szCs w:val="18"/>
              </w:rPr>
            </w:pPr>
            <w:r w:rsidRPr="00B76559">
              <w:rPr>
                <w:rFonts w:cs="Calibri"/>
                <w:color w:val="FFFFFF"/>
                <w:sz w:val="18"/>
                <w:szCs w:val="18"/>
              </w:rPr>
              <w:t>Odstotek od zavrženih</w:t>
            </w:r>
          </w:p>
        </w:tc>
        <w:tc>
          <w:tcPr>
            <w:tcW w:w="387" w:type="pct"/>
            <w:tcBorders>
              <w:left w:val="single" w:sz="8" w:space="0" w:color="FFFFFF"/>
              <w:right w:val="single" w:sz="8" w:space="0" w:color="FFFFFF"/>
            </w:tcBorders>
            <w:shd w:val="clear" w:color="auto" w:fill="877850"/>
            <w:textDirection w:val="tbRl"/>
            <w:vAlign w:val="center"/>
          </w:tcPr>
          <w:p w:rsidR="00FE5F88" w:rsidRPr="00B76559" w:rsidRDefault="00FE5F88" w:rsidP="000E1911">
            <w:pPr>
              <w:pStyle w:val="Tabela-vsebina-bold-center"/>
              <w:spacing w:line="160" w:lineRule="exact"/>
              <w:rPr>
                <w:rFonts w:cs="Calibri"/>
                <w:color w:val="FFFFFF"/>
                <w:sz w:val="18"/>
                <w:szCs w:val="18"/>
              </w:rPr>
            </w:pPr>
            <w:r w:rsidRPr="00B76559">
              <w:rPr>
                <w:rFonts w:cs="Calibri"/>
                <w:color w:val="FFFFFF"/>
                <w:sz w:val="18"/>
                <w:szCs w:val="18"/>
              </w:rPr>
              <w:t>Zavrženo iz drugih razlogov</w:t>
            </w:r>
          </w:p>
        </w:tc>
        <w:tc>
          <w:tcPr>
            <w:tcW w:w="247" w:type="pct"/>
            <w:tcBorders>
              <w:left w:val="single" w:sz="8" w:space="0" w:color="FFFFFF"/>
            </w:tcBorders>
            <w:shd w:val="clear" w:color="auto" w:fill="877850"/>
            <w:textDirection w:val="tbRl"/>
            <w:vAlign w:val="center"/>
          </w:tcPr>
          <w:p w:rsidR="00FE5F88" w:rsidRPr="00B76559" w:rsidRDefault="00FE5F88" w:rsidP="000E1911">
            <w:pPr>
              <w:pStyle w:val="Tabela-vsebina-bold-center"/>
              <w:spacing w:line="160" w:lineRule="exact"/>
              <w:rPr>
                <w:rFonts w:cs="Calibri"/>
                <w:color w:val="FFFFFF"/>
                <w:sz w:val="18"/>
                <w:szCs w:val="18"/>
              </w:rPr>
            </w:pPr>
            <w:r w:rsidRPr="00B76559">
              <w:rPr>
                <w:rFonts w:cs="Calibri"/>
                <w:color w:val="FFFFFF"/>
                <w:sz w:val="18"/>
                <w:szCs w:val="18"/>
              </w:rPr>
              <w:t>Odstotek od zavrženih</w:t>
            </w:r>
          </w:p>
        </w:tc>
      </w:tr>
      <w:tr w:rsidR="00FE5F88" w:rsidRPr="00B76559" w:rsidTr="000E1911">
        <w:trPr>
          <w:cantSplit/>
        </w:trPr>
        <w:tc>
          <w:tcPr>
            <w:tcW w:w="611" w:type="pct"/>
            <w:tcBorders>
              <w:bottom w:val="single" w:sz="4" w:space="0" w:color="877850"/>
            </w:tcBorders>
            <w:shd w:val="clear" w:color="auto" w:fill="auto"/>
            <w:vAlign w:val="center"/>
          </w:tcPr>
          <w:p w:rsidR="00FE5F88" w:rsidRPr="00B76559" w:rsidRDefault="00FE5F88" w:rsidP="000E1911">
            <w:pPr>
              <w:pStyle w:val="Tabela-vsebina-bold-left"/>
              <w:rPr>
                <w:rFonts w:cs="Calibri"/>
                <w:sz w:val="18"/>
                <w:szCs w:val="18"/>
              </w:rPr>
            </w:pPr>
            <w:r w:rsidRPr="00B76559">
              <w:rPr>
                <w:rFonts w:cs="Calibri"/>
                <w:sz w:val="18"/>
                <w:szCs w:val="18"/>
              </w:rPr>
              <w:t>ODT CE</w:t>
            </w:r>
          </w:p>
        </w:tc>
        <w:tc>
          <w:tcPr>
            <w:tcW w:w="299" w:type="pct"/>
            <w:tcBorders>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96</w:t>
            </w:r>
          </w:p>
        </w:tc>
        <w:tc>
          <w:tcPr>
            <w:tcW w:w="532" w:type="pct"/>
            <w:tcBorders>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34</w:t>
            </w:r>
          </w:p>
        </w:tc>
        <w:tc>
          <w:tcPr>
            <w:tcW w:w="249" w:type="pct"/>
            <w:tcBorders>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35</w:t>
            </w:r>
          </w:p>
        </w:tc>
        <w:tc>
          <w:tcPr>
            <w:tcW w:w="532" w:type="pct"/>
            <w:tcBorders>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31</w:t>
            </w:r>
          </w:p>
        </w:tc>
        <w:tc>
          <w:tcPr>
            <w:tcW w:w="249" w:type="pct"/>
            <w:tcBorders>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32</w:t>
            </w:r>
          </w:p>
        </w:tc>
        <w:tc>
          <w:tcPr>
            <w:tcW w:w="388" w:type="pct"/>
            <w:tcBorders>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0</w:t>
            </w:r>
          </w:p>
        </w:tc>
        <w:tc>
          <w:tcPr>
            <w:tcW w:w="249" w:type="pct"/>
            <w:tcBorders>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0</w:t>
            </w:r>
          </w:p>
        </w:tc>
        <w:tc>
          <w:tcPr>
            <w:tcW w:w="388" w:type="pct"/>
            <w:tcBorders>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17</w:t>
            </w:r>
          </w:p>
        </w:tc>
        <w:tc>
          <w:tcPr>
            <w:tcW w:w="245" w:type="pct"/>
            <w:tcBorders>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18</w:t>
            </w:r>
          </w:p>
        </w:tc>
        <w:tc>
          <w:tcPr>
            <w:tcW w:w="387" w:type="pct"/>
            <w:tcBorders>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0</w:t>
            </w:r>
          </w:p>
        </w:tc>
        <w:tc>
          <w:tcPr>
            <w:tcW w:w="237" w:type="pct"/>
            <w:tcBorders>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0</w:t>
            </w:r>
          </w:p>
        </w:tc>
        <w:tc>
          <w:tcPr>
            <w:tcW w:w="387" w:type="pct"/>
            <w:tcBorders>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14</w:t>
            </w:r>
          </w:p>
        </w:tc>
        <w:tc>
          <w:tcPr>
            <w:tcW w:w="247" w:type="pct"/>
            <w:tcBorders>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15</w:t>
            </w:r>
          </w:p>
        </w:tc>
      </w:tr>
      <w:tr w:rsidR="00FE5F88" w:rsidRPr="00B76559" w:rsidTr="000E1911">
        <w:trPr>
          <w:cantSplit/>
        </w:trPr>
        <w:tc>
          <w:tcPr>
            <w:tcW w:w="611"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bold-left"/>
              <w:rPr>
                <w:rFonts w:cs="Calibri"/>
                <w:sz w:val="18"/>
                <w:szCs w:val="18"/>
              </w:rPr>
            </w:pPr>
            <w:r w:rsidRPr="00B76559">
              <w:rPr>
                <w:rFonts w:cs="Calibri"/>
                <w:sz w:val="18"/>
                <w:szCs w:val="18"/>
              </w:rPr>
              <w:t>ODT KK</w:t>
            </w:r>
          </w:p>
        </w:tc>
        <w:tc>
          <w:tcPr>
            <w:tcW w:w="299"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30</w:t>
            </w:r>
          </w:p>
        </w:tc>
        <w:tc>
          <w:tcPr>
            <w:tcW w:w="532"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5</w:t>
            </w:r>
          </w:p>
        </w:tc>
        <w:tc>
          <w:tcPr>
            <w:tcW w:w="249"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17</w:t>
            </w:r>
          </w:p>
        </w:tc>
        <w:tc>
          <w:tcPr>
            <w:tcW w:w="532"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10</w:t>
            </w:r>
          </w:p>
        </w:tc>
        <w:tc>
          <w:tcPr>
            <w:tcW w:w="249"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33</w:t>
            </w:r>
          </w:p>
        </w:tc>
        <w:tc>
          <w:tcPr>
            <w:tcW w:w="388"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0</w:t>
            </w:r>
          </w:p>
        </w:tc>
        <w:tc>
          <w:tcPr>
            <w:tcW w:w="249"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0</w:t>
            </w:r>
          </w:p>
        </w:tc>
        <w:tc>
          <w:tcPr>
            <w:tcW w:w="388"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3</w:t>
            </w:r>
          </w:p>
        </w:tc>
        <w:tc>
          <w:tcPr>
            <w:tcW w:w="245"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10</w:t>
            </w:r>
          </w:p>
        </w:tc>
        <w:tc>
          <w:tcPr>
            <w:tcW w:w="387"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0</w:t>
            </w:r>
          </w:p>
        </w:tc>
        <w:tc>
          <w:tcPr>
            <w:tcW w:w="237"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0</w:t>
            </w:r>
          </w:p>
        </w:tc>
        <w:tc>
          <w:tcPr>
            <w:tcW w:w="387"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12</w:t>
            </w:r>
          </w:p>
        </w:tc>
        <w:tc>
          <w:tcPr>
            <w:tcW w:w="247"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40</w:t>
            </w:r>
          </w:p>
        </w:tc>
      </w:tr>
      <w:tr w:rsidR="00FE5F88" w:rsidRPr="00B76559" w:rsidTr="000E1911">
        <w:trPr>
          <w:cantSplit/>
        </w:trPr>
        <w:tc>
          <w:tcPr>
            <w:tcW w:w="611"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bold-left"/>
              <w:rPr>
                <w:rFonts w:cs="Calibri"/>
                <w:sz w:val="18"/>
                <w:szCs w:val="18"/>
              </w:rPr>
            </w:pPr>
            <w:r w:rsidRPr="00B76559">
              <w:rPr>
                <w:rFonts w:cs="Calibri"/>
                <w:sz w:val="18"/>
                <w:szCs w:val="18"/>
              </w:rPr>
              <w:t>ODT KP</w:t>
            </w:r>
          </w:p>
        </w:tc>
        <w:tc>
          <w:tcPr>
            <w:tcW w:w="299"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78</w:t>
            </w:r>
          </w:p>
        </w:tc>
        <w:tc>
          <w:tcPr>
            <w:tcW w:w="532"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22</w:t>
            </w:r>
          </w:p>
        </w:tc>
        <w:tc>
          <w:tcPr>
            <w:tcW w:w="249"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28</w:t>
            </w:r>
          </w:p>
        </w:tc>
        <w:tc>
          <w:tcPr>
            <w:tcW w:w="532"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14</w:t>
            </w:r>
          </w:p>
        </w:tc>
        <w:tc>
          <w:tcPr>
            <w:tcW w:w="249"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18</w:t>
            </w:r>
          </w:p>
        </w:tc>
        <w:tc>
          <w:tcPr>
            <w:tcW w:w="388"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7</w:t>
            </w:r>
          </w:p>
        </w:tc>
        <w:tc>
          <w:tcPr>
            <w:tcW w:w="249"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9</w:t>
            </w:r>
          </w:p>
        </w:tc>
        <w:tc>
          <w:tcPr>
            <w:tcW w:w="388"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6</w:t>
            </w:r>
          </w:p>
        </w:tc>
        <w:tc>
          <w:tcPr>
            <w:tcW w:w="245"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8</w:t>
            </w:r>
          </w:p>
        </w:tc>
        <w:tc>
          <w:tcPr>
            <w:tcW w:w="387"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0</w:t>
            </w:r>
          </w:p>
        </w:tc>
        <w:tc>
          <w:tcPr>
            <w:tcW w:w="237"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0</w:t>
            </w:r>
          </w:p>
        </w:tc>
        <w:tc>
          <w:tcPr>
            <w:tcW w:w="387"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29</w:t>
            </w:r>
          </w:p>
        </w:tc>
        <w:tc>
          <w:tcPr>
            <w:tcW w:w="247"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37</w:t>
            </w:r>
          </w:p>
        </w:tc>
      </w:tr>
      <w:tr w:rsidR="00FE5F88" w:rsidRPr="00B76559" w:rsidTr="000E1911">
        <w:trPr>
          <w:cantSplit/>
        </w:trPr>
        <w:tc>
          <w:tcPr>
            <w:tcW w:w="611"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bold-left"/>
              <w:rPr>
                <w:rFonts w:cs="Calibri"/>
                <w:sz w:val="18"/>
                <w:szCs w:val="18"/>
              </w:rPr>
            </w:pPr>
            <w:r w:rsidRPr="00B76559">
              <w:rPr>
                <w:rFonts w:cs="Calibri"/>
                <w:sz w:val="18"/>
                <w:szCs w:val="18"/>
              </w:rPr>
              <w:t>ODT KR</w:t>
            </w:r>
          </w:p>
        </w:tc>
        <w:tc>
          <w:tcPr>
            <w:tcW w:w="299"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76</w:t>
            </w:r>
          </w:p>
        </w:tc>
        <w:tc>
          <w:tcPr>
            <w:tcW w:w="532"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20</w:t>
            </w:r>
          </w:p>
        </w:tc>
        <w:tc>
          <w:tcPr>
            <w:tcW w:w="249"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26</w:t>
            </w:r>
          </w:p>
        </w:tc>
        <w:tc>
          <w:tcPr>
            <w:tcW w:w="532"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21</w:t>
            </w:r>
          </w:p>
        </w:tc>
        <w:tc>
          <w:tcPr>
            <w:tcW w:w="249"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28</w:t>
            </w:r>
          </w:p>
        </w:tc>
        <w:tc>
          <w:tcPr>
            <w:tcW w:w="388"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1</w:t>
            </w:r>
          </w:p>
        </w:tc>
        <w:tc>
          <w:tcPr>
            <w:tcW w:w="249"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1</w:t>
            </w:r>
          </w:p>
        </w:tc>
        <w:tc>
          <w:tcPr>
            <w:tcW w:w="388"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7</w:t>
            </w:r>
          </w:p>
        </w:tc>
        <w:tc>
          <w:tcPr>
            <w:tcW w:w="245"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9</w:t>
            </w:r>
          </w:p>
        </w:tc>
        <w:tc>
          <w:tcPr>
            <w:tcW w:w="387"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0</w:t>
            </w:r>
          </w:p>
        </w:tc>
        <w:tc>
          <w:tcPr>
            <w:tcW w:w="237"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0</w:t>
            </w:r>
          </w:p>
        </w:tc>
        <w:tc>
          <w:tcPr>
            <w:tcW w:w="387"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27</w:t>
            </w:r>
          </w:p>
        </w:tc>
        <w:tc>
          <w:tcPr>
            <w:tcW w:w="247"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36</w:t>
            </w:r>
          </w:p>
        </w:tc>
      </w:tr>
      <w:tr w:rsidR="00FE5F88" w:rsidRPr="00B76559" w:rsidTr="000E1911">
        <w:trPr>
          <w:cantSplit/>
        </w:trPr>
        <w:tc>
          <w:tcPr>
            <w:tcW w:w="611"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bold-left"/>
              <w:rPr>
                <w:rFonts w:cs="Calibri"/>
                <w:sz w:val="18"/>
                <w:szCs w:val="18"/>
              </w:rPr>
            </w:pPr>
            <w:r w:rsidRPr="00B76559">
              <w:rPr>
                <w:rFonts w:cs="Calibri"/>
                <w:sz w:val="18"/>
                <w:szCs w:val="18"/>
              </w:rPr>
              <w:t>ODT LJ</w:t>
            </w:r>
          </w:p>
        </w:tc>
        <w:tc>
          <w:tcPr>
            <w:tcW w:w="299"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295</w:t>
            </w:r>
          </w:p>
        </w:tc>
        <w:tc>
          <w:tcPr>
            <w:tcW w:w="532"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26</w:t>
            </w:r>
          </w:p>
        </w:tc>
        <w:tc>
          <w:tcPr>
            <w:tcW w:w="249"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9</w:t>
            </w:r>
          </w:p>
        </w:tc>
        <w:tc>
          <w:tcPr>
            <w:tcW w:w="532"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146</w:t>
            </w:r>
          </w:p>
        </w:tc>
        <w:tc>
          <w:tcPr>
            <w:tcW w:w="249"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49</w:t>
            </w:r>
          </w:p>
        </w:tc>
        <w:tc>
          <w:tcPr>
            <w:tcW w:w="388"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4</w:t>
            </w:r>
          </w:p>
        </w:tc>
        <w:tc>
          <w:tcPr>
            <w:tcW w:w="249"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1</w:t>
            </w:r>
          </w:p>
        </w:tc>
        <w:tc>
          <w:tcPr>
            <w:tcW w:w="388"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52</w:t>
            </w:r>
          </w:p>
        </w:tc>
        <w:tc>
          <w:tcPr>
            <w:tcW w:w="245"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18</w:t>
            </w:r>
          </w:p>
        </w:tc>
        <w:tc>
          <w:tcPr>
            <w:tcW w:w="387"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0</w:t>
            </w:r>
          </w:p>
        </w:tc>
        <w:tc>
          <w:tcPr>
            <w:tcW w:w="237"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0</w:t>
            </w:r>
          </w:p>
        </w:tc>
        <w:tc>
          <w:tcPr>
            <w:tcW w:w="387"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67</w:t>
            </w:r>
          </w:p>
        </w:tc>
        <w:tc>
          <w:tcPr>
            <w:tcW w:w="247"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23</w:t>
            </w:r>
          </w:p>
        </w:tc>
      </w:tr>
      <w:tr w:rsidR="00FE5F88" w:rsidRPr="00B76559" w:rsidTr="000E1911">
        <w:trPr>
          <w:cantSplit/>
        </w:trPr>
        <w:tc>
          <w:tcPr>
            <w:tcW w:w="611"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bold-left"/>
              <w:rPr>
                <w:rFonts w:cs="Calibri"/>
                <w:sz w:val="18"/>
                <w:szCs w:val="18"/>
              </w:rPr>
            </w:pPr>
            <w:r w:rsidRPr="00B76559">
              <w:rPr>
                <w:rFonts w:cs="Calibri"/>
                <w:sz w:val="18"/>
                <w:szCs w:val="18"/>
              </w:rPr>
              <w:t>ODT MB</w:t>
            </w:r>
          </w:p>
        </w:tc>
        <w:tc>
          <w:tcPr>
            <w:tcW w:w="299"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86</w:t>
            </w:r>
          </w:p>
        </w:tc>
        <w:tc>
          <w:tcPr>
            <w:tcW w:w="532"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18</w:t>
            </w:r>
          </w:p>
        </w:tc>
        <w:tc>
          <w:tcPr>
            <w:tcW w:w="249"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21</w:t>
            </w:r>
          </w:p>
        </w:tc>
        <w:tc>
          <w:tcPr>
            <w:tcW w:w="532"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24</w:t>
            </w:r>
          </w:p>
        </w:tc>
        <w:tc>
          <w:tcPr>
            <w:tcW w:w="249"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28</w:t>
            </w:r>
          </w:p>
        </w:tc>
        <w:tc>
          <w:tcPr>
            <w:tcW w:w="388"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0</w:t>
            </w:r>
          </w:p>
        </w:tc>
        <w:tc>
          <w:tcPr>
            <w:tcW w:w="249"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0</w:t>
            </w:r>
          </w:p>
        </w:tc>
        <w:tc>
          <w:tcPr>
            <w:tcW w:w="388"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22</w:t>
            </w:r>
          </w:p>
        </w:tc>
        <w:tc>
          <w:tcPr>
            <w:tcW w:w="245"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26</w:t>
            </w:r>
          </w:p>
        </w:tc>
        <w:tc>
          <w:tcPr>
            <w:tcW w:w="387"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0</w:t>
            </w:r>
          </w:p>
        </w:tc>
        <w:tc>
          <w:tcPr>
            <w:tcW w:w="237"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0</w:t>
            </w:r>
          </w:p>
        </w:tc>
        <w:tc>
          <w:tcPr>
            <w:tcW w:w="387"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22</w:t>
            </w:r>
          </w:p>
        </w:tc>
        <w:tc>
          <w:tcPr>
            <w:tcW w:w="247"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26</w:t>
            </w:r>
          </w:p>
        </w:tc>
      </w:tr>
      <w:tr w:rsidR="00FE5F88" w:rsidRPr="00B76559" w:rsidTr="000E1911">
        <w:trPr>
          <w:cantSplit/>
        </w:trPr>
        <w:tc>
          <w:tcPr>
            <w:tcW w:w="611"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bold-left"/>
              <w:rPr>
                <w:rFonts w:cs="Calibri"/>
                <w:sz w:val="18"/>
                <w:szCs w:val="18"/>
              </w:rPr>
            </w:pPr>
            <w:r w:rsidRPr="00B76559">
              <w:rPr>
                <w:rFonts w:cs="Calibri"/>
                <w:sz w:val="18"/>
                <w:szCs w:val="18"/>
              </w:rPr>
              <w:t>ODT MS</w:t>
            </w:r>
          </w:p>
        </w:tc>
        <w:tc>
          <w:tcPr>
            <w:tcW w:w="299"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17</w:t>
            </w:r>
          </w:p>
        </w:tc>
        <w:tc>
          <w:tcPr>
            <w:tcW w:w="532"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3</w:t>
            </w:r>
          </w:p>
        </w:tc>
        <w:tc>
          <w:tcPr>
            <w:tcW w:w="249"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18</w:t>
            </w:r>
          </w:p>
        </w:tc>
        <w:tc>
          <w:tcPr>
            <w:tcW w:w="532"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5</w:t>
            </w:r>
          </w:p>
        </w:tc>
        <w:tc>
          <w:tcPr>
            <w:tcW w:w="249"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29</w:t>
            </w:r>
          </w:p>
        </w:tc>
        <w:tc>
          <w:tcPr>
            <w:tcW w:w="388"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0</w:t>
            </w:r>
          </w:p>
        </w:tc>
        <w:tc>
          <w:tcPr>
            <w:tcW w:w="249"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0</w:t>
            </w:r>
          </w:p>
        </w:tc>
        <w:tc>
          <w:tcPr>
            <w:tcW w:w="388"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6</w:t>
            </w:r>
          </w:p>
        </w:tc>
        <w:tc>
          <w:tcPr>
            <w:tcW w:w="245"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35</w:t>
            </w:r>
          </w:p>
        </w:tc>
        <w:tc>
          <w:tcPr>
            <w:tcW w:w="387"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0</w:t>
            </w:r>
          </w:p>
        </w:tc>
        <w:tc>
          <w:tcPr>
            <w:tcW w:w="237"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0</w:t>
            </w:r>
          </w:p>
        </w:tc>
        <w:tc>
          <w:tcPr>
            <w:tcW w:w="387"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3</w:t>
            </w:r>
          </w:p>
        </w:tc>
        <w:tc>
          <w:tcPr>
            <w:tcW w:w="247"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18</w:t>
            </w:r>
          </w:p>
        </w:tc>
      </w:tr>
      <w:tr w:rsidR="00FE5F88" w:rsidRPr="00B76559" w:rsidTr="000E1911">
        <w:trPr>
          <w:cantSplit/>
        </w:trPr>
        <w:tc>
          <w:tcPr>
            <w:tcW w:w="611"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bold-left"/>
              <w:rPr>
                <w:rFonts w:cs="Calibri"/>
                <w:sz w:val="18"/>
                <w:szCs w:val="18"/>
              </w:rPr>
            </w:pPr>
            <w:r w:rsidRPr="00B76559">
              <w:rPr>
                <w:rFonts w:cs="Calibri"/>
                <w:sz w:val="18"/>
                <w:szCs w:val="18"/>
              </w:rPr>
              <w:t>ODT NG</w:t>
            </w:r>
          </w:p>
        </w:tc>
        <w:tc>
          <w:tcPr>
            <w:tcW w:w="299"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56</w:t>
            </w:r>
          </w:p>
        </w:tc>
        <w:tc>
          <w:tcPr>
            <w:tcW w:w="532"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8</w:t>
            </w:r>
          </w:p>
        </w:tc>
        <w:tc>
          <w:tcPr>
            <w:tcW w:w="249"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14</w:t>
            </w:r>
          </w:p>
        </w:tc>
        <w:tc>
          <w:tcPr>
            <w:tcW w:w="532"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7</w:t>
            </w:r>
          </w:p>
        </w:tc>
        <w:tc>
          <w:tcPr>
            <w:tcW w:w="249"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12</w:t>
            </w:r>
          </w:p>
        </w:tc>
        <w:tc>
          <w:tcPr>
            <w:tcW w:w="388"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4</w:t>
            </w:r>
          </w:p>
        </w:tc>
        <w:tc>
          <w:tcPr>
            <w:tcW w:w="249"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7</w:t>
            </w:r>
          </w:p>
        </w:tc>
        <w:tc>
          <w:tcPr>
            <w:tcW w:w="388"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13</w:t>
            </w:r>
          </w:p>
        </w:tc>
        <w:tc>
          <w:tcPr>
            <w:tcW w:w="245"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23</w:t>
            </w:r>
          </w:p>
        </w:tc>
        <w:tc>
          <w:tcPr>
            <w:tcW w:w="387"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0</w:t>
            </w:r>
          </w:p>
        </w:tc>
        <w:tc>
          <w:tcPr>
            <w:tcW w:w="237"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0</w:t>
            </w:r>
          </w:p>
        </w:tc>
        <w:tc>
          <w:tcPr>
            <w:tcW w:w="387"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24</w:t>
            </w:r>
          </w:p>
        </w:tc>
        <w:tc>
          <w:tcPr>
            <w:tcW w:w="247"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43</w:t>
            </w:r>
          </w:p>
        </w:tc>
      </w:tr>
      <w:tr w:rsidR="00FE5F88" w:rsidRPr="00B76559" w:rsidTr="000E1911">
        <w:trPr>
          <w:cantSplit/>
        </w:trPr>
        <w:tc>
          <w:tcPr>
            <w:tcW w:w="611"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bold-left"/>
              <w:rPr>
                <w:rFonts w:cs="Calibri"/>
                <w:sz w:val="18"/>
                <w:szCs w:val="18"/>
              </w:rPr>
            </w:pPr>
            <w:r w:rsidRPr="00B76559">
              <w:rPr>
                <w:rFonts w:cs="Calibri"/>
                <w:sz w:val="18"/>
                <w:szCs w:val="18"/>
              </w:rPr>
              <w:t>ODT NM</w:t>
            </w:r>
          </w:p>
        </w:tc>
        <w:tc>
          <w:tcPr>
            <w:tcW w:w="299"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85</w:t>
            </w:r>
          </w:p>
        </w:tc>
        <w:tc>
          <w:tcPr>
            <w:tcW w:w="532"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2</w:t>
            </w:r>
          </w:p>
        </w:tc>
        <w:tc>
          <w:tcPr>
            <w:tcW w:w="249"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2</w:t>
            </w:r>
          </w:p>
        </w:tc>
        <w:tc>
          <w:tcPr>
            <w:tcW w:w="532"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60</w:t>
            </w:r>
          </w:p>
        </w:tc>
        <w:tc>
          <w:tcPr>
            <w:tcW w:w="249"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71</w:t>
            </w:r>
          </w:p>
        </w:tc>
        <w:tc>
          <w:tcPr>
            <w:tcW w:w="388"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2</w:t>
            </w:r>
          </w:p>
        </w:tc>
        <w:tc>
          <w:tcPr>
            <w:tcW w:w="249"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2</w:t>
            </w:r>
          </w:p>
        </w:tc>
        <w:tc>
          <w:tcPr>
            <w:tcW w:w="388"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0</w:t>
            </w:r>
          </w:p>
        </w:tc>
        <w:tc>
          <w:tcPr>
            <w:tcW w:w="245"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0</w:t>
            </w:r>
          </w:p>
        </w:tc>
        <w:tc>
          <w:tcPr>
            <w:tcW w:w="387"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0</w:t>
            </w:r>
          </w:p>
        </w:tc>
        <w:tc>
          <w:tcPr>
            <w:tcW w:w="237"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0</w:t>
            </w:r>
          </w:p>
        </w:tc>
        <w:tc>
          <w:tcPr>
            <w:tcW w:w="387"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21</w:t>
            </w:r>
          </w:p>
        </w:tc>
        <w:tc>
          <w:tcPr>
            <w:tcW w:w="247"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25</w:t>
            </w:r>
          </w:p>
        </w:tc>
      </w:tr>
      <w:tr w:rsidR="00FE5F88" w:rsidRPr="00B76559" w:rsidTr="000E1911">
        <w:trPr>
          <w:cantSplit/>
        </w:trPr>
        <w:tc>
          <w:tcPr>
            <w:tcW w:w="611"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bold-left"/>
              <w:rPr>
                <w:rFonts w:cs="Calibri"/>
                <w:sz w:val="18"/>
                <w:szCs w:val="18"/>
              </w:rPr>
            </w:pPr>
            <w:r w:rsidRPr="00B76559">
              <w:rPr>
                <w:rFonts w:cs="Calibri"/>
                <w:sz w:val="18"/>
                <w:szCs w:val="18"/>
              </w:rPr>
              <w:t>ODT PT</w:t>
            </w:r>
          </w:p>
        </w:tc>
        <w:tc>
          <w:tcPr>
            <w:tcW w:w="299"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18</w:t>
            </w:r>
          </w:p>
        </w:tc>
        <w:tc>
          <w:tcPr>
            <w:tcW w:w="532"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2</w:t>
            </w:r>
          </w:p>
        </w:tc>
        <w:tc>
          <w:tcPr>
            <w:tcW w:w="249"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11</w:t>
            </w:r>
          </w:p>
        </w:tc>
        <w:tc>
          <w:tcPr>
            <w:tcW w:w="532"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6</w:t>
            </w:r>
          </w:p>
        </w:tc>
        <w:tc>
          <w:tcPr>
            <w:tcW w:w="249"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33</w:t>
            </w:r>
          </w:p>
        </w:tc>
        <w:tc>
          <w:tcPr>
            <w:tcW w:w="388"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2</w:t>
            </w:r>
          </w:p>
        </w:tc>
        <w:tc>
          <w:tcPr>
            <w:tcW w:w="249"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11</w:t>
            </w:r>
          </w:p>
        </w:tc>
        <w:tc>
          <w:tcPr>
            <w:tcW w:w="388"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4</w:t>
            </w:r>
          </w:p>
        </w:tc>
        <w:tc>
          <w:tcPr>
            <w:tcW w:w="245"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22</w:t>
            </w:r>
          </w:p>
        </w:tc>
        <w:tc>
          <w:tcPr>
            <w:tcW w:w="387"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0</w:t>
            </w:r>
          </w:p>
        </w:tc>
        <w:tc>
          <w:tcPr>
            <w:tcW w:w="237"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0</w:t>
            </w:r>
          </w:p>
        </w:tc>
        <w:tc>
          <w:tcPr>
            <w:tcW w:w="387"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4</w:t>
            </w:r>
          </w:p>
        </w:tc>
        <w:tc>
          <w:tcPr>
            <w:tcW w:w="247"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22</w:t>
            </w:r>
          </w:p>
        </w:tc>
      </w:tr>
      <w:tr w:rsidR="00FE5F88" w:rsidRPr="00B76559" w:rsidTr="000E1911">
        <w:trPr>
          <w:cantSplit/>
        </w:trPr>
        <w:tc>
          <w:tcPr>
            <w:tcW w:w="611"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bold-left"/>
              <w:rPr>
                <w:rFonts w:cs="Calibri"/>
                <w:sz w:val="18"/>
                <w:szCs w:val="18"/>
              </w:rPr>
            </w:pPr>
            <w:r w:rsidRPr="00B76559">
              <w:rPr>
                <w:rFonts w:cs="Calibri"/>
                <w:sz w:val="18"/>
                <w:szCs w:val="18"/>
              </w:rPr>
              <w:t>ODT SG</w:t>
            </w:r>
          </w:p>
        </w:tc>
        <w:tc>
          <w:tcPr>
            <w:tcW w:w="299"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13</w:t>
            </w:r>
          </w:p>
        </w:tc>
        <w:tc>
          <w:tcPr>
            <w:tcW w:w="532"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5</w:t>
            </w:r>
          </w:p>
        </w:tc>
        <w:tc>
          <w:tcPr>
            <w:tcW w:w="249"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38</w:t>
            </w:r>
          </w:p>
        </w:tc>
        <w:tc>
          <w:tcPr>
            <w:tcW w:w="532"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3</w:t>
            </w:r>
          </w:p>
        </w:tc>
        <w:tc>
          <w:tcPr>
            <w:tcW w:w="249"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23</w:t>
            </w:r>
          </w:p>
        </w:tc>
        <w:tc>
          <w:tcPr>
            <w:tcW w:w="388"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1</w:t>
            </w:r>
          </w:p>
        </w:tc>
        <w:tc>
          <w:tcPr>
            <w:tcW w:w="249"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8</w:t>
            </w:r>
          </w:p>
        </w:tc>
        <w:tc>
          <w:tcPr>
            <w:tcW w:w="388"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3</w:t>
            </w:r>
          </w:p>
        </w:tc>
        <w:tc>
          <w:tcPr>
            <w:tcW w:w="245"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23</w:t>
            </w:r>
          </w:p>
        </w:tc>
        <w:tc>
          <w:tcPr>
            <w:tcW w:w="387"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0</w:t>
            </w:r>
          </w:p>
        </w:tc>
        <w:tc>
          <w:tcPr>
            <w:tcW w:w="237"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0</w:t>
            </w:r>
          </w:p>
        </w:tc>
        <w:tc>
          <w:tcPr>
            <w:tcW w:w="387"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1</w:t>
            </w:r>
          </w:p>
        </w:tc>
        <w:tc>
          <w:tcPr>
            <w:tcW w:w="247"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8</w:t>
            </w:r>
          </w:p>
        </w:tc>
      </w:tr>
      <w:tr w:rsidR="00FE5F88" w:rsidRPr="00B76559" w:rsidTr="000E1911">
        <w:trPr>
          <w:cantSplit/>
        </w:trPr>
        <w:tc>
          <w:tcPr>
            <w:tcW w:w="611"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bold-left"/>
              <w:rPr>
                <w:rFonts w:cs="Calibri"/>
                <w:sz w:val="18"/>
                <w:szCs w:val="18"/>
              </w:rPr>
            </w:pPr>
            <w:r w:rsidRPr="00B76559">
              <w:rPr>
                <w:rFonts w:cs="Calibri"/>
                <w:sz w:val="18"/>
                <w:szCs w:val="18"/>
              </w:rPr>
              <w:t>OPP</w:t>
            </w:r>
          </w:p>
        </w:tc>
        <w:tc>
          <w:tcPr>
            <w:tcW w:w="299"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0</w:t>
            </w:r>
          </w:p>
        </w:tc>
        <w:tc>
          <w:tcPr>
            <w:tcW w:w="532"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0</w:t>
            </w:r>
          </w:p>
        </w:tc>
        <w:tc>
          <w:tcPr>
            <w:tcW w:w="249"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0</w:t>
            </w:r>
          </w:p>
        </w:tc>
        <w:tc>
          <w:tcPr>
            <w:tcW w:w="532"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0</w:t>
            </w:r>
          </w:p>
        </w:tc>
        <w:tc>
          <w:tcPr>
            <w:tcW w:w="249"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0</w:t>
            </w:r>
          </w:p>
        </w:tc>
        <w:tc>
          <w:tcPr>
            <w:tcW w:w="388"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0</w:t>
            </w:r>
          </w:p>
        </w:tc>
        <w:tc>
          <w:tcPr>
            <w:tcW w:w="249"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0</w:t>
            </w:r>
          </w:p>
        </w:tc>
        <w:tc>
          <w:tcPr>
            <w:tcW w:w="388"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0</w:t>
            </w:r>
          </w:p>
        </w:tc>
        <w:tc>
          <w:tcPr>
            <w:tcW w:w="245"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0</w:t>
            </w:r>
          </w:p>
        </w:tc>
        <w:tc>
          <w:tcPr>
            <w:tcW w:w="387"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0</w:t>
            </w:r>
          </w:p>
        </w:tc>
        <w:tc>
          <w:tcPr>
            <w:tcW w:w="237"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0</w:t>
            </w:r>
          </w:p>
        </w:tc>
        <w:tc>
          <w:tcPr>
            <w:tcW w:w="387"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0</w:t>
            </w:r>
          </w:p>
        </w:tc>
        <w:tc>
          <w:tcPr>
            <w:tcW w:w="247"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0</w:t>
            </w:r>
          </w:p>
        </w:tc>
      </w:tr>
      <w:tr w:rsidR="00FE5F88" w:rsidRPr="00B76559" w:rsidTr="000E1911">
        <w:trPr>
          <w:cantSplit/>
        </w:trPr>
        <w:tc>
          <w:tcPr>
            <w:tcW w:w="611" w:type="pct"/>
            <w:tcBorders>
              <w:top w:val="single" w:sz="4" w:space="0" w:color="877850"/>
              <w:bottom w:val="single" w:sz="4" w:space="0" w:color="877850"/>
            </w:tcBorders>
            <w:shd w:val="clear" w:color="auto" w:fill="auto"/>
            <w:vAlign w:val="center"/>
          </w:tcPr>
          <w:p w:rsidR="00FE5F88" w:rsidRPr="00AD12C4" w:rsidRDefault="00FE5F88" w:rsidP="000E1911">
            <w:pPr>
              <w:pStyle w:val="Tabela-vsebina-bold-left"/>
              <w:rPr>
                <w:rFonts w:cs="Calibri"/>
                <w:sz w:val="18"/>
                <w:szCs w:val="18"/>
              </w:rPr>
            </w:pPr>
            <w:r w:rsidRPr="00B76559">
              <w:rPr>
                <w:rFonts w:cs="Calibri"/>
                <w:sz w:val="18"/>
                <w:szCs w:val="18"/>
              </w:rPr>
              <w:t>SDT</w:t>
            </w:r>
            <w:r>
              <w:rPr>
                <w:rFonts w:cs="Calibri"/>
                <w:sz w:val="18"/>
                <w:szCs w:val="18"/>
              </w:rPr>
              <w:t xml:space="preserve"> RS</w:t>
            </w:r>
          </w:p>
        </w:tc>
        <w:tc>
          <w:tcPr>
            <w:tcW w:w="299"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4</w:t>
            </w:r>
          </w:p>
        </w:tc>
        <w:tc>
          <w:tcPr>
            <w:tcW w:w="532"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0</w:t>
            </w:r>
          </w:p>
        </w:tc>
        <w:tc>
          <w:tcPr>
            <w:tcW w:w="249"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0</w:t>
            </w:r>
          </w:p>
        </w:tc>
        <w:tc>
          <w:tcPr>
            <w:tcW w:w="532"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0</w:t>
            </w:r>
          </w:p>
        </w:tc>
        <w:tc>
          <w:tcPr>
            <w:tcW w:w="249"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0</w:t>
            </w:r>
          </w:p>
        </w:tc>
        <w:tc>
          <w:tcPr>
            <w:tcW w:w="388"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0</w:t>
            </w:r>
          </w:p>
        </w:tc>
        <w:tc>
          <w:tcPr>
            <w:tcW w:w="249"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0</w:t>
            </w:r>
          </w:p>
        </w:tc>
        <w:tc>
          <w:tcPr>
            <w:tcW w:w="388"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0</w:t>
            </w:r>
          </w:p>
        </w:tc>
        <w:tc>
          <w:tcPr>
            <w:tcW w:w="245"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0</w:t>
            </w:r>
          </w:p>
        </w:tc>
        <w:tc>
          <w:tcPr>
            <w:tcW w:w="387"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0</w:t>
            </w:r>
          </w:p>
        </w:tc>
        <w:tc>
          <w:tcPr>
            <w:tcW w:w="237"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0</w:t>
            </w:r>
          </w:p>
        </w:tc>
        <w:tc>
          <w:tcPr>
            <w:tcW w:w="387"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4</w:t>
            </w:r>
          </w:p>
        </w:tc>
        <w:tc>
          <w:tcPr>
            <w:tcW w:w="247"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100</w:t>
            </w:r>
          </w:p>
        </w:tc>
      </w:tr>
      <w:tr w:rsidR="00FE5F88" w:rsidRPr="00B76559" w:rsidTr="000E1911">
        <w:trPr>
          <w:cantSplit/>
        </w:trPr>
        <w:tc>
          <w:tcPr>
            <w:tcW w:w="611" w:type="pct"/>
            <w:tcBorders>
              <w:top w:val="single" w:sz="4" w:space="0" w:color="877850"/>
              <w:bottom w:val="single" w:sz="4" w:space="0" w:color="877850"/>
            </w:tcBorders>
            <w:shd w:val="clear" w:color="auto" w:fill="auto"/>
            <w:vAlign w:val="center"/>
          </w:tcPr>
          <w:p w:rsidR="00FE5F88" w:rsidRPr="00AD12C4" w:rsidRDefault="00FE5F88" w:rsidP="000E1911">
            <w:pPr>
              <w:pStyle w:val="Tabela-vsebina-bold-left"/>
              <w:rPr>
                <w:rFonts w:cs="Calibri"/>
                <w:sz w:val="18"/>
                <w:szCs w:val="18"/>
              </w:rPr>
            </w:pPr>
            <w:r w:rsidRPr="00B76559">
              <w:rPr>
                <w:rFonts w:cs="Calibri"/>
                <w:sz w:val="18"/>
                <w:szCs w:val="18"/>
              </w:rPr>
              <w:t>VDT</w:t>
            </w:r>
            <w:r>
              <w:rPr>
                <w:rFonts w:cs="Calibri"/>
                <w:sz w:val="18"/>
                <w:szCs w:val="18"/>
              </w:rPr>
              <w:t xml:space="preserve"> RS</w:t>
            </w:r>
          </w:p>
        </w:tc>
        <w:tc>
          <w:tcPr>
            <w:tcW w:w="299"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0</w:t>
            </w:r>
          </w:p>
        </w:tc>
        <w:tc>
          <w:tcPr>
            <w:tcW w:w="532"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0</w:t>
            </w:r>
          </w:p>
        </w:tc>
        <w:tc>
          <w:tcPr>
            <w:tcW w:w="249"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0</w:t>
            </w:r>
          </w:p>
        </w:tc>
        <w:tc>
          <w:tcPr>
            <w:tcW w:w="532"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0</w:t>
            </w:r>
          </w:p>
        </w:tc>
        <w:tc>
          <w:tcPr>
            <w:tcW w:w="249"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0</w:t>
            </w:r>
          </w:p>
        </w:tc>
        <w:tc>
          <w:tcPr>
            <w:tcW w:w="388"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0</w:t>
            </w:r>
          </w:p>
        </w:tc>
        <w:tc>
          <w:tcPr>
            <w:tcW w:w="249"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0</w:t>
            </w:r>
          </w:p>
        </w:tc>
        <w:tc>
          <w:tcPr>
            <w:tcW w:w="388"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0</w:t>
            </w:r>
          </w:p>
        </w:tc>
        <w:tc>
          <w:tcPr>
            <w:tcW w:w="245"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0</w:t>
            </w:r>
          </w:p>
        </w:tc>
        <w:tc>
          <w:tcPr>
            <w:tcW w:w="387"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0</w:t>
            </w:r>
          </w:p>
        </w:tc>
        <w:tc>
          <w:tcPr>
            <w:tcW w:w="237"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0</w:t>
            </w:r>
          </w:p>
        </w:tc>
        <w:tc>
          <w:tcPr>
            <w:tcW w:w="387"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0</w:t>
            </w:r>
          </w:p>
        </w:tc>
        <w:tc>
          <w:tcPr>
            <w:tcW w:w="247"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0</w:t>
            </w:r>
          </w:p>
        </w:tc>
      </w:tr>
      <w:tr w:rsidR="00FE5F88" w:rsidRPr="00B76559" w:rsidTr="000E1911">
        <w:trPr>
          <w:cantSplit/>
        </w:trPr>
        <w:tc>
          <w:tcPr>
            <w:tcW w:w="611"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bold-left"/>
              <w:rPr>
                <w:rFonts w:cs="Calibri"/>
                <w:sz w:val="18"/>
                <w:szCs w:val="18"/>
              </w:rPr>
            </w:pPr>
            <w:r w:rsidRPr="00B76559">
              <w:rPr>
                <w:rFonts w:cs="Calibri"/>
                <w:sz w:val="18"/>
                <w:szCs w:val="18"/>
              </w:rPr>
              <w:t>Skupaj</w:t>
            </w:r>
          </w:p>
        </w:tc>
        <w:tc>
          <w:tcPr>
            <w:tcW w:w="299"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b/>
                <w:bCs/>
                <w:sz w:val="18"/>
                <w:szCs w:val="18"/>
              </w:rPr>
            </w:pPr>
            <w:r w:rsidRPr="00B76559">
              <w:rPr>
                <w:rFonts w:cs="Calibri"/>
                <w:b/>
                <w:bCs/>
                <w:sz w:val="18"/>
                <w:szCs w:val="18"/>
              </w:rPr>
              <w:t>854</w:t>
            </w:r>
          </w:p>
        </w:tc>
        <w:tc>
          <w:tcPr>
            <w:tcW w:w="532"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b/>
                <w:bCs/>
                <w:sz w:val="18"/>
                <w:szCs w:val="18"/>
              </w:rPr>
            </w:pPr>
            <w:r w:rsidRPr="00B76559">
              <w:rPr>
                <w:rFonts w:cs="Calibri"/>
                <w:b/>
                <w:bCs/>
                <w:sz w:val="18"/>
                <w:szCs w:val="18"/>
              </w:rPr>
              <w:t>145</w:t>
            </w:r>
          </w:p>
        </w:tc>
        <w:tc>
          <w:tcPr>
            <w:tcW w:w="249"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b/>
                <w:bCs/>
                <w:sz w:val="18"/>
                <w:szCs w:val="18"/>
              </w:rPr>
            </w:pPr>
            <w:r w:rsidRPr="00B76559">
              <w:rPr>
                <w:rFonts w:cs="Calibri"/>
                <w:b/>
                <w:bCs/>
                <w:sz w:val="18"/>
                <w:szCs w:val="18"/>
              </w:rPr>
              <w:t>17</w:t>
            </w:r>
          </w:p>
        </w:tc>
        <w:tc>
          <w:tcPr>
            <w:tcW w:w="532"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b/>
                <w:bCs/>
                <w:sz w:val="18"/>
                <w:szCs w:val="18"/>
              </w:rPr>
            </w:pPr>
            <w:r w:rsidRPr="00B76559">
              <w:rPr>
                <w:rFonts w:cs="Calibri"/>
                <w:b/>
                <w:bCs/>
                <w:sz w:val="18"/>
                <w:szCs w:val="18"/>
              </w:rPr>
              <w:t>327</w:t>
            </w:r>
          </w:p>
        </w:tc>
        <w:tc>
          <w:tcPr>
            <w:tcW w:w="249"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b/>
                <w:bCs/>
                <w:sz w:val="18"/>
                <w:szCs w:val="18"/>
              </w:rPr>
            </w:pPr>
            <w:r w:rsidRPr="00B76559">
              <w:rPr>
                <w:rFonts w:cs="Calibri"/>
                <w:b/>
                <w:bCs/>
                <w:sz w:val="18"/>
                <w:szCs w:val="18"/>
              </w:rPr>
              <w:t>38</w:t>
            </w:r>
          </w:p>
        </w:tc>
        <w:tc>
          <w:tcPr>
            <w:tcW w:w="388"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b/>
                <w:bCs/>
                <w:sz w:val="18"/>
                <w:szCs w:val="18"/>
              </w:rPr>
            </w:pPr>
            <w:r w:rsidRPr="00B76559">
              <w:rPr>
                <w:rFonts w:cs="Calibri"/>
                <w:b/>
                <w:bCs/>
                <w:sz w:val="18"/>
                <w:szCs w:val="18"/>
              </w:rPr>
              <w:t>21</w:t>
            </w:r>
          </w:p>
        </w:tc>
        <w:tc>
          <w:tcPr>
            <w:tcW w:w="249"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b/>
                <w:bCs/>
                <w:sz w:val="18"/>
                <w:szCs w:val="18"/>
              </w:rPr>
            </w:pPr>
            <w:r w:rsidRPr="00B76559">
              <w:rPr>
                <w:rFonts w:cs="Calibri"/>
                <w:b/>
                <w:bCs/>
                <w:sz w:val="18"/>
                <w:szCs w:val="18"/>
              </w:rPr>
              <w:t>2</w:t>
            </w:r>
          </w:p>
        </w:tc>
        <w:tc>
          <w:tcPr>
            <w:tcW w:w="388"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b/>
                <w:bCs/>
                <w:sz w:val="18"/>
                <w:szCs w:val="18"/>
              </w:rPr>
            </w:pPr>
            <w:r w:rsidRPr="00B76559">
              <w:rPr>
                <w:rFonts w:cs="Calibri"/>
                <w:b/>
                <w:bCs/>
                <w:sz w:val="18"/>
                <w:szCs w:val="18"/>
              </w:rPr>
              <w:t>133</w:t>
            </w:r>
          </w:p>
        </w:tc>
        <w:tc>
          <w:tcPr>
            <w:tcW w:w="245"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b/>
                <w:bCs/>
                <w:sz w:val="18"/>
                <w:szCs w:val="18"/>
              </w:rPr>
            </w:pPr>
            <w:r w:rsidRPr="00B76559">
              <w:rPr>
                <w:rFonts w:cs="Calibri"/>
                <w:b/>
                <w:bCs/>
                <w:sz w:val="18"/>
                <w:szCs w:val="18"/>
              </w:rPr>
              <w:t>16</w:t>
            </w:r>
          </w:p>
        </w:tc>
        <w:tc>
          <w:tcPr>
            <w:tcW w:w="387"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b/>
                <w:bCs/>
                <w:sz w:val="18"/>
                <w:szCs w:val="18"/>
              </w:rPr>
            </w:pPr>
            <w:r w:rsidRPr="00B76559">
              <w:rPr>
                <w:rFonts w:cs="Calibri"/>
                <w:b/>
                <w:bCs/>
                <w:sz w:val="18"/>
                <w:szCs w:val="18"/>
              </w:rPr>
              <w:t>0</w:t>
            </w:r>
          </w:p>
        </w:tc>
        <w:tc>
          <w:tcPr>
            <w:tcW w:w="237"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b/>
                <w:bCs/>
                <w:sz w:val="18"/>
                <w:szCs w:val="18"/>
              </w:rPr>
            </w:pPr>
            <w:r w:rsidRPr="00B76559">
              <w:rPr>
                <w:rFonts w:cs="Calibri"/>
                <w:b/>
                <w:bCs/>
                <w:sz w:val="18"/>
                <w:szCs w:val="18"/>
              </w:rPr>
              <w:t>0</w:t>
            </w:r>
          </w:p>
        </w:tc>
        <w:tc>
          <w:tcPr>
            <w:tcW w:w="387"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b/>
                <w:bCs/>
                <w:sz w:val="18"/>
                <w:szCs w:val="18"/>
              </w:rPr>
            </w:pPr>
            <w:r w:rsidRPr="00B76559">
              <w:rPr>
                <w:rFonts w:cs="Calibri"/>
                <w:b/>
                <w:bCs/>
                <w:sz w:val="18"/>
                <w:szCs w:val="18"/>
              </w:rPr>
              <w:t>228</w:t>
            </w:r>
          </w:p>
        </w:tc>
        <w:tc>
          <w:tcPr>
            <w:tcW w:w="247"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b/>
                <w:bCs/>
                <w:sz w:val="18"/>
                <w:szCs w:val="18"/>
              </w:rPr>
            </w:pPr>
            <w:r w:rsidRPr="00B76559">
              <w:rPr>
                <w:rFonts w:cs="Calibri"/>
                <w:b/>
                <w:bCs/>
                <w:sz w:val="18"/>
                <w:szCs w:val="18"/>
              </w:rPr>
              <w:t>27</w:t>
            </w:r>
          </w:p>
        </w:tc>
      </w:tr>
      <w:tr w:rsidR="00FE5F88" w:rsidRPr="00B76559" w:rsidTr="000E1911">
        <w:trPr>
          <w:cantSplit/>
        </w:trPr>
        <w:tc>
          <w:tcPr>
            <w:tcW w:w="611"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bold-left"/>
              <w:rPr>
                <w:rFonts w:cs="Calibri"/>
                <w:sz w:val="18"/>
                <w:szCs w:val="18"/>
              </w:rPr>
            </w:pPr>
            <w:r w:rsidRPr="00B76559">
              <w:rPr>
                <w:rFonts w:cs="Calibri"/>
                <w:sz w:val="18"/>
                <w:szCs w:val="18"/>
              </w:rPr>
              <w:t>Poprečje ODT</w:t>
            </w:r>
          </w:p>
        </w:tc>
        <w:tc>
          <w:tcPr>
            <w:tcW w:w="299"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77</w:t>
            </w:r>
          </w:p>
        </w:tc>
        <w:tc>
          <w:tcPr>
            <w:tcW w:w="532"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13</w:t>
            </w:r>
          </w:p>
        </w:tc>
        <w:tc>
          <w:tcPr>
            <w:tcW w:w="249"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20</w:t>
            </w:r>
          </w:p>
        </w:tc>
        <w:tc>
          <w:tcPr>
            <w:tcW w:w="532"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30</w:t>
            </w:r>
          </w:p>
        </w:tc>
        <w:tc>
          <w:tcPr>
            <w:tcW w:w="249"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32</w:t>
            </w:r>
          </w:p>
        </w:tc>
        <w:tc>
          <w:tcPr>
            <w:tcW w:w="388"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2</w:t>
            </w:r>
          </w:p>
        </w:tc>
        <w:tc>
          <w:tcPr>
            <w:tcW w:w="249"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4</w:t>
            </w:r>
          </w:p>
        </w:tc>
        <w:tc>
          <w:tcPr>
            <w:tcW w:w="388"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12</w:t>
            </w:r>
          </w:p>
        </w:tc>
        <w:tc>
          <w:tcPr>
            <w:tcW w:w="245"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17</w:t>
            </w:r>
          </w:p>
        </w:tc>
        <w:tc>
          <w:tcPr>
            <w:tcW w:w="387"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0</w:t>
            </w:r>
          </w:p>
        </w:tc>
        <w:tc>
          <w:tcPr>
            <w:tcW w:w="237"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0</w:t>
            </w:r>
          </w:p>
        </w:tc>
        <w:tc>
          <w:tcPr>
            <w:tcW w:w="387"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20</w:t>
            </w:r>
          </w:p>
        </w:tc>
        <w:tc>
          <w:tcPr>
            <w:tcW w:w="247" w:type="pct"/>
            <w:tcBorders>
              <w:top w:val="single" w:sz="4" w:space="0" w:color="877850"/>
              <w:bottom w:val="single" w:sz="4"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27</w:t>
            </w:r>
          </w:p>
        </w:tc>
      </w:tr>
      <w:tr w:rsidR="00FE5F88" w:rsidRPr="00B76559" w:rsidTr="000E1911">
        <w:trPr>
          <w:cantSplit/>
        </w:trPr>
        <w:tc>
          <w:tcPr>
            <w:tcW w:w="611" w:type="pct"/>
            <w:tcBorders>
              <w:top w:val="single" w:sz="4" w:space="0" w:color="877850"/>
              <w:bottom w:val="single" w:sz="12" w:space="0" w:color="877850"/>
            </w:tcBorders>
            <w:shd w:val="clear" w:color="auto" w:fill="auto"/>
            <w:vAlign w:val="center"/>
          </w:tcPr>
          <w:p w:rsidR="00FE5F88" w:rsidRPr="00B76559" w:rsidRDefault="00FE5F88" w:rsidP="000E1911">
            <w:pPr>
              <w:pStyle w:val="Tabela-vsebina-bold-left"/>
              <w:rPr>
                <w:rFonts w:cs="Calibri"/>
                <w:sz w:val="18"/>
                <w:szCs w:val="18"/>
              </w:rPr>
            </w:pPr>
            <w:r>
              <w:rPr>
                <w:rFonts w:cs="Calibri"/>
                <w:sz w:val="18"/>
                <w:szCs w:val="18"/>
              </w:rPr>
              <w:t>Poprečje ODT OPP SDT RS</w:t>
            </w:r>
          </w:p>
        </w:tc>
        <w:tc>
          <w:tcPr>
            <w:tcW w:w="299" w:type="pct"/>
            <w:tcBorders>
              <w:top w:val="single" w:sz="4" w:space="0" w:color="877850"/>
              <w:bottom w:val="single" w:sz="12"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66</w:t>
            </w:r>
          </w:p>
        </w:tc>
        <w:tc>
          <w:tcPr>
            <w:tcW w:w="532" w:type="pct"/>
            <w:tcBorders>
              <w:top w:val="single" w:sz="4" w:space="0" w:color="877850"/>
              <w:bottom w:val="single" w:sz="12"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11</w:t>
            </w:r>
          </w:p>
        </w:tc>
        <w:tc>
          <w:tcPr>
            <w:tcW w:w="249" w:type="pct"/>
            <w:tcBorders>
              <w:top w:val="single" w:sz="4" w:space="0" w:color="877850"/>
              <w:bottom w:val="single" w:sz="12"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17</w:t>
            </w:r>
          </w:p>
        </w:tc>
        <w:tc>
          <w:tcPr>
            <w:tcW w:w="532" w:type="pct"/>
            <w:tcBorders>
              <w:top w:val="single" w:sz="4" w:space="0" w:color="877850"/>
              <w:bottom w:val="single" w:sz="12"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25</w:t>
            </w:r>
          </w:p>
        </w:tc>
        <w:tc>
          <w:tcPr>
            <w:tcW w:w="249" w:type="pct"/>
            <w:tcBorders>
              <w:top w:val="single" w:sz="4" w:space="0" w:color="877850"/>
              <w:bottom w:val="single" w:sz="12"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27</w:t>
            </w:r>
          </w:p>
        </w:tc>
        <w:tc>
          <w:tcPr>
            <w:tcW w:w="388" w:type="pct"/>
            <w:tcBorders>
              <w:top w:val="single" w:sz="4" w:space="0" w:color="877850"/>
              <w:bottom w:val="single" w:sz="12"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2</w:t>
            </w:r>
          </w:p>
        </w:tc>
        <w:tc>
          <w:tcPr>
            <w:tcW w:w="249" w:type="pct"/>
            <w:tcBorders>
              <w:top w:val="single" w:sz="4" w:space="0" w:color="877850"/>
              <w:bottom w:val="single" w:sz="12"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3</w:t>
            </w:r>
          </w:p>
        </w:tc>
        <w:tc>
          <w:tcPr>
            <w:tcW w:w="388" w:type="pct"/>
            <w:tcBorders>
              <w:top w:val="single" w:sz="4" w:space="0" w:color="877850"/>
              <w:bottom w:val="single" w:sz="12"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10</w:t>
            </w:r>
          </w:p>
        </w:tc>
        <w:tc>
          <w:tcPr>
            <w:tcW w:w="245" w:type="pct"/>
            <w:tcBorders>
              <w:top w:val="single" w:sz="4" w:space="0" w:color="877850"/>
              <w:bottom w:val="single" w:sz="12"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15</w:t>
            </w:r>
          </w:p>
        </w:tc>
        <w:tc>
          <w:tcPr>
            <w:tcW w:w="387" w:type="pct"/>
            <w:tcBorders>
              <w:top w:val="single" w:sz="4" w:space="0" w:color="877850"/>
              <w:bottom w:val="single" w:sz="12"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0</w:t>
            </w:r>
          </w:p>
        </w:tc>
        <w:tc>
          <w:tcPr>
            <w:tcW w:w="237" w:type="pct"/>
            <w:tcBorders>
              <w:top w:val="single" w:sz="4" w:space="0" w:color="877850"/>
              <w:bottom w:val="single" w:sz="12"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0</w:t>
            </w:r>
          </w:p>
        </w:tc>
        <w:tc>
          <w:tcPr>
            <w:tcW w:w="387" w:type="pct"/>
            <w:tcBorders>
              <w:top w:val="single" w:sz="4" w:space="0" w:color="877850"/>
              <w:bottom w:val="single" w:sz="12"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18</w:t>
            </w:r>
          </w:p>
        </w:tc>
        <w:tc>
          <w:tcPr>
            <w:tcW w:w="247" w:type="pct"/>
            <w:tcBorders>
              <w:top w:val="single" w:sz="4" w:space="0" w:color="877850"/>
              <w:bottom w:val="single" w:sz="12" w:space="0" w:color="877850"/>
            </w:tcBorders>
            <w:shd w:val="clear" w:color="auto" w:fill="auto"/>
            <w:vAlign w:val="center"/>
          </w:tcPr>
          <w:p w:rsidR="00FE5F88" w:rsidRPr="00B76559" w:rsidRDefault="00FE5F88" w:rsidP="000E1911">
            <w:pPr>
              <w:pStyle w:val="Tabela-vsebina-vrednosti"/>
              <w:rPr>
                <w:rFonts w:cs="Calibri"/>
                <w:sz w:val="18"/>
                <w:szCs w:val="18"/>
              </w:rPr>
            </w:pPr>
            <w:r w:rsidRPr="00B76559">
              <w:rPr>
                <w:rFonts w:cs="Calibri"/>
                <w:sz w:val="18"/>
                <w:szCs w:val="18"/>
              </w:rPr>
              <w:t>30</w:t>
            </w:r>
          </w:p>
        </w:tc>
      </w:tr>
      <w:bookmarkEnd w:id="12"/>
    </w:tbl>
    <w:p w:rsidR="00FE5F88" w:rsidRPr="00FC0194" w:rsidRDefault="00FE5F88" w:rsidP="00FE5F88">
      <w:pPr>
        <w:pStyle w:val="Zatabelo"/>
      </w:pPr>
    </w:p>
    <w:p w:rsidR="00FE5F88" w:rsidRPr="00AB09A1" w:rsidRDefault="00FE5F88" w:rsidP="00FE5F88">
      <w:pPr>
        <w:pStyle w:val="Tabela-naslov"/>
      </w:pPr>
      <w:bookmarkStart w:id="13" w:name="_Toc502925399"/>
      <w:bookmarkStart w:id="14" w:name="_Toc504122497"/>
      <w:bookmarkStart w:id="15" w:name="_Toc37710498"/>
      <w:r w:rsidRPr="00AB09A1">
        <w:t>Tabela 11(po): Zavrženje ovadb zoper pravne osebe</w:t>
      </w:r>
      <w:bookmarkEnd w:id="13"/>
      <w:bookmarkEnd w:id="14"/>
      <w:bookmarkEnd w:id="15"/>
    </w:p>
    <w:tbl>
      <w:tblPr>
        <w:tblW w:w="5000" w:type="pct"/>
        <w:tblCellMar>
          <w:top w:w="28" w:type="dxa"/>
          <w:left w:w="57" w:type="dxa"/>
          <w:bottom w:w="28" w:type="dxa"/>
          <w:right w:w="57" w:type="dxa"/>
        </w:tblCellMar>
        <w:tblLook w:val="0000" w:firstRow="0" w:lastRow="0" w:firstColumn="0" w:lastColumn="0" w:noHBand="0" w:noVBand="0"/>
      </w:tblPr>
      <w:tblGrid>
        <w:gridCol w:w="772"/>
        <w:gridCol w:w="788"/>
        <w:gridCol w:w="1144"/>
        <w:gridCol w:w="472"/>
        <w:gridCol w:w="1181"/>
        <w:gridCol w:w="438"/>
        <w:gridCol w:w="1104"/>
        <w:gridCol w:w="550"/>
        <w:gridCol w:w="616"/>
        <w:gridCol w:w="483"/>
        <w:gridCol w:w="636"/>
        <w:gridCol w:w="463"/>
      </w:tblGrid>
      <w:tr w:rsidR="00FE5F88" w:rsidRPr="009D1835" w:rsidTr="000E1911">
        <w:trPr>
          <w:cantSplit/>
          <w:trHeight w:val="1091"/>
          <w:tblHeader/>
        </w:trPr>
        <w:tc>
          <w:tcPr>
            <w:tcW w:w="449" w:type="pct"/>
            <w:tcBorders>
              <w:right w:val="single" w:sz="8" w:space="0" w:color="FFFFFF"/>
            </w:tcBorders>
            <w:shd w:val="clear" w:color="auto" w:fill="877850"/>
            <w:vAlign w:val="center"/>
          </w:tcPr>
          <w:p w:rsidR="00FE5F88" w:rsidRPr="009D1835" w:rsidRDefault="00FE5F88" w:rsidP="000E1911">
            <w:pPr>
              <w:pStyle w:val="Tabela-vsebina-bold-center"/>
              <w:spacing w:line="160" w:lineRule="exact"/>
              <w:rPr>
                <w:rFonts w:cs="Calibri"/>
                <w:color w:val="FFFFFF"/>
                <w:sz w:val="18"/>
                <w:szCs w:val="18"/>
              </w:rPr>
            </w:pPr>
            <w:bookmarkStart w:id="16" w:name="LP11po"/>
            <w:r w:rsidRPr="009D1835">
              <w:rPr>
                <w:rFonts w:cs="Calibri"/>
                <w:color w:val="FFFFFF"/>
                <w:sz w:val="18"/>
                <w:szCs w:val="18"/>
              </w:rPr>
              <w:t>Državno tožilstvo</w:t>
            </w:r>
          </w:p>
        </w:tc>
        <w:tc>
          <w:tcPr>
            <w:tcW w:w="449" w:type="pct"/>
            <w:tcBorders>
              <w:left w:val="single" w:sz="8" w:space="0" w:color="FFFFFF"/>
              <w:right w:val="single" w:sz="8" w:space="0" w:color="FFFFFF"/>
            </w:tcBorders>
            <w:shd w:val="clear" w:color="auto" w:fill="877850"/>
            <w:vAlign w:val="center"/>
          </w:tcPr>
          <w:p w:rsidR="00FE5F88" w:rsidRPr="009D1835" w:rsidRDefault="00FE5F88" w:rsidP="000E1911">
            <w:pPr>
              <w:pStyle w:val="Tabela-vsebina-bold-center"/>
              <w:spacing w:line="160" w:lineRule="exact"/>
              <w:rPr>
                <w:rFonts w:cs="Calibri"/>
                <w:color w:val="FFFFFF"/>
                <w:sz w:val="18"/>
                <w:szCs w:val="18"/>
              </w:rPr>
            </w:pPr>
            <w:r w:rsidRPr="009D1835">
              <w:rPr>
                <w:rFonts w:cs="Calibri"/>
                <w:color w:val="FFFFFF"/>
                <w:sz w:val="18"/>
                <w:szCs w:val="18"/>
              </w:rPr>
              <w:t>Zavržene ovadbe skupaj</w:t>
            </w:r>
          </w:p>
        </w:tc>
        <w:tc>
          <w:tcPr>
            <w:tcW w:w="641" w:type="pct"/>
            <w:tcBorders>
              <w:left w:val="single" w:sz="8" w:space="0" w:color="FFFFFF"/>
              <w:right w:val="single" w:sz="8" w:space="0" w:color="FFFFFF"/>
            </w:tcBorders>
            <w:shd w:val="clear" w:color="auto" w:fill="877850"/>
            <w:vAlign w:val="center"/>
          </w:tcPr>
          <w:p w:rsidR="00FE5F88" w:rsidRPr="009D1835" w:rsidRDefault="00FE5F88" w:rsidP="000E1911">
            <w:pPr>
              <w:pStyle w:val="Tabela-vsebina-bold-center"/>
              <w:spacing w:line="160" w:lineRule="exact"/>
              <w:rPr>
                <w:rFonts w:cs="Calibri"/>
                <w:color w:val="FFFFFF"/>
                <w:sz w:val="18"/>
                <w:szCs w:val="18"/>
              </w:rPr>
            </w:pPr>
            <w:r w:rsidRPr="009D1835">
              <w:rPr>
                <w:rFonts w:cs="Calibri"/>
                <w:color w:val="FFFFFF"/>
                <w:sz w:val="18"/>
                <w:szCs w:val="18"/>
              </w:rPr>
              <w:t>Zavrženja po poravnavanju ali odloženem pregonu</w:t>
            </w:r>
          </w:p>
        </w:tc>
        <w:tc>
          <w:tcPr>
            <w:tcW w:w="276" w:type="pct"/>
            <w:tcBorders>
              <w:left w:val="single" w:sz="8" w:space="0" w:color="FFFFFF"/>
              <w:right w:val="single" w:sz="8" w:space="0" w:color="FFFFFF"/>
            </w:tcBorders>
            <w:shd w:val="clear" w:color="auto" w:fill="877850"/>
            <w:textDirection w:val="tbRl"/>
            <w:vAlign w:val="center"/>
          </w:tcPr>
          <w:p w:rsidR="00FE5F88" w:rsidRPr="009D1835" w:rsidRDefault="00FE5F88" w:rsidP="000E1911">
            <w:pPr>
              <w:pStyle w:val="Tabela-vsebina-bold-center"/>
              <w:spacing w:line="160" w:lineRule="exact"/>
              <w:rPr>
                <w:rFonts w:cs="Calibri"/>
                <w:color w:val="FFFFFF"/>
                <w:sz w:val="18"/>
                <w:szCs w:val="18"/>
              </w:rPr>
            </w:pPr>
            <w:r w:rsidRPr="009D1835">
              <w:rPr>
                <w:rFonts w:cs="Calibri"/>
                <w:color w:val="FFFFFF"/>
                <w:sz w:val="18"/>
                <w:szCs w:val="18"/>
              </w:rPr>
              <w:t>Odstotek od zavrženih</w:t>
            </w:r>
          </w:p>
        </w:tc>
        <w:tc>
          <w:tcPr>
            <w:tcW w:w="686" w:type="pct"/>
            <w:tcBorders>
              <w:left w:val="single" w:sz="8" w:space="0" w:color="FFFFFF"/>
              <w:right w:val="single" w:sz="8" w:space="0" w:color="FFFFFF"/>
            </w:tcBorders>
            <w:shd w:val="clear" w:color="auto" w:fill="877850"/>
            <w:vAlign w:val="center"/>
          </w:tcPr>
          <w:p w:rsidR="00FE5F88" w:rsidRPr="009D1835" w:rsidRDefault="00FE5F88" w:rsidP="000E1911">
            <w:pPr>
              <w:pStyle w:val="Tabela-vsebina-bold-center"/>
              <w:spacing w:line="160" w:lineRule="exact"/>
              <w:rPr>
                <w:rFonts w:cs="Calibri"/>
                <w:color w:val="FFFFFF"/>
                <w:sz w:val="18"/>
                <w:szCs w:val="18"/>
              </w:rPr>
            </w:pPr>
            <w:r w:rsidRPr="009D1835">
              <w:rPr>
                <w:rFonts w:cs="Calibri"/>
                <w:color w:val="FFFFFF"/>
                <w:sz w:val="18"/>
                <w:szCs w:val="18"/>
              </w:rPr>
              <w:t>Zavrženja zaradi majhnega pomena in načela sorazmernosti</w:t>
            </w:r>
          </w:p>
        </w:tc>
        <w:tc>
          <w:tcPr>
            <w:tcW w:w="256" w:type="pct"/>
            <w:tcBorders>
              <w:left w:val="single" w:sz="8" w:space="0" w:color="FFFFFF"/>
              <w:right w:val="single" w:sz="8" w:space="0" w:color="FFFFFF"/>
            </w:tcBorders>
            <w:shd w:val="clear" w:color="auto" w:fill="877850"/>
            <w:textDirection w:val="tbRl"/>
            <w:vAlign w:val="center"/>
          </w:tcPr>
          <w:p w:rsidR="00FE5F88" w:rsidRPr="009D1835" w:rsidRDefault="00FE5F88" w:rsidP="000E1911">
            <w:pPr>
              <w:pStyle w:val="Tabela-vsebina-bold-center"/>
              <w:spacing w:line="160" w:lineRule="exact"/>
              <w:rPr>
                <w:rFonts w:cs="Calibri"/>
                <w:color w:val="FFFFFF"/>
                <w:sz w:val="18"/>
                <w:szCs w:val="18"/>
              </w:rPr>
            </w:pPr>
            <w:r w:rsidRPr="009D1835">
              <w:rPr>
                <w:rFonts w:cs="Calibri"/>
                <w:color w:val="FFFFFF"/>
                <w:sz w:val="18"/>
                <w:szCs w:val="18"/>
              </w:rPr>
              <w:t>Odstotek od zavrženih</w:t>
            </w:r>
          </w:p>
        </w:tc>
        <w:tc>
          <w:tcPr>
            <w:tcW w:w="641" w:type="pct"/>
            <w:tcBorders>
              <w:left w:val="single" w:sz="8" w:space="0" w:color="FFFFFF"/>
              <w:right w:val="single" w:sz="8" w:space="0" w:color="FFFFFF"/>
            </w:tcBorders>
            <w:shd w:val="clear" w:color="auto" w:fill="877850"/>
            <w:vAlign w:val="center"/>
          </w:tcPr>
          <w:p w:rsidR="00FE5F88" w:rsidRPr="009D1835" w:rsidRDefault="00FE5F88" w:rsidP="000E1911">
            <w:pPr>
              <w:pStyle w:val="Tabela-vsebina-bold-center"/>
              <w:spacing w:line="160" w:lineRule="exact"/>
              <w:rPr>
                <w:rFonts w:cs="Calibri"/>
                <w:color w:val="FFFFFF"/>
                <w:sz w:val="18"/>
                <w:szCs w:val="18"/>
              </w:rPr>
            </w:pPr>
            <w:r w:rsidRPr="009D1835">
              <w:rPr>
                <w:rFonts w:cs="Calibri"/>
                <w:color w:val="FFFFFF"/>
                <w:sz w:val="18"/>
                <w:szCs w:val="18"/>
              </w:rPr>
              <w:t>Zavrženja zaradi umika predloga oškodovanca</w:t>
            </w:r>
          </w:p>
        </w:tc>
        <w:tc>
          <w:tcPr>
            <w:tcW w:w="321" w:type="pct"/>
            <w:tcBorders>
              <w:left w:val="single" w:sz="8" w:space="0" w:color="FFFFFF"/>
              <w:right w:val="single" w:sz="8" w:space="0" w:color="FFFFFF"/>
            </w:tcBorders>
            <w:shd w:val="clear" w:color="auto" w:fill="877850"/>
            <w:textDirection w:val="tbRl"/>
            <w:vAlign w:val="center"/>
          </w:tcPr>
          <w:p w:rsidR="00FE5F88" w:rsidRPr="009D1835" w:rsidRDefault="00FE5F88" w:rsidP="000E1911">
            <w:pPr>
              <w:pStyle w:val="Tabela-vsebina-bold-center"/>
              <w:spacing w:line="160" w:lineRule="exact"/>
              <w:rPr>
                <w:rFonts w:cs="Calibri"/>
                <w:color w:val="FFFFFF"/>
                <w:sz w:val="18"/>
                <w:szCs w:val="18"/>
              </w:rPr>
            </w:pPr>
            <w:r w:rsidRPr="009D1835">
              <w:rPr>
                <w:rFonts w:cs="Calibri"/>
                <w:color w:val="FFFFFF"/>
                <w:sz w:val="18"/>
                <w:szCs w:val="18"/>
              </w:rPr>
              <w:t>Odstotek od zavrženih</w:t>
            </w:r>
          </w:p>
        </w:tc>
        <w:tc>
          <w:tcPr>
            <w:tcW w:w="359" w:type="pct"/>
            <w:tcBorders>
              <w:left w:val="single" w:sz="8" w:space="0" w:color="FFFFFF"/>
              <w:right w:val="single" w:sz="8" w:space="0" w:color="FFFFFF"/>
            </w:tcBorders>
            <w:shd w:val="clear" w:color="auto" w:fill="877850"/>
            <w:textDirection w:val="tbRl"/>
            <w:vAlign w:val="center"/>
          </w:tcPr>
          <w:p w:rsidR="00FE5F88" w:rsidRPr="009D1835" w:rsidRDefault="00FE5F88" w:rsidP="000E1911">
            <w:pPr>
              <w:pStyle w:val="Tabela-vsebina-bold-center"/>
              <w:spacing w:line="160" w:lineRule="exact"/>
              <w:rPr>
                <w:rFonts w:cs="Calibri"/>
                <w:color w:val="FFFFFF"/>
                <w:sz w:val="18"/>
                <w:szCs w:val="18"/>
              </w:rPr>
            </w:pPr>
            <w:r w:rsidRPr="009D1835">
              <w:rPr>
                <w:rFonts w:cs="Calibri"/>
                <w:color w:val="FFFFFF"/>
                <w:sz w:val="18"/>
                <w:szCs w:val="18"/>
              </w:rPr>
              <w:t>Zavrženo zaradi zastaranja</w:t>
            </w:r>
          </w:p>
        </w:tc>
        <w:tc>
          <w:tcPr>
            <w:tcW w:w="282" w:type="pct"/>
            <w:tcBorders>
              <w:left w:val="single" w:sz="8" w:space="0" w:color="FFFFFF"/>
              <w:right w:val="single" w:sz="8" w:space="0" w:color="FFFFFF"/>
            </w:tcBorders>
            <w:shd w:val="clear" w:color="auto" w:fill="877850"/>
            <w:textDirection w:val="tbRl"/>
            <w:vAlign w:val="center"/>
          </w:tcPr>
          <w:p w:rsidR="00FE5F88" w:rsidRPr="009D1835" w:rsidRDefault="00FE5F88" w:rsidP="000E1911">
            <w:pPr>
              <w:pStyle w:val="Tabela-vsebina-bold-center"/>
              <w:spacing w:line="160" w:lineRule="exact"/>
              <w:rPr>
                <w:rFonts w:cs="Calibri"/>
                <w:color w:val="FFFFFF"/>
                <w:sz w:val="18"/>
                <w:szCs w:val="18"/>
              </w:rPr>
            </w:pPr>
            <w:r w:rsidRPr="009D1835">
              <w:rPr>
                <w:rFonts w:cs="Calibri"/>
                <w:color w:val="FFFFFF"/>
                <w:sz w:val="18"/>
                <w:szCs w:val="18"/>
              </w:rPr>
              <w:t>Odstotek od zavrženih</w:t>
            </w:r>
          </w:p>
        </w:tc>
        <w:tc>
          <w:tcPr>
            <w:tcW w:w="370" w:type="pct"/>
            <w:tcBorders>
              <w:left w:val="single" w:sz="8" w:space="0" w:color="FFFFFF"/>
              <w:right w:val="single" w:sz="8" w:space="0" w:color="FFFFFF"/>
            </w:tcBorders>
            <w:shd w:val="clear" w:color="auto" w:fill="877850"/>
            <w:textDirection w:val="tbRl"/>
            <w:vAlign w:val="center"/>
          </w:tcPr>
          <w:p w:rsidR="00FE5F88" w:rsidRPr="009D1835" w:rsidRDefault="00FE5F88" w:rsidP="000E1911">
            <w:pPr>
              <w:pStyle w:val="Tabela-vsebina-bold-center"/>
              <w:spacing w:line="160" w:lineRule="exact"/>
              <w:rPr>
                <w:rFonts w:cs="Calibri"/>
                <w:color w:val="FFFFFF"/>
                <w:sz w:val="18"/>
                <w:szCs w:val="18"/>
              </w:rPr>
            </w:pPr>
            <w:r w:rsidRPr="009D1835">
              <w:rPr>
                <w:rFonts w:cs="Calibri"/>
                <w:color w:val="FFFFFF"/>
                <w:sz w:val="18"/>
                <w:szCs w:val="18"/>
              </w:rPr>
              <w:t>Zavrženo iz drugih razlogov</w:t>
            </w:r>
          </w:p>
        </w:tc>
        <w:tc>
          <w:tcPr>
            <w:tcW w:w="270" w:type="pct"/>
            <w:tcBorders>
              <w:left w:val="single" w:sz="8" w:space="0" w:color="FFFFFF"/>
            </w:tcBorders>
            <w:shd w:val="clear" w:color="auto" w:fill="877850"/>
            <w:textDirection w:val="tbRl"/>
            <w:vAlign w:val="center"/>
          </w:tcPr>
          <w:p w:rsidR="00FE5F88" w:rsidRPr="009D1835" w:rsidRDefault="00FE5F88" w:rsidP="000E1911">
            <w:pPr>
              <w:pStyle w:val="Tabela-vsebina-bold-center"/>
              <w:spacing w:line="160" w:lineRule="exact"/>
              <w:rPr>
                <w:rFonts w:cs="Calibri"/>
                <w:color w:val="FFFFFF"/>
                <w:sz w:val="18"/>
                <w:szCs w:val="18"/>
              </w:rPr>
            </w:pPr>
            <w:r w:rsidRPr="009D1835">
              <w:rPr>
                <w:rFonts w:cs="Calibri"/>
                <w:color w:val="FFFFFF"/>
                <w:sz w:val="18"/>
                <w:szCs w:val="18"/>
              </w:rPr>
              <w:t>Odstotek od zavrženih</w:t>
            </w:r>
          </w:p>
        </w:tc>
      </w:tr>
      <w:tr w:rsidR="00FE5F88" w:rsidRPr="009D1835" w:rsidTr="000E1911">
        <w:trPr>
          <w:cantSplit/>
        </w:trPr>
        <w:tc>
          <w:tcPr>
            <w:tcW w:w="449" w:type="pct"/>
            <w:tcBorders>
              <w:bottom w:val="single" w:sz="4" w:space="0" w:color="877850"/>
            </w:tcBorders>
            <w:shd w:val="clear" w:color="auto" w:fill="auto"/>
            <w:vAlign w:val="center"/>
          </w:tcPr>
          <w:p w:rsidR="00FE5F88" w:rsidRPr="009D1835" w:rsidRDefault="00FE5F88" w:rsidP="000E1911">
            <w:pPr>
              <w:pStyle w:val="Tabela-vsebina-bold-left"/>
              <w:rPr>
                <w:rFonts w:cs="Calibri"/>
                <w:sz w:val="18"/>
                <w:szCs w:val="18"/>
              </w:rPr>
            </w:pPr>
            <w:r w:rsidRPr="009D1835">
              <w:rPr>
                <w:rFonts w:cs="Calibri"/>
                <w:sz w:val="18"/>
                <w:szCs w:val="18"/>
              </w:rPr>
              <w:t>ODT CE</w:t>
            </w:r>
          </w:p>
        </w:tc>
        <w:tc>
          <w:tcPr>
            <w:tcW w:w="449" w:type="pct"/>
            <w:tcBorders>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137</w:t>
            </w:r>
          </w:p>
        </w:tc>
        <w:tc>
          <w:tcPr>
            <w:tcW w:w="641" w:type="pct"/>
            <w:tcBorders>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5</w:t>
            </w:r>
          </w:p>
        </w:tc>
        <w:tc>
          <w:tcPr>
            <w:tcW w:w="276" w:type="pct"/>
            <w:tcBorders>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4</w:t>
            </w:r>
          </w:p>
        </w:tc>
        <w:tc>
          <w:tcPr>
            <w:tcW w:w="686" w:type="pct"/>
            <w:tcBorders>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31</w:t>
            </w:r>
          </w:p>
        </w:tc>
        <w:tc>
          <w:tcPr>
            <w:tcW w:w="256" w:type="pct"/>
            <w:tcBorders>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23</w:t>
            </w:r>
          </w:p>
        </w:tc>
        <w:tc>
          <w:tcPr>
            <w:tcW w:w="641" w:type="pct"/>
            <w:tcBorders>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1</w:t>
            </w:r>
          </w:p>
        </w:tc>
        <w:tc>
          <w:tcPr>
            <w:tcW w:w="321" w:type="pct"/>
            <w:tcBorders>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1</w:t>
            </w:r>
          </w:p>
        </w:tc>
        <w:tc>
          <w:tcPr>
            <w:tcW w:w="359" w:type="pct"/>
            <w:tcBorders>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0</w:t>
            </w:r>
          </w:p>
        </w:tc>
        <w:tc>
          <w:tcPr>
            <w:tcW w:w="282" w:type="pct"/>
            <w:tcBorders>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0</w:t>
            </w:r>
          </w:p>
        </w:tc>
        <w:tc>
          <w:tcPr>
            <w:tcW w:w="370" w:type="pct"/>
            <w:tcBorders>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100</w:t>
            </w:r>
          </w:p>
        </w:tc>
        <w:tc>
          <w:tcPr>
            <w:tcW w:w="270" w:type="pct"/>
            <w:tcBorders>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73</w:t>
            </w:r>
          </w:p>
        </w:tc>
      </w:tr>
      <w:tr w:rsidR="00FE5F88" w:rsidRPr="009D1835" w:rsidTr="000E1911">
        <w:trPr>
          <w:cantSplit/>
        </w:trPr>
        <w:tc>
          <w:tcPr>
            <w:tcW w:w="449"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bold-left"/>
              <w:rPr>
                <w:rFonts w:cs="Calibri"/>
                <w:sz w:val="18"/>
                <w:szCs w:val="18"/>
              </w:rPr>
            </w:pPr>
            <w:r w:rsidRPr="009D1835">
              <w:rPr>
                <w:rFonts w:cs="Calibri"/>
                <w:sz w:val="18"/>
                <w:szCs w:val="18"/>
              </w:rPr>
              <w:t>ODT KK</w:t>
            </w:r>
          </w:p>
        </w:tc>
        <w:tc>
          <w:tcPr>
            <w:tcW w:w="449"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44</w:t>
            </w:r>
          </w:p>
        </w:tc>
        <w:tc>
          <w:tcPr>
            <w:tcW w:w="641"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3</w:t>
            </w:r>
          </w:p>
        </w:tc>
        <w:tc>
          <w:tcPr>
            <w:tcW w:w="276"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7</w:t>
            </w:r>
          </w:p>
        </w:tc>
        <w:tc>
          <w:tcPr>
            <w:tcW w:w="686"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8</w:t>
            </w:r>
          </w:p>
        </w:tc>
        <w:tc>
          <w:tcPr>
            <w:tcW w:w="256"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18</w:t>
            </w:r>
          </w:p>
        </w:tc>
        <w:tc>
          <w:tcPr>
            <w:tcW w:w="641"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1</w:t>
            </w:r>
          </w:p>
        </w:tc>
        <w:tc>
          <w:tcPr>
            <w:tcW w:w="321"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2</w:t>
            </w:r>
          </w:p>
        </w:tc>
        <w:tc>
          <w:tcPr>
            <w:tcW w:w="359"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0</w:t>
            </w:r>
          </w:p>
        </w:tc>
        <w:tc>
          <w:tcPr>
            <w:tcW w:w="282"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0</w:t>
            </w:r>
          </w:p>
        </w:tc>
        <w:tc>
          <w:tcPr>
            <w:tcW w:w="370"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32</w:t>
            </w:r>
          </w:p>
        </w:tc>
        <w:tc>
          <w:tcPr>
            <w:tcW w:w="270"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73</w:t>
            </w:r>
          </w:p>
        </w:tc>
      </w:tr>
      <w:tr w:rsidR="00FE5F88" w:rsidRPr="009D1835" w:rsidTr="000E1911">
        <w:trPr>
          <w:cantSplit/>
        </w:trPr>
        <w:tc>
          <w:tcPr>
            <w:tcW w:w="449"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bold-left"/>
              <w:rPr>
                <w:rFonts w:cs="Calibri"/>
                <w:sz w:val="18"/>
                <w:szCs w:val="18"/>
              </w:rPr>
            </w:pPr>
            <w:r w:rsidRPr="009D1835">
              <w:rPr>
                <w:rFonts w:cs="Calibri"/>
                <w:sz w:val="18"/>
                <w:szCs w:val="18"/>
              </w:rPr>
              <w:t>ODT KP</w:t>
            </w:r>
          </w:p>
        </w:tc>
        <w:tc>
          <w:tcPr>
            <w:tcW w:w="449"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71</w:t>
            </w:r>
          </w:p>
        </w:tc>
        <w:tc>
          <w:tcPr>
            <w:tcW w:w="641"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0</w:t>
            </w:r>
          </w:p>
        </w:tc>
        <w:tc>
          <w:tcPr>
            <w:tcW w:w="276"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0</w:t>
            </w:r>
          </w:p>
        </w:tc>
        <w:tc>
          <w:tcPr>
            <w:tcW w:w="686"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10</w:t>
            </w:r>
          </w:p>
        </w:tc>
        <w:tc>
          <w:tcPr>
            <w:tcW w:w="256"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14</w:t>
            </w:r>
          </w:p>
        </w:tc>
        <w:tc>
          <w:tcPr>
            <w:tcW w:w="641"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0</w:t>
            </w:r>
          </w:p>
        </w:tc>
        <w:tc>
          <w:tcPr>
            <w:tcW w:w="321"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0</w:t>
            </w:r>
          </w:p>
        </w:tc>
        <w:tc>
          <w:tcPr>
            <w:tcW w:w="359"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0</w:t>
            </w:r>
          </w:p>
        </w:tc>
        <w:tc>
          <w:tcPr>
            <w:tcW w:w="282"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0</w:t>
            </w:r>
          </w:p>
        </w:tc>
        <w:tc>
          <w:tcPr>
            <w:tcW w:w="370"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61</w:t>
            </w:r>
          </w:p>
        </w:tc>
        <w:tc>
          <w:tcPr>
            <w:tcW w:w="270"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86</w:t>
            </w:r>
          </w:p>
        </w:tc>
      </w:tr>
      <w:tr w:rsidR="00FE5F88" w:rsidRPr="009D1835" w:rsidTr="000E1911">
        <w:trPr>
          <w:cantSplit/>
        </w:trPr>
        <w:tc>
          <w:tcPr>
            <w:tcW w:w="449"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bold-left"/>
              <w:rPr>
                <w:rFonts w:cs="Calibri"/>
                <w:sz w:val="18"/>
                <w:szCs w:val="18"/>
              </w:rPr>
            </w:pPr>
            <w:r w:rsidRPr="009D1835">
              <w:rPr>
                <w:rFonts w:cs="Calibri"/>
                <w:sz w:val="18"/>
                <w:szCs w:val="18"/>
              </w:rPr>
              <w:t>ODT KR</w:t>
            </w:r>
          </w:p>
        </w:tc>
        <w:tc>
          <w:tcPr>
            <w:tcW w:w="449"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38</w:t>
            </w:r>
          </w:p>
        </w:tc>
        <w:tc>
          <w:tcPr>
            <w:tcW w:w="641"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0</w:t>
            </w:r>
          </w:p>
        </w:tc>
        <w:tc>
          <w:tcPr>
            <w:tcW w:w="276"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0</w:t>
            </w:r>
          </w:p>
        </w:tc>
        <w:tc>
          <w:tcPr>
            <w:tcW w:w="686"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3</w:t>
            </w:r>
          </w:p>
        </w:tc>
        <w:tc>
          <w:tcPr>
            <w:tcW w:w="256"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8</w:t>
            </w:r>
          </w:p>
        </w:tc>
        <w:tc>
          <w:tcPr>
            <w:tcW w:w="641"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0</w:t>
            </w:r>
          </w:p>
        </w:tc>
        <w:tc>
          <w:tcPr>
            <w:tcW w:w="321"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0</w:t>
            </w:r>
          </w:p>
        </w:tc>
        <w:tc>
          <w:tcPr>
            <w:tcW w:w="359"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1</w:t>
            </w:r>
          </w:p>
        </w:tc>
        <w:tc>
          <w:tcPr>
            <w:tcW w:w="282"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3</w:t>
            </w:r>
          </w:p>
        </w:tc>
        <w:tc>
          <w:tcPr>
            <w:tcW w:w="370"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34</w:t>
            </w:r>
          </w:p>
        </w:tc>
        <w:tc>
          <w:tcPr>
            <w:tcW w:w="270"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89</w:t>
            </w:r>
          </w:p>
        </w:tc>
      </w:tr>
      <w:tr w:rsidR="00FE5F88" w:rsidRPr="009D1835" w:rsidTr="000E1911">
        <w:trPr>
          <w:cantSplit/>
        </w:trPr>
        <w:tc>
          <w:tcPr>
            <w:tcW w:w="449"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bold-left"/>
              <w:rPr>
                <w:rFonts w:cs="Calibri"/>
                <w:sz w:val="18"/>
                <w:szCs w:val="18"/>
              </w:rPr>
            </w:pPr>
            <w:r w:rsidRPr="009D1835">
              <w:rPr>
                <w:rFonts w:cs="Calibri"/>
                <w:sz w:val="18"/>
                <w:szCs w:val="18"/>
              </w:rPr>
              <w:t>ODT LJ</w:t>
            </w:r>
          </w:p>
        </w:tc>
        <w:tc>
          <w:tcPr>
            <w:tcW w:w="449"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355</w:t>
            </w:r>
          </w:p>
        </w:tc>
        <w:tc>
          <w:tcPr>
            <w:tcW w:w="641"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5</w:t>
            </w:r>
          </w:p>
        </w:tc>
        <w:tc>
          <w:tcPr>
            <w:tcW w:w="276"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1</w:t>
            </w:r>
          </w:p>
        </w:tc>
        <w:tc>
          <w:tcPr>
            <w:tcW w:w="686"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38</w:t>
            </w:r>
          </w:p>
        </w:tc>
        <w:tc>
          <w:tcPr>
            <w:tcW w:w="256"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11</w:t>
            </w:r>
          </w:p>
        </w:tc>
        <w:tc>
          <w:tcPr>
            <w:tcW w:w="641"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0</w:t>
            </w:r>
          </w:p>
        </w:tc>
        <w:tc>
          <w:tcPr>
            <w:tcW w:w="321"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0</w:t>
            </w:r>
          </w:p>
        </w:tc>
        <w:tc>
          <w:tcPr>
            <w:tcW w:w="359"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0</w:t>
            </w:r>
          </w:p>
        </w:tc>
        <w:tc>
          <w:tcPr>
            <w:tcW w:w="282"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0</w:t>
            </w:r>
          </w:p>
        </w:tc>
        <w:tc>
          <w:tcPr>
            <w:tcW w:w="370"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312</w:t>
            </w:r>
          </w:p>
        </w:tc>
        <w:tc>
          <w:tcPr>
            <w:tcW w:w="270"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88</w:t>
            </w:r>
          </w:p>
        </w:tc>
      </w:tr>
      <w:tr w:rsidR="00FE5F88" w:rsidRPr="009D1835" w:rsidTr="000E1911">
        <w:trPr>
          <w:cantSplit/>
        </w:trPr>
        <w:tc>
          <w:tcPr>
            <w:tcW w:w="449"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bold-left"/>
              <w:rPr>
                <w:rFonts w:cs="Calibri"/>
                <w:sz w:val="18"/>
                <w:szCs w:val="18"/>
              </w:rPr>
            </w:pPr>
            <w:r w:rsidRPr="009D1835">
              <w:rPr>
                <w:rFonts w:cs="Calibri"/>
                <w:sz w:val="18"/>
                <w:szCs w:val="18"/>
              </w:rPr>
              <w:t>ODT MB</w:t>
            </w:r>
          </w:p>
        </w:tc>
        <w:tc>
          <w:tcPr>
            <w:tcW w:w="449"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148</w:t>
            </w:r>
          </w:p>
        </w:tc>
        <w:tc>
          <w:tcPr>
            <w:tcW w:w="641"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4</w:t>
            </w:r>
          </w:p>
        </w:tc>
        <w:tc>
          <w:tcPr>
            <w:tcW w:w="276"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3</w:t>
            </w:r>
          </w:p>
        </w:tc>
        <w:tc>
          <w:tcPr>
            <w:tcW w:w="686"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39</w:t>
            </w:r>
          </w:p>
        </w:tc>
        <w:tc>
          <w:tcPr>
            <w:tcW w:w="256"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26</w:t>
            </w:r>
          </w:p>
        </w:tc>
        <w:tc>
          <w:tcPr>
            <w:tcW w:w="641"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1</w:t>
            </w:r>
          </w:p>
        </w:tc>
        <w:tc>
          <w:tcPr>
            <w:tcW w:w="321"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1</w:t>
            </w:r>
          </w:p>
        </w:tc>
        <w:tc>
          <w:tcPr>
            <w:tcW w:w="359"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0</w:t>
            </w:r>
          </w:p>
        </w:tc>
        <w:tc>
          <w:tcPr>
            <w:tcW w:w="282"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0</w:t>
            </w:r>
          </w:p>
        </w:tc>
        <w:tc>
          <w:tcPr>
            <w:tcW w:w="370"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104</w:t>
            </w:r>
          </w:p>
        </w:tc>
        <w:tc>
          <w:tcPr>
            <w:tcW w:w="270"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70</w:t>
            </w:r>
          </w:p>
        </w:tc>
      </w:tr>
      <w:tr w:rsidR="00FE5F88" w:rsidRPr="009D1835" w:rsidTr="000E1911">
        <w:trPr>
          <w:cantSplit/>
        </w:trPr>
        <w:tc>
          <w:tcPr>
            <w:tcW w:w="449"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bold-left"/>
              <w:rPr>
                <w:rFonts w:cs="Calibri"/>
                <w:sz w:val="18"/>
                <w:szCs w:val="18"/>
              </w:rPr>
            </w:pPr>
            <w:r w:rsidRPr="009D1835">
              <w:rPr>
                <w:rFonts w:cs="Calibri"/>
                <w:sz w:val="18"/>
                <w:szCs w:val="18"/>
              </w:rPr>
              <w:t>ODT MS</w:t>
            </w:r>
          </w:p>
        </w:tc>
        <w:tc>
          <w:tcPr>
            <w:tcW w:w="449"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36</w:t>
            </w:r>
          </w:p>
        </w:tc>
        <w:tc>
          <w:tcPr>
            <w:tcW w:w="641"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3</w:t>
            </w:r>
          </w:p>
        </w:tc>
        <w:tc>
          <w:tcPr>
            <w:tcW w:w="276"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8</w:t>
            </w:r>
          </w:p>
        </w:tc>
        <w:tc>
          <w:tcPr>
            <w:tcW w:w="686"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3</w:t>
            </w:r>
          </w:p>
        </w:tc>
        <w:tc>
          <w:tcPr>
            <w:tcW w:w="256"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8</w:t>
            </w:r>
          </w:p>
        </w:tc>
        <w:tc>
          <w:tcPr>
            <w:tcW w:w="641"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0</w:t>
            </w:r>
          </w:p>
        </w:tc>
        <w:tc>
          <w:tcPr>
            <w:tcW w:w="321"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0</w:t>
            </w:r>
          </w:p>
        </w:tc>
        <w:tc>
          <w:tcPr>
            <w:tcW w:w="359"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0</w:t>
            </w:r>
          </w:p>
        </w:tc>
        <w:tc>
          <w:tcPr>
            <w:tcW w:w="282"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0</w:t>
            </w:r>
          </w:p>
        </w:tc>
        <w:tc>
          <w:tcPr>
            <w:tcW w:w="370"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30</w:t>
            </w:r>
          </w:p>
        </w:tc>
        <w:tc>
          <w:tcPr>
            <w:tcW w:w="270"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83</w:t>
            </w:r>
          </w:p>
        </w:tc>
      </w:tr>
      <w:tr w:rsidR="00FE5F88" w:rsidRPr="009D1835" w:rsidTr="000E1911">
        <w:trPr>
          <w:cantSplit/>
        </w:trPr>
        <w:tc>
          <w:tcPr>
            <w:tcW w:w="449"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bold-left"/>
              <w:rPr>
                <w:rFonts w:cs="Calibri"/>
                <w:sz w:val="18"/>
                <w:szCs w:val="18"/>
              </w:rPr>
            </w:pPr>
            <w:r w:rsidRPr="009D1835">
              <w:rPr>
                <w:rFonts w:cs="Calibri"/>
                <w:sz w:val="18"/>
                <w:szCs w:val="18"/>
              </w:rPr>
              <w:t>ODT NG</w:t>
            </w:r>
          </w:p>
        </w:tc>
        <w:tc>
          <w:tcPr>
            <w:tcW w:w="449"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39</w:t>
            </w:r>
          </w:p>
        </w:tc>
        <w:tc>
          <w:tcPr>
            <w:tcW w:w="641"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1</w:t>
            </w:r>
          </w:p>
        </w:tc>
        <w:tc>
          <w:tcPr>
            <w:tcW w:w="276"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3</w:t>
            </w:r>
          </w:p>
        </w:tc>
        <w:tc>
          <w:tcPr>
            <w:tcW w:w="686"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6</w:t>
            </w:r>
          </w:p>
        </w:tc>
        <w:tc>
          <w:tcPr>
            <w:tcW w:w="256"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15</w:t>
            </w:r>
          </w:p>
        </w:tc>
        <w:tc>
          <w:tcPr>
            <w:tcW w:w="641"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0</w:t>
            </w:r>
          </w:p>
        </w:tc>
        <w:tc>
          <w:tcPr>
            <w:tcW w:w="321"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0</w:t>
            </w:r>
          </w:p>
        </w:tc>
        <w:tc>
          <w:tcPr>
            <w:tcW w:w="359"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0</w:t>
            </w:r>
          </w:p>
        </w:tc>
        <w:tc>
          <w:tcPr>
            <w:tcW w:w="282"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0</w:t>
            </w:r>
          </w:p>
        </w:tc>
        <w:tc>
          <w:tcPr>
            <w:tcW w:w="370"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32</w:t>
            </w:r>
          </w:p>
        </w:tc>
        <w:tc>
          <w:tcPr>
            <w:tcW w:w="270"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82</w:t>
            </w:r>
          </w:p>
        </w:tc>
      </w:tr>
      <w:tr w:rsidR="00FE5F88" w:rsidRPr="009D1835" w:rsidTr="000E1911">
        <w:trPr>
          <w:cantSplit/>
        </w:trPr>
        <w:tc>
          <w:tcPr>
            <w:tcW w:w="449"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bold-left"/>
              <w:rPr>
                <w:rFonts w:cs="Calibri"/>
                <w:sz w:val="18"/>
                <w:szCs w:val="18"/>
              </w:rPr>
            </w:pPr>
            <w:r w:rsidRPr="009D1835">
              <w:rPr>
                <w:rFonts w:cs="Calibri"/>
                <w:sz w:val="18"/>
                <w:szCs w:val="18"/>
              </w:rPr>
              <w:t>ODT NM</w:t>
            </w:r>
          </w:p>
        </w:tc>
        <w:tc>
          <w:tcPr>
            <w:tcW w:w="449"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54</w:t>
            </w:r>
          </w:p>
        </w:tc>
        <w:tc>
          <w:tcPr>
            <w:tcW w:w="641"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0</w:t>
            </w:r>
          </w:p>
        </w:tc>
        <w:tc>
          <w:tcPr>
            <w:tcW w:w="276"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0</w:t>
            </w:r>
          </w:p>
        </w:tc>
        <w:tc>
          <w:tcPr>
            <w:tcW w:w="686"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10</w:t>
            </w:r>
          </w:p>
        </w:tc>
        <w:tc>
          <w:tcPr>
            <w:tcW w:w="256"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19</w:t>
            </w:r>
          </w:p>
        </w:tc>
        <w:tc>
          <w:tcPr>
            <w:tcW w:w="641"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1</w:t>
            </w:r>
          </w:p>
        </w:tc>
        <w:tc>
          <w:tcPr>
            <w:tcW w:w="321"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2</w:t>
            </w:r>
          </w:p>
        </w:tc>
        <w:tc>
          <w:tcPr>
            <w:tcW w:w="359"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0</w:t>
            </w:r>
          </w:p>
        </w:tc>
        <w:tc>
          <w:tcPr>
            <w:tcW w:w="282"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0</w:t>
            </w:r>
          </w:p>
        </w:tc>
        <w:tc>
          <w:tcPr>
            <w:tcW w:w="370"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43</w:t>
            </w:r>
          </w:p>
        </w:tc>
        <w:tc>
          <w:tcPr>
            <w:tcW w:w="270"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80</w:t>
            </w:r>
          </w:p>
        </w:tc>
      </w:tr>
      <w:tr w:rsidR="00FE5F88" w:rsidRPr="009D1835" w:rsidTr="000E1911">
        <w:trPr>
          <w:cantSplit/>
        </w:trPr>
        <w:tc>
          <w:tcPr>
            <w:tcW w:w="449"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bold-left"/>
              <w:rPr>
                <w:rFonts w:cs="Calibri"/>
                <w:sz w:val="18"/>
                <w:szCs w:val="18"/>
              </w:rPr>
            </w:pPr>
            <w:r w:rsidRPr="009D1835">
              <w:rPr>
                <w:rFonts w:cs="Calibri"/>
                <w:sz w:val="18"/>
                <w:szCs w:val="18"/>
              </w:rPr>
              <w:t>ODT PT</w:t>
            </w:r>
          </w:p>
        </w:tc>
        <w:tc>
          <w:tcPr>
            <w:tcW w:w="449"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37</w:t>
            </w:r>
          </w:p>
        </w:tc>
        <w:tc>
          <w:tcPr>
            <w:tcW w:w="641"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1</w:t>
            </w:r>
          </w:p>
        </w:tc>
        <w:tc>
          <w:tcPr>
            <w:tcW w:w="276"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3</w:t>
            </w:r>
          </w:p>
        </w:tc>
        <w:tc>
          <w:tcPr>
            <w:tcW w:w="686"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8</w:t>
            </w:r>
          </w:p>
        </w:tc>
        <w:tc>
          <w:tcPr>
            <w:tcW w:w="256"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22</w:t>
            </w:r>
          </w:p>
        </w:tc>
        <w:tc>
          <w:tcPr>
            <w:tcW w:w="641"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3</w:t>
            </w:r>
          </w:p>
        </w:tc>
        <w:tc>
          <w:tcPr>
            <w:tcW w:w="321"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8</w:t>
            </w:r>
          </w:p>
        </w:tc>
        <w:tc>
          <w:tcPr>
            <w:tcW w:w="359"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0</w:t>
            </w:r>
          </w:p>
        </w:tc>
        <w:tc>
          <w:tcPr>
            <w:tcW w:w="282"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0</w:t>
            </w:r>
          </w:p>
        </w:tc>
        <w:tc>
          <w:tcPr>
            <w:tcW w:w="370"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25</w:t>
            </w:r>
          </w:p>
        </w:tc>
        <w:tc>
          <w:tcPr>
            <w:tcW w:w="270"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68</w:t>
            </w:r>
          </w:p>
        </w:tc>
      </w:tr>
      <w:tr w:rsidR="00FE5F88" w:rsidRPr="009D1835" w:rsidTr="000E1911">
        <w:trPr>
          <w:cantSplit/>
        </w:trPr>
        <w:tc>
          <w:tcPr>
            <w:tcW w:w="449"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bold-left"/>
              <w:rPr>
                <w:rFonts w:cs="Calibri"/>
                <w:sz w:val="18"/>
                <w:szCs w:val="18"/>
              </w:rPr>
            </w:pPr>
            <w:r w:rsidRPr="009D1835">
              <w:rPr>
                <w:rFonts w:cs="Calibri"/>
                <w:sz w:val="18"/>
                <w:szCs w:val="18"/>
              </w:rPr>
              <w:t>ODT SG</w:t>
            </w:r>
          </w:p>
        </w:tc>
        <w:tc>
          <w:tcPr>
            <w:tcW w:w="449"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23</w:t>
            </w:r>
          </w:p>
        </w:tc>
        <w:tc>
          <w:tcPr>
            <w:tcW w:w="641"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2</w:t>
            </w:r>
          </w:p>
        </w:tc>
        <w:tc>
          <w:tcPr>
            <w:tcW w:w="276"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9</w:t>
            </w:r>
          </w:p>
        </w:tc>
        <w:tc>
          <w:tcPr>
            <w:tcW w:w="686"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3</w:t>
            </w:r>
          </w:p>
        </w:tc>
        <w:tc>
          <w:tcPr>
            <w:tcW w:w="256"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13</w:t>
            </w:r>
          </w:p>
        </w:tc>
        <w:tc>
          <w:tcPr>
            <w:tcW w:w="641"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0</w:t>
            </w:r>
          </w:p>
        </w:tc>
        <w:tc>
          <w:tcPr>
            <w:tcW w:w="321"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0</w:t>
            </w:r>
          </w:p>
        </w:tc>
        <w:tc>
          <w:tcPr>
            <w:tcW w:w="359"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1</w:t>
            </w:r>
          </w:p>
        </w:tc>
        <w:tc>
          <w:tcPr>
            <w:tcW w:w="282"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4</w:t>
            </w:r>
          </w:p>
        </w:tc>
        <w:tc>
          <w:tcPr>
            <w:tcW w:w="370"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17</w:t>
            </w:r>
          </w:p>
        </w:tc>
        <w:tc>
          <w:tcPr>
            <w:tcW w:w="270"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74</w:t>
            </w:r>
          </w:p>
        </w:tc>
      </w:tr>
      <w:tr w:rsidR="00FE5F88" w:rsidRPr="009D1835" w:rsidTr="000E1911">
        <w:trPr>
          <w:cantSplit/>
        </w:trPr>
        <w:tc>
          <w:tcPr>
            <w:tcW w:w="449"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bold-left"/>
              <w:rPr>
                <w:rFonts w:cs="Calibri"/>
                <w:sz w:val="18"/>
                <w:szCs w:val="18"/>
              </w:rPr>
            </w:pPr>
            <w:r w:rsidRPr="009D1835">
              <w:rPr>
                <w:rFonts w:cs="Calibri"/>
                <w:sz w:val="18"/>
                <w:szCs w:val="18"/>
              </w:rPr>
              <w:t>OPP</w:t>
            </w:r>
          </w:p>
        </w:tc>
        <w:tc>
          <w:tcPr>
            <w:tcW w:w="449"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3</w:t>
            </w:r>
          </w:p>
        </w:tc>
        <w:tc>
          <w:tcPr>
            <w:tcW w:w="641"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0</w:t>
            </w:r>
          </w:p>
        </w:tc>
        <w:tc>
          <w:tcPr>
            <w:tcW w:w="276"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0</w:t>
            </w:r>
          </w:p>
        </w:tc>
        <w:tc>
          <w:tcPr>
            <w:tcW w:w="686"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0</w:t>
            </w:r>
          </w:p>
        </w:tc>
        <w:tc>
          <w:tcPr>
            <w:tcW w:w="256"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0</w:t>
            </w:r>
          </w:p>
        </w:tc>
        <w:tc>
          <w:tcPr>
            <w:tcW w:w="641"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0</w:t>
            </w:r>
          </w:p>
        </w:tc>
        <w:tc>
          <w:tcPr>
            <w:tcW w:w="321"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0</w:t>
            </w:r>
          </w:p>
        </w:tc>
        <w:tc>
          <w:tcPr>
            <w:tcW w:w="359"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0</w:t>
            </w:r>
          </w:p>
        </w:tc>
        <w:tc>
          <w:tcPr>
            <w:tcW w:w="282"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0</w:t>
            </w:r>
          </w:p>
        </w:tc>
        <w:tc>
          <w:tcPr>
            <w:tcW w:w="370"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3</w:t>
            </w:r>
          </w:p>
        </w:tc>
        <w:tc>
          <w:tcPr>
            <w:tcW w:w="270"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100</w:t>
            </w:r>
          </w:p>
        </w:tc>
      </w:tr>
      <w:tr w:rsidR="00FE5F88" w:rsidRPr="009D1835" w:rsidTr="000E1911">
        <w:trPr>
          <w:cantSplit/>
        </w:trPr>
        <w:tc>
          <w:tcPr>
            <w:tcW w:w="449"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bold-left"/>
              <w:rPr>
                <w:rFonts w:cs="Calibri"/>
                <w:sz w:val="18"/>
                <w:szCs w:val="18"/>
              </w:rPr>
            </w:pPr>
            <w:r w:rsidRPr="009D1835">
              <w:rPr>
                <w:rFonts w:cs="Calibri"/>
                <w:sz w:val="18"/>
                <w:szCs w:val="18"/>
              </w:rPr>
              <w:t>SDT RS</w:t>
            </w:r>
          </w:p>
        </w:tc>
        <w:tc>
          <w:tcPr>
            <w:tcW w:w="449"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30</w:t>
            </w:r>
          </w:p>
        </w:tc>
        <w:tc>
          <w:tcPr>
            <w:tcW w:w="641"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0</w:t>
            </w:r>
          </w:p>
        </w:tc>
        <w:tc>
          <w:tcPr>
            <w:tcW w:w="276"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0</w:t>
            </w:r>
          </w:p>
        </w:tc>
        <w:tc>
          <w:tcPr>
            <w:tcW w:w="686"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9</w:t>
            </w:r>
          </w:p>
        </w:tc>
        <w:tc>
          <w:tcPr>
            <w:tcW w:w="256"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30</w:t>
            </w:r>
          </w:p>
        </w:tc>
        <w:tc>
          <w:tcPr>
            <w:tcW w:w="641"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0</w:t>
            </w:r>
          </w:p>
        </w:tc>
        <w:tc>
          <w:tcPr>
            <w:tcW w:w="321"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0</w:t>
            </w:r>
          </w:p>
        </w:tc>
        <w:tc>
          <w:tcPr>
            <w:tcW w:w="359"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0</w:t>
            </w:r>
          </w:p>
        </w:tc>
        <w:tc>
          <w:tcPr>
            <w:tcW w:w="282"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0</w:t>
            </w:r>
          </w:p>
        </w:tc>
        <w:tc>
          <w:tcPr>
            <w:tcW w:w="370"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21</w:t>
            </w:r>
          </w:p>
        </w:tc>
        <w:tc>
          <w:tcPr>
            <w:tcW w:w="270"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70</w:t>
            </w:r>
          </w:p>
        </w:tc>
      </w:tr>
      <w:tr w:rsidR="00FE5F88" w:rsidRPr="009D1835" w:rsidTr="000E1911">
        <w:trPr>
          <w:cantSplit/>
        </w:trPr>
        <w:tc>
          <w:tcPr>
            <w:tcW w:w="449"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bold-left"/>
              <w:rPr>
                <w:rFonts w:cs="Calibri"/>
                <w:sz w:val="18"/>
                <w:szCs w:val="18"/>
              </w:rPr>
            </w:pPr>
            <w:r w:rsidRPr="009D1835">
              <w:rPr>
                <w:rFonts w:cs="Calibri"/>
                <w:sz w:val="18"/>
                <w:szCs w:val="18"/>
              </w:rPr>
              <w:t>VDT RS</w:t>
            </w:r>
          </w:p>
        </w:tc>
        <w:tc>
          <w:tcPr>
            <w:tcW w:w="449"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0</w:t>
            </w:r>
          </w:p>
        </w:tc>
        <w:tc>
          <w:tcPr>
            <w:tcW w:w="641"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0</w:t>
            </w:r>
          </w:p>
        </w:tc>
        <w:tc>
          <w:tcPr>
            <w:tcW w:w="276"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0</w:t>
            </w:r>
          </w:p>
        </w:tc>
        <w:tc>
          <w:tcPr>
            <w:tcW w:w="686"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0</w:t>
            </w:r>
          </w:p>
        </w:tc>
        <w:tc>
          <w:tcPr>
            <w:tcW w:w="256"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0</w:t>
            </w:r>
          </w:p>
        </w:tc>
        <w:tc>
          <w:tcPr>
            <w:tcW w:w="641"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0</w:t>
            </w:r>
          </w:p>
        </w:tc>
        <w:tc>
          <w:tcPr>
            <w:tcW w:w="321"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0</w:t>
            </w:r>
          </w:p>
        </w:tc>
        <w:tc>
          <w:tcPr>
            <w:tcW w:w="359"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0</w:t>
            </w:r>
          </w:p>
        </w:tc>
        <w:tc>
          <w:tcPr>
            <w:tcW w:w="282"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0</w:t>
            </w:r>
          </w:p>
        </w:tc>
        <w:tc>
          <w:tcPr>
            <w:tcW w:w="370"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0</w:t>
            </w:r>
          </w:p>
        </w:tc>
        <w:tc>
          <w:tcPr>
            <w:tcW w:w="270"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0</w:t>
            </w:r>
          </w:p>
        </w:tc>
      </w:tr>
      <w:tr w:rsidR="00FE5F88" w:rsidRPr="009D1835" w:rsidTr="000E1911">
        <w:trPr>
          <w:cantSplit/>
        </w:trPr>
        <w:tc>
          <w:tcPr>
            <w:tcW w:w="449"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bold-left"/>
              <w:rPr>
                <w:rFonts w:cs="Calibri"/>
                <w:sz w:val="18"/>
                <w:szCs w:val="18"/>
              </w:rPr>
            </w:pPr>
            <w:r w:rsidRPr="009D1835">
              <w:rPr>
                <w:rFonts w:cs="Calibri"/>
                <w:sz w:val="18"/>
                <w:szCs w:val="18"/>
              </w:rPr>
              <w:t>Skupaj</w:t>
            </w:r>
          </w:p>
        </w:tc>
        <w:tc>
          <w:tcPr>
            <w:tcW w:w="449"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b/>
                <w:bCs/>
                <w:sz w:val="18"/>
                <w:szCs w:val="18"/>
              </w:rPr>
            </w:pPr>
            <w:r w:rsidRPr="009D1835">
              <w:rPr>
                <w:rFonts w:cs="Calibri"/>
                <w:b/>
                <w:bCs/>
                <w:sz w:val="18"/>
                <w:szCs w:val="18"/>
              </w:rPr>
              <w:t>1.015</w:t>
            </w:r>
          </w:p>
        </w:tc>
        <w:tc>
          <w:tcPr>
            <w:tcW w:w="641"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b/>
                <w:bCs/>
                <w:sz w:val="18"/>
                <w:szCs w:val="18"/>
              </w:rPr>
            </w:pPr>
            <w:r w:rsidRPr="009D1835">
              <w:rPr>
                <w:rFonts w:cs="Calibri"/>
                <w:b/>
                <w:bCs/>
                <w:sz w:val="18"/>
                <w:szCs w:val="18"/>
              </w:rPr>
              <w:t>24</w:t>
            </w:r>
          </w:p>
        </w:tc>
        <w:tc>
          <w:tcPr>
            <w:tcW w:w="276"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b/>
                <w:bCs/>
                <w:sz w:val="18"/>
                <w:szCs w:val="18"/>
              </w:rPr>
            </w:pPr>
            <w:r w:rsidRPr="009D1835">
              <w:rPr>
                <w:rFonts w:cs="Calibri"/>
                <w:b/>
                <w:bCs/>
                <w:sz w:val="18"/>
                <w:szCs w:val="18"/>
              </w:rPr>
              <w:t>2</w:t>
            </w:r>
          </w:p>
        </w:tc>
        <w:tc>
          <w:tcPr>
            <w:tcW w:w="686"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b/>
                <w:bCs/>
                <w:sz w:val="18"/>
                <w:szCs w:val="18"/>
              </w:rPr>
            </w:pPr>
            <w:r w:rsidRPr="009D1835">
              <w:rPr>
                <w:rFonts w:cs="Calibri"/>
                <w:b/>
                <w:bCs/>
                <w:sz w:val="18"/>
                <w:szCs w:val="18"/>
              </w:rPr>
              <w:t>168</w:t>
            </w:r>
          </w:p>
        </w:tc>
        <w:tc>
          <w:tcPr>
            <w:tcW w:w="256"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b/>
                <w:bCs/>
                <w:sz w:val="18"/>
                <w:szCs w:val="18"/>
              </w:rPr>
            </w:pPr>
            <w:r w:rsidRPr="009D1835">
              <w:rPr>
                <w:rFonts w:cs="Calibri"/>
                <w:b/>
                <w:bCs/>
                <w:sz w:val="18"/>
                <w:szCs w:val="18"/>
              </w:rPr>
              <w:t>17</w:t>
            </w:r>
          </w:p>
        </w:tc>
        <w:tc>
          <w:tcPr>
            <w:tcW w:w="641"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b/>
                <w:bCs/>
                <w:sz w:val="18"/>
                <w:szCs w:val="18"/>
              </w:rPr>
            </w:pPr>
            <w:r w:rsidRPr="009D1835">
              <w:rPr>
                <w:rFonts w:cs="Calibri"/>
                <w:b/>
                <w:bCs/>
                <w:sz w:val="18"/>
                <w:szCs w:val="18"/>
              </w:rPr>
              <w:t>7</w:t>
            </w:r>
          </w:p>
        </w:tc>
        <w:tc>
          <w:tcPr>
            <w:tcW w:w="321"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b/>
                <w:bCs/>
                <w:sz w:val="18"/>
                <w:szCs w:val="18"/>
              </w:rPr>
            </w:pPr>
            <w:r w:rsidRPr="009D1835">
              <w:rPr>
                <w:rFonts w:cs="Calibri"/>
                <w:b/>
                <w:bCs/>
                <w:sz w:val="18"/>
                <w:szCs w:val="18"/>
              </w:rPr>
              <w:t>1</w:t>
            </w:r>
          </w:p>
        </w:tc>
        <w:tc>
          <w:tcPr>
            <w:tcW w:w="359"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b/>
                <w:bCs/>
                <w:sz w:val="18"/>
                <w:szCs w:val="18"/>
              </w:rPr>
            </w:pPr>
            <w:r w:rsidRPr="009D1835">
              <w:rPr>
                <w:rFonts w:cs="Calibri"/>
                <w:b/>
                <w:bCs/>
                <w:sz w:val="18"/>
                <w:szCs w:val="18"/>
              </w:rPr>
              <w:t>2</w:t>
            </w:r>
          </w:p>
        </w:tc>
        <w:tc>
          <w:tcPr>
            <w:tcW w:w="282"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b/>
                <w:bCs/>
                <w:sz w:val="18"/>
                <w:szCs w:val="18"/>
              </w:rPr>
            </w:pPr>
            <w:r w:rsidRPr="009D1835">
              <w:rPr>
                <w:rFonts w:cs="Calibri"/>
                <w:b/>
                <w:bCs/>
                <w:sz w:val="18"/>
                <w:szCs w:val="18"/>
              </w:rPr>
              <w:t>0</w:t>
            </w:r>
          </w:p>
        </w:tc>
        <w:tc>
          <w:tcPr>
            <w:tcW w:w="370"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b/>
                <w:bCs/>
                <w:sz w:val="18"/>
                <w:szCs w:val="18"/>
              </w:rPr>
            </w:pPr>
            <w:r w:rsidRPr="009D1835">
              <w:rPr>
                <w:rFonts w:cs="Calibri"/>
                <w:b/>
                <w:bCs/>
                <w:sz w:val="18"/>
                <w:szCs w:val="18"/>
              </w:rPr>
              <w:t>814</w:t>
            </w:r>
          </w:p>
        </w:tc>
        <w:tc>
          <w:tcPr>
            <w:tcW w:w="270"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b/>
                <w:bCs/>
                <w:sz w:val="18"/>
                <w:szCs w:val="18"/>
              </w:rPr>
            </w:pPr>
            <w:r w:rsidRPr="009D1835">
              <w:rPr>
                <w:rFonts w:cs="Calibri"/>
                <w:b/>
                <w:bCs/>
                <w:sz w:val="18"/>
                <w:szCs w:val="18"/>
              </w:rPr>
              <w:t>80</w:t>
            </w:r>
          </w:p>
        </w:tc>
      </w:tr>
      <w:tr w:rsidR="00FE5F88" w:rsidRPr="009D1835" w:rsidTr="000E1911">
        <w:trPr>
          <w:cantSplit/>
        </w:trPr>
        <w:tc>
          <w:tcPr>
            <w:tcW w:w="449"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bold-left"/>
              <w:rPr>
                <w:rFonts w:cs="Calibri"/>
                <w:sz w:val="18"/>
                <w:szCs w:val="18"/>
              </w:rPr>
            </w:pPr>
            <w:r w:rsidRPr="009D1835">
              <w:rPr>
                <w:rFonts w:cs="Calibri"/>
                <w:sz w:val="18"/>
                <w:szCs w:val="18"/>
              </w:rPr>
              <w:lastRenderedPageBreak/>
              <w:t>Poprečje ODT</w:t>
            </w:r>
          </w:p>
        </w:tc>
        <w:tc>
          <w:tcPr>
            <w:tcW w:w="449"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89</w:t>
            </w:r>
          </w:p>
        </w:tc>
        <w:tc>
          <w:tcPr>
            <w:tcW w:w="641"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2</w:t>
            </w:r>
          </w:p>
        </w:tc>
        <w:tc>
          <w:tcPr>
            <w:tcW w:w="276"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3</w:t>
            </w:r>
          </w:p>
        </w:tc>
        <w:tc>
          <w:tcPr>
            <w:tcW w:w="686"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14</w:t>
            </w:r>
          </w:p>
        </w:tc>
        <w:tc>
          <w:tcPr>
            <w:tcW w:w="256"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16</w:t>
            </w:r>
          </w:p>
        </w:tc>
        <w:tc>
          <w:tcPr>
            <w:tcW w:w="641"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1</w:t>
            </w:r>
          </w:p>
        </w:tc>
        <w:tc>
          <w:tcPr>
            <w:tcW w:w="321"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1</w:t>
            </w:r>
          </w:p>
        </w:tc>
        <w:tc>
          <w:tcPr>
            <w:tcW w:w="359"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0</w:t>
            </w:r>
          </w:p>
        </w:tc>
        <w:tc>
          <w:tcPr>
            <w:tcW w:w="282"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1</w:t>
            </w:r>
          </w:p>
        </w:tc>
        <w:tc>
          <w:tcPr>
            <w:tcW w:w="370"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72</w:t>
            </w:r>
          </w:p>
        </w:tc>
        <w:tc>
          <w:tcPr>
            <w:tcW w:w="270" w:type="pct"/>
            <w:tcBorders>
              <w:top w:val="single" w:sz="4" w:space="0" w:color="877850"/>
              <w:bottom w:val="single" w:sz="4"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79</w:t>
            </w:r>
          </w:p>
        </w:tc>
      </w:tr>
      <w:tr w:rsidR="00FE5F88" w:rsidRPr="009D1835" w:rsidTr="000E1911">
        <w:trPr>
          <w:cantSplit/>
        </w:trPr>
        <w:tc>
          <w:tcPr>
            <w:tcW w:w="449" w:type="pct"/>
            <w:tcBorders>
              <w:top w:val="single" w:sz="4" w:space="0" w:color="877850"/>
              <w:bottom w:val="single" w:sz="12" w:space="0" w:color="877850"/>
            </w:tcBorders>
            <w:shd w:val="clear" w:color="auto" w:fill="auto"/>
            <w:vAlign w:val="center"/>
          </w:tcPr>
          <w:p w:rsidR="00FE5F88" w:rsidRPr="009D1835" w:rsidRDefault="00FE5F88" w:rsidP="000E1911">
            <w:pPr>
              <w:pStyle w:val="Tabela-vsebina-bold-left"/>
              <w:rPr>
                <w:rFonts w:cs="Calibri"/>
                <w:sz w:val="18"/>
                <w:szCs w:val="18"/>
              </w:rPr>
            </w:pPr>
            <w:r>
              <w:rPr>
                <w:rFonts w:cs="Calibri"/>
                <w:sz w:val="18"/>
                <w:szCs w:val="18"/>
              </w:rPr>
              <w:t>Poprečje ODT OPP SDT RS</w:t>
            </w:r>
          </w:p>
        </w:tc>
        <w:tc>
          <w:tcPr>
            <w:tcW w:w="449" w:type="pct"/>
            <w:tcBorders>
              <w:top w:val="single" w:sz="4" w:space="0" w:color="877850"/>
              <w:bottom w:val="single" w:sz="12"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78</w:t>
            </w:r>
          </w:p>
        </w:tc>
        <w:tc>
          <w:tcPr>
            <w:tcW w:w="641" w:type="pct"/>
            <w:tcBorders>
              <w:top w:val="single" w:sz="4" w:space="0" w:color="877850"/>
              <w:bottom w:val="single" w:sz="12"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2</w:t>
            </w:r>
          </w:p>
        </w:tc>
        <w:tc>
          <w:tcPr>
            <w:tcW w:w="276" w:type="pct"/>
            <w:tcBorders>
              <w:top w:val="single" w:sz="4" w:space="0" w:color="877850"/>
              <w:bottom w:val="single" w:sz="12"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3</w:t>
            </w:r>
          </w:p>
        </w:tc>
        <w:tc>
          <w:tcPr>
            <w:tcW w:w="686" w:type="pct"/>
            <w:tcBorders>
              <w:top w:val="single" w:sz="4" w:space="0" w:color="877850"/>
              <w:bottom w:val="single" w:sz="12"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13</w:t>
            </w:r>
          </w:p>
        </w:tc>
        <w:tc>
          <w:tcPr>
            <w:tcW w:w="256" w:type="pct"/>
            <w:tcBorders>
              <w:top w:val="single" w:sz="4" w:space="0" w:color="877850"/>
              <w:bottom w:val="single" w:sz="12"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16</w:t>
            </w:r>
          </w:p>
        </w:tc>
        <w:tc>
          <w:tcPr>
            <w:tcW w:w="641" w:type="pct"/>
            <w:tcBorders>
              <w:top w:val="single" w:sz="4" w:space="0" w:color="877850"/>
              <w:bottom w:val="single" w:sz="12"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1</w:t>
            </w:r>
          </w:p>
        </w:tc>
        <w:tc>
          <w:tcPr>
            <w:tcW w:w="321" w:type="pct"/>
            <w:tcBorders>
              <w:top w:val="single" w:sz="4" w:space="0" w:color="877850"/>
              <w:bottom w:val="single" w:sz="12"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1</w:t>
            </w:r>
          </w:p>
        </w:tc>
        <w:tc>
          <w:tcPr>
            <w:tcW w:w="359" w:type="pct"/>
            <w:tcBorders>
              <w:top w:val="single" w:sz="4" w:space="0" w:color="877850"/>
              <w:bottom w:val="single" w:sz="12"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0</w:t>
            </w:r>
          </w:p>
        </w:tc>
        <w:tc>
          <w:tcPr>
            <w:tcW w:w="282" w:type="pct"/>
            <w:tcBorders>
              <w:top w:val="single" w:sz="4" w:space="0" w:color="877850"/>
              <w:bottom w:val="single" w:sz="12"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1</w:t>
            </w:r>
          </w:p>
        </w:tc>
        <w:tc>
          <w:tcPr>
            <w:tcW w:w="370" w:type="pct"/>
            <w:tcBorders>
              <w:top w:val="single" w:sz="4" w:space="0" w:color="877850"/>
              <w:bottom w:val="single" w:sz="12"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63</w:t>
            </w:r>
          </w:p>
        </w:tc>
        <w:tc>
          <w:tcPr>
            <w:tcW w:w="270" w:type="pct"/>
            <w:tcBorders>
              <w:top w:val="single" w:sz="4" w:space="0" w:color="877850"/>
              <w:bottom w:val="single" w:sz="12" w:space="0" w:color="877850"/>
            </w:tcBorders>
            <w:shd w:val="clear" w:color="auto" w:fill="auto"/>
            <w:vAlign w:val="center"/>
          </w:tcPr>
          <w:p w:rsidR="00FE5F88" w:rsidRPr="009D1835" w:rsidRDefault="00FE5F88" w:rsidP="000E1911">
            <w:pPr>
              <w:pStyle w:val="Tabela-vsebina-vrednosti"/>
              <w:rPr>
                <w:rFonts w:cs="Calibri"/>
                <w:sz w:val="18"/>
                <w:szCs w:val="18"/>
              </w:rPr>
            </w:pPr>
            <w:r w:rsidRPr="009D1835">
              <w:rPr>
                <w:rFonts w:cs="Calibri"/>
                <w:sz w:val="18"/>
                <w:szCs w:val="18"/>
              </w:rPr>
              <w:t>80</w:t>
            </w:r>
          </w:p>
        </w:tc>
      </w:tr>
      <w:bookmarkEnd w:id="16"/>
    </w:tbl>
    <w:p w:rsidR="00FE5F88" w:rsidRPr="00AB09A1" w:rsidRDefault="00FE5F88" w:rsidP="00FE5F88">
      <w:pPr>
        <w:pStyle w:val="Zatabelo"/>
      </w:pPr>
    </w:p>
    <w:p w:rsidR="00FE5F88" w:rsidRDefault="00FE5F88" w:rsidP="00FE5F88">
      <w:pPr>
        <w:spacing w:line="288" w:lineRule="auto"/>
        <w:jc w:val="both"/>
        <w:rPr>
          <w:rFonts w:eastAsia="Calibri" w:cs="Arial"/>
          <w:szCs w:val="20"/>
          <w:lang w:eastAsia="sl-SI"/>
        </w:rPr>
      </w:pPr>
      <w:r w:rsidRPr="001A24F5">
        <w:rPr>
          <w:rFonts w:eastAsia="Calibri" w:cs="Arial"/>
          <w:szCs w:val="20"/>
          <w:lang w:eastAsia="sl-SI"/>
        </w:rPr>
        <w:t xml:space="preserve">Zbrani statistični podatki izkazujejo, da je </w:t>
      </w:r>
      <w:r w:rsidRPr="001A24F5">
        <w:rPr>
          <w:rFonts w:eastAsia="Calibri" w:cs="Arial"/>
          <w:b/>
          <w:bCs/>
          <w:szCs w:val="20"/>
          <w:lang w:eastAsia="sl-SI"/>
        </w:rPr>
        <w:t>bilo po poravnavanju ali odloženem pregonu zavrženih ovadb</w:t>
      </w:r>
      <w:r w:rsidRPr="001A24F5">
        <w:rPr>
          <w:rFonts w:eastAsia="Calibri" w:cs="Arial"/>
          <w:szCs w:val="20"/>
          <w:lang w:eastAsia="sl-SI"/>
        </w:rPr>
        <w:t xml:space="preserve"> zoper 1.476 oziroma 9 % polnoletnih storilcev, kar je enak odstotek kot leta 2018. Iz navedenega razloga je bilo leta 2019 zavrženih ovadb proti 145 oziroma 17 % mladoletnikom ter zoper 24 oziroma 2 % pravnih oseb. </w:t>
      </w:r>
    </w:p>
    <w:p w:rsidR="00FE5F88" w:rsidRDefault="00FE5F88" w:rsidP="00FE5F88">
      <w:pPr>
        <w:spacing w:line="288" w:lineRule="auto"/>
        <w:jc w:val="both"/>
        <w:rPr>
          <w:rFonts w:eastAsia="Calibri" w:cs="Arial"/>
          <w:szCs w:val="20"/>
          <w:lang w:eastAsia="sl-SI"/>
        </w:rPr>
      </w:pPr>
    </w:p>
    <w:p w:rsidR="00FE5F88" w:rsidRDefault="00FE5F88" w:rsidP="00FE5F88">
      <w:pPr>
        <w:spacing w:line="288" w:lineRule="auto"/>
        <w:jc w:val="both"/>
        <w:rPr>
          <w:rFonts w:eastAsia="Calibri" w:cs="Arial"/>
          <w:szCs w:val="20"/>
          <w:lang w:eastAsia="sl-SI"/>
        </w:rPr>
      </w:pPr>
      <w:r w:rsidRPr="001A24F5">
        <w:rPr>
          <w:rFonts w:eastAsia="Calibri" w:cs="Arial"/>
          <w:szCs w:val="20"/>
          <w:lang w:eastAsia="sl-SI"/>
        </w:rPr>
        <w:t>Državna tožilstva so zoper 2.594 oziroma 16 % polnoletnih storilcev</w:t>
      </w:r>
      <w:r w:rsidRPr="001A24F5">
        <w:rPr>
          <w:rFonts w:eastAsia="Calibri" w:cs="Arial"/>
          <w:b/>
          <w:bCs/>
          <w:szCs w:val="20"/>
          <w:lang w:eastAsia="sl-SI"/>
        </w:rPr>
        <w:t xml:space="preserve"> zavrgla ovadbe zaradi majhnega pomena dejanja in uporabe načela sorazmernosti</w:t>
      </w:r>
      <w:r w:rsidRPr="001A24F5">
        <w:rPr>
          <w:rFonts w:eastAsia="Calibri" w:cs="Arial"/>
          <w:szCs w:val="20"/>
          <w:lang w:eastAsia="sl-SI"/>
        </w:rPr>
        <w:t xml:space="preserve"> </w:t>
      </w:r>
      <w:bookmarkStart w:id="17" w:name="_Hlk34397706"/>
      <w:r w:rsidRPr="001A24F5">
        <w:rPr>
          <w:rFonts w:eastAsia="Calibri" w:cs="Arial"/>
          <w:szCs w:val="20"/>
          <w:lang w:eastAsia="sl-SI"/>
        </w:rPr>
        <w:t>(17 % leta 2018)</w:t>
      </w:r>
      <w:bookmarkEnd w:id="17"/>
      <w:r w:rsidRPr="001A24F5">
        <w:rPr>
          <w:rFonts w:eastAsia="Calibri" w:cs="Arial"/>
          <w:szCs w:val="20"/>
          <w:lang w:eastAsia="sl-SI"/>
        </w:rPr>
        <w:t xml:space="preserve">. Iz istega razloga je bilo zavrženih ovadb proti 327 oziroma 38 % mladoletnikom (37 % leta 2018) in 168 oziroma 17 % zoper pravne osebe (13 % leta 2018). </w:t>
      </w:r>
    </w:p>
    <w:p w:rsidR="00FE5F88" w:rsidRDefault="00FE5F88" w:rsidP="00FE5F88">
      <w:pPr>
        <w:spacing w:line="288" w:lineRule="auto"/>
        <w:jc w:val="both"/>
        <w:rPr>
          <w:rFonts w:eastAsia="Calibri" w:cs="Arial"/>
          <w:szCs w:val="20"/>
          <w:lang w:eastAsia="sl-SI"/>
        </w:rPr>
      </w:pPr>
    </w:p>
    <w:p w:rsidR="00FE5F88" w:rsidRDefault="00FE5F88" w:rsidP="00FE5F88">
      <w:pPr>
        <w:spacing w:line="288" w:lineRule="auto"/>
        <w:jc w:val="both"/>
        <w:rPr>
          <w:rFonts w:eastAsia="Calibri" w:cs="Arial"/>
          <w:szCs w:val="20"/>
          <w:lang w:eastAsia="sl-SI"/>
        </w:rPr>
      </w:pPr>
      <w:r w:rsidRPr="001A24F5">
        <w:rPr>
          <w:rFonts w:eastAsia="Calibri" w:cs="Arial"/>
          <w:szCs w:val="20"/>
          <w:lang w:eastAsia="sl-SI"/>
        </w:rPr>
        <w:t xml:space="preserve">Zaradi </w:t>
      </w:r>
      <w:r w:rsidRPr="001A24F5">
        <w:rPr>
          <w:rFonts w:eastAsia="Calibri" w:cs="Arial"/>
          <w:b/>
          <w:bCs/>
          <w:szCs w:val="20"/>
          <w:lang w:eastAsia="sl-SI"/>
        </w:rPr>
        <w:t>umika predloga oškodovanca za kazniva dejanja, ki se preganjajo na predlog</w:t>
      </w:r>
      <w:r w:rsidRPr="001A24F5">
        <w:rPr>
          <w:rFonts w:eastAsia="Calibri" w:cs="Arial"/>
          <w:szCs w:val="20"/>
          <w:lang w:eastAsia="sl-SI"/>
        </w:rPr>
        <w:t>, so državna tožilstva v letu poročanja zavrgla ovadbe zoper 2.650 ali 14 % polnoletnih oseb in zoper 7 ali 1 % pravnih oseb. Iz enakega razloga je bilo zavrženih ovadb proti 133 ali 16 % mladoletnikom</w:t>
      </w:r>
      <w:r>
        <w:rPr>
          <w:rFonts w:eastAsia="Calibri" w:cs="Arial"/>
          <w:szCs w:val="20"/>
          <w:lang w:eastAsia="sl-SI"/>
        </w:rPr>
        <w:t xml:space="preserve">. </w:t>
      </w:r>
    </w:p>
    <w:p w:rsidR="00FE5F88" w:rsidRDefault="00FE5F88" w:rsidP="00FE5F88">
      <w:pPr>
        <w:spacing w:line="288" w:lineRule="auto"/>
        <w:jc w:val="both"/>
        <w:rPr>
          <w:rFonts w:eastAsia="Calibri" w:cs="Arial"/>
          <w:szCs w:val="20"/>
          <w:lang w:eastAsia="sl-SI"/>
        </w:rPr>
      </w:pPr>
    </w:p>
    <w:p w:rsidR="00FE5F88" w:rsidRDefault="00FE5F88" w:rsidP="00FE5F88">
      <w:pPr>
        <w:spacing w:line="288" w:lineRule="auto"/>
        <w:jc w:val="both"/>
        <w:rPr>
          <w:rFonts w:eastAsia="Calibri" w:cs="Arial"/>
          <w:szCs w:val="20"/>
          <w:lang w:eastAsia="sl-SI"/>
        </w:rPr>
      </w:pPr>
      <w:r w:rsidRPr="001A24F5">
        <w:rPr>
          <w:rFonts w:eastAsia="Calibri" w:cs="Arial"/>
          <w:szCs w:val="20"/>
          <w:lang w:eastAsia="sl-SI"/>
        </w:rPr>
        <w:t>Državni tožilec lahko</w:t>
      </w:r>
      <w:r w:rsidR="00C965E3">
        <w:rPr>
          <w:rFonts w:eastAsia="Calibri" w:cs="Arial"/>
          <w:szCs w:val="20"/>
          <w:lang w:eastAsia="sl-SI"/>
        </w:rPr>
        <w:t xml:space="preserve"> </w:t>
      </w:r>
      <w:r w:rsidRPr="001A24F5">
        <w:rPr>
          <w:rFonts w:eastAsia="Calibri" w:cs="Arial"/>
          <w:szCs w:val="20"/>
          <w:lang w:eastAsia="sl-SI"/>
        </w:rPr>
        <w:t>ob upoštevanju okoliščin posameznega primera</w:t>
      </w:r>
      <w:r w:rsidR="00C965E3">
        <w:rPr>
          <w:rFonts w:eastAsia="Calibri" w:cs="Arial"/>
          <w:szCs w:val="20"/>
          <w:lang w:eastAsia="sl-SI"/>
        </w:rPr>
        <w:t xml:space="preserve"> </w:t>
      </w:r>
      <w:r w:rsidRPr="001A24F5">
        <w:rPr>
          <w:rFonts w:eastAsia="Calibri" w:cs="Arial"/>
          <w:szCs w:val="20"/>
          <w:lang w:eastAsia="sl-SI"/>
        </w:rPr>
        <w:t xml:space="preserve">glede kaznivih dejanj, za katera je predpisana kazen zapora do treh let ali denarna kazen, iz </w:t>
      </w:r>
      <w:r w:rsidRPr="00162626">
        <w:rPr>
          <w:rFonts w:eastAsia="Calibri" w:cs="Arial"/>
          <w:b/>
          <w:bCs/>
          <w:szCs w:val="20"/>
          <w:lang w:eastAsia="sl-SI"/>
        </w:rPr>
        <w:t>razlogov smotrnosti</w:t>
      </w:r>
      <w:r w:rsidRPr="001A24F5">
        <w:rPr>
          <w:rFonts w:eastAsia="Calibri" w:cs="Arial"/>
          <w:szCs w:val="20"/>
          <w:lang w:eastAsia="sl-SI"/>
        </w:rPr>
        <w:t xml:space="preserve"> odloči, da ne bo zahteval uvedbe kazenskega postopka proti mladoletniku. Iz tega razloga je bilo leta 2019 zavrženih 21 ovadb proti mladoletnikom, kar predstavlja 2 % zavrženih ovadb</w:t>
      </w:r>
      <w:r>
        <w:rPr>
          <w:rFonts w:eastAsia="Calibri" w:cs="Arial"/>
          <w:szCs w:val="20"/>
          <w:lang w:eastAsia="sl-SI"/>
        </w:rPr>
        <w:t xml:space="preserve">. </w:t>
      </w:r>
    </w:p>
    <w:p w:rsidR="00FE5F88" w:rsidRPr="001A24F5" w:rsidRDefault="00FE5F88" w:rsidP="00FE5F88">
      <w:pPr>
        <w:spacing w:line="288" w:lineRule="auto"/>
        <w:jc w:val="both"/>
        <w:rPr>
          <w:rFonts w:eastAsia="Calibri" w:cs="Arial"/>
          <w:szCs w:val="20"/>
          <w:lang w:eastAsia="sl-SI"/>
        </w:rPr>
      </w:pPr>
    </w:p>
    <w:p w:rsidR="00FE5F88" w:rsidRPr="001A24F5" w:rsidRDefault="00FE5F88" w:rsidP="00FE5F88">
      <w:pPr>
        <w:spacing w:line="288" w:lineRule="auto"/>
        <w:jc w:val="both"/>
        <w:rPr>
          <w:rFonts w:eastAsia="Calibri" w:cs="Arial"/>
          <w:szCs w:val="20"/>
          <w:lang w:eastAsia="sl-SI"/>
        </w:rPr>
      </w:pPr>
      <w:r w:rsidRPr="001A24F5">
        <w:rPr>
          <w:rFonts w:eastAsia="Calibri" w:cs="Arial"/>
          <w:szCs w:val="20"/>
          <w:lang w:eastAsia="sl-SI"/>
        </w:rPr>
        <w:t xml:space="preserve">Razlog, pri katerem se pojavlja najmanjši delež zavrženja ovadb, je </w:t>
      </w:r>
      <w:r w:rsidRPr="00162626">
        <w:rPr>
          <w:rFonts w:eastAsia="Calibri" w:cs="Arial"/>
          <w:b/>
          <w:bCs/>
          <w:szCs w:val="20"/>
          <w:lang w:eastAsia="sl-SI"/>
        </w:rPr>
        <w:t>zastaranje</w:t>
      </w:r>
      <w:r w:rsidRPr="001A24F5">
        <w:rPr>
          <w:rFonts w:eastAsia="Calibri" w:cs="Arial"/>
          <w:szCs w:val="20"/>
          <w:lang w:eastAsia="sl-SI"/>
        </w:rPr>
        <w:t>, saj znaša delež pri polnoletnih in pravnih osebah manj kot 0,5 %, medtem ko pri mladoletnikih leta 2019 zavrženih ovadb zaradi zastaranja ni bilo. Do zavrženj zaradi zastaranja kazenskega pregona navadno prihaja že ob prejemu kazenske ovadbe, ko se ugotovi, da je do zastaranja prišlo že pred vložitvijo kazenske ovadbe.</w:t>
      </w:r>
    </w:p>
    <w:p w:rsidR="00FE5F88" w:rsidRDefault="00FE5F88" w:rsidP="00FE5F88">
      <w:pPr>
        <w:spacing w:line="288" w:lineRule="auto"/>
        <w:jc w:val="both"/>
        <w:rPr>
          <w:rFonts w:eastAsia="Calibri" w:cs="Arial"/>
          <w:szCs w:val="20"/>
          <w:lang w:eastAsia="sl-SI"/>
        </w:rPr>
      </w:pPr>
    </w:p>
    <w:p w:rsidR="00FE5F88" w:rsidRDefault="00FE5F88" w:rsidP="00FE5F88">
      <w:pPr>
        <w:spacing w:line="288" w:lineRule="auto"/>
        <w:jc w:val="both"/>
        <w:rPr>
          <w:rFonts w:eastAsia="Calibri" w:cs="Arial"/>
          <w:szCs w:val="20"/>
          <w:lang w:eastAsia="sl-SI"/>
        </w:rPr>
      </w:pPr>
      <w:r>
        <w:rPr>
          <w:rFonts w:eastAsia="Calibri" w:cs="Arial"/>
          <w:szCs w:val="20"/>
          <w:lang w:eastAsia="sl-SI"/>
        </w:rPr>
        <w:t>M</w:t>
      </w:r>
      <w:r w:rsidRPr="001A24F5">
        <w:rPr>
          <w:rFonts w:eastAsia="Calibri" w:cs="Arial"/>
          <w:szCs w:val="20"/>
          <w:lang w:eastAsia="sl-SI"/>
        </w:rPr>
        <w:t xml:space="preserve">ed </w:t>
      </w:r>
      <w:r w:rsidRPr="009B4D00">
        <w:rPr>
          <w:rFonts w:eastAsia="Calibri" w:cs="Arial"/>
          <w:b/>
          <w:bCs/>
          <w:szCs w:val="20"/>
          <w:lang w:eastAsia="sl-SI"/>
        </w:rPr>
        <w:t>ovadbe, zavržene iz drugih razlogov</w:t>
      </w:r>
      <w:r w:rsidRPr="001A24F5">
        <w:rPr>
          <w:rFonts w:eastAsia="Calibri" w:cs="Arial"/>
          <w:szCs w:val="20"/>
          <w:lang w:eastAsia="sl-SI"/>
        </w:rPr>
        <w:t>,</w:t>
      </w:r>
      <w:r>
        <w:rPr>
          <w:rFonts w:eastAsia="Calibri" w:cs="Arial"/>
          <w:szCs w:val="20"/>
          <w:lang w:eastAsia="sl-SI"/>
        </w:rPr>
        <w:t xml:space="preserve"> se</w:t>
      </w:r>
      <w:r w:rsidRPr="001A24F5">
        <w:rPr>
          <w:rFonts w:eastAsia="Calibri" w:cs="Arial"/>
          <w:szCs w:val="20"/>
          <w:lang w:eastAsia="sl-SI"/>
        </w:rPr>
        <w:t xml:space="preserve"> uvrščajo predvsem ovadbe</w:t>
      </w:r>
      <w:r w:rsidR="00BD7024">
        <w:rPr>
          <w:rFonts w:eastAsia="Calibri" w:cs="Arial"/>
          <w:szCs w:val="20"/>
          <w:lang w:eastAsia="sl-SI"/>
        </w:rPr>
        <w:t xml:space="preserve"> </w:t>
      </w:r>
      <w:r w:rsidRPr="001A24F5">
        <w:rPr>
          <w:rFonts w:eastAsia="Calibri" w:cs="Arial"/>
          <w:szCs w:val="20"/>
          <w:lang w:eastAsia="sl-SI"/>
        </w:rPr>
        <w:t>zavržene zaradi nezadostne podlage za utemeljen sum, da je storilec storil naznanjeno kaznivo dejanje, ki se preganja po uradni dolžnosti, ker dejanje iz ovadbe ni kaznivo dejanje</w:t>
      </w:r>
      <w:r w:rsidR="00BD7024">
        <w:rPr>
          <w:rFonts w:eastAsia="Calibri" w:cs="Arial"/>
          <w:szCs w:val="20"/>
          <w:lang w:eastAsia="sl-SI"/>
        </w:rPr>
        <w:t>,</w:t>
      </w:r>
      <w:r w:rsidRPr="001A24F5">
        <w:rPr>
          <w:rFonts w:eastAsia="Calibri" w:cs="Arial"/>
          <w:szCs w:val="20"/>
          <w:lang w:eastAsia="sl-SI"/>
        </w:rPr>
        <w:t xml:space="preserve"> ali zaradi drugih okoliščin, ki izključujejo kazenski pregon.</w:t>
      </w:r>
    </w:p>
    <w:p w:rsidR="00FE5F88" w:rsidRDefault="00FE5F88" w:rsidP="00FE5F88">
      <w:pPr>
        <w:spacing w:line="288" w:lineRule="auto"/>
        <w:jc w:val="both"/>
        <w:rPr>
          <w:rFonts w:eastAsia="Calibri" w:cs="Arial"/>
          <w:szCs w:val="20"/>
          <w:lang w:eastAsia="sl-SI"/>
        </w:rPr>
      </w:pPr>
    </w:p>
    <w:p w:rsidR="00FE5F88" w:rsidRDefault="00FE5F88" w:rsidP="00FE5F88">
      <w:pPr>
        <w:spacing w:line="288" w:lineRule="auto"/>
        <w:jc w:val="both"/>
        <w:rPr>
          <w:rFonts w:eastAsia="Calibri" w:cs="Arial"/>
          <w:szCs w:val="20"/>
          <w:lang w:eastAsia="sl-SI"/>
        </w:rPr>
      </w:pPr>
      <w:r w:rsidRPr="001A24F5">
        <w:rPr>
          <w:rFonts w:eastAsia="Calibri" w:cs="Arial"/>
          <w:szCs w:val="20"/>
          <w:lang w:eastAsia="sl-SI"/>
        </w:rPr>
        <w:t xml:space="preserve">Državni tožilci so v največjem deležu </w:t>
      </w:r>
      <w:r w:rsidRPr="009B4D00">
        <w:rPr>
          <w:rFonts w:eastAsia="Calibri" w:cs="Arial"/>
          <w:szCs w:val="20"/>
          <w:lang w:eastAsia="sl-SI"/>
        </w:rPr>
        <w:t>zavrgli ovadbe iz drugih razlogov</w:t>
      </w:r>
      <w:r w:rsidRPr="001A24F5">
        <w:rPr>
          <w:rFonts w:eastAsia="Calibri" w:cs="Arial"/>
          <w:szCs w:val="20"/>
          <w:lang w:eastAsia="sl-SI"/>
        </w:rPr>
        <w:t xml:space="preserve">, med katere se uvrščajo primeri, v katerih zaradi pomanjkanja procesnih in materialnih predpostavk postopka ni bilo mogoče nadaljevati (dejanje ni kaznivo dejanje, ni podan utemeljen sum, da je osumljenec storil kaznivo dejanje, ki se preganja po uradni dolžnosti, druge procesne ovire). Državna tožilstva poročajo, da je največ zavrženj iz drugih razlogov, ker ni podanega utemeljenega suma, da je osumljenec storil naznanjeno kaznivo dejanje. </w:t>
      </w:r>
      <w:r w:rsidR="00C756F2">
        <w:rPr>
          <w:rFonts w:eastAsia="Calibri" w:cs="Arial"/>
          <w:szCs w:val="20"/>
          <w:lang w:eastAsia="sl-SI"/>
        </w:rPr>
        <w:t xml:space="preserve">Tudi </w:t>
      </w:r>
      <w:r w:rsidRPr="001A24F5">
        <w:rPr>
          <w:rFonts w:eastAsia="Calibri" w:cs="Arial"/>
          <w:szCs w:val="20"/>
          <w:lang w:eastAsia="sl-SI"/>
        </w:rPr>
        <w:t xml:space="preserve">kakovost ovadb lahko vpliva na odločitev državnega tožilca, saj je pomanjkanje dokazov ali </w:t>
      </w:r>
      <w:proofErr w:type="spellStart"/>
      <w:r w:rsidRPr="001A24F5">
        <w:rPr>
          <w:rFonts w:eastAsia="Calibri" w:cs="Arial"/>
          <w:szCs w:val="20"/>
          <w:lang w:eastAsia="sl-SI"/>
        </w:rPr>
        <w:t>neizkazanost</w:t>
      </w:r>
      <w:proofErr w:type="spellEnd"/>
      <w:r w:rsidRPr="001A24F5">
        <w:rPr>
          <w:rFonts w:eastAsia="Calibri" w:cs="Arial"/>
          <w:szCs w:val="20"/>
          <w:lang w:eastAsia="sl-SI"/>
        </w:rPr>
        <w:t xml:space="preserve"> ustreznega dokaznega standarda (neobstoj utemeljenega suma) razlog za zavrženje, to pa je lahko tudi posledica neuspešnega dopolnjevanja ovadb.</w:t>
      </w:r>
      <w:r>
        <w:rPr>
          <w:rFonts w:eastAsia="Calibri" w:cs="Arial"/>
          <w:szCs w:val="20"/>
          <w:lang w:eastAsia="sl-SI"/>
        </w:rPr>
        <w:t xml:space="preserve"> </w:t>
      </w:r>
      <w:r w:rsidRPr="001A24F5">
        <w:rPr>
          <w:rFonts w:eastAsia="Calibri" w:cs="Arial"/>
          <w:szCs w:val="20"/>
          <w:lang w:eastAsia="sl-SI"/>
        </w:rPr>
        <w:t xml:space="preserve">Državna tožilstva poročajo, da so ovadbe iz drugih razlogov pogosto zavrgli, kadar je policija </w:t>
      </w:r>
      <w:r w:rsidRPr="001A24F5">
        <w:rPr>
          <w:rFonts w:eastAsia="Calibri" w:cs="Arial"/>
          <w:szCs w:val="20"/>
          <w:lang w:eastAsia="sl-SI"/>
        </w:rPr>
        <w:lastRenderedPageBreak/>
        <w:t>na podlagi desetega odstavka 148. člena ZKP državnemu tožilcu poslala poročilo, saj na podlagi zbranih obvestil ni bilo podlage za kazensko ovadbo. V takšnih primerih je treba vseeno odločiti o kazenski ovadbi oškodovanca. Neutemeljene ovadbe in naznanila, ki se zavračajo iz drugih razlogov, so neredko tudi posledica odškodninskih in drugih spornih civilnopravnih razmerij, ko posamezniki poskušajo doseči poplačilo svojih terjatev ali povrnitev nastale škode v kazenskih postopkih, vendar za uvedbo pregona niso izpolnjeni zakonski pogoji.</w:t>
      </w:r>
      <w:r w:rsidR="00F25413">
        <w:rPr>
          <w:rFonts w:eastAsia="Calibri" w:cs="Arial"/>
          <w:szCs w:val="20"/>
          <w:lang w:eastAsia="sl-SI"/>
        </w:rPr>
        <w:t xml:space="preserve"> Tako</w:t>
      </w:r>
      <w:r>
        <w:rPr>
          <w:rFonts w:eastAsia="Calibri" w:cs="Arial"/>
          <w:szCs w:val="20"/>
          <w:lang w:eastAsia="sl-SI"/>
        </w:rPr>
        <w:t xml:space="preserve"> so d</w:t>
      </w:r>
      <w:r w:rsidRPr="001A24F5">
        <w:rPr>
          <w:rFonts w:eastAsia="Calibri" w:cs="Arial"/>
          <w:szCs w:val="20"/>
          <w:lang w:eastAsia="sl-SI"/>
        </w:rPr>
        <w:t>ržavni tožilci</w:t>
      </w:r>
      <w:r>
        <w:rPr>
          <w:rFonts w:eastAsia="Calibri" w:cs="Arial"/>
          <w:szCs w:val="20"/>
          <w:lang w:eastAsia="sl-SI"/>
        </w:rPr>
        <w:t xml:space="preserve"> l</w:t>
      </w:r>
      <w:r w:rsidRPr="001A24F5">
        <w:rPr>
          <w:rFonts w:eastAsia="Calibri" w:cs="Arial"/>
          <w:szCs w:val="20"/>
          <w:lang w:eastAsia="sl-SI"/>
        </w:rPr>
        <w:t>eta 2019 iz »drugih razlogov« zavrgli ovadbe zoper 10.066 oziroma 61 % polnoletnih storilcev</w:t>
      </w:r>
      <w:r>
        <w:rPr>
          <w:rFonts w:eastAsia="Calibri" w:cs="Arial"/>
          <w:szCs w:val="20"/>
          <w:lang w:eastAsia="sl-SI"/>
        </w:rPr>
        <w:t>.</w:t>
      </w:r>
      <w:r w:rsidRPr="001A24F5">
        <w:rPr>
          <w:rFonts w:eastAsia="Calibri" w:cs="Arial"/>
          <w:szCs w:val="20"/>
          <w:lang w:eastAsia="sl-SI"/>
        </w:rPr>
        <w:t xml:space="preserve"> Tako zavrženih ovadb je bilo 228 ali 27 % proti mladoletnikom in 814 ali 80 % zoper pravne osebe (82 % leta 2018). </w:t>
      </w:r>
    </w:p>
    <w:p w:rsidR="005C3358" w:rsidRDefault="005C3358" w:rsidP="00FE5F88">
      <w:pPr>
        <w:spacing w:line="288" w:lineRule="auto"/>
        <w:jc w:val="both"/>
        <w:rPr>
          <w:rFonts w:eastAsia="Calibri" w:cs="Arial"/>
          <w:szCs w:val="20"/>
          <w:lang w:eastAsia="sl-SI"/>
        </w:rPr>
      </w:pPr>
    </w:p>
    <w:p w:rsidR="005C3358" w:rsidRDefault="005C3358" w:rsidP="005C3358">
      <w:pPr>
        <w:spacing w:line="288" w:lineRule="auto"/>
        <w:ind w:left="-6" w:right="-11"/>
        <w:jc w:val="both"/>
      </w:pPr>
      <w:r>
        <w:t>Po podatkih Vrhovnega državnega tožilstva</w:t>
      </w:r>
      <w:r w:rsidR="00BD7024">
        <w:t xml:space="preserve"> RS</w:t>
      </w:r>
      <w:r>
        <w:t xml:space="preserve">, posredovanih v odzivu št. </w:t>
      </w:r>
      <w:r w:rsidRPr="005C3358">
        <w:t>VDT-Tu-10-1/2/2020/44</w:t>
      </w:r>
      <w:r>
        <w:t xml:space="preserve"> z dne 1.</w:t>
      </w:r>
      <w:r w:rsidR="00BD7024">
        <w:t xml:space="preserve"> </w:t>
      </w:r>
      <w:r>
        <w:t>6.</w:t>
      </w:r>
      <w:r w:rsidR="00BD7024">
        <w:t xml:space="preserve"> </w:t>
      </w:r>
      <w:r>
        <w:t>2020</w:t>
      </w:r>
      <w:r w:rsidR="00612510">
        <w:t xml:space="preserve"> </w:t>
      </w:r>
      <w:r>
        <w:t xml:space="preserve">so v spodnji </w:t>
      </w:r>
      <w:r w:rsidR="00BD7024">
        <w:t xml:space="preserve">preglednici </w:t>
      </w:r>
      <w:r>
        <w:t>zbirno predstavljeni podatki za obdobje zadnjih petih let, v katerem so državni tožilci zavrgli kazenske ovadbe – šteto po vseh zavrženih kaznivih dejanjih (predstavljeno ločeno po kaznivih dejanjih iz okrajne oziroma okrožne pristojnosti).</w:t>
      </w:r>
    </w:p>
    <w:p w:rsidR="005C3358" w:rsidRDefault="005C3358" w:rsidP="005C3358">
      <w:pPr>
        <w:ind w:left="-5" w:right="-14"/>
      </w:pPr>
    </w:p>
    <w:tbl>
      <w:tblPr>
        <w:tblStyle w:val="TableGrid"/>
        <w:tblW w:w="8761" w:type="dxa"/>
        <w:tblInd w:w="5" w:type="dxa"/>
        <w:tblCellMar>
          <w:top w:w="65" w:type="dxa"/>
          <w:left w:w="62" w:type="dxa"/>
          <w:right w:w="115" w:type="dxa"/>
        </w:tblCellMar>
        <w:tblLook w:val="04A0" w:firstRow="1" w:lastRow="0" w:firstColumn="1" w:lastColumn="0" w:noHBand="0" w:noVBand="1"/>
      </w:tblPr>
      <w:tblGrid>
        <w:gridCol w:w="3250"/>
        <w:gridCol w:w="1904"/>
        <w:gridCol w:w="2003"/>
        <w:gridCol w:w="1604"/>
      </w:tblGrid>
      <w:tr w:rsidR="005C3358" w:rsidRPr="00C756F2" w:rsidTr="00180313">
        <w:trPr>
          <w:trHeight w:val="327"/>
        </w:trPr>
        <w:tc>
          <w:tcPr>
            <w:tcW w:w="3249" w:type="dxa"/>
            <w:tcBorders>
              <w:top w:val="single" w:sz="18" w:space="0" w:color="000000"/>
              <w:left w:val="single" w:sz="18" w:space="0" w:color="000000"/>
              <w:bottom w:val="single" w:sz="18" w:space="0" w:color="000000"/>
              <w:right w:val="single" w:sz="18" w:space="0" w:color="000000"/>
            </w:tcBorders>
            <w:shd w:val="clear" w:color="auto" w:fill="B1B1D2"/>
          </w:tcPr>
          <w:p w:rsidR="005C3358" w:rsidRPr="00C756F2" w:rsidRDefault="005C3358" w:rsidP="00180313">
            <w:pPr>
              <w:spacing w:line="259" w:lineRule="auto"/>
              <w:rPr>
                <w:sz w:val="18"/>
                <w:szCs w:val="18"/>
              </w:rPr>
            </w:pPr>
            <w:r w:rsidRPr="00C756F2">
              <w:rPr>
                <w:sz w:val="18"/>
                <w:szCs w:val="18"/>
              </w:rPr>
              <w:t>LETO / PRISTOJNOST</w:t>
            </w:r>
          </w:p>
        </w:tc>
        <w:tc>
          <w:tcPr>
            <w:tcW w:w="1904" w:type="dxa"/>
            <w:tcBorders>
              <w:top w:val="single" w:sz="18" w:space="0" w:color="000000"/>
              <w:left w:val="single" w:sz="18" w:space="0" w:color="000000"/>
              <w:bottom w:val="single" w:sz="18" w:space="0" w:color="000000"/>
              <w:right w:val="single" w:sz="18" w:space="0" w:color="000000"/>
            </w:tcBorders>
            <w:shd w:val="clear" w:color="auto" w:fill="B1B1D2"/>
          </w:tcPr>
          <w:p w:rsidR="005C3358" w:rsidRPr="00C756F2" w:rsidRDefault="005C3358" w:rsidP="00180313">
            <w:pPr>
              <w:spacing w:line="259" w:lineRule="auto"/>
              <w:ind w:left="99"/>
              <w:jc w:val="center"/>
              <w:rPr>
                <w:sz w:val="18"/>
                <w:szCs w:val="18"/>
              </w:rPr>
            </w:pPr>
            <w:r w:rsidRPr="00C756F2">
              <w:rPr>
                <w:sz w:val="18"/>
                <w:szCs w:val="18"/>
              </w:rPr>
              <w:t>OKRAJNA</w:t>
            </w:r>
          </w:p>
        </w:tc>
        <w:tc>
          <w:tcPr>
            <w:tcW w:w="2003" w:type="dxa"/>
            <w:tcBorders>
              <w:top w:val="single" w:sz="18" w:space="0" w:color="000000"/>
              <w:left w:val="single" w:sz="18" w:space="0" w:color="000000"/>
              <w:bottom w:val="single" w:sz="18" w:space="0" w:color="000000"/>
              <w:right w:val="single" w:sz="18" w:space="0" w:color="000000"/>
            </w:tcBorders>
            <w:shd w:val="clear" w:color="auto" w:fill="B1B1D2"/>
          </w:tcPr>
          <w:p w:rsidR="005C3358" w:rsidRPr="00C756F2" w:rsidRDefault="005C3358" w:rsidP="00180313">
            <w:pPr>
              <w:spacing w:line="259" w:lineRule="auto"/>
              <w:ind w:left="98"/>
              <w:jc w:val="center"/>
              <w:rPr>
                <w:sz w:val="18"/>
                <w:szCs w:val="18"/>
              </w:rPr>
            </w:pPr>
            <w:r w:rsidRPr="00C756F2">
              <w:rPr>
                <w:sz w:val="18"/>
                <w:szCs w:val="18"/>
              </w:rPr>
              <w:t>OKROŽNA</w:t>
            </w:r>
          </w:p>
        </w:tc>
        <w:tc>
          <w:tcPr>
            <w:tcW w:w="1604" w:type="dxa"/>
            <w:tcBorders>
              <w:top w:val="single" w:sz="18" w:space="0" w:color="000000"/>
              <w:left w:val="single" w:sz="18" w:space="0" w:color="000000"/>
              <w:bottom w:val="single" w:sz="18" w:space="0" w:color="000000"/>
              <w:right w:val="single" w:sz="18" w:space="0" w:color="000000"/>
            </w:tcBorders>
            <w:shd w:val="clear" w:color="auto" w:fill="B1B1D2"/>
          </w:tcPr>
          <w:p w:rsidR="005C3358" w:rsidRPr="00C756F2" w:rsidRDefault="005C3358" w:rsidP="00180313">
            <w:pPr>
              <w:spacing w:line="259" w:lineRule="auto"/>
              <w:ind w:left="104"/>
              <w:jc w:val="center"/>
              <w:rPr>
                <w:sz w:val="18"/>
                <w:szCs w:val="18"/>
              </w:rPr>
            </w:pPr>
            <w:r w:rsidRPr="00C756F2">
              <w:rPr>
                <w:sz w:val="18"/>
                <w:szCs w:val="18"/>
              </w:rPr>
              <w:t>SKUPAJ</w:t>
            </w:r>
          </w:p>
        </w:tc>
      </w:tr>
      <w:tr w:rsidR="005C3358" w:rsidRPr="00C756F2" w:rsidTr="00180313">
        <w:trPr>
          <w:trHeight w:val="344"/>
        </w:trPr>
        <w:tc>
          <w:tcPr>
            <w:tcW w:w="3249" w:type="dxa"/>
            <w:tcBorders>
              <w:top w:val="single" w:sz="18" w:space="0" w:color="000000"/>
              <w:left w:val="single" w:sz="18" w:space="0" w:color="000000"/>
              <w:bottom w:val="single" w:sz="18" w:space="0" w:color="000000"/>
              <w:right w:val="single" w:sz="18" w:space="0" w:color="000000"/>
            </w:tcBorders>
          </w:tcPr>
          <w:p w:rsidR="005C3358" w:rsidRPr="00C756F2" w:rsidRDefault="005C3358" w:rsidP="00180313">
            <w:pPr>
              <w:spacing w:line="259" w:lineRule="auto"/>
              <w:rPr>
                <w:sz w:val="18"/>
                <w:szCs w:val="18"/>
              </w:rPr>
            </w:pPr>
            <w:r w:rsidRPr="00C756F2">
              <w:rPr>
                <w:sz w:val="18"/>
                <w:szCs w:val="18"/>
              </w:rPr>
              <w:t>2015</w:t>
            </w:r>
          </w:p>
        </w:tc>
        <w:tc>
          <w:tcPr>
            <w:tcW w:w="1904" w:type="dxa"/>
            <w:tcBorders>
              <w:top w:val="single" w:sz="18" w:space="0" w:color="000000"/>
              <w:left w:val="single" w:sz="18" w:space="0" w:color="000000"/>
              <w:bottom w:val="single" w:sz="18" w:space="0" w:color="000000"/>
              <w:right w:val="single" w:sz="18" w:space="0" w:color="000000"/>
            </w:tcBorders>
          </w:tcPr>
          <w:p w:rsidR="005C3358" w:rsidRPr="00C756F2" w:rsidRDefault="005C3358" w:rsidP="00180313">
            <w:pPr>
              <w:spacing w:line="259" w:lineRule="auto"/>
              <w:ind w:left="98"/>
              <w:jc w:val="center"/>
              <w:rPr>
                <w:sz w:val="18"/>
                <w:szCs w:val="18"/>
              </w:rPr>
            </w:pPr>
            <w:r w:rsidRPr="00C756F2">
              <w:rPr>
                <w:sz w:val="18"/>
                <w:szCs w:val="18"/>
              </w:rPr>
              <w:t>27.975</w:t>
            </w:r>
          </w:p>
        </w:tc>
        <w:tc>
          <w:tcPr>
            <w:tcW w:w="2003" w:type="dxa"/>
            <w:tcBorders>
              <w:top w:val="single" w:sz="18" w:space="0" w:color="000000"/>
              <w:left w:val="single" w:sz="18" w:space="0" w:color="000000"/>
              <w:bottom w:val="single" w:sz="18" w:space="0" w:color="000000"/>
              <w:right w:val="single" w:sz="18" w:space="0" w:color="000000"/>
            </w:tcBorders>
          </w:tcPr>
          <w:p w:rsidR="005C3358" w:rsidRPr="00C756F2" w:rsidRDefault="005C3358" w:rsidP="00180313">
            <w:pPr>
              <w:spacing w:line="259" w:lineRule="auto"/>
              <w:ind w:left="98"/>
              <w:jc w:val="center"/>
              <w:rPr>
                <w:sz w:val="18"/>
                <w:szCs w:val="18"/>
              </w:rPr>
            </w:pPr>
            <w:r w:rsidRPr="00C756F2">
              <w:rPr>
                <w:sz w:val="18"/>
                <w:szCs w:val="18"/>
              </w:rPr>
              <w:t>6.260</w:t>
            </w:r>
          </w:p>
        </w:tc>
        <w:tc>
          <w:tcPr>
            <w:tcW w:w="1604" w:type="dxa"/>
            <w:tcBorders>
              <w:top w:val="single" w:sz="18" w:space="0" w:color="000000"/>
              <w:left w:val="single" w:sz="18" w:space="0" w:color="000000"/>
              <w:bottom w:val="single" w:sz="18" w:space="0" w:color="000000"/>
              <w:right w:val="single" w:sz="18" w:space="0" w:color="000000"/>
            </w:tcBorders>
          </w:tcPr>
          <w:p w:rsidR="005C3358" w:rsidRPr="00C756F2" w:rsidRDefault="005C3358" w:rsidP="00180313">
            <w:pPr>
              <w:spacing w:line="259" w:lineRule="auto"/>
              <w:ind w:left="104"/>
              <w:jc w:val="center"/>
              <w:rPr>
                <w:sz w:val="18"/>
                <w:szCs w:val="18"/>
              </w:rPr>
            </w:pPr>
            <w:r w:rsidRPr="00C756F2">
              <w:rPr>
                <w:sz w:val="18"/>
                <w:szCs w:val="18"/>
              </w:rPr>
              <w:t>34.235</w:t>
            </w:r>
          </w:p>
        </w:tc>
      </w:tr>
      <w:tr w:rsidR="005C3358" w:rsidRPr="00C756F2" w:rsidTr="00180313">
        <w:trPr>
          <w:trHeight w:val="338"/>
        </w:trPr>
        <w:tc>
          <w:tcPr>
            <w:tcW w:w="3249" w:type="dxa"/>
            <w:tcBorders>
              <w:top w:val="single" w:sz="18" w:space="0" w:color="000000"/>
              <w:left w:val="single" w:sz="18" w:space="0" w:color="000000"/>
              <w:bottom w:val="single" w:sz="18" w:space="0" w:color="000000"/>
              <w:right w:val="single" w:sz="18" w:space="0" w:color="000000"/>
            </w:tcBorders>
          </w:tcPr>
          <w:p w:rsidR="005C3358" w:rsidRPr="00C756F2" w:rsidRDefault="005C3358" w:rsidP="00180313">
            <w:pPr>
              <w:spacing w:line="259" w:lineRule="auto"/>
              <w:rPr>
                <w:sz w:val="18"/>
                <w:szCs w:val="18"/>
              </w:rPr>
            </w:pPr>
            <w:r w:rsidRPr="00C756F2">
              <w:rPr>
                <w:sz w:val="18"/>
                <w:szCs w:val="18"/>
              </w:rPr>
              <w:t>2016</w:t>
            </w:r>
          </w:p>
        </w:tc>
        <w:tc>
          <w:tcPr>
            <w:tcW w:w="1904" w:type="dxa"/>
            <w:tcBorders>
              <w:top w:val="single" w:sz="18" w:space="0" w:color="000000"/>
              <w:left w:val="single" w:sz="18" w:space="0" w:color="000000"/>
              <w:bottom w:val="single" w:sz="18" w:space="0" w:color="000000"/>
              <w:right w:val="single" w:sz="18" w:space="0" w:color="000000"/>
            </w:tcBorders>
          </w:tcPr>
          <w:p w:rsidR="005C3358" w:rsidRPr="00C756F2" w:rsidRDefault="005C3358" w:rsidP="00180313">
            <w:pPr>
              <w:spacing w:line="259" w:lineRule="auto"/>
              <w:ind w:left="98"/>
              <w:jc w:val="center"/>
              <w:rPr>
                <w:sz w:val="18"/>
                <w:szCs w:val="18"/>
              </w:rPr>
            </w:pPr>
            <w:r w:rsidRPr="00C756F2">
              <w:rPr>
                <w:sz w:val="18"/>
                <w:szCs w:val="18"/>
              </w:rPr>
              <w:t>26.806</w:t>
            </w:r>
          </w:p>
        </w:tc>
        <w:tc>
          <w:tcPr>
            <w:tcW w:w="2003" w:type="dxa"/>
            <w:tcBorders>
              <w:top w:val="single" w:sz="18" w:space="0" w:color="000000"/>
              <w:left w:val="single" w:sz="18" w:space="0" w:color="000000"/>
              <w:bottom w:val="single" w:sz="18" w:space="0" w:color="000000"/>
              <w:right w:val="single" w:sz="18" w:space="0" w:color="000000"/>
            </w:tcBorders>
          </w:tcPr>
          <w:p w:rsidR="005C3358" w:rsidRPr="00C756F2" w:rsidRDefault="005C3358" w:rsidP="00180313">
            <w:pPr>
              <w:spacing w:line="259" w:lineRule="auto"/>
              <w:ind w:left="98"/>
              <w:jc w:val="center"/>
              <w:rPr>
                <w:sz w:val="18"/>
                <w:szCs w:val="18"/>
              </w:rPr>
            </w:pPr>
            <w:r w:rsidRPr="00C756F2">
              <w:rPr>
                <w:sz w:val="18"/>
                <w:szCs w:val="18"/>
              </w:rPr>
              <w:t>5.886</w:t>
            </w:r>
          </w:p>
        </w:tc>
        <w:tc>
          <w:tcPr>
            <w:tcW w:w="1604" w:type="dxa"/>
            <w:tcBorders>
              <w:top w:val="single" w:sz="18" w:space="0" w:color="000000"/>
              <w:left w:val="single" w:sz="18" w:space="0" w:color="000000"/>
              <w:bottom w:val="single" w:sz="18" w:space="0" w:color="000000"/>
              <w:right w:val="single" w:sz="18" w:space="0" w:color="000000"/>
            </w:tcBorders>
          </w:tcPr>
          <w:p w:rsidR="005C3358" w:rsidRPr="00C756F2" w:rsidRDefault="005C3358" w:rsidP="00180313">
            <w:pPr>
              <w:spacing w:line="259" w:lineRule="auto"/>
              <w:ind w:left="104"/>
              <w:jc w:val="center"/>
              <w:rPr>
                <w:sz w:val="18"/>
                <w:szCs w:val="18"/>
              </w:rPr>
            </w:pPr>
            <w:r w:rsidRPr="00C756F2">
              <w:rPr>
                <w:sz w:val="18"/>
                <w:szCs w:val="18"/>
              </w:rPr>
              <w:t>32.692</w:t>
            </w:r>
          </w:p>
        </w:tc>
      </w:tr>
      <w:tr w:rsidR="005C3358" w:rsidRPr="00C756F2" w:rsidTr="00180313">
        <w:trPr>
          <w:trHeight w:val="338"/>
        </w:trPr>
        <w:tc>
          <w:tcPr>
            <w:tcW w:w="3249" w:type="dxa"/>
            <w:tcBorders>
              <w:top w:val="single" w:sz="18" w:space="0" w:color="000000"/>
              <w:left w:val="single" w:sz="18" w:space="0" w:color="000000"/>
              <w:bottom w:val="single" w:sz="18" w:space="0" w:color="000000"/>
              <w:right w:val="single" w:sz="18" w:space="0" w:color="000000"/>
            </w:tcBorders>
          </w:tcPr>
          <w:p w:rsidR="005C3358" w:rsidRPr="00C756F2" w:rsidRDefault="005C3358" w:rsidP="00180313">
            <w:pPr>
              <w:spacing w:line="259" w:lineRule="auto"/>
              <w:rPr>
                <w:sz w:val="18"/>
                <w:szCs w:val="18"/>
              </w:rPr>
            </w:pPr>
            <w:r w:rsidRPr="00C756F2">
              <w:rPr>
                <w:sz w:val="18"/>
                <w:szCs w:val="18"/>
              </w:rPr>
              <w:t>2017</w:t>
            </w:r>
          </w:p>
        </w:tc>
        <w:tc>
          <w:tcPr>
            <w:tcW w:w="1904" w:type="dxa"/>
            <w:tcBorders>
              <w:top w:val="single" w:sz="18" w:space="0" w:color="000000"/>
              <w:left w:val="single" w:sz="18" w:space="0" w:color="000000"/>
              <w:bottom w:val="single" w:sz="18" w:space="0" w:color="000000"/>
              <w:right w:val="single" w:sz="18" w:space="0" w:color="000000"/>
            </w:tcBorders>
          </w:tcPr>
          <w:p w:rsidR="005C3358" w:rsidRPr="00C756F2" w:rsidRDefault="005C3358" w:rsidP="00180313">
            <w:pPr>
              <w:spacing w:line="259" w:lineRule="auto"/>
              <w:ind w:left="98"/>
              <w:jc w:val="center"/>
              <w:rPr>
                <w:sz w:val="18"/>
                <w:szCs w:val="18"/>
              </w:rPr>
            </w:pPr>
            <w:r w:rsidRPr="00C756F2">
              <w:rPr>
                <w:sz w:val="18"/>
                <w:szCs w:val="18"/>
              </w:rPr>
              <w:t>23.782</w:t>
            </w:r>
          </w:p>
        </w:tc>
        <w:tc>
          <w:tcPr>
            <w:tcW w:w="2003" w:type="dxa"/>
            <w:tcBorders>
              <w:top w:val="single" w:sz="18" w:space="0" w:color="000000"/>
              <w:left w:val="single" w:sz="18" w:space="0" w:color="000000"/>
              <w:bottom w:val="single" w:sz="18" w:space="0" w:color="000000"/>
              <w:right w:val="single" w:sz="18" w:space="0" w:color="000000"/>
            </w:tcBorders>
          </w:tcPr>
          <w:p w:rsidR="005C3358" w:rsidRPr="00C756F2" w:rsidRDefault="005C3358" w:rsidP="00180313">
            <w:pPr>
              <w:spacing w:line="259" w:lineRule="auto"/>
              <w:ind w:left="98"/>
              <w:jc w:val="center"/>
              <w:rPr>
                <w:sz w:val="18"/>
                <w:szCs w:val="18"/>
              </w:rPr>
            </w:pPr>
            <w:r w:rsidRPr="00C756F2">
              <w:rPr>
                <w:sz w:val="18"/>
                <w:szCs w:val="18"/>
              </w:rPr>
              <w:t>5.187</w:t>
            </w:r>
          </w:p>
        </w:tc>
        <w:tc>
          <w:tcPr>
            <w:tcW w:w="1604" w:type="dxa"/>
            <w:tcBorders>
              <w:top w:val="single" w:sz="18" w:space="0" w:color="000000"/>
              <w:left w:val="single" w:sz="18" w:space="0" w:color="000000"/>
              <w:bottom w:val="single" w:sz="18" w:space="0" w:color="000000"/>
              <w:right w:val="single" w:sz="18" w:space="0" w:color="000000"/>
            </w:tcBorders>
          </w:tcPr>
          <w:p w:rsidR="005C3358" w:rsidRPr="00C756F2" w:rsidRDefault="005C3358" w:rsidP="00180313">
            <w:pPr>
              <w:spacing w:line="259" w:lineRule="auto"/>
              <w:ind w:left="104"/>
              <w:jc w:val="center"/>
              <w:rPr>
                <w:sz w:val="18"/>
                <w:szCs w:val="18"/>
              </w:rPr>
            </w:pPr>
            <w:r w:rsidRPr="00C756F2">
              <w:rPr>
                <w:sz w:val="18"/>
                <w:szCs w:val="18"/>
              </w:rPr>
              <w:t>28.969</w:t>
            </w:r>
          </w:p>
        </w:tc>
      </w:tr>
      <w:tr w:rsidR="005C3358" w:rsidRPr="00C756F2" w:rsidTr="00180313">
        <w:trPr>
          <w:trHeight w:val="338"/>
        </w:trPr>
        <w:tc>
          <w:tcPr>
            <w:tcW w:w="3249" w:type="dxa"/>
            <w:tcBorders>
              <w:top w:val="single" w:sz="18" w:space="0" w:color="000000"/>
              <w:left w:val="single" w:sz="18" w:space="0" w:color="000000"/>
              <w:bottom w:val="single" w:sz="18" w:space="0" w:color="000000"/>
              <w:right w:val="single" w:sz="18" w:space="0" w:color="000000"/>
            </w:tcBorders>
          </w:tcPr>
          <w:p w:rsidR="005C3358" w:rsidRPr="00C756F2" w:rsidRDefault="005C3358" w:rsidP="00180313">
            <w:pPr>
              <w:spacing w:line="259" w:lineRule="auto"/>
              <w:rPr>
                <w:sz w:val="18"/>
                <w:szCs w:val="18"/>
              </w:rPr>
            </w:pPr>
            <w:r w:rsidRPr="00C756F2">
              <w:rPr>
                <w:sz w:val="18"/>
                <w:szCs w:val="18"/>
              </w:rPr>
              <w:t>2018</w:t>
            </w:r>
          </w:p>
        </w:tc>
        <w:tc>
          <w:tcPr>
            <w:tcW w:w="1904" w:type="dxa"/>
            <w:tcBorders>
              <w:top w:val="single" w:sz="18" w:space="0" w:color="000000"/>
              <w:left w:val="single" w:sz="18" w:space="0" w:color="000000"/>
              <w:bottom w:val="single" w:sz="18" w:space="0" w:color="000000"/>
              <w:right w:val="single" w:sz="18" w:space="0" w:color="000000"/>
            </w:tcBorders>
          </w:tcPr>
          <w:p w:rsidR="005C3358" w:rsidRPr="00C756F2" w:rsidRDefault="005C3358" w:rsidP="00180313">
            <w:pPr>
              <w:spacing w:line="259" w:lineRule="auto"/>
              <w:ind w:left="98"/>
              <w:jc w:val="center"/>
              <w:rPr>
                <w:sz w:val="18"/>
                <w:szCs w:val="18"/>
              </w:rPr>
            </w:pPr>
            <w:r w:rsidRPr="00C756F2">
              <w:rPr>
                <w:sz w:val="18"/>
                <w:szCs w:val="18"/>
              </w:rPr>
              <w:t>25.566</w:t>
            </w:r>
          </w:p>
        </w:tc>
        <w:tc>
          <w:tcPr>
            <w:tcW w:w="2003" w:type="dxa"/>
            <w:tcBorders>
              <w:top w:val="single" w:sz="18" w:space="0" w:color="000000"/>
              <w:left w:val="single" w:sz="18" w:space="0" w:color="000000"/>
              <w:bottom w:val="single" w:sz="18" w:space="0" w:color="000000"/>
              <w:right w:val="single" w:sz="18" w:space="0" w:color="000000"/>
            </w:tcBorders>
          </w:tcPr>
          <w:p w:rsidR="005C3358" w:rsidRPr="00C756F2" w:rsidRDefault="005C3358" w:rsidP="00180313">
            <w:pPr>
              <w:spacing w:line="259" w:lineRule="auto"/>
              <w:ind w:left="98"/>
              <w:jc w:val="center"/>
              <w:rPr>
                <w:sz w:val="18"/>
                <w:szCs w:val="18"/>
              </w:rPr>
            </w:pPr>
            <w:r w:rsidRPr="00C756F2">
              <w:rPr>
                <w:sz w:val="18"/>
                <w:szCs w:val="18"/>
              </w:rPr>
              <w:t>4.913</w:t>
            </w:r>
          </w:p>
        </w:tc>
        <w:tc>
          <w:tcPr>
            <w:tcW w:w="1604" w:type="dxa"/>
            <w:tcBorders>
              <w:top w:val="single" w:sz="18" w:space="0" w:color="000000"/>
              <w:left w:val="single" w:sz="18" w:space="0" w:color="000000"/>
              <w:bottom w:val="single" w:sz="18" w:space="0" w:color="000000"/>
              <w:right w:val="single" w:sz="18" w:space="0" w:color="000000"/>
            </w:tcBorders>
          </w:tcPr>
          <w:p w:rsidR="005C3358" w:rsidRPr="00C756F2" w:rsidRDefault="005C3358" w:rsidP="00180313">
            <w:pPr>
              <w:spacing w:line="259" w:lineRule="auto"/>
              <w:ind w:left="104"/>
              <w:jc w:val="center"/>
              <w:rPr>
                <w:sz w:val="18"/>
                <w:szCs w:val="18"/>
              </w:rPr>
            </w:pPr>
            <w:r w:rsidRPr="00C756F2">
              <w:rPr>
                <w:sz w:val="18"/>
                <w:szCs w:val="18"/>
              </w:rPr>
              <w:t>30.479</w:t>
            </w:r>
          </w:p>
        </w:tc>
      </w:tr>
      <w:tr w:rsidR="005C3358" w:rsidRPr="00C756F2" w:rsidTr="00180313">
        <w:trPr>
          <w:trHeight w:val="338"/>
        </w:trPr>
        <w:tc>
          <w:tcPr>
            <w:tcW w:w="3249" w:type="dxa"/>
            <w:tcBorders>
              <w:top w:val="single" w:sz="18" w:space="0" w:color="000000"/>
              <w:left w:val="single" w:sz="18" w:space="0" w:color="000000"/>
              <w:bottom w:val="single" w:sz="18" w:space="0" w:color="000000"/>
              <w:right w:val="single" w:sz="18" w:space="0" w:color="000000"/>
            </w:tcBorders>
          </w:tcPr>
          <w:p w:rsidR="005C3358" w:rsidRPr="00C756F2" w:rsidRDefault="005C3358" w:rsidP="00180313">
            <w:pPr>
              <w:spacing w:line="259" w:lineRule="auto"/>
              <w:rPr>
                <w:sz w:val="18"/>
                <w:szCs w:val="18"/>
              </w:rPr>
            </w:pPr>
            <w:r w:rsidRPr="00C756F2">
              <w:rPr>
                <w:sz w:val="18"/>
                <w:szCs w:val="18"/>
              </w:rPr>
              <w:t>2019</w:t>
            </w:r>
          </w:p>
        </w:tc>
        <w:tc>
          <w:tcPr>
            <w:tcW w:w="1904" w:type="dxa"/>
            <w:tcBorders>
              <w:top w:val="single" w:sz="18" w:space="0" w:color="000000"/>
              <w:left w:val="single" w:sz="18" w:space="0" w:color="000000"/>
              <w:bottom w:val="single" w:sz="18" w:space="0" w:color="000000"/>
              <w:right w:val="single" w:sz="18" w:space="0" w:color="000000"/>
            </w:tcBorders>
          </w:tcPr>
          <w:p w:rsidR="005C3358" w:rsidRPr="00C756F2" w:rsidRDefault="005C3358" w:rsidP="00180313">
            <w:pPr>
              <w:spacing w:line="259" w:lineRule="auto"/>
              <w:ind w:left="98"/>
              <w:jc w:val="center"/>
              <w:rPr>
                <w:sz w:val="18"/>
                <w:szCs w:val="18"/>
              </w:rPr>
            </w:pPr>
            <w:r w:rsidRPr="00C756F2">
              <w:rPr>
                <w:sz w:val="18"/>
                <w:szCs w:val="18"/>
              </w:rPr>
              <w:t>26.127</w:t>
            </w:r>
          </w:p>
        </w:tc>
        <w:tc>
          <w:tcPr>
            <w:tcW w:w="2003" w:type="dxa"/>
            <w:tcBorders>
              <w:top w:val="single" w:sz="18" w:space="0" w:color="000000"/>
              <w:left w:val="single" w:sz="18" w:space="0" w:color="000000"/>
              <w:bottom w:val="single" w:sz="18" w:space="0" w:color="000000"/>
              <w:right w:val="single" w:sz="18" w:space="0" w:color="000000"/>
            </w:tcBorders>
          </w:tcPr>
          <w:p w:rsidR="005C3358" w:rsidRPr="00C756F2" w:rsidRDefault="005C3358" w:rsidP="00180313">
            <w:pPr>
              <w:spacing w:line="259" w:lineRule="auto"/>
              <w:ind w:left="98"/>
              <w:jc w:val="center"/>
              <w:rPr>
                <w:sz w:val="18"/>
                <w:szCs w:val="18"/>
              </w:rPr>
            </w:pPr>
            <w:r w:rsidRPr="00C756F2">
              <w:rPr>
                <w:sz w:val="18"/>
                <w:szCs w:val="18"/>
              </w:rPr>
              <w:t>4.945</w:t>
            </w:r>
          </w:p>
        </w:tc>
        <w:tc>
          <w:tcPr>
            <w:tcW w:w="1604" w:type="dxa"/>
            <w:tcBorders>
              <w:top w:val="single" w:sz="18" w:space="0" w:color="000000"/>
              <w:left w:val="single" w:sz="18" w:space="0" w:color="000000"/>
              <w:bottom w:val="single" w:sz="18" w:space="0" w:color="000000"/>
              <w:right w:val="single" w:sz="18" w:space="0" w:color="000000"/>
            </w:tcBorders>
          </w:tcPr>
          <w:p w:rsidR="005C3358" w:rsidRPr="00C756F2" w:rsidRDefault="005C3358" w:rsidP="00180313">
            <w:pPr>
              <w:spacing w:line="259" w:lineRule="auto"/>
              <w:ind w:left="104"/>
              <w:jc w:val="center"/>
              <w:rPr>
                <w:sz w:val="18"/>
                <w:szCs w:val="18"/>
              </w:rPr>
            </w:pPr>
            <w:r w:rsidRPr="00C756F2">
              <w:rPr>
                <w:sz w:val="18"/>
                <w:szCs w:val="18"/>
              </w:rPr>
              <w:t>31.072</w:t>
            </w:r>
          </w:p>
        </w:tc>
      </w:tr>
    </w:tbl>
    <w:p w:rsidR="005C3358" w:rsidRDefault="005C3358" w:rsidP="00FE5F88">
      <w:pPr>
        <w:spacing w:line="288" w:lineRule="auto"/>
        <w:jc w:val="both"/>
        <w:rPr>
          <w:rFonts w:eastAsia="Calibri" w:cs="Arial"/>
          <w:szCs w:val="20"/>
          <w:lang w:eastAsia="sl-SI"/>
        </w:rPr>
      </w:pPr>
    </w:p>
    <w:p w:rsidR="00612510" w:rsidRPr="00612510" w:rsidRDefault="00612510" w:rsidP="00BD7024">
      <w:pPr>
        <w:spacing w:line="288" w:lineRule="auto"/>
        <w:jc w:val="both"/>
        <w:rPr>
          <w:color w:val="010000"/>
          <w:szCs w:val="20"/>
        </w:rPr>
      </w:pPr>
      <w:r w:rsidRPr="00612510">
        <w:rPr>
          <w:color w:val="010000"/>
          <w:szCs w:val="20"/>
        </w:rPr>
        <w:t xml:space="preserve">Po podatkih (VDT-Tu-10-1/2/2020/48 z dne 3. 6. 2020) o skupnem številu vseh kaznivih dejanj, ki so jih državni tožilci zavrgli v obdobju </w:t>
      </w:r>
      <w:r w:rsidR="00BD7024">
        <w:rPr>
          <w:color w:val="010000"/>
          <w:szCs w:val="20"/>
        </w:rPr>
        <w:t>od</w:t>
      </w:r>
      <w:r w:rsidRPr="00612510">
        <w:rPr>
          <w:color w:val="010000"/>
          <w:szCs w:val="20"/>
        </w:rPr>
        <w:t xml:space="preserve"> </w:t>
      </w:r>
      <w:r w:rsidR="00BD7024">
        <w:rPr>
          <w:color w:val="010000"/>
          <w:szCs w:val="20"/>
        </w:rPr>
        <w:t xml:space="preserve">leta </w:t>
      </w:r>
      <w:r w:rsidRPr="00612510">
        <w:rPr>
          <w:color w:val="010000"/>
          <w:szCs w:val="20"/>
        </w:rPr>
        <w:t xml:space="preserve">2015 </w:t>
      </w:r>
      <w:r w:rsidR="00BD7024">
        <w:rPr>
          <w:color w:val="010000"/>
          <w:szCs w:val="20"/>
        </w:rPr>
        <w:t>do</w:t>
      </w:r>
      <w:r w:rsidRPr="00612510">
        <w:rPr>
          <w:color w:val="010000"/>
          <w:szCs w:val="20"/>
        </w:rPr>
        <w:t xml:space="preserve"> 2019 (zajeti so tudi podatki za obdobje</w:t>
      </w:r>
      <w:r w:rsidR="00BD7024">
        <w:rPr>
          <w:color w:val="010000"/>
          <w:szCs w:val="20"/>
        </w:rPr>
        <w:t xml:space="preserve"> od</w:t>
      </w:r>
      <w:r w:rsidRPr="00612510">
        <w:rPr>
          <w:color w:val="010000"/>
          <w:szCs w:val="20"/>
        </w:rPr>
        <w:t xml:space="preserve"> januar</w:t>
      </w:r>
      <w:r w:rsidR="00BD7024">
        <w:rPr>
          <w:color w:val="010000"/>
          <w:szCs w:val="20"/>
        </w:rPr>
        <w:t>ja do</w:t>
      </w:r>
      <w:r w:rsidRPr="00612510">
        <w:rPr>
          <w:color w:val="010000"/>
          <w:szCs w:val="20"/>
        </w:rPr>
        <w:t xml:space="preserve"> maj</w:t>
      </w:r>
      <w:r w:rsidR="00BD7024">
        <w:rPr>
          <w:color w:val="010000"/>
          <w:szCs w:val="20"/>
        </w:rPr>
        <w:t>a</w:t>
      </w:r>
      <w:r w:rsidRPr="00612510">
        <w:rPr>
          <w:color w:val="010000"/>
          <w:szCs w:val="20"/>
        </w:rPr>
        <w:t xml:space="preserve"> 2020) se prikazuje skupna vsota vseh kaznivih dejanj, ki so bila predmet zavrženj v navedenem obdobju, in znaša 169.575, pri čemer vsota zajema vsa kazniva dejanja iz okrajne pristojnosti ter okrožne pristojnosti. </w:t>
      </w:r>
    </w:p>
    <w:p w:rsidR="00BD7024" w:rsidRDefault="00BD7024" w:rsidP="00BD7024">
      <w:pPr>
        <w:spacing w:line="288" w:lineRule="auto"/>
        <w:ind w:left="-5" w:right="-15" w:hanging="10"/>
        <w:jc w:val="both"/>
        <w:rPr>
          <w:szCs w:val="20"/>
        </w:rPr>
      </w:pPr>
    </w:p>
    <w:p w:rsidR="00612510" w:rsidRDefault="00612510" w:rsidP="00BD7024">
      <w:pPr>
        <w:spacing w:line="288" w:lineRule="auto"/>
        <w:ind w:left="-5" w:right="-15" w:hanging="10"/>
        <w:jc w:val="both"/>
        <w:rPr>
          <w:color w:val="010000"/>
          <w:szCs w:val="20"/>
        </w:rPr>
      </w:pPr>
      <w:r w:rsidRPr="00612510">
        <w:rPr>
          <w:szCs w:val="20"/>
        </w:rPr>
        <w:t xml:space="preserve">V spodnji </w:t>
      </w:r>
      <w:r w:rsidR="00BD7024">
        <w:rPr>
          <w:szCs w:val="20"/>
        </w:rPr>
        <w:t xml:space="preserve">preglednici </w:t>
      </w:r>
      <w:r w:rsidRPr="00612510">
        <w:rPr>
          <w:szCs w:val="20"/>
        </w:rPr>
        <w:t>so prikazani statistični podatki, ki se vodijo po ovadenih osebah, pri čemer je podatek vezan na glavno kaznivo dejanje na obdolženca (primerljiva metodologija</w:t>
      </w:r>
      <w:r w:rsidR="00BD7024">
        <w:rPr>
          <w:szCs w:val="20"/>
        </w:rPr>
        <w:t>,</w:t>
      </w:r>
      <w:r w:rsidRPr="00612510">
        <w:rPr>
          <w:szCs w:val="20"/>
        </w:rPr>
        <w:t xml:space="preserve"> kot se uporablja pri Skupnem letnem poročilu o delu državnih tožilstev).</w:t>
      </w:r>
      <w:r w:rsidRPr="00612510">
        <w:rPr>
          <w:color w:val="010000"/>
          <w:szCs w:val="20"/>
        </w:rPr>
        <w:t xml:space="preserve"> </w:t>
      </w:r>
    </w:p>
    <w:p w:rsidR="00BD7024" w:rsidRPr="00612510" w:rsidRDefault="00BD7024" w:rsidP="00BD7024">
      <w:pPr>
        <w:spacing w:line="288" w:lineRule="auto"/>
        <w:ind w:left="-5" w:right="-15" w:hanging="10"/>
        <w:jc w:val="both"/>
        <w:rPr>
          <w:szCs w:val="20"/>
        </w:rPr>
      </w:pPr>
    </w:p>
    <w:tbl>
      <w:tblPr>
        <w:tblStyle w:val="TableGrid"/>
        <w:tblW w:w="8641" w:type="dxa"/>
        <w:tblInd w:w="1" w:type="dxa"/>
        <w:tblCellMar>
          <w:top w:w="52" w:type="dxa"/>
          <w:left w:w="69" w:type="dxa"/>
          <w:bottom w:w="4" w:type="dxa"/>
          <w:right w:w="104" w:type="dxa"/>
        </w:tblCellMar>
        <w:tblLook w:val="04A0" w:firstRow="1" w:lastRow="0" w:firstColumn="1" w:lastColumn="0" w:noHBand="0" w:noVBand="1"/>
      </w:tblPr>
      <w:tblGrid>
        <w:gridCol w:w="6007"/>
        <w:gridCol w:w="1201"/>
        <w:gridCol w:w="1433"/>
      </w:tblGrid>
      <w:tr w:rsidR="00612510" w:rsidTr="00F25413">
        <w:trPr>
          <w:trHeight w:val="593"/>
        </w:trPr>
        <w:tc>
          <w:tcPr>
            <w:tcW w:w="6007" w:type="dxa"/>
            <w:tcBorders>
              <w:top w:val="single" w:sz="4" w:space="0" w:color="000000"/>
              <w:left w:val="single" w:sz="4" w:space="0" w:color="000000"/>
              <w:bottom w:val="single" w:sz="4" w:space="0" w:color="000000"/>
              <w:right w:val="single" w:sz="4" w:space="0" w:color="000000"/>
            </w:tcBorders>
            <w:shd w:val="clear" w:color="auto" w:fill="BDD7EE"/>
            <w:vAlign w:val="bottom"/>
          </w:tcPr>
          <w:p w:rsidR="00612510" w:rsidRPr="00C756F2" w:rsidRDefault="00C756F2" w:rsidP="00180313">
            <w:pPr>
              <w:rPr>
                <w:sz w:val="18"/>
                <w:szCs w:val="18"/>
              </w:rPr>
            </w:pPr>
            <w:r w:rsidRPr="00C756F2">
              <w:rPr>
                <w:b/>
                <w:sz w:val="18"/>
                <w:szCs w:val="18"/>
              </w:rPr>
              <w:t>ZAVRŽENE OVADBE SKUPAJ - 2019</w:t>
            </w:r>
          </w:p>
        </w:tc>
        <w:tc>
          <w:tcPr>
            <w:tcW w:w="1201" w:type="dxa"/>
            <w:tcBorders>
              <w:top w:val="single" w:sz="4" w:space="0" w:color="000000"/>
              <w:left w:val="single" w:sz="4" w:space="0" w:color="000000"/>
              <w:bottom w:val="single" w:sz="4" w:space="0" w:color="000000"/>
              <w:right w:val="single" w:sz="4" w:space="0" w:color="000000"/>
            </w:tcBorders>
            <w:shd w:val="clear" w:color="auto" w:fill="BDD7EE"/>
            <w:vAlign w:val="bottom"/>
          </w:tcPr>
          <w:p w:rsidR="00612510" w:rsidRPr="00C756F2" w:rsidRDefault="00612510" w:rsidP="00180313">
            <w:pPr>
              <w:ind w:left="49"/>
              <w:jc w:val="center"/>
              <w:rPr>
                <w:sz w:val="18"/>
                <w:szCs w:val="18"/>
              </w:rPr>
            </w:pPr>
            <w:r w:rsidRPr="00C756F2">
              <w:rPr>
                <w:b/>
                <w:sz w:val="18"/>
                <w:szCs w:val="18"/>
              </w:rPr>
              <w:t>18.423</w:t>
            </w:r>
          </w:p>
        </w:tc>
        <w:tc>
          <w:tcPr>
            <w:tcW w:w="1433" w:type="dxa"/>
            <w:tcBorders>
              <w:top w:val="single" w:sz="4" w:space="0" w:color="000000"/>
              <w:left w:val="single" w:sz="4" w:space="0" w:color="000000"/>
              <w:bottom w:val="single" w:sz="4" w:space="0" w:color="000000"/>
              <w:right w:val="single" w:sz="4" w:space="0" w:color="000000"/>
            </w:tcBorders>
            <w:shd w:val="clear" w:color="auto" w:fill="BDD7EE"/>
          </w:tcPr>
          <w:p w:rsidR="00612510" w:rsidRPr="00C756F2" w:rsidRDefault="00612510" w:rsidP="00180313">
            <w:pPr>
              <w:jc w:val="center"/>
              <w:rPr>
                <w:sz w:val="18"/>
                <w:szCs w:val="18"/>
              </w:rPr>
            </w:pPr>
            <w:r w:rsidRPr="00C756F2">
              <w:rPr>
                <w:b/>
                <w:sz w:val="18"/>
                <w:szCs w:val="18"/>
              </w:rPr>
              <w:t>Odstotek od zavrženih</w:t>
            </w:r>
          </w:p>
        </w:tc>
      </w:tr>
      <w:tr w:rsidR="00612510" w:rsidTr="00F25413">
        <w:trPr>
          <w:trHeight w:val="302"/>
        </w:trPr>
        <w:tc>
          <w:tcPr>
            <w:tcW w:w="6007" w:type="dxa"/>
            <w:tcBorders>
              <w:top w:val="single" w:sz="4" w:space="0" w:color="000000"/>
              <w:left w:val="single" w:sz="4" w:space="0" w:color="000000"/>
              <w:bottom w:val="single" w:sz="4" w:space="0" w:color="000000"/>
              <w:right w:val="single" w:sz="4" w:space="0" w:color="000000"/>
            </w:tcBorders>
            <w:shd w:val="clear" w:color="auto" w:fill="auto"/>
          </w:tcPr>
          <w:p w:rsidR="00612510" w:rsidRPr="00C756F2" w:rsidRDefault="00C756F2" w:rsidP="00180313">
            <w:pPr>
              <w:rPr>
                <w:sz w:val="18"/>
                <w:szCs w:val="18"/>
              </w:rPr>
            </w:pPr>
            <w:r w:rsidRPr="00C756F2">
              <w:rPr>
                <w:sz w:val="18"/>
                <w:szCs w:val="18"/>
              </w:rPr>
              <w:t>NI UTEMELJENEGA SUMA</w:t>
            </w:r>
          </w:p>
        </w:tc>
        <w:tc>
          <w:tcPr>
            <w:tcW w:w="1201" w:type="dxa"/>
            <w:tcBorders>
              <w:top w:val="single" w:sz="4" w:space="0" w:color="000000"/>
              <w:left w:val="single" w:sz="4" w:space="0" w:color="000000"/>
              <w:bottom w:val="single" w:sz="4" w:space="0" w:color="000000"/>
              <w:right w:val="single" w:sz="4" w:space="0" w:color="000000"/>
            </w:tcBorders>
            <w:shd w:val="clear" w:color="auto" w:fill="auto"/>
          </w:tcPr>
          <w:p w:rsidR="00612510" w:rsidRPr="00C756F2" w:rsidRDefault="00612510" w:rsidP="00180313">
            <w:pPr>
              <w:ind w:left="38"/>
              <w:jc w:val="center"/>
              <w:rPr>
                <w:sz w:val="18"/>
                <w:szCs w:val="18"/>
              </w:rPr>
            </w:pPr>
            <w:r w:rsidRPr="00C756F2">
              <w:rPr>
                <w:sz w:val="18"/>
                <w:szCs w:val="18"/>
              </w:rPr>
              <w:t>7.423</w:t>
            </w:r>
          </w:p>
        </w:tc>
        <w:tc>
          <w:tcPr>
            <w:tcW w:w="1433" w:type="dxa"/>
            <w:tcBorders>
              <w:top w:val="single" w:sz="4" w:space="0" w:color="000000"/>
              <w:left w:val="single" w:sz="4" w:space="0" w:color="000000"/>
              <w:bottom w:val="single" w:sz="4" w:space="0" w:color="000000"/>
              <w:right w:val="single" w:sz="4" w:space="0" w:color="000000"/>
            </w:tcBorders>
            <w:shd w:val="clear" w:color="auto" w:fill="auto"/>
          </w:tcPr>
          <w:p w:rsidR="00612510" w:rsidRPr="00C756F2" w:rsidRDefault="00612510" w:rsidP="00180313">
            <w:pPr>
              <w:ind w:left="38"/>
              <w:jc w:val="center"/>
              <w:rPr>
                <w:sz w:val="18"/>
                <w:szCs w:val="18"/>
              </w:rPr>
            </w:pPr>
            <w:r w:rsidRPr="00C756F2">
              <w:rPr>
                <w:sz w:val="18"/>
                <w:szCs w:val="18"/>
              </w:rPr>
              <w:t>40</w:t>
            </w:r>
          </w:p>
        </w:tc>
      </w:tr>
      <w:tr w:rsidR="00612510" w:rsidTr="00F25413">
        <w:trPr>
          <w:trHeight w:val="596"/>
        </w:trPr>
        <w:tc>
          <w:tcPr>
            <w:tcW w:w="6007" w:type="dxa"/>
            <w:tcBorders>
              <w:top w:val="single" w:sz="4" w:space="0" w:color="000000"/>
              <w:left w:val="single" w:sz="4" w:space="0" w:color="000000"/>
              <w:bottom w:val="single" w:sz="4" w:space="0" w:color="000000"/>
              <w:right w:val="single" w:sz="4" w:space="0" w:color="000000"/>
            </w:tcBorders>
            <w:shd w:val="clear" w:color="auto" w:fill="auto"/>
          </w:tcPr>
          <w:p w:rsidR="00612510" w:rsidRPr="00C756F2" w:rsidRDefault="00C756F2" w:rsidP="00180313">
            <w:pPr>
              <w:rPr>
                <w:sz w:val="18"/>
                <w:szCs w:val="18"/>
              </w:rPr>
            </w:pPr>
            <w:r w:rsidRPr="00C756F2">
              <w:rPr>
                <w:sz w:val="18"/>
                <w:szCs w:val="18"/>
              </w:rPr>
              <w:t>NESORAZMERJE MED MAJHNIM POMENOM KD IN POSLEDICAMI KAZENSKEGA PREGONA</w:t>
            </w:r>
          </w:p>
        </w:tc>
        <w:tc>
          <w:tcPr>
            <w:tcW w:w="1201" w:type="dxa"/>
            <w:tcBorders>
              <w:top w:val="single" w:sz="4" w:space="0" w:color="000000"/>
              <w:left w:val="single" w:sz="4" w:space="0" w:color="000000"/>
              <w:bottom w:val="single" w:sz="4" w:space="0" w:color="000000"/>
              <w:right w:val="single" w:sz="4" w:space="0" w:color="000000"/>
            </w:tcBorders>
            <w:shd w:val="clear" w:color="auto" w:fill="auto"/>
            <w:vAlign w:val="bottom"/>
          </w:tcPr>
          <w:p w:rsidR="00612510" w:rsidRPr="00C756F2" w:rsidRDefault="00612510" w:rsidP="00180313">
            <w:pPr>
              <w:ind w:left="38"/>
              <w:jc w:val="center"/>
              <w:rPr>
                <w:sz w:val="18"/>
                <w:szCs w:val="18"/>
              </w:rPr>
            </w:pPr>
            <w:r w:rsidRPr="00C756F2">
              <w:rPr>
                <w:sz w:val="18"/>
                <w:szCs w:val="18"/>
              </w:rPr>
              <w:t>2.853</w:t>
            </w:r>
          </w:p>
        </w:tc>
        <w:tc>
          <w:tcPr>
            <w:tcW w:w="1433" w:type="dxa"/>
            <w:tcBorders>
              <w:top w:val="single" w:sz="4" w:space="0" w:color="000000"/>
              <w:left w:val="single" w:sz="4" w:space="0" w:color="000000"/>
              <w:bottom w:val="single" w:sz="4" w:space="0" w:color="000000"/>
              <w:right w:val="single" w:sz="4" w:space="0" w:color="000000"/>
            </w:tcBorders>
            <w:shd w:val="clear" w:color="auto" w:fill="auto"/>
            <w:vAlign w:val="bottom"/>
          </w:tcPr>
          <w:p w:rsidR="00612510" w:rsidRPr="00C756F2" w:rsidRDefault="00612510" w:rsidP="00180313">
            <w:pPr>
              <w:ind w:left="38"/>
              <w:jc w:val="center"/>
              <w:rPr>
                <w:sz w:val="18"/>
                <w:szCs w:val="18"/>
              </w:rPr>
            </w:pPr>
            <w:r w:rsidRPr="00C756F2">
              <w:rPr>
                <w:sz w:val="18"/>
                <w:szCs w:val="18"/>
              </w:rPr>
              <w:t>15</w:t>
            </w:r>
          </w:p>
        </w:tc>
      </w:tr>
      <w:tr w:rsidR="00612510" w:rsidTr="00F25413">
        <w:trPr>
          <w:trHeight w:val="303"/>
        </w:trPr>
        <w:tc>
          <w:tcPr>
            <w:tcW w:w="6007" w:type="dxa"/>
            <w:tcBorders>
              <w:top w:val="single" w:sz="4" w:space="0" w:color="000000"/>
              <w:left w:val="single" w:sz="4" w:space="0" w:color="000000"/>
              <w:bottom w:val="single" w:sz="4" w:space="0" w:color="000000"/>
              <w:right w:val="single" w:sz="4" w:space="0" w:color="000000"/>
            </w:tcBorders>
            <w:shd w:val="clear" w:color="auto" w:fill="auto"/>
          </w:tcPr>
          <w:p w:rsidR="00612510" w:rsidRPr="00C756F2" w:rsidRDefault="00C756F2" w:rsidP="00180313">
            <w:pPr>
              <w:rPr>
                <w:sz w:val="18"/>
                <w:szCs w:val="18"/>
              </w:rPr>
            </w:pPr>
            <w:r w:rsidRPr="00C756F2">
              <w:rPr>
                <w:sz w:val="18"/>
                <w:szCs w:val="18"/>
              </w:rPr>
              <w:t>UMIK PREDLOGA ZA PREGON</w:t>
            </w:r>
          </w:p>
        </w:tc>
        <w:tc>
          <w:tcPr>
            <w:tcW w:w="1201" w:type="dxa"/>
            <w:tcBorders>
              <w:top w:val="single" w:sz="4" w:space="0" w:color="000000"/>
              <w:left w:val="single" w:sz="4" w:space="0" w:color="000000"/>
              <w:bottom w:val="single" w:sz="4" w:space="0" w:color="000000"/>
              <w:right w:val="single" w:sz="4" w:space="0" w:color="000000"/>
            </w:tcBorders>
            <w:shd w:val="clear" w:color="auto" w:fill="auto"/>
          </w:tcPr>
          <w:p w:rsidR="00612510" w:rsidRPr="00C756F2" w:rsidRDefault="00612510" w:rsidP="00180313">
            <w:pPr>
              <w:ind w:left="38"/>
              <w:jc w:val="center"/>
              <w:rPr>
                <w:sz w:val="18"/>
                <w:szCs w:val="18"/>
              </w:rPr>
            </w:pPr>
            <w:r w:rsidRPr="00C756F2">
              <w:rPr>
                <w:sz w:val="18"/>
                <w:szCs w:val="18"/>
              </w:rPr>
              <w:t>2.492</w:t>
            </w:r>
          </w:p>
        </w:tc>
        <w:tc>
          <w:tcPr>
            <w:tcW w:w="1433" w:type="dxa"/>
            <w:tcBorders>
              <w:top w:val="single" w:sz="4" w:space="0" w:color="000000"/>
              <w:left w:val="single" w:sz="4" w:space="0" w:color="000000"/>
              <w:bottom w:val="single" w:sz="4" w:space="0" w:color="000000"/>
              <w:right w:val="single" w:sz="4" w:space="0" w:color="000000"/>
            </w:tcBorders>
            <w:shd w:val="clear" w:color="auto" w:fill="auto"/>
          </w:tcPr>
          <w:p w:rsidR="00612510" w:rsidRPr="00C756F2" w:rsidRDefault="00612510" w:rsidP="00180313">
            <w:pPr>
              <w:ind w:left="38"/>
              <w:jc w:val="center"/>
              <w:rPr>
                <w:sz w:val="18"/>
                <w:szCs w:val="18"/>
              </w:rPr>
            </w:pPr>
            <w:r w:rsidRPr="00C756F2">
              <w:rPr>
                <w:sz w:val="18"/>
                <w:szCs w:val="18"/>
              </w:rPr>
              <w:t>14</w:t>
            </w:r>
          </w:p>
        </w:tc>
      </w:tr>
      <w:tr w:rsidR="00612510" w:rsidTr="00F25413">
        <w:trPr>
          <w:trHeight w:val="303"/>
        </w:trPr>
        <w:tc>
          <w:tcPr>
            <w:tcW w:w="6007" w:type="dxa"/>
            <w:tcBorders>
              <w:top w:val="single" w:sz="4" w:space="0" w:color="000000"/>
              <w:left w:val="single" w:sz="4" w:space="0" w:color="000000"/>
              <w:bottom w:val="single" w:sz="4" w:space="0" w:color="000000"/>
              <w:right w:val="single" w:sz="4" w:space="0" w:color="000000"/>
            </w:tcBorders>
            <w:shd w:val="clear" w:color="auto" w:fill="auto"/>
          </w:tcPr>
          <w:p w:rsidR="00612510" w:rsidRPr="00C756F2" w:rsidRDefault="00C756F2" w:rsidP="00180313">
            <w:pPr>
              <w:rPr>
                <w:sz w:val="18"/>
                <w:szCs w:val="18"/>
              </w:rPr>
            </w:pPr>
            <w:r w:rsidRPr="00C756F2">
              <w:rPr>
                <w:sz w:val="18"/>
                <w:szCs w:val="18"/>
              </w:rPr>
              <w:t>IZKLJUČEN PREGON (ZASTARANJE)</w:t>
            </w:r>
          </w:p>
        </w:tc>
        <w:tc>
          <w:tcPr>
            <w:tcW w:w="1201" w:type="dxa"/>
            <w:tcBorders>
              <w:top w:val="single" w:sz="4" w:space="0" w:color="000000"/>
              <w:left w:val="single" w:sz="4" w:space="0" w:color="000000"/>
              <w:bottom w:val="single" w:sz="4" w:space="0" w:color="000000"/>
              <w:right w:val="single" w:sz="4" w:space="0" w:color="000000"/>
            </w:tcBorders>
            <w:shd w:val="clear" w:color="auto" w:fill="auto"/>
          </w:tcPr>
          <w:p w:rsidR="00612510" w:rsidRPr="00C756F2" w:rsidRDefault="00612510" w:rsidP="00180313">
            <w:pPr>
              <w:ind w:left="38"/>
              <w:rPr>
                <w:sz w:val="18"/>
                <w:szCs w:val="18"/>
              </w:rPr>
            </w:pPr>
            <w:r w:rsidRPr="00C756F2">
              <w:rPr>
                <w:sz w:val="18"/>
                <w:szCs w:val="18"/>
              </w:rPr>
              <w:t>1.787 (70)</w:t>
            </w:r>
          </w:p>
        </w:tc>
        <w:tc>
          <w:tcPr>
            <w:tcW w:w="1433" w:type="dxa"/>
            <w:tcBorders>
              <w:top w:val="single" w:sz="4" w:space="0" w:color="000000"/>
              <w:left w:val="single" w:sz="4" w:space="0" w:color="000000"/>
              <w:bottom w:val="single" w:sz="4" w:space="0" w:color="000000"/>
              <w:right w:val="single" w:sz="4" w:space="0" w:color="000000"/>
            </w:tcBorders>
            <w:shd w:val="clear" w:color="auto" w:fill="auto"/>
          </w:tcPr>
          <w:p w:rsidR="00612510" w:rsidRPr="00C756F2" w:rsidRDefault="00612510" w:rsidP="00180313">
            <w:pPr>
              <w:ind w:left="38"/>
              <w:jc w:val="center"/>
              <w:rPr>
                <w:sz w:val="18"/>
                <w:szCs w:val="18"/>
              </w:rPr>
            </w:pPr>
            <w:r w:rsidRPr="00C756F2">
              <w:rPr>
                <w:sz w:val="18"/>
                <w:szCs w:val="18"/>
              </w:rPr>
              <w:t>10</w:t>
            </w:r>
          </w:p>
        </w:tc>
      </w:tr>
      <w:tr w:rsidR="00C756F2" w:rsidTr="00F25413">
        <w:trPr>
          <w:trHeight w:val="303"/>
        </w:trPr>
        <w:tc>
          <w:tcPr>
            <w:tcW w:w="6007" w:type="dxa"/>
            <w:tcBorders>
              <w:top w:val="single" w:sz="4" w:space="0" w:color="000000"/>
              <w:left w:val="single" w:sz="4" w:space="0" w:color="000000"/>
              <w:bottom w:val="single" w:sz="4" w:space="0" w:color="000000"/>
              <w:right w:val="single" w:sz="4" w:space="0" w:color="000000"/>
            </w:tcBorders>
            <w:shd w:val="clear" w:color="auto" w:fill="auto"/>
          </w:tcPr>
          <w:p w:rsidR="00C756F2" w:rsidRPr="00C756F2" w:rsidRDefault="00C756F2" w:rsidP="00180313">
            <w:pPr>
              <w:rPr>
                <w:sz w:val="18"/>
                <w:szCs w:val="18"/>
              </w:rPr>
            </w:pPr>
            <w:r w:rsidRPr="00C756F2">
              <w:rPr>
                <w:sz w:val="18"/>
                <w:szCs w:val="18"/>
              </w:rPr>
              <w:t>NI ZNAKOV KAZNIVEGA DEJANJA, KI SE PREGANJA PO URADNI DOLŽNOSTI</w:t>
            </w:r>
          </w:p>
        </w:tc>
        <w:tc>
          <w:tcPr>
            <w:tcW w:w="1201" w:type="dxa"/>
            <w:tcBorders>
              <w:top w:val="single" w:sz="4" w:space="0" w:color="000000"/>
              <w:left w:val="single" w:sz="4" w:space="0" w:color="000000"/>
              <w:bottom w:val="single" w:sz="4" w:space="0" w:color="000000"/>
              <w:right w:val="single" w:sz="4" w:space="0" w:color="000000"/>
            </w:tcBorders>
            <w:shd w:val="clear" w:color="auto" w:fill="auto"/>
          </w:tcPr>
          <w:p w:rsidR="00C756F2" w:rsidRPr="00C756F2" w:rsidRDefault="00C756F2" w:rsidP="00C756F2">
            <w:pPr>
              <w:ind w:left="38"/>
              <w:jc w:val="center"/>
              <w:rPr>
                <w:sz w:val="18"/>
                <w:szCs w:val="18"/>
              </w:rPr>
            </w:pPr>
            <w:r w:rsidRPr="00C756F2">
              <w:rPr>
                <w:sz w:val="18"/>
                <w:szCs w:val="18"/>
              </w:rPr>
              <w:t>1.743</w:t>
            </w:r>
          </w:p>
        </w:tc>
        <w:tc>
          <w:tcPr>
            <w:tcW w:w="1433" w:type="dxa"/>
            <w:tcBorders>
              <w:top w:val="single" w:sz="4" w:space="0" w:color="000000"/>
              <w:left w:val="single" w:sz="4" w:space="0" w:color="000000"/>
              <w:bottom w:val="single" w:sz="4" w:space="0" w:color="000000"/>
              <w:right w:val="single" w:sz="4" w:space="0" w:color="000000"/>
            </w:tcBorders>
            <w:shd w:val="clear" w:color="auto" w:fill="auto"/>
          </w:tcPr>
          <w:p w:rsidR="00C756F2" w:rsidRPr="00C756F2" w:rsidRDefault="00C756F2" w:rsidP="00180313">
            <w:pPr>
              <w:ind w:left="38"/>
              <w:jc w:val="center"/>
              <w:rPr>
                <w:sz w:val="18"/>
                <w:szCs w:val="18"/>
              </w:rPr>
            </w:pPr>
            <w:r w:rsidRPr="00C756F2">
              <w:rPr>
                <w:sz w:val="18"/>
                <w:szCs w:val="18"/>
              </w:rPr>
              <w:t>9</w:t>
            </w:r>
          </w:p>
        </w:tc>
      </w:tr>
      <w:tr w:rsidR="00612510" w:rsidTr="00F25413">
        <w:trPr>
          <w:trHeight w:val="304"/>
        </w:trPr>
        <w:tc>
          <w:tcPr>
            <w:tcW w:w="6007" w:type="dxa"/>
            <w:tcBorders>
              <w:top w:val="single" w:sz="4" w:space="0" w:color="000000"/>
              <w:left w:val="single" w:sz="4" w:space="0" w:color="000000"/>
              <w:bottom w:val="single" w:sz="4" w:space="0" w:color="000000"/>
              <w:right w:val="single" w:sz="4" w:space="0" w:color="000000"/>
            </w:tcBorders>
          </w:tcPr>
          <w:p w:rsidR="00612510" w:rsidRPr="00C756F2" w:rsidRDefault="00C756F2" w:rsidP="00180313">
            <w:pPr>
              <w:rPr>
                <w:sz w:val="18"/>
                <w:szCs w:val="18"/>
              </w:rPr>
            </w:pPr>
            <w:r w:rsidRPr="00C756F2">
              <w:rPr>
                <w:sz w:val="18"/>
                <w:szCs w:val="18"/>
              </w:rPr>
              <w:t>PO ODLOŽENEM KAZENSKEM PREGONU</w:t>
            </w:r>
          </w:p>
        </w:tc>
        <w:tc>
          <w:tcPr>
            <w:tcW w:w="1201" w:type="dxa"/>
            <w:tcBorders>
              <w:top w:val="single" w:sz="4" w:space="0" w:color="000000"/>
              <w:left w:val="single" w:sz="4" w:space="0" w:color="000000"/>
              <w:bottom w:val="single" w:sz="4" w:space="0" w:color="000000"/>
              <w:right w:val="single" w:sz="4" w:space="0" w:color="000000"/>
            </w:tcBorders>
          </w:tcPr>
          <w:p w:rsidR="00612510" w:rsidRPr="00C756F2" w:rsidRDefault="00612510" w:rsidP="00180313">
            <w:pPr>
              <w:ind w:left="38"/>
              <w:jc w:val="center"/>
              <w:rPr>
                <w:sz w:val="18"/>
                <w:szCs w:val="18"/>
              </w:rPr>
            </w:pPr>
            <w:r w:rsidRPr="00C756F2">
              <w:rPr>
                <w:sz w:val="18"/>
                <w:szCs w:val="18"/>
              </w:rPr>
              <w:t>1.322</w:t>
            </w:r>
          </w:p>
        </w:tc>
        <w:tc>
          <w:tcPr>
            <w:tcW w:w="1433" w:type="dxa"/>
            <w:tcBorders>
              <w:top w:val="single" w:sz="4" w:space="0" w:color="000000"/>
              <w:left w:val="single" w:sz="4" w:space="0" w:color="000000"/>
              <w:bottom w:val="single" w:sz="4" w:space="0" w:color="000000"/>
              <w:right w:val="single" w:sz="4" w:space="0" w:color="000000"/>
            </w:tcBorders>
          </w:tcPr>
          <w:p w:rsidR="00612510" w:rsidRPr="00C756F2" w:rsidRDefault="00612510" w:rsidP="00180313">
            <w:pPr>
              <w:ind w:left="38"/>
              <w:jc w:val="center"/>
              <w:rPr>
                <w:sz w:val="18"/>
                <w:szCs w:val="18"/>
              </w:rPr>
            </w:pPr>
            <w:r w:rsidRPr="00C756F2">
              <w:rPr>
                <w:sz w:val="18"/>
                <w:szCs w:val="18"/>
              </w:rPr>
              <w:t>7</w:t>
            </w:r>
          </w:p>
        </w:tc>
      </w:tr>
      <w:tr w:rsidR="00612510" w:rsidTr="00F25413">
        <w:trPr>
          <w:trHeight w:val="303"/>
        </w:trPr>
        <w:tc>
          <w:tcPr>
            <w:tcW w:w="6007" w:type="dxa"/>
            <w:tcBorders>
              <w:top w:val="single" w:sz="4" w:space="0" w:color="000000"/>
              <w:left w:val="single" w:sz="4" w:space="0" w:color="000000"/>
              <w:bottom w:val="single" w:sz="4" w:space="0" w:color="000000"/>
              <w:right w:val="single" w:sz="4" w:space="0" w:color="000000"/>
            </w:tcBorders>
          </w:tcPr>
          <w:p w:rsidR="00612510" w:rsidRPr="00C756F2" w:rsidRDefault="00C756F2" w:rsidP="00180313">
            <w:pPr>
              <w:rPr>
                <w:sz w:val="18"/>
                <w:szCs w:val="18"/>
              </w:rPr>
            </w:pPr>
            <w:r w:rsidRPr="00C756F2">
              <w:rPr>
                <w:sz w:val="18"/>
                <w:szCs w:val="18"/>
              </w:rPr>
              <w:t>PO PORAVNAVI</w:t>
            </w:r>
          </w:p>
        </w:tc>
        <w:tc>
          <w:tcPr>
            <w:tcW w:w="1201" w:type="dxa"/>
            <w:tcBorders>
              <w:top w:val="single" w:sz="4" w:space="0" w:color="000000"/>
              <w:left w:val="single" w:sz="4" w:space="0" w:color="000000"/>
              <w:bottom w:val="single" w:sz="4" w:space="0" w:color="000000"/>
              <w:right w:val="single" w:sz="4" w:space="0" w:color="000000"/>
            </w:tcBorders>
          </w:tcPr>
          <w:p w:rsidR="00612510" w:rsidRPr="00C756F2" w:rsidRDefault="00612510" w:rsidP="00180313">
            <w:pPr>
              <w:ind w:left="38"/>
              <w:jc w:val="center"/>
              <w:rPr>
                <w:sz w:val="18"/>
                <w:szCs w:val="18"/>
              </w:rPr>
            </w:pPr>
            <w:r w:rsidRPr="00C756F2">
              <w:rPr>
                <w:sz w:val="18"/>
                <w:szCs w:val="18"/>
              </w:rPr>
              <w:t>323</w:t>
            </w:r>
          </w:p>
        </w:tc>
        <w:tc>
          <w:tcPr>
            <w:tcW w:w="1433" w:type="dxa"/>
            <w:tcBorders>
              <w:top w:val="single" w:sz="4" w:space="0" w:color="000000"/>
              <w:left w:val="single" w:sz="4" w:space="0" w:color="000000"/>
              <w:bottom w:val="single" w:sz="4" w:space="0" w:color="000000"/>
              <w:right w:val="single" w:sz="4" w:space="0" w:color="000000"/>
            </w:tcBorders>
          </w:tcPr>
          <w:p w:rsidR="00612510" w:rsidRPr="00C756F2" w:rsidRDefault="00612510" w:rsidP="00180313">
            <w:pPr>
              <w:ind w:left="38"/>
              <w:jc w:val="center"/>
              <w:rPr>
                <w:sz w:val="18"/>
                <w:szCs w:val="18"/>
              </w:rPr>
            </w:pPr>
            <w:r w:rsidRPr="00C756F2">
              <w:rPr>
                <w:sz w:val="18"/>
                <w:szCs w:val="18"/>
              </w:rPr>
              <w:t>2</w:t>
            </w:r>
          </w:p>
        </w:tc>
      </w:tr>
    </w:tbl>
    <w:p w:rsidR="00612510" w:rsidRPr="00612510" w:rsidRDefault="00612510" w:rsidP="00442EF2">
      <w:pPr>
        <w:spacing w:line="288" w:lineRule="auto"/>
        <w:ind w:right="-17"/>
        <w:jc w:val="both"/>
        <w:rPr>
          <w:szCs w:val="20"/>
        </w:rPr>
      </w:pPr>
      <w:r w:rsidRPr="00612510">
        <w:rPr>
          <w:szCs w:val="20"/>
        </w:rPr>
        <w:lastRenderedPageBreak/>
        <w:t>Statistični podatek: zavržene ovadbe skupaj – 2019, katerih število znaša 18.423 p</w:t>
      </w:r>
      <w:r w:rsidR="00BD7024">
        <w:rPr>
          <w:szCs w:val="20"/>
        </w:rPr>
        <w:t>omeni</w:t>
      </w:r>
      <w:r w:rsidRPr="00612510">
        <w:rPr>
          <w:szCs w:val="20"/>
        </w:rPr>
        <w:t xml:space="preserve"> seštevek zavrženj ovadb proti fizičnim osebam, pravnim osebam in mladoletnikom.</w:t>
      </w:r>
    </w:p>
    <w:p w:rsidR="00612510" w:rsidRDefault="00612510" w:rsidP="00612510">
      <w:pPr>
        <w:spacing w:line="288" w:lineRule="auto"/>
        <w:ind w:left="-6" w:right="-17" w:hanging="11"/>
        <w:jc w:val="both"/>
        <w:rPr>
          <w:sz w:val="24"/>
        </w:rPr>
      </w:pPr>
    </w:p>
    <w:p w:rsidR="00612510" w:rsidRDefault="00612510" w:rsidP="00612510">
      <w:pPr>
        <w:spacing w:line="288" w:lineRule="auto"/>
        <w:ind w:left="-6" w:right="-17" w:hanging="11"/>
        <w:jc w:val="both"/>
        <w:rPr>
          <w:szCs w:val="20"/>
        </w:rPr>
      </w:pPr>
      <w:r w:rsidRPr="00612510">
        <w:rPr>
          <w:szCs w:val="20"/>
        </w:rPr>
        <w:t xml:space="preserve">Najvišji delež (40 %) </w:t>
      </w:r>
      <w:r w:rsidR="00BD7024">
        <w:rPr>
          <w:szCs w:val="20"/>
        </w:rPr>
        <w:t xml:space="preserve">obsegajo </w:t>
      </w:r>
      <w:r w:rsidRPr="00612510">
        <w:rPr>
          <w:szCs w:val="20"/>
        </w:rPr>
        <w:t xml:space="preserve">zavrženja, kjer je kot razlog </w:t>
      </w:r>
      <w:r w:rsidR="00BD7024">
        <w:rPr>
          <w:szCs w:val="20"/>
        </w:rPr>
        <w:t>zabeleženo, da</w:t>
      </w:r>
      <w:r w:rsidRPr="00612510">
        <w:rPr>
          <w:szCs w:val="20"/>
        </w:rPr>
        <w:t xml:space="preserve"> »ni utemeljenega suma«. V to kategorijo zavrženj praviloma sodijo primeri, ko policija že na podlagi lastnih zaznav in zbranih obvestil oceni, da ni podlage za kazensko ovadbo</w:t>
      </w:r>
      <w:r w:rsidR="00BD7024">
        <w:rPr>
          <w:szCs w:val="20"/>
        </w:rPr>
        <w:t>,</w:t>
      </w:r>
      <w:r w:rsidRPr="00612510">
        <w:rPr>
          <w:szCs w:val="20"/>
        </w:rPr>
        <w:t xml:space="preserve"> ter v skladu z desetim odstavkom 148. člena ZKP pošlje državnemu tožilcu poročilo, ki o ovadbi oškodovanca odloči s sklepom o zavrženju iz razloga, ker ni utemeljenega suma. V to kategorijo sodijo primeri, ko državni tožilec prejme kazensko ovadbo, vendar po pr</w:t>
      </w:r>
      <w:r w:rsidR="00BD7024">
        <w:rPr>
          <w:szCs w:val="20"/>
        </w:rPr>
        <w:t>e</w:t>
      </w:r>
      <w:r w:rsidRPr="00612510">
        <w:rPr>
          <w:szCs w:val="20"/>
        </w:rPr>
        <w:t xml:space="preserve">učitvi zadeve (ter po morebitnih dopolnitvah) odloči, da dokazno gradivo, ki </w:t>
      </w:r>
      <w:r w:rsidR="00BD7024">
        <w:rPr>
          <w:szCs w:val="20"/>
        </w:rPr>
        <w:t xml:space="preserve">ga </w:t>
      </w:r>
      <w:r w:rsidRPr="00612510">
        <w:rPr>
          <w:szCs w:val="20"/>
        </w:rPr>
        <w:t>je policij</w:t>
      </w:r>
      <w:r w:rsidR="00BD7024">
        <w:rPr>
          <w:szCs w:val="20"/>
        </w:rPr>
        <w:t>a</w:t>
      </w:r>
      <w:r w:rsidRPr="00612510">
        <w:rPr>
          <w:szCs w:val="20"/>
        </w:rPr>
        <w:t xml:space="preserve"> predlož</w:t>
      </w:r>
      <w:r w:rsidR="00BD7024">
        <w:rPr>
          <w:szCs w:val="20"/>
        </w:rPr>
        <w:t xml:space="preserve">ila </w:t>
      </w:r>
      <w:r w:rsidRPr="00612510">
        <w:rPr>
          <w:szCs w:val="20"/>
        </w:rPr>
        <w:t xml:space="preserve">državnemu tožilcu, ne dosega dokaznega standarda utemeljenega suma, da je ovadeni storil očitano kaznivo dejanje. </w:t>
      </w:r>
    </w:p>
    <w:p w:rsidR="00612510" w:rsidRPr="00612510" w:rsidRDefault="00612510" w:rsidP="00612510">
      <w:pPr>
        <w:spacing w:line="288" w:lineRule="auto"/>
        <w:ind w:left="-6" w:right="-17" w:hanging="11"/>
        <w:jc w:val="both"/>
        <w:rPr>
          <w:szCs w:val="20"/>
        </w:rPr>
      </w:pPr>
    </w:p>
    <w:p w:rsidR="00612510" w:rsidRPr="00612510" w:rsidRDefault="00612510" w:rsidP="00612510">
      <w:pPr>
        <w:spacing w:line="288" w:lineRule="auto"/>
        <w:ind w:left="-5" w:right="-15" w:hanging="10"/>
        <w:jc w:val="both"/>
        <w:rPr>
          <w:szCs w:val="20"/>
        </w:rPr>
      </w:pPr>
      <w:r w:rsidRPr="00612510">
        <w:rPr>
          <w:szCs w:val="20"/>
        </w:rPr>
        <w:t xml:space="preserve">Zavrženja </w:t>
      </w:r>
      <w:r w:rsidR="00BD7024">
        <w:rPr>
          <w:szCs w:val="20"/>
        </w:rPr>
        <w:t>zaradi</w:t>
      </w:r>
      <w:r w:rsidRPr="00612510">
        <w:rPr>
          <w:szCs w:val="20"/>
        </w:rPr>
        <w:t xml:space="preserve"> nesorazmernosti med majhnim pomenom kaznivega dejanja in posledicami, ki bi jih povzročil kazenski pregon</w:t>
      </w:r>
      <w:r w:rsidR="00BD7024">
        <w:rPr>
          <w:szCs w:val="20"/>
        </w:rPr>
        <w:t>, obsegajo</w:t>
      </w:r>
      <w:r w:rsidRPr="00612510">
        <w:rPr>
          <w:szCs w:val="20"/>
        </w:rPr>
        <w:t xml:space="preserve"> 15 % vseh zavrženj. Nesorazmernost med majhnim pomenom kaznivega dejanja in posledicami, ki bi jih povzročil kazenski pregon, je podana predvsem takrat</w:t>
      </w:r>
      <w:r w:rsidR="00562F67">
        <w:rPr>
          <w:szCs w:val="20"/>
        </w:rPr>
        <w:t>,</w:t>
      </w:r>
      <w:r w:rsidRPr="00612510">
        <w:rPr>
          <w:szCs w:val="20"/>
        </w:rPr>
        <w:t xml:space="preserve"> kadar gre za lažje oblike kaznivega dejanja, majhne vrednosti predmeta dejanja, če je škoda, ki je nastala s kaznivim dejanjem</w:t>
      </w:r>
      <w:r w:rsidR="00562F67">
        <w:rPr>
          <w:szCs w:val="20"/>
        </w:rPr>
        <w:t>,</w:t>
      </w:r>
      <w:r w:rsidRPr="00612510">
        <w:rPr>
          <w:szCs w:val="20"/>
        </w:rPr>
        <w:t xml:space="preserve"> majhna ali je sploh ni</w:t>
      </w:r>
      <w:r w:rsidR="00562F67">
        <w:rPr>
          <w:szCs w:val="20"/>
        </w:rPr>
        <w:t>,</w:t>
      </w:r>
      <w:r w:rsidR="00BD7024">
        <w:rPr>
          <w:szCs w:val="20"/>
        </w:rPr>
        <w:t xml:space="preserve"> in podobno</w:t>
      </w:r>
      <w:r w:rsidRPr="00612510">
        <w:rPr>
          <w:szCs w:val="20"/>
        </w:rPr>
        <w:t>. Enotnost pregona (</w:t>
      </w:r>
      <w:r w:rsidR="00562F67">
        <w:rPr>
          <w:szCs w:val="20"/>
        </w:rPr>
        <w:t xml:space="preserve">ter </w:t>
      </w:r>
      <w:r w:rsidRPr="00612510">
        <w:rPr>
          <w:szCs w:val="20"/>
        </w:rPr>
        <w:t>s tem enotno upoštevanje okoliščin in pogojev, ki so razlog za navedeno kategorijo zavrženj) je v sklopu tožilske organi</w:t>
      </w:r>
      <w:r w:rsidR="00562F67">
        <w:rPr>
          <w:szCs w:val="20"/>
        </w:rPr>
        <w:t>ziranosti</w:t>
      </w:r>
      <w:r w:rsidRPr="00612510">
        <w:rPr>
          <w:szCs w:val="20"/>
        </w:rPr>
        <w:t xml:space="preserve"> zagotovljena s Splošnimi navodili o pogojih pri odločanju v primerih nesorazmernosti med majhnim pomenom kaznivega dejanja in posledicami, ki bi jih povzročil kazenski pregon z dne 7. 12. 2012. </w:t>
      </w:r>
    </w:p>
    <w:p w:rsidR="00612510" w:rsidRDefault="00612510" w:rsidP="00612510">
      <w:pPr>
        <w:spacing w:line="288" w:lineRule="auto"/>
        <w:ind w:left="-5" w:right="-15" w:hanging="10"/>
        <w:jc w:val="both"/>
        <w:rPr>
          <w:sz w:val="24"/>
          <w:u w:val="single"/>
        </w:rPr>
      </w:pPr>
    </w:p>
    <w:p w:rsidR="00612510" w:rsidRPr="001553AF" w:rsidRDefault="00612510" w:rsidP="00612510">
      <w:pPr>
        <w:spacing w:line="288" w:lineRule="auto"/>
        <w:ind w:left="-5" w:right="-15" w:hanging="10"/>
        <w:jc w:val="both"/>
        <w:rPr>
          <w:szCs w:val="20"/>
        </w:rPr>
      </w:pPr>
      <w:r w:rsidRPr="001553AF">
        <w:rPr>
          <w:szCs w:val="20"/>
        </w:rPr>
        <w:t xml:space="preserve">Po številčnosti sledi kot razlog zavrženja »umik predloga za pregon«, ki </w:t>
      </w:r>
      <w:r w:rsidR="00562F67">
        <w:rPr>
          <w:szCs w:val="20"/>
        </w:rPr>
        <w:t>zajema</w:t>
      </w:r>
      <w:r w:rsidRPr="001553AF">
        <w:rPr>
          <w:szCs w:val="20"/>
        </w:rPr>
        <w:t>14 % vseh zavrženj. Pod navedeno kategorijo se torej beležijo t</w:t>
      </w:r>
      <w:r w:rsidR="00562F67">
        <w:rPr>
          <w:szCs w:val="20"/>
        </w:rPr>
        <w:t>ako</w:t>
      </w:r>
      <w:r w:rsidRPr="001553AF">
        <w:rPr>
          <w:szCs w:val="20"/>
        </w:rPr>
        <w:t xml:space="preserve"> i</w:t>
      </w:r>
      <w:r w:rsidR="00562F67">
        <w:rPr>
          <w:szCs w:val="20"/>
        </w:rPr>
        <w:t>menovani</w:t>
      </w:r>
      <w:r w:rsidRPr="001553AF">
        <w:rPr>
          <w:szCs w:val="20"/>
        </w:rPr>
        <w:t xml:space="preserve"> </w:t>
      </w:r>
      <w:proofErr w:type="spellStart"/>
      <w:r w:rsidRPr="001553AF">
        <w:rPr>
          <w:szCs w:val="20"/>
        </w:rPr>
        <w:t>predlagalni</w:t>
      </w:r>
      <w:proofErr w:type="spellEnd"/>
      <w:r w:rsidRPr="001553AF">
        <w:rPr>
          <w:szCs w:val="20"/>
        </w:rPr>
        <w:t xml:space="preserve"> deli</w:t>
      </w:r>
      <w:r w:rsidR="001553AF" w:rsidRPr="001553AF">
        <w:rPr>
          <w:szCs w:val="20"/>
        </w:rPr>
        <w:t>k</w:t>
      </w:r>
      <w:r w:rsidRPr="001553AF">
        <w:rPr>
          <w:szCs w:val="20"/>
        </w:rPr>
        <w:t>ti</w:t>
      </w:r>
      <w:r w:rsidR="00562F67">
        <w:rPr>
          <w:szCs w:val="20"/>
        </w:rPr>
        <w:t>,</w:t>
      </w:r>
      <w:r w:rsidRPr="001553AF">
        <w:rPr>
          <w:szCs w:val="20"/>
        </w:rPr>
        <w:t xml:space="preserve"> v zvezi s katerimi ovaditelji </w:t>
      </w:r>
      <w:r w:rsidR="00562F67">
        <w:rPr>
          <w:szCs w:val="20"/>
        </w:rPr>
        <w:t xml:space="preserve">hkrati </w:t>
      </w:r>
      <w:r w:rsidRPr="001553AF">
        <w:rPr>
          <w:szCs w:val="20"/>
        </w:rPr>
        <w:t xml:space="preserve">s podajo kazenske ovadbe umaknejo tudi predlog za pregon, kar </w:t>
      </w:r>
      <w:r w:rsidR="00562F67">
        <w:rPr>
          <w:szCs w:val="20"/>
        </w:rPr>
        <w:t>se povezuje s</w:t>
      </w:r>
      <w:r w:rsidRPr="001553AF">
        <w:rPr>
          <w:szCs w:val="20"/>
        </w:rPr>
        <w:t xml:space="preserve"> prakso zavarovalnic, ki to od oškodovancev zahtevajo pri uveljavljanju njihovih zahtevkov.</w:t>
      </w:r>
    </w:p>
    <w:p w:rsidR="00612510" w:rsidRDefault="00612510" w:rsidP="00FE5F88">
      <w:pPr>
        <w:spacing w:line="288" w:lineRule="auto"/>
        <w:jc w:val="both"/>
        <w:rPr>
          <w:rFonts w:eastAsia="Calibri" w:cs="Arial"/>
          <w:szCs w:val="20"/>
          <w:lang w:eastAsia="sl-SI"/>
        </w:rPr>
      </w:pPr>
    </w:p>
    <w:p w:rsidR="00C17600" w:rsidRDefault="00612510" w:rsidP="00C17600">
      <w:pPr>
        <w:spacing w:after="377" w:line="265" w:lineRule="auto"/>
        <w:ind w:left="-5" w:hanging="10"/>
        <w:jc w:val="both"/>
        <w:rPr>
          <w:color w:val="010000"/>
          <w:szCs w:val="20"/>
        </w:rPr>
      </w:pPr>
      <w:r w:rsidRPr="00612510">
        <w:rPr>
          <w:color w:val="010000"/>
          <w:szCs w:val="20"/>
        </w:rPr>
        <w:t xml:space="preserve">V nadaljnjih stolpcih </w:t>
      </w:r>
      <w:r w:rsidR="00562F67">
        <w:rPr>
          <w:color w:val="010000"/>
          <w:szCs w:val="20"/>
        </w:rPr>
        <w:t xml:space="preserve">preglednice </w:t>
      </w:r>
      <w:r w:rsidRPr="00612510">
        <w:rPr>
          <w:color w:val="010000"/>
          <w:szCs w:val="20"/>
        </w:rPr>
        <w:t xml:space="preserve">so izkazani podatki za kazniva dejanja iz okrožne pristojnosti, in sicer ločeno po višini kazni zapora, ki se lahko zanje izreče (5 let, več kot 5 let, 8 let, več kot 8 let, 10 let, več kot 10 let, 12 let, več kot 12 let, 15 let, več kot 15 let, 20 let, več kot 20 let). </w:t>
      </w:r>
    </w:p>
    <w:p w:rsidR="00612510" w:rsidRPr="00C17600" w:rsidRDefault="00096D93" w:rsidP="00C17600">
      <w:pPr>
        <w:spacing w:line="288" w:lineRule="auto"/>
        <w:ind w:left="-6" w:hanging="11"/>
        <w:jc w:val="both"/>
        <w:rPr>
          <w:color w:val="010000"/>
          <w:szCs w:val="20"/>
        </w:rPr>
      </w:pPr>
      <w:r>
        <w:rPr>
          <w:rFonts w:cs="Arial"/>
          <w:bCs/>
          <w:szCs w:val="20"/>
        </w:rPr>
        <w:t>Preglednica:</w:t>
      </w:r>
      <w:r w:rsidR="00612510" w:rsidRPr="001553AF">
        <w:rPr>
          <w:rFonts w:cs="Arial"/>
          <w:bCs/>
          <w:szCs w:val="20"/>
        </w:rPr>
        <w:t xml:space="preserve"> Podatki o številu zavrženih kaznivih dejanj</w:t>
      </w:r>
    </w:p>
    <w:p w:rsidR="00612510" w:rsidRDefault="00C17600" w:rsidP="00FE5F88">
      <w:pPr>
        <w:spacing w:line="288" w:lineRule="auto"/>
        <w:jc w:val="both"/>
        <w:rPr>
          <w:rFonts w:eastAsia="Calibri" w:cs="Arial"/>
          <w:szCs w:val="20"/>
          <w:lang w:eastAsia="sl-SI"/>
        </w:rPr>
      </w:pPr>
      <w:r>
        <w:rPr>
          <w:rFonts w:eastAsia="Calibri" w:cs="Arial"/>
          <w:noProof/>
          <w:szCs w:val="20"/>
          <w:lang w:eastAsia="sl-SI"/>
        </w:rPr>
        <w:drawing>
          <wp:inline distT="0" distB="0" distL="0" distR="0">
            <wp:extent cx="5848350" cy="2577239"/>
            <wp:effectExtent l="0" t="0" r="0" b="0"/>
            <wp:docPr id="4" name="Slika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877094" cy="2589906"/>
                    </a:xfrm>
                    <a:prstGeom prst="rect">
                      <a:avLst/>
                    </a:prstGeom>
                    <a:noFill/>
                    <a:ln>
                      <a:noFill/>
                    </a:ln>
                  </pic:spPr>
                </pic:pic>
              </a:graphicData>
            </a:graphic>
          </wp:inline>
        </w:drawing>
      </w:r>
    </w:p>
    <w:p w:rsidR="00442EF2" w:rsidRDefault="00442EF2" w:rsidP="00B644CC">
      <w:pPr>
        <w:pStyle w:val="Golobesedilo"/>
        <w:spacing w:line="288" w:lineRule="auto"/>
        <w:jc w:val="both"/>
        <w:rPr>
          <w:rFonts w:ascii="Arial" w:hAnsi="Arial" w:cs="Arial"/>
          <w:b/>
          <w:sz w:val="20"/>
          <w:szCs w:val="20"/>
        </w:rPr>
      </w:pPr>
    </w:p>
    <w:p w:rsidR="00096D93" w:rsidRDefault="00096D93" w:rsidP="00B644CC">
      <w:pPr>
        <w:pStyle w:val="Golobesedilo"/>
        <w:spacing w:line="288" w:lineRule="auto"/>
        <w:jc w:val="both"/>
        <w:rPr>
          <w:rFonts w:ascii="Arial" w:hAnsi="Arial" w:cs="Arial"/>
          <w:b/>
          <w:sz w:val="20"/>
          <w:szCs w:val="20"/>
        </w:rPr>
      </w:pPr>
    </w:p>
    <w:p w:rsidR="00AE2155" w:rsidRPr="00115F14" w:rsidRDefault="00AE2155" w:rsidP="00B644CC">
      <w:pPr>
        <w:pStyle w:val="Golobesedilo"/>
        <w:spacing w:line="288" w:lineRule="auto"/>
        <w:jc w:val="both"/>
        <w:rPr>
          <w:rFonts w:ascii="Arial" w:hAnsi="Arial" w:cs="Arial"/>
          <w:b/>
          <w:sz w:val="20"/>
          <w:szCs w:val="20"/>
        </w:rPr>
      </w:pPr>
      <w:r w:rsidRPr="00115F14">
        <w:rPr>
          <w:rFonts w:ascii="Arial" w:hAnsi="Arial" w:cs="Arial"/>
          <w:b/>
          <w:sz w:val="20"/>
          <w:szCs w:val="20"/>
        </w:rPr>
        <w:lastRenderedPageBreak/>
        <w:t>1.</w:t>
      </w:r>
      <w:r w:rsidR="00FE5F88">
        <w:rPr>
          <w:rFonts w:ascii="Arial" w:hAnsi="Arial" w:cs="Arial"/>
          <w:b/>
          <w:sz w:val="20"/>
          <w:szCs w:val="20"/>
        </w:rPr>
        <w:t>4</w:t>
      </w:r>
      <w:r w:rsidRPr="00115F14">
        <w:rPr>
          <w:rFonts w:ascii="Arial" w:hAnsi="Arial" w:cs="Arial"/>
          <w:b/>
          <w:sz w:val="20"/>
          <w:szCs w:val="20"/>
        </w:rPr>
        <w:t xml:space="preserve"> Redakcijski popravki</w:t>
      </w:r>
    </w:p>
    <w:p w:rsidR="00AE2155" w:rsidRPr="00115F14" w:rsidRDefault="00AE2155" w:rsidP="00B644CC">
      <w:pPr>
        <w:pStyle w:val="Golobesedilo"/>
        <w:spacing w:line="288" w:lineRule="auto"/>
        <w:jc w:val="both"/>
        <w:rPr>
          <w:rFonts w:ascii="Arial" w:hAnsi="Arial" w:cs="Arial"/>
          <w:b/>
          <w:sz w:val="20"/>
          <w:szCs w:val="20"/>
        </w:rPr>
      </w:pPr>
    </w:p>
    <w:p w:rsidR="009B4D00" w:rsidRPr="00FE5F88" w:rsidRDefault="00AE2155" w:rsidP="00FE5F88">
      <w:pPr>
        <w:pStyle w:val="Golobesedilo"/>
        <w:spacing w:line="288" w:lineRule="auto"/>
        <w:jc w:val="both"/>
        <w:rPr>
          <w:rFonts w:ascii="Arial" w:hAnsi="Arial" w:cs="Arial"/>
          <w:sz w:val="20"/>
          <w:szCs w:val="20"/>
        </w:rPr>
      </w:pPr>
      <w:r w:rsidRPr="00115F14">
        <w:rPr>
          <w:rFonts w:ascii="Arial" w:hAnsi="Arial" w:cs="Arial"/>
          <w:sz w:val="20"/>
          <w:szCs w:val="20"/>
        </w:rPr>
        <w:t>Poleg tega se predlaga odprava</w:t>
      </w:r>
      <w:r>
        <w:rPr>
          <w:rFonts w:ascii="Arial" w:hAnsi="Arial" w:cs="Arial"/>
          <w:sz w:val="20"/>
          <w:szCs w:val="20"/>
        </w:rPr>
        <w:t xml:space="preserve"> </w:t>
      </w:r>
      <w:r w:rsidRPr="00115F14">
        <w:rPr>
          <w:rFonts w:ascii="Arial" w:hAnsi="Arial" w:cs="Arial"/>
          <w:sz w:val="20"/>
          <w:szCs w:val="20"/>
        </w:rPr>
        <w:t xml:space="preserve">nekaterih očitnih </w:t>
      </w:r>
      <w:bookmarkStart w:id="18" w:name="_Hlk41037211"/>
      <w:r w:rsidRPr="00115F14">
        <w:rPr>
          <w:rFonts w:ascii="Arial" w:hAnsi="Arial" w:cs="Arial"/>
          <w:sz w:val="20"/>
          <w:szCs w:val="20"/>
        </w:rPr>
        <w:t>nesistemskih rešitev, ki so v nasprotju z namenom posamezne zakonske določbe.</w:t>
      </w:r>
      <w:bookmarkEnd w:id="3"/>
      <w:bookmarkEnd w:id="4"/>
    </w:p>
    <w:bookmarkEnd w:id="18"/>
    <w:p w:rsidR="009B4D00" w:rsidRDefault="009B4D00" w:rsidP="00B644CC">
      <w:pPr>
        <w:spacing w:line="288" w:lineRule="auto"/>
        <w:jc w:val="both"/>
        <w:rPr>
          <w:rFonts w:eastAsia="Calibri" w:cs="Arial"/>
          <w:szCs w:val="20"/>
        </w:rPr>
      </w:pPr>
    </w:p>
    <w:p w:rsidR="00FE5F88" w:rsidRPr="00115F14" w:rsidRDefault="00FE5F88" w:rsidP="00B644CC">
      <w:pPr>
        <w:spacing w:line="288" w:lineRule="auto"/>
        <w:jc w:val="both"/>
        <w:rPr>
          <w:rFonts w:eastAsia="Calibri" w:cs="Arial"/>
          <w:szCs w:val="20"/>
        </w:rPr>
      </w:pPr>
    </w:p>
    <w:tbl>
      <w:tblPr>
        <w:tblW w:w="9355" w:type="dxa"/>
        <w:tblLook w:val="04A0" w:firstRow="1" w:lastRow="0" w:firstColumn="1" w:lastColumn="0" w:noHBand="0" w:noVBand="1"/>
      </w:tblPr>
      <w:tblGrid>
        <w:gridCol w:w="8755"/>
        <w:gridCol w:w="600"/>
      </w:tblGrid>
      <w:tr w:rsidR="00AE2155" w:rsidRPr="00115F14" w:rsidTr="005363D0">
        <w:tc>
          <w:tcPr>
            <w:tcW w:w="9355" w:type="dxa"/>
            <w:gridSpan w:val="2"/>
          </w:tcPr>
          <w:p w:rsidR="00AE2155" w:rsidRPr="00115F14" w:rsidRDefault="00AE2155" w:rsidP="00B644CC">
            <w:pPr>
              <w:pStyle w:val="Oddelek"/>
              <w:numPr>
                <w:ilvl w:val="0"/>
                <w:numId w:val="0"/>
              </w:numPr>
              <w:spacing w:before="0" w:after="0" w:line="288" w:lineRule="auto"/>
              <w:jc w:val="left"/>
              <w:rPr>
                <w:sz w:val="20"/>
                <w:szCs w:val="20"/>
              </w:rPr>
            </w:pPr>
            <w:r w:rsidRPr="00115F14">
              <w:rPr>
                <w:sz w:val="20"/>
                <w:szCs w:val="20"/>
              </w:rPr>
              <w:t>2. CILJI, NAČELA IN POGLAVITNE REŠITVE PREDLOGA ZAKONA</w:t>
            </w:r>
          </w:p>
          <w:p w:rsidR="00AE2155" w:rsidRPr="00115F14" w:rsidRDefault="00AE2155" w:rsidP="00B644CC">
            <w:pPr>
              <w:pStyle w:val="Oddelek"/>
              <w:numPr>
                <w:ilvl w:val="0"/>
                <w:numId w:val="0"/>
              </w:numPr>
              <w:spacing w:before="0" w:after="0" w:line="288" w:lineRule="auto"/>
              <w:jc w:val="left"/>
              <w:rPr>
                <w:sz w:val="20"/>
                <w:szCs w:val="20"/>
              </w:rPr>
            </w:pPr>
          </w:p>
        </w:tc>
      </w:tr>
      <w:tr w:rsidR="00AE2155" w:rsidRPr="00115F14" w:rsidTr="005363D0">
        <w:trPr>
          <w:gridAfter w:val="1"/>
          <w:wAfter w:w="600" w:type="dxa"/>
        </w:trPr>
        <w:tc>
          <w:tcPr>
            <w:tcW w:w="8755" w:type="dxa"/>
          </w:tcPr>
          <w:p w:rsidR="00AE2155" w:rsidRPr="00115F14" w:rsidRDefault="00AE2155" w:rsidP="00B644CC">
            <w:pPr>
              <w:pStyle w:val="Odsek"/>
              <w:numPr>
                <w:ilvl w:val="0"/>
                <w:numId w:val="0"/>
              </w:numPr>
              <w:spacing w:before="0" w:after="0" w:line="288" w:lineRule="auto"/>
              <w:jc w:val="left"/>
              <w:rPr>
                <w:sz w:val="20"/>
                <w:szCs w:val="20"/>
              </w:rPr>
            </w:pPr>
            <w:r w:rsidRPr="00115F14">
              <w:rPr>
                <w:sz w:val="20"/>
                <w:szCs w:val="20"/>
              </w:rPr>
              <w:t>2.1 Cilji</w:t>
            </w:r>
          </w:p>
          <w:p w:rsidR="00AE2155" w:rsidRPr="00115F14" w:rsidRDefault="00AE2155" w:rsidP="00B644CC">
            <w:pPr>
              <w:pStyle w:val="Odsek"/>
              <w:numPr>
                <w:ilvl w:val="0"/>
                <w:numId w:val="0"/>
              </w:numPr>
              <w:spacing w:before="0" w:after="0" w:line="288" w:lineRule="auto"/>
              <w:jc w:val="left"/>
              <w:rPr>
                <w:sz w:val="20"/>
                <w:szCs w:val="20"/>
              </w:rPr>
            </w:pPr>
          </w:p>
          <w:p w:rsidR="00A95049" w:rsidRDefault="00AE2155" w:rsidP="00B644CC">
            <w:pPr>
              <w:pStyle w:val="Odsek"/>
              <w:numPr>
                <w:ilvl w:val="0"/>
                <w:numId w:val="0"/>
              </w:numPr>
              <w:spacing w:before="0" w:after="0" w:line="288" w:lineRule="auto"/>
              <w:ind w:right="-104"/>
              <w:jc w:val="both"/>
              <w:rPr>
                <w:b w:val="0"/>
                <w:sz w:val="20"/>
                <w:szCs w:val="20"/>
              </w:rPr>
            </w:pPr>
            <w:r w:rsidRPr="00115F14">
              <w:rPr>
                <w:b w:val="0"/>
                <w:sz w:val="20"/>
                <w:szCs w:val="20"/>
              </w:rPr>
              <w:t xml:space="preserve">Cilj predlaganih rešitev je doseči skladnost, zakonitost in izvršljivost Uredbe 2018/1727/EU v slovenskem pravnem redu ter enotno uporabo in </w:t>
            </w:r>
            <w:r w:rsidR="00096D93">
              <w:rPr>
                <w:b w:val="0"/>
                <w:sz w:val="20"/>
                <w:szCs w:val="20"/>
              </w:rPr>
              <w:t>razlago</w:t>
            </w:r>
            <w:r w:rsidRPr="00115F14">
              <w:rPr>
                <w:b w:val="0"/>
                <w:sz w:val="20"/>
                <w:szCs w:val="20"/>
              </w:rPr>
              <w:t xml:space="preserve"> zakonskih določb v praksi. Da bi pri izvajanju</w:t>
            </w:r>
            <w:r>
              <w:rPr>
                <w:b w:val="0"/>
                <w:sz w:val="20"/>
                <w:szCs w:val="20"/>
              </w:rPr>
              <w:t xml:space="preserve"> </w:t>
            </w:r>
            <w:r w:rsidRPr="00115F14">
              <w:rPr>
                <w:b w:val="0"/>
                <w:sz w:val="20"/>
                <w:szCs w:val="20"/>
              </w:rPr>
              <w:t>zakona</w:t>
            </w:r>
            <w:r>
              <w:rPr>
                <w:b w:val="0"/>
                <w:sz w:val="20"/>
                <w:szCs w:val="20"/>
              </w:rPr>
              <w:t xml:space="preserve"> </w:t>
            </w:r>
            <w:r w:rsidRPr="00115F14">
              <w:rPr>
                <w:b w:val="0"/>
                <w:sz w:val="20"/>
                <w:szCs w:val="20"/>
              </w:rPr>
              <w:t xml:space="preserve">dosegli dosledno upoštevanje </w:t>
            </w:r>
            <w:r w:rsidR="006D78E3">
              <w:rPr>
                <w:b w:val="0"/>
                <w:sz w:val="20"/>
                <w:szCs w:val="20"/>
              </w:rPr>
              <w:t xml:space="preserve">notranjega </w:t>
            </w:r>
            <w:r w:rsidRPr="00115F14">
              <w:rPr>
                <w:b w:val="0"/>
                <w:sz w:val="20"/>
                <w:szCs w:val="20"/>
              </w:rPr>
              <w:t>pravnega reda ter učinkovitost načela pravne države in pravne varnosti, je treba nujno</w:t>
            </w:r>
            <w:r w:rsidR="00A95049">
              <w:rPr>
                <w:b w:val="0"/>
                <w:sz w:val="20"/>
                <w:szCs w:val="20"/>
              </w:rPr>
              <w:t>:</w:t>
            </w:r>
          </w:p>
          <w:p w:rsidR="00A95049" w:rsidRDefault="00AE2155" w:rsidP="00A95049">
            <w:pPr>
              <w:pStyle w:val="Odsek"/>
              <w:numPr>
                <w:ilvl w:val="0"/>
                <w:numId w:val="12"/>
              </w:numPr>
              <w:spacing w:before="0" w:after="0" w:line="288" w:lineRule="auto"/>
              <w:ind w:left="284" w:right="-104" w:hanging="284"/>
              <w:jc w:val="both"/>
              <w:rPr>
                <w:b w:val="0"/>
                <w:sz w:val="20"/>
                <w:szCs w:val="20"/>
              </w:rPr>
            </w:pPr>
            <w:r w:rsidRPr="00115F14">
              <w:rPr>
                <w:b w:val="0"/>
                <w:sz w:val="20"/>
                <w:szCs w:val="20"/>
              </w:rPr>
              <w:t xml:space="preserve">prilagoditi veljavne določbe ZDT-1 tako, </w:t>
            </w:r>
            <w:bookmarkStart w:id="19" w:name="_Hlk41037068"/>
            <w:r w:rsidRPr="00115F14">
              <w:rPr>
                <w:b w:val="0"/>
                <w:sz w:val="20"/>
                <w:szCs w:val="20"/>
              </w:rPr>
              <w:t>da ne bodo v nasprotju z vsebino Uredbe</w:t>
            </w:r>
            <w:r>
              <w:rPr>
                <w:b w:val="0"/>
                <w:sz w:val="20"/>
                <w:szCs w:val="20"/>
              </w:rPr>
              <w:t xml:space="preserve"> </w:t>
            </w:r>
            <w:r w:rsidRPr="00115F14">
              <w:rPr>
                <w:b w:val="0"/>
                <w:sz w:val="20"/>
                <w:szCs w:val="20"/>
              </w:rPr>
              <w:t>2017/1939/EU</w:t>
            </w:r>
            <w:r w:rsidR="00A95049">
              <w:rPr>
                <w:b w:val="0"/>
                <w:sz w:val="20"/>
                <w:szCs w:val="20"/>
              </w:rPr>
              <w:t>,</w:t>
            </w:r>
          </w:p>
          <w:p w:rsidR="00A95049" w:rsidRDefault="00A95049" w:rsidP="00A95049">
            <w:pPr>
              <w:pStyle w:val="Odsek"/>
              <w:numPr>
                <w:ilvl w:val="0"/>
                <w:numId w:val="12"/>
              </w:numPr>
              <w:spacing w:before="0" w:after="0" w:line="288" w:lineRule="auto"/>
              <w:ind w:left="284" w:right="-104" w:hanging="284"/>
              <w:jc w:val="both"/>
              <w:rPr>
                <w:b w:val="0"/>
                <w:sz w:val="20"/>
                <w:szCs w:val="20"/>
              </w:rPr>
            </w:pPr>
            <w:r w:rsidRPr="00A95049">
              <w:rPr>
                <w:b w:val="0"/>
                <w:sz w:val="20"/>
                <w:szCs w:val="20"/>
              </w:rPr>
              <w:t>odprav</w:t>
            </w:r>
            <w:r>
              <w:rPr>
                <w:b w:val="0"/>
                <w:sz w:val="20"/>
                <w:szCs w:val="20"/>
              </w:rPr>
              <w:t>iti</w:t>
            </w:r>
            <w:r w:rsidRPr="00A95049">
              <w:rPr>
                <w:b w:val="0"/>
                <w:sz w:val="20"/>
                <w:szCs w:val="20"/>
              </w:rPr>
              <w:t xml:space="preserve"> nepravilnosti, ki jih je pri izvajanju in </w:t>
            </w:r>
            <w:r w:rsidR="006D78E3">
              <w:rPr>
                <w:b w:val="0"/>
                <w:sz w:val="20"/>
                <w:szCs w:val="20"/>
              </w:rPr>
              <w:t>beleženju</w:t>
            </w:r>
            <w:r w:rsidRPr="00A95049">
              <w:rPr>
                <w:b w:val="0"/>
                <w:sz w:val="20"/>
                <w:szCs w:val="20"/>
              </w:rPr>
              <w:t xml:space="preserve"> pripravljenosti in dežurstva državnega tožilstva ugotovilo Računsko sodišče</w:t>
            </w:r>
            <w:r w:rsidR="006D78E3">
              <w:rPr>
                <w:b w:val="0"/>
                <w:sz w:val="20"/>
                <w:szCs w:val="20"/>
              </w:rPr>
              <w:t xml:space="preserve"> RS</w:t>
            </w:r>
            <w:r w:rsidRPr="00A95049">
              <w:rPr>
                <w:b w:val="0"/>
                <w:sz w:val="20"/>
                <w:szCs w:val="20"/>
              </w:rPr>
              <w:t xml:space="preserve">, </w:t>
            </w:r>
          </w:p>
          <w:p w:rsidR="00A95049" w:rsidRDefault="00A95049" w:rsidP="00A95049">
            <w:pPr>
              <w:pStyle w:val="Odsek"/>
              <w:numPr>
                <w:ilvl w:val="0"/>
                <w:numId w:val="12"/>
              </w:numPr>
              <w:spacing w:before="0" w:after="0" w:line="288" w:lineRule="auto"/>
              <w:ind w:left="284" w:right="-104" w:hanging="284"/>
              <w:jc w:val="both"/>
              <w:rPr>
                <w:b w:val="0"/>
                <w:sz w:val="20"/>
                <w:szCs w:val="20"/>
              </w:rPr>
            </w:pPr>
            <w:r w:rsidRPr="00A95049">
              <w:rPr>
                <w:b w:val="0"/>
                <w:sz w:val="20"/>
                <w:szCs w:val="20"/>
              </w:rPr>
              <w:t xml:space="preserve">določiti zakonske podlage za delovnopravno ureditev sodelovanja </w:t>
            </w:r>
            <w:proofErr w:type="spellStart"/>
            <w:r w:rsidRPr="00A95049">
              <w:rPr>
                <w:b w:val="0"/>
                <w:sz w:val="20"/>
                <w:szCs w:val="20"/>
              </w:rPr>
              <w:t>državnotožilskega</w:t>
            </w:r>
            <w:proofErr w:type="spellEnd"/>
            <w:r w:rsidRPr="00A95049">
              <w:rPr>
                <w:b w:val="0"/>
                <w:sz w:val="20"/>
                <w:szCs w:val="20"/>
              </w:rPr>
              <w:t xml:space="preserve"> osebja pri opravljanju nujnih procesnih dejanj, </w:t>
            </w:r>
          </w:p>
          <w:p w:rsidR="00A840AF" w:rsidRDefault="00A840AF" w:rsidP="00A95049">
            <w:pPr>
              <w:pStyle w:val="Odsek"/>
              <w:numPr>
                <w:ilvl w:val="0"/>
                <w:numId w:val="12"/>
              </w:numPr>
              <w:spacing w:before="0" w:after="0" w:line="288" w:lineRule="auto"/>
              <w:ind w:left="284" w:right="-104" w:hanging="284"/>
              <w:jc w:val="both"/>
              <w:rPr>
                <w:b w:val="0"/>
                <w:sz w:val="20"/>
                <w:szCs w:val="20"/>
              </w:rPr>
            </w:pPr>
            <w:r w:rsidRPr="00A95049">
              <w:rPr>
                <w:b w:val="0"/>
                <w:sz w:val="20"/>
                <w:szCs w:val="20"/>
              </w:rPr>
              <w:t>okrepiti vlogo vodje državnega tožilstva pri zagotavljanju učinkovitosti in enotnosti pregona</w:t>
            </w:r>
            <w:r w:rsidR="008D35C2">
              <w:rPr>
                <w:b w:val="0"/>
                <w:sz w:val="20"/>
                <w:szCs w:val="20"/>
              </w:rPr>
              <w:t>,</w:t>
            </w:r>
          </w:p>
          <w:p w:rsidR="00A95049" w:rsidRDefault="00A95049" w:rsidP="00A95049">
            <w:pPr>
              <w:pStyle w:val="Odsek"/>
              <w:numPr>
                <w:ilvl w:val="0"/>
                <w:numId w:val="12"/>
              </w:numPr>
              <w:spacing w:before="0" w:after="0" w:line="288" w:lineRule="auto"/>
              <w:ind w:left="284" w:right="-104" w:hanging="284"/>
              <w:jc w:val="both"/>
              <w:rPr>
                <w:b w:val="0"/>
                <w:sz w:val="20"/>
                <w:szCs w:val="20"/>
              </w:rPr>
            </w:pPr>
            <w:r w:rsidRPr="00A95049">
              <w:rPr>
                <w:b w:val="0"/>
                <w:sz w:val="20"/>
                <w:szCs w:val="20"/>
              </w:rPr>
              <w:t>redakcijsko odpraviti anomalije, ki so posledica normativnih sprememb</w:t>
            </w:r>
            <w:r w:rsidR="006D78E3">
              <w:rPr>
                <w:b w:val="0"/>
                <w:sz w:val="20"/>
                <w:szCs w:val="20"/>
              </w:rPr>
              <w:t>,</w:t>
            </w:r>
            <w:r w:rsidRPr="00A95049">
              <w:rPr>
                <w:b w:val="0"/>
                <w:sz w:val="20"/>
                <w:szCs w:val="20"/>
              </w:rPr>
              <w:t xml:space="preserve"> oziroma odpraviti nesistemske rešitve, ki so v nasprotju z namenom posamezne zakonske določbe</w:t>
            </w:r>
            <w:r w:rsidR="006D78E3">
              <w:rPr>
                <w:b w:val="0"/>
                <w:sz w:val="20"/>
                <w:szCs w:val="20"/>
              </w:rPr>
              <w:t>,</w:t>
            </w:r>
            <w:r w:rsidRPr="00A95049">
              <w:rPr>
                <w:b w:val="0"/>
                <w:sz w:val="20"/>
                <w:szCs w:val="20"/>
              </w:rPr>
              <w:t xml:space="preserve"> ter</w:t>
            </w:r>
          </w:p>
          <w:p w:rsidR="00A95049" w:rsidRDefault="00A840AF" w:rsidP="00A95049">
            <w:pPr>
              <w:pStyle w:val="Odsek"/>
              <w:numPr>
                <w:ilvl w:val="0"/>
                <w:numId w:val="12"/>
              </w:numPr>
              <w:spacing w:before="0" w:after="0" w:line="288" w:lineRule="auto"/>
              <w:ind w:left="284" w:right="-104" w:hanging="284"/>
              <w:jc w:val="both"/>
              <w:rPr>
                <w:b w:val="0"/>
                <w:sz w:val="20"/>
                <w:szCs w:val="20"/>
              </w:rPr>
            </w:pPr>
            <w:r>
              <w:rPr>
                <w:b w:val="0"/>
                <w:sz w:val="20"/>
                <w:szCs w:val="20"/>
              </w:rPr>
              <w:t>odpraviti terminološka razhajanja.</w:t>
            </w:r>
          </w:p>
          <w:bookmarkEnd w:id="19"/>
          <w:p w:rsidR="00E762CA" w:rsidRPr="00115F14" w:rsidRDefault="00E762CA" w:rsidP="00A95049">
            <w:pPr>
              <w:pStyle w:val="Odsek"/>
              <w:numPr>
                <w:ilvl w:val="0"/>
                <w:numId w:val="0"/>
              </w:numPr>
              <w:spacing w:before="0" w:after="0" w:line="288" w:lineRule="auto"/>
              <w:ind w:right="-104"/>
              <w:jc w:val="both"/>
              <w:rPr>
                <w:b w:val="0"/>
                <w:sz w:val="20"/>
                <w:szCs w:val="20"/>
              </w:rPr>
            </w:pPr>
          </w:p>
        </w:tc>
      </w:tr>
      <w:tr w:rsidR="00AE2155" w:rsidRPr="00115F14" w:rsidTr="005363D0">
        <w:trPr>
          <w:gridAfter w:val="1"/>
          <w:wAfter w:w="600" w:type="dxa"/>
        </w:trPr>
        <w:tc>
          <w:tcPr>
            <w:tcW w:w="8755" w:type="dxa"/>
          </w:tcPr>
          <w:p w:rsidR="00AE2155" w:rsidRPr="00115F14" w:rsidRDefault="00AE2155" w:rsidP="00B644CC">
            <w:pPr>
              <w:pStyle w:val="Odsek"/>
              <w:numPr>
                <w:ilvl w:val="0"/>
                <w:numId w:val="0"/>
              </w:numPr>
              <w:spacing w:before="0" w:after="0" w:line="288" w:lineRule="auto"/>
              <w:jc w:val="left"/>
              <w:rPr>
                <w:sz w:val="20"/>
                <w:szCs w:val="20"/>
              </w:rPr>
            </w:pPr>
            <w:r w:rsidRPr="00115F14">
              <w:rPr>
                <w:sz w:val="20"/>
                <w:szCs w:val="20"/>
              </w:rPr>
              <w:t>2.2 Načela</w:t>
            </w:r>
          </w:p>
          <w:p w:rsidR="00AE2155" w:rsidRPr="00115F14" w:rsidRDefault="00AE2155" w:rsidP="00B644CC">
            <w:pPr>
              <w:spacing w:line="288" w:lineRule="auto"/>
              <w:jc w:val="both"/>
              <w:rPr>
                <w:rFonts w:cs="Arial"/>
                <w:szCs w:val="20"/>
              </w:rPr>
            </w:pPr>
          </w:p>
          <w:p w:rsidR="00AE2155" w:rsidRPr="00115F14" w:rsidRDefault="00AE2155" w:rsidP="00B644CC">
            <w:pPr>
              <w:spacing w:line="288" w:lineRule="auto"/>
              <w:jc w:val="both"/>
            </w:pPr>
            <w:r w:rsidRPr="00115F14">
              <w:t>Temeljnih načel dosedanjega zakona predlog zakona ne spreminja in še vedno uresničuje</w:t>
            </w:r>
            <w:r w:rsidR="006D78E3">
              <w:t xml:space="preserve"> načela</w:t>
            </w:r>
            <w:r w:rsidRPr="00115F14">
              <w:t>:</w:t>
            </w:r>
          </w:p>
          <w:p w:rsidR="00AE2155" w:rsidRPr="00115F14" w:rsidRDefault="00AE2155" w:rsidP="00B644CC">
            <w:pPr>
              <w:spacing w:line="288" w:lineRule="auto"/>
              <w:jc w:val="both"/>
            </w:pPr>
            <w:r w:rsidRPr="00115F14">
              <w:t>–</w:t>
            </w:r>
            <w:r w:rsidR="006D78E3">
              <w:t xml:space="preserve"> </w:t>
            </w:r>
            <w:r w:rsidRPr="00115F14">
              <w:t>ustavnosti in zakonitosti,</w:t>
            </w:r>
          </w:p>
          <w:p w:rsidR="00872098" w:rsidRDefault="00AE2155" w:rsidP="00B644CC">
            <w:pPr>
              <w:spacing w:line="288" w:lineRule="auto"/>
              <w:jc w:val="both"/>
              <w:rPr>
                <w:rFonts w:cs="Arial"/>
                <w:szCs w:val="20"/>
              </w:rPr>
            </w:pPr>
            <w:r w:rsidRPr="00115F14">
              <w:rPr>
                <w:rFonts w:cs="Arial"/>
              </w:rPr>
              <w:t xml:space="preserve">– </w:t>
            </w:r>
            <w:r w:rsidRPr="00115F14">
              <w:rPr>
                <w:rFonts w:cs="Arial"/>
                <w:szCs w:val="20"/>
              </w:rPr>
              <w:t>enakosti,</w:t>
            </w:r>
          </w:p>
          <w:p w:rsidR="00872098" w:rsidRDefault="00872098" w:rsidP="00872098">
            <w:pPr>
              <w:spacing w:line="288" w:lineRule="auto"/>
              <w:jc w:val="both"/>
              <w:rPr>
                <w:rFonts w:cs="Arial"/>
                <w:szCs w:val="20"/>
              </w:rPr>
            </w:pPr>
            <w:r w:rsidRPr="00115F14">
              <w:rPr>
                <w:rFonts w:cs="Arial"/>
              </w:rPr>
              <w:t xml:space="preserve">– </w:t>
            </w:r>
            <w:r>
              <w:rPr>
                <w:rFonts w:cs="Arial"/>
                <w:szCs w:val="20"/>
              </w:rPr>
              <w:t>ekonomičnosti in smotrnosti,</w:t>
            </w:r>
          </w:p>
          <w:p w:rsidR="00503F6A" w:rsidRDefault="00503F6A" w:rsidP="00503F6A">
            <w:pPr>
              <w:spacing w:line="288" w:lineRule="auto"/>
              <w:rPr>
                <w:rFonts w:cs="Arial"/>
                <w:bCs/>
                <w:szCs w:val="20"/>
              </w:rPr>
            </w:pPr>
            <w:r>
              <w:rPr>
                <w:rFonts w:cs="Arial"/>
                <w:bCs/>
                <w:szCs w:val="20"/>
              </w:rPr>
              <w:t>– optimizacije poslovanja,</w:t>
            </w:r>
          </w:p>
          <w:p w:rsidR="00503F6A" w:rsidRPr="00503F6A" w:rsidRDefault="00503F6A" w:rsidP="00503F6A">
            <w:pPr>
              <w:spacing w:line="288" w:lineRule="auto"/>
              <w:rPr>
                <w:rFonts w:cs="Arial"/>
                <w:bCs/>
                <w:szCs w:val="20"/>
              </w:rPr>
            </w:pPr>
            <w:r>
              <w:rPr>
                <w:rFonts w:cs="Arial"/>
                <w:bCs/>
                <w:szCs w:val="20"/>
              </w:rPr>
              <w:t>– optimalne izrabe kadrovskih virov,</w:t>
            </w:r>
          </w:p>
          <w:p w:rsidR="00AE2155" w:rsidRPr="00115F14" w:rsidRDefault="00AE2155" w:rsidP="00B644CC">
            <w:pPr>
              <w:spacing w:line="288" w:lineRule="auto"/>
              <w:jc w:val="both"/>
            </w:pPr>
            <w:r w:rsidRPr="00115F14">
              <w:t xml:space="preserve">– nepristranskosti in neodvisnosti, </w:t>
            </w:r>
          </w:p>
          <w:p w:rsidR="00AE2155" w:rsidRPr="00115F14" w:rsidRDefault="00AE2155" w:rsidP="00B644CC">
            <w:pPr>
              <w:spacing w:line="288" w:lineRule="auto"/>
              <w:jc w:val="both"/>
            </w:pPr>
            <w:r w:rsidRPr="00115F14">
              <w:t>– samostojnosti državnih tožilcev,</w:t>
            </w:r>
          </w:p>
          <w:p w:rsidR="00AE2155" w:rsidRPr="00115F14" w:rsidRDefault="00AE2155" w:rsidP="00B644CC">
            <w:pPr>
              <w:spacing w:line="288" w:lineRule="auto"/>
              <w:jc w:val="both"/>
              <w:rPr>
                <w:rFonts w:cs="Arial"/>
                <w:szCs w:val="20"/>
              </w:rPr>
            </w:pPr>
            <w:r w:rsidRPr="00115F14">
              <w:rPr>
                <w:rFonts w:cs="Arial"/>
              </w:rPr>
              <w:t xml:space="preserve">– </w:t>
            </w:r>
            <w:r w:rsidRPr="00115F14">
              <w:rPr>
                <w:rFonts w:cs="Arial"/>
                <w:szCs w:val="20"/>
              </w:rPr>
              <w:t>učinkovitosti opravljanja funkcije državnega tožilca,</w:t>
            </w:r>
          </w:p>
          <w:p w:rsidR="00AE2155" w:rsidRPr="00115F14" w:rsidRDefault="00AE2155" w:rsidP="00B644CC">
            <w:pPr>
              <w:spacing w:line="288" w:lineRule="auto"/>
              <w:jc w:val="both"/>
              <w:rPr>
                <w:rFonts w:cs="Arial"/>
                <w:szCs w:val="20"/>
              </w:rPr>
            </w:pPr>
            <w:r w:rsidRPr="00115F14">
              <w:rPr>
                <w:rFonts w:cs="Arial"/>
                <w:szCs w:val="20"/>
              </w:rPr>
              <w:t>– neposredne uporabnosti uredbe EU in</w:t>
            </w:r>
          </w:p>
          <w:p w:rsidR="00AE2155" w:rsidRDefault="00AE2155" w:rsidP="00B644CC">
            <w:pPr>
              <w:spacing w:line="288" w:lineRule="auto"/>
              <w:jc w:val="both"/>
              <w:rPr>
                <w:rFonts w:cs="Arial"/>
                <w:szCs w:val="20"/>
              </w:rPr>
            </w:pPr>
            <w:r w:rsidRPr="00115F14">
              <w:rPr>
                <w:rFonts w:cs="Arial"/>
                <w:szCs w:val="20"/>
              </w:rPr>
              <w:t>– neposredne učinkovitosti uredbe EU.</w:t>
            </w:r>
          </w:p>
          <w:p w:rsidR="00A95049" w:rsidRPr="00115F14" w:rsidRDefault="00A95049" w:rsidP="00B644CC">
            <w:pPr>
              <w:spacing w:line="288" w:lineRule="auto"/>
              <w:jc w:val="both"/>
            </w:pPr>
          </w:p>
        </w:tc>
      </w:tr>
      <w:tr w:rsidR="00AE2155" w:rsidRPr="00115F14" w:rsidTr="005363D0">
        <w:tc>
          <w:tcPr>
            <w:tcW w:w="9355" w:type="dxa"/>
            <w:gridSpan w:val="2"/>
          </w:tcPr>
          <w:p w:rsidR="00AE2155" w:rsidRPr="00115F14" w:rsidRDefault="00503F6A" w:rsidP="00503F6A">
            <w:pPr>
              <w:pStyle w:val="Odsek"/>
              <w:numPr>
                <w:ilvl w:val="0"/>
                <w:numId w:val="0"/>
              </w:numPr>
              <w:spacing w:before="0" w:after="0" w:line="288" w:lineRule="auto"/>
              <w:jc w:val="left"/>
              <w:rPr>
                <w:sz w:val="20"/>
                <w:szCs w:val="20"/>
              </w:rPr>
            </w:pPr>
            <w:bookmarkStart w:id="20" w:name="_Hlk531169178"/>
            <w:r>
              <w:rPr>
                <w:sz w:val="20"/>
                <w:szCs w:val="20"/>
              </w:rPr>
              <w:t xml:space="preserve">2.3 </w:t>
            </w:r>
            <w:r w:rsidR="00AE2155" w:rsidRPr="00115F14">
              <w:rPr>
                <w:sz w:val="20"/>
                <w:szCs w:val="20"/>
              </w:rPr>
              <w:t>Poglavitne rešitve</w:t>
            </w:r>
          </w:p>
          <w:p w:rsidR="00AE2155" w:rsidRPr="00115F14" w:rsidRDefault="00AE2155" w:rsidP="00B644CC">
            <w:pPr>
              <w:pStyle w:val="Odsek"/>
              <w:numPr>
                <w:ilvl w:val="0"/>
                <w:numId w:val="0"/>
              </w:numPr>
              <w:spacing w:before="0" w:after="0" w:line="288" w:lineRule="auto"/>
              <w:jc w:val="left"/>
              <w:rPr>
                <w:sz w:val="20"/>
                <w:szCs w:val="20"/>
              </w:rPr>
            </w:pPr>
          </w:p>
          <w:p w:rsidR="00AE2155" w:rsidRPr="00115F14" w:rsidRDefault="00AE2155" w:rsidP="00B644CC">
            <w:pPr>
              <w:pStyle w:val="rkovnatokazaodstavkom"/>
              <w:numPr>
                <w:ilvl w:val="0"/>
                <w:numId w:val="0"/>
              </w:numPr>
              <w:spacing w:line="288" w:lineRule="auto"/>
            </w:pPr>
            <w:r w:rsidRPr="00115F14">
              <w:rPr>
                <w:rFonts w:cs="Arial"/>
                <w:b/>
              </w:rPr>
              <w:t>2.3.1 Pogoji in postopek imenovanja nacionalnega predstavnika in njegovega namestnika</w:t>
            </w:r>
          </w:p>
        </w:tc>
      </w:tr>
    </w:tbl>
    <w:p w:rsidR="00AE2155" w:rsidRPr="00115F14" w:rsidRDefault="00AE2155" w:rsidP="00B644CC">
      <w:pPr>
        <w:spacing w:line="288" w:lineRule="auto"/>
        <w:jc w:val="both"/>
        <w:rPr>
          <w:rFonts w:cs="Arial"/>
        </w:rPr>
      </w:pPr>
    </w:p>
    <w:p w:rsidR="00AE2155" w:rsidRPr="00115F14" w:rsidRDefault="00AE2155" w:rsidP="00B644CC">
      <w:pPr>
        <w:spacing w:line="288" w:lineRule="auto"/>
        <w:jc w:val="both"/>
        <w:rPr>
          <w:rFonts w:cs="Arial"/>
          <w:szCs w:val="20"/>
        </w:rPr>
      </w:pPr>
      <w:r w:rsidRPr="00115F14">
        <w:rPr>
          <w:rFonts w:cs="Arial"/>
        </w:rPr>
        <w:t>Predlog zakona ne posega v veljavno ureditev, ki s</w:t>
      </w:r>
      <w:r w:rsidRPr="00115F14">
        <w:rPr>
          <w:rFonts w:cs="Arial"/>
          <w:szCs w:val="20"/>
        </w:rPr>
        <w:t xml:space="preserve">kladno z </w:t>
      </w:r>
      <w:r w:rsidR="00294F11">
        <w:rPr>
          <w:rFonts w:cs="Arial"/>
          <w:szCs w:val="20"/>
        </w:rPr>
        <w:t>vrsto in vsebino</w:t>
      </w:r>
      <w:r w:rsidRPr="00115F14">
        <w:rPr>
          <w:rFonts w:cs="Arial"/>
          <w:szCs w:val="20"/>
        </w:rPr>
        <w:t xml:space="preserve"> dela </w:t>
      </w:r>
      <w:proofErr w:type="spellStart"/>
      <w:r w:rsidRPr="00115F14">
        <w:rPr>
          <w:rFonts w:cs="Arial"/>
          <w:szCs w:val="20"/>
        </w:rPr>
        <w:t>Eurojusta</w:t>
      </w:r>
      <w:proofErr w:type="spellEnd"/>
      <w:r w:rsidRPr="00115F14">
        <w:rPr>
          <w:rFonts w:cs="Arial"/>
          <w:szCs w:val="20"/>
        </w:rPr>
        <w:t xml:space="preserve"> določa pogoje za imenovanje glede na ustrezni tožilski naziv, kar odseva pridobljeno strokovnost in izkušnje. Pogoji so stopnjevani</w:t>
      </w:r>
      <w:r w:rsidR="00294F11">
        <w:rPr>
          <w:rFonts w:cs="Arial"/>
          <w:szCs w:val="20"/>
        </w:rPr>
        <w:t>;</w:t>
      </w:r>
      <w:r w:rsidRPr="00115F14">
        <w:rPr>
          <w:rFonts w:cs="Arial"/>
          <w:szCs w:val="20"/>
        </w:rPr>
        <w:t xml:space="preserve"> tako je za nacionalnega predstavnika oziroma njegovega namestnika lahko imenovan vrhovni ali višji državni tožilec oziroma državni tožilec, ki izpolnjuje pogoje za imenovanje v naziv višjega državnega tožilca. Za pomočnika pa je lahko imenovan okrožni državni tožilec oziroma okrajni državni tožilec, ki izpolnjuje pogoje za imenovanje v naziv okrožnega državnega tožilca. Zakon določa še dodatni pogoj glede znanja tujega jezika, ki ga </w:t>
      </w:r>
      <w:r w:rsidRPr="00115F14">
        <w:rPr>
          <w:rFonts w:cs="Arial"/>
          <w:szCs w:val="20"/>
        </w:rPr>
        <w:lastRenderedPageBreak/>
        <w:t>zahteva</w:t>
      </w:r>
      <w:r w:rsidR="00294F11">
        <w:rPr>
          <w:rFonts w:cs="Arial"/>
          <w:szCs w:val="20"/>
        </w:rPr>
        <w:t xml:space="preserve">ta vrsta in vsebina </w:t>
      </w:r>
      <w:r w:rsidRPr="00115F14">
        <w:rPr>
          <w:rFonts w:cs="Arial"/>
          <w:szCs w:val="20"/>
        </w:rPr>
        <w:t xml:space="preserve">dela v </w:t>
      </w:r>
      <w:proofErr w:type="spellStart"/>
      <w:r w:rsidRPr="00115F14">
        <w:rPr>
          <w:rFonts w:cs="Arial"/>
          <w:szCs w:val="20"/>
        </w:rPr>
        <w:t>Eurojustu</w:t>
      </w:r>
      <w:proofErr w:type="spellEnd"/>
      <w:r w:rsidRPr="00115F14">
        <w:rPr>
          <w:rFonts w:cs="Arial"/>
          <w:szCs w:val="20"/>
        </w:rPr>
        <w:t xml:space="preserve">. Imenovanje poteka s smiselno uporaba postopka, ki ga ZDT-1 določa za dodelitev državnega tožilca v organ. Ministrstvo po prejemu predloga objavi poziv k prijavam za dodelitev v </w:t>
      </w:r>
      <w:proofErr w:type="spellStart"/>
      <w:r w:rsidRPr="00115F14">
        <w:rPr>
          <w:rFonts w:cs="Arial"/>
          <w:szCs w:val="20"/>
        </w:rPr>
        <w:t>Eurojust</w:t>
      </w:r>
      <w:proofErr w:type="spellEnd"/>
      <w:r w:rsidRPr="00115F14">
        <w:rPr>
          <w:rFonts w:cs="Arial"/>
          <w:szCs w:val="20"/>
        </w:rPr>
        <w:t xml:space="preserve">. Vse prejete vloge se posredujejo </w:t>
      </w:r>
      <w:proofErr w:type="spellStart"/>
      <w:r w:rsidRPr="00115F14">
        <w:rPr>
          <w:rFonts w:cs="Arial"/>
          <w:szCs w:val="20"/>
        </w:rPr>
        <w:t>Državnotožilskemu</w:t>
      </w:r>
      <w:proofErr w:type="spellEnd"/>
      <w:r w:rsidRPr="00115F14">
        <w:rPr>
          <w:rFonts w:cs="Arial"/>
          <w:szCs w:val="20"/>
        </w:rPr>
        <w:t xml:space="preserve"> svetu. Nacionalnega predstavnika in njegovega namestnika imenuje Vlada RS na predlog </w:t>
      </w:r>
      <w:proofErr w:type="spellStart"/>
      <w:r w:rsidRPr="00115F14">
        <w:rPr>
          <w:rFonts w:cs="Arial"/>
          <w:szCs w:val="20"/>
        </w:rPr>
        <w:t>Državnotožilskega</w:t>
      </w:r>
      <w:proofErr w:type="spellEnd"/>
      <w:r w:rsidRPr="00115F14">
        <w:rPr>
          <w:rFonts w:cs="Arial"/>
          <w:szCs w:val="20"/>
        </w:rPr>
        <w:t xml:space="preserve"> sveta, pomočnika pa </w:t>
      </w:r>
      <w:proofErr w:type="spellStart"/>
      <w:r w:rsidRPr="00115F14">
        <w:rPr>
          <w:rFonts w:cs="Arial"/>
          <w:szCs w:val="20"/>
        </w:rPr>
        <w:t>Državnotožilski</w:t>
      </w:r>
      <w:proofErr w:type="spellEnd"/>
      <w:r w:rsidRPr="00115F14">
        <w:rPr>
          <w:rFonts w:cs="Arial"/>
          <w:szCs w:val="20"/>
        </w:rPr>
        <w:t xml:space="preserve"> svet na predlog generalnega državnega tožilca.</w:t>
      </w:r>
    </w:p>
    <w:p w:rsidR="00AE2155" w:rsidRPr="00115F14" w:rsidRDefault="00AE2155" w:rsidP="00B644CC">
      <w:pPr>
        <w:pStyle w:val="rkovnatokazaodstavkom"/>
        <w:numPr>
          <w:ilvl w:val="0"/>
          <w:numId w:val="0"/>
        </w:numPr>
        <w:spacing w:line="288" w:lineRule="auto"/>
        <w:rPr>
          <w:rFonts w:cs="Arial"/>
        </w:rPr>
      </w:pPr>
    </w:p>
    <w:p w:rsidR="00AE2155" w:rsidRPr="00115F14" w:rsidRDefault="00AE2155" w:rsidP="00B644CC">
      <w:pPr>
        <w:spacing w:line="288" w:lineRule="auto"/>
        <w:jc w:val="both"/>
      </w:pPr>
      <w:r w:rsidRPr="00115F14">
        <w:rPr>
          <w:rFonts w:cs="Arial"/>
        </w:rPr>
        <w:t>Ker o dodelitvi državnega tožilca v organ po 62. členu ZDT-1</w:t>
      </w:r>
      <w:r>
        <w:rPr>
          <w:rFonts w:cs="Arial"/>
        </w:rPr>
        <w:t xml:space="preserve"> </w:t>
      </w:r>
      <w:r w:rsidRPr="00115F14">
        <w:rPr>
          <w:rFonts w:cs="Arial"/>
        </w:rPr>
        <w:t xml:space="preserve">odloča </w:t>
      </w:r>
      <w:proofErr w:type="spellStart"/>
      <w:r w:rsidRPr="00115F14">
        <w:rPr>
          <w:rFonts w:cs="Arial"/>
        </w:rPr>
        <w:t>Državnotožilski</w:t>
      </w:r>
      <w:proofErr w:type="spellEnd"/>
      <w:r w:rsidRPr="00115F14">
        <w:rPr>
          <w:rFonts w:cs="Arial"/>
        </w:rPr>
        <w:t xml:space="preserve"> svet, nacionalnega predstavnika in njegovega namestnika pa imenuje Vlada Republike Slovenije, se  predlaga odprava sistemske nedoslednosti</w:t>
      </w:r>
      <w:r w:rsidR="007D4385">
        <w:rPr>
          <w:rFonts w:cs="Arial"/>
        </w:rPr>
        <w:t xml:space="preserve"> tudi z določitvijo organa</w:t>
      </w:r>
      <w:r w:rsidR="00294F11">
        <w:rPr>
          <w:rFonts w:cs="Arial"/>
        </w:rPr>
        <w:t>,</w:t>
      </w:r>
      <w:r w:rsidR="007D4385">
        <w:rPr>
          <w:rFonts w:cs="Arial"/>
        </w:rPr>
        <w:t xml:space="preserve"> pristojnega za podajo predloga za uvedbo pozivnega postopka</w:t>
      </w:r>
      <w:r w:rsidR="00294F11">
        <w:rPr>
          <w:rFonts w:cs="Arial"/>
        </w:rPr>
        <w:t>,</w:t>
      </w:r>
      <w:r w:rsidRPr="00115F14">
        <w:rPr>
          <w:rFonts w:cs="Arial"/>
        </w:rPr>
        <w:t xml:space="preserve"> ter ob tem upošteva rešitev, ki jo je uvedel veljavni 71.č člen ZDT-1. </w:t>
      </w:r>
      <w:r w:rsidR="00822DD6">
        <w:rPr>
          <w:rFonts w:cs="Arial"/>
        </w:rPr>
        <w:t xml:space="preserve">S predlogom zakona se v nasprotju z veljavno ureditvijo določa neodvisen postopek imenovanja nacionalnega predstavnika, njegovega namestnika in pomočnika. </w:t>
      </w:r>
      <w:r w:rsidRPr="00115F14">
        <w:rPr>
          <w:rFonts w:cs="Arial"/>
        </w:rPr>
        <w:t>P</w:t>
      </w:r>
      <w:r w:rsidRPr="00115F14">
        <w:t>ravico, da predlaga pomočnika nacionalnega predstavnika, se namesto nacionalnemu predstavniku, kot je to določeno v veljavni ureditvi, prepušča generalnemu državnemu tožilcu, nacionalni predstavnik pa je v postopek vključen s podajo mnenja. Generalni državni tožilec tako prevzema odgovornost za predlaganje pomočnika</w:t>
      </w:r>
      <w:r w:rsidR="007D4385">
        <w:t xml:space="preserve"> ter podajo predhodnega mnenja k imenovanju nacionalnega predstavnika in njegovega namestnika, </w:t>
      </w:r>
      <w:r w:rsidRPr="00115F14">
        <w:t xml:space="preserve">s čimer se okrepi njegova vloga pri odločanju o predstavnikih državnega tožilstva, ki delujejo v sklopu </w:t>
      </w:r>
      <w:proofErr w:type="spellStart"/>
      <w:r w:rsidRPr="00115F14">
        <w:t>Eurojusta</w:t>
      </w:r>
      <w:proofErr w:type="spellEnd"/>
      <w:r w:rsidRPr="00115F14">
        <w:t>.</w:t>
      </w:r>
    </w:p>
    <w:p w:rsidR="00AE2155" w:rsidRPr="00115F14" w:rsidRDefault="00AE2155" w:rsidP="00B644CC">
      <w:pPr>
        <w:pStyle w:val="rkovnatokazaodstavkom"/>
        <w:numPr>
          <w:ilvl w:val="0"/>
          <w:numId w:val="0"/>
        </w:numPr>
        <w:spacing w:line="288" w:lineRule="auto"/>
        <w:rPr>
          <w:rFonts w:cs="Arial"/>
        </w:rPr>
      </w:pPr>
    </w:p>
    <w:p w:rsidR="007D4385" w:rsidRDefault="00AE2155" w:rsidP="00B644CC">
      <w:pPr>
        <w:spacing w:line="288" w:lineRule="auto"/>
        <w:jc w:val="both"/>
        <w:rPr>
          <w:rFonts w:cs="Arial"/>
          <w:szCs w:val="20"/>
        </w:rPr>
      </w:pPr>
      <w:r w:rsidRPr="00115F14">
        <w:rPr>
          <w:rFonts w:cs="Arial"/>
          <w:szCs w:val="20"/>
        </w:rPr>
        <w:t>Z</w:t>
      </w:r>
      <w:r>
        <w:rPr>
          <w:rFonts w:cs="Arial"/>
          <w:szCs w:val="20"/>
        </w:rPr>
        <w:t xml:space="preserve"> </w:t>
      </w:r>
      <w:r w:rsidRPr="00115F14">
        <w:rPr>
          <w:rFonts w:cs="Arial"/>
          <w:szCs w:val="20"/>
        </w:rPr>
        <w:t>Uredbo 2017/1939/EU</w:t>
      </w:r>
      <w:r>
        <w:rPr>
          <w:rFonts w:cs="Arial"/>
          <w:szCs w:val="20"/>
        </w:rPr>
        <w:t xml:space="preserve"> </w:t>
      </w:r>
      <w:r w:rsidRPr="00115F14">
        <w:rPr>
          <w:rFonts w:cs="Arial"/>
          <w:szCs w:val="20"/>
        </w:rPr>
        <w:t>se mandat nacionalnega predstavnika</w:t>
      </w:r>
      <w:r w:rsidR="007D4385">
        <w:rPr>
          <w:rFonts w:cs="Arial"/>
          <w:szCs w:val="20"/>
        </w:rPr>
        <w:t>,</w:t>
      </w:r>
      <w:r w:rsidR="00B644CC">
        <w:rPr>
          <w:rFonts w:cs="Arial"/>
          <w:szCs w:val="20"/>
        </w:rPr>
        <w:t xml:space="preserve"> </w:t>
      </w:r>
      <w:r w:rsidRPr="00115F14">
        <w:rPr>
          <w:rFonts w:cs="Arial"/>
          <w:szCs w:val="20"/>
        </w:rPr>
        <w:t>njegovega namestnika</w:t>
      </w:r>
      <w:r w:rsidR="007D4385">
        <w:rPr>
          <w:rFonts w:cs="Arial"/>
          <w:szCs w:val="20"/>
        </w:rPr>
        <w:t xml:space="preserve"> in pomočnika</w:t>
      </w:r>
      <w:r w:rsidRPr="00115F14">
        <w:rPr>
          <w:rFonts w:cs="Arial"/>
          <w:szCs w:val="20"/>
        </w:rPr>
        <w:t xml:space="preserve"> podaljšuje na pet let z možnostjo enkratnega podaljšanja</w:t>
      </w:r>
      <w:r>
        <w:rPr>
          <w:rFonts w:cs="Arial"/>
          <w:szCs w:val="20"/>
        </w:rPr>
        <w:t>,</w:t>
      </w:r>
      <w:r w:rsidRPr="00115F14">
        <w:rPr>
          <w:rFonts w:cs="Arial"/>
          <w:szCs w:val="20"/>
        </w:rPr>
        <w:t xml:space="preserve"> zato se v tem delu predlaga uskladitev veljavne določbe 69. člena ZDT-1, ki </w:t>
      </w:r>
      <w:r w:rsidR="00294F11">
        <w:rPr>
          <w:rFonts w:cs="Arial"/>
          <w:szCs w:val="20"/>
        </w:rPr>
        <w:t>z</w:t>
      </w:r>
      <w:r w:rsidRPr="00115F14">
        <w:rPr>
          <w:rFonts w:cs="Arial"/>
          <w:szCs w:val="20"/>
        </w:rPr>
        <w:t>daj določa štiri</w:t>
      </w:r>
      <w:r w:rsidR="00294F11">
        <w:rPr>
          <w:rFonts w:cs="Arial"/>
          <w:szCs w:val="20"/>
        </w:rPr>
        <w:t>-</w:t>
      </w:r>
      <w:r w:rsidRPr="00115F14">
        <w:rPr>
          <w:rFonts w:cs="Arial"/>
          <w:szCs w:val="20"/>
        </w:rPr>
        <w:t>letni mandat nacionalnega predstavnika, namestnika in pomočnika nacionalnega predstavnika. Dob</w:t>
      </w:r>
      <w:r w:rsidR="00294F11">
        <w:rPr>
          <w:rFonts w:cs="Arial"/>
          <w:szCs w:val="20"/>
        </w:rPr>
        <w:t>e</w:t>
      </w:r>
      <w:r w:rsidRPr="00115F14">
        <w:rPr>
          <w:rFonts w:cs="Arial"/>
          <w:szCs w:val="20"/>
        </w:rPr>
        <w:t xml:space="preserve"> imenovanja pomočnika nacionalnega predstavnika nova Uredba 2017/1939/EU</w:t>
      </w:r>
      <w:r w:rsidR="007D4385">
        <w:rPr>
          <w:rFonts w:cs="Arial"/>
          <w:szCs w:val="20"/>
        </w:rPr>
        <w:t xml:space="preserve"> sicer</w:t>
      </w:r>
      <w:r w:rsidRPr="00115F14">
        <w:rPr>
          <w:rFonts w:cs="Arial"/>
          <w:szCs w:val="20"/>
        </w:rPr>
        <w:t xml:space="preserve"> ne določa, </w:t>
      </w:r>
      <w:r w:rsidR="007D4385">
        <w:rPr>
          <w:rFonts w:cs="Arial"/>
          <w:szCs w:val="20"/>
        </w:rPr>
        <w:t xml:space="preserve">se pa s predlogom zakona </w:t>
      </w:r>
      <w:r w:rsidR="00294F11">
        <w:rPr>
          <w:rFonts w:cs="Arial"/>
          <w:szCs w:val="20"/>
        </w:rPr>
        <w:t xml:space="preserve">upošteva </w:t>
      </w:r>
      <w:r w:rsidR="007D4385">
        <w:rPr>
          <w:rFonts w:cs="Arial"/>
          <w:szCs w:val="20"/>
        </w:rPr>
        <w:t>veljavn</w:t>
      </w:r>
      <w:r w:rsidR="00294F11">
        <w:rPr>
          <w:rFonts w:cs="Arial"/>
          <w:szCs w:val="20"/>
        </w:rPr>
        <w:t>a</w:t>
      </w:r>
      <w:r w:rsidR="007D4385">
        <w:rPr>
          <w:rFonts w:cs="Arial"/>
          <w:szCs w:val="20"/>
        </w:rPr>
        <w:t xml:space="preserve"> uredit</w:t>
      </w:r>
      <w:r w:rsidR="00294F11">
        <w:rPr>
          <w:rFonts w:cs="Arial"/>
          <w:szCs w:val="20"/>
        </w:rPr>
        <w:t>ev</w:t>
      </w:r>
      <w:r w:rsidR="007D4385">
        <w:rPr>
          <w:rFonts w:cs="Arial"/>
          <w:szCs w:val="20"/>
        </w:rPr>
        <w:t xml:space="preserve"> in ohranja enako dobo imenovanja za vse tri člane </w:t>
      </w:r>
      <w:proofErr w:type="spellStart"/>
      <w:r w:rsidR="007D4385">
        <w:rPr>
          <w:rFonts w:cs="Arial"/>
          <w:szCs w:val="20"/>
        </w:rPr>
        <w:t>Eurojusta</w:t>
      </w:r>
      <w:proofErr w:type="spellEnd"/>
      <w:r w:rsidR="007D4385">
        <w:rPr>
          <w:rFonts w:cs="Arial"/>
          <w:szCs w:val="20"/>
        </w:rPr>
        <w:t>. S</w:t>
      </w:r>
      <w:r w:rsidR="00294F11">
        <w:rPr>
          <w:rFonts w:cs="Arial"/>
          <w:szCs w:val="20"/>
        </w:rPr>
        <w:t>prememba pa je ta</w:t>
      </w:r>
      <w:r w:rsidR="007D4385">
        <w:rPr>
          <w:rFonts w:cs="Arial"/>
          <w:szCs w:val="20"/>
        </w:rPr>
        <w:t>, da se bo mandat</w:t>
      </w:r>
      <w:r w:rsidR="00427223">
        <w:rPr>
          <w:rFonts w:cs="Arial"/>
          <w:szCs w:val="20"/>
        </w:rPr>
        <w:t xml:space="preserve"> lahko enkrat podaljšal </w:t>
      </w:r>
      <w:r w:rsidR="00294F11">
        <w:rPr>
          <w:rFonts w:cs="Arial"/>
          <w:szCs w:val="20"/>
        </w:rPr>
        <w:t>le</w:t>
      </w:r>
      <w:r w:rsidR="00427223">
        <w:rPr>
          <w:rFonts w:cs="Arial"/>
          <w:szCs w:val="20"/>
        </w:rPr>
        <w:t xml:space="preserve"> nacionalnemu predstavniku in njegovemu namestniku. Uredba</w:t>
      </w:r>
      <w:r w:rsidR="007D4385">
        <w:rPr>
          <w:rFonts w:cs="Arial"/>
          <w:szCs w:val="20"/>
        </w:rPr>
        <w:t xml:space="preserve"> </w:t>
      </w:r>
      <w:r w:rsidR="00427223" w:rsidRPr="00115F14">
        <w:rPr>
          <w:rFonts w:cs="Arial"/>
          <w:szCs w:val="20"/>
        </w:rPr>
        <w:t>2017/1939/EU</w:t>
      </w:r>
      <w:r w:rsidR="00294F11">
        <w:rPr>
          <w:rFonts w:cs="Arial"/>
          <w:szCs w:val="20"/>
        </w:rPr>
        <w:t xml:space="preserve"> namreč</w:t>
      </w:r>
      <w:r w:rsidR="00427223">
        <w:rPr>
          <w:rFonts w:cs="Arial"/>
          <w:szCs w:val="20"/>
        </w:rPr>
        <w:t xml:space="preserve"> omogoča možnost obnov</w:t>
      </w:r>
      <w:r w:rsidR="00B644CC">
        <w:rPr>
          <w:rFonts w:cs="Arial"/>
          <w:szCs w:val="20"/>
        </w:rPr>
        <w:t>itve</w:t>
      </w:r>
      <w:r w:rsidR="00427223">
        <w:rPr>
          <w:rFonts w:cs="Arial"/>
          <w:szCs w:val="20"/>
        </w:rPr>
        <w:t xml:space="preserve"> mandata </w:t>
      </w:r>
      <w:r w:rsidR="00294F11">
        <w:rPr>
          <w:rFonts w:cs="Arial"/>
          <w:szCs w:val="20"/>
        </w:rPr>
        <w:t>le</w:t>
      </w:r>
      <w:r w:rsidR="00427223">
        <w:rPr>
          <w:rFonts w:cs="Arial"/>
          <w:szCs w:val="20"/>
        </w:rPr>
        <w:t xml:space="preserve"> nacionalnemu predstavniku in njegovemu namestniku. </w:t>
      </w:r>
      <w:r w:rsidR="00427223">
        <w:rPr>
          <w:rFonts w:eastAsia="Calibri" w:cs="Arial"/>
          <w:szCs w:val="20"/>
        </w:rPr>
        <w:t xml:space="preserve">V izjemnih primerih pa lahko tudi po izteku mandata nacionalni predstavnik v soglasju z državo članico nadaljuje delo nacionalnega predstavnika v </w:t>
      </w:r>
      <w:proofErr w:type="spellStart"/>
      <w:r w:rsidR="00427223">
        <w:rPr>
          <w:rFonts w:eastAsia="Calibri" w:cs="Arial"/>
          <w:szCs w:val="20"/>
        </w:rPr>
        <w:t>Eurojust</w:t>
      </w:r>
      <w:proofErr w:type="spellEnd"/>
      <w:r w:rsidR="00427223">
        <w:rPr>
          <w:rFonts w:eastAsia="Calibri" w:cs="Arial"/>
          <w:szCs w:val="20"/>
        </w:rPr>
        <w:t xml:space="preserve"> do obnov</w:t>
      </w:r>
      <w:r w:rsidR="00B644CC">
        <w:rPr>
          <w:rFonts w:eastAsia="Calibri" w:cs="Arial"/>
          <w:szCs w:val="20"/>
        </w:rPr>
        <w:t>itve</w:t>
      </w:r>
      <w:r w:rsidR="00427223">
        <w:rPr>
          <w:rFonts w:eastAsia="Calibri" w:cs="Arial"/>
          <w:szCs w:val="20"/>
        </w:rPr>
        <w:t xml:space="preserve"> mandata oziroma njegove zamenjave.</w:t>
      </w:r>
    </w:p>
    <w:p w:rsidR="00AE2155" w:rsidRPr="00115F14" w:rsidRDefault="00AE2155" w:rsidP="00B644CC">
      <w:pPr>
        <w:spacing w:line="288" w:lineRule="auto"/>
        <w:jc w:val="both"/>
        <w:rPr>
          <w:rFonts w:cs="Arial"/>
          <w:szCs w:val="20"/>
        </w:rPr>
      </w:pPr>
    </w:p>
    <w:p w:rsidR="00AE2155" w:rsidRPr="005B1C7D" w:rsidRDefault="00AE2155" w:rsidP="00B644CC">
      <w:pPr>
        <w:spacing w:line="288" w:lineRule="auto"/>
        <w:jc w:val="both"/>
      </w:pPr>
      <w:r w:rsidRPr="00115F14">
        <w:rPr>
          <w:rFonts w:cs="Arial"/>
          <w:szCs w:val="20"/>
        </w:rPr>
        <w:t xml:space="preserve">Predlaga se črtanje napredovanja </w:t>
      </w:r>
      <w:r w:rsidR="00294F11" w:rsidRPr="00115F14">
        <w:rPr>
          <w:rFonts w:cs="Arial"/>
          <w:i/>
          <w:szCs w:val="20"/>
        </w:rPr>
        <w:t>ex lege</w:t>
      </w:r>
      <w:r w:rsidR="00294F11" w:rsidRPr="00115F14">
        <w:rPr>
          <w:rFonts w:cs="Arial"/>
          <w:szCs w:val="20"/>
        </w:rPr>
        <w:t xml:space="preserve"> </w:t>
      </w:r>
      <w:r w:rsidRPr="00115F14">
        <w:rPr>
          <w:rFonts w:cs="Arial"/>
          <w:szCs w:val="20"/>
        </w:rPr>
        <w:t xml:space="preserve">za tiste državne tožilce, ki izpolnjujejo pogoje za napredovanje na višje </w:t>
      </w:r>
      <w:proofErr w:type="spellStart"/>
      <w:r w:rsidRPr="00115F14">
        <w:rPr>
          <w:rFonts w:cs="Arial"/>
          <w:szCs w:val="20"/>
        </w:rPr>
        <w:t>državnotožilsko</w:t>
      </w:r>
      <w:proofErr w:type="spellEnd"/>
      <w:r w:rsidRPr="00115F14">
        <w:rPr>
          <w:rFonts w:cs="Arial"/>
          <w:szCs w:val="20"/>
        </w:rPr>
        <w:t xml:space="preserve"> mesto in bi z imenovanjem za nacionalnega predstavnika oziroma njegovega namestnika ali pomočnika </w:t>
      </w:r>
      <w:r w:rsidR="00294F11">
        <w:rPr>
          <w:rFonts w:cs="Arial"/>
          <w:szCs w:val="20"/>
        </w:rPr>
        <w:t xml:space="preserve">posamezni državni tožilci </w:t>
      </w:r>
      <w:r w:rsidRPr="00115F14">
        <w:rPr>
          <w:rFonts w:cs="Arial"/>
          <w:szCs w:val="20"/>
        </w:rPr>
        <w:t>pridobil višji naziv. Glede na pristojnosti in naloge, ki jih določa Uredba 2017/1939/EU</w:t>
      </w:r>
      <w:r w:rsidR="00294F11">
        <w:rPr>
          <w:rFonts w:cs="Arial"/>
          <w:szCs w:val="20"/>
        </w:rPr>
        <w:t>,</w:t>
      </w:r>
      <w:r>
        <w:rPr>
          <w:rFonts w:cs="Arial"/>
          <w:szCs w:val="20"/>
        </w:rPr>
        <w:t xml:space="preserve"> </w:t>
      </w:r>
      <w:r w:rsidRPr="00115F14">
        <w:rPr>
          <w:rFonts w:cs="Arial"/>
          <w:szCs w:val="20"/>
        </w:rPr>
        <w:t>predlagatelj ocenjuje, da takšno</w:t>
      </w:r>
      <w:r>
        <w:rPr>
          <w:rFonts w:cs="Arial"/>
          <w:szCs w:val="20"/>
        </w:rPr>
        <w:t xml:space="preserve"> </w:t>
      </w:r>
      <w:r w:rsidRPr="00115F14">
        <w:rPr>
          <w:rFonts w:cs="Arial"/>
          <w:szCs w:val="20"/>
        </w:rPr>
        <w:t>ne</w:t>
      </w:r>
      <w:r w:rsidR="00294F11">
        <w:rPr>
          <w:rFonts w:cs="Arial"/>
          <w:szCs w:val="20"/>
        </w:rPr>
        <w:t>-</w:t>
      </w:r>
      <w:r w:rsidRPr="00115F14">
        <w:rPr>
          <w:rFonts w:cs="Arial"/>
          <w:szCs w:val="20"/>
        </w:rPr>
        <w:t>karierno</w:t>
      </w:r>
      <w:r>
        <w:rPr>
          <w:rFonts w:cs="Arial"/>
          <w:szCs w:val="20"/>
        </w:rPr>
        <w:t xml:space="preserve"> </w:t>
      </w:r>
      <w:r w:rsidRPr="00115F14">
        <w:rPr>
          <w:rFonts w:cs="Arial"/>
          <w:szCs w:val="20"/>
        </w:rPr>
        <w:t>napredovanje</w:t>
      </w:r>
      <w:r w:rsidR="00294F11">
        <w:rPr>
          <w:rFonts w:cs="Arial"/>
          <w:szCs w:val="20"/>
        </w:rPr>
        <w:t xml:space="preserve"> </w:t>
      </w:r>
      <w:r w:rsidR="00294F11" w:rsidRPr="00294F11">
        <w:rPr>
          <w:rFonts w:cs="Arial"/>
          <w:i/>
          <w:iCs/>
          <w:szCs w:val="20"/>
        </w:rPr>
        <w:t>ex lege</w:t>
      </w:r>
      <w:r w:rsidRPr="00115F14">
        <w:rPr>
          <w:rFonts w:cs="Arial"/>
          <w:szCs w:val="20"/>
        </w:rPr>
        <w:t xml:space="preserve"> ni potrebno. Državni tožilec ima namreč varovano pravico do napredovanja in bo </w:t>
      </w:r>
      <w:r w:rsidR="00083264">
        <w:rPr>
          <w:rFonts w:cs="Arial"/>
          <w:szCs w:val="20"/>
        </w:rPr>
        <w:t xml:space="preserve">v času mandata </w:t>
      </w:r>
      <w:r w:rsidRPr="00115F14">
        <w:rPr>
          <w:rFonts w:cs="Arial"/>
          <w:szCs w:val="20"/>
        </w:rPr>
        <w:t>pridobil</w:t>
      </w:r>
      <w:r w:rsidR="00083264">
        <w:rPr>
          <w:rFonts w:cs="Arial"/>
          <w:szCs w:val="20"/>
        </w:rPr>
        <w:t xml:space="preserve"> redno</w:t>
      </w:r>
      <w:r w:rsidRPr="00115F14">
        <w:rPr>
          <w:rFonts w:cs="Arial"/>
          <w:szCs w:val="20"/>
        </w:rPr>
        <w:t xml:space="preserve"> oceno </w:t>
      </w:r>
      <w:proofErr w:type="spellStart"/>
      <w:r w:rsidRPr="00115F14">
        <w:rPr>
          <w:rFonts w:cs="Arial"/>
          <w:szCs w:val="20"/>
        </w:rPr>
        <w:t>državnotožilske</w:t>
      </w:r>
      <w:proofErr w:type="spellEnd"/>
      <w:r w:rsidRPr="00115F14">
        <w:rPr>
          <w:rFonts w:cs="Arial"/>
          <w:szCs w:val="20"/>
        </w:rPr>
        <w:t xml:space="preserve"> službe zaradi napredovanja v višji naziv. Poleg tega plača nacionalnega predstavnika, namestnika in pomočnika ni vezana na doseženi</w:t>
      </w:r>
      <w:r>
        <w:rPr>
          <w:rFonts w:cs="Arial"/>
          <w:szCs w:val="20"/>
        </w:rPr>
        <w:t xml:space="preserve"> </w:t>
      </w:r>
      <w:proofErr w:type="spellStart"/>
      <w:r w:rsidRPr="00115F14">
        <w:rPr>
          <w:rFonts w:cs="Arial"/>
          <w:szCs w:val="20"/>
        </w:rPr>
        <w:t>državnotožilski</w:t>
      </w:r>
      <w:proofErr w:type="spellEnd"/>
      <w:r>
        <w:rPr>
          <w:rFonts w:cs="Arial"/>
          <w:szCs w:val="20"/>
        </w:rPr>
        <w:t xml:space="preserve"> </w:t>
      </w:r>
      <w:r w:rsidRPr="00115F14">
        <w:rPr>
          <w:rFonts w:cs="Arial"/>
          <w:szCs w:val="20"/>
        </w:rPr>
        <w:t xml:space="preserve">naziv temveč jo </w:t>
      </w:r>
      <w:r>
        <w:rPr>
          <w:rFonts w:cs="Arial"/>
          <w:szCs w:val="20"/>
        </w:rPr>
        <w:t>določa</w:t>
      </w:r>
      <w:r w:rsidRPr="00115F14">
        <w:rPr>
          <w:rFonts w:cs="Arial"/>
          <w:szCs w:val="20"/>
        </w:rPr>
        <w:t xml:space="preserve"> Uredba o plačah in drugih prejemkih javnih uslužbencev za delo v tujini</w:t>
      </w:r>
      <w:r>
        <w:rPr>
          <w:rFonts w:cs="Arial"/>
          <w:szCs w:val="20"/>
        </w:rPr>
        <w:t xml:space="preserve"> (v nadaljnjem besedilu: </w:t>
      </w:r>
      <w:r w:rsidRPr="005B1C7D">
        <w:rPr>
          <w:rFonts w:cs="Arial"/>
          <w:szCs w:val="20"/>
        </w:rPr>
        <w:t>uredba).</w:t>
      </w:r>
      <w:r w:rsidRPr="005B1C7D">
        <w:rPr>
          <w:rStyle w:val="Sprotnaopomba-sklic"/>
          <w:rFonts w:cs="Arial"/>
          <w:szCs w:val="20"/>
        </w:rPr>
        <w:footnoteReference w:id="10"/>
      </w:r>
      <w:r w:rsidRPr="005B1C7D">
        <w:rPr>
          <w:rFonts w:cs="Arial"/>
          <w:szCs w:val="20"/>
        </w:rPr>
        <w:t xml:space="preserve"> </w:t>
      </w:r>
      <w:r w:rsidRPr="005B1C7D">
        <w:t>Ta uredba ureja tudi plače funkcionarjev, ki so napoteni na delo v tujino in jim funkcija v skladu z zakonom med napotitvijo miruje, ter plače in druge prejemke državnih tožilcev, imenovani</w:t>
      </w:r>
      <w:r w:rsidR="00294F11">
        <w:t>h</w:t>
      </w:r>
      <w:r w:rsidRPr="005B1C7D">
        <w:t xml:space="preserve"> za nacionalnega predstavnika, namestnika in pomočnika nacionalnega predstavnika v </w:t>
      </w:r>
      <w:proofErr w:type="spellStart"/>
      <w:r w:rsidRPr="005B1C7D">
        <w:t>Eurojustu</w:t>
      </w:r>
      <w:proofErr w:type="spellEnd"/>
      <w:r w:rsidRPr="005B1C7D">
        <w:t xml:space="preserve">, za čas, ko funkcijo opravljajo v tujini. </w:t>
      </w:r>
    </w:p>
    <w:p w:rsidR="00AE2155" w:rsidRPr="005B1C7D" w:rsidRDefault="00AE2155" w:rsidP="00B644CC">
      <w:pPr>
        <w:spacing w:line="288" w:lineRule="auto"/>
        <w:jc w:val="both"/>
      </w:pPr>
    </w:p>
    <w:p w:rsidR="00AE2155" w:rsidRPr="005B1C7D" w:rsidRDefault="00AE2155" w:rsidP="00B644CC">
      <w:pPr>
        <w:spacing w:line="288" w:lineRule="auto"/>
        <w:jc w:val="both"/>
      </w:pPr>
      <w:r w:rsidRPr="005B1C7D">
        <w:lastRenderedPageBreak/>
        <w:t xml:space="preserve">Osnova za izračun plače za delo v tujini je določena z nominalno osnovo za delo v tujini, ki je za posamezno funkcijo, delovno mesto oziroma naziv za delo v tujini določena v prilogi 4 te uredbe (7. člen uredbe). Vrednosti stopenj nominalnih osnov so določene v prilogi 1, ki je sestavni del te uredbe. Plače funkcionarjev, ki so napoteni na delo v tujino ter jim v skladu z zakonom v času napotitve funkcija miruje, se določijo glede na delovna mesta iz priloge 4 pod šiframi TA17001, TA17002 ali TA17003 (napoteni vrhovni sodnik ali vrhovni državni tožilec oziroma napoteni višji sodnik ali višji državni tožilec ter drugi napoteni funkcionarji v pravosodnih organih). </w:t>
      </w:r>
    </w:p>
    <w:p w:rsidR="00AE2155" w:rsidRPr="005B1C7D" w:rsidRDefault="00AE2155" w:rsidP="00B644CC">
      <w:pPr>
        <w:spacing w:line="288" w:lineRule="auto"/>
        <w:jc w:val="both"/>
      </w:pPr>
    </w:p>
    <w:p w:rsidR="00AE2155" w:rsidRPr="005B1C7D" w:rsidRDefault="00AE2155" w:rsidP="00B644CC">
      <w:pPr>
        <w:spacing w:line="288" w:lineRule="auto"/>
        <w:jc w:val="both"/>
      </w:pPr>
      <w:r w:rsidRPr="005B1C7D">
        <w:t xml:space="preserve">Nekoliko drugače pa uredba določa plače in druge prejemke državnih tožilcev, ki so imenovani za nacionalnega predstavnika, namestnika in pomočnika nacionalnega predstavnika v </w:t>
      </w:r>
      <w:proofErr w:type="spellStart"/>
      <w:r w:rsidRPr="005B1C7D">
        <w:t>Eurojustu</w:t>
      </w:r>
      <w:proofErr w:type="spellEnd"/>
      <w:r w:rsidRPr="005B1C7D">
        <w:t>, za čas, ko funkcijo opravljajo v tujini. V tem času je osnova za izračun njihove plače določena s stopnjo nominalne osnove za delo v tujini, ki je za nacionalnega predstavnika, njegovega namestnika in pomočnika fiksno določena v prilogi 4 pod šifro delovnega mesta TA17004, TA17005 in TA17006. Poleg tega so v tem času upravičeni do zneska, ki ustreza višini akontacije dohodnine</w:t>
      </w:r>
      <w:r w:rsidR="00294F11">
        <w:t>,</w:t>
      </w:r>
      <w:r w:rsidRPr="005B1C7D">
        <w:t xml:space="preserve"> in prispevkov delojemalca za socialno varnost, obračunanih od plače za delo v Republiki Sloveniji (4. člen uredbe).</w:t>
      </w:r>
    </w:p>
    <w:p w:rsidR="00AE2155" w:rsidRPr="00115F14" w:rsidRDefault="00AE2155" w:rsidP="00B644CC">
      <w:pPr>
        <w:spacing w:line="288" w:lineRule="auto"/>
        <w:jc w:val="both"/>
        <w:rPr>
          <w:rFonts w:cs="Arial"/>
        </w:rPr>
      </w:pPr>
    </w:p>
    <w:p w:rsidR="00AE2155" w:rsidRPr="00115F14" w:rsidRDefault="00AE2155" w:rsidP="00B644CC">
      <w:pPr>
        <w:spacing w:line="288" w:lineRule="auto"/>
        <w:jc w:val="both"/>
        <w:rPr>
          <w:rFonts w:cs="Arial"/>
          <w:szCs w:val="22"/>
        </w:rPr>
      </w:pPr>
      <w:r w:rsidRPr="00115F14">
        <w:rPr>
          <w:rFonts w:cs="Arial"/>
        </w:rPr>
        <w:t xml:space="preserve">Veljavna ureditev, ki ureja imenovanje </w:t>
      </w:r>
      <w:r w:rsidR="00294F11" w:rsidRPr="00B54E8A">
        <w:rPr>
          <w:rFonts w:cs="Arial"/>
          <w:i/>
          <w:iCs/>
        </w:rPr>
        <w:t>ex lege</w:t>
      </w:r>
      <w:r w:rsidR="00294F11" w:rsidRPr="00115F14">
        <w:rPr>
          <w:rFonts w:cs="Arial"/>
        </w:rPr>
        <w:t xml:space="preserve"> </w:t>
      </w:r>
      <w:r w:rsidRPr="00115F14">
        <w:rPr>
          <w:rFonts w:cs="Arial"/>
        </w:rPr>
        <w:t xml:space="preserve">v višji naziv za člane </w:t>
      </w:r>
      <w:proofErr w:type="spellStart"/>
      <w:r w:rsidRPr="00115F14">
        <w:rPr>
          <w:rFonts w:cs="Arial"/>
        </w:rPr>
        <w:t>E</w:t>
      </w:r>
      <w:r w:rsidR="00D00563">
        <w:rPr>
          <w:rFonts w:cs="Arial"/>
        </w:rPr>
        <w:t>urojust</w:t>
      </w:r>
      <w:r w:rsidR="00294F11">
        <w:rPr>
          <w:rFonts w:cs="Arial"/>
        </w:rPr>
        <w:t>a</w:t>
      </w:r>
      <w:proofErr w:type="spellEnd"/>
      <w:r w:rsidRPr="00115F14">
        <w:rPr>
          <w:rFonts w:cs="Arial"/>
        </w:rPr>
        <w:t xml:space="preserve"> je sistemsko neustrezna tudi v razmerju do </w:t>
      </w:r>
      <w:r w:rsidR="00294F11">
        <w:rPr>
          <w:rFonts w:cs="Arial"/>
        </w:rPr>
        <w:t>drugih</w:t>
      </w:r>
      <w:r w:rsidRPr="00115F14">
        <w:rPr>
          <w:rFonts w:cs="Arial"/>
        </w:rPr>
        <w:t xml:space="preserve"> imenovanj v organe Evropske unije, kjer bodo državni tožilci </w:t>
      </w:r>
      <w:r w:rsidR="00294F11">
        <w:rPr>
          <w:rFonts w:cs="Arial"/>
        </w:rPr>
        <w:t>drugače</w:t>
      </w:r>
      <w:r w:rsidRPr="00115F14">
        <w:rPr>
          <w:rFonts w:cs="Arial"/>
        </w:rPr>
        <w:t xml:space="preserve"> od državnih tožilcev v </w:t>
      </w:r>
      <w:proofErr w:type="spellStart"/>
      <w:r w:rsidRPr="00115F14">
        <w:rPr>
          <w:rFonts w:cs="Arial"/>
        </w:rPr>
        <w:t>E</w:t>
      </w:r>
      <w:r w:rsidR="00D00563">
        <w:rPr>
          <w:rFonts w:cs="Arial"/>
        </w:rPr>
        <w:t>urojust</w:t>
      </w:r>
      <w:r w:rsidR="00294F11">
        <w:rPr>
          <w:rFonts w:cs="Arial"/>
        </w:rPr>
        <w:t>u</w:t>
      </w:r>
      <w:proofErr w:type="spellEnd"/>
      <w:r w:rsidR="00083264">
        <w:rPr>
          <w:rFonts w:cs="Arial"/>
        </w:rPr>
        <w:t xml:space="preserve">, katerega </w:t>
      </w:r>
      <w:r w:rsidR="00294F11">
        <w:rPr>
          <w:rFonts w:cs="Arial"/>
        </w:rPr>
        <w:t xml:space="preserve">osrednja </w:t>
      </w:r>
      <w:r w:rsidR="00083264">
        <w:rPr>
          <w:rFonts w:cs="Arial"/>
        </w:rPr>
        <w:t xml:space="preserve">naloga je </w:t>
      </w:r>
      <w:r w:rsidR="00D00563">
        <w:rPr>
          <w:rFonts w:cs="Arial"/>
        </w:rPr>
        <w:t>krepitev usklajevanja in sodelovanja organov</w:t>
      </w:r>
      <w:r w:rsidR="00294F11">
        <w:rPr>
          <w:rFonts w:cs="Arial"/>
        </w:rPr>
        <w:t xml:space="preserve"> držav članic</w:t>
      </w:r>
      <w:r w:rsidR="00D00563">
        <w:rPr>
          <w:rFonts w:cs="Arial"/>
        </w:rPr>
        <w:t>, pristojnih za preiskovanje in pregon, v zvezi s hudimi kaznivimi dejanji s čezmejn</w:t>
      </w:r>
      <w:r w:rsidR="00070EAD">
        <w:rPr>
          <w:rFonts w:cs="Arial"/>
        </w:rPr>
        <w:t>o razsežnostjo</w:t>
      </w:r>
      <w:r w:rsidR="00D00563">
        <w:rPr>
          <w:rFonts w:cs="Arial"/>
        </w:rPr>
        <w:t>,</w:t>
      </w:r>
      <w:r w:rsidRPr="00115F14">
        <w:rPr>
          <w:rFonts w:cs="Arial"/>
        </w:rPr>
        <w:t xml:space="preserve"> kariero gradili z izvajanjem temeljne tožilske funkcije, to je pregona storilcev kaznivih dejanj. Tako tudi z zadnjo novelo </w:t>
      </w:r>
      <w:r w:rsidR="00D00563">
        <w:rPr>
          <w:rFonts w:cs="Arial"/>
        </w:rPr>
        <w:t xml:space="preserve">tega zakona </w:t>
      </w:r>
      <w:r w:rsidRPr="00115F14">
        <w:rPr>
          <w:rFonts w:cs="Arial"/>
        </w:rPr>
        <w:t xml:space="preserve">(ZDT-1C) za evropskega tožilca ni bila predvidena možnosti napredovanja </w:t>
      </w:r>
      <w:r w:rsidR="00070EAD" w:rsidRPr="00115F14">
        <w:rPr>
          <w:rFonts w:cs="Arial"/>
          <w:i/>
          <w:iCs/>
        </w:rPr>
        <w:t>ex lege</w:t>
      </w:r>
      <w:r w:rsidR="00070EAD" w:rsidRPr="00115F14">
        <w:rPr>
          <w:rFonts w:cs="Arial"/>
        </w:rPr>
        <w:t xml:space="preserve"> </w:t>
      </w:r>
      <w:r w:rsidRPr="00115F14">
        <w:rPr>
          <w:rFonts w:cs="Arial"/>
        </w:rPr>
        <w:t>v višji naziv tistih državnih tožilcev, ki bodo imenovani na funkcijo v Evropskem javnem tožilstvu.</w:t>
      </w:r>
    </w:p>
    <w:p w:rsidR="00AE2155" w:rsidRPr="00115F14" w:rsidRDefault="00AE2155" w:rsidP="00B644CC">
      <w:pPr>
        <w:spacing w:line="288" w:lineRule="auto"/>
        <w:jc w:val="both"/>
        <w:rPr>
          <w:rFonts w:cs="Arial"/>
          <w:szCs w:val="20"/>
        </w:rPr>
      </w:pPr>
    </w:p>
    <w:p w:rsidR="00AE2155" w:rsidRPr="00115F14" w:rsidRDefault="00AE2155" w:rsidP="00B644CC">
      <w:pPr>
        <w:spacing w:line="288" w:lineRule="auto"/>
        <w:jc w:val="both"/>
        <w:rPr>
          <w:rFonts w:cs="Arial"/>
          <w:szCs w:val="20"/>
        </w:rPr>
      </w:pPr>
      <w:bookmarkStart w:id="21" w:name="_Hlk33623723"/>
      <w:r w:rsidRPr="00115F14">
        <w:rPr>
          <w:rFonts w:cs="Arial"/>
          <w:szCs w:val="20"/>
        </w:rPr>
        <w:t>Pogoja, ki ga Uredba 2017/1939/EU določa za imenovanje nacionalnega predstavnika in namestnika (ustrezne delovne izkušnje na visoki ravni na področju kazenskih zadev) n</w:t>
      </w:r>
      <w:r w:rsidR="00070EAD">
        <w:rPr>
          <w:rFonts w:cs="Arial"/>
          <w:szCs w:val="20"/>
        </w:rPr>
        <w:t>e smemo e</w:t>
      </w:r>
      <w:r w:rsidRPr="00115F14">
        <w:rPr>
          <w:rFonts w:cs="Arial"/>
          <w:szCs w:val="20"/>
        </w:rPr>
        <w:t>načiti s pogojem, določen</w:t>
      </w:r>
      <w:r w:rsidR="00070EAD">
        <w:rPr>
          <w:rFonts w:cs="Arial"/>
          <w:szCs w:val="20"/>
        </w:rPr>
        <w:t>im</w:t>
      </w:r>
      <w:r w:rsidRPr="00115F14">
        <w:rPr>
          <w:rFonts w:cs="Arial"/>
          <w:szCs w:val="20"/>
        </w:rPr>
        <w:t xml:space="preserve"> za uvrstitev na listo kandidatov za imenovanje evropskega tožilca (potrebne kvalifikacije za imenovanje na visoko tožilsko funkcijo v svojih državah članicah ter</w:t>
      </w:r>
      <w:r>
        <w:rPr>
          <w:rFonts w:cs="Arial"/>
          <w:szCs w:val="20"/>
        </w:rPr>
        <w:t xml:space="preserve"> </w:t>
      </w:r>
      <w:r w:rsidRPr="00115F14">
        <w:rPr>
          <w:rFonts w:cs="Arial"/>
          <w:szCs w:val="20"/>
        </w:rPr>
        <w:t xml:space="preserve">ustrezne praktične izkušnje </w:t>
      </w:r>
      <w:r w:rsidR="00070EAD">
        <w:rPr>
          <w:rFonts w:cs="Arial"/>
          <w:szCs w:val="20"/>
        </w:rPr>
        <w:t xml:space="preserve">s </w:t>
      </w:r>
      <w:r w:rsidRPr="00115F14">
        <w:rPr>
          <w:rFonts w:cs="Arial"/>
          <w:szCs w:val="20"/>
        </w:rPr>
        <w:t>pravnimi sistemi</w:t>
      </w:r>
      <w:r w:rsidR="00070EAD">
        <w:rPr>
          <w:rFonts w:cs="Arial"/>
          <w:szCs w:val="20"/>
        </w:rPr>
        <w:t xml:space="preserve"> držav članic</w:t>
      </w:r>
      <w:r w:rsidRPr="00115F14">
        <w:rPr>
          <w:rFonts w:cs="Arial"/>
          <w:szCs w:val="20"/>
        </w:rPr>
        <w:t xml:space="preserve">, finančnimi preiskavami in mednarodnim pravosodnim sodelovanjem v kazenskih zadevah). Vse navedeno po mnenju predlagatelja opravičuje črtanje napredovanja </w:t>
      </w:r>
      <w:r w:rsidR="00070EAD" w:rsidRPr="00115F14">
        <w:rPr>
          <w:rFonts w:cs="Arial"/>
          <w:i/>
          <w:szCs w:val="20"/>
        </w:rPr>
        <w:t>ex lege</w:t>
      </w:r>
      <w:r w:rsidR="00070EAD" w:rsidRPr="00115F14">
        <w:rPr>
          <w:rFonts w:cs="Arial"/>
          <w:szCs w:val="20"/>
        </w:rPr>
        <w:t xml:space="preserve"> </w:t>
      </w:r>
      <w:r w:rsidRPr="00115F14">
        <w:rPr>
          <w:rFonts w:cs="Arial"/>
          <w:szCs w:val="20"/>
        </w:rPr>
        <w:t>tudi</w:t>
      </w:r>
      <w:r w:rsidR="00D00563">
        <w:rPr>
          <w:rFonts w:cs="Arial"/>
          <w:szCs w:val="20"/>
        </w:rPr>
        <w:t xml:space="preserve"> za</w:t>
      </w:r>
      <w:r w:rsidRPr="00115F14">
        <w:rPr>
          <w:rFonts w:cs="Arial"/>
          <w:szCs w:val="20"/>
        </w:rPr>
        <w:t xml:space="preserve"> nacionaln</w:t>
      </w:r>
      <w:r w:rsidR="00D00563">
        <w:rPr>
          <w:rFonts w:cs="Arial"/>
          <w:szCs w:val="20"/>
        </w:rPr>
        <w:t>ega</w:t>
      </w:r>
      <w:r w:rsidRPr="00115F14">
        <w:rPr>
          <w:rFonts w:cs="Arial"/>
          <w:szCs w:val="20"/>
        </w:rPr>
        <w:t xml:space="preserve"> predstavnik</w:t>
      </w:r>
      <w:r w:rsidR="00D00563">
        <w:rPr>
          <w:rFonts w:cs="Arial"/>
          <w:szCs w:val="20"/>
        </w:rPr>
        <w:t>a</w:t>
      </w:r>
      <w:r w:rsidRPr="00115F14">
        <w:rPr>
          <w:rFonts w:cs="Arial"/>
          <w:szCs w:val="20"/>
        </w:rPr>
        <w:t xml:space="preserve"> v </w:t>
      </w:r>
      <w:proofErr w:type="spellStart"/>
      <w:r w:rsidRPr="00115F14">
        <w:rPr>
          <w:rFonts w:cs="Arial"/>
          <w:szCs w:val="20"/>
        </w:rPr>
        <w:t>Eurojust</w:t>
      </w:r>
      <w:r>
        <w:rPr>
          <w:rFonts w:cs="Arial"/>
          <w:szCs w:val="20"/>
        </w:rPr>
        <w:t>u</w:t>
      </w:r>
      <w:proofErr w:type="spellEnd"/>
      <w:r w:rsidRPr="00115F14">
        <w:rPr>
          <w:rFonts w:cs="Arial"/>
          <w:szCs w:val="20"/>
        </w:rPr>
        <w:t>, njegove</w:t>
      </w:r>
      <w:r w:rsidR="00D00563">
        <w:rPr>
          <w:rFonts w:cs="Arial"/>
          <w:szCs w:val="20"/>
        </w:rPr>
        <w:t>ga</w:t>
      </w:r>
      <w:r w:rsidRPr="00115F14">
        <w:rPr>
          <w:rFonts w:cs="Arial"/>
          <w:szCs w:val="20"/>
        </w:rPr>
        <w:t xml:space="preserve"> namestnik</w:t>
      </w:r>
      <w:r w:rsidR="00D00563">
        <w:rPr>
          <w:rFonts w:cs="Arial"/>
          <w:szCs w:val="20"/>
        </w:rPr>
        <w:t>a</w:t>
      </w:r>
      <w:r w:rsidRPr="00115F14">
        <w:rPr>
          <w:rFonts w:cs="Arial"/>
          <w:szCs w:val="20"/>
        </w:rPr>
        <w:t xml:space="preserve"> in pomočnik</w:t>
      </w:r>
      <w:r w:rsidR="00D00563">
        <w:rPr>
          <w:rFonts w:cs="Arial"/>
          <w:szCs w:val="20"/>
        </w:rPr>
        <w:t>a</w:t>
      </w:r>
      <w:r w:rsidRPr="00115F14">
        <w:rPr>
          <w:rFonts w:cs="Arial"/>
          <w:szCs w:val="20"/>
        </w:rPr>
        <w:t>.</w:t>
      </w:r>
    </w:p>
    <w:p w:rsidR="0011486F" w:rsidRPr="00952421" w:rsidRDefault="0011486F" w:rsidP="0011486F">
      <w:pPr>
        <w:spacing w:line="288" w:lineRule="auto"/>
        <w:jc w:val="both"/>
      </w:pPr>
    </w:p>
    <w:p w:rsidR="00AE2155" w:rsidRPr="00115F14" w:rsidRDefault="00AE2155" w:rsidP="00B644CC">
      <w:pPr>
        <w:spacing w:line="288" w:lineRule="auto"/>
        <w:jc w:val="both"/>
        <w:rPr>
          <w:rFonts w:eastAsia="Calibri" w:cs="Arial"/>
          <w:szCs w:val="20"/>
        </w:rPr>
      </w:pPr>
      <w:r w:rsidRPr="00115F14">
        <w:rPr>
          <w:rFonts w:eastAsia="Calibri" w:cs="Arial"/>
          <w:szCs w:val="20"/>
        </w:rPr>
        <w:t xml:space="preserve">Predčasno prenehanje izvajanja pooblastil in strokovnih nalog nacionalnega predstavnika v </w:t>
      </w:r>
      <w:proofErr w:type="spellStart"/>
      <w:r w:rsidRPr="00115F14">
        <w:rPr>
          <w:rFonts w:eastAsia="Calibri" w:cs="Arial"/>
          <w:szCs w:val="20"/>
        </w:rPr>
        <w:t>Eurojustu</w:t>
      </w:r>
      <w:proofErr w:type="spellEnd"/>
      <w:r w:rsidRPr="00115F14">
        <w:rPr>
          <w:rFonts w:eastAsia="Calibri" w:cs="Arial"/>
          <w:szCs w:val="20"/>
        </w:rPr>
        <w:t xml:space="preserve"> Uredba 2018/1727/EU</w:t>
      </w:r>
      <w:r w:rsidR="00D00563">
        <w:rPr>
          <w:rFonts w:eastAsia="Calibri" w:cs="Arial"/>
          <w:szCs w:val="20"/>
        </w:rPr>
        <w:t xml:space="preserve"> v primerjav</w:t>
      </w:r>
      <w:r w:rsidR="00070EAD">
        <w:rPr>
          <w:rFonts w:eastAsia="Calibri" w:cs="Arial"/>
          <w:szCs w:val="20"/>
        </w:rPr>
        <w:t>i</w:t>
      </w:r>
      <w:r w:rsidR="00D00563">
        <w:rPr>
          <w:rFonts w:eastAsia="Calibri" w:cs="Arial"/>
          <w:szCs w:val="20"/>
        </w:rPr>
        <w:t xml:space="preserve"> s Sklepom </w:t>
      </w:r>
      <w:r w:rsidR="002701C1" w:rsidRPr="002701C1">
        <w:rPr>
          <w:rFonts w:eastAsia="Calibri" w:cs="Arial"/>
          <w:szCs w:val="20"/>
        </w:rPr>
        <w:t>S</w:t>
      </w:r>
      <w:r w:rsidR="002701C1">
        <w:rPr>
          <w:rFonts w:eastAsia="Calibri" w:cs="Arial"/>
          <w:szCs w:val="20"/>
        </w:rPr>
        <w:t>veta</w:t>
      </w:r>
      <w:r w:rsidR="002701C1" w:rsidRPr="002701C1">
        <w:rPr>
          <w:rFonts w:eastAsia="Calibri" w:cs="Arial"/>
          <w:szCs w:val="20"/>
        </w:rPr>
        <w:t xml:space="preserve"> 2009/426/PNZ</w:t>
      </w:r>
      <w:r w:rsidR="002701C1">
        <w:rPr>
          <w:rFonts w:eastAsia="Calibri" w:cs="Arial"/>
          <w:szCs w:val="20"/>
        </w:rPr>
        <w:t xml:space="preserve"> </w:t>
      </w:r>
      <w:r w:rsidR="002701C1" w:rsidRPr="002701C1">
        <w:rPr>
          <w:rFonts w:eastAsia="Calibri" w:cs="Arial"/>
          <w:szCs w:val="20"/>
        </w:rPr>
        <w:t>z dne 16. decembra 2008</w:t>
      </w:r>
      <w:r w:rsidR="002701C1">
        <w:rPr>
          <w:rFonts w:eastAsia="Calibri" w:cs="Arial"/>
          <w:szCs w:val="20"/>
        </w:rPr>
        <w:t xml:space="preserve"> </w:t>
      </w:r>
      <w:r w:rsidR="002701C1" w:rsidRPr="002701C1">
        <w:rPr>
          <w:rFonts w:eastAsia="Calibri" w:cs="Arial"/>
          <w:szCs w:val="20"/>
        </w:rPr>
        <w:t xml:space="preserve">o okrepitvi </w:t>
      </w:r>
      <w:proofErr w:type="spellStart"/>
      <w:r w:rsidR="002701C1" w:rsidRPr="002701C1">
        <w:rPr>
          <w:rFonts w:eastAsia="Calibri" w:cs="Arial"/>
          <w:szCs w:val="20"/>
        </w:rPr>
        <w:t>Eurojusta</w:t>
      </w:r>
      <w:proofErr w:type="spellEnd"/>
      <w:r w:rsidR="002701C1">
        <w:rPr>
          <w:rFonts w:eastAsia="Calibri" w:cs="Arial"/>
          <w:szCs w:val="20"/>
        </w:rPr>
        <w:t xml:space="preserve">, ki je spremenil </w:t>
      </w:r>
      <w:r w:rsidR="002701C1" w:rsidRPr="002701C1">
        <w:rPr>
          <w:rFonts w:eastAsia="Calibri" w:cs="Arial"/>
          <w:szCs w:val="20"/>
        </w:rPr>
        <w:t xml:space="preserve">Sklep 2002/187/PNZ o ustanovitvi </w:t>
      </w:r>
      <w:proofErr w:type="spellStart"/>
      <w:r w:rsidR="002701C1" w:rsidRPr="002701C1">
        <w:rPr>
          <w:rFonts w:eastAsia="Calibri" w:cs="Arial"/>
          <w:szCs w:val="20"/>
        </w:rPr>
        <w:t>Eurojusta</w:t>
      </w:r>
      <w:proofErr w:type="spellEnd"/>
      <w:r w:rsidR="002701C1">
        <w:rPr>
          <w:rFonts w:eastAsia="Calibri" w:cs="Arial"/>
          <w:szCs w:val="20"/>
        </w:rPr>
        <w:t>,</w:t>
      </w:r>
      <w:r w:rsidR="002701C1" w:rsidRPr="002701C1">
        <w:rPr>
          <w:rFonts w:eastAsia="Calibri" w:cs="Arial"/>
          <w:szCs w:val="20"/>
        </w:rPr>
        <w:t xml:space="preserve"> </w:t>
      </w:r>
      <w:r w:rsidRPr="00115F14">
        <w:rPr>
          <w:rFonts w:eastAsia="Calibri" w:cs="Arial"/>
          <w:szCs w:val="20"/>
        </w:rPr>
        <w:t xml:space="preserve">ne ureja, zato se s predlogom zakona </w:t>
      </w:r>
      <w:r w:rsidR="00070EAD">
        <w:rPr>
          <w:rFonts w:eastAsia="Calibri" w:cs="Arial"/>
          <w:szCs w:val="20"/>
        </w:rPr>
        <w:t>določajo razlogi za</w:t>
      </w:r>
      <w:r w:rsidRPr="00115F14">
        <w:rPr>
          <w:rFonts w:eastAsia="Calibri" w:cs="Arial"/>
          <w:szCs w:val="20"/>
        </w:rPr>
        <w:t xml:space="preserve"> </w:t>
      </w:r>
      <w:r w:rsidR="00070EAD">
        <w:rPr>
          <w:rFonts w:eastAsia="Calibri" w:cs="Arial"/>
          <w:szCs w:val="20"/>
        </w:rPr>
        <w:t xml:space="preserve">prenehanje mandata </w:t>
      </w:r>
      <w:r w:rsidRPr="00115F14">
        <w:rPr>
          <w:rFonts w:eastAsia="Calibri" w:cs="Arial"/>
          <w:szCs w:val="20"/>
        </w:rPr>
        <w:t xml:space="preserve">nacionalnega </w:t>
      </w:r>
      <w:r w:rsidR="00070EAD">
        <w:rPr>
          <w:rFonts w:eastAsia="Calibri" w:cs="Arial"/>
          <w:szCs w:val="20"/>
        </w:rPr>
        <w:t>član</w:t>
      </w:r>
      <w:r w:rsidRPr="00115F14">
        <w:rPr>
          <w:rFonts w:eastAsia="Calibri" w:cs="Arial"/>
          <w:szCs w:val="20"/>
        </w:rPr>
        <w:t xml:space="preserve"> pred potekom dobe, za katero je imenovan.</w:t>
      </w:r>
    </w:p>
    <w:bookmarkEnd w:id="21"/>
    <w:p w:rsidR="00AE2155" w:rsidRPr="00115F14" w:rsidRDefault="00AE2155" w:rsidP="00B644CC">
      <w:pPr>
        <w:pStyle w:val="Odstavekseznama"/>
        <w:ind w:left="0"/>
        <w:rPr>
          <w:rFonts w:cs="Arial"/>
        </w:rPr>
      </w:pPr>
    </w:p>
    <w:p w:rsidR="00AE2155" w:rsidRPr="00115F14" w:rsidRDefault="00AE2155" w:rsidP="00503ED9">
      <w:pPr>
        <w:pStyle w:val="rkovnatokazaodstavkom"/>
        <w:numPr>
          <w:ilvl w:val="0"/>
          <w:numId w:val="0"/>
        </w:numPr>
        <w:spacing w:line="288" w:lineRule="auto"/>
        <w:rPr>
          <w:rFonts w:cs="Arial"/>
          <w:b/>
        </w:rPr>
      </w:pPr>
      <w:r w:rsidRPr="00115F14">
        <w:rPr>
          <w:rFonts w:cs="Arial"/>
          <w:b/>
        </w:rPr>
        <w:t>2.3.2 Dežurna služba državnega tožilstva</w:t>
      </w:r>
    </w:p>
    <w:p w:rsidR="00AE2155" w:rsidRPr="00115F14" w:rsidRDefault="00AE2155" w:rsidP="00B644CC">
      <w:pPr>
        <w:pStyle w:val="rkovnatokazaodstavkom"/>
        <w:numPr>
          <w:ilvl w:val="0"/>
          <w:numId w:val="0"/>
        </w:numPr>
        <w:spacing w:line="288" w:lineRule="auto"/>
        <w:rPr>
          <w:rFonts w:cs="Arial"/>
        </w:rPr>
      </w:pPr>
    </w:p>
    <w:p w:rsidR="00AE2155" w:rsidRPr="00115F14" w:rsidRDefault="00545C89" w:rsidP="00B644CC">
      <w:pPr>
        <w:pStyle w:val="rkovnatokazaodstavkom"/>
        <w:numPr>
          <w:ilvl w:val="0"/>
          <w:numId w:val="0"/>
        </w:numPr>
        <w:spacing w:line="288" w:lineRule="auto"/>
        <w:rPr>
          <w:rFonts w:cs="Arial"/>
        </w:rPr>
      </w:pPr>
      <w:r>
        <w:rPr>
          <w:rFonts w:cs="Arial"/>
        </w:rPr>
        <w:t xml:space="preserve">Izven </w:t>
      </w:r>
      <w:r w:rsidR="00AE2155" w:rsidRPr="00115F14">
        <w:rPr>
          <w:rFonts w:cs="Arial"/>
        </w:rPr>
        <w:t xml:space="preserve">poslovnega časa državnega tožilstva se za sodelovanje državnega tožilstva s policijo ter drugimi pristojnimi državnimi organi v predkazenskem postopku, ki obsega medsebojno obveščanje in usmerjanje predkazenskega postopka, za zagotovitev udeležbe pri nujnih procesnih dejanjih in drugih opravilih predkazenskega ali kazenskega postopka ter za druga nujna dejanja v predkazenskem postopku organizira dežurna služba. </w:t>
      </w:r>
    </w:p>
    <w:p w:rsidR="00AE2155" w:rsidRPr="00115F14" w:rsidRDefault="00AE2155" w:rsidP="00B644CC">
      <w:pPr>
        <w:pStyle w:val="rkovnatokazaodstavkom"/>
        <w:numPr>
          <w:ilvl w:val="0"/>
          <w:numId w:val="0"/>
        </w:numPr>
        <w:spacing w:line="288" w:lineRule="auto"/>
        <w:rPr>
          <w:rFonts w:cs="Arial"/>
        </w:rPr>
      </w:pPr>
    </w:p>
    <w:p w:rsidR="00AE2155" w:rsidRPr="00115F14" w:rsidRDefault="00AE2155" w:rsidP="00B644CC">
      <w:pPr>
        <w:pStyle w:val="rkovnatokazaodstavkom"/>
        <w:numPr>
          <w:ilvl w:val="0"/>
          <w:numId w:val="0"/>
        </w:numPr>
        <w:spacing w:line="288" w:lineRule="auto"/>
        <w:rPr>
          <w:rFonts w:cs="Arial"/>
        </w:rPr>
      </w:pPr>
      <w:r w:rsidRPr="00115F14">
        <w:rPr>
          <w:rFonts w:cs="Arial"/>
        </w:rPr>
        <w:lastRenderedPageBreak/>
        <w:t>Pri izvajanju nujnih procesnih dejanj ima državni tožilec zlasti naloge, povezane z izvajanjem aktivnosti in navzočnost</w:t>
      </w:r>
      <w:r w:rsidR="00545C89">
        <w:rPr>
          <w:rFonts w:cs="Arial"/>
        </w:rPr>
        <w:t>jo</w:t>
      </w:r>
      <w:r w:rsidRPr="00115F14">
        <w:rPr>
          <w:rFonts w:cs="Arial"/>
        </w:rPr>
        <w:t xml:space="preserve"> na kraju opravljanja nujnih procesnih dejanj </w:t>
      </w:r>
      <w:r w:rsidR="00545C89">
        <w:rPr>
          <w:rFonts w:cs="Arial"/>
        </w:rPr>
        <w:t>ter</w:t>
      </w:r>
      <w:r w:rsidRPr="00115F14">
        <w:rPr>
          <w:rFonts w:cs="Arial"/>
        </w:rPr>
        <w:t xml:space="preserve"> drugih nujnih opravil, z ogledi in zaslišanji, usmerjanjem predkazenskega postopka, usmerjanjem policije, odgovarjanje</w:t>
      </w:r>
      <w:r w:rsidR="00545C89">
        <w:rPr>
          <w:rFonts w:cs="Arial"/>
        </w:rPr>
        <w:t>m</w:t>
      </w:r>
      <w:r w:rsidRPr="00115F14">
        <w:rPr>
          <w:rFonts w:cs="Arial"/>
        </w:rPr>
        <w:t xml:space="preserve"> na pozive policije z obveznimi</w:t>
      </w:r>
      <w:r>
        <w:rPr>
          <w:rFonts w:cs="Arial"/>
        </w:rPr>
        <w:t xml:space="preserve"> </w:t>
      </w:r>
      <w:r w:rsidRPr="00115F14">
        <w:rPr>
          <w:rFonts w:cs="Arial"/>
        </w:rPr>
        <w:t>navodili, strokovnimi mnenji in predlogi za zbiranje obvestil in drugih ukrepov, za katere je pristojna</w:t>
      </w:r>
      <w:r>
        <w:rPr>
          <w:rFonts w:cs="Arial"/>
        </w:rPr>
        <w:t xml:space="preserve"> </w:t>
      </w:r>
      <w:r w:rsidRPr="00115F14">
        <w:rPr>
          <w:rFonts w:cs="Arial"/>
        </w:rPr>
        <w:t>policija, z namenom, da se odkrijeta kaznivo dejanje in storilec, sprejemanjem obvestil policije glede zaslišanj osumljencev, na katerih je državni tožilec lahko navzoč, dajanjem navodil policiji, ko prejme obvestilo policije o odvzemu prostosti oseb, sprejemanjem obvestil policije o privedbi osumljenca pred preiskovalnega sodnika zaradi podanih</w:t>
      </w:r>
      <w:r>
        <w:rPr>
          <w:rFonts w:cs="Arial"/>
        </w:rPr>
        <w:t xml:space="preserve"> </w:t>
      </w:r>
      <w:r w:rsidRPr="00115F14">
        <w:rPr>
          <w:rFonts w:cs="Arial"/>
        </w:rPr>
        <w:t>pripornih razlogov, sprejemanjem obvestil policije v primerih, ko ta zaseže predmete, opravi hišno in osebno preiskavo ter</w:t>
      </w:r>
      <w:r>
        <w:rPr>
          <w:rFonts w:cs="Arial"/>
        </w:rPr>
        <w:t xml:space="preserve"> z</w:t>
      </w:r>
      <w:r w:rsidRPr="00115F14">
        <w:rPr>
          <w:rFonts w:cs="Arial"/>
        </w:rPr>
        <w:t xml:space="preserve"> odreditvijo izvedenskega dela.</w:t>
      </w:r>
    </w:p>
    <w:p w:rsidR="00AE2155" w:rsidRPr="00115F14" w:rsidRDefault="00AE2155" w:rsidP="00B644CC">
      <w:pPr>
        <w:pStyle w:val="rkovnatokazaodstavkom"/>
        <w:numPr>
          <w:ilvl w:val="0"/>
          <w:numId w:val="0"/>
        </w:numPr>
        <w:spacing w:line="288" w:lineRule="auto"/>
        <w:rPr>
          <w:rFonts w:cs="Arial"/>
        </w:rPr>
      </w:pPr>
    </w:p>
    <w:p w:rsidR="00AE2155" w:rsidRPr="00115F14" w:rsidRDefault="00AE2155" w:rsidP="00B644CC">
      <w:pPr>
        <w:pStyle w:val="rkovnatokazaodstavkom"/>
        <w:numPr>
          <w:ilvl w:val="0"/>
          <w:numId w:val="0"/>
        </w:numPr>
        <w:spacing w:line="288" w:lineRule="auto"/>
        <w:rPr>
          <w:rFonts w:cs="Arial"/>
        </w:rPr>
      </w:pPr>
      <w:r w:rsidRPr="00115F14">
        <w:rPr>
          <w:rFonts w:cs="Arial"/>
        </w:rPr>
        <w:t xml:space="preserve">Postopek, </w:t>
      </w:r>
      <w:r w:rsidR="00545C89">
        <w:rPr>
          <w:rFonts w:cs="Arial"/>
        </w:rPr>
        <w:t>časovne zamejitve</w:t>
      </w:r>
      <w:r w:rsidRPr="00115F14">
        <w:rPr>
          <w:rFonts w:cs="Arial"/>
        </w:rPr>
        <w:t xml:space="preserve"> in način usmerjanja </w:t>
      </w:r>
      <w:r>
        <w:rPr>
          <w:rFonts w:cs="Arial"/>
        </w:rPr>
        <w:t>ter</w:t>
      </w:r>
      <w:r w:rsidRPr="00115F14">
        <w:rPr>
          <w:rFonts w:cs="Arial"/>
        </w:rPr>
        <w:t xml:space="preserve"> obveščanja med državnimi tožilstvi in policijo je na podlagi</w:t>
      </w:r>
      <w:r>
        <w:rPr>
          <w:rFonts w:cs="Arial"/>
        </w:rPr>
        <w:t xml:space="preserve"> </w:t>
      </w:r>
      <w:r w:rsidRPr="00115F14">
        <w:rPr>
          <w:rFonts w:cs="Arial"/>
        </w:rPr>
        <w:t>160.a člena Zakona o kazenskem postopku</w:t>
      </w:r>
      <w:r w:rsidRPr="00115F14">
        <w:rPr>
          <w:rStyle w:val="Sprotnaopomba-sklic"/>
          <w:rFonts w:cs="Arial"/>
        </w:rPr>
        <w:footnoteReference w:id="11"/>
      </w:r>
      <w:r>
        <w:rPr>
          <w:rFonts w:cs="Arial"/>
        </w:rPr>
        <w:t xml:space="preserve"> </w:t>
      </w:r>
      <w:r w:rsidRPr="00115F14">
        <w:rPr>
          <w:rFonts w:cs="Arial"/>
        </w:rPr>
        <w:t>predpisala Vlada Republike Slovenije z Uredbo o sodelovanju državnega tožilstva,</w:t>
      </w:r>
      <w:r>
        <w:rPr>
          <w:rFonts w:cs="Arial"/>
        </w:rPr>
        <w:t xml:space="preserve"> </w:t>
      </w:r>
      <w:r w:rsidRPr="00115F14">
        <w:rPr>
          <w:rFonts w:cs="Arial"/>
        </w:rPr>
        <w:t>policije in drugih pristojnih državnih organov in institucij pri odkrivanju in pregonu storilcev kaznivih dejanj</w:t>
      </w:r>
      <w:r>
        <w:rPr>
          <w:rFonts w:cs="Arial"/>
        </w:rPr>
        <w:t xml:space="preserve"> </w:t>
      </w:r>
      <w:r w:rsidRPr="00115F14">
        <w:rPr>
          <w:rFonts w:cs="Arial"/>
        </w:rPr>
        <w:t>ter delovanju specializiranih in skupnih preiskovalnih skupin</w:t>
      </w:r>
      <w:r w:rsidR="00545C89">
        <w:rPr>
          <w:rFonts w:cs="Arial"/>
        </w:rPr>
        <w:t>.</w:t>
      </w:r>
      <w:r w:rsidRPr="00115F14">
        <w:rPr>
          <w:rStyle w:val="Sprotnaopomba-sklic"/>
          <w:rFonts w:cs="Arial"/>
        </w:rPr>
        <w:footnoteReference w:id="12"/>
      </w:r>
      <w:r w:rsidRPr="00115F14">
        <w:rPr>
          <w:rFonts w:cs="Arial"/>
        </w:rPr>
        <w:t xml:space="preserve"> </w:t>
      </w:r>
    </w:p>
    <w:p w:rsidR="00AE2155" w:rsidRPr="00115F14" w:rsidRDefault="00AE2155" w:rsidP="00B644CC">
      <w:pPr>
        <w:pStyle w:val="rkovnatokazaodstavkom"/>
        <w:numPr>
          <w:ilvl w:val="0"/>
          <w:numId w:val="0"/>
        </w:numPr>
        <w:spacing w:line="288" w:lineRule="auto"/>
        <w:rPr>
          <w:rFonts w:cs="Arial"/>
        </w:rPr>
      </w:pPr>
    </w:p>
    <w:p w:rsidR="00AE2155" w:rsidRDefault="00AE2155" w:rsidP="00B644CC">
      <w:pPr>
        <w:pStyle w:val="rkovnatokazaodstavkom"/>
        <w:numPr>
          <w:ilvl w:val="0"/>
          <w:numId w:val="0"/>
        </w:numPr>
        <w:spacing w:line="288" w:lineRule="auto"/>
      </w:pPr>
      <w:r w:rsidRPr="00115F14">
        <w:t>Pravice in obveznosti državnih tožilcev, ki opravljajo nujna procesna dejanja</w:t>
      </w:r>
      <w:r w:rsidR="00545C89">
        <w:t>,</w:t>
      </w:r>
      <w:r w:rsidRPr="00115F14">
        <w:t xml:space="preserve"> določa</w:t>
      </w:r>
      <w:r>
        <w:t xml:space="preserve"> </w:t>
      </w:r>
      <w:r w:rsidRPr="00115F14">
        <w:t xml:space="preserve">ZDT-1.  Državni tožilci opravljajo </w:t>
      </w:r>
      <w:proofErr w:type="spellStart"/>
      <w:r w:rsidRPr="00115F14">
        <w:t>državnotožilsko</w:t>
      </w:r>
      <w:proofErr w:type="spellEnd"/>
      <w:r w:rsidRPr="00115F14">
        <w:t xml:space="preserve"> službo v poslovnem času državnega tožilstva, določenem v </w:t>
      </w:r>
      <w:proofErr w:type="spellStart"/>
      <w:r w:rsidRPr="00115F14">
        <w:t>Državnotožilskem</w:t>
      </w:r>
      <w:proofErr w:type="spellEnd"/>
      <w:r w:rsidRPr="00115F14">
        <w:t xml:space="preserve"> redu, v dežurstvu in pripravljenosti. V izjemnih primerih lahko državni tožilec pisno soglaša, da bo opravljanje </w:t>
      </w:r>
      <w:proofErr w:type="spellStart"/>
      <w:r w:rsidRPr="00115F14">
        <w:t>državnotožilske</w:t>
      </w:r>
      <w:proofErr w:type="spellEnd"/>
      <w:r w:rsidRPr="00115F14">
        <w:t xml:space="preserve"> službe preseglo omejitve, ki izhajajo iz pravice do dnevnega in tedenskega počitka. S pripravljenostjo in dežurstvom izven poslovnega časa državnega tožilstva se zagotavlja</w:t>
      </w:r>
      <w:r w:rsidR="00545C89">
        <w:t>ta</w:t>
      </w:r>
      <w:r w:rsidRPr="00115F14">
        <w:t xml:space="preserve"> opravljanje nujnih procesnih dejanj, določenih v zakonu, ter usmerjanje policije in drugih pristojnih organov v predkazenskem postopku. Dodatno je v </w:t>
      </w:r>
      <w:proofErr w:type="spellStart"/>
      <w:r w:rsidRPr="00115F14">
        <w:t>Državnotožilskem</w:t>
      </w:r>
      <w:proofErr w:type="spellEnd"/>
      <w:r w:rsidRPr="00115F14">
        <w:t xml:space="preserve"> redu urejeno, da se pri okrožnih državnih tožilstvih za usmerjanje predkazenskega postopka, zagotovitev udeležbe pri procesnih dejanjih in drugih opravilih predkazenskega postopka ter za druga nujna dejanja organizira dežurna služba, tako da je zagotovljeno </w:t>
      </w:r>
      <w:proofErr w:type="spellStart"/>
      <w:r w:rsidRPr="00115F14">
        <w:t>državnotožilsko</w:t>
      </w:r>
      <w:proofErr w:type="spellEnd"/>
      <w:r w:rsidRPr="00115F14">
        <w:t xml:space="preserve"> delo ob delavnikih in praznikih ter dela prostih dnevih neprekinjeno 24 ur na dan. </w:t>
      </w:r>
    </w:p>
    <w:p w:rsidR="00730ABF" w:rsidRDefault="00730ABF" w:rsidP="00B644CC">
      <w:pPr>
        <w:pStyle w:val="rkovnatokazaodstavkom"/>
        <w:numPr>
          <w:ilvl w:val="0"/>
          <w:numId w:val="0"/>
        </w:numPr>
        <w:spacing w:line="288" w:lineRule="auto"/>
      </w:pPr>
    </w:p>
    <w:p w:rsidR="0055102A" w:rsidRDefault="00134E4C" w:rsidP="00B644CC">
      <w:pPr>
        <w:pStyle w:val="rkovnatokazaodstavkom"/>
        <w:numPr>
          <w:ilvl w:val="0"/>
          <w:numId w:val="0"/>
        </w:numPr>
        <w:spacing w:line="288" w:lineRule="auto"/>
        <w:rPr>
          <w:rFonts w:eastAsia="Calibri" w:cs="Arial"/>
        </w:rPr>
      </w:pPr>
      <w:r w:rsidRPr="00D2204A">
        <w:rPr>
          <w:rFonts w:eastAsia="Calibri" w:cs="Arial"/>
        </w:rPr>
        <w:t>Pripravljenost in dežurstv</w:t>
      </w:r>
      <w:r w:rsidR="00545C89">
        <w:rPr>
          <w:rFonts w:eastAsia="Calibri" w:cs="Arial"/>
        </w:rPr>
        <w:t>o</w:t>
      </w:r>
      <w:r w:rsidRPr="00D2204A">
        <w:rPr>
          <w:rFonts w:eastAsia="Calibri" w:cs="Arial"/>
        </w:rPr>
        <w:t xml:space="preserve"> državnih tožilcev </w:t>
      </w:r>
      <w:r>
        <w:rPr>
          <w:rFonts w:eastAsia="Calibri" w:cs="Arial"/>
        </w:rPr>
        <w:t xml:space="preserve">se </w:t>
      </w:r>
      <w:r w:rsidRPr="00D2204A">
        <w:rPr>
          <w:rFonts w:eastAsia="Calibri" w:cs="Arial"/>
        </w:rPr>
        <w:t xml:space="preserve">glede dejanskih aktivnosti, ki jih državni tožilec </w:t>
      </w:r>
      <w:r>
        <w:rPr>
          <w:rFonts w:eastAsia="Calibri" w:cs="Arial"/>
        </w:rPr>
        <w:t>v času pripravljenosti in času dežurstvu opravi, r</w:t>
      </w:r>
      <w:r w:rsidRPr="00D2204A">
        <w:rPr>
          <w:rFonts w:eastAsia="Calibri" w:cs="Arial"/>
        </w:rPr>
        <w:t>azlikujeta</w:t>
      </w:r>
      <w:r>
        <w:rPr>
          <w:rFonts w:eastAsia="Calibri" w:cs="Arial"/>
        </w:rPr>
        <w:t xml:space="preserve">. </w:t>
      </w:r>
      <w:r w:rsidRPr="00D2204A">
        <w:rPr>
          <w:rFonts w:eastAsia="Calibri" w:cs="Arial"/>
        </w:rPr>
        <w:t>Ker veljavna ureditev teh aktivnosti izrecno ne konkretizira</w:t>
      </w:r>
      <w:r w:rsidR="00DD7397">
        <w:rPr>
          <w:rFonts w:eastAsia="Calibri" w:cs="Arial"/>
        </w:rPr>
        <w:t>,</w:t>
      </w:r>
      <w:r w:rsidRPr="00D2204A">
        <w:rPr>
          <w:rFonts w:eastAsia="Calibri" w:cs="Arial"/>
        </w:rPr>
        <w:t xml:space="preserve"> se </w:t>
      </w:r>
      <w:r>
        <w:rPr>
          <w:rFonts w:eastAsia="Calibri" w:cs="Arial"/>
        </w:rPr>
        <w:t xml:space="preserve">predlaga </w:t>
      </w:r>
      <w:r w:rsidRPr="00D2204A">
        <w:rPr>
          <w:rFonts w:eastAsia="Calibri" w:cs="Arial"/>
        </w:rPr>
        <w:t>jasn</w:t>
      </w:r>
      <w:r>
        <w:rPr>
          <w:rFonts w:eastAsia="Calibri" w:cs="Arial"/>
        </w:rPr>
        <w:t>a</w:t>
      </w:r>
      <w:r w:rsidRPr="00D2204A">
        <w:rPr>
          <w:rFonts w:eastAsia="Calibri" w:cs="Arial"/>
        </w:rPr>
        <w:t xml:space="preserve"> razmejit</w:t>
      </w:r>
      <w:r>
        <w:rPr>
          <w:rFonts w:eastAsia="Calibri" w:cs="Arial"/>
        </w:rPr>
        <w:t>e</w:t>
      </w:r>
      <w:r w:rsidRPr="00D2204A">
        <w:rPr>
          <w:rFonts w:eastAsia="Calibri" w:cs="Arial"/>
        </w:rPr>
        <w:t>v aktivnosti, ki jih državni tožilec opravlja v pripravljenosti in dežurstv</w:t>
      </w:r>
      <w:r w:rsidR="00545C89">
        <w:rPr>
          <w:rFonts w:eastAsia="Calibri" w:cs="Arial"/>
        </w:rPr>
        <w:t>u</w:t>
      </w:r>
      <w:r w:rsidRPr="00D2204A">
        <w:rPr>
          <w:rFonts w:eastAsia="Calibri" w:cs="Arial"/>
        </w:rPr>
        <w:t>.</w:t>
      </w:r>
    </w:p>
    <w:p w:rsidR="00134E4C" w:rsidRDefault="00134E4C" w:rsidP="00B644CC">
      <w:pPr>
        <w:pStyle w:val="rkovnatokazaodstavkom"/>
        <w:numPr>
          <w:ilvl w:val="0"/>
          <w:numId w:val="0"/>
        </w:numPr>
        <w:spacing w:line="288" w:lineRule="auto"/>
      </w:pPr>
    </w:p>
    <w:p w:rsidR="00134E4C" w:rsidRPr="00115F14" w:rsidRDefault="00134E4C" w:rsidP="00B644CC">
      <w:pPr>
        <w:pStyle w:val="rkovnatokazaodstavkom"/>
        <w:numPr>
          <w:ilvl w:val="0"/>
          <w:numId w:val="0"/>
        </w:numPr>
        <w:spacing w:line="288" w:lineRule="auto"/>
      </w:pPr>
      <w:r>
        <w:rPr>
          <w:rFonts w:cs="Arial"/>
        </w:rPr>
        <w:t xml:space="preserve">Računsko sodišče je v revizijskem poročilu med drugim </w:t>
      </w:r>
      <w:r w:rsidR="00545C89">
        <w:rPr>
          <w:rFonts w:cs="Arial"/>
        </w:rPr>
        <w:t>poudarilo</w:t>
      </w:r>
      <w:r>
        <w:rPr>
          <w:rFonts w:cs="Arial"/>
        </w:rPr>
        <w:t xml:space="preserve">, da ZDT-1 ne določa posebnih pravic in dolžnosti </w:t>
      </w:r>
      <w:proofErr w:type="spellStart"/>
      <w:r>
        <w:rPr>
          <w:rFonts w:cs="Arial"/>
        </w:rPr>
        <w:t>državnotožilskega</w:t>
      </w:r>
      <w:proofErr w:type="spellEnd"/>
      <w:r>
        <w:rPr>
          <w:rFonts w:cs="Arial"/>
        </w:rPr>
        <w:t xml:space="preserve"> osebja, da opravljajo svoje delo tudi v dežurstvu in pripravljenosti, ko sodeluje pri izvajanju zagotavljanja nujnih procesnih dejanj izven poslovnega časa.</w:t>
      </w:r>
    </w:p>
    <w:p w:rsidR="00134E4C" w:rsidRDefault="00134E4C" w:rsidP="00B644CC">
      <w:pPr>
        <w:pStyle w:val="rkovnatokazaodstavkom"/>
        <w:numPr>
          <w:ilvl w:val="0"/>
          <w:numId w:val="0"/>
        </w:numPr>
        <w:spacing w:line="288" w:lineRule="auto"/>
        <w:rPr>
          <w:rFonts w:cs="Arial"/>
        </w:rPr>
      </w:pPr>
    </w:p>
    <w:p w:rsidR="00AE2155" w:rsidRDefault="00AE2155" w:rsidP="00B644CC">
      <w:pPr>
        <w:pStyle w:val="rkovnatokazaodstavkom"/>
        <w:numPr>
          <w:ilvl w:val="0"/>
          <w:numId w:val="0"/>
        </w:numPr>
        <w:spacing w:line="288" w:lineRule="auto"/>
        <w:rPr>
          <w:rFonts w:cs="Arial"/>
        </w:rPr>
      </w:pPr>
      <w:r w:rsidRPr="00115F14">
        <w:rPr>
          <w:rFonts w:cs="Arial"/>
        </w:rPr>
        <w:t xml:space="preserve">S predlogom dopolnitve zakona se zato določa zakonska podlaga za sodelovanje </w:t>
      </w:r>
      <w:proofErr w:type="spellStart"/>
      <w:r w:rsidRPr="00115F14">
        <w:rPr>
          <w:rFonts w:cs="Arial"/>
        </w:rPr>
        <w:t>državnotožilskega</w:t>
      </w:r>
      <w:proofErr w:type="spellEnd"/>
      <w:r w:rsidRPr="00115F14">
        <w:rPr>
          <w:rFonts w:cs="Arial"/>
        </w:rPr>
        <w:t xml:space="preserve"> osebja pri opravljanju nujnih procesnih dejanj, katera primarno opravljajo državni tožilci in ustrezno plačilo za opravljeno delo z navezavo na sistemski predpis, ki enotno ureja podlage in postopek določitve plač ter dodatkov za celotni javni sektor, to je ZSPJS. </w:t>
      </w:r>
    </w:p>
    <w:p w:rsidR="00052C7C" w:rsidRDefault="00052C7C" w:rsidP="00052C7C">
      <w:pPr>
        <w:pStyle w:val="rkovnatokazaodstavkom"/>
        <w:numPr>
          <w:ilvl w:val="0"/>
          <w:numId w:val="0"/>
        </w:numPr>
        <w:spacing w:line="288" w:lineRule="auto"/>
        <w:rPr>
          <w:rFonts w:cs="Arial"/>
        </w:rPr>
      </w:pPr>
    </w:p>
    <w:p w:rsidR="00052C7C" w:rsidRDefault="00052C7C" w:rsidP="00052C7C">
      <w:pPr>
        <w:pStyle w:val="rkovnatokazaodstavkom"/>
        <w:numPr>
          <w:ilvl w:val="0"/>
          <w:numId w:val="0"/>
        </w:numPr>
        <w:spacing w:line="288" w:lineRule="auto"/>
      </w:pPr>
      <w:r w:rsidRPr="00115F14">
        <w:rPr>
          <w:rFonts w:cs="Arial"/>
        </w:rPr>
        <w:lastRenderedPageBreak/>
        <w:t xml:space="preserve">Po veljavni ureditvi </w:t>
      </w:r>
      <w:r w:rsidR="00545C89">
        <w:rPr>
          <w:rFonts w:cs="Arial"/>
        </w:rPr>
        <w:t xml:space="preserve">so </w:t>
      </w:r>
      <w:proofErr w:type="spellStart"/>
      <w:r w:rsidRPr="00115F14">
        <w:rPr>
          <w:rFonts w:cs="Arial"/>
        </w:rPr>
        <w:t>državnotožilsko</w:t>
      </w:r>
      <w:proofErr w:type="spellEnd"/>
      <w:r w:rsidRPr="00115F14">
        <w:rPr>
          <w:rFonts w:cs="Arial"/>
        </w:rPr>
        <w:t xml:space="preserve"> osebje javni uslužbenci, zaposleni pri državnih tožilstvih, in sicer: generalni direktor, direktorji, strokovni sodelavci, pripravniki in drugi javni uslužbenci državnega tožilstva. Število in vrste teh delovnih mest se določijo v skladu s predpisi, ki urejajo kadrovske načrte za pravosodne organe. Na podzakonski ravni </w:t>
      </w:r>
      <w:proofErr w:type="spellStart"/>
      <w:r w:rsidRPr="00115F14">
        <w:rPr>
          <w:rFonts w:cs="Arial"/>
        </w:rPr>
        <w:t>Državnotožilski</w:t>
      </w:r>
      <w:proofErr w:type="spellEnd"/>
      <w:r w:rsidRPr="00115F14">
        <w:rPr>
          <w:rFonts w:cs="Arial"/>
        </w:rPr>
        <w:t xml:space="preserve"> red</w:t>
      </w:r>
      <w:r w:rsidRPr="00115F14">
        <w:rPr>
          <w:rStyle w:val="Sprotnaopomba-sklic"/>
        </w:rPr>
        <w:footnoteReference w:id="13"/>
      </w:r>
      <w:r w:rsidRPr="00115F14">
        <w:rPr>
          <w:rFonts w:cs="Arial"/>
        </w:rPr>
        <w:t xml:space="preserve"> v 76. členu določa, da lahko </w:t>
      </w:r>
      <w:proofErr w:type="spellStart"/>
      <w:r w:rsidRPr="00115F14">
        <w:rPr>
          <w:rFonts w:cs="Arial"/>
        </w:rPr>
        <w:t>državnotožilsko</w:t>
      </w:r>
      <w:proofErr w:type="spellEnd"/>
      <w:r w:rsidRPr="00115F14">
        <w:rPr>
          <w:rFonts w:cs="Arial"/>
        </w:rPr>
        <w:t xml:space="preserve"> osebje sodeluje pri opravljanju nujnih procesnih dejanj, če to terjajo posebne okoliščine. V takšnem primeru </w:t>
      </w:r>
      <w:r w:rsidRPr="00115F14">
        <w:t xml:space="preserve">lahko vodja državnega tožilstva v razpored dežurstev določi tudi dodatno dežurstvo in pripravljenost </w:t>
      </w:r>
      <w:proofErr w:type="spellStart"/>
      <w:r w:rsidRPr="00115F14">
        <w:t>državnotožilskega</w:t>
      </w:r>
      <w:proofErr w:type="spellEnd"/>
      <w:r w:rsidRPr="00115F14">
        <w:t xml:space="preserve"> osebja upoštevajoč delovnopravno zakonodajo oziroma predpise o delovnem času po zakonu, ki ureja javne uslužbence. </w:t>
      </w:r>
      <w:proofErr w:type="spellStart"/>
      <w:r w:rsidRPr="00115F14">
        <w:t>Državnotožilski</w:t>
      </w:r>
      <w:proofErr w:type="spellEnd"/>
      <w:r w:rsidRPr="00115F14">
        <w:t xml:space="preserve"> red tudi določa, da se v Posebnem oddelku organizira dežurna služba za opravljanje policijskih nalog.</w:t>
      </w:r>
    </w:p>
    <w:p w:rsidR="00313CB9" w:rsidRDefault="00313CB9" w:rsidP="00B644CC">
      <w:pPr>
        <w:pStyle w:val="rkovnatokazaodstavkom"/>
        <w:numPr>
          <w:ilvl w:val="0"/>
          <w:numId w:val="0"/>
        </w:numPr>
        <w:spacing w:line="288" w:lineRule="auto"/>
        <w:rPr>
          <w:rFonts w:cs="Arial"/>
        </w:rPr>
      </w:pPr>
    </w:p>
    <w:p w:rsidR="00AE2155" w:rsidRPr="00115F14" w:rsidRDefault="00730ABF" w:rsidP="00B644CC">
      <w:pPr>
        <w:spacing w:line="288" w:lineRule="auto"/>
        <w:jc w:val="both"/>
        <w:rPr>
          <w:rFonts w:cs="Arial"/>
          <w:szCs w:val="20"/>
          <w:lang w:eastAsia="ar-SA"/>
        </w:rPr>
      </w:pPr>
      <w:r>
        <w:rPr>
          <w:rFonts w:cs="Arial"/>
        </w:rPr>
        <w:t>Z</w:t>
      </w:r>
      <w:r w:rsidR="00AE2155" w:rsidRPr="00115F14">
        <w:rPr>
          <w:rFonts w:cs="Arial"/>
        </w:rPr>
        <w:t>aradi sodelovanja pri opravljanju nujnih procesnih dejanjih</w:t>
      </w:r>
      <w:r>
        <w:rPr>
          <w:rFonts w:cs="Arial"/>
        </w:rPr>
        <w:t xml:space="preserve"> tudi </w:t>
      </w:r>
      <w:proofErr w:type="spellStart"/>
      <w:r>
        <w:rPr>
          <w:rFonts w:cs="Arial"/>
        </w:rPr>
        <w:t>d</w:t>
      </w:r>
      <w:r w:rsidRPr="00115F14">
        <w:rPr>
          <w:rFonts w:cs="Arial"/>
        </w:rPr>
        <w:t>ržavnotožilsko</w:t>
      </w:r>
      <w:proofErr w:type="spellEnd"/>
      <w:r w:rsidRPr="00115F14">
        <w:rPr>
          <w:rFonts w:cs="Arial"/>
        </w:rPr>
        <w:t xml:space="preserve"> osebje</w:t>
      </w:r>
      <w:r>
        <w:rPr>
          <w:rFonts w:cs="Arial"/>
        </w:rPr>
        <w:t xml:space="preserve"> </w:t>
      </w:r>
      <w:r w:rsidRPr="00115F14">
        <w:rPr>
          <w:rFonts w:cs="Arial"/>
        </w:rPr>
        <w:t>opravlja delo</w:t>
      </w:r>
      <w:r w:rsidR="00AE2155" w:rsidRPr="00115F14">
        <w:rPr>
          <w:rFonts w:cs="Arial"/>
        </w:rPr>
        <w:t xml:space="preserve"> </w:t>
      </w:r>
      <w:r w:rsidRPr="00115F14">
        <w:rPr>
          <w:rFonts w:cs="Arial"/>
        </w:rPr>
        <w:t>v manj ugodnem delovnem času</w:t>
      </w:r>
      <w:r>
        <w:rPr>
          <w:rFonts w:cs="Arial"/>
        </w:rPr>
        <w:t>,</w:t>
      </w:r>
      <w:r w:rsidRPr="00115F14">
        <w:rPr>
          <w:rFonts w:cs="Arial"/>
        </w:rPr>
        <w:t xml:space="preserve"> </w:t>
      </w:r>
      <w:r w:rsidR="00AE2155" w:rsidRPr="00115F14">
        <w:rPr>
          <w:rFonts w:cs="Arial"/>
        </w:rPr>
        <w:t xml:space="preserve">izven delovnega časa, pri čemer je treba razlikovati efektivno delo, ko se delo dejansko izvaja, in čas pripravljenosti na delo. </w:t>
      </w:r>
      <w:r w:rsidR="00AE2155" w:rsidRPr="00115F14">
        <w:rPr>
          <w:rFonts w:cs="Arial"/>
          <w:szCs w:val="20"/>
          <w:lang w:eastAsia="ar-SA"/>
        </w:rPr>
        <w:t>Ker delo v manj ugodnem delovnem času že ureja ZDR-1, medtem ko institut pripravljenosti (enako velja za dežurstvo) na ravni javnega sektorja ni opredeljen, se s predlogom zakona določa ureditev instituta pripravljenosti primerljivo ureditvam kot izhajajo iz nekaterih drugih področnih zakonov (npr. 71. člen Zakona o organiziranosti in delu v policiji</w:t>
      </w:r>
      <w:r w:rsidR="00545C89">
        <w:rPr>
          <w:rFonts w:cs="Arial"/>
          <w:szCs w:val="20"/>
          <w:lang w:eastAsia="ar-SA"/>
        </w:rPr>
        <w:t>,</w:t>
      </w:r>
      <w:r w:rsidR="00AE2155" w:rsidRPr="00115F14">
        <w:rPr>
          <w:rStyle w:val="Sprotnaopomba-sklic"/>
          <w:rFonts w:cs="Arial"/>
          <w:szCs w:val="20"/>
          <w:lang w:eastAsia="ar-SA"/>
        </w:rPr>
        <w:footnoteReference w:id="14"/>
      </w:r>
      <w:r w:rsidR="00AE2155" w:rsidRPr="00115F14">
        <w:rPr>
          <w:rFonts w:cs="Arial"/>
          <w:szCs w:val="20"/>
          <w:lang w:eastAsia="ar-SA"/>
        </w:rPr>
        <w:t xml:space="preserve"> 227.e člen Zakona o izvrševanju kazenskih sankcij</w:t>
      </w:r>
      <w:r w:rsidR="00AE2155" w:rsidRPr="00115F14">
        <w:rPr>
          <w:rStyle w:val="Sprotnaopomba-sklic"/>
          <w:rFonts w:cs="Arial"/>
          <w:szCs w:val="20"/>
          <w:lang w:eastAsia="ar-SA"/>
        </w:rPr>
        <w:footnoteReference w:id="15"/>
      </w:r>
      <w:r w:rsidR="00AE2155" w:rsidRPr="00115F14">
        <w:rPr>
          <w:rFonts w:cs="Arial"/>
          <w:szCs w:val="20"/>
          <w:lang w:eastAsia="ar-SA"/>
        </w:rPr>
        <w:t xml:space="preserve"> in 82. člen Zakona o finančni upravi</w:t>
      </w:r>
      <w:r w:rsidR="00AE2155" w:rsidRPr="00115F14">
        <w:rPr>
          <w:rStyle w:val="Sprotnaopomba-sklic"/>
          <w:rFonts w:cs="Arial"/>
          <w:szCs w:val="20"/>
          <w:lang w:eastAsia="ar-SA"/>
        </w:rPr>
        <w:footnoteReference w:id="16"/>
      </w:r>
      <w:r w:rsidR="00AE2155" w:rsidRPr="00115F14">
        <w:rPr>
          <w:rFonts w:cs="Arial"/>
          <w:szCs w:val="20"/>
          <w:lang w:eastAsia="ar-SA"/>
        </w:rPr>
        <w:t>), vključno z določitvijo neposredne podlage za plačilo opravljenega dela in pripravljenosti v okviru enotnega plačnega sistema (ZSPJS). Na ta način se glede na to, da javni uslužbenci v okviru aktivnega sodelovanja pri opravljanju nujnih procesnih dejanj delo opravljajo z enako intenzivnostjo kot v rednem delovnem času, zagotavlja tudi njihov ustrezen plačni položaj.</w:t>
      </w:r>
    </w:p>
    <w:p w:rsidR="00AE2155" w:rsidRDefault="00AE2155" w:rsidP="00B644CC">
      <w:pPr>
        <w:tabs>
          <w:tab w:val="left" w:pos="1701"/>
        </w:tabs>
        <w:spacing w:line="288" w:lineRule="auto"/>
        <w:jc w:val="both"/>
        <w:rPr>
          <w:rFonts w:cs="Arial"/>
          <w:szCs w:val="20"/>
          <w:lang w:eastAsia="sl-SI"/>
        </w:rPr>
      </w:pPr>
    </w:p>
    <w:p w:rsidR="00052C7C" w:rsidRDefault="00052C7C" w:rsidP="00052C7C">
      <w:pPr>
        <w:pStyle w:val="datumtevilka"/>
        <w:suppressAutoHyphens/>
        <w:spacing w:line="288" w:lineRule="auto"/>
        <w:jc w:val="both"/>
        <w:rPr>
          <w:rFonts w:cs="Arial"/>
        </w:rPr>
      </w:pPr>
      <w:proofErr w:type="spellStart"/>
      <w:r>
        <w:rPr>
          <w:rFonts w:cs="Arial"/>
        </w:rPr>
        <w:t>Državnotožilskemu</w:t>
      </w:r>
      <w:proofErr w:type="spellEnd"/>
      <w:r>
        <w:rPr>
          <w:rFonts w:cs="Arial"/>
        </w:rPr>
        <w:t xml:space="preserve"> osebju se zaradi </w:t>
      </w:r>
      <w:r w:rsidRPr="00052C7C">
        <w:rPr>
          <w:rFonts w:cs="Arial"/>
          <w:color w:val="000000"/>
        </w:rPr>
        <w:t>sodelovanja pri opravljanju nujnih procesnih dejanj</w:t>
      </w:r>
      <w:r>
        <w:rPr>
          <w:rFonts w:cs="Arial"/>
        </w:rPr>
        <w:t xml:space="preserve"> lahko odredi pripravljenost za delo izven delovnega časa. Čas pripravljenosti je treba vezati na delovni čas uslužbencev in ne na poslovni čas državnih tožilstev. Poslovni čas državnih tožilstev namreč nima vsebinske povezave z izvajanjem nujnih procesnih dejanj. Pripravljenost za delo je poseben delovni pogoj</w:t>
      </w:r>
      <w:r w:rsidR="00545C89">
        <w:rPr>
          <w:rFonts w:cs="Arial"/>
        </w:rPr>
        <w:t xml:space="preserve">, </w:t>
      </w:r>
      <w:r>
        <w:rPr>
          <w:rFonts w:cs="Arial"/>
        </w:rPr>
        <w:t xml:space="preserve">vezan na naravo in organizacijo dela, kar utemeljuje tudi različno plačilo v primerjavi z rednim delom, ki ga </w:t>
      </w:r>
      <w:proofErr w:type="spellStart"/>
      <w:r>
        <w:rPr>
          <w:rFonts w:cs="Arial"/>
        </w:rPr>
        <w:t>državnotožilsko</w:t>
      </w:r>
      <w:proofErr w:type="spellEnd"/>
      <w:r>
        <w:rPr>
          <w:rFonts w:cs="Arial"/>
        </w:rPr>
        <w:t xml:space="preserve"> osebje opravlja v okviru svojih rednih delovnih zadolžitev. V času pripravljenosti mora biti </w:t>
      </w:r>
      <w:proofErr w:type="spellStart"/>
      <w:r>
        <w:rPr>
          <w:rFonts w:cs="Arial"/>
        </w:rPr>
        <w:t>državnotožilsko</w:t>
      </w:r>
      <w:proofErr w:type="spellEnd"/>
      <w:r>
        <w:rPr>
          <w:rFonts w:cs="Arial"/>
        </w:rPr>
        <w:t xml:space="preserve"> osebje dosegljivo po telefonu ali drugih komunikacijskih sredstvih za potrebe prihoda na delovno mesto ali kraj, kjer se opravlja nujno procesno dejanje. </w:t>
      </w:r>
      <w:proofErr w:type="spellStart"/>
      <w:r>
        <w:rPr>
          <w:rFonts w:cs="Arial"/>
        </w:rPr>
        <w:t>Državnotožilsko</w:t>
      </w:r>
      <w:proofErr w:type="spellEnd"/>
      <w:r>
        <w:rPr>
          <w:rFonts w:cs="Arial"/>
        </w:rPr>
        <w:t xml:space="preserve"> osebje je v času pripravljenosti v vsakem trenutku na razpolago delodajalcu, da ga pozove na opravljanje obveznosti, zaradi česar je njegova pravica do odmora in počitka v tem času bistveno okrnjena. Ker veljavna ureditev ne določa najdaljš</w:t>
      </w:r>
      <w:r w:rsidR="00545C89">
        <w:rPr>
          <w:rFonts w:cs="Arial"/>
        </w:rPr>
        <w:t>ega</w:t>
      </w:r>
      <w:r>
        <w:rPr>
          <w:rFonts w:cs="Arial"/>
        </w:rPr>
        <w:t xml:space="preserve"> sprejemlji</w:t>
      </w:r>
      <w:r w:rsidR="00545C89">
        <w:rPr>
          <w:rFonts w:cs="Arial"/>
        </w:rPr>
        <w:t>vega</w:t>
      </w:r>
      <w:r>
        <w:rPr>
          <w:rFonts w:cs="Arial"/>
        </w:rPr>
        <w:t xml:space="preserve"> čas</w:t>
      </w:r>
      <w:r w:rsidR="00545C89">
        <w:rPr>
          <w:rFonts w:cs="Arial"/>
        </w:rPr>
        <w:t>a</w:t>
      </w:r>
      <w:r>
        <w:rPr>
          <w:rFonts w:cs="Arial"/>
        </w:rPr>
        <w:t xml:space="preserve"> prihoda na delovno mesto, se</w:t>
      </w:r>
      <w:r w:rsidR="00545C89">
        <w:rPr>
          <w:rFonts w:cs="Arial"/>
        </w:rPr>
        <w:t xml:space="preserve"> </w:t>
      </w:r>
      <w:r>
        <w:rPr>
          <w:rFonts w:cs="Arial"/>
        </w:rPr>
        <w:t>podlag</w:t>
      </w:r>
      <w:r w:rsidR="00AB3019">
        <w:rPr>
          <w:rFonts w:cs="Arial"/>
        </w:rPr>
        <w:t xml:space="preserve">a za njegovo ureditev </w:t>
      </w:r>
      <w:r w:rsidR="00545C89">
        <w:rPr>
          <w:rFonts w:cs="Arial"/>
        </w:rPr>
        <w:t xml:space="preserve">določa </w:t>
      </w:r>
      <w:r w:rsidR="00AB3019">
        <w:rPr>
          <w:rFonts w:cs="Arial"/>
        </w:rPr>
        <w:t xml:space="preserve">v </w:t>
      </w:r>
      <w:proofErr w:type="spellStart"/>
      <w:r w:rsidR="00AB3019">
        <w:rPr>
          <w:rFonts w:cs="Arial"/>
        </w:rPr>
        <w:t>Državnotožilskem</w:t>
      </w:r>
      <w:proofErr w:type="spellEnd"/>
      <w:r w:rsidR="00AB3019">
        <w:rPr>
          <w:rFonts w:cs="Arial"/>
        </w:rPr>
        <w:t xml:space="preserve"> redu.</w:t>
      </w:r>
      <w:r>
        <w:rPr>
          <w:rFonts w:cs="Arial"/>
        </w:rPr>
        <w:t xml:space="preserve"> Pripravljenost za delo se ne šteje v delovni čas.</w:t>
      </w:r>
    </w:p>
    <w:p w:rsidR="00052C7C" w:rsidRPr="00115F14" w:rsidRDefault="00052C7C" w:rsidP="00B644CC">
      <w:pPr>
        <w:tabs>
          <w:tab w:val="left" w:pos="1701"/>
        </w:tabs>
        <w:spacing w:line="288" w:lineRule="auto"/>
        <w:jc w:val="both"/>
        <w:rPr>
          <w:rFonts w:cs="Arial"/>
          <w:szCs w:val="20"/>
          <w:lang w:eastAsia="sl-SI"/>
        </w:rPr>
      </w:pPr>
    </w:p>
    <w:p w:rsidR="00674506" w:rsidRPr="00674506" w:rsidRDefault="00674506" w:rsidP="001D21AA">
      <w:pPr>
        <w:spacing w:line="288" w:lineRule="auto"/>
        <w:jc w:val="both"/>
        <w:rPr>
          <w:rFonts w:cs="Arial"/>
          <w:szCs w:val="20"/>
          <w:lang w:eastAsia="ar-SA"/>
        </w:rPr>
      </w:pPr>
      <w:r>
        <w:rPr>
          <w:rFonts w:cs="Arial"/>
          <w:szCs w:val="20"/>
          <w:lang w:eastAsia="ar-SA"/>
        </w:rPr>
        <w:t xml:space="preserve">ZDT-1 kot veljavni materialni predpis za </w:t>
      </w:r>
      <w:proofErr w:type="spellStart"/>
      <w:r>
        <w:rPr>
          <w:rFonts w:cs="Arial"/>
          <w:szCs w:val="20"/>
          <w:lang w:eastAsia="ar-SA"/>
        </w:rPr>
        <w:t>državnotožilsko</w:t>
      </w:r>
      <w:proofErr w:type="spellEnd"/>
      <w:r>
        <w:rPr>
          <w:rFonts w:cs="Arial"/>
          <w:szCs w:val="20"/>
          <w:lang w:eastAsia="ar-SA"/>
        </w:rPr>
        <w:t xml:space="preserve"> osebje za sodelovanje pri </w:t>
      </w:r>
      <w:r w:rsidRPr="00674506">
        <w:rPr>
          <w:rFonts w:cs="Arial"/>
          <w:szCs w:val="20"/>
          <w:lang w:eastAsia="ar-SA"/>
        </w:rPr>
        <w:t xml:space="preserve">opravljanju nujnih procesnih dejanj ne predvideva posebnih delovnih pogojev, na primer pripravljenosti za delo, kot to določajo že predstavljeni področni zakoni s področja obrambe, policije, finančne uprave in drugi. Zato se glede na mnenje </w:t>
      </w:r>
      <w:r w:rsidR="00545C89">
        <w:rPr>
          <w:rFonts w:cs="Arial"/>
          <w:szCs w:val="20"/>
          <w:lang w:eastAsia="ar-SA"/>
        </w:rPr>
        <w:t>r</w:t>
      </w:r>
      <w:r w:rsidRPr="00674506">
        <w:rPr>
          <w:rFonts w:cs="Arial"/>
          <w:szCs w:val="20"/>
          <w:lang w:eastAsia="ar-SA"/>
        </w:rPr>
        <w:t xml:space="preserve">ačunskega sodišča in zagotavljanje enotne uporabe predpisov s področja javnih uslužbencev s predlogom zakona ureja delovnopravno področje sodelovanja </w:t>
      </w:r>
      <w:proofErr w:type="spellStart"/>
      <w:r>
        <w:rPr>
          <w:rFonts w:cs="Arial"/>
          <w:szCs w:val="20"/>
          <w:lang w:eastAsia="ar-SA"/>
        </w:rPr>
        <w:t>državnotožilskega</w:t>
      </w:r>
      <w:proofErr w:type="spellEnd"/>
      <w:r>
        <w:rPr>
          <w:rFonts w:cs="Arial"/>
          <w:szCs w:val="20"/>
          <w:lang w:eastAsia="ar-SA"/>
        </w:rPr>
        <w:t xml:space="preserve"> </w:t>
      </w:r>
      <w:r w:rsidRPr="00674506">
        <w:rPr>
          <w:rFonts w:cs="Arial"/>
          <w:szCs w:val="20"/>
          <w:lang w:eastAsia="ar-SA"/>
        </w:rPr>
        <w:t>osebja pri opravljanju nujnih procesnih dejanj, tako da se določa zakonsk</w:t>
      </w:r>
      <w:r w:rsidR="00545C89">
        <w:rPr>
          <w:rFonts w:cs="Arial"/>
          <w:szCs w:val="20"/>
          <w:lang w:eastAsia="ar-SA"/>
        </w:rPr>
        <w:t>a</w:t>
      </w:r>
      <w:r w:rsidRPr="00674506">
        <w:rPr>
          <w:rFonts w:cs="Arial"/>
          <w:szCs w:val="20"/>
          <w:lang w:eastAsia="ar-SA"/>
        </w:rPr>
        <w:t xml:space="preserve"> </w:t>
      </w:r>
      <w:r w:rsidRPr="00674506">
        <w:rPr>
          <w:rFonts w:cs="Arial"/>
          <w:szCs w:val="20"/>
          <w:lang w:eastAsia="ar-SA"/>
        </w:rPr>
        <w:lastRenderedPageBreak/>
        <w:t>podlag</w:t>
      </w:r>
      <w:r w:rsidR="00545C89">
        <w:rPr>
          <w:rFonts w:cs="Arial"/>
          <w:szCs w:val="20"/>
          <w:lang w:eastAsia="ar-SA"/>
        </w:rPr>
        <w:t>a</w:t>
      </w:r>
      <w:r w:rsidRPr="00674506">
        <w:rPr>
          <w:rFonts w:cs="Arial"/>
          <w:szCs w:val="20"/>
          <w:lang w:eastAsia="ar-SA"/>
        </w:rPr>
        <w:t xml:space="preserve"> za opravljanje dela v manj ugodnem delovnem času, opredelitev pripravljenosti za delo in ustrezen način plačila.</w:t>
      </w:r>
    </w:p>
    <w:p w:rsidR="00C671C8" w:rsidRDefault="00C671C8" w:rsidP="00C671C8">
      <w:pPr>
        <w:spacing w:line="288" w:lineRule="auto"/>
        <w:jc w:val="both"/>
        <w:rPr>
          <w:rFonts w:cs="Arial"/>
          <w:szCs w:val="20"/>
        </w:rPr>
      </w:pPr>
    </w:p>
    <w:p w:rsidR="00C671C8" w:rsidRDefault="00C671C8" w:rsidP="00C671C8">
      <w:pPr>
        <w:spacing w:line="288" w:lineRule="auto"/>
        <w:jc w:val="both"/>
        <w:rPr>
          <w:rFonts w:cs="Arial"/>
          <w:color w:val="FF0000"/>
          <w:szCs w:val="20"/>
        </w:rPr>
      </w:pPr>
      <w:r>
        <w:rPr>
          <w:rFonts w:cs="Arial"/>
          <w:szCs w:val="20"/>
        </w:rPr>
        <w:t xml:space="preserve">Ko mora </w:t>
      </w:r>
      <w:proofErr w:type="spellStart"/>
      <w:r>
        <w:rPr>
          <w:rFonts w:cs="Arial"/>
          <w:szCs w:val="20"/>
        </w:rPr>
        <w:t>državnotožilsko</w:t>
      </w:r>
      <w:proofErr w:type="spellEnd"/>
      <w:r>
        <w:rPr>
          <w:rFonts w:cs="Arial"/>
          <w:szCs w:val="20"/>
        </w:rPr>
        <w:t xml:space="preserve"> osebje v času odrejene pripravljenosti opravljati delo, se čas odrejene pripravljenosti prekine, čas opravljanja dela pa se šteje v delovni čas, za katerega se prejme tudi ustrezno plačilo. Višina dodatka je odvisna od časa, v katerem se delo opravlja, vedno pa gre za delo v manj ugodnem delovnem času. </w:t>
      </w:r>
      <w:proofErr w:type="spellStart"/>
      <w:r>
        <w:rPr>
          <w:rFonts w:cs="Arial"/>
          <w:szCs w:val="20"/>
        </w:rPr>
        <w:t>Državnotožilskemu</w:t>
      </w:r>
      <w:proofErr w:type="spellEnd"/>
      <w:r>
        <w:rPr>
          <w:rFonts w:cs="Arial"/>
          <w:szCs w:val="20"/>
        </w:rPr>
        <w:t xml:space="preserve"> osebju pripada dodatek, če gre za delo v neenakomerno razporejenem delovnem času, delo prek polnega delovnega časa, delo ponoči, ob nedeljah, praznikih in na dan, ki je z zakonom določen kot dela prost dan. ZSPJS glede višine dodatkov napotuje na KPJS, ki v 44. do 46. členu opredeljuje odstotek dodatka od urne postavke osnovne plače javnega uslužbenca.</w:t>
      </w:r>
      <w:bookmarkStart w:id="22" w:name="_Hlk33617493"/>
      <w:bookmarkEnd w:id="22"/>
    </w:p>
    <w:p w:rsidR="00C671C8" w:rsidRDefault="00C671C8" w:rsidP="00C671C8">
      <w:pPr>
        <w:rPr>
          <w:rFonts w:cs="Arial"/>
          <w:b/>
          <w:szCs w:val="20"/>
        </w:rPr>
      </w:pPr>
    </w:p>
    <w:p w:rsidR="00C671C8" w:rsidRDefault="00C671C8" w:rsidP="00C671C8">
      <w:pPr>
        <w:pStyle w:val="datumtevilka"/>
        <w:suppressAutoHyphens/>
        <w:spacing w:line="288" w:lineRule="auto"/>
        <w:jc w:val="both"/>
        <w:rPr>
          <w:rFonts w:cs="Arial"/>
        </w:rPr>
      </w:pPr>
      <w:r>
        <w:rPr>
          <w:rFonts w:cs="Arial"/>
        </w:rPr>
        <w:t>ZSPJS v tretjem odstavku 32. člena opredeljuje dodatek za stalno pripravljenost, ki pa je v KPJS razdel</w:t>
      </w:r>
      <w:r w:rsidR="00545C89">
        <w:rPr>
          <w:rFonts w:cs="Arial"/>
        </w:rPr>
        <w:t>je</w:t>
      </w:r>
      <w:r>
        <w:rPr>
          <w:rFonts w:cs="Arial"/>
        </w:rPr>
        <w:t xml:space="preserve">n na dodatek za pripravljenost in dodatek za stalno pripravljenost. V primeru pripravljenosti </w:t>
      </w:r>
      <w:proofErr w:type="spellStart"/>
      <w:r>
        <w:rPr>
          <w:rFonts w:cs="Arial"/>
        </w:rPr>
        <w:t>državnotožilskega</w:t>
      </w:r>
      <w:proofErr w:type="spellEnd"/>
      <w:r>
        <w:rPr>
          <w:rFonts w:cs="Arial"/>
        </w:rPr>
        <w:t xml:space="preserve"> osebja za sodelovanje pri opravljanju nujnih procesnih dejanj gre za dodatek za pripravljenost, ki se obračuna v višini 20</w:t>
      </w:r>
      <w:r w:rsidR="00545C89">
        <w:rPr>
          <w:rFonts w:cs="Arial"/>
        </w:rPr>
        <w:t xml:space="preserve"> </w:t>
      </w:r>
      <w:r>
        <w:rPr>
          <w:rFonts w:cs="Arial"/>
        </w:rPr>
        <w:t>% urne postavke plače (prvi odstavek 46. člena KPJS). Razlikovanje med pripravljenostjo in stalno pripravljenostjo je bilo uveljavljeno leta 2017 z Aneksom št. 9 h Kolektivni pogodbi za javni sektor</w:t>
      </w:r>
      <w:r w:rsidR="00545C89">
        <w:rPr>
          <w:rFonts w:cs="Arial"/>
        </w:rPr>
        <w:t>.</w:t>
      </w:r>
      <w:r>
        <w:rPr>
          <w:rStyle w:val="Sidrosprotneopombe"/>
          <w:rFonts w:cs="Arial"/>
        </w:rPr>
        <w:footnoteReference w:id="17"/>
      </w:r>
    </w:p>
    <w:p w:rsidR="00AE2155" w:rsidRPr="00115F14" w:rsidRDefault="00AE2155" w:rsidP="00B644CC">
      <w:pPr>
        <w:spacing w:line="288" w:lineRule="auto"/>
        <w:jc w:val="both"/>
        <w:rPr>
          <w:rFonts w:cs="Arial"/>
          <w:szCs w:val="20"/>
          <w:lang w:eastAsia="ar-SA"/>
        </w:rPr>
      </w:pPr>
    </w:p>
    <w:p w:rsidR="008B5E90" w:rsidRDefault="008B5E90" w:rsidP="00A63720">
      <w:pPr>
        <w:spacing w:line="288" w:lineRule="auto"/>
        <w:jc w:val="both"/>
        <w:rPr>
          <w:rFonts w:cs="Arial"/>
          <w:szCs w:val="20"/>
        </w:rPr>
      </w:pPr>
      <w:r>
        <w:rPr>
          <w:rFonts w:cs="Arial"/>
          <w:szCs w:val="20"/>
        </w:rPr>
        <w:t xml:space="preserve">Z namenom, da se navedena vprašanja poenotijo med pravosodnimi organi, ki opravljajo smiselno podobno delo, se s predlogom zakona sledi </w:t>
      </w:r>
      <w:r w:rsidR="009C1337">
        <w:rPr>
          <w:rFonts w:cs="Arial"/>
          <w:szCs w:val="20"/>
        </w:rPr>
        <w:t xml:space="preserve">ureditvi v </w:t>
      </w:r>
      <w:r>
        <w:rPr>
          <w:rFonts w:cs="Arial"/>
          <w:szCs w:val="20"/>
        </w:rPr>
        <w:t>četrtem odstavku 43.b člena Zakona o sodniški službi</w:t>
      </w:r>
      <w:r w:rsidR="009C1337">
        <w:rPr>
          <w:rFonts w:cs="Arial"/>
          <w:szCs w:val="20"/>
        </w:rPr>
        <w:t>.</w:t>
      </w:r>
      <w:r>
        <w:rPr>
          <w:rStyle w:val="Sprotnaopomba-sklic"/>
          <w:rFonts w:cs="Arial"/>
          <w:szCs w:val="20"/>
        </w:rPr>
        <w:footnoteReference w:id="18"/>
      </w:r>
      <w:r w:rsidR="009C1337">
        <w:rPr>
          <w:rFonts w:cs="Arial"/>
          <w:szCs w:val="20"/>
        </w:rPr>
        <w:t xml:space="preserve"> </w:t>
      </w:r>
      <w:r w:rsidR="009C1337">
        <w:rPr>
          <w:lang w:val="x-none"/>
        </w:rPr>
        <w:t>P</w:t>
      </w:r>
      <w:r w:rsidR="009C1337">
        <w:t>od pojem p</w:t>
      </w:r>
      <w:proofErr w:type="spellStart"/>
      <w:r w:rsidR="009C1337">
        <w:rPr>
          <w:lang w:val="x-none"/>
        </w:rPr>
        <w:t>ripravljenost</w:t>
      </w:r>
      <w:r w:rsidR="009C1337">
        <w:t>i</w:t>
      </w:r>
      <w:proofErr w:type="spellEnd"/>
      <w:r w:rsidR="009C1337">
        <w:t xml:space="preserve"> se bo poleg</w:t>
      </w:r>
      <w:r w:rsidR="004910A4">
        <w:t xml:space="preserve"> že uveljavljene</w:t>
      </w:r>
      <w:r w:rsidR="009C1337">
        <w:rPr>
          <w:lang w:val="x-none"/>
        </w:rPr>
        <w:t xml:space="preserve"> dosegljivost</w:t>
      </w:r>
      <w:r w:rsidR="00164605">
        <w:t>i</w:t>
      </w:r>
      <w:r w:rsidR="009C1337">
        <w:rPr>
          <w:lang w:val="x-none"/>
        </w:rPr>
        <w:t xml:space="preserve"> </w:t>
      </w:r>
      <w:r w:rsidR="004910A4">
        <w:t>državnega tožilca</w:t>
      </w:r>
      <w:r w:rsidR="009C1337">
        <w:rPr>
          <w:lang w:val="x-none"/>
        </w:rPr>
        <w:t xml:space="preserve"> po telefonu ali s pomočjo drugih sredstev za potrebe zagotavljanja opravljanja nujnih procesnih dejanj </w:t>
      </w:r>
      <w:r w:rsidR="004910A4">
        <w:t xml:space="preserve"> oziroma usmerjanja štel tudi</w:t>
      </w:r>
      <w:r w:rsidR="009C1337">
        <w:rPr>
          <w:lang w:val="x-none"/>
        </w:rPr>
        <w:t xml:space="preserve"> prihod na delovno mesto ali na kraj, kjer je treba opraviti nujno procesno dejanje. </w:t>
      </w:r>
      <w:r>
        <w:rPr>
          <w:rFonts w:cs="Arial"/>
          <w:szCs w:val="20"/>
        </w:rPr>
        <w:t xml:space="preserve">   </w:t>
      </w:r>
    </w:p>
    <w:p w:rsidR="00A63720" w:rsidRDefault="00A63720" w:rsidP="00C671C8">
      <w:pPr>
        <w:spacing w:line="288" w:lineRule="auto"/>
        <w:jc w:val="both"/>
        <w:rPr>
          <w:rFonts w:cs="Arial"/>
          <w:szCs w:val="20"/>
        </w:rPr>
      </w:pPr>
    </w:p>
    <w:p w:rsidR="00C671C8" w:rsidRPr="00A63720" w:rsidRDefault="00AE2155" w:rsidP="00C671C8">
      <w:pPr>
        <w:spacing w:line="288" w:lineRule="auto"/>
        <w:jc w:val="both"/>
        <w:rPr>
          <w:rFonts w:cs="Arial"/>
          <w:szCs w:val="20"/>
        </w:rPr>
      </w:pPr>
      <w:r w:rsidRPr="00115F14">
        <w:rPr>
          <w:rFonts w:cs="Arial"/>
        </w:rPr>
        <w:t xml:space="preserve">Poleg tega se predlaga jasnejša </w:t>
      </w:r>
      <w:r w:rsidR="00B07B2D">
        <w:rPr>
          <w:rFonts w:cs="Arial"/>
        </w:rPr>
        <w:t>opredelitev</w:t>
      </w:r>
      <w:r w:rsidRPr="00115F14">
        <w:rPr>
          <w:rFonts w:cs="Arial"/>
        </w:rPr>
        <w:t xml:space="preserve"> posameznih aktivnosti v času dežurstva in aktivnosti, ki se v času pripravljenosti štejejo za dežurstvo ter </w:t>
      </w:r>
      <w:r w:rsidR="00B07B2D">
        <w:rPr>
          <w:rFonts w:cs="Arial"/>
        </w:rPr>
        <w:t>beležijo</w:t>
      </w:r>
      <w:r w:rsidRPr="00115F14">
        <w:rPr>
          <w:rFonts w:cs="Arial"/>
        </w:rPr>
        <w:t xml:space="preserve"> </w:t>
      </w:r>
      <w:r w:rsidR="00A63720" w:rsidRPr="00A63720">
        <w:rPr>
          <w:rFonts w:cs="Arial"/>
          <w:szCs w:val="20"/>
        </w:rPr>
        <w:t>po minutah oziroma dejanski porabi časa</w:t>
      </w:r>
      <w:r w:rsidR="00A63720">
        <w:rPr>
          <w:rFonts w:cs="Arial"/>
          <w:szCs w:val="20"/>
        </w:rPr>
        <w:t xml:space="preserve"> </w:t>
      </w:r>
      <w:r w:rsidRPr="00115F14">
        <w:rPr>
          <w:rFonts w:cs="Arial"/>
        </w:rPr>
        <w:t>in ne pavšalno.</w:t>
      </w:r>
      <w:r w:rsidR="00C671C8">
        <w:rPr>
          <w:rFonts w:cs="Arial"/>
        </w:rPr>
        <w:t xml:space="preserve"> </w:t>
      </w:r>
    </w:p>
    <w:p w:rsidR="00AE2155" w:rsidRDefault="00AE2155" w:rsidP="00B644CC">
      <w:pPr>
        <w:pStyle w:val="Alineazatoko"/>
        <w:spacing w:line="288" w:lineRule="auto"/>
        <w:ind w:left="0" w:firstLine="0"/>
        <w:rPr>
          <w:sz w:val="20"/>
          <w:szCs w:val="20"/>
        </w:rPr>
      </w:pPr>
      <w:bookmarkStart w:id="23" w:name="_Hlk530491953"/>
      <w:bookmarkEnd w:id="20"/>
    </w:p>
    <w:p w:rsidR="00456775" w:rsidRDefault="00456775" w:rsidP="00B644CC">
      <w:pPr>
        <w:pStyle w:val="Alineazatoko"/>
        <w:spacing w:line="288" w:lineRule="auto"/>
        <w:ind w:left="0" w:firstLine="0"/>
        <w:rPr>
          <w:rFonts w:cs="Arial"/>
          <w:b/>
          <w:bCs/>
          <w:color w:val="000000"/>
          <w:sz w:val="20"/>
          <w:szCs w:val="20"/>
        </w:rPr>
      </w:pPr>
      <w:r w:rsidRPr="00456775">
        <w:rPr>
          <w:b/>
          <w:bCs/>
          <w:sz w:val="20"/>
          <w:szCs w:val="20"/>
        </w:rPr>
        <w:t>2.3.3 K</w:t>
      </w:r>
      <w:r w:rsidRPr="00456775">
        <w:rPr>
          <w:rFonts w:cs="Arial"/>
          <w:b/>
          <w:bCs/>
          <w:color w:val="000000"/>
          <w:sz w:val="20"/>
          <w:szCs w:val="20"/>
        </w:rPr>
        <w:t>repitev odgovornost vodje državnega tožilstva</w:t>
      </w:r>
    </w:p>
    <w:p w:rsidR="00696BEC" w:rsidRDefault="00696BEC" w:rsidP="00B644CC">
      <w:pPr>
        <w:pStyle w:val="Alineazatoko"/>
        <w:spacing w:line="288" w:lineRule="auto"/>
        <w:ind w:left="0" w:firstLine="0"/>
        <w:rPr>
          <w:rFonts w:eastAsia="Calibri" w:cs="Arial"/>
          <w:sz w:val="20"/>
          <w:szCs w:val="20"/>
          <w:lang w:eastAsia="sl-SI"/>
        </w:rPr>
      </w:pPr>
    </w:p>
    <w:p w:rsidR="005E7A87" w:rsidRDefault="00696BEC" w:rsidP="00B644CC">
      <w:pPr>
        <w:pStyle w:val="Alineazatoko"/>
        <w:spacing w:line="288" w:lineRule="auto"/>
        <w:ind w:left="0" w:firstLine="0"/>
        <w:rPr>
          <w:rFonts w:eastAsia="Calibri" w:cs="Arial"/>
          <w:sz w:val="20"/>
          <w:szCs w:val="20"/>
          <w:lang w:eastAsia="sl-SI"/>
        </w:rPr>
      </w:pPr>
      <w:r>
        <w:rPr>
          <w:rFonts w:eastAsia="Calibri" w:cs="Arial"/>
          <w:sz w:val="20"/>
          <w:szCs w:val="20"/>
          <w:lang w:eastAsia="sl-SI"/>
        </w:rPr>
        <w:t xml:space="preserve">Z </w:t>
      </w:r>
      <w:r w:rsidRPr="00696BEC">
        <w:rPr>
          <w:rFonts w:eastAsia="Calibri" w:cs="Arial"/>
          <w:sz w:val="20"/>
          <w:szCs w:val="20"/>
          <w:lang w:eastAsia="sl-SI"/>
        </w:rPr>
        <w:t>namenom zagotavljanja učinkovitega izvajanja enotne politike pregona se s predlogom zakona krepi odgovornost vodje državnega tožilstva tako, da se veljavna ureditev v 169. členu ZDT-1 dopolni z obveznostjo predložitve osnutka akta na vpogled oziroma v sopodpis vodji državnega tožilstva vselej pred odločitvijo državnega tožilca o zavrženju ovadbe za kaznivo dejanje, za katero je v zakonu predpisana kazen zapora več kot tri leta. Za osnutke zavrženja ovadb za kaznivo dejanje, za katero je v zakonu predpisana kazen zapora več kot osem let</w:t>
      </w:r>
      <w:r w:rsidR="00B07B2D">
        <w:rPr>
          <w:rFonts w:eastAsia="Calibri" w:cs="Arial"/>
          <w:sz w:val="20"/>
          <w:szCs w:val="20"/>
          <w:lang w:eastAsia="sl-SI"/>
        </w:rPr>
        <w:t xml:space="preserve"> se</w:t>
      </w:r>
      <w:r w:rsidRPr="00696BEC">
        <w:rPr>
          <w:rFonts w:eastAsia="Calibri" w:cs="Arial"/>
          <w:sz w:val="20"/>
          <w:szCs w:val="20"/>
          <w:lang w:eastAsia="sl-SI"/>
        </w:rPr>
        <w:t xml:space="preserve"> </w:t>
      </w:r>
      <w:r w:rsidR="005E7A87">
        <w:rPr>
          <w:rFonts w:eastAsia="Calibri" w:cs="Arial"/>
          <w:sz w:val="20"/>
          <w:szCs w:val="20"/>
          <w:lang w:eastAsia="sl-SI"/>
        </w:rPr>
        <w:t>sprejme odločitev vodj</w:t>
      </w:r>
      <w:r w:rsidR="00B07B2D">
        <w:rPr>
          <w:rFonts w:eastAsia="Calibri" w:cs="Arial"/>
          <w:sz w:val="20"/>
          <w:szCs w:val="20"/>
          <w:lang w:eastAsia="sl-SI"/>
        </w:rPr>
        <w:t>e</w:t>
      </w:r>
      <w:r w:rsidR="005E7A87">
        <w:rPr>
          <w:rFonts w:eastAsia="Calibri" w:cs="Arial"/>
          <w:sz w:val="20"/>
          <w:szCs w:val="20"/>
          <w:lang w:eastAsia="sl-SI"/>
        </w:rPr>
        <w:t xml:space="preserve"> državnega tožilstva v sodelovanju z</w:t>
      </w:r>
      <w:r w:rsidR="005E7A87" w:rsidRPr="005E7A87">
        <w:rPr>
          <w:rFonts w:eastAsia="Calibri" w:cs="Arial"/>
          <w:sz w:val="20"/>
          <w:szCs w:val="20"/>
          <w:lang w:eastAsia="sl-SI"/>
        </w:rPr>
        <w:t xml:space="preserve"> dve</w:t>
      </w:r>
      <w:r w:rsidR="005E7A87">
        <w:rPr>
          <w:rFonts w:eastAsia="Calibri" w:cs="Arial"/>
          <w:sz w:val="20"/>
          <w:szCs w:val="20"/>
          <w:lang w:eastAsia="sl-SI"/>
        </w:rPr>
        <w:t>ma</w:t>
      </w:r>
      <w:r w:rsidR="005E7A87" w:rsidRPr="005E7A87">
        <w:rPr>
          <w:rFonts w:eastAsia="Calibri" w:cs="Arial"/>
          <w:sz w:val="20"/>
          <w:szCs w:val="20"/>
          <w:lang w:eastAsia="sl-SI"/>
        </w:rPr>
        <w:t xml:space="preserve"> državni</w:t>
      </w:r>
      <w:r w:rsidR="005E7A87">
        <w:rPr>
          <w:rFonts w:eastAsia="Calibri" w:cs="Arial"/>
          <w:sz w:val="20"/>
          <w:szCs w:val="20"/>
          <w:lang w:eastAsia="sl-SI"/>
        </w:rPr>
        <w:t>ma</w:t>
      </w:r>
      <w:r w:rsidR="005E7A87" w:rsidRPr="005E7A87">
        <w:rPr>
          <w:rFonts w:eastAsia="Calibri" w:cs="Arial"/>
          <w:sz w:val="20"/>
          <w:szCs w:val="20"/>
          <w:lang w:eastAsia="sl-SI"/>
        </w:rPr>
        <w:t xml:space="preserve"> tožilce</w:t>
      </w:r>
      <w:r w:rsidR="005E7A87">
        <w:rPr>
          <w:rFonts w:eastAsia="Calibri" w:cs="Arial"/>
          <w:sz w:val="20"/>
          <w:szCs w:val="20"/>
          <w:lang w:eastAsia="sl-SI"/>
        </w:rPr>
        <w:t>ma</w:t>
      </w:r>
      <w:r w:rsidR="005E7A87" w:rsidRPr="005E7A87">
        <w:rPr>
          <w:rFonts w:eastAsia="Calibri" w:cs="Arial"/>
          <w:sz w:val="20"/>
          <w:szCs w:val="20"/>
          <w:lang w:eastAsia="sl-SI"/>
        </w:rPr>
        <w:t xml:space="preserve">, ki sta z letnim razporedom določena za vodenje oddelka. Če na državnem tožilstvu ni oblikovanega oddelka, mnenje podata državna tožilca, ki ju z odredbo določi vodja državnega tožilstva. V zadevah iz pristojnosti Oddelka za preiskovanje in pregon uradnih oseb s posebnimi pooblastili lahko mnenje podata državna tožilca, ki </w:t>
      </w:r>
      <w:proofErr w:type="spellStart"/>
      <w:r w:rsidR="005E7A87" w:rsidRPr="005E7A87">
        <w:rPr>
          <w:rFonts w:eastAsia="Calibri" w:cs="Arial"/>
          <w:sz w:val="20"/>
          <w:szCs w:val="20"/>
          <w:lang w:eastAsia="sl-SI"/>
        </w:rPr>
        <w:t>državnotožilsko</w:t>
      </w:r>
      <w:proofErr w:type="spellEnd"/>
      <w:r w:rsidR="005E7A87" w:rsidRPr="005E7A87">
        <w:rPr>
          <w:rFonts w:eastAsia="Calibri" w:cs="Arial"/>
          <w:sz w:val="20"/>
          <w:szCs w:val="20"/>
          <w:lang w:eastAsia="sl-SI"/>
        </w:rPr>
        <w:t xml:space="preserve"> službo opravljata na Specializiranem državnem tožilstvu Republike Slovenije.</w:t>
      </w:r>
    </w:p>
    <w:p w:rsidR="005E7A87" w:rsidRDefault="005E7A87" w:rsidP="00B644CC">
      <w:pPr>
        <w:pStyle w:val="Alineazatoko"/>
        <w:spacing w:line="288" w:lineRule="auto"/>
        <w:ind w:left="0" w:firstLine="0"/>
        <w:rPr>
          <w:rFonts w:eastAsia="Calibri" w:cs="Arial"/>
          <w:sz w:val="20"/>
          <w:szCs w:val="20"/>
          <w:lang w:eastAsia="sl-SI"/>
        </w:rPr>
      </w:pPr>
    </w:p>
    <w:p w:rsidR="00B73FBD" w:rsidRPr="0067206F" w:rsidRDefault="009B4D00" w:rsidP="0067206F">
      <w:pPr>
        <w:spacing w:line="288" w:lineRule="auto"/>
        <w:jc w:val="both"/>
        <w:rPr>
          <w:rFonts w:eastAsia="Calibri" w:cs="Arial"/>
          <w:szCs w:val="20"/>
          <w:lang w:eastAsia="sl-SI"/>
        </w:rPr>
      </w:pPr>
      <w:r>
        <w:rPr>
          <w:rFonts w:eastAsia="Calibri" w:cs="Arial"/>
          <w:szCs w:val="20"/>
          <w:lang w:eastAsia="sl-SI"/>
        </w:rPr>
        <w:lastRenderedPageBreak/>
        <w:t>S predlagano ureditvijo se nadgrajujejo tudi že sprejete rešitve v Zakonu o spremembah in dopolnitvah Zakona o kazenskem postopku (ZKP-N), saj se vnaša dodatna varovalka, ki preprečuje neutemeljeno oziroma prezgodnje zavrženje ovadb in omogoča bolj kakovostne</w:t>
      </w:r>
      <w:r w:rsidR="008D35C2">
        <w:rPr>
          <w:rFonts w:eastAsia="Calibri" w:cs="Arial"/>
          <w:szCs w:val="20"/>
          <w:lang w:eastAsia="sl-SI"/>
        </w:rPr>
        <w:t xml:space="preserve"> in</w:t>
      </w:r>
      <w:r>
        <w:rPr>
          <w:rFonts w:eastAsia="Calibri" w:cs="Arial"/>
          <w:szCs w:val="20"/>
          <w:lang w:eastAsia="sl-SI"/>
        </w:rPr>
        <w:t xml:space="preserve"> utemeljene odločitve državnega tožilca</w:t>
      </w:r>
      <w:r w:rsidR="00B07B2D">
        <w:rPr>
          <w:rFonts w:eastAsia="Calibri" w:cs="Arial"/>
          <w:szCs w:val="20"/>
          <w:lang w:eastAsia="sl-SI"/>
        </w:rPr>
        <w:t>,</w:t>
      </w:r>
      <w:r>
        <w:rPr>
          <w:rFonts w:eastAsia="Calibri" w:cs="Arial"/>
          <w:szCs w:val="20"/>
          <w:lang w:eastAsia="sl-SI"/>
        </w:rPr>
        <w:t xml:space="preserve"> k</w:t>
      </w:r>
      <w:r w:rsidR="00B07B2D">
        <w:rPr>
          <w:rFonts w:eastAsia="Calibri" w:cs="Arial"/>
          <w:szCs w:val="20"/>
          <w:lang w:eastAsia="sl-SI"/>
        </w:rPr>
        <w:t>adar</w:t>
      </w:r>
      <w:r>
        <w:rPr>
          <w:rFonts w:eastAsia="Calibri" w:cs="Arial"/>
          <w:szCs w:val="20"/>
          <w:lang w:eastAsia="sl-SI"/>
        </w:rPr>
        <w:t xml:space="preserve"> je glede na višino predpisane kazni še posebej izražen javni interes za nadaljevanje pregona.</w:t>
      </w:r>
    </w:p>
    <w:p w:rsidR="00C17600" w:rsidRPr="00115F14" w:rsidRDefault="00C17600" w:rsidP="00B644CC">
      <w:pPr>
        <w:pStyle w:val="Alineazatoko"/>
        <w:spacing w:line="288" w:lineRule="auto"/>
        <w:ind w:left="0" w:firstLine="0"/>
        <w:rPr>
          <w:sz w:val="20"/>
          <w:szCs w:val="20"/>
        </w:rPr>
      </w:pPr>
    </w:p>
    <w:p w:rsidR="00AE2155" w:rsidRPr="00115F14" w:rsidRDefault="00AE2155" w:rsidP="00B644CC">
      <w:pPr>
        <w:pStyle w:val="Alineazatoko"/>
        <w:spacing w:line="288" w:lineRule="auto"/>
        <w:ind w:left="0" w:firstLine="0"/>
        <w:rPr>
          <w:b/>
          <w:sz w:val="20"/>
          <w:szCs w:val="20"/>
        </w:rPr>
      </w:pPr>
      <w:r w:rsidRPr="00115F14">
        <w:rPr>
          <w:b/>
          <w:sz w:val="20"/>
          <w:szCs w:val="20"/>
        </w:rPr>
        <w:t xml:space="preserve">3. OCENA FINANČNIH POSLEDIC PREDLOGA ZAKONA ZA DRŽAVNI PRORAČUN IN DRUGA JAVNA FINANČNA SREDSTVA </w:t>
      </w:r>
    </w:p>
    <w:p w:rsidR="00AE2155" w:rsidRPr="00115F14" w:rsidRDefault="00AE2155" w:rsidP="00B644CC">
      <w:pPr>
        <w:pStyle w:val="Alineazatoko"/>
        <w:spacing w:line="288" w:lineRule="auto"/>
        <w:ind w:left="0" w:firstLine="0"/>
        <w:rPr>
          <w:sz w:val="20"/>
          <w:szCs w:val="20"/>
        </w:rPr>
      </w:pPr>
    </w:p>
    <w:p w:rsidR="00AE2155" w:rsidRPr="001D21AA" w:rsidRDefault="00AE2155" w:rsidP="00B644CC">
      <w:pPr>
        <w:spacing w:line="288" w:lineRule="auto"/>
        <w:jc w:val="both"/>
        <w:rPr>
          <w:rFonts w:cs="Arial"/>
          <w:szCs w:val="20"/>
        </w:rPr>
      </w:pPr>
      <w:r w:rsidRPr="001D21AA">
        <w:rPr>
          <w:rFonts w:cs="Arial"/>
          <w:szCs w:val="20"/>
        </w:rPr>
        <w:t>Ker ZDR-1</w:t>
      </w:r>
      <w:r w:rsidR="00AC3422" w:rsidRPr="001D21AA">
        <w:rPr>
          <w:rFonts w:cs="Arial"/>
          <w:szCs w:val="20"/>
        </w:rPr>
        <w:t xml:space="preserve"> </w:t>
      </w:r>
      <w:r w:rsidRPr="001D21AA">
        <w:rPr>
          <w:rFonts w:cs="Arial"/>
          <w:szCs w:val="20"/>
        </w:rPr>
        <w:t>delo v manj ugodnem delovnem času že ureja, medtem ko institut pripravljenosti (enako velja za dežurstvo) na ravni javnega sektorja ni enotno opredeljen, predlagamo ureditev instituta pripravljenosti primerljivo ureditvam</w:t>
      </w:r>
      <w:r w:rsidR="00B07B2D" w:rsidRPr="001D21AA">
        <w:rPr>
          <w:rFonts w:cs="Arial"/>
          <w:szCs w:val="20"/>
        </w:rPr>
        <w:t>,</w:t>
      </w:r>
      <w:r w:rsidRPr="001D21AA">
        <w:rPr>
          <w:rFonts w:cs="Arial"/>
          <w:szCs w:val="20"/>
        </w:rPr>
        <w:t xml:space="preserve"> kot izhajajo iz nekaterih drugih področnih zakonov, vključno z določitvijo neposredne podlage za plačilo opravljenega dela in pripravljenosti v okviru enotnega plačnega sistema (ZSPJS). Na ta način bi glede na to, da javni uslužbenci v okviru aktivnega sodelovanja pri opravljanju nujnih procesnih dejanj delo opravljajo z enako intenzivnostjo kot v rednem delovnem času, zagotovili tudi njihov ustrezen plačni položaj. Sodelovanje v obliki dežurstva upoštevaje določbo šestega odstavka 32. člena ZSPJS je namreč nižje ovrednoteno </w:t>
      </w:r>
      <w:r w:rsidR="00B07B2D" w:rsidRPr="001D21AA">
        <w:rPr>
          <w:rFonts w:cs="Arial"/>
          <w:szCs w:val="20"/>
        </w:rPr>
        <w:t xml:space="preserve">po </w:t>
      </w:r>
      <w:r w:rsidRPr="001D21AA">
        <w:rPr>
          <w:rFonts w:cs="Arial"/>
          <w:szCs w:val="20"/>
        </w:rPr>
        <w:t>nižj</w:t>
      </w:r>
      <w:r w:rsidR="00B07B2D" w:rsidRPr="001D21AA">
        <w:rPr>
          <w:rFonts w:cs="Arial"/>
          <w:szCs w:val="20"/>
        </w:rPr>
        <w:t>i</w:t>
      </w:r>
      <w:r w:rsidRPr="001D21AA">
        <w:rPr>
          <w:rFonts w:cs="Arial"/>
          <w:szCs w:val="20"/>
        </w:rPr>
        <w:t xml:space="preserve"> osnov</w:t>
      </w:r>
      <w:r w:rsidR="00B07B2D" w:rsidRPr="001D21AA">
        <w:rPr>
          <w:rFonts w:cs="Arial"/>
          <w:szCs w:val="20"/>
        </w:rPr>
        <w:t>i</w:t>
      </w:r>
      <w:r w:rsidRPr="001D21AA">
        <w:rPr>
          <w:rFonts w:cs="Arial"/>
          <w:szCs w:val="20"/>
        </w:rPr>
        <w:t xml:space="preserve"> za obračun dodatka in nižje višine izplačanega dodatka za opravljeno delo. Slednje glede na podatke iz Analize plač v javnem sektorju za leto 2018 (dokument št. 0100-647/2019/1, </w:t>
      </w:r>
      <w:r w:rsidR="00B07B2D" w:rsidRPr="001D21AA">
        <w:rPr>
          <w:rFonts w:cs="Arial"/>
          <w:szCs w:val="20"/>
        </w:rPr>
        <w:t xml:space="preserve">z dne </w:t>
      </w:r>
      <w:r w:rsidRPr="001D21AA">
        <w:rPr>
          <w:rFonts w:cs="Arial"/>
          <w:szCs w:val="20"/>
        </w:rPr>
        <w:t xml:space="preserve">30. 8. 2019, objavljen na spletni strani Ministrstva za javno upravo) tudi ne bi </w:t>
      </w:r>
      <w:r w:rsidR="00B07B2D" w:rsidRPr="001D21AA">
        <w:rPr>
          <w:rFonts w:cs="Arial"/>
          <w:szCs w:val="20"/>
        </w:rPr>
        <w:t>pomenilo</w:t>
      </w:r>
      <w:r w:rsidRPr="001D21AA">
        <w:rPr>
          <w:rFonts w:cs="Arial"/>
          <w:szCs w:val="20"/>
        </w:rPr>
        <w:t xml:space="preserve"> odstopa od siceršnje višine tovrstnih izplačil pri </w:t>
      </w:r>
      <w:r w:rsidR="00B07B2D" w:rsidRPr="001D21AA">
        <w:rPr>
          <w:rFonts w:cs="Arial"/>
          <w:szCs w:val="20"/>
        </w:rPr>
        <w:t>drugih</w:t>
      </w:r>
      <w:r w:rsidRPr="001D21AA">
        <w:rPr>
          <w:rFonts w:cs="Arial"/>
          <w:szCs w:val="20"/>
        </w:rPr>
        <w:t xml:space="preserve"> neposrednih proračunskih uporabnikih. Upoštevaje vsebino navedene analize je namreč pri neposrednih uporabnikih proračunov delež izplačil za dežurno delo znašal slaba 2 % vseh izplačil, namenjenih za dežurno delo, ki se izplačuje le na področju pravosodja (pri tem velja posebej </w:t>
      </w:r>
      <w:r w:rsidR="00B07B2D" w:rsidRPr="001D21AA">
        <w:rPr>
          <w:rFonts w:cs="Arial"/>
          <w:szCs w:val="20"/>
        </w:rPr>
        <w:t>poudarit</w:t>
      </w:r>
      <w:r w:rsidRPr="001D21AA">
        <w:rPr>
          <w:rFonts w:cs="Arial"/>
          <w:szCs w:val="20"/>
        </w:rPr>
        <w:t xml:space="preserve">i, da določba šestega odstavka 32. člena ZSPJS, ki določa plačila v času dežurstva, </w:t>
      </w:r>
      <w:r w:rsidR="00B07B2D" w:rsidRPr="001D21AA">
        <w:rPr>
          <w:rFonts w:cs="Arial"/>
          <w:szCs w:val="20"/>
        </w:rPr>
        <w:t xml:space="preserve">ne velja </w:t>
      </w:r>
      <w:r w:rsidRPr="001D21AA">
        <w:rPr>
          <w:rFonts w:cs="Arial"/>
          <w:szCs w:val="20"/>
        </w:rPr>
        <w:t>za pravosodne funkcionarje).</w:t>
      </w:r>
    </w:p>
    <w:p w:rsidR="00AE2155" w:rsidRPr="001D21AA" w:rsidRDefault="00AE2155" w:rsidP="00B644CC">
      <w:pPr>
        <w:pStyle w:val="Alineazatoko"/>
        <w:spacing w:line="288" w:lineRule="auto"/>
        <w:ind w:left="0" w:firstLine="0"/>
        <w:rPr>
          <w:sz w:val="20"/>
          <w:szCs w:val="20"/>
        </w:rPr>
      </w:pPr>
    </w:p>
    <w:p w:rsidR="001D21AA" w:rsidRPr="001E3CDC" w:rsidRDefault="001D21AA" w:rsidP="001D21AA">
      <w:pPr>
        <w:pStyle w:val="Alineazatoko"/>
        <w:spacing w:line="288" w:lineRule="auto"/>
        <w:ind w:left="0" w:firstLine="0"/>
        <w:rPr>
          <w:sz w:val="20"/>
          <w:szCs w:val="20"/>
        </w:rPr>
      </w:pPr>
      <w:r w:rsidRPr="001E3CDC">
        <w:rPr>
          <w:sz w:val="20"/>
          <w:szCs w:val="20"/>
        </w:rPr>
        <w:t>Predlog zakona ne bo imel finančnih posledic za proračunske uporabnike, saj so sredstva za izvedbo predlaganih rešitev zagotovljena v veljavnem proračunu.</w:t>
      </w:r>
    </w:p>
    <w:p w:rsidR="003B1DC1" w:rsidRDefault="003B1DC1" w:rsidP="00B644CC">
      <w:pPr>
        <w:pStyle w:val="Alineazatoko"/>
        <w:spacing w:line="288" w:lineRule="auto"/>
        <w:ind w:left="0" w:firstLine="0"/>
        <w:rPr>
          <w:sz w:val="20"/>
          <w:szCs w:val="20"/>
        </w:rPr>
      </w:pPr>
    </w:p>
    <w:p w:rsidR="003B1DC1" w:rsidRPr="00115F14" w:rsidRDefault="003B1DC1" w:rsidP="00B644CC">
      <w:pPr>
        <w:pStyle w:val="Alineazatoko"/>
        <w:spacing w:line="288" w:lineRule="auto"/>
        <w:ind w:left="0" w:firstLine="0"/>
        <w:rPr>
          <w:sz w:val="20"/>
          <w:szCs w:val="20"/>
          <w:highlight w:val="yellow"/>
        </w:rPr>
      </w:pPr>
      <w:r>
        <w:rPr>
          <w:sz w:val="20"/>
          <w:szCs w:val="20"/>
        </w:rPr>
        <w:t>Predlog zakona ne bo imel finančnih posledic za druga javnofinančna sredstva.</w:t>
      </w:r>
    </w:p>
    <w:p w:rsidR="00503F6A" w:rsidRPr="00115F14" w:rsidRDefault="00503F6A" w:rsidP="00B644CC">
      <w:pPr>
        <w:pStyle w:val="Alineazatoko"/>
        <w:spacing w:line="288" w:lineRule="auto"/>
        <w:ind w:left="0" w:firstLine="0"/>
        <w:rPr>
          <w:sz w:val="20"/>
          <w:szCs w:val="20"/>
        </w:rPr>
      </w:pPr>
    </w:p>
    <w:tbl>
      <w:tblPr>
        <w:tblW w:w="8897" w:type="dxa"/>
        <w:tblLook w:val="04A0" w:firstRow="1" w:lastRow="0" w:firstColumn="1" w:lastColumn="0" w:noHBand="0" w:noVBand="1"/>
      </w:tblPr>
      <w:tblGrid>
        <w:gridCol w:w="8755"/>
        <w:gridCol w:w="142"/>
      </w:tblGrid>
      <w:tr w:rsidR="00AE2155" w:rsidRPr="00115F14" w:rsidTr="005363D0">
        <w:tc>
          <w:tcPr>
            <w:tcW w:w="8897" w:type="dxa"/>
            <w:gridSpan w:val="2"/>
          </w:tcPr>
          <w:p w:rsidR="00AE2155" w:rsidRPr="00115F14" w:rsidRDefault="00AE2155" w:rsidP="00B644CC">
            <w:pPr>
              <w:pStyle w:val="Oddelek"/>
              <w:numPr>
                <w:ilvl w:val="0"/>
                <w:numId w:val="0"/>
              </w:numPr>
              <w:spacing w:before="0" w:after="0" w:line="288" w:lineRule="auto"/>
              <w:jc w:val="both"/>
              <w:rPr>
                <w:sz w:val="20"/>
                <w:szCs w:val="20"/>
              </w:rPr>
            </w:pPr>
            <w:r w:rsidRPr="00115F14">
              <w:rPr>
                <w:sz w:val="20"/>
                <w:szCs w:val="20"/>
              </w:rPr>
              <w:t>4. NAVEDBA, DA SO SREDSTVA ZA IZVAJANJE ZAKONA V DRŽAVNEM PRORAČUNU ZAGOTOVLJENA, ČE PREDLOG ZAKONA PREDVIDEVA PORABO PRORAČUNSKIH SREDSTEV V OBDOBJU, ZA KATERO JE BIL DRŽAVNI PRORAČUN ŽE SPREJET</w:t>
            </w:r>
          </w:p>
        </w:tc>
      </w:tr>
      <w:tr w:rsidR="00AE2155" w:rsidRPr="00115F14" w:rsidTr="005363D0">
        <w:tc>
          <w:tcPr>
            <w:tcW w:w="8897" w:type="dxa"/>
            <w:gridSpan w:val="2"/>
          </w:tcPr>
          <w:p w:rsidR="00AE2155" w:rsidRPr="00115F14" w:rsidRDefault="00AE2155" w:rsidP="00B644CC">
            <w:pPr>
              <w:spacing w:line="288" w:lineRule="auto"/>
              <w:jc w:val="both"/>
              <w:rPr>
                <w:rFonts w:cs="Arial"/>
                <w:szCs w:val="20"/>
              </w:rPr>
            </w:pPr>
          </w:p>
          <w:p w:rsidR="008316DB" w:rsidRDefault="008316DB" w:rsidP="008316DB">
            <w:pPr>
              <w:spacing w:line="288" w:lineRule="auto"/>
              <w:jc w:val="both"/>
              <w:rPr>
                <w:rFonts w:cs="Arial"/>
                <w:szCs w:val="20"/>
              </w:rPr>
            </w:pPr>
            <w:r w:rsidRPr="00115F14">
              <w:rPr>
                <w:rFonts w:cs="Arial"/>
                <w:szCs w:val="20"/>
              </w:rPr>
              <w:t>Za obdobje, za katero je proračun že sprejet (leto 2020), ni treb</w:t>
            </w:r>
            <w:r w:rsidR="00B07B2D">
              <w:rPr>
                <w:rFonts w:cs="Arial"/>
                <w:szCs w:val="20"/>
              </w:rPr>
              <w:t>a</w:t>
            </w:r>
            <w:r w:rsidRPr="00115F14">
              <w:rPr>
                <w:rFonts w:cs="Arial"/>
                <w:szCs w:val="20"/>
              </w:rPr>
              <w:t xml:space="preserve"> predvideti porabe proračunskih sredstev zaradi predlaganih rešitev. </w:t>
            </w:r>
          </w:p>
          <w:p w:rsidR="008316DB" w:rsidRDefault="008316DB" w:rsidP="008316DB">
            <w:pPr>
              <w:spacing w:line="288" w:lineRule="auto"/>
              <w:jc w:val="both"/>
              <w:rPr>
                <w:rFonts w:cs="Arial"/>
                <w:szCs w:val="20"/>
              </w:rPr>
            </w:pPr>
          </w:p>
          <w:p w:rsidR="008316DB" w:rsidRDefault="008316DB" w:rsidP="008316DB">
            <w:pPr>
              <w:spacing w:line="288" w:lineRule="auto"/>
              <w:jc w:val="both"/>
              <w:rPr>
                <w:rFonts w:cs="Arial"/>
                <w:szCs w:val="20"/>
              </w:rPr>
            </w:pPr>
            <w:r w:rsidRPr="003B1DC1">
              <w:rPr>
                <w:rFonts w:cs="Arial"/>
                <w:szCs w:val="20"/>
              </w:rPr>
              <w:t xml:space="preserve">Pravice porabe za izvedbo predlaganih rešitev so zagotovljene </w:t>
            </w:r>
            <w:r>
              <w:rPr>
                <w:rFonts w:cs="Arial"/>
                <w:szCs w:val="20"/>
              </w:rPr>
              <w:t xml:space="preserve">na proračunski postavki Vrhovnega državnega tožilstva, kot sredstva </w:t>
            </w:r>
            <w:r w:rsidRPr="009B1994">
              <w:rPr>
                <w:rFonts w:cs="Arial"/>
                <w:bCs/>
                <w:kern w:val="32"/>
                <w:szCs w:val="20"/>
                <w:lang w:eastAsia="sl-SI"/>
              </w:rPr>
              <w:t xml:space="preserve">za obračun deviznih plač nacionalnih članov v </w:t>
            </w:r>
            <w:proofErr w:type="spellStart"/>
            <w:r w:rsidRPr="009B1994">
              <w:rPr>
                <w:rFonts w:cs="Arial"/>
                <w:bCs/>
                <w:kern w:val="32"/>
                <w:szCs w:val="20"/>
                <w:lang w:eastAsia="sl-SI"/>
              </w:rPr>
              <w:t>Eurojust</w:t>
            </w:r>
            <w:proofErr w:type="spellEnd"/>
            <w:r>
              <w:rPr>
                <w:rFonts w:cs="Arial"/>
                <w:bCs/>
                <w:kern w:val="32"/>
                <w:szCs w:val="20"/>
                <w:lang w:eastAsia="sl-SI"/>
              </w:rPr>
              <w:t xml:space="preserve"> ter po posameznih državnih tožilstvih, ki so samostojni proračunski uporabniki s svojo proračunsko postavko.</w:t>
            </w:r>
          </w:p>
          <w:p w:rsidR="008316DB" w:rsidRPr="00115F14" w:rsidRDefault="008316DB" w:rsidP="00B644CC">
            <w:pPr>
              <w:spacing w:line="288" w:lineRule="auto"/>
              <w:jc w:val="both"/>
              <w:rPr>
                <w:rFonts w:cs="Arial"/>
                <w:szCs w:val="20"/>
              </w:rPr>
            </w:pPr>
          </w:p>
        </w:tc>
      </w:tr>
      <w:tr w:rsidR="00AE2155" w:rsidRPr="00115F14" w:rsidTr="005363D0">
        <w:trPr>
          <w:gridAfter w:val="1"/>
          <w:wAfter w:w="142" w:type="dxa"/>
        </w:trPr>
        <w:tc>
          <w:tcPr>
            <w:tcW w:w="8755" w:type="dxa"/>
          </w:tcPr>
          <w:p w:rsidR="00AE2155" w:rsidRPr="00115F14" w:rsidRDefault="00AE2155" w:rsidP="00B644CC">
            <w:pPr>
              <w:pStyle w:val="Oddelek"/>
              <w:numPr>
                <w:ilvl w:val="0"/>
                <w:numId w:val="0"/>
              </w:numPr>
              <w:spacing w:before="0" w:after="0" w:line="288" w:lineRule="auto"/>
              <w:jc w:val="both"/>
              <w:rPr>
                <w:sz w:val="20"/>
                <w:szCs w:val="20"/>
              </w:rPr>
            </w:pPr>
            <w:bookmarkStart w:id="24" w:name="_Hlk535495137"/>
            <w:r w:rsidRPr="00115F14">
              <w:rPr>
                <w:sz w:val="20"/>
                <w:szCs w:val="20"/>
              </w:rPr>
              <w:t>5. PRIKAZ UREDITVE V DRUGIH PRAVNIH SISTEMIH IN PRILAGOJENOSTI PREDLAGANE UREDITVE PRAVU EVROPSKE UNIJE</w:t>
            </w:r>
          </w:p>
          <w:p w:rsidR="008316DB" w:rsidRPr="00115F14" w:rsidRDefault="008316DB" w:rsidP="00B644CC">
            <w:pPr>
              <w:pStyle w:val="Oddelek"/>
              <w:numPr>
                <w:ilvl w:val="0"/>
                <w:numId w:val="0"/>
              </w:numPr>
              <w:spacing w:before="0" w:after="0" w:line="288" w:lineRule="auto"/>
              <w:jc w:val="both"/>
              <w:rPr>
                <w:sz w:val="20"/>
                <w:szCs w:val="20"/>
              </w:rPr>
            </w:pPr>
          </w:p>
          <w:p w:rsidR="00AE2155" w:rsidRPr="00115F14" w:rsidRDefault="00AE2155" w:rsidP="00B644CC">
            <w:pPr>
              <w:pStyle w:val="Oddelek"/>
              <w:numPr>
                <w:ilvl w:val="0"/>
                <w:numId w:val="0"/>
              </w:numPr>
              <w:spacing w:before="0" w:after="0" w:line="288" w:lineRule="auto"/>
              <w:jc w:val="both"/>
              <w:rPr>
                <w:sz w:val="20"/>
                <w:szCs w:val="20"/>
              </w:rPr>
            </w:pPr>
            <w:r w:rsidRPr="00115F14">
              <w:rPr>
                <w:sz w:val="20"/>
                <w:szCs w:val="20"/>
                <w:lang w:eastAsia="sl-SI"/>
              </w:rPr>
              <w:t>5.1 Prikaz ureditve v državah članicah EU</w:t>
            </w:r>
          </w:p>
          <w:p w:rsidR="00503F6A" w:rsidRDefault="00503F6A" w:rsidP="00B644CC">
            <w:pPr>
              <w:pStyle w:val="Oddelek"/>
              <w:numPr>
                <w:ilvl w:val="0"/>
                <w:numId w:val="0"/>
              </w:numPr>
              <w:spacing w:before="0" w:after="0" w:line="288" w:lineRule="auto"/>
              <w:jc w:val="both"/>
              <w:rPr>
                <w:sz w:val="20"/>
                <w:szCs w:val="20"/>
              </w:rPr>
            </w:pPr>
          </w:p>
          <w:p w:rsidR="00AE2155" w:rsidRPr="00115F14" w:rsidRDefault="00DD7397" w:rsidP="00B644CC">
            <w:pPr>
              <w:pStyle w:val="Oddelek"/>
              <w:numPr>
                <w:ilvl w:val="0"/>
                <w:numId w:val="0"/>
              </w:numPr>
              <w:spacing w:before="0" w:after="0" w:line="288" w:lineRule="auto"/>
              <w:jc w:val="both"/>
              <w:rPr>
                <w:sz w:val="20"/>
                <w:szCs w:val="20"/>
              </w:rPr>
            </w:pPr>
            <w:r>
              <w:rPr>
                <w:sz w:val="20"/>
                <w:szCs w:val="20"/>
              </w:rPr>
              <w:t xml:space="preserve">5.1.1 </w:t>
            </w:r>
            <w:r w:rsidR="00AE2155" w:rsidRPr="00115F14">
              <w:rPr>
                <w:sz w:val="20"/>
                <w:szCs w:val="20"/>
              </w:rPr>
              <w:t>Avstrija</w:t>
            </w:r>
          </w:p>
          <w:p w:rsidR="00AE2155" w:rsidRPr="00115F14" w:rsidRDefault="00AE2155" w:rsidP="00B644CC">
            <w:pPr>
              <w:pStyle w:val="Oddelek"/>
              <w:numPr>
                <w:ilvl w:val="0"/>
                <w:numId w:val="0"/>
              </w:numPr>
              <w:spacing w:before="0" w:after="0" w:line="288" w:lineRule="auto"/>
              <w:jc w:val="both"/>
              <w:rPr>
                <w:b w:val="0"/>
                <w:bCs/>
                <w:sz w:val="20"/>
                <w:szCs w:val="20"/>
              </w:rPr>
            </w:pPr>
          </w:p>
          <w:p w:rsidR="00AE2155" w:rsidRPr="00115F14" w:rsidRDefault="00AE2155" w:rsidP="00B644CC">
            <w:pPr>
              <w:pStyle w:val="Oddelek"/>
              <w:numPr>
                <w:ilvl w:val="0"/>
                <w:numId w:val="0"/>
              </w:numPr>
              <w:spacing w:before="0" w:after="0" w:line="288" w:lineRule="auto"/>
              <w:jc w:val="both"/>
              <w:rPr>
                <w:b w:val="0"/>
                <w:bCs/>
                <w:sz w:val="20"/>
                <w:szCs w:val="20"/>
              </w:rPr>
            </w:pPr>
            <w:r w:rsidRPr="00115F14">
              <w:rPr>
                <w:b w:val="0"/>
                <w:bCs/>
                <w:sz w:val="20"/>
                <w:szCs w:val="20"/>
              </w:rPr>
              <w:t>Avstrijsko državno tožilstvo je poseben organ, ločen od sodišč, ki varuje javni interes pri zastopanju obtožb in pregonu storilcev kaznivih dejanj.</w:t>
            </w:r>
          </w:p>
          <w:p w:rsidR="00AE2155" w:rsidRPr="00115F14" w:rsidRDefault="00AE2155" w:rsidP="00B644CC">
            <w:pPr>
              <w:pStyle w:val="Oddelek"/>
              <w:numPr>
                <w:ilvl w:val="0"/>
                <w:numId w:val="0"/>
              </w:numPr>
              <w:spacing w:before="0" w:after="0" w:line="288" w:lineRule="auto"/>
              <w:jc w:val="both"/>
              <w:rPr>
                <w:b w:val="0"/>
                <w:bCs/>
                <w:sz w:val="20"/>
                <w:szCs w:val="20"/>
              </w:rPr>
            </w:pPr>
          </w:p>
          <w:p w:rsidR="00AE2155" w:rsidRPr="00115F14" w:rsidRDefault="00AE2155" w:rsidP="00B644CC">
            <w:pPr>
              <w:pStyle w:val="Oddelek"/>
              <w:numPr>
                <w:ilvl w:val="0"/>
                <w:numId w:val="0"/>
              </w:numPr>
              <w:spacing w:before="0" w:after="0" w:line="288" w:lineRule="auto"/>
              <w:jc w:val="both"/>
              <w:rPr>
                <w:b w:val="0"/>
                <w:bCs/>
                <w:sz w:val="20"/>
                <w:szCs w:val="20"/>
              </w:rPr>
            </w:pPr>
            <w:r w:rsidRPr="00115F14">
              <w:rPr>
                <w:b w:val="0"/>
                <w:bCs/>
                <w:sz w:val="20"/>
                <w:szCs w:val="20"/>
              </w:rPr>
              <w:t>Državna tožilstva so pravosodni organi, vendar v nasprotju s sodišči niso neodvisn</w:t>
            </w:r>
            <w:r w:rsidR="00B07B2D">
              <w:rPr>
                <w:b w:val="0"/>
                <w:bCs/>
                <w:sz w:val="20"/>
                <w:szCs w:val="20"/>
              </w:rPr>
              <w:t>a</w:t>
            </w:r>
            <w:r>
              <w:rPr>
                <w:b w:val="0"/>
                <w:bCs/>
                <w:sz w:val="20"/>
                <w:szCs w:val="20"/>
              </w:rPr>
              <w:t xml:space="preserve"> </w:t>
            </w:r>
            <w:r w:rsidRPr="00115F14">
              <w:rPr>
                <w:b w:val="0"/>
                <w:bCs/>
                <w:sz w:val="20"/>
                <w:szCs w:val="20"/>
              </w:rPr>
              <w:t xml:space="preserve">in imajo strogo hierarhično strukturo ter so vezani na navodila višjega državnega tožilstva, še posebej pa zveznega </w:t>
            </w:r>
            <w:r w:rsidR="00B07B2D">
              <w:rPr>
                <w:b w:val="0"/>
                <w:bCs/>
                <w:sz w:val="20"/>
                <w:szCs w:val="20"/>
              </w:rPr>
              <w:t>m</w:t>
            </w:r>
            <w:r w:rsidRPr="00115F14">
              <w:rPr>
                <w:b w:val="0"/>
                <w:bCs/>
                <w:sz w:val="20"/>
                <w:szCs w:val="20"/>
              </w:rPr>
              <w:t>inistrstva za pravosodje.</w:t>
            </w:r>
          </w:p>
          <w:p w:rsidR="00AE2155" w:rsidRPr="00115F14" w:rsidRDefault="00AE2155" w:rsidP="00B644CC">
            <w:pPr>
              <w:pStyle w:val="Oddelek"/>
              <w:numPr>
                <w:ilvl w:val="0"/>
                <w:numId w:val="0"/>
              </w:numPr>
              <w:spacing w:before="0" w:after="0" w:line="288" w:lineRule="auto"/>
              <w:jc w:val="both"/>
              <w:rPr>
                <w:b w:val="0"/>
                <w:bCs/>
                <w:sz w:val="20"/>
                <w:szCs w:val="20"/>
              </w:rPr>
            </w:pPr>
          </w:p>
          <w:p w:rsidR="00AE2155" w:rsidRPr="00115F14" w:rsidRDefault="00AE2155" w:rsidP="00B644CC">
            <w:pPr>
              <w:pStyle w:val="Oddelek"/>
              <w:numPr>
                <w:ilvl w:val="0"/>
                <w:numId w:val="0"/>
              </w:numPr>
              <w:spacing w:before="0" w:after="0" w:line="288" w:lineRule="auto"/>
              <w:jc w:val="both"/>
              <w:rPr>
                <w:b w:val="0"/>
                <w:bCs/>
                <w:sz w:val="20"/>
                <w:szCs w:val="20"/>
              </w:rPr>
            </w:pPr>
            <w:r w:rsidRPr="00115F14">
              <w:rPr>
                <w:b w:val="0"/>
                <w:bCs/>
                <w:sz w:val="20"/>
                <w:szCs w:val="20"/>
              </w:rPr>
              <w:t xml:space="preserve">Na zakonski ravni </w:t>
            </w:r>
            <w:r w:rsidR="00B07B2D">
              <w:rPr>
                <w:b w:val="0"/>
                <w:bCs/>
                <w:sz w:val="20"/>
                <w:szCs w:val="20"/>
              </w:rPr>
              <w:t xml:space="preserve">veljajo </w:t>
            </w:r>
            <w:r w:rsidRPr="00115F14">
              <w:rPr>
                <w:b w:val="0"/>
                <w:bCs/>
                <w:sz w:val="20"/>
                <w:szCs w:val="20"/>
              </w:rPr>
              <w:t xml:space="preserve">natančna pravila in način izdaje obveznih navodil. Višji državni tožilec in Zvezni minister lahko izdata navodilo </w:t>
            </w:r>
            <w:r w:rsidR="00B07B2D">
              <w:rPr>
                <w:b w:val="0"/>
                <w:bCs/>
                <w:sz w:val="20"/>
                <w:szCs w:val="20"/>
              </w:rPr>
              <w:t xml:space="preserve">le </w:t>
            </w:r>
            <w:r w:rsidRPr="00115F14">
              <w:rPr>
                <w:b w:val="0"/>
                <w:bCs/>
                <w:sz w:val="20"/>
                <w:szCs w:val="20"/>
              </w:rPr>
              <w:t>v pisni obliki z utemeljeno obrazložitvijo. Vsa navodila morajo biti zabeležena v kazenskem spisu konkretne zadeve.</w:t>
            </w:r>
          </w:p>
          <w:p w:rsidR="00AE2155" w:rsidRPr="00115F14" w:rsidRDefault="00AE2155" w:rsidP="00B644CC">
            <w:pPr>
              <w:pStyle w:val="Oddelek"/>
              <w:numPr>
                <w:ilvl w:val="0"/>
                <w:numId w:val="0"/>
              </w:numPr>
              <w:spacing w:before="0" w:after="0" w:line="288" w:lineRule="auto"/>
              <w:jc w:val="both"/>
              <w:rPr>
                <w:b w:val="0"/>
                <w:bCs/>
                <w:sz w:val="20"/>
                <w:szCs w:val="20"/>
              </w:rPr>
            </w:pPr>
          </w:p>
          <w:p w:rsidR="00AE2155" w:rsidRPr="00115F14" w:rsidRDefault="00AE2155" w:rsidP="00B644CC">
            <w:pPr>
              <w:pStyle w:val="Oddelek"/>
              <w:numPr>
                <w:ilvl w:val="0"/>
                <w:numId w:val="0"/>
              </w:numPr>
              <w:spacing w:before="0" w:after="0" w:line="288" w:lineRule="auto"/>
              <w:jc w:val="both"/>
              <w:rPr>
                <w:b w:val="0"/>
                <w:bCs/>
                <w:sz w:val="20"/>
                <w:szCs w:val="20"/>
              </w:rPr>
            </w:pPr>
            <w:r w:rsidRPr="00115F14">
              <w:rPr>
                <w:b w:val="0"/>
                <w:bCs/>
                <w:sz w:val="20"/>
                <w:szCs w:val="20"/>
              </w:rPr>
              <w:t>Državna tožilstva so zato organizirana</w:t>
            </w:r>
            <w:r>
              <w:rPr>
                <w:b w:val="0"/>
                <w:bCs/>
                <w:sz w:val="20"/>
                <w:szCs w:val="20"/>
              </w:rPr>
              <w:t xml:space="preserve"> </w:t>
            </w:r>
            <w:r w:rsidRPr="00115F14">
              <w:rPr>
                <w:b w:val="0"/>
                <w:bCs/>
                <w:sz w:val="20"/>
                <w:szCs w:val="20"/>
              </w:rPr>
              <w:t>na podrejeni in nadrejeni ravni. V nasprotju s sodnimi odločbami odločitev državnih tožilcev ni mogoče izpodbijati z nobenim pravnim sredstvom. S sistemskega vidika je organizacijska struktura tožilstva enaka organizaciji sodišča.</w:t>
            </w:r>
          </w:p>
          <w:p w:rsidR="00AE2155" w:rsidRPr="00115F14" w:rsidRDefault="00AE2155" w:rsidP="00B644CC">
            <w:pPr>
              <w:pStyle w:val="Oddelek"/>
              <w:numPr>
                <w:ilvl w:val="0"/>
                <w:numId w:val="0"/>
              </w:numPr>
              <w:spacing w:before="0" w:after="0" w:line="288" w:lineRule="auto"/>
              <w:jc w:val="both"/>
              <w:rPr>
                <w:b w:val="0"/>
                <w:bCs/>
                <w:sz w:val="20"/>
                <w:szCs w:val="20"/>
              </w:rPr>
            </w:pPr>
          </w:p>
          <w:p w:rsidR="00AE2155" w:rsidRPr="00115F14" w:rsidRDefault="00AE2155" w:rsidP="00B644CC">
            <w:pPr>
              <w:pStyle w:val="Oddelek"/>
              <w:numPr>
                <w:ilvl w:val="0"/>
                <w:numId w:val="0"/>
              </w:numPr>
              <w:spacing w:before="0" w:after="0" w:line="288" w:lineRule="auto"/>
              <w:jc w:val="both"/>
              <w:rPr>
                <w:b w:val="0"/>
                <w:bCs/>
                <w:sz w:val="20"/>
                <w:szCs w:val="20"/>
              </w:rPr>
            </w:pPr>
            <w:r w:rsidRPr="00115F14">
              <w:rPr>
                <w:b w:val="0"/>
                <w:bCs/>
                <w:sz w:val="20"/>
                <w:szCs w:val="20"/>
              </w:rPr>
              <w:t>Za vsako regijsko sodišče</w:t>
            </w:r>
            <w:r w:rsidR="00B07B2D">
              <w:rPr>
                <w:b w:val="0"/>
                <w:bCs/>
                <w:sz w:val="20"/>
                <w:szCs w:val="20"/>
              </w:rPr>
              <w:t>,</w:t>
            </w:r>
            <w:r w:rsidRPr="00115F14">
              <w:rPr>
                <w:b w:val="0"/>
                <w:bCs/>
                <w:sz w:val="20"/>
                <w:szCs w:val="20"/>
              </w:rPr>
              <w:t xml:space="preserve"> pristojno za kazenske zadeve, je ustanovljeno državno tožilstvo. Državni tožilci so pristojni zastopat</w:t>
            </w:r>
            <w:r w:rsidR="00B07B2D">
              <w:rPr>
                <w:b w:val="0"/>
                <w:bCs/>
                <w:sz w:val="20"/>
                <w:szCs w:val="20"/>
              </w:rPr>
              <w:t>i</w:t>
            </w:r>
            <w:r w:rsidRPr="00115F14">
              <w:rPr>
                <w:b w:val="0"/>
                <w:bCs/>
                <w:sz w:val="20"/>
                <w:szCs w:val="20"/>
              </w:rPr>
              <w:t xml:space="preserve"> kazensko obtožbo pred regijskim in okrožnim sodiščem tega regijskega sodišča. Po pravilu bodo okrožni državni tožilci zastopali kazenske obtožbe pred okrožnimi sodišči. To so javni uslužbenci s posebnim strokovnim znanjem, vendar ne potrebujejo univerzitetnega usposabljanja.</w:t>
            </w:r>
          </w:p>
          <w:p w:rsidR="00AE2155" w:rsidRPr="00115F14" w:rsidRDefault="00AE2155" w:rsidP="00B644CC">
            <w:pPr>
              <w:pStyle w:val="Oddelek"/>
              <w:numPr>
                <w:ilvl w:val="0"/>
                <w:numId w:val="0"/>
              </w:numPr>
              <w:spacing w:before="0" w:after="0" w:line="288" w:lineRule="auto"/>
              <w:jc w:val="both"/>
              <w:rPr>
                <w:b w:val="0"/>
                <w:bCs/>
                <w:sz w:val="20"/>
                <w:szCs w:val="20"/>
              </w:rPr>
            </w:pPr>
          </w:p>
          <w:p w:rsidR="00AE2155" w:rsidRPr="00115F14" w:rsidRDefault="00AE2155" w:rsidP="00B644CC">
            <w:pPr>
              <w:pStyle w:val="Oddelek"/>
              <w:numPr>
                <w:ilvl w:val="0"/>
                <w:numId w:val="0"/>
              </w:numPr>
              <w:spacing w:before="0" w:after="0" w:line="288" w:lineRule="auto"/>
              <w:jc w:val="both"/>
              <w:rPr>
                <w:b w:val="0"/>
                <w:bCs/>
                <w:sz w:val="20"/>
                <w:szCs w:val="20"/>
              </w:rPr>
            </w:pPr>
            <w:r w:rsidRPr="00115F14">
              <w:rPr>
                <w:b w:val="0"/>
                <w:bCs/>
                <w:sz w:val="20"/>
                <w:szCs w:val="20"/>
              </w:rPr>
              <w:t>Višji državni tožilci so hierarhično nadrejeni državnim tožilcem. Ustanovljeni so bili za zastopanje pred regijskimi pritožbenimi sodišči na Dunaju, v Gra</w:t>
            </w:r>
            <w:r>
              <w:rPr>
                <w:b w:val="0"/>
                <w:bCs/>
                <w:sz w:val="20"/>
                <w:szCs w:val="20"/>
              </w:rPr>
              <w:t>dcu</w:t>
            </w:r>
            <w:r w:rsidRPr="00115F14">
              <w:rPr>
                <w:b w:val="0"/>
                <w:bCs/>
                <w:sz w:val="20"/>
                <w:szCs w:val="20"/>
              </w:rPr>
              <w:t>, Lin</w:t>
            </w:r>
            <w:r>
              <w:rPr>
                <w:b w:val="0"/>
                <w:bCs/>
                <w:sz w:val="20"/>
                <w:szCs w:val="20"/>
              </w:rPr>
              <w:t>z</w:t>
            </w:r>
            <w:r w:rsidRPr="00115F14">
              <w:rPr>
                <w:b w:val="0"/>
                <w:bCs/>
                <w:sz w:val="20"/>
                <w:szCs w:val="20"/>
              </w:rPr>
              <w:t>u in Innsbrucku. Pristojni so za opravljanje nadzora nad državnimi tožilstvi v njihovem okrožju. Poro</w:t>
            </w:r>
            <w:r>
              <w:rPr>
                <w:b w:val="0"/>
                <w:bCs/>
                <w:sz w:val="20"/>
                <w:szCs w:val="20"/>
              </w:rPr>
              <w:t>č</w:t>
            </w:r>
            <w:r w:rsidRPr="00115F14">
              <w:rPr>
                <w:b w:val="0"/>
                <w:bCs/>
                <w:sz w:val="20"/>
                <w:szCs w:val="20"/>
              </w:rPr>
              <w:t>ilo o nadzoru morajo posredovati neposredno Zveznemu ministru za pravosodje. Urad generalnega državnega tožilstva ima poseben položaj. Generalni državni tožilec poroča neposredno Zveznemu ministru za pravosodje, nima pa pooblastila za izdajo navodil višjim državnim tožilcem ali državnim tožilcem.</w:t>
            </w:r>
          </w:p>
          <w:p w:rsidR="00AE2155" w:rsidRPr="00115F14" w:rsidRDefault="00AE2155" w:rsidP="00B644CC">
            <w:pPr>
              <w:pStyle w:val="Oddelek"/>
              <w:numPr>
                <w:ilvl w:val="0"/>
                <w:numId w:val="0"/>
              </w:numPr>
              <w:spacing w:before="0" w:after="0" w:line="288" w:lineRule="auto"/>
              <w:jc w:val="both"/>
              <w:rPr>
                <w:b w:val="0"/>
                <w:bCs/>
                <w:sz w:val="20"/>
                <w:szCs w:val="20"/>
              </w:rPr>
            </w:pPr>
          </w:p>
          <w:p w:rsidR="00AE2155" w:rsidRPr="00115F14" w:rsidRDefault="00AE2155" w:rsidP="00B644CC">
            <w:pPr>
              <w:pStyle w:val="Oddelek"/>
              <w:numPr>
                <w:ilvl w:val="0"/>
                <w:numId w:val="0"/>
              </w:numPr>
              <w:spacing w:before="0" w:after="0" w:line="288" w:lineRule="auto"/>
              <w:jc w:val="both"/>
              <w:rPr>
                <w:b w:val="0"/>
                <w:bCs/>
                <w:sz w:val="20"/>
                <w:szCs w:val="20"/>
              </w:rPr>
            </w:pPr>
            <w:r w:rsidRPr="00115F14">
              <w:rPr>
                <w:b w:val="0"/>
                <w:bCs/>
                <w:sz w:val="20"/>
                <w:szCs w:val="20"/>
              </w:rPr>
              <w:t>Samo sodnik, ki izpolnjuje pogoje za imenovanje v poklicnega sodnika in ima opravljeno minimalno enoletno pripravništvo kot sodnik na sodišču ali kot tožilec</w:t>
            </w:r>
            <w:r w:rsidR="00376153">
              <w:rPr>
                <w:b w:val="0"/>
                <w:bCs/>
                <w:sz w:val="20"/>
                <w:szCs w:val="20"/>
              </w:rPr>
              <w:t>,</w:t>
            </w:r>
            <w:r w:rsidRPr="00115F14">
              <w:rPr>
                <w:b w:val="0"/>
                <w:bCs/>
                <w:sz w:val="20"/>
                <w:szCs w:val="20"/>
              </w:rPr>
              <w:t xml:space="preserve"> je lahko imenovan v državnega tožilca. Prosta mesta za sodnike in državne tožilce so uradno objavljena. Državne tožilce imenuje </w:t>
            </w:r>
            <w:r w:rsidR="00376153">
              <w:rPr>
                <w:b w:val="0"/>
                <w:bCs/>
                <w:sz w:val="20"/>
                <w:szCs w:val="20"/>
              </w:rPr>
              <w:t>z</w:t>
            </w:r>
            <w:r w:rsidRPr="00115F14">
              <w:rPr>
                <w:b w:val="0"/>
                <w:bCs/>
                <w:sz w:val="20"/>
                <w:szCs w:val="20"/>
              </w:rPr>
              <w:t xml:space="preserve">vezni predsednik po predlogu personalnega sveta. Vendar pa je za večino razpisanih </w:t>
            </w:r>
            <w:proofErr w:type="spellStart"/>
            <w:r w:rsidRPr="00115F14">
              <w:rPr>
                <w:b w:val="0"/>
                <w:bCs/>
                <w:sz w:val="20"/>
                <w:szCs w:val="20"/>
              </w:rPr>
              <w:t>državnotožilskih</w:t>
            </w:r>
            <w:proofErr w:type="spellEnd"/>
            <w:r w:rsidRPr="00115F14">
              <w:rPr>
                <w:b w:val="0"/>
                <w:bCs/>
                <w:sz w:val="20"/>
                <w:szCs w:val="20"/>
              </w:rPr>
              <w:t xml:space="preserve"> mest pravica do imenovanja pridržana </w:t>
            </w:r>
            <w:r w:rsidR="00376153">
              <w:rPr>
                <w:b w:val="0"/>
                <w:bCs/>
                <w:sz w:val="20"/>
                <w:szCs w:val="20"/>
              </w:rPr>
              <w:t>z</w:t>
            </w:r>
            <w:r w:rsidRPr="00115F14">
              <w:rPr>
                <w:b w:val="0"/>
                <w:bCs/>
                <w:sz w:val="20"/>
                <w:szCs w:val="20"/>
              </w:rPr>
              <w:t>veznemu ministru za pravosodje.</w:t>
            </w:r>
          </w:p>
          <w:p w:rsidR="00AE2155" w:rsidRPr="00115F14" w:rsidRDefault="00AE2155" w:rsidP="00B644CC">
            <w:pPr>
              <w:pStyle w:val="Oddelek"/>
              <w:numPr>
                <w:ilvl w:val="0"/>
                <w:numId w:val="0"/>
              </w:numPr>
              <w:spacing w:before="0" w:after="0" w:line="288" w:lineRule="auto"/>
              <w:jc w:val="both"/>
              <w:rPr>
                <w:b w:val="0"/>
                <w:bCs/>
                <w:sz w:val="20"/>
                <w:szCs w:val="20"/>
              </w:rPr>
            </w:pPr>
          </w:p>
          <w:p w:rsidR="00AE2155" w:rsidRPr="00115F14" w:rsidRDefault="00AE2155" w:rsidP="00B644CC">
            <w:pPr>
              <w:pStyle w:val="Oddelek"/>
              <w:numPr>
                <w:ilvl w:val="0"/>
                <w:numId w:val="0"/>
              </w:numPr>
              <w:spacing w:before="0" w:after="0" w:line="288" w:lineRule="auto"/>
              <w:jc w:val="both"/>
              <w:rPr>
                <w:b w:val="0"/>
                <w:bCs/>
                <w:sz w:val="20"/>
                <w:szCs w:val="20"/>
              </w:rPr>
            </w:pPr>
            <w:r w:rsidRPr="00115F14">
              <w:rPr>
                <w:b w:val="0"/>
                <w:bCs/>
                <w:sz w:val="20"/>
                <w:szCs w:val="20"/>
              </w:rPr>
              <w:t xml:space="preserve">Tudi postopek izbire in imenovanja avstrijskega nacionalnega člana v </w:t>
            </w:r>
            <w:proofErr w:type="spellStart"/>
            <w:r w:rsidRPr="00115F14">
              <w:rPr>
                <w:b w:val="0"/>
                <w:bCs/>
                <w:sz w:val="20"/>
                <w:szCs w:val="20"/>
              </w:rPr>
              <w:t>Eurojustu</w:t>
            </w:r>
            <w:proofErr w:type="spellEnd"/>
            <w:r w:rsidRPr="00115F14">
              <w:rPr>
                <w:b w:val="0"/>
                <w:bCs/>
                <w:sz w:val="20"/>
                <w:szCs w:val="20"/>
              </w:rPr>
              <w:t xml:space="preserve"> ali njegovega namestnika je v pristojnosti </w:t>
            </w:r>
            <w:r w:rsidR="00376153">
              <w:rPr>
                <w:b w:val="0"/>
                <w:bCs/>
                <w:sz w:val="20"/>
                <w:szCs w:val="20"/>
              </w:rPr>
              <w:t>z</w:t>
            </w:r>
            <w:r w:rsidRPr="00115F14">
              <w:rPr>
                <w:b w:val="0"/>
                <w:bCs/>
                <w:sz w:val="20"/>
                <w:szCs w:val="20"/>
              </w:rPr>
              <w:t>veznega ministrstva za pravosodje.</w:t>
            </w:r>
            <w:r>
              <w:rPr>
                <w:b w:val="0"/>
                <w:bCs/>
                <w:sz w:val="20"/>
                <w:szCs w:val="20"/>
              </w:rPr>
              <w:t xml:space="preserve"> </w:t>
            </w:r>
            <w:r w:rsidRPr="00115F14">
              <w:rPr>
                <w:b w:val="0"/>
                <w:bCs/>
                <w:sz w:val="20"/>
                <w:szCs w:val="20"/>
              </w:rPr>
              <w:t xml:space="preserve">Zvezno ministrstvo za pravosodje izbere kandidate po izvedenem internem pozivu. Izbira temelji na </w:t>
            </w:r>
            <w:r w:rsidR="00376153">
              <w:rPr>
                <w:b w:val="0"/>
                <w:bCs/>
                <w:sz w:val="20"/>
                <w:szCs w:val="20"/>
              </w:rPr>
              <w:t xml:space="preserve">teh </w:t>
            </w:r>
            <w:r w:rsidRPr="00115F14">
              <w:rPr>
                <w:b w:val="0"/>
                <w:bCs/>
                <w:sz w:val="20"/>
                <w:szCs w:val="20"/>
              </w:rPr>
              <w:t xml:space="preserve">obligatornih </w:t>
            </w:r>
            <w:r w:rsidR="00376153">
              <w:rPr>
                <w:b w:val="0"/>
                <w:bCs/>
                <w:sz w:val="20"/>
                <w:szCs w:val="20"/>
              </w:rPr>
              <w:t>merilih</w:t>
            </w:r>
            <w:r w:rsidRPr="00115F14">
              <w:rPr>
                <w:b w:val="0"/>
                <w:bCs/>
                <w:sz w:val="20"/>
                <w:szCs w:val="20"/>
              </w:rPr>
              <w:t>:</w:t>
            </w:r>
          </w:p>
          <w:p w:rsidR="00AE2155" w:rsidRPr="00115F14" w:rsidRDefault="00AE2155" w:rsidP="00B644CC">
            <w:pPr>
              <w:pStyle w:val="Oddelek"/>
              <w:numPr>
                <w:ilvl w:val="0"/>
                <w:numId w:val="0"/>
              </w:numPr>
              <w:spacing w:before="0" w:after="0" w:line="288" w:lineRule="auto"/>
              <w:jc w:val="both"/>
              <w:rPr>
                <w:b w:val="0"/>
                <w:bCs/>
                <w:sz w:val="20"/>
                <w:szCs w:val="20"/>
              </w:rPr>
            </w:pPr>
          </w:p>
          <w:p w:rsidR="00AE2155" w:rsidRDefault="00AE2155" w:rsidP="00B644CC">
            <w:pPr>
              <w:pStyle w:val="Oddelek"/>
              <w:numPr>
                <w:ilvl w:val="0"/>
                <w:numId w:val="24"/>
              </w:numPr>
              <w:spacing w:before="0" w:after="0" w:line="288" w:lineRule="auto"/>
              <w:jc w:val="both"/>
              <w:rPr>
                <w:b w:val="0"/>
                <w:bCs/>
                <w:sz w:val="20"/>
                <w:szCs w:val="20"/>
              </w:rPr>
            </w:pPr>
            <w:r w:rsidRPr="00115F14">
              <w:rPr>
                <w:b w:val="0"/>
                <w:bCs/>
                <w:sz w:val="20"/>
                <w:szCs w:val="20"/>
              </w:rPr>
              <w:t>status državnega tožilca ali sodnika,</w:t>
            </w:r>
          </w:p>
          <w:p w:rsidR="00AE2155" w:rsidRPr="00507A34" w:rsidRDefault="00AE2155" w:rsidP="00B644CC">
            <w:pPr>
              <w:pStyle w:val="Oddelek"/>
              <w:numPr>
                <w:ilvl w:val="0"/>
                <w:numId w:val="24"/>
              </w:numPr>
              <w:spacing w:before="0" w:after="0" w:line="288" w:lineRule="auto"/>
              <w:jc w:val="both"/>
              <w:rPr>
                <w:b w:val="0"/>
                <w:bCs/>
                <w:sz w:val="20"/>
                <w:szCs w:val="20"/>
              </w:rPr>
            </w:pPr>
            <w:r w:rsidRPr="00507A34">
              <w:rPr>
                <w:b w:val="0"/>
                <w:bCs/>
                <w:sz w:val="20"/>
                <w:szCs w:val="20"/>
              </w:rPr>
              <w:t>uspešna kariera sodnika ali državnega tožilca pri državnem tožilstvu oz</w:t>
            </w:r>
            <w:r w:rsidR="00376153">
              <w:rPr>
                <w:b w:val="0"/>
                <w:bCs/>
                <w:sz w:val="20"/>
                <w:szCs w:val="20"/>
              </w:rPr>
              <w:t>iroma</w:t>
            </w:r>
            <w:r w:rsidRPr="00507A34">
              <w:rPr>
                <w:b w:val="0"/>
                <w:bCs/>
                <w:sz w:val="20"/>
                <w:szCs w:val="20"/>
              </w:rPr>
              <w:t xml:space="preserve"> v </w:t>
            </w:r>
            <w:r w:rsidR="00376153">
              <w:rPr>
                <w:b w:val="0"/>
                <w:bCs/>
                <w:sz w:val="20"/>
                <w:szCs w:val="20"/>
              </w:rPr>
              <w:t>z</w:t>
            </w:r>
            <w:r w:rsidRPr="00507A34">
              <w:rPr>
                <w:b w:val="0"/>
                <w:bCs/>
                <w:sz w:val="20"/>
                <w:szCs w:val="20"/>
              </w:rPr>
              <w:t xml:space="preserve">veznem </w:t>
            </w:r>
            <w:r w:rsidR="00376153">
              <w:rPr>
                <w:b w:val="0"/>
                <w:bCs/>
                <w:sz w:val="20"/>
                <w:szCs w:val="20"/>
              </w:rPr>
              <w:t>m</w:t>
            </w:r>
            <w:r w:rsidRPr="00507A34">
              <w:rPr>
                <w:b w:val="0"/>
                <w:bCs/>
                <w:sz w:val="20"/>
                <w:szCs w:val="20"/>
              </w:rPr>
              <w:t>inistrstvu</w:t>
            </w:r>
            <w:r w:rsidR="00507A34" w:rsidRPr="00507A34">
              <w:rPr>
                <w:b w:val="0"/>
                <w:bCs/>
                <w:sz w:val="20"/>
                <w:szCs w:val="20"/>
              </w:rPr>
              <w:t xml:space="preserve"> </w:t>
            </w:r>
            <w:r w:rsidRPr="00507A34">
              <w:rPr>
                <w:b w:val="0"/>
                <w:bCs/>
                <w:sz w:val="20"/>
                <w:szCs w:val="20"/>
              </w:rPr>
              <w:t xml:space="preserve">za pravosodje (po možnosti v </w:t>
            </w:r>
            <w:r w:rsidR="00376153">
              <w:rPr>
                <w:b w:val="0"/>
                <w:bCs/>
                <w:sz w:val="20"/>
                <w:szCs w:val="20"/>
              </w:rPr>
              <w:t>o</w:t>
            </w:r>
            <w:r w:rsidRPr="00507A34">
              <w:rPr>
                <w:b w:val="0"/>
                <w:bCs/>
                <w:sz w:val="20"/>
                <w:szCs w:val="20"/>
              </w:rPr>
              <w:t>ddelku za mednarodne zadeve),</w:t>
            </w:r>
          </w:p>
          <w:p w:rsidR="00AE2155" w:rsidRPr="00115F14" w:rsidRDefault="00AE2155" w:rsidP="00B644CC">
            <w:pPr>
              <w:pStyle w:val="Oddelek"/>
              <w:numPr>
                <w:ilvl w:val="0"/>
                <w:numId w:val="24"/>
              </w:numPr>
              <w:spacing w:before="0" w:after="0" w:line="288" w:lineRule="auto"/>
              <w:jc w:val="both"/>
              <w:rPr>
                <w:b w:val="0"/>
                <w:bCs/>
                <w:sz w:val="20"/>
                <w:szCs w:val="20"/>
              </w:rPr>
            </w:pPr>
            <w:r w:rsidRPr="00115F14">
              <w:rPr>
                <w:b w:val="0"/>
                <w:bCs/>
                <w:sz w:val="20"/>
                <w:szCs w:val="20"/>
              </w:rPr>
              <w:t>dobro ustno in pisno znanje vsaj enega drugega skupnega uradnega jezika Evropske unije</w:t>
            </w:r>
            <w:r>
              <w:rPr>
                <w:b w:val="0"/>
                <w:bCs/>
                <w:sz w:val="20"/>
                <w:szCs w:val="20"/>
              </w:rPr>
              <w:t xml:space="preserve"> </w:t>
            </w:r>
            <w:r w:rsidRPr="00115F14">
              <w:rPr>
                <w:b w:val="0"/>
                <w:bCs/>
                <w:sz w:val="20"/>
                <w:szCs w:val="20"/>
              </w:rPr>
              <w:t>ali več tujih jezikov,</w:t>
            </w:r>
          </w:p>
          <w:p w:rsidR="00AE2155" w:rsidRPr="00115F14" w:rsidRDefault="00AE2155" w:rsidP="00B644CC">
            <w:pPr>
              <w:pStyle w:val="Oddelek"/>
              <w:numPr>
                <w:ilvl w:val="0"/>
                <w:numId w:val="24"/>
              </w:numPr>
              <w:spacing w:before="0" w:after="0" w:line="288" w:lineRule="auto"/>
              <w:jc w:val="both"/>
              <w:rPr>
                <w:b w:val="0"/>
                <w:bCs/>
                <w:sz w:val="20"/>
                <w:szCs w:val="20"/>
              </w:rPr>
            </w:pPr>
            <w:r w:rsidRPr="00115F14">
              <w:rPr>
                <w:b w:val="0"/>
                <w:bCs/>
                <w:sz w:val="20"/>
                <w:szCs w:val="20"/>
              </w:rPr>
              <w:t>odlično strokovno znanje s področja procesnega in materialnega kazenskega prava (tudi na mednarodni ravni),</w:t>
            </w:r>
          </w:p>
          <w:p w:rsidR="00AE2155" w:rsidRPr="00115F14" w:rsidRDefault="00AE2155" w:rsidP="00B644CC">
            <w:pPr>
              <w:pStyle w:val="Oddelek"/>
              <w:numPr>
                <w:ilvl w:val="0"/>
                <w:numId w:val="24"/>
              </w:numPr>
              <w:spacing w:before="0" w:after="0" w:line="288" w:lineRule="auto"/>
              <w:jc w:val="both"/>
              <w:rPr>
                <w:b w:val="0"/>
                <w:bCs/>
                <w:sz w:val="20"/>
                <w:szCs w:val="20"/>
              </w:rPr>
            </w:pPr>
            <w:r w:rsidRPr="00115F14">
              <w:rPr>
                <w:b w:val="0"/>
                <w:bCs/>
                <w:sz w:val="20"/>
                <w:szCs w:val="20"/>
              </w:rPr>
              <w:lastRenderedPageBreak/>
              <w:t>dobro poznavanje evropskega in mednarodnega prava,</w:t>
            </w:r>
          </w:p>
          <w:p w:rsidR="00AE2155" w:rsidRPr="00115F14" w:rsidRDefault="00AE2155" w:rsidP="00B644CC">
            <w:pPr>
              <w:pStyle w:val="Oddelek"/>
              <w:numPr>
                <w:ilvl w:val="0"/>
                <w:numId w:val="24"/>
              </w:numPr>
              <w:spacing w:before="0" w:after="0" w:line="288" w:lineRule="auto"/>
              <w:jc w:val="both"/>
              <w:rPr>
                <w:b w:val="0"/>
                <w:bCs/>
                <w:sz w:val="20"/>
                <w:szCs w:val="20"/>
              </w:rPr>
            </w:pPr>
            <w:r w:rsidRPr="00115F14">
              <w:rPr>
                <w:b w:val="0"/>
                <w:bCs/>
                <w:sz w:val="20"/>
                <w:szCs w:val="20"/>
              </w:rPr>
              <w:t xml:space="preserve">poznavanje organizacijske strukture </w:t>
            </w:r>
            <w:r w:rsidR="00376153">
              <w:rPr>
                <w:b w:val="0"/>
                <w:bCs/>
                <w:sz w:val="20"/>
                <w:szCs w:val="20"/>
              </w:rPr>
              <w:t>z</w:t>
            </w:r>
            <w:r w:rsidRPr="00115F14">
              <w:rPr>
                <w:b w:val="0"/>
                <w:bCs/>
                <w:sz w:val="20"/>
                <w:szCs w:val="20"/>
              </w:rPr>
              <w:t xml:space="preserve">veznega </w:t>
            </w:r>
            <w:r w:rsidR="00376153">
              <w:rPr>
                <w:b w:val="0"/>
                <w:bCs/>
                <w:sz w:val="20"/>
                <w:szCs w:val="20"/>
              </w:rPr>
              <w:t>m</w:t>
            </w:r>
            <w:r w:rsidRPr="00115F14">
              <w:rPr>
                <w:b w:val="0"/>
                <w:bCs/>
                <w:sz w:val="20"/>
                <w:szCs w:val="20"/>
              </w:rPr>
              <w:t>inistrstva za pravosodje</w:t>
            </w:r>
          </w:p>
          <w:p w:rsidR="00AE2155" w:rsidRPr="00115F14" w:rsidRDefault="00AE2155" w:rsidP="00B644CC">
            <w:pPr>
              <w:pStyle w:val="Oddelek"/>
              <w:numPr>
                <w:ilvl w:val="0"/>
                <w:numId w:val="24"/>
              </w:numPr>
              <w:spacing w:before="0" w:after="0" w:line="288" w:lineRule="auto"/>
              <w:jc w:val="both"/>
              <w:rPr>
                <w:b w:val="0"/>
                <w:bCs/>
                <w:sz w:val="20"/>
                <w:szCs w:val="20"/>
              </w:rPr>
            </w:pPr>
            <w:r w:rsidRPr="00115F14">
              <w:rPr>
                <w:b w:val="0"/>
                <w:bCs/>
                <w:sz w:val="20"/>
                <w:szCs w:val="20"/>
              </w:rPr>
              <w:t>sposobnost učinkovitega in ciljno usmerjenega dela, sposobnost obvladovanja velikega obsega dela,</w:t>
            </w:r>
          </w:p>
          <w:p w:rsidR="00AE2155" w:rsidRPr="00115F14" w:rsidRDefault="00AE2155" w:rsidP="00B644CC">
            <w:pPr>
              <w:pStyle w:val="Oddelek"/>
              <w:numPr>
                <w:ilvl w:val="0"/>
                <w:numId w:val="24"/>
              </w:numPr>
              <w:spacing w:before="0" w:after="0" w:line="288" w:lineRule="auto"/>
              <w:jc w:val="both"/>
              <w:rPr>
                <w:b w:val="0"/>
                <w:bCs/>
                <w:sz w:val="20"/>
                <w:szCs w:val="20"/>
              </w:rPr>
            </w:pPr>
            <w:r w:rsidRPr="00115F14">
              <w:rPr>
                <w:b w:val="0"/>
                <w:bCs/>
                <w:sz w:val="20"/>
                <w:szCs w:val="20"/>
              </w:rPr>
              <w:t>nadpovprečne socialne spretnosti, sposobnost dela v skupini, iznajdljivost in diplomatski bonton,</w:t>
            </w:r>
          </w:p>
          <w:p w:rsidR="00AE2155" w:rsidRPr="00115F14" w:rsidRDefault="00AE2155" w:rsidP="00B644CC">
            <w:pPr>
              <w:pStyle w:val="Oddelek"/>
              <w:numPr>
                <w:ilvl w:val="0"/>
                <w:numId w:val="24"/>
              </w:numPr>
              <w:spacing w:before="0" w:after="0" w:line="288" w:lineRule="auto"/>
              <w:jc w:val="both"/>
              <w:rPr>
                <w:b w:val="0"/>
                <w:bCs/>
                <w:sz w:val="20"/>
                <w:szCs w:val="20"/>
              </w:rPr>
            </w:pPr>
            <w:r w:rsidRPr="00115F14">
              <w:rPr>
                <w:b w:val="0"/>
                <w:bCs/>
                <w:sz w:val="20"/>
                <w:szCs w:val="20"/>
              </w:rPr>
              <w:t>prilagodljivost in pripravljenost na pogosta</w:t>
            </w:r>
            <w:r>
              <w:rPr>
                <w:b w:val="0"/>
                <w:bCs/>
                <w:sz w:val="20"/>
                <w:szCs w:val="20"/>
              </w:rPr>
              <w:t xml:space="preserve"> </w:t>
            </w:r>
            <w:r w:rsidRPr="00115F14">
              <w:rPr>
                <w:b w:val="0"/>
                <w:bCs/>
                <w:sz w:val="20"/>
                <w:szCs w:val="20"/>
              </w:rPr>
              <w:t>redna kratkoročna in občasno zelo pogosta poslovna potovanja.</w:t>
            </w:r>
          </w:p>
          <w:p w:rsidR="00AE2155" w:rsidRPr="00115F14" w:rsidRDefault="00AE2155" w:rsidP="00B644CC">
            <w:pPr>
              <w:pStyle w:val="Oddelek"/>
              <w:numPr>
                <w:ilvl w:val="0"/>
                <w:numId w:val="0"/>
              </w:numPr>
              <w:spacing w:before="0" w:after="0" w:line="288" w:lineRule="auto"/>
              <w:jc w:val="both"/>
              <w:rPr>
                <w:b w:val="0"/>
                <w:bCs/>
                <w:sz w:val="20"/>
                <w:szCs w:val="20"/>
                <w:shd w:val="clear" w:color="auto" w:fill="FFFFFF"/>
              </w:rPr>
            </w:pPr>
          </w:p>
          <w:p w:rsidR="00AE2155" w:rsidRPr="00115F14" w:rsidRDefault="00AE2155" w:rsidP="00B644CC">
            <w:pPr>
              <w:pStyle w:val="Oddelek"/>
              <w:numPr>
                <w:ilvl w:val="0"/>
                <w:numId w:val="0"/>
              </w:numPr>
              <w:spacing w:before="0" w:after="0" w:line="288" w:lineRule="auto"/>
              <w:jc w:val="both"/>
              <w:rPr>
                <w:b w:val="0"/>
                <w:bCs/>
                <w:sz w:val="20"/>
                <w:szCs w:val="20"/>
              </w:rPr>
            </w:pPr>
            <w:r w:rsidRPr="00115F14">
              <w:rPr>
                <w:b w:val="0"/>
                <w:bCs/>
                <w:sz w:val="20"/>
                <w:szCs w:val="20"/>
                <w:shd w:val="clear" w:color="auto" w:fill="FFFFFF"/>
              </w:rPr>
              <w:t xml:space="preserve">Na podlagi ugotovitev, ki temeljijo </w:t>
            </w:r>
            <w:r w:rsidRPr="00115F14">
              <w:rPr>
                <w:b w:val="0"/>
                <w:bCs/>
                <w:sz w:val="20"/>
                <w:szCs w:val="20"/>
              </w:rPr>
              <w:t xml:space="preserve">na razpoložljivi dokumentaciji (personalna mapa, ocene </w:t>
            </w:r>
            <w:proofErr w:type="spellStart"/>
            <w:r w:rsidRPr="00115F14">
              <w:rPr>
                <w:b w:val="0"/>
                <w:bCs/>
                <w:sz w:val="20"/>
                <w:szCs w:val="20"/>
              </w:rPr>
              <w:t>državnotožilske</w:t>
            </w:r>
            <w:proofErr w:type="spellEnd"/>
            <w:r w:rsidRPr="00115F14">
              <w:rPr>
                <w:b w:val="0"/>
                <w:bCs/>
                <w:sz w:val="20"/>
                <w:szCs w:val="20"/>
              </w:rPr>
              <w:t xml:space="preserve"> službe, po potrebi tudi poročila o nadzorstvenih pregledih in sami nadzorstveni pregledi ali pripombe vodje oddelka) in razgovoru s kandidati</w:t>
            </w:r>
            <w:r w:rsidR="00376153">
              <w:rPr>
                <w:b w:val="0"/>
                <w:bCs/>
                <w:sz w:val="20"/>
                <w:szCs w:val="20"/>
              </w:rPr>
              <w:t>,</w:t>
            </w:r>
            <w:r w:rsidRPr="00115F14">
              <w:rPr>
                <w:b w:val="0"/>
                <w:bCs/>
                <w:sz w:val="20"/>
                <w:szCs w:val="20"/>
              </w:rPr>
              <w:t xml:space="preserve"> se določi</w:t>
            </w:r>
            <w:r w:rsidR="00376153">
              <w:rPr>
                <w:b w:val="0"/>
                <w:bCs/>
                <w:sz w:val="20"/>
                <w:szCs w:val="20"/>
              </w:rPr>
              <w:t>ta</w:t>
            </w:r>
            <w:r w:rsidRPr="00115F14">
              <w:rPr>
                <w:b w:val="0"/>
                <w:bCs/>
                <w:sz w:val="20"/>
                <w:szCs w:val="20"/>
              </w:rPr>
              <w:t xml:space="preserve"> primernost in ustreznost kandidata.</w:t>
            </w:r>
          </w:p>
          <w:p w:rsidR="00AE2155" w:rsidRPr="00115F14" w:rsidRDefault="00AE2155" w:rsidP="00B644CC">
            <w:pPr>
              <w:pStyle w:val="Oddelek"/>
              <w:numPr>
                <w:ilvl w:val="0"/>
                <w:numId w:val="0"/>
              </w:numPr>
              <w:spacing w:before="0" w:after="0" w:line="288" w:lineRule="auto"/>
              <w:jc w:val="both"/>
              <w:rPr>
                <w:b w:val="0"/>
                <w:bCs/>
                <w:sz w:val="20"/>
                <w:szCs w:val="20"/>
              </w:rPr>
            </w:pPr>
          </w:p>
          <w:p w:rsidR="00AE2155" w:rsidRPr="00115F14" w:rsidRDefault="00AE2155" w:rsidP="00B644CC">
            <w:pPr>
              <w:spacing w:line="288" w:lineRule="auto"/>
              <w:jc w:val="both"/>
              <w:rPr>
                <w:rFonts w:cs="Arial"/>
                <w:szCs w:val="20"/>
              </w:rPr>
            </w:pPr>
            <w:r w:rsidRPr="00115F14">
              <w:rPr>
                <w:rFonts w:cs="Arial"/>
                <w:szCs w:val="20"/>
              </w:rPr>
              <w:t xml:space="preserve">Imenovani nacionalni predstavnik, njegov namestnik in pomočnik so za čas imenovanja v </w:t>
            </w:r>
            <w:proofErr w:type="spellStart"/>
            <w:r w:rsidRPr="00115F14">
              <w:rPr>
                <w:rFonts w:cs="Arial"/>
                <w:szCs w:val="20"/>
              </w:rPr>
              <w:t>Eurojustu</w:t>
            </w:r>
            <w:proofErr w:type="spellEnd"/>
            <w:r w:rsidRPr="00115F14">
              <w:rPr>
                <w:rFonts w:cs="Arial"/>
                <w:szCs w:val="20"/>
              </w:rPr>
              <w:t xml:space="preserve"> dodeljeni na </w:t>
            </w:r>
            <w:r w:rsidR="00376153">
              <w:rPr>
                <w:rFonts w:cs="Arial"/>
                <w:szCs w:val="20"/>
              </w:rPr>
              <w:t>z</w:t>
            </w:r>
            <w:r w:rsidRPr="00115F14">
              <w:rPr>
                <w:rFonts w:cs="Arial"/>
                <w:szCs w:val="20"/>
              </w:rPr>
              <w:t xml:space="preserve">vezno </w:t>
            </w:r>
            <w:r w:rsidR="00376153">
              <w:rPr>
                <w:rFonts w:cs="Arial"/>
                <w:szCs w:val="20"/>
              </w:rPr>
              <w:t>m</w:t>
            </w:r>
            <w:r w:rsidRPr="00115F14">
              <w:rPr>
                <w:rFonts w:cs="Arial"/>
                <w:szCs w:val="20"/>
              </w:rPr>
              <w:t>inistrstvo za pravosodje.</w:t>
            </w:r>
            <w:r w:rsidRPr="00115F14">
              <w:rPr>
                <w:rStyle w:val="Sprotnaopomba-sklic"/>
                <w:szCs w:val="20"/>
              </w:rPr>
              <w:footnoteReference w:id="19"/>
            </w:r>
          </w:p>
          <w:p w:rsidR="00AE2155" w:rsidRPr="00115F14" w:rsidRDefault="00AE2155" w:rsidP="00B644CC">
            <w:pPr>
              <w:pStyle w:val="Oddelek"/>
              <w:numPr>
                <w:ilvl w:val="0"/>
                <w:numId w:val="0"/>
              </w:numPr>
              <w:spacing w:before="0" w:after="0" w:line="288" w:lineRule="auto"/>
              <w:jc w:val="both"/>
              <w:rPr>
                <w:b w:val="0"/>
                <w:bCs/>
                <w:sz w:val="20"/>
                <w:szCs w:val="20"/>
              </w:rPr>
            </w:pPr>
          </w:p>
          <w:p w:rsidR="00AE2155" w:rsidRPr="00115F14" w:rsidRDefault="00DD7397" w:rsidP="00B644CC">
            <w:pPr>
              <w:pStyle w:val="Oddelek"/>
              <w:numPr>
                <w:ilvl w:val="0"/>
                <w:numId w:val="0"/>
              </w:numPr>
              <w:spacing w:before="0" w:after="0" w:line="288" w:lineRule="auto"/>
              <w:jc w:val="both"/>
              <w:rPr>
                <w:bCs/>
                <w:sz w:val="20"/>
                <w:szCs w:val="20"/>
              </w:rPr>
            </w:pPr>
            <w:r>
              <w:rPr>
                <w:bCs/>
                <w:sz w:val="20"/>
                <w:szCs w:val="20"/>
              </w:rPr>
              <w:t xml:space="preserve">5.1.2 </w:t>
            </w:r>
            <w:r w:rsidR="00AE2155" w:rsidRPr="00115F14">
              <w:rPr>
                <w:bCs/>
                <w:sz w:val="20"/>
                <w:szCs w:val="20"/>
              </w:rPr>
              <w:t>Hrvaška</w:t>
            </w:r>
          </w:p>
          <w:p w:rsidR="00AE2155" w:rsidRPr="00115F14" w:rsidRDefault="00AE2155" w:rsidP="00B644CC">
            <w:pPr>
              <w:pStyle w:val="Oddelek"/>
              <w:numPr>
                <w:ilvl w:val="0"/>
                <w:numId w:val="0"/>
              </w:numPr>
              <w:spacing w:before="0" w:after="0" w:line="288" w:lineRule="auto"/>
              <w:jc w:val="both"/>
              <w:rPr>
                <w:bCs/>
                <w:sz w:val="20"/>
                <w:szCs w:val="20"/>
              </w:rPr>
            </w:pPr>
          </w:p>
          <w:p w:rsidR="00AE2155" w:rsidRPr="00115F14" w:rsidRDefault="00AE2155" w:rsidP="00B644CC">
            <w:pPr>
              <w:pStyle w:val="Oddelek"/>
              <w:numPr>
                <w:ilvl w:val="0"/>
                <w:numId w:val="0"/>
              </w:numPr>
              <w:spacing w:before="0" w:after="0" w:line="288" w:lineRule="auto"/>
              <w:jc w:val="both"/>
              <w:rPr>
                <w:b w:val="0"/>
                <w:sz w:val="20"/>
                <w:szCs w:val="20"/>
              </w:rPr>
            </w:pPr>
            <w:r w:rsidRPr="00115F14">
              <w:rPr>
                <w:b w:val="0"/>
                <w:sz w:val="20"/>
                <w:szCs w:val="20"/>
              </w:rPr>
              <w:t xml:space="preserve">Državno tožilstvo je samostojen in neodvisen pravosodni organ, ki je pristojen </w:t>
            </w:r>
            <w:r w:rsidR="00376153">
              <w:rPr>
                <w:b w:val="0"/>
                <w:sz w:val="20"/>
                <w:szCs w:val="20"/>
              </w:rPr>
              <w:t>ter mora</w:t>
            </w:r>
            <w:r w:rsidRPr="00115F14">
              <w:rPr>
                <w:b w:val="0"/>
                <w:sz w:val="20"/>
                <w:szCs w:val="20"/>
              </w:rPr>
              <w:t xml:space="preserve"> ukrepati zoper storilce kaznivih dejanj in drugih kaznivih ravnanj, opravljati pravna dejanja za zaščito premoženja Republike Hrvaške ter uporabiti pravna sredstva za zaščito ustave in zakonov.</w:t>
            </w:r>
          </w:p>
          <w:p w:rsidR="00AE2155" w:rsidRPr="00115F14" w:rsidRDefault="00AE2155" w:rsidP="00B644CC">
            <w:pPr>
              <w:pStyle w:val="Oddelek"/>
              <w:numPr>
                <w:ilvl w:val="0"/>
                <w:numId w:val="0"/>
              </w:numPr>
              <w:spacing w:before="0" w:after="0" w:line="288" w:lineRule="auto"/>
              <w:jc w:val="both"/>
              <w:rPr>
                <w:sz w:val="20"/>
                <w:szCs w:val="20"/>
              </w:rPr>
            </w:pPr>
          </w:p>
          <w:p w:rsidR="00AE2155" w:rsidRPr="00115F14" w:rsidRDefault="00AE2155" w:rsidP="00B644CC">
            <w:pPr>
              <w:pStyle w:val="Oddelek"/>
              <w:numPr>
                <w:ilvl w:val="0"/>
                <w:numId w:val="0"/>
              </w:numPr>
              <w:spacing w:before="0" w:after="0" w:line="288" w:lineRule="auto"/>
              <w:jc w:val="both"/>
              <w:rPr>
                <w:b w:val="0"/>
                <w:sz w:val="20"/>
                <w:szCs w:val="20"/>
              </w:rPr>
            </w:pPr>
            <w:r w:rsidRPr="00115F14">
              <w:rPr>
                <w:b w:val="0"/>
                <w:sz w:val="20"/>
                <w:szCs w:val="20"/>
              </w:rPr>
              <w:t>Državno tožilstvo izvaja svoje pristojnosti na podlagi ustave, zakonov, mednarodnih pogodb, ki so del hrvaškega pravnega reda, in drugih predpisov, sprejetih v skladu s hrvaško ustavo, mednarodno pogodbo ali zakonom.</w:t>
            </w:r>
            <w:r w:rsidRPr="00115F14">
              <w:rPr>
                <w:rStyle w:val="Sprotnaopomba-sklic"/>
                <w:b w:val="0"/>
                <w:sz w:val="20"/>
                <w:szCs w:val="20"/>
              </w:rPr>
              <w:footnoteReference w:id="20"/>
            </w:r>
          </w:p>
          <w:p w:rsidR="00AE2155" w:rsidRPr="00115F14" w:rsidRDefault="00AE2155" w:rsidP="00B644CC">
            <w:pPr>
              <w:pStyle w:val="Oddelek"/>
              <w:numPr>
                <w:ilvl w:val="0"/>
                <w:numId w:val="0"/>
              </w:numPr>
              <w:spacing w:before="0" w:after="0" w:line="288" w:lineRule="auto"/>
              <w:jc w:val="both"/>
              <w:rPr>
                <w:b w:val="0"/>
                <w:bCs/>
                <w:sz w:val="20"/>
                <w:szCs w:val="20"/>
              </w:rPr>
            </w:pPr>
          </w:p>
          <w:p w:rsidR="00AE2155" w:rsidRPr="00115F14" w:rsidRDefault="00AE2155" w:rsidP="00B644CC">
            <w:pPr>
              <w:pStyle w:val="Oddelek"/>
              <w:numPr>
                <w:ilvl w:val="0"/>
                <w:numId w:val="0"/>
              </w:numPr>
              <w:spacing w:before="0" w:after="0" w:line="288" w:lineRule="auto"/>
              <w:jc w:val="both"/>
              <w:rPr>
                <w:bCs/>
                <w:sz w:val="20"/>
                <w:szCs w:val="20"/>
              </w:rPr>
            </w:pPr>
            <w:r w:rsidRPr="00115F14">
              <w:rPr>
                <w:b w:val="0"/>
                <w:sz w:val="20"/>
                <w:szCs w:val="20"/>
              </w:rPr>
              <w:t xml:space="preserve">Državno tožilstvo Republike Hrvaške je po </w:t>
            </w:r>
            <w:r w:rsidR="00376153">
              <w:rPr>
                <w:b w:val="0"/>
                <w:sz w:val="20"/>
                <w:szCs w:val="20"/>
              </w:rPr>
              <w:t>z</w:t>
            </w:r>
            <w:r w:rsidRPr="00115F14">
              <w:rPr>
                <w:b w:val="0"/>
                <w:sz w:val="20"/>
                <w:szCs w:val="20"/>
              </w:rPr>
              <w:t>akonu o državnem tožilstvu vertikalno hierarhično strukturirana organizacija, ki jo vodi glavni državni tožilec Republike Hrvaške.</w:t>
            </w:r>
          </w:p>
          <w:p w:rsidR="00AE2155" w:rsidRPr="00115F14" w:rsidRDefault="00AE2155" w:rsidP="00B644CC">
            <w:pPr>
              <w:pStyle w:val="Oddelek"/>
              <w:numPr>
                <w:ilvl w:val="0"/>
                <w:numId w:val="0"/>
              </w:numPr>
              <w:spacing w:before="0" w:after="0" w:line="288" w:lineRule="auto"/>
              <w:jc w:val="both"/>
              <w:rPr>
                <w:b w:val="0"/>
                <w:sz w:val="20"/>
                <w:szCs w:val="20"/>
              </w:rPr>
            </w:pPr>
          </w:p>
          <w:p w:rsidR="00AE2155" w:rsidRPr="00115F14" w:rsidRDefault="00AE2155" w:rsidP="00B644CC">
            <w:pPr>
              <w:pStyle w:val="Oddelek"/>
              <w:numPr>
                <w:ilvl w:val="0"/>
                <w:numId w:val="0"/>
              </w:numPr>
              <w:spacing w:before="0" w:after="0" w:line="288" w:lineRule="auto"/>
              <w:jc w:val="both"/>
              <w:rPr>
                <w:b w:val="0"/>
                <w:sz w:val="20"/>
                <w:szCs w:val="20"/>
              </w:rPr>
            </w:pPr>
            <w:r w:rsidRPr="00115F14">
              <w:rPr>
                <w:b w:val="0"/>
                <w:sz w:val="20"/>
                <w:szCs w:val="20"/>
              </w:rPr>
              <w:t xml:space="preserve">Glavni državni tožilec vodi in zastopa državno tožilstvo in je odgovoren za delo celotnega državnega tožilstva. </w:t>
            </w:r>
            <w:r w:rsidR="00376153">
              <w:rPr>
                <w:b w:val="0"/>
                <w:sz w:val="20"/>
                <w:szCs w:val="20"/>
              </w:rPr>
              <w:t xml:space="preserve">Vodi tudi Državno tožilstvo Republike Hrvaške in opravlja </w:t>
            </w:r>
            <w:r w:rsidRPr="00115F14">
              <w:rPr>
                <w:b w:val="0"/>
                <w:sz w:val="20"/>
                <w:szCs w:val="20"/>
              </w:rPr>
              <w:t>naloge iz</w:t>
            </w:r>
            <w:r w:rsidR="00376153">
              <w:rPr>
                <w:b w:val="0"/>
                <w:sz w:val="20"/>
                <w:szCs w:val="20"/>
              </w:rPr>
              <w:t xml:space="preserve"> njegove</w:t>
            </w:r>
            <w:r w:rsidRPr="00115F14">
              <w:rPr>
                <w:b w:val="0"/>
                <w:sz w:val="20"/>
                <w:szCs w:val="20"/>
              </w:rPr>
              <w:t xml:space="preserve"> pristojnosti.</w:t>
            </w:r>
          </w:p>
          <w:p w:rsidR="00AE2155" w:rsidRPr="00115F14" w:rsidRDefault="00AE2155" w:rsidP="00B644CC">
            <w:pPr>
              <w:pStyle w:val="Oddelek"/>
              <w:numPr>
                <w:ilvl w:val="0"/>
                <w:numId w:val="0"/>
              </w:numPr>
              <w:spacing w:before="0" w:after="0" w:line="288" w:lineRule="auto"/>
              <w:jc w:val="both"/>
              <w:rPr>
                <w:b w:val="0"/>
                <w:sz w:val="20"/>
                <w:szCs w:val="20"/>
              </w:rPr>
            </w:pPr>
          </w:p>
          <w:p w:rsidR="00AE2155" w:rsidRPr="00115F14" w:rsidRDefault="00AE2155" w:rsidP="00B644CC">
            <w:pPr>
              <w:pStyle w:val="Oddelek"/>
              <w:numPr>
                <w:ilvl w:val="0"/>
                <w:numId w:val="0"/>
              </w:numPr>
              <w:spacing w:before="0" w:after="0" w:line="288" w:lineRule="auto"/>
              <w:jc w:val="both"/>
              <w:rPr>
                <w:b w:val="0"/>
                <w:sz w:val="20"/>
                <w:szCs w:val="20"/>
              </w:rPr>
            </w:pPr>
            <w:r w:rsidRPr="00115F14">
              <w:rPr>
                <w:b w:val="0"/>
                <w:sz w:val="20"/>
                <w:szCs w:val="20"/>
              </w:rPr>
              <w:t>Glede na strogo hierarhično strukturo državnega tožilstva lahko višji državni tožilec da nižjemu državnemu tožilcu obvezna navodila za delo, kadar je to potrebno za zakonito in enotno opravljanje funkcije, po potrebi pa se lahko ta navodila nanašajo tudi na vodenje posameznih zadev.</w:t>
            </w:r>
          </w:p>
          <w:p w:rsidR="00AE2155" w:rsidRPr="00115F14" w:rsidRDefault="00AE2155" w:rsidP="00B644CC">
            <w:pPr>
              <w:pStyle w:val="HTML-oblikovano"/>
              <w:spacing w:line="288" w:lineRule="auto"/>
              <w:jc w:val="both"/>
              <w:rPr>
                <w:rFonts w:ascii="Arial" w:hAnsi="Arial" w:cs="Arial"/>
              </w:rPr>
            </w:pPr>
          </w:p>
          <w:p w:rsidR="00AE2155" w:rsidRPr="00115F14" w:rsidRDefault="00AE2155" w:rsidP="00B644CC">
            <w:pPr>
              <w:pStyle w:val="HTML-oblikovano"/>
              <w:spacing w:line="288" w:lineRule="auto"/>
              <w:jc w:val="both"/>
              <w:rPr>
                <w:rFonts w:ascii="Arial" w:hAnsi="Arial" w:cs="Arial"/>
              </w:rPr>
            </w:pPr>
            <w:r w:rsidRPr="00115F14">
              <w:rPr>
                <w:rFonts w:ascii="Arial" w:hAnsi="Arial" w:cs="Arial"/>
              </w:rPr>
              <w:t>Višji državni tožilec lahko prevzame izvajanje določenih nalog, za katere je pristojen nižji državni tožilec (</w:t>
            </w:r>
            <w:proofErr w:type="spellStart"/>
            <w:r w:rsidRPr="00115F14">
              <w:rPr>
                <w:rFonts w:ascii="Arial" w:hAnsi="Arial" w:cs="Arial"/>
              </w:rPr>
              <w:t>avokacija</w:t>
            </w:r>
            <w:proofErr w:type="spellEnd"/>
            <w:r w:rsidRPr="00115F14">
              <w:rPr>
                <w:rFonts w:ascii="Arial" w:hAnsi="Arial" w:cs="Arial"/>
              </w:rPr>
              <w:t>), in lahko v skladu z zakonom pooblasti nižjega državnega tožilca za opravljanje procesnih dejanj v določeni zadevi ali za izvajanje določenih dejanj v zadevi, ki je dodeljena drugemu nižjemu državnemu tožilcu (delegacija).</w:t>
            </w:r>
          </w:p>
          <w:p w:rsidR="00AE2155" w:rsidRPr="00115F14" w:rsidRDefault="00AE2155" w:rsidP="00B644CC">
            <w:pPr>
              <w:pStyle w:val="HTML-oblikovano"/>
              <w:spacing w:line="288" w:lineRule="auto"/>
              <w:jc w:val="both"/>
              <w:rPr>
                <w:rFonts w:ascii="Arial" w:hAnsi="Arial" w:cs="Arial"/>
              </w:rPr>
            </w:pPr>
          </w:p>
          <w:p w:rsidR="00AE2155" w:rsidRPr="00115F14" w:rsidRDefault="00AE2155" w:rsidP="00B644CC">
            <w:pPr>
              <w:pStyle w:val="HTML-oblikovano"/>
              <w:spacing w:line="288" w:lineRule="auto"/>
              <w:jc w:val="both"/>
              <w:rPr>
                <w:rFonts w:ascii="Arial" w:hAnsi="Arial" w:cs="Arial"/>
              </w:rPr>
            </w:pPr>
            <w:r w:rsidRPr="00115F14">
              <w:rPr>
                <w:rFonts w:ascii="Arial" w:hAnsi="Arial" w:cs="Arial"/>
              </w:rPr>
              <w:t>Državni tožilec glede na velikost posameznega državnega tožilstva opravlja</w:t>
            </w:r>
            <w:r>
              <w:rPr>
                <w:rFonts w:ascii="Arial" w:hAnsi="Arial" w:cs="Arial"/>
              </w:rPr>
              <w:t xml:space="preserve"> </w:t>
            </w:r>
            <w:proofErr w:type="spellStart"/>
            <w:r w:rsidRPr="00115F14">
              <w:rPr>
                <w:rFonts w:ascii="Arial" w:hAnsi="Arial" w:cs="Arial"/>
              </w:rPr>
              <w:t>državnotožilsko</w:t>
            </w:r>
            <w:proofErr w:type="spellEnd"/>
            <w:r w:rsidRPr="00115F14">
              <w:rPr>
                <w:rFonts w:ascii="Arial" w:hAnsi="Arial" w:cs="Arial"/>
              </w:rPr>
              <w:t xml:space="preserve"> funkcijo sam ali pa ima enega ali več namestnikov. Namestnik zastopa kazenske obtožbe in je </w:t>
            </w:r>
            <w:r w:rsidRPr="00115F14">
              <w:rPr>
                <w:rFonts w:ascii="Arial" w:hAnsi="Arial" w:cs="Arial"/>
              </w:rPr>
              <w:lastRenderedPageBreak/>
              <w:t xml:space="preserve">pristojen opravljati vsa procesna dejanja upravičenega državnega tožilca v postopku pred sodiščem ali drugim državnim organom, za katera je po zakonu pristojen državni tožilec. </w:t>
            </w:r>
          </w:p>
          <w:p w:rsidR="00AE2155" w:rsidRPr="00115F14" w:rsidRDefault="00AE2155" w:rsidP="00B644CC">
            <w:pPr>
              <w:pStyle w:val="HTML-oblikovano"/>
              <w:spacing w:line="288" w:lineRule="auto"/>
              <w:jc w:val="both"/>
              <w:rPr>
                <w:rFonts w:ascii="Arial" w:hAnsi="Arial" w:cs="Arial"/>
              </w:rPr>
            </w:pPr>
          </w:p>
          <w:p w:rsidR="00AE2155" w:rsidRPr="00115F14" w:rsidRDefault="00AE2155" w:rsidP="00B644CC">
            <w:pPr>
              <w:pStyle w:val="HTML-oblikovano"/>
              <w:spacing w:line="288" w:lineRule="auto"/>
              <w:jc w:val="both"/>
              <w:rPr>
                <w:rFonts w:ascii="Arial" w:hAnsi="Arial" w:cs="Arial"/>
              </w:rPr>
            </w:pPr>
            <w:r w:rsidRPr="00115F14">
              <w:rPr>
                <w:rFonts w:ascii="Arial" w:hAnsi="Arial" w:cs="Arial"/>
              </w:rPr>
              <w:t xml:space="preserve">Državno tožilstvo Republike Hrvaške sestavlja: </w:t>
            </w:r>
          </w:p>
          <w:p w:rsidR="00AE2155" w:rsidRPr="00115F14" w:rsidRDefault="00AE2155" w:rsidP="00376153">
            <w:pPr>
              <w:pStyle w:val="HTML-oblikovano"/>
              <w:numPr>
                <w:ilvl w:val="0"/>
                <w:numId w:val="49"/>
              </w:numPr>
              <w:spacing w:line="288" w:lineRule="auto"/>
              <w:ind w:left="180" w:hanging="180"/>
              <w:jc w:val="both"/>
              <w:rPr>
                <w:rFonts w:ascii="Arial" w:hAnsi="Arial" w:cs="Arial"/>
              </w:rPr>
            </w:pPr>
            <w:r w:rsidRPr="00115F14">
              <w:rPr>
                <w:rFonts w:ascii="Arial" w:hAnsi="Arial" w:cs="Arial"/>
              </w:rPr>
              <w:t xml:space="preserve">25 občinskih </w:t>
            </w:r>
            <w:proofErr w:type="spellStart"/>
            <w:r w:rsidRPr="00115F14">
              <w:rPr>
                <w:rFonts w:ascii="Arial" w:hAnsi="Arial" w:cs="Arial"/>
              </w:rPr>
              <w:t>državnotožilskih</w:t>
            </w:r>
            <w:proofErr w:type="spellEnd"/>
            <w:r w:rsidRPr="00115F14">
              <w:rPr>
                <w:rFonts w:ascii="Arial" w:hAnsi="Arial" w:cs="Arial"/>
              </w:rPr>
              <w:t xml:space="preserve"> pisarn,</w:t>
            </w:r>
          </w:p>
          <w:p w:rsidR="00AE2155" w:rsidRPr="00115F14" w:rsidRDefault="00AE2155" w:rsidP="00376153">
            <w:pPr>
              <w:pStyle w:val="HTML-oblikovano"/>
              <w:numPr>
                <w:ilvl w:val="0"/>
                <w:numId w:val="49"/>
              </w:numPr>
              <w:spacing w:line="288" w:lineRule="auto"/>
              <w:ind w:left="180" w:hanging="180"/>
              <w:jc w:val="both"/>
              <w:rPr>
                <w:rFonts w:ascii="Arial" w:hAnsi="Arial" w:cs="Arial"/>
              </w:rPr>
            </w:pPr>
            <w:r w:rsidRPr="00115F14">
              <w:rPr>
                <w:rFonts w:ascii="Arial" w:hAnsi="Arial" w:cs="Arial"/>
              </w:rPr>
              <w:t xml:space="preserve">15 okrožnih </w:t>
            </w:r>
            <w:proofErr w:type="spellStart"/>
            <w:r w:rsidRPr="00115F14">
              <w:rPr>
                <w:rFonts w:ascii="Arial" w:hAnsi="Arial" w:cs="Arial"/>
              </w:rPr>
              <w:t>državnotožilskih</w:t>
            </w:r>
            <w:proofErr w:type="spellEnd"/>
            <w:r w:rsidRPr="00115F14">
              <w:rPr>
                <w:rFonts w:ascii="Arial" w:hAnsi="Arial" w:cs="Arial"/>
              </w:rPr>
              <w:t xml:space="preserve"> pisarn,</w:t>
            </w:r>
          </w:p>
          <w:p w:rsidR="00AE2155" w:rsidRDefault="00376153" w:rsidP="00376153">
            <w:pPr>
              <w:pStyle w:val="HTML-oblikovano"/>
              <w:numPr>
                <w:ilvl w:val="0"/>
                <w:numId w:val="49"/>
              </w:numPr>
              <w:spacing w:line="288" w:lineRule="auto"/>
              <w:ind w:left="180" w:hanging="180"/>
              <w:jc w:val="both"/>
              <w:rPr>
                <w:rFonts w:ascii="Arial" w:hAnsi="Arial" w:cs="Arial"/>
              </w:rPr>
            </w:pPr>
            <w:r>
              <w:rPr>
                <w:rFonts w:ascii="Arial" w:hAnsi="Arial" w:cs="Arial"/>
              </w:rPr>
              <w:t>u</w:t>
            </w:r>
            <w:r w:rsidR="00AE2155" w:rsidRPr="00115F14">
              <w:rPr>
                <w:rFonts w:ascii="Arial" w:hAnsi="Arial" w:cs="Arial"/>
              </w:rPr>
              <w:t>rad za preprečevanje korupcije in organiziranega kriminala in</w:t>
            </w:r>
          </w:p>
          <w:p w:rsidR="00AE2155" w:rsidRPr="00376153" w:rsidRDefault="00AE2155" w:rsidP="00376153">
            <w:pPr>
              <w:pStyle w:val="HTML-oblikovano"/>
              <w:numPr>
                <w:ilvl w:val="0"/>
                <w:numId w:val="49"/>
              </w:numPr>
              <w:spacing w:line="288" w:lineRule="auto"/>
              <w:ind w:left="180" w:hanging="180"/>
              <w:jc w:val="both"/>
              <w:rPr>
                <w:rFonts w:ascii="Arial" w:hAnsi="Arial" w:cs="Arial"/>
              </w:rPr>
            </w:pPr>
            <w:r w:rsidRPr="00376153">
              <w:rPr>
                <w:rFonts w:ascii="Arial" w:hAnsi="Arial" w:cs="Arial"/>
              </w:rPr>
              <w:t>Državno tožilstvo Republike Hrvaške.</w:t>
            </w:r>
            <w:r w:rsidRPr="00115F14">
              <w:rPr>
                <w:rStyle w:val="Sprotnaopomba-sklic"/>
                <w:rFonts w:ascii="Arial" w:hAnsi="Arial" w:cs="Arial"/>
              </w:rPr>
              <w:footnoteReference w:id="21"/>
            </w:r>
          </w:p>
          <w:p w:rsidR="00AE2155" w:rsidRPr="00115F14" w:rsidRDefault="00AE2155" w:rsidP="00B644CC">
            <w:pPr>
              <w:pStyle w:val="HTML-oblikovano"/>
              <w:spacing w:line="288" w:lineRule="auto"/>
              <w:jc w:val="both"/>
              <w:rPr>
                <w:rFonts w:ascii="Arial" w:hAnsi="Arial" w:cs="Arial"/>
              </w:rPr>
            </w:pPr>
          </w:p>
          <w:p w:rsidR="00AE2155" w:rsidRPr="00115F14" w:rsidRDefault="00AE2155" w:rsidP="00B644CC">
            <w:pPr>
              <w:pStyle w:val="HTML-oblikovano"/>
              <w:spacing w:line="288" w:lineRule="auto"/>
              <w:jc w:val="both"/>
              <w:rPr>
                <w:rFonts w:ascii="Arial" w:hAnsi="Arial" w:cs="Arial"/>
              </w:rPr>
            </w:pPr>
            <w:proofErr w:type="spellStart"/>
            <w:r w:rsidRPr="00115F14">
              <w:rPr>
                <w:rFonts w:ascii="Arial" w:hAnsi="Arial" w:cs="Arial"/>
              </w:rPr>
              <w:t>Državnotožilski</w:t>
            </w:r>
            <w:proofErr w:type="spellEnd"/>
            <w:r w:rsidRPr="00115F14">
              <w:rPr>
                <w:rFonts w:ascii="Arial" w:hAnsi="Arial" w:cs="Arial"/>
              </w:rPr>
              <w:t xml:space="preserve"> svet je samostojen in neodvisen organ, ki zagotavlja samostojnost in neodvisnost Državnega tožilstva v Republiki Hrvaški.</w:t>
            </w:r>
            <w:r w:rsidRPr="00115F14">
              <w:rPr>
                <w:rStyle w:val="Sprotnaopomba-sklic"/>
                <w:rFonts w:ascii="Arial" w:hAnsi="Arial" w:cs="Arial"/>
              </w:rPr>
              <w:footnoteReference w:id="22"/>
            </w:r>
            <w:r w:rsidRPr="00115F14">
              <w:rPr>
                <w:rFonts w:ascii="Arial" w:hAnsi="Arial" w:cs="Arial"/>
              </w:rPr>
              <w:t xml:space="preserve"> Pristojen je za imenovanje in razrešitev občinskih in okrožnih državnih tožilcev, premestitev namestnikov državnih tožilcev, vodenje postopkov in odločanje o disciplinski odgovornosti namestnikov državnih tožilcev. Sodeluje pri usposabljanju in izpopolnjevanju državnih tožilcev in namestnikov državnih tožilcev, odloča o ugovoru opravljanja nalog, vodi register državnih tožilcev in namestnikov državnih tožilcev, podaja soglasje za opravljanje drugih funkcij ali dela pri opravljanju dolžnosti državnega tožilca</w:t>
            </w:r>
            <w:r>
              <w:rPr>
                <w:rFonts w:ascii="Arial" w:hAnsi="Arial" w:cs="Arial"/>
              </w:rPr>
              <w:t xml:space="preserve"> </w:t>
            </w:r>
            <w:r w:rsidRPr="00115F14">
              <w:rPr>
                <w:rFonts w:ascii="Arial" w:hAnsi="Arial" w:cs="Arial"/>
              </w:rPr>
              <w:t>ter opravlja</w:t>
            </w:r>
            <w:r>
              <w:rPr>
                <w:rFonts w:ascii="Arial" w:hAnsi="Arial" w:cs="Arial"/>
              </w:rPr>
              <w:t xml:space="preserve"> </w:t>
            </w:r>
            <w:r w:rsidRPr="00115F14">
              <w:rPr>
                <w:rFonts w:ascii="Arial" w:hAnsi="Arial" w:cs="Arial"/>
              </w:rPr>
              <w:t>druge naloge v skladu z zakonom.</w:t>
            </w:r>
          </w:p>
          <w:p w:rsidR="00AE2155" w:rsidRPr="00115F14" w:rsidRDefault="00AE2155" w:rsidP="00B644CC">
            <w:pPr>
              <w:pStyle w:val="HTML-oblikovano"/>
              <w:spacing w:line="288" w:lineRule="auto"/>
              <w:jc w:val="both"/>
              <w:rPr>
                <w:rFonts w:ascii="Arial" w:hAnsi="Arial" w:cs="Arial"/>
              </w:rPr>
            </w:pPr>
          </w:p>
          <w:p w:rsidR="00AE2155" w:rsidRPr="00115F14" w:rsidRDefault="00AE2155" w:rsidP="00B644CC">
            <w:pPr>
              <w:pStyle w:val="HTML-oblikovano"/>
              <w:spacing w:line="288" w:lineRule="auto"/>
              <w:jc w:val="both"/>
              <w:rPr>
                <w:rFonts w:ascii="Arial" w:hAnsi="Arial" w:cs="Arial"/>
              </w:rPr>
            </w:pPr>
            <w:r w:rsidRPr="00115F14">
              <w:rPr>
                <w:rFonts w:ascii="Arial" w:hAnsi="Arial" w:cs="Arial"/>
              </w:rPr>
              <w:t xml:space="preserve">Glavnega državnega tožilca Republike Hrvaške imenuje državni zbor za dobo štirih let na predlog </w:t>
            </w:r>
            <w:r w:rsidR="00376153">
              <w:rPr>
                <w:rFonts w:ascii="Arial" w:hAnsi="Arial" w:cs="Arial"/>
              </w:rPr>
              <w:t>v</w:t>
            </w:r>
            <w:r w:rsidRPr="00115F14">
              <w:rPr>
                <w:rFonts w:ascii="Arial" w:hAnsi="Arial" w:cs="Arial"/>
              </w:rPr>
              <w:t xml:space="preserve">lade </w:t>
            </w:r>
            <w:r w:rsidR="00376153">
              <w:rPr>
                <w:rFonts w:ascii="Arial" w:hAnsi="Arial" w:cs="Arial"/>
              </w:rPr>
              <w:t xml:space="preserve">in </w:t>
            </w:r>
            <w:r w:rsidRPr="00115F14">
              <w:rPr>
                <w:rFonts w:ascii="Arial" w:hAnsi="Arial" w:cs="Arial"/>
              </w:rPr>
              <w:t xml:space="preserve">po predhodnem mnenju pristojnega odbora državnega zbora </w:t>
            </w:r>
            <w:r w:rsidR="00376153">
              <w:rPr>
                <w:rFonts w:ascii="Arial" w:hAnsi="Arial" w:cs="Arial"/>
              </w:rPr>
              <w:t>ter</w:t>
            </w:r>
            <w:r w:rsidRPr="00115F14">
              <w:rPr>
                <w:rFonts w:ascii="Arial" w:hAnsi="Arial" w:cs="Arial"/>
              </w:rPr>
              <w:t xml:space="preserve"> je po poteku mandata lahko enkrat ponovno imenovan.</w:t>
            </w:r>
            <w:r w:rsidRPr="00115F14">
              <w:rPr>
                <w:rStyle w:val="Sprotnaopomba-sklic"/>
                <w:rFonts w:ascii="Arial" w:hAnsi="Arial" w:cs="Arial"/>
              </w:rPr>
              <w:footnoteReference w:id="23"/>
            </w:r>
          </w:p>
          <w:p w:rsidR="00AE2155" w:rsidRPr="00115F14" w:rsidRDefault="00AE2155" w:rsidP="00B644CC">
            <w:pPr>
              <w:pStyle w:val="HTML-oblikovano"/>
              <w:spacing w:line="288" w:lineRule="auto"/>
              <w:jc w:val="both"/>
              <w:rPr>
                <w:rFonts w:ascii="Arial" w:hAnsi="Arial" w:cs="Arial"/>
              </w:rPr>
            </w:pPr>
          </w:p>
          <w:p w:rsidR="00AE2155" w:rsidRPr="00115F14" w:rsidRDefault="00AE2155" w:rsidP="00B644CC">
            <w:pPr>
              <w:pStyle w:val="HTML-oblikovano"/>
              <w:spacing w:line="288" w:lineRule="auto"/>
              <w:jc w:val="both"/>
              <w:rPr>
                <w:rFonts w:ascii="Arial" w:hAnsi="Arial" w:cs="Arial"/>
              </w:rPr>
            </w:pPr>
            <w:r w:rsidRPr="00115F14">
              <w:rPr>
                <w:rFonts w:ascii="Arial" w:hAnsi="Arial" w:cs="Arial"/>
              </w:rPr>
              <w:t xml:space="preserve">Nacionalnega predstavnika v </w:t>
            </w:r>
            <w:proofErr w:type="spellStart"/>
            <w:r w:rsidRPr="00115F14">
              <w:rPr>
                <w:rFonts w:ascii="Arial" w:hAnsi="Arial" w:cs="Arial"/>
              </w:rPr>
              <w:t>Eurojustu</w:t>
            </w:r>
            <w:proofErr w:type="spellEnd"/>
            <w:r w:rsidRPr="00115F14">
              <w:rPr>
                <w:rFonts w:ascii="Arial" w:hAnsi="Arial" w:cs="Arial"/>
              </w:rPr>
              <w:t xml:space="preserve"> imenuje na predlog generalnega državnega tožilca minister za pravosodje. Imenovani predstavnik ima položaj namestnika generalnega državnega tožilca Republike Hrvaške. Imenovan je za obdobje štirih let z možnostjo ponovnega imenovanja.</w:t>
            </w:r>
          </w:p>
          <w:p w:rsidR="00AE2155" w:rsidRPr="00115F14" w:rsidRDefault="00AE2155" w:rsidP="00B644CC">
            <w:pPr>
              <w:pStyle w:val="Oddelek"/>
              <w:numPr>
                <w:ilvl w:val="0"/>
                <w:numId w:val="0"/>
              </w:numPr>
              <w:spacing w:before="0" w:after="0" w:line="288" w:lineRule="auto"/>
              <w:jc w:val="both"/>
              <w:rPr>
                <w:b w:val="0"/>
                <w:sz w:val="20"/>
                <w:szCs w:val="20"/>
              </w:rPr>
            </w:pPr>
          </w:p>
          <w:p w:rsidR="00AE2155" w:rsidRPr="00115F14" w:rsidRDefault="00AE2155" w:rsidP="00B644CC">
            <w:pPr>
              <w:pStyle w:val="Oddelek"/>
              <w:numPr>
                <w:ilvl w:val="0"/>
                <w:numId w:val="0"/>
              </w:numPr>
              <w:spacing w:before="0" w:after="0" w:line="288" w:lineRule="auto"/>
              <w:jc w:val="both"/>
              <w:rPr>
                <w:b w:val="0"/>
                <w:sz w:val="20"/>
                <w:szCs w:val="20"/>
              </w:rPr>
            </w:pPr>
            <w:r w:rsidRPr="00115F14">
              <w:rPr>
                <w:b w:val="0"/>
                <w:sz w:val="20"/>
                <w:szCs w:val="20"/>
              </w:rPr>
              <w:t xml:space="preserve">Pomočnik nacionalnega predstavnika v </w:t>
            </w:r>
            <w:proofErr w:type="spellStart"/>
            <w:r w:rsidRPr="00115F14">
              <w:rPr>
                <w:b w:val="0"/>
                <w:sz w:val="20"/>
                <w:szCs w:val="20"/>
              </w:rPr>
              <w:t>Eurojustu</w:t>
            </w:r>
            <w:proofErr w:type="spellEnd"/>
            <w:r w:rsidRPr="00115F14">
              <w:rPr>
                <w:b w:val="0"/>
                <w:sz w:val="20"/>
                <w:szCs w:val="20"/>
              </w:rPr>
              <w:t xml:space="preserve"> ima položaj namestnika občinskega državnega tožilca ali namestnika okrožnega državnega tožilca. Imenuje ga generalni državni tožilec Republike Hrvaške za obdobje šestih mesecev z možnostjo ponovnega imenovanja.</w:t>
            </w:r>
          </w:p>
          <w:p w:rsidR="00AE2155" w:rsidRPr="00115F14" w:rsidRDefault="00AE2155" w:rsidP="00B644CC">
            <w:pPr>
              <w:pStyle w:val="Oddelek"/>
              <w:numPr>
                <w:ilvl w:val="0"/>
                <w:numId w:val="0"/>
              </w:numPr>
              <w:spacing w:before="0" w:after="0" w:line="288" w:lineRule="auto"/>
              <w:jc w:val="both"/>
              <w:rPr>
                <w:b w:val="0"/>
                <w:sz w:val="20"/>
                <w:szCs w:val="20"/>
              </w:rPr>
            </w:pPr>
          </w:p>
          <w:p w:rsidR="00AE2155" w:rsidRPr="00115F14" w:rsidRDefault="00AE2155" w:rsidP="00B644CC">
            <w:pPr>
              <w:pStyle w:val="Oddelek"/>
              <w:numPr>
                <w:ilvl w:val="0"/>
                <w:numId w:val="0"/>
              </w:numPr>
              <w:spacing w:before="0" w:after="0" w:line="288" w:lineRule="auto"/>
              <w:jc w:val="both"/>
              <w:rPr>
                <w:b w:val="0"/>
                <w:sz w:val="20"/>
                <w:szCs w:val="20"/>
              </w:rPr>
            </w:pPr>
            <w:r w:rsidRPr="00115F14">
              <w:rPr>
                <w:b w:val="0"/>
                <w:sz w:val="20"/>
                <w:szCs w:val="20"/>
              </w:rPr>
              <w:t>Nacionaln</w:t>
            </w:r>
            <w:r w:rsidR="00376153">
              <w:rPr>
                <w:b w:val="0"/>
                <w:sz w:val="20"/>
                <w:szCs w:val="20"/>
              </w:rPr>
              <w:t>i</w:t>
            </w:r>
            <w:r w:rsidRPr="00115F14">
              <w:rPr>
                <w:b w:val="0"/>
                <w:sz w:val="20"/>
                <w:szCs w:val="20"/>
              </w:rPr>
              <w:t xml:space="preserve"> predstavnik v </w:t>
            </w:r>
            <w:proofErr w:type="spellStart"/>
            <w:r w:rsidRPr="00115F14">
              <w:rPr>
                <w:b w:val="0"/>
                <w:sz w:val="20"/>
                <w:szCs w:val="20"/>
              </w:rPr>
              <w:t>Eurojustu</w:t>
            </w:r>
            <w:proofErr w:type="spellEnd"/>
            <w:r w:rsidRPr="00115F14">
              <w:rPr>
                <w:b w:val="0"/>
                <w:sz w:val="20"/>
                <w:szCs w:val="20"/>
              </w:rPr>
              <w:t xml:space="preserve"> o svojem delu redno poroča generalnemu državnemu tožilcu Republike Hrvaške.</w:t>
            </w:r>
          </w:p>
          <w:p w:rsidR="00AE2155" w:rsidRPr="00115F14" w:rsidRDefault="00AE2155" w:rsidP="00B644CC">
            <w:pPr>
              <w:pStyle w:val="Oddelek"/>
              <w:numPr>
                <w:ilvl w:val="0"/>
                <w:numId w:val="0"/>
              </w:numPr>
              <w:spacing w:before="0" w:after="0" w:line="288" w:lineRule="auto"/>
              <w:jc w:val="both"/>
              <w:rPr>
                <w:b w:val="0"/>
                <w:sz w:val="20"/>
                <w:szCs w:val="20"/>
              </w:rPr>
            </w:pPr>
          </w:p>
          <w:p w:rsidR="00AE2155" w:rsidRPr="00115F14" w:rsidRDefault="00AE2155" w:rsidP="00B644CC">
            <w:pPr>
              <w:pStyle w:val="Oddelek"/>
              <w:numPr>
                <w:ilvl w:val="0"/>
                <w:numId w:val="0"/>
              </w:numPr>
              <w:spacing w:before="0" w:after="0" w:line="288" w:lineRule="auto"/>
              <w:jc w:val="both"/>
              <w:rPr>
                <w:b w:val="0"/>
                <w:sz w:val="20"/>
                <w:szCs w:val="20"/>
              </w:rPr>
            </w:pPr>
            <w:r w:rsidRPr="00115F14">
              <w:rPr>
                <w:b w:val="0"/>
                <w:sz w:val="20"/>
                <w:szCs w:val="20"/>
              </w:rPr>
              <w:t xml:space="preserve">Nacionalni član ima za dosego ciljev </w:t>
            </w:r>
            <w:proofErr w:type="spellStart"/>
            <w:r w:rsidRPr="00115F14">
              <w:rPr>
                <w:b w:val="0"/>
                <w:sz w:val="20"/>
                <w:szCs w:val="20"/>
              </w:rPr>
              <w:t>Eurojusta</w:t>
            </w:r>
            <w:proofErr w:type="spellEnd"/>
            <w:r w:rsidRPr="00115F14">
              <w:rPr>
                <w:b w:val="0"/>
                <w:sz w:val="20"/>
                <w:szCs w:val="20"/>
              </w:rPr>
              <w:t xml:space="preserve"> dostop do podatkov iz kazenskih evidenc ali drugih evidenc v Republiki Hrvaški na enak način, kot jih hrvaška zakonodaja določa za državnega tožilca ali </w:t>
            </w:r>
            <w:r w:rsidR="00376153">
              <w:rPr>
                <w:b w:val="0"/>
                <w:sz w:val="20"/>
                <w:szCs w:val="20"/>
              </w:rPr>
              <w:t>njegovega</w:t>
            </w:r>
            <w:r w:rsidRPr="00115F14">
              <w:rPr>
                <w:b w:val="0"/>
                <w:sz w:val="20"/>
                <w:szCs w:val="20"/>
              </w:rPr>
              <w:t xml:space="preserve"> namestnika, lahko pa od</w:t>
            </w:r>
            <w:r w:rsidR="00376153">
              <w:rPr>
                <w:b w:val="0"/>
                <w:sz w:val="20"/>
                <w:szCs w:val="20"/>
              </w:rPr>
              <w:t xml:space="preserve"> pristojnih</w:t>
            </w:r>
            <w:r w:rsidRPr="00115F14">
              <w:rPr>
                <w:b w:val="0"/>
                <w:sz w:val="20"/>
                <w:szCs w:val="20"/>
              </w:rPr>
              <w:t xml:space="preserve"> pravosodnih organov v imenu </w:t>
            </w:r>
            <w:proofErr w:type="spellStart"/>
            <w:r w:rsidRPr="00115F14">
              <w:rPr>
                <w:b w:val="0"/>
                <w:sz w:val="20"/>
                <w:szCs w:val="20"/>
              </w:rPr>
              <w:t>Eurojusta</w:t>
            </w:r>
            <w:proofErr w:type="spellEnd"/>
            <w:r w:rsidRPr="00115F14">
              <w:rPr>
                <w:b w:val="0"/>
                <w:sz w:val="20"/>
                <w:szCs w:val="20"/>
              </w:rPr>
              <w:t xml:space="preserve"> zahteva izvedbo določenih ukrepov ter predložitev podatkov, potrebnih za izvajanje posebnih dokaznih dejanj ali drugih dejanj z namenom kazenskega pregona.</w:t>
            </w:r>
          </w:p>
          <w:p w:rsidR="00AE2155" w:rsidRPr="00115F14" w:rsidRDefault="00AE2155" w:rsidP="00B644CC">
            <w:pPr>
              <w:pStyle w:val="Oddelek"/>
              <w:numPr>
                <w:ilvl w:val="0"/>
                <w:numId w:val="0"/>
              </w:numPr>
              <w:spacing w:before="0" w:after="0" w:line="288" w:lineRule="auto"/>
              <w:jc w:val="both"/>
              <w:rPr>
                <w:b w:val="0"/>
                <w:sz w:val="20"/>
                <w:szCs w:val="20"/>
              </w:rPr>
            </w:pPr>
          </w:p>
          <w:p w:rsidR="008316DB" w:rsidRPr="00376153" w:rsidRDefault="00AE2155" w:rsidP="00B644CC">
            <w:pPr>
              <w:pStyle w:val="Oddelek"/>
              <w:numPr>
                <w:ilvl w:val="0"/>
                <w:numId w:val="0"/>
              </w:numPr>
              <w:spacing w:before="0" w:after="0" w:line="288" w:lineRule="auto"/>
              <w:jc w:val="both"/>
              <w:rPr>
                <w:b w:val="0"/>
                <w:sz w:val="20"/>
                <w:szCs w:val="20"/>
              </w:rPr>
            </w:pPr>
            <w:r w:rsidRPr="00115F14">
              <w:rPr>
                <w:b w:val="0"/>
                <w:sz w:val="20"/>
                <w:szCs w:val="20"/>
              </w:rPr>
              <w:t>Imenovani nacionalni predstavnik Republike Hrvaške je vodja oddelka za mednarodno pravno pomoč in mednarodno sodelovanje v Državnem tožilstvu Republike Hrvaške</w:t>
            </w:r>
            <w:r w:rsidR="00376153">
              <w:rPr>
                <w:b w:val="0"/>
                <w:sz w:val="20"/>
                <w:szCs w:val="20"/>
              </w:rPr>
              <w:t>.</w:t>
            </w:r>
          </w:p>
          <w:p w:rsidR="008316DB" w:rsidRDefault="008316DB" w:rsidP="00B644CC">
            <w:pPr>
              <w:pStyle w:val="Oddelek"/>
              <w:numPr>
                <w:ilvl w:val="0"/>
                <w:numId w:val="0"/>
              </w:numPr>
              <w:spacing w:before="0" w:after="0" w:line="288" w:lineRule="auto"/>
              <w:jc w:val="both"/>
              <w:rPr>
                <w:bCs/>
                <w:sz w:val="20"/>
                <w:szCs w:val="20"/>
              </w:rPr>
            </w:pPr>
          </w:p>
          <w:p w:rsidR="00AE2155" w:rsidRPr="00115F14" w:rsidRDefault="00DD7397" w:rsidP="00B644CC">
            <w:pPr>
              <w:pStyle w:val="Oddelek"/>
              <w:numPr>
                <w:ilvl w:val="0"/>
                <w:numId w:val="0"/>
              </w:numPr>
              <w:spacing w:before="0" w:after="0" w:line="288" w:lineRule="auto"/>
              <w:jc w:val="both"/>
              <w:rPr>
                <w:bCs/>
                <w:sz w:val="20"/>
                <w:szCs w:val="20"/>
              </w:rPr>
            </w:pPr>
            <w:r>
              <w:rPr>
                <w:bCs/>
                <w:sz w:val="20"/>
                <w:szCs w:val="20"/>
              </w:rPr>
              <w:t xml:space="preserve">5.1.3 </w:t>
            </w:r>
            <w:r w:rsidR="00AE2155" w:rsidRPr="00115F14">
              <w:rPr>
                <w:bCs/>
                <w:sz w:val="20"/>
                <w:szCs w:val="20"/>
              </w:rPr>
              <w:t>Malta</w:t>
            </w:r>
          </w:p>
          <w:p w:rsidR="00AE2155" w:rsidRPr="00115F14" w:rsidRDefault="00AE2155" w:rsidP="00B644CC">
            <w:pPr>
              <w:pStyle w:val="Oddelek"/>
              <w:numPr>
                <w:ilvl w:val="0"/>
                <w:numId w:val="0"/>
              </w:numPr>
              <w:spacing w:before="0" w:after="0" w:line="288" w:lineRule="auto"/>
              <w:jc w:val="both"/>
              <w:rPr>
                <w:bCs/>
                <w:sz w:val="20"/>
                <w:szCs w:val="20"/>
              </w:rPr>
            </w:pPr>
          </w:p>
          <w:p w:rsidR="00AE2155" w:rsidRPr="00115F14" w:rsidRDefault="00AE2155" w:rsidP="00B644CC">
            <w:pPr>
              <w:pStyle w:val="Oddelek"/>
              <w:numPr>
                <w:ilvl w:val="0"/>
                <w:numId w:val="0"/>
              </w:numPr>
              <w:spacing w:before="0" w:after="0" w:line="288" w:lineRule="auto"/>
              <w:jc w:val="both"/>
              <w:rPr>
                <w:b w:val="0"/>
                <w:sz w:val="20"/>
                <w:szCs w:val="20"/>
              </w:rPr>
            </w:pPr>
            <w:r w:rsidRPr="00115F14">
              <w:rPr>
                <w:b w:val="0"/>
                <w:sz w:val="20"/>
                <w:szCs w:val="20"/>
              </w:rPr>
              <w:t>Maltešk</w:t>
            </w:r>
            <w:r>
              <w:rPr>
                <w:b w:val="0"/>
                <w:sz w:val="20"/>
                <w:szCs w:val="20"/>
              </w:rPr>
              <w:t>a</w:t>
            </w:r>
            <w:r w:rsidRPr="00115F14">
              <w:rPr>
                <w:b w:val="0"/>
                <w:sz w:val="20"/>
                <w:szCs w:val="20"/>
              </w:rPr>
              <w:t xml:space="preserve"> ustav</w:t>
            </w:r>
            <w:r>
              <w:rPr>
                <w:b w:val="0"/>
                <w:sz w:val="20"/>
                <w:szCs w:val="20"/>
              </w:rPr>
              <w:t>a</w:t>
            </w:r>
            <w:r w:rsidRPr="00115F14">
              <w:rPr>
                <w:b w:val="0"/>
                <w:sz w:val="20"/>
                <w:szCs w:val="20"/>
              </w:rPr>
              <w:t xml:space="preserve"> v 91. členu ureja naloge </w:t>
            </w:r>
            <w:r w:rsidRPr="00115F14">
              <w:rPr>
                <w:rStyle w:val="Krepko"/>
                <w:sz w:val="20"/>
                <w:szCs w:val="20"/>
                <w:bdr w:val="none" w:sz="0" w:space="0" w:color="auto" w:frame="1"/>
              </w:rPr>
              <w:t>generalnega državnega tožilca</w:t>
            </w:r>
            <w:r w:rsidRPr="00115F14">
              <w:rPr>
                <w:b w:val="0"/>
                <w:sz w:val="20"/>
                <w:szCs w:val="20"/>
              </w:rPr>
              <w:t xml:space="preserve">. Urad generalnega državnega tožilca je ustanovljen kot vladni organ v skladu z </w:t>
            </w:r>
            <w:r w:rsidR="00376153">
              <w:rPr>
                <w:b w:val="0"/>
                <w:sz w:val="20"/>
                <w:szCs w:val="20"/>
              </w:rPr>
              <w:t>o</w:t>
            </w:r>
            <w:r w:rsidRPr="00115F14">
              <w:rPr>
                <w:b w:val="0"/>
                <w:sz w:val="20"/>
                <w:szCs w:val="20"/>
              </w:rPr>
              <w:t xml:space="preserve">dlokom o generalnem državnem </w:t>
            </w:r>
            <w:r w:rsidRPr="00115F14">
              <w:rPr>
                <w:b w:val="0"/>
                <w:sz w:val="20"/>
                <w:szCs w:val="20"/>
              </w:rPr>
              <w:lastRenderedPageBreak/>
              <w:t>tožilcu. V skladu z ustavo Malte ima generalni državni tožilec enako varen mandat kot sodnik ter izvaja neodvisno presojo v zadevah, povezanih s kazenskim pregonom, in opravlja naloge, ki jih določa kazenski zakonik v zvezi s kazenskim pregonom.</w:t>
            </w:r>
          </w:p>
          <w:p w:rsidR="00AE2155" w:rsidRPr="00115F14" w:rsidRDefault="00AE2155" w:rsidP="00B644CC">
            <w:pPr>
              <w:pStyle w:val="Oddelek"/>
              <w:numPr>
                <w:ilvl w:val="0"/>
                <w:numId w:val="0"/>
              </w:numPr>
              <w:spacing w:before="0" w:after="0" w:line="288" w:lineRule="auto"/>
              <w:jc w:val="both"/>
              <w:rPr>
                <w:b w:val="0"/>
                <w:sz w:val="20"/>
                <w:szCs w:val="20"/>
              </w:rPr>
            </w:pPr>
          </w:p>
          <w:p w:rsidR="00AE2155" w:rsidRPr="00115F14" w:rsidRDefault="00AE2155" w:rsidP="00B644CC">
            <w:pPr>
              <w:pStyle w:val="Oddelek"/>
              <w:numPr>
                <w:ilvl w:val="0"/>
                <w:numId w:val="0"/>
              </w:numPr>
              <w:spacing w:before="0" w:after="0" w:line="288" w:lineRule="auto"/>
              <w:jc w:val="both"/>
              <w:rPr>
                <w:b w:val="0"/>
                <w:bCs/>
                <w:sz w:val="20"/>
                <w:szCs w:val="20"/>
              </w:rPr>
            </w:pPr>
            <w:r w:rsidRPr="00115F14">
              <w:rPr>
                <w:b w:val="0"/>
                <w:sz w:val="20"/>
                <w:szCs w:val="20"/>
              </w:rPr>
              <w:t>Generalnemu državnemu tožilcu pomagajo namestnik generalnega državnega tožilca, pomočnik generalnega državnega tožilca in drugi pravni uslužbenci.</w:t>
            </w:r>
          </w:p>
          <w:p w:rsidR="00AE2155" w:rsidRPr="00115F14" w:rsidRDefault="00AE2155" w:rsidP="00B644CC">
            <w:pPr>
              <w:pStyle w:val="Oddelek"/>
              <w:numPr>
                <w:ilvl w:val="0"/>
                <w:numId w:val="0"/>
              </w:numPr>
              <w:spacing w:before="0" w:after="0" w:line="288" w:lineRule="auto"/>
              <w:jc w:val="both"/>
              <w:rPr>
                <w:b w:val="0"/>
                <w:sz w:val="20"/>
                <w:szCs w:val="20"/>
              </w:rPr>
            </w:pPr>
          </w:p>
          <w:p w:rsidR="00AE2155" w:rsidRPr="00115F14" w:rsidRDefault="00AE2155" w:rsidP="00B644CC">
            <w:pPr>
              <w:pStyle w:val="Oddelek"/>
              <w:numPr>
                <w:ilvl w:val="0"/>
                <w:numId w:val="0"/>
              </w:numPr>
              <w:spacing w:before="0" w:after="0" w:line="288" w:lineRule="auto"/>
              <w:jc w:val="both"/>
              <w:rPr>
                <w:b w:val="0"/>
                <w:sz w:val="20"/>
                <w:szCs w:val="20"/>
              </w:rPr>
            </w:pPr>
            <w:r w:rsidRPr="00115F14">
              <w:rPr>
                <w:b w:val="0"/>
                <w:sz w:val="20"/>
                <w:szCs w:val="20"/>
              </w:rPr>
              <w:t>Generalni državni tožilec je glavni tožilec na Malti, ki je pristojen za pregon storilcev kaznivih dejanj in zastopanje kazenske obtožbe. Generalni državni tožilec se po lastni presoji odloča</w:t>
            </w:r>
            <w:r w:rsidR="00376153">
              <w:rPr>
                <w:b w:val="0"/>
                <w:sz w:val="20"/>
                <w:szCs w:val="20"/>
              </w:rPr>
              <w:t>,</w:t>
            </w:r>
            <w:r w:rsidRPr="00115F14">
              <w:rPr>
                <w:b w:val="0"/>
                <w:sz w:val="20"/>
                <w:szCs w:val="20"/>
              </w:rPr>
              <w:t xml:space="preserve"> ali bo uvedel, nadaljeval ali prekinil kazenski postopek. Pri svojem delu je popolnoma samostojen in neodvisen. </w:t>
            </w:r>
          </w:p>
          <w:p w:rsidR="00AE2155" w:rsidRPr="00115F14" w:rsidRDefault="00AE2155" w:rsidP="00B644CC">
            <w:pPr>
              <w:pStyle w:val="Oddelek"/>
              <w:numPr>
                <w:ilvl w:val="0"/>
                <w:numId w:val="0"/>
              </w:numPr>
              <w:spacing w:before="0" w:after="0" w:line="288" w:lineRule="auto"/>
              <w:jc w:val="both"/>
              <w:rPr>
                <w:b w:val="0"/>
                <w:sz w:val="20"/>
                <w:szCs w:val="20"/>
              </w:rPr>
            </w:pPr>
          </w:p>
          <w:p w:rsidR="00AE2155" w:rsidRPr="00115F14" w:rsidRDefault="00AE2155" w:rsidP="00B644CC">
            <w:pPr>
              <w:pStyle w:val="Oddelek"/>
              <w:numPr>
                <w:ilvl w:val="0"/>
                <w:numId w:val="0"/>
              </w:numPr>
              <w:spacing w:before="0" w:after="0" w:line="288" w:lineRule="auto"/>
              <w:jc w:val="both"/>
              <w:rPr>
                <w:b w:val="0"/>
                <w:sz w:val="20"/>
                <w:szCs w:val="20"/>
              </w:rPr>
            </w:pPr>
            <w:r w:rsidRPr="00115F14">
              <w:rPr>
                <w:b w:val="0"/>
                <w:sz w:val="20"/>
                <w:szCs w:val="20"/>
              </w:rPr>
              <w:t>Generalni državni tožilec je</w:t>
            </w:r>
            <w:r w:rsidRPr="00115F14">
              <w:rPr>
                <w:sz w:val="20"/>
                <w:szCs w:val="20"/>
              </w:rPr>
              <w:t> </w:t>
            </w:r>
            <w:r w:rsidRPr="00115F14">
              <w:rPr>
                <w:rStyle w:val="Krepko"/>
                <w:sz w:val="20"/>
                <w:szCs w:val="20"/>
                <w:bdr w:val="none" w:sz="0" w:space="0" w:color="auto" w:frame="1"/>
              </w:rPr>
              <w:t>javni tožilec</w:t>
            </w:r>
            <w:r w:rsidRPr="00115F14">
              <w:rPr>
                <w:sz w:val="20"/>
                <w:szCs w:val="20"/>
              </w:rPr>
              <w:t> </w:t>
            </w:r>
            <w:r w:rsidRPr="00115F14">
              <w:rPr>
                <w:b w:val="0"/>
                <w:sz w:val="20"/>
                <w:szCs w:val="20"/>
              </w:rPr>
              <w:t>v postopkih pred </w:t>
            </w:r>
            <w:r w:rsidRPr="00115F14">
              <w:rPr>
                <w:rStyle w:val="Krepko"/>
                <w:sz w:val="20"/>
                <w:szCs w:val="20"/>
                <w:bdr w:val="none" w:sz="0" w:space="0" w:color="auto" w:frame="1"/>
              </w:rPr>
              <w:t>kazenskim sodiščem in kazenskim pritožbenim sodiščem</w:t>
            </w:r>
            <w:r w:rsidRPr="00115F14">
              <w:rPr>
                <w:b w:val="0"/>
                <w:sz w:val="20"/>
                <w:szCs w:val="20"/>
              </w:rPr>
              <w:t>. Nekatere postopke kazenskega pregona, ki jih začne policija, mora predhodno odobriti generalni državni tožilec.</w:t>
            </w:r>
          </w:p>
          <w:p w:rsidR="00AE2155" w:rsidRPr="00115F14" w:rsidRDefault="00AE2155" w:rsidP="00B644CC">
            <w:pPr>
              <w:pStyle w:val="Oddelek"/>
              <w:numPr>
                <w:ilvl w:val="0"/>
                <w:numId w:val="0"/>
              </w:numPr>
              <w:spacing w:before="0" w:after="0" w:line="288" w:lineRule="auto"/>
              <w:jc w:val="both"/>
              <w:rPr>
                <w:b w:val="0"/>
                <w:sz w:val="20"/>
                <w:szCs w:val="20"/>
              </w:rPr>
            </w:pPr>
          </w:p>
          <w:p w:rsidR="00AE2155" w:rsidRPr="00115F14" w:rsidRDefault="00AE2155" w:rsidP="00B644CC">
            <w:pPr>
              <w:pStyle w:val="Oddelek"/>
              <w:numPr>
                <w:ilvl w:val="0"/>
                <w:numId w:val="0"/>
              </w:numPr>
              <w:spacing w:before="0" w:after="0" w:line="288" w:lineRule="auto"/>
              <w:jc w:val="both"/>
              <w:rPr>
                <w:b w:val="0"/>
                <w:sz w:val="20"/>
                <w:szCs w:val="20"/>
              </w:rPr>
            </w:pPr>
            <w:r w:rsidRPr="00115F14">
              <w:rPr>
                <w:b w:val="0"/>
                <w:sz w:val="20"/>
                <w:szCs w:val="20"/>
              </w:rPr>
              <w:t xml:space="preserve">Generalni državni tožilec pri izvajanju pristojnosti za začetek, izvajanje ali ustavitev kazenskih postopkov, ki so mu podeljene </w:t>
            </w:r>
            <w:r>
              <w:rPr>
                <w:b w:val="0"/>
                <w:sz w:val="20"/>
                <w:szCs w:val="20"/>
              </w:rPr>
              <w:t xml:space="preserve">z </w:t>
            </w:r>
            <w:r w:rsidRPr="00115F14">
              <w:rPr>
                <w:b w:val="0"/>
                <w:sz w:val="20"/>
                <w:szCs w:val="20"/>
              </w:rPr>
              <w:t>zakonom, ki določa izvajanje takih pristojnosti, ne prejema navodil oziroma ni pod nadzorom nobene druge osebe ali organa.</w:t>
            </w:r>
          </w:p>
          <w:p w:rsidR="00AE2155" w:rsidRPr="00115F14" w:rsidRDefault="00AE2155" w:rsidP="00B644CC">
            <w:pPr>
              <w:pStyle w:val="Oddelek"/>
              <w:numPr>
                <w:ilvl w:val="0"/>
                <w:numId w:val="0"/>
              </w:numPr>
              <w:spacing w:before="0" w:after="0" w:line="288" w:lineRule="auto"/>
              <w:jc w:val="both"/>
              <w:rPr>
                <w:b w:val="0"/>
                <w:sz w:val="20"/>
                <w:szCs w:val="20"/>
              </w:rPr>
            </w:pPr>
          </w:p>
          <w:p w:rsidR="00AE2155" w:rsidRPr="00115F14" w:rsidRDefault="00AE2155" w:rsidP="00B644CC">
            <w:pPr>
              <w:pStyle w:val="Oddelek"/>
              <w:numPr>
                <w:ilvl w:val="0"/>
                <w:numId w:val="0"/>
              </w:numPr>
              <w:spacing w:before="0" w:after="0" w:line="288" w:lineRule="auto"/>
              <w:jc w:val="both"/>
              <w:rPr>
                <w:b w:val="0"/>
                <w:sz w:val="20"/>
                <w:szCs w:val="20"/>
              </w:rPr>
            </w:pPr>
            <w:r w:rsidRPr="00115F14">
              <w:rPr>
                <w:b w:val="0"/>
                <w:sz w:val="20"/>
                <w:szCs w:val="20"/>
              </w:rPr>
              <w:t>Poleg tega generalni državni tožilec nastopa tudi kot </w:t>
            </w:r>
            <w:r w:rsidRPr="00115F14">
              <w:rPr>
                <w:rStyle w:val="Krepko"/>
                <w:sz w:val="20"/>
                <w:szCs w:val="20"/>
                <w:bdr w:val="none" w:sz="0" w:space="0" w:color="auto" w:frame="1"/>
              </w:rPr>
              <w:t>pravni svetovalec</w:t>
            </w:r>
            <w:r w:rsidRPr="00115F14">
              <w:rPr>
                <w:b w:val="0"/>
                <w:sz w:val="20"/>
                <w:szCs w:val="20"/>
              </w:rPr>
              <w:t xml:space="preserve"> vlade, pravni uslužbenci </w:t>
            </w:r>
            <w:r w:rsidR="00376153">
              <w:rPr>
                <w:b w:val="0"/>
                <w:sz w:val="20"/>
                <w:szCs w:val="20"/>
              </w:rPr>
              <w:t>u</w:t>
            </w:r>
            <w:r w:rsidRPr="00115F14">
              <w:rPr>
                <w:b w:val="0"/>
                <w:sz w:val="20"/>
                <w:szCs w:val="20"/>
              </w:rPr>
              <w:t>rada generalnega državnega tožilca pa </w:t>
            </w:r>
            <w:r w:rsidRPr="00115F14">
              <w:rPr>
                <w:rStyle w:val="Krepko"/>
                <w:sz w:val="20"/>
                <w:szCs w:val="20"/>
                <w:bdr w:val="none" w:sz="0" w:space="0" w:color="auto" w:frame="1"/>
              </w:rPr>
              <w:t>zastopajo vlado</w:t>
            </w:r>
            <w:r w:rsidRPr="00115F14">
              <w:rPr>
                <w:b w:val="0"/>
                <w:sz w:val="20"/>
                <w:szCs w:val="20"/>
              </w:rPr>
              <w:t> pred civilnim in ustavnim sodiščem.</w:t>
            </w:r>
          </w:p>
          <w:p w:rsidR="00AE2155" w:rsidRPr="00115F14" w:rsidRDefault="00AE2155" w:rsidP="00B644CC">
            <w:pPr>
              <w:pStyle w:val="Oddelek"/>
              <w:numPr>
                <w:ilvl w:val="0"/>
                <w:numId w:val="0"/>
              </w:numPr>
              <w:spacing w:before="0" w:after="0" w:line="288" w:lineRule="auto"/>
              <w:jc w:val="both"/>
              <w:rPr>
                <w:b w:val="0"/>
                <w:sz w:val="20"/>
                <w:szCs w:val="20"/>
              </w:rPr>
            </w:pPr>
          </w:p>
          <w:p w:rsidR="00AE2155" w:rsidRPr="00115F14" w:rsidRDefault="00AE2155" w:rsidP="00B644CC">
            <w:pPr>
              <w:pStyle w:val="Oddelek"/>
              <w:numPr>
                <w:ilvl w:val="0"/>
                <w:numId w:val="0"/>
              </w:numPr>
              <w:spacing w:before="0" w:after="0" w:line="288" w:lineRule="auto"/>
              <w:jc w:val="both"/>
              <w:rPr>
                <w:b w:val="0"/>
                <w:sz w:val="20"/>
                <w:szCs w:val="20"/>
              </w:rPr>
            </w:pPr>
            <w:r w:rsidRPr="00115F14">
              <w:rPr>
                <w:b w:val="0"/>
                <w:sz w:val="20"/>
                <w:szCs w:val="20"/>
              </w:rPr>
              <w:t>Urad generalnega državnega tožilca je tudi pristojen v večini zadev, povezanih s </w:t>
            </w:r>
            <w:r w:rsidRPr="00115F14">
              <w:rPr>
                <w:rStyle w:val="Krepko"/>
                <w:sz w:val="20"/>
                <w:szCs w:val="20"/>
                <w:bdr w:val="none" w:sz="0" w:space="0" w:color="auto" w:frame="1"/>
              </w:rPr>
              <w:t>pravnim sodelovanjem</w:t>
            </w:r>
            <w:r w:rsidRPr="00115F14">
              <w:rPr>
                <w:b w:val="0"/>
                <w:sz w:val="20"/>
                <w:szCs w:val="20"/>
              </w:rPr>
              <w:t> na področju civilnega, gospodarskega in kazenskega prava.</w:t>
            </w:r>
          </w:p>
          <w:p w:rsidR="00AE2155" w:rsidRPr="00115F14" w:rsidRDefault="00AE2155" w:rsidP="00B644CC">
            <w:pPr>
              <w:pStyle w:val="Oddelek"/>
              <w:numPr>
                <w:ilvl w:val="0"/>
                <w:numId w:val="0"/>
              </w:numPr>
              <w:spacing w:before="0" w:after="0" w:line="288" w:lineRule="auto"/>
              <w:jc w:val="both"/>
              <w:rPr>
                <w:b w:val="0"/>
                <w:sz w:val="20"/>
                <w:szCs w:val="20"/>
              </w:rPr>
            </w:pPr>
          </w:p>
          <w:p w:rsidR="00AE2155" w:rsidRPr="00115F14" w:rsidRDefault="00AE2155" w:rsidP="00B644CC">
            <w:pPr>
              <w:pStyle w:val="Oddelek"/>
              <w:numPr>
                <w:ilvl w:val="0"/>
                <w:numId w:val="0"/>
              </w:numPr>
              <w:spacing w:before="0" w:after="0" w:line="288" w:lineRule="auto"/>
              <w:jc w:val="both"/>
              <w:rPr>
                <w:b w:val="0"/>
                <w:sz w:val="20"/>
                <w:szCs w:val="20"/>
              </w:rPr>
            </w:pPr>
            <w:r w:rsidRPr="00115F14">
              <w:rPr>
                <w:b w:val="0"/>
                <w:sz w:val="20"/>
                <w:szCs w:val="20"/>
              </w:rPr>
              <w:t>Urad generalnega državnega tožilca </w:t>
            </w:r>
            <w:r w:rsidRPr="00115F14">
              <w:rPr>
                <w:rStyle w:val="Krepko"/>
                <w:sz w:val="20"/>
                <w:szCs w:val="20"/>
                <w:bdr w:val="none" w:sz="0" w:space="0" w:color="auto" w:frame="1"/>
              </w:rPr>
              <w:t>zastopa Republiko Malto</w:t>
            </w:r>
            <w:r w:rsidRPr="00115F14">
              <w:rPr>
                <w:b w:val="0"/>
                <w:sz w:val="20"/>
                <w:szCs w:val="20"/>
              </w:rPr>
              <w:t> pred mednarodnimi sodišči ter vlado Malte na mednarodnih srečanjih na področju pravnega in pravosodnega sodelovanja.</w:t>
            </w:r>
          </w:p>
          <w:p w:rsidR="00AE2155" w:rsidRPr="00115F14" w:rsidRDefault="00AE2155" w:rsidP="00B644CC">
            <w:pPr>
              <w:pStyle w:val="Oddelek"/>
              <w:numPr>
                <w:ilvl w:val="0"/>
                <w:numId w:val="0"/>
              </w:numPr>
              <w:spacing w:before="0" w:after="0" w:line="288" w:lineRule="auto"/>
              <w:jc w:val="both"/>
              <w:rPr>
                <w:b w:val="0"/>
                <w:sz w:val="20"/>
                <w:szCs w:val="20"/>
              </w:rPr>
            </w:pPr>
          </w:p>
          <w:p w:rsidR="00AE2155" w:rsidRPr="00115F14" w:rsidRDefault="00AE2155" w:rsidP="00B644CC">
            <w:pPr>
              <w:pStyle w:val="Oddelek"/>
              <w:numPr>
                <w:ilvl w:val="0"/>
                <w:numId w:val="0"/>
              </w:numPr>
              <w:spacing w:before="0" w:after="0" w:line="288" w:lineRule="auto"/>
              <w:jc w:val="both"/>
              <w:rPr>
                <w:b w:val="0"/>
                <w:sz w:val="20"/>
                <w:szCs w:val="20"/>
              </w:rPr>
            </w:pPr>
            <w:r w:rsidRPr="00115F14">
              <w:rPr>
                <w:b w:val="0"/>
                <w:sz w:val="20"/>
                <w:szCs w:val="20"/>
              </w:rPr>
              <w:t xml:space="preserve">Prav tako </w:t>
            </w:r>
            <w:r w:rsidR="00376153">
              <w:rPr>
                <w:b w:val="0"/>
                <w:sz w:val="20"/>
                <w:szCs w:val="20"/>
              </w:rPr>
              <w:t>u</w:t>
            </w:r>
            <w:r w:rsidRPr="00115F14">
              <w:rPr>
                <w:b w:val="0"/>
                <w:sz w:val="20"/>
                <w:szCs w:val="20"/>
              </w:rPr>
              <w:t>rad generalnega državnega tožilca </w:t>
            </w:r>
            <w:r w:rsidRPr="00115F14">
              <w:rPr>
                <w:rStyle w:val="Krepko"/>
                <w:sz w:val="20"/>
                <w:szCs w:val="20"/>
                <w:bdr w:val="none" w:sz="0" w:space="0" w:color="auto" w:frame="1"/>
              </w:rPr>
              <w:t>pripravlja zakonodajne predloge</w:t>
            </w:r>
            <w:r w:rsidRPr="00115F14">
              <w:rPr>
                <w:b w:val="0"/>
                <w:sz w:val="20"/>
                <w:szCs w:val="20"/>
              </w:rPr>
              <w:t> in nudi pomoč v postopku njihovega sprejetja v parlamentu.</w:t>
            </w:r>
            <w:r w:rsidRPr="00115F14">
              <w:rPr>
                <w:rStyle w:val="Sprotnaopomba-sklic"/>
                <w:b w:val="0"/>
                <w:sz w:val="20"/>
                <w:szCs w:val="20"/>
              </w:rPr>
              <w:footnoteReference w:id="24"/>
            </w:r>
          </w:p>
          <w:p w:rsidR="00AE2155" w:rsidRPr="00115F14" w:rsidRDefault="00AE2155" w:rsidP="00B644CC">
            <w:pPr>
              <w:pStyle w:val="Oddelek"/>
              <w:numPr>
                <w:ilvl w:val="0"/>
                <w:numId w:val="0"/>
              </w:numPr>
              <w:spacing w:before="0" w:after="0" w:line="288" w:lineRule="auto"/>
              <w:jc w:val="both"/>
              <w:rPr>
                <w:b w:val="0"/>
                <w:sz w:val="20"/>
                <w:szCs w:val="20"/>
              </w:rPr>
            </w:pPr>
          </w:p>
          <w:p w:rsidR="005763B2" w:rsidRDefault="00AE2155" w:rsidP="00B644CC">
            <w:pPr>
              <w:pStyle w:val="Oddelek"/>
              <w:numPr>
                <w:ilvl w:val="0"/>
                <w:numId w:val="0"/>
              </w:numPr>
              <w:spacing w:before="0" w:after="0" w:line="288" w:lineRule="auto"/>
              <w:jc w:val="both"/>
              <w:rPr>
                <w:b w:val="0"/>
                <w:sz w:val="20"/>
                <w:szCs w:val="20"/>
              </w:rPr>
            </w:pPr>
            <w:r w:rsidRPr="00115F14">
              <w:rPr>
                <w:b w:val="0"/>
                <w:sz w:val="20"/>
                <w:szCs w:val="20"/>
              </w:rPr>
              <w:t xml:space="preserve">Minister za pravosodje imenuje posebno izbirno komisijo, sestavljeno iz zaupanja vrednih strokovnjakov. Komisijo sestavljajo predsednik in dva do štirje člani, pristojni za presojo in oceno ustreznih kvalifikacij prijavljenih kandidatov za imenovanje generalnega državnega tožilca. Poročilo o ustreznosti kandidatov komisija posreduje ministru. Generalnega državnega tožilca imenuje predsednik države po predlogu predsednika vlade. Ima enega namestnika. Generalno državno tožilstvo je državna agencija, v kateri so zaposleni drugi uradniki, ki opravljajo naloge in izvršujejo pristojnosti po pooblastilu generalnega državnega tožilca. </w:t>
            </w:r>
          </w:p>
          <w:p w:rsidR="005763B2" w:rsidRDefault="005763B2" w:rsidP="00B644CC">
            <w:pPr>
              <w:pStyle w:val="Oddelek"/>
              <w:numPr>
                <w:ilvl w:val="0"/>
                <w:numId w:val="0"/>
              </w:numPr>
              <w:spacing w:before="0" w:after="0" w:line="288" w:lineRule="auto"/>
              <w:jc w:val="both"/>
              <w:rPr>
                <w:b w:val="0"/>
                <w:sz w:val="20"/>
                <w:szCs w:val="20"/>
              </w:rPr>
            </w:pPr>
          </w:p>
          <w:p w:rsidR="00AE2155" w:rsidRPr="00115F14" w:rsidRDefault="00AE2155" w:rsidP="00B644CC">
            <w:pPr>
              <w:pStyle w:val="Oddelek"/>
              <w:numPr>
                <w:ilvl w:val="0"/>
                <w:numId w:val="0"/>
              </w:numPr>
              <w:spacing w:before="0" w:after="0" w:line="288" w:lineRule="auto"/>
              <w:jc w:val="both"/>
              <w:rPr>
                <w:b w:val="0"/>
                <w:sz w:val="20"/>
                <w:szCs w:val="20"/>
              </w:rPr>
            </w:pPr>
            <w:r w:rsidRPr="00115F14">
              <w:rPr>
                <w:b w:val="0"/>
                <w:sz w:val="20"/>
                <w:szCs w:val="20"/>
              </w:rPr>
              <w:t>Pristojno je tudi za nudenje mednarodne pravne pomoči v kazenskih zadevah. Sodeluje pri pripravi zakonskih in podzakonskih aktov.</w:t>
            </w:r>
            <w:r w:rsidRPr="00115F14">
              <w:rPr>
                <w:rStyle w:val="Sprotnaopomba-sklic"/>
                <w:b w:val="0"/>
                <w:sz w:val="20"/>
                <w:szCs w:val="20"/>
              </w:rPr>
              <w:footnoteReference w:id="25"/>
            </w:r>
          </w:p>
          <w:p w:rsidR="00503F6A" w:rsidRDefault="00503F6A" w:rsidP="00B644CC">
            <w:pPr>
              <w:pStyle w:val="Oddelek"/>
              <w:numPr>
                <w:ilvl w:val="0"/>
                <w:numId w:val="0"/>
              </w:numPr>
              <w:spacing w:before="0" w:after="0" w:line="288" w:lineRule="auto"/>
              <w:jc w:val="both"/>
              <w:rPr>
                <w:b w:val="0"/>
                <w:bCs/>
                <w:sz w:val="20"/>
                <w:szCs w:val="20"/>
              </w:rPr>
            </w:pPr>
          </w:p>
          <w:p w:rsidR="005763B2" w:rsidRPr="001D21AA" w:rsidRDefault="00AE2155" w:rsidP="001D21AA">
            <w:pPr>
              <w:pStyle w:val="Oddelek"/>
              <w:numPr>
                <w:ilvl w:val="0"/>
                <w:numId w:val="0"/>
              </w:numPr>
              <w:spacing w:before="0" w:after="0" w:line="288" w:lineRule="auto"/>
              <w:jc w:val="both"/>
              <w:rPr>
                <w:b w:val="0"/>
                <w:bCs/>
                <w:sz w:val="20"/>
                <w:szCs w:val="20"/>
              </w:rPr>
            </w:pPr>
            <w:r w:rsidRPr="00115F14">
              <w:rPr>
                <w:b w:val="0"/>
                <w:bCs/>
                <w:sz w:val="20"/>
                <w:szCs w:val="20"/>
              </w:rPr>
              <w:t xml:space="preserve">Nacionalnega predstavnika v </w:t>
            </w:r>
            <w:proofErr w:type="spellStart"/>
            <w:r w:rsidRPr="00115F14">
              <w:rPr>
                <w:b w:val="0"/>
                <w:bCs/>
                <w:sz w:val="20"/>
                <w:szCs w:val="20"/>
              </w:rPr>
              <w:t>Eurojustu</w:t>
            </w:r>
            <w:proofErr w:type="spellEnd"/>
            <w:r w:rsidRPr="00115F14">
              <w:rPr>
                <w:b w:val="0"/>
                <w:bCs/>
                <w:sz w:val="20"/>
                <w:szCs w:val="20"/>
              </w:rPr>
              <w:t xml:space="preserve"> in njegovega namestnika imenuje generalni državni tožilec.</w:t>
            </w:r>
          </w:p>
          <w:p w:rsidR="00AE2155" w:rsidRPr="00115F14" w:rsidRDefault="00DD7397" w:rsidP="00B644CC">
            <w:pPr>
              <w:pStyle w:val="Oddelek"/>
              <w:numPr>
                <w:ilvl w:val="0"/>
                <w:numId w:val="0"/>
              </w:numPr>
              <w:spacing w:before="0" w:after="0" w:line="288" w:lineRule="auto"/>
              <w:jc w:val="both"/>
              <w:rPr>
                <w:bCs/>
                <w:sz w:val="20"/>
                <w:szCs w:val="20"/>
              </w:rPr>
            </w:pPr>
            <w:r>
              <w:rPr>
                <w:bCs/>
                <w:sz w:val="20"/>
                <w:szCs w:val="20"/>
              </w:rPr>
              <w:t xml:space="preserve">5.1.4 </w:t>
            </w:r>
            <w:r w:rsidR="00AE2155" w:rsidRPr="00115F14">
              <w:rPr>
                <w:bCs/>
                <w:sz w:val="20"/>
                <w:szCs w:val="20"/>
              </w:rPr>
              <w:t>Češka</w:t>
            </w:r>
          </w:p>
          <w:p w:rsidR="00AE2155" w:rsidRPr="00115F14" w:rsidRDefault="00AE2155" w:rsidP="00B644CC">
            <w:pPr>
              <w:pStyle w:val="Oddelek"/>
              <w:numPr>
                <w:ilvl w:val="0"/>
                <w:numId w:val="0"/>
              </w:numPr>
              <w:spacing w:before="0" w:after="0" w:line="288" w:lineRule="auto"/>
              <w:jc w:val="both"/>
              <w:rPr>
                <w:sz w:val="20"/>
                <w:szCs w:val="20"/>
                <w:highlight w:val="yellow"/>
              </w:rPr>
            </w:pPr>
          </w:p>
          <w:p w:rsidR="00AE2155" w:rsidRPr="00115F14" w:rsidRDefault="00AE2155" w:rsidP="00B644CC">
            <w:pPr>
              <w:pStyle w:val="Oddelek"/>
              <w:numPr>
                <w:ilvl w:val="0"/>
                <w:numId w:val="0"/>
              </w:numPr>
              <w:spacing w:before="0" w:after="0" w:line="288" w:lineRule="auto"/>
              <w:jc w:val="both"/>
              <w:rPr>
                <w:bCs/>
                <w:sz w:val="20"/>
                <w:szCs w:val="20"/>
              </w:rPr>
            </w:pPr>
            <w:r w:rsidRPr="00115F14">
              <w:rPr>
                <w:b w:val="0"/>
                <w:sz w:val="20"/>
                <w:szCs w:val="20"/>
              </w:rPr>
              <w:lastRenderedPageBreak/>
              <w:t xml:space="preserve">Sistem javnega tožilstva po Češkem </w:t>
            </w:r>
            <w:r w:rsidR="005763B2">
              <w:rPr>
                <w:b w:val="0"/>
                <w:sz w:val="20"/>
                <w:szCs w:val="20"/>
              </w:rPr>
              <w:t>z</w:t>
            </w:r>
            <w:r w:rsidRPr="00115F14">
              <w:rPr>
                <w:b w:val="0"/>
                <w:sz w:val="20"/>
                <w:szCs w:val="20"/>
              </w:rPr>
              <w:t>akonu o državnem tožilstvu sestavlja</w:t>
            </w:r>
            <w:r w:rsidR="005763B2">
              <w:rPr>
                <w:b w:val="0"/>
                <w:sz w:val="20"/>
                <w:szCs w:val="20"/>
              </w:rPr>
              <w:t>jo</w:t>
            </w:r>
            <w:r w:rsidRPr="00115F14">
              <w:rPr>
                <w:b w:val="0"/>
                <w:sz w:val="20"/>
                <w:szCs w:val="20"/>
              </w:rPr>
              <w:t>:</w:t>
            </w:r>
          </w:p>
          <w:p w:rsidR="00AE2155" w:rsidRPr="00115F14" w:rsidRDefault="005763B2" w:rsidP="005763B2">
            <w:pPr>
              <w:pStyle w:val="Oddelek"/>
              <w:numPr>
                <w:ilvl w:val="0"/>
                <w:numId w:val="27"/>
              </w:numPr>
              <w:spacing w:before="0" w:after="0" w:line="288" w:lineRule="auto"/>
              <w:ind w:left="180" w:hanging="180"/>
              <w:jc w:val="both"/>
              <w:rPr>
                <w:b w:val="0"/>
                <w:sz w:val="20"/>
                <w:szCs w:val="20"/>
              </w:rPr>
            </w:pPr>
            <w:r>
              <w:rPr>
                <w:b w:val="0"/>
                <w:sz w:val="20"/>
                <w:szCs w:val="20"/>
              </w:rPr>
              <w:t>g</w:t>
            </w:r>
            <w:r w:rsidR="00AE2155" w:rsidRPr="00115F14">
              <w:rPr>
                <w:b w:val="0"/>
                <w:sz w:val="20"/>
                <w:szCs w:val="20"/>
              </w:rPr>
              <w:t>eneralno državno tožilstvo,</w:t>
            </w:r>
          </w:p>
          <w:p w:rsidR="00AE2155" w:rsidRPr="00115F14" w:rsidRDefault="005763B2" w:rsidP="005763B2">
            <w:pPr>
              <w:pStyle w:val="Oddelek"/>
              <w:numPr>
                <w:ilvl w:val="0"/>
                <w:numId w:val="27"/>
              </w:numPr>
              <w:spacing w:before="0" w:after="0" w:line="288" w:lineRule="auto"/>
              <w:ind w:left="180" w:hanging="180"/>
              <w:jc w:val="both"/>
              <w:rPr>
                <w:b w:val="0"/>
                <w:sz w:val="20"/>
                <w:szCs w:val="20"/>
              </w:rPr>
            </w:pPr>
            <w:r>
              <w:rPr>
                <w:b w:val="0"/>
                <w:sz w:val="20"/>
                <w:szCs w:val="20"/>
              </w:rPr>
              <w:t>v</w:t>
            </w:r>
            <w:r w:rsidR="00AE2155" w:rsidRPr="00115F14">
              <w:rPr>
                <w:b w:val="0"/>
                <w:sz w:val="20"/>
                <w:szCs w:val="20"/>
              </w:rPr>
              <w:t>išja državna tožilstva,</w:t>
            </w:r>
          </w:p>
          <w:p w:rsidR="00AE2155" w:rsidRPr="00115F14" w:rsidRDefault="005763B2" w:rsidP="005763B2">
            <w:pPr>
              <w:pStyle w:val="Oddelek"/>
              <w:numPr>
                <w:ilvl w:val="0"/>
                <w:numId w:val="27"/>
              </w:numPr>
              <w:spacing w:before="0" w:after="0" w:line="288" w:lineRule="auto"/>
              <w:ind w:left="180" w:hanging="180"/>
              <w:jc w:val="both"/>
              <w:rPr>
                <w:b w:val="0"/>
                <w:sz w:val="20"/>
                <w:szCs w:val="20"/>
              </w:rPr>
            </w:pPr>
            <w:r>
              <w:rPr>
                <w:b w:val="0"/>
                <w:sz w:val="20"/>
                <w:szCs w:val="20"/>
              </w:rPr>
              <w:t>o</w:t>
            </w:r>
            <w:r w:rsidR="00AE2155" w:rsidRPr="00115F14">
              <w:rPr>
                <w:b w:val="0"/>
                <w:sz w:val="20"/>
                <w:szCs w:val="20"/>
              </w:rPr>
              <w:t>bmočna državna tožilstva in</w:t>
            </w:r>
          </w:p>
          <w:p w:rsidR="00AE2155" w:rsidRPr="00115F14" w:rsidRDefault="005763B2" w:rsidP="005763B2">
            <w:pPr>
              <w:pStyle w:val="Oddelek"/>
              <w:numPr>
                <w:ilvl w:val="0"/>
                <w:numId w:val="27"/>
              </w:numPr>
              <w:spacing w:before="0" w:after="0" w:line="288" w:lineRule="auto"/>
              <w:ind w:left="180" w:hanging="180"/>
              <w:jc w:val="both"/>
              <w:rPr>
                <w:b w:val="0"/>
                <w:sz w:val="20"/>
                <w:szCs w:val="20"/>
              </w:rPr>
            </w:pPr>
            <w:r>
              <w:rPr>
                <w:b w:val="0"/>
                <w:sz w:val="20"/>
                <w:szCs w:val="20"/>
              </w:rPr>
              <w:t>o</w:t>
            </w:r>
            <w:r w:rsidR="00AE2155" w:rsidRPr="00115F14">
              <w:rPr>
                <w:b w:val="0"/>
                <w:sz w:val="20"/>
                <w:szCs w:val="20"/>
              </w:rPr>
              <w:t>krožna državna tožilstva.</w:t>
            </w:r>
          </w:p>
          <w:p w:rsidR="00AE2155" w:rsidRPr="00115F14" w:rsidRDefault="00AE2155" w:rsidP="00B644CC">
            <w:pPr>
              <w:pStyle w:val="Oddelek"/>
              <w:numPr>
                <w:ilvl w:val="0"/>
                <w:numId w:val="0"/>
              </w:numPr>
              <w:spacing w:before="0" w:after="0" w:line="288" w:lineRule="auto"/>
              <w:jc w:val="both"/>
              <w:rPr>
                <w:b w:val="0"/>
                <w:sz w:val="20"/>
                <w:szCs w:val="20"/>
              </w:rPr>
            </w:pPr>
          </w:p>
          <w:p w:rsidR="00AE2155" w:rsidRPr="00115F14" w:rsidRDefault="00AE2155" w:rsidP="00B644CC">
            <w:pPr>
              <w:pStyle w:val="Oddelek"/>
              <w:numPr>
                <w:ilvl w:val="0"/>
                <w:numId w:val="0"/>
              </w:numPr>
              <w:spacing w:before="0" w:after="0" w:line="288" w:lineRule="auto"/>
              <w:jc w:val="both"/>
              <w:rPr>
                <w:b w:val="0"/>
                <w:sz w:val="20"/>
                <w:szCs w:val="20"/>
              </w:rPr>
            </w:pPr>
            <w:proofErr w:type="spellStart"/>
            <w:r w:rsidRPr="00115F14">
              <w:rPr>
                <w:b w:val="0"/>
                <w:sz w:val="20"/>
                <w:szCs w:val="20"/>
              </w:rPr>
              <w:t>Državnotožilska</w:t>
            </w:r>
            <w:proofErr w:type="spellEnd"/>
            <w:r w:rsidRPr="00115F14">
              <w:rPr>
                <w:b w:val="0"/>
                <w:sz w:val="20"/>
                <w:szCs w:val="20"/>
              </w:rPr>
              <w:t xml:space="preserve"> služba je sistem državnih uradov, ki zastopajo državo pri zaščiti javnega interesa v tistih zadevah, ki ji določa zakon. Za opravljanje državnega tožilstva je pristojno </w:t>
            </w:r>
            <w:r w:rsidR="005763B2">
              <w:rPr>
                <w:b w:val="0"/>
                <w:sz w:val="20"/>
                <w:szCs w:val="20"/>
              </w:rPr>
              <w:t>m</w:t>
            </w:r>
            <w:r w:rsidRPr="00115F14">
              <w:rPr>
                <w:b w:val="0"/>
                <w:sz w:val="20"/>
                <w:szCs w:val="20"/>
              </w:rPr>
              <w:t>inistrstvo za pravosodje. Navedeno pa ne pomeni, da je ministrstvo nadrejeno državnemu tožilstvu</w:t>
            </w:r>
            <w:r w:rsidR="005763B2">
              <w:rPr>
                <w:b w:val="0"/>
                <w:sz w:val="20"/>
                <w:szCs w:val="20"/>
              </w:rPr>
              <w:t xml:space="preserve">. </w:t>
            </w:r>
            <w:r w:rsidRPr="00115F14">
              <w:rPr>
                <w:b w:val="0"/>
                <w:sz w:val="20"/>
                <w:szCs w:val="20"/>
              </w:rPr>
              <w:t>Naloga ministrstva je zagotavljati pogoje za delovanje tožilstva in pravilno izvajati svoja pooblastila v zvezi s kadrovskimi, organizacijskimi, gospodarskimi, finančnimi in izobraževalnimi vprašanji. Druga naloga ministrstva je preverjanj</w:t>
            </w:r>
            <w:r w:rsidR="005763B2">
              <w:rPr>
                <w:b w:val="0"/>
                <w:sz w:val="20"/>
                <w:szCs w:val="20"/>
              </w:rPr>
              <w:t>e</w:t>
            </w:r>
            <w:r w:rsidRPr="00115F14">
              <w:rPr>
                <w:b w:val="0"/>
                <w:sz w:val="20"/>
                <w:szCs w:val="20"/>
              </w:rPr>
              <w:t xml:space="preserve"> pravilnega izpolnjevanja nalog državnega tožilstva. Imenovanje državnih tožilcev, njihovo zaposlitev in zlasti njihov položaj ter kazenska odgovornost ureja zakon št. 283/1993 </w:t>
            </w:r>
            <w:proofErr w:type="spellStart"/>
            <w:r w:rsidRPr="00115F14">
              <w:rPr>
                <w:b w:val="0"/>
                <w:sz w:val="20"/>
                <w:szCs w:val="20"/>
              </w:rPr>
              <w:t>Coll</w:t>
            </w:r>
            <w:proofErr w:type="spellEnd"/>
            <w:r w:rsidRPr="00115F14">
              <w:rPr>
                <w:b w:val="0"/>
                <w:sz w:val="20"/>
                <w:szCs w:val="20"/>
              </w:rPr>
              <w:t>.</w:t>
            </w:r>
            <w:r>
              <w:rPr>
                <w:b w:val="0"/>
                <w:sz w:val="20"/>
                <w:szCs w:val="20"/>
              </w:rPr>
              <w:t xml:space="preserve"> </w:t>
            </w:r>
            <w:r w:rsidRPr="00115F14">
              <w:rPr>
                <w:b w:val="0"/>
                <w:sz w:val="20"/>
                <w:szCs w:val="20"/>
              </w:rPr>
              <w:t>Generaln</w:t>
            </w:r>
            <w:r w:rsidR="005763B2">
              <w:rPr>
                <w:b w:val="0"/>
                <w:sz w:val="20"/>
                <w:szCs w:val="20"/>
              </w:rPr>
              <w:t>ega</w:t>
            </w:r>
            <w:r w:rsidRPr="00115F14">
              <w:rPr>
                <w:b w:val="0"/>
                <w:sz w:val="20"/>
                <w:szCs w:val="20"/>
              </w:rPr>
              <w:t xml:space="preserve"> državn</w:t>
            </w:r>
            <w:r w:rsidR="005763B2">
              <w:rPr>
                <w:b w:val="0"/>
                <w:sz w:val="20"/>
                <w:szCs w:val="20"/>
              </w:rPr>
              <w:t>ega</w:t>
            </w:r>
            <w:r w:rsidRPr="00115F14">
              <w:rPr>
                <w:b w:val="0"/>
                <w:sz w:val="20"/>
                <w:szCs w:val="20"/>
              </w:rPr>
              <w:t xml:space="preserve"> tožilc</w:t>
            </w:r>
            <w:r w:rsidR="005763B2">
              <w:rPr>
                <w:b w:val="0"/>
                <w:sz w:val="20"/>
                <w:szCs w:val="20"/>
              </w:rPr>
              <w:t>a</w:t>
            </w:r>
            <w:r w:rsidRPr="00115F14">
              <w:rPr>
                <w:b w:val="0"/>
                <w:sz w:val="20"/>
                <w:szCs w:val="20"/>
              </w:rPr>
              <w:t xml:space="preserve"> imen</w:t>
            </w:r>
            <w:r w:rsidR="005763B2">
              <w:rPr>
                <w:b w:val="0"/>
                <w:sz w:val="20"/>
                <w:szCs w:val="20"/>
              </w:rPr>
              <w:t>uje</w:t>
            </w:r>
            <w:r w:rsidRPr="00115F14">
              <w:rPr>
                <w:b w:val="0"/>
                <w:sz w:val="20"/>
                <w:szCs w:val="20"/>
              </w:rPr>
              <w:t xml:space="preserve"> </w:t>
            </w:r>
            <w:r w:rsidR="005763B2">
              <w:rPr>
                <w:b w:val="0"/>
                <w:sz w:val="20"/>
                <w:szCs w:val="20"/>
              </w:rPr>
              <w:t>v</w:t>
            </w:r>
            <w:r w:rsidRPr="00115F14">
              <w:rPr>
                <w:b w:val="0"/>
                <w:sz w:val="20"/>
                <w:szCs w:val="20"/>
              </w:rPr>
              <w:t>lad</w:t>
            </w:r>
            <w:r w:rsidR="005763B2">
              <w:rPr>
                <w:b w:val="0"/>
                <w:sz w:val="20"/>
                <w:szCs w:val="20"/>
              </w:rPr>
              <w:t>a</w:t>
            </w:r>
            <w:r w:rsidRPr="00115F14">
              <w:rPr>
                <w:b w:val="0"/>
                <w:sz w:val="20"/>
                <w:szCs w:val="20"/>
              </w:rPr>
              <w:t>, po predlogu ministra za pravosodje.</w:t>
            </w:r>
            <w:r w:rsidRPr="00115F14">
              <w:rPr>
                <w:rStyle w:val="Sprotnaopomba-sklic"/>
                <w:b w:val="0"/>
                <w:sz w:val="20"/>
                <w:szCs w:val="20"/>
              </w:rPr>
              <w:footnoteReference w:id="26"/>
            </w:r>
          </w:p>
          <w:p w:rsidR="00AE2155" w:rsidRPr="00115F14" w:rsidRDefault="00AE2155" w:rsidP="00B644CC">
            <w:pPr>
              <w:pStyle w:val="Oddelek"/>
              <w:numPr>
                <w:ilvl w:val="0"/>
                <w:numId w:val="0"/>
              </w:numPr>
              <w:spacing w:before="0" w:after="0" w:line="288" w:lineRule="auto"/>
              <w:jc w:val="both"/>
              <w:rPr>
                <w:b w:val="0"/>
                <w:bCs/>
                <w:sz w:val="20"/>
                <w:szCs w:val="20"/>
              </w:rPr>
            </w:pPr>
          </w:p>
          <w:p w:rsidR="00AE2155" w:rsidRPr="00115F14" w:rsidRDefault="00AE2155" w:rsidP="00B644CC">
            <w:pPr>
              <w:pStyle w:val="Oddelek"/>
              <w:numPr>
                <w:ilvl w:val="0"/>
                <w:numId w:val="0"/>
              </w:numPr>
              <w:spacing w:before="0" w:after="0" w:line="288" w:lineRule="auto"/>
              <w:jc w:val="both"/>
              <w:rPr>
                <w:b w:val="0"/>
                <w:bCs/>
                <w:sz w:val="20"/>
                <w:szCs w:val="20"/>
              </w:rPr>
            </w:pPr>
            <w:r w:rsidRPr="00115F14">
              <w:rPr>
                <w:b w:val="0"/>
                <w:bCs/>
                <w:sz w:val="20"/>
                <w:szCs w:val="20"/>
              </w:rPr>
              <w:t xml:space="preserve">Na podlagi veljavnega </w:t>
            </w:r>
            <w:r w:rsidR="005763B2">
              <w:rPr>
                <w:b w:val="0"/>
                <w:bCs/>
                <w:sz w:val="20"/>
                <w:szCs w:val="20"/>
              </w:rPr>
              <w:t>z</w:t>
            </w:r>
            <w:r w:rsidRPr="00115F14">
              <w:rPr>
                <w:b w:val="0"/>
                <w:bCs/>
                <w:sz w:val="20"/>
                <w:szCs w:val="20"/>
              </w:rPr>
              <w:t xml:space="preserve">akona o državnem tožilstvu </w:t>
            </w:r>
            <w:r w:rsidR="005763B2">
              <w:rPr>
                <w:b w:val="0"/>
                <w:bCs/>
                <w:sz w:val="20"/>
                <w:szCs w:val="20"/>
              </w:rPr>
              <w:t>(</w:t>
            </w:r>
            <w:r w:rsidRPr="00115F14">
              <w:rPr>
                <w:b w:val="0"/>
                <w:bCs/>
                <w:sz w:val="20"/>
                <w:szCs w:val="20"/>
              </w:rPr>
              <w:t xml:space="preserve">št. 283/1993 </w:t>
            </w:r>
            <w:proofErr w:type="spellStart"/>
            <w:r w:rsidRPr="00115F14">
              <w:rPr>
                <w:b w:val="0"/>
                <w:bCs/>
                <w:sz w:val="20"/>
                <w:szCs w:val="20"/>
              </w:rPr>
              <w:t>Coll</w:t>
            </w:r>
            <w:proofErr w:type="spellEnd"/>
            <w:r w:rsidRPr="00115F14">
              <w:rPr>
                <w:b w:val="0"/>
                <w:bCs/>
                <w:sz w:val="20"/>
                <w:szCs w:val="20"/>
              </w:rPr>
              <w:t>.</w:t>
            </w:r>
            <w:r w:rsidR="005763B2">
              <w:rPr>
                <w:b w:val="0"/>
                <w:bCs/>
                <w:sz w:val="20"/>
                <w:szCs w:val="20"/>
              </w:rPr>
              <w:t>)</w:t>
            </w:r>
            <w:r w:rsidRPr="00115F14">
              <w:rPr>
                <w:b w:val="0"/>
                <w:bCs/>
                <w:sz w:val="20"/>
                <w:szCs w:val="20"/>
              </w:rPr>
              <w:t xml:space="preserve"> je ministrstvo za pravosodje izdalo Uredbo št. 23/1994 </w:t>
            </w:r>
            <w:proofErr w:type="spellStart"/>
            <w:r w:rsidRPr="00115F14">
              <w:rPr>
                <w:b w:val="0"/>
                <w:bCs/>
                <w:sz w:val="20"/>
                <w:szCs w:val="20"/>
              </w:rPr>
              <w:t>Coll</w:t>
            </w:r>
            <w:proofErr w:type="spellEnd"/>
            <w:r w:rsidRPr="00115F14">
              <w:rPr>
                <w:b w:val="0"/>
                <w:bCs/>
                <w:sz w:val="20"/>
                <w:szCs w:val="20"/>
              </w:rPr>
              <w:t xml:space="preserve">. o poslovniku državnega tožilstva in ustanavljanju zunanjih oddelkov nekaterih državnih tožilstvih in o nalogah, ki jih izvajajo sodni pripravniki. V pripravljalnih fazah priprave nove zakonodaje so </w:t>
            </w:r>
            <w:r w:rsidR="005763B2">
              <w:rPr>
                <w:b w:val="0"/>
                <w:bCs/>
                <w:sz w:val="20"/>
                <w:szCs w:val="20"/>
              </w:rPr>
              <w:t>potekale</w:t>
            </w:r>
            <w:r w:rsidRPr="00115F14">
              <w:rPr>
                <w:b w:val="0"/>
                <w:bCs/>
                <w:sz w:val="20"/>
                <w:szCs w:val="20"/>
              </w:rPr>
              <w:t xml:space="preserve"> razprave o različnih modelih možne rešitve statusa javne tožilske službe v sistemu državnih organov, vključno </w:t>
            </w:r>
            <w:r w:rsidR="005763B2">
              <w:rPr>
                <w:b w:val="0"/>
                <w:bCs/>
                <w:sz w:val="20"/>
                <w:szCs w:val="20"/>
              </w:rPr>
              <w:t>s predlogom</w:t>
            </w:r>
            <w:r w:rsidRPr="00115F14">
              <w:rPr>
                <w:b w:val="0"/>
                <w:bCs/>
                <w:sz w:val="20"/>
                <w:szCs w:val="20"/>
              </w:rPr>
              <w:t xml:space="preserve"> o ustanovitvi tožilstva kot ločenega sistema državnih uradov, ki zastopajo državo v primerih, ki jih določa zakon. Nastali model je </w:t>
            </w:r>
            <w:proofErr w:type="spellStart"/>
            <w:r w:rsidRPr="00115F14">
              <w:rPr>
                <w:b w:val="0"/>
                <w:bCs/>
                <w:sz w:val="20"/>
                <w:szCs w:val="20"/>
              </w:rPr>
              <w:t>državnotožilska</w:t>
            </w:r>
            <w:proofErr w:type="spellEnd"/>
            <w:r w:rsidRPr="00115F14">
              <w:rPr>
                <w:b w:val="0"/>
                <w:bCs/>
                <w:sz w:val="20"/>
                <w:szCs w:val="20"/>
              </w:rPr>
              <w:t xml:space="preserve"> služba kot del </w:t>
            </w:r>
            <w:r w:rsidR="005763B2">
              <w:rPr>
                <w:b w:val="0"/>
                <w:bCs/>
                <w:sz w:val="20"/>
                <w:szCs w:val="20"/>
              </w:rPr>
              <w:t>m</w:t>
            </w:r>
            <w:r w:rsidRPr="00115F14">
              <w:rPr>
                <w:b w:val="0"/>
                <w:bCs/>
                <w:sz w:val="20"/>
                <w:szCs w:val="20"/>
              </w:rPr>
              <w:t>inistrstva za pravosodje. V tretjem poglavju ustave je državno tožilstvo opredeljeno kot del izvršilne veje oblasti.</w:t>
            </w:r>
          </w:p>
          <w:p w:rsidR="00AE2155" w:rsidRPr="00115F14" w:rsidRDefault="00AE2155" w:rsidP="00B644CC">
            <w:pPr>
              <w:pStyle w:val="Oddelek"/>
              <w:numPr>
                <w:ilvl w:val="0"/>
                <w:numId w:val="0"/>
              </w:numPr>
              <w:spacing w:before="0" w:after="0" w:line="288" w:lineRule="auto"/>
              <w:jc w:val="both"/>
              <w:rPr>
                <w:b w:val="0"/>
                <w:bCs/>
                <w:sz w:val="20"/>
                <w:szCs w:val="20"/>
              </w:rPr>
            </w:pPr>
          </w:p>
          <w:p w:rsidR="00AE2155" w:rsidRPr="00115F14" w:rsidRDefault="00AE2155" w:rsidP="00B644CC">
            <w:pPr>
              <w:pStyle w:val="Oddelek"/>
              <w:numPr>
                <w:ilvl w:val="0"/>
                <w:numId w:val="0"/>
              </w:numPr>
              <w:spacing w:before="0" w:after="0" w:line="288" w:lineRule="auto"/>
              <w:jc w:val="both"/>
              <w:rPr>
                <w:b w:val="0"/>
                <w:sz w:val="20"/>
                <w:szCs w:val="20"/>
                <w:highlight w:val="yellow"/>
              </w:rPr>
            </w:pPr>
            <w:r w:rsidRPr="00115F14">
              <w:rPr>
                <w:b w:val="0"/>
                <w:bCs/>
                <w:sz w:val="20"/>
                <w:szCs w:val="20"/>
              </w:rPr>
              <w:t xml:space="preserve">Na podlagi poziva generalnega državnega tožilca imenuje nacionalnega predstavnika v </w:t>
            </w:r>
            <w:proofErr w:type="spellStart"/>
            <w:r w:rsidRPr="00115F14">
              <w:rPr>
                <w:b w:val="0"/>
                <w:bCs/>
                <w:sz w:val="20"/>
                <w:szCs w:val="20"/>
              </w:rPr>
              <w:t>Eurojustu</w:t>
            </w:r>
            <w:proofErr w:type="spellEnd"/>
            <w:r w:rsidRPr="00115F14">
              <w:rPr>
                <w:b w:val="0"/>
                <w:bCs/>
                <w:sz w:val="20"/>
                <w:szCs w:val="20"/>
              </w:rPr>
              <w:t xml:space="preserve"> in njegovega namestnika minister za pravosodje iz vrst državnih tožilcev</w:t>
            </w:r>
            <w:r w:rsidRPr="00115F14">
              <w:rPr>
                <w:sz w:val="20"/>
                <w:szCs w:val="20"/>
              </w:rPr>
              <w:t xml:space="preserve">, </w:t>
            </w:r>
            <w:r w:rsidRPr="00115F14">
              <w:rPr>
                <w:b w:val="0"/>
                <w:bCs/>
                <w:sz w:val="20"/>
                <w:szCs w:val="20"/>
              </w:rPr>
              <w:t>imenovanih za opravljanje funkcije vrhovnega državnega tožilca, katerih strokovno in jezikovno znanje ter izkušnje zagotavljajo jamstvo za ustrezno opravljanje te funkcije.</w:t>
            </w:r>
          </w:p>
          <w:p w:rsidR="00AE2155" w:rsidRPr="00115F14" w:rsidRDefault="00AE2155" w:rsidP="00B644CC">
            <w:pPr>
              <w:spacing w:line="288" w:lineRule="auto"/>
              <w:rPr>
                <w:rFonts w:cs="Arial"/>
                <w:szCs w:val="20"/>
              </w:rPr>
            </w:pPr>
          </w:p>
          <w:p w:rsidR="00AE2155" w:rsidRPr="00115F14" w:rsidRDefault="00AE2155" w:rsidP="00B644CC">
            <w:pPr>
              <w:spacing w:line="288" w:lineRule="auto"/>
              <w:jc w:val="both"/>
              <w:rPr>
                <w:rFonts w:cs="Arial"/>
                <w:szCs w:val="20"/>
              </w:rPr>
            </w:pPr>
            <w:r w:rsidRPr="00115F14">
              <w:rPr>
                <w:rFonts w:cs="Arial"/>
                <w:szCs w:val="20"/>
              </w:rPr>
              <w:t>Namestnik nacionalnega predstavnika izpolnjuje naloge in izvršuje pristojnosti v odsotnosti nacionalnega predstavnika. Deluje v imenu in</w:t>
            </w:r>
            <w:r>
              <w:rPr>
                <w:rFonts w:cs="Arial"/>
                <w:szCs w:val="20"/>
              </w:rPr>
              <w:t xml:space="preserve"> </w:t>
            </w:r>
            <w:r w:rsidRPr="00115F14">
              <w:rPr>
                <w:rFonts w:cs="Arial"/>
                <w:szCs w:val="20"/>
              </w:rPr>
              <w:t>v obsegu pooblastila, ki mu ga je podelil nacionalni</w:t>
            </w:r>
            <w:r>
              <w:rPr>
                <w:rFonts w:cs="Arial"/>
                <w:szCs w:val="20"/>
              </w:rPr>
              <w:t xml:space="preserve"> </w:t>
            </w:r>
            <w:r w:rsidRPr="00115F14">
              <w:rPr>
                <w:rFonts w:cs="Arial"/>
                <w:szCs w:val="20"/>
              </w:rPr>
              <w:t>predstavnik.</w:t>
            </w:r>
          </w:p>
          <w:p w:rsidR="00AE2155" w:rsidRPr="00115F14" w:rsidRDefault="00AE2155" w:rsidP="00B644CC">
            <w:pPr>
              <w:spacing w:line="288" w:lineRule="auto"/>
              <w:jc w:val="both"/>
              <w:rPr>
                <w:rFonts w:cs="Arial"/>
                <w:szCs w:val="20"/>
              </w:rPr>
            </w:pPr>
          </w:p>
          <w:p w:rsidR="00AE2155" w:rsidRPr="00115F14" w:rsidRDefault="00AE2155" w:rsidP="00B644CC">
            <w:pPr>
              <w:spacing w:line="288" w:lineRule="auto"/>
              <w:jc w:val="both"/>
              <w:rPr>
                <w:rFonts w:cs="Arial"/>
                <w:szCs w:val="20"/>
              </w:rPr>
            </w:pPr>
            <w:r w:rsidRPr="00115F14">
              <w:rPr>
                <w:rFonts w:cs="Arial"/>
                <w:szCs w:val="20"/>
              </w:rPr>
              <w:t xml:space="preserve">Pomočnika nacionalnega predstavnika imenuje na predlog nacionalnega predstavnika minister za pravosodje, iz vrst sodnikov ali sodnih uslužbencev, državnih tožilcev ali drugih uslužbencev državnega tožilstva ali uslužbencev </w:t>
            </w:r>
            <w:r w:rsidR="005763B2">
              <w:rPr>
                <w:rFonts w:cs="Arial"/>
                <w:szCs w:val="20"/>
              </w:rPr>
              <w:t>m</w:t>
            </w:r>
            <w:r w:rsidRPr="00115F14">
              <w:rPr>
                <w:rFonts w:cs="Arial"/>
                <w:szCs w:val="20"/>
              </w:rPr>
              <w:t>inistrstva za pravosodje, ki mu strokovna in jezikovna znanja ter izkušnje zagotavljajo dobro opravljanje te funkcije. Imenovan je za obdobje petih let z možnostjo ponovnega imenovanja.</w:t>
            </w:r>
          </w:p>
          <w:p w:rsidR="00AE2155" w:rsidRPr="00115F14" w:rsidRDefault="00AE2155" w:rsidP="00B644CC">
            <w:pPr>
              <w:spacing w:line="288" w:lineRule="auto"/>
              <w:jc w:val="both"/>
              <w:rPr>
                <w:rFonts w:cs="Arial"/>
                <w:szCs w:val="20"/>
              </w:rPr>
            </w:pPr>
          </w:p>
          <w:p w:rsidR="00AE2155" w:rsidRPr="00503F6A" w:rsidRDefault="00AE2155" w:rsidP="00503F6A">
            <w:pPr>
              <w:spacing w:line="288" w:lineRule="auto"/>
              <w:jc w:val="both"/>
              <w:rPr>
                <w:rFonts w:cs="Arial"/>
                <w:szCs w:val="20"/>
              </w:rPr>
            </w:pPr>
            <w:r w:rsidRPr="00115F14">
              <w:rPr>
                <w:rFonts w:cs="Arial"/>
                <w:szCs w:val="20"/>
              </w:rPr>
              <w:t>Imenovani nacionalni predstavnik Republike Češke je državni tožilec mednarodnega oddelka Vrhovnega državnega tožilstva Republike Češke.</w:t>
            </w:r>
          </w:p>
          <w:p w:rsidR="006B4D55" w:rsidRDefault="006B4D55" w:rsidP="00B644CC">
            <w:pPr>
              <w:spacing w:line="288" w:lineRule="auto"/>
              <w:rPr>
                <w:b/>
                <w:bCs/>
              </w:rPr>
            </w:pPr>
          </w:p>
          <w:p w:rsidR="00AE2155" w:rsidRPr="00115F14" w:rsidRDefault="00DD7397" w:rsidP="00B644CC">
            <w:pPr>
              <w:spacing w:line="288" w:lineRule="auto"/>
              <w:rPr>
                <w:b/>
                <w:bCs/>
              </w:rPr>
            </w:pPr>
            <w:r>
              <w:rPr>
                <w:b/>
                <w:bCs/>
              </w:rPr>
              <w:t xml:space="preserve">5.1.5 </w:t>
            </w:r>
            <w:r w:rsidR="00AE2155" w:rsidRPr="00115F14">
              <w:rPr>
                <w:b/>
                <w:bCs/>
              </w:rPr>
              <w:t>Belgija</w:t>
            </w:r>
          </w:p>
          <w:p w:rsidR="00AE2155" w:rsidRPr="00115F14" w:rsidRDefault="00AE2155" w:rsidP="00B644CC">
            <w:pPr>
              <w:spacing w:line="288" w:lineRule="auto"/>
            </w:pPr>
          </w:p>
          <w:p w:rsidR="00AE2155" w:rsidRPr="00115F14" w:rsidRDefault="00AE2155" w:rsidP="00B644CC">
            <w:pPr>
              <w:spacing w:line="288" w:lineRule="auto"/>
              <w:jc w:val="both"/>
              <w:rPr>
                <w:rFonts w:cs="Arial"/>
                <w:szCs w:val="20"/>
                <w:shd w:val="clear" w:color="auto" w:fill="FFFFFF"/>
              </w:rPr>
            </w:pPr>
            <w:r w:rsidRPr="00115F14">
              <w:rPr>
                <w:rStyle w:val="Krepko"/>
                <w:rFonts w:cs="Arial"/>
                <w:b w:val="0"/>
                <w:szCs w:val="20"/>
                <w:bdr w:val="none" w:sz="0" w:space="0" w:color="auto" w:frame="1"/>
                <w:shd w:val="clear" w:color="auto" w:fill="FFFFFF"/>
              </w:rPr>
              <w:t>Državno tožilstvo</w:t>
            </w:r>
            <w:r w:rsidRPr="00115F14">
              <w:rPr>
                <w:rFonts w:cs="Arial"/>
                <w:szCs w:val="20"/>
                <w:shd w:val="clear" w:color="auto" w:fill="FFFFFF"/>
              </w:rPr>
              <w:t> oziroma javno tožilstvo (</w:t>
            </w:r>
            <w:proofErr w:type="spellStart"/>
            <w:r w:rsidRPr="00115F14">
              <w:rPr>
                <w:rStyle w:val="Poudarek"/>
                <w:rFonts w:cs="Arial"/>
                <w:szCs w:val="20"/>
                <w:shd w:val="clear" w:color="auto" w:fill="FFFFFF"/>
              </w:rPr>
              <w:t>ministère</w:t>
            </w:r>
            <w:proofErr w:type="spellEnd"/>
            <w:r w:rsidRPr="00115F14">
              <w:rPr>
                <w:rStyle w:val="Poudarek"/>
                <w:rFonts w:cs="Arial"/>
                <w:szCs w:val="20"/>
                <w:shd w:val="clear" w:color="auto" w:fill="FFFFFF"/>
              </w:rPr>
              <w:t xml:space="preserve"> </w:t>
            </w:r>
            <w:proofErr w:type="spellStart"/>
            <w:r w:rsidRPr="00115F14">
              <w:rPr>
                <w:rStyle w:val="Poudarek"/>
                <w:rFonts w:cs="Arial"/>
                <w:szCs w:val="20"/>
                <w:shd w:val="clear" w:color="auto" w:fill="FFFFFF"/>
              </w:rPr>
              <w:t>public</w:t>
            </w:r>
            <w:proofErr w:type="spellEnd"/>
            <w:r w:rsidRPr="00115F14">
              <w:rPr>
                <w:rStyle w:val="Poudarek"/>
                <w:rFonts w:cs="Arial"/>
                <w:szCs w:val="20"/>
                <w:shd w:val="clear" w:color="auto" w:fill="FFFFFF"/>
              </w:rPr>
              <w:t>/</w:t>
            </w:r>
            <w:proofErr w:type="spellStart"/>
            <w:r w:rsidRPr="00115F14">
              <w:rPr>
                <w:rStyle w:val="Poudarek"/>
                <w:rFonts w:cs="Arial"/>
                <w:szCs w:val="20"/>
                <w:shd w:val="clear" w:color="auto" w:fill="FFFFFF"/>
              </w:rPr>
              <w:t>openbaar</w:t>
            </w:r>
            <w:proofErr w:type="spellEnd"/>
            <w:r w:rsidRPr="00115F14">
              <w:rPr>
                <w:rStyle w:val="Poudarek"/>
                <w:rFonts w:cs="Arial"/>
                <w:szCs w:val="20"/>
                <w:shd w:val="clear" w:color="auto" w:fill="FFFFFF"/>
              </w:rPr>
              <w:t xml:space="preserve"> </w:t>
            </w:r>
            <w:proofErr w:type="spellStart"/>
            <w:r w:rsidRPr="00115F14">
              <w:rPr>
                <w:rStyle w:val="Poudarek"/>
                <w:rFonts w:cs="Arial"/>
                <w:szCs w:val="20"/>
                <w:shd w:val="clear" w:color="auto" w:fill="FFFFFF"/>
              </w:rPr>
              <w:t>ministerie</w:t>
            </w:r>
            <w:proofErr w:type="spellEnd"/>
            <w:r w:rsidRPr="00115F14">
              <w:rPr>
                <w:rFonts w:cs="Arial"/>
                <w:szCs w:val="20"/>
                <w:shd w:val="clear" w:color="auto" w:fill="FFFFFF"/>
              </w:rPr>
              <w:t>, znano tudi kot </w:t>
            </w:r>
            <w:proofErr w:type="spellStart"/>
            <w:r w:rsidRPr="00115F14">
              <w:rPr>
                <w:rStyle w:val="Poudarek"/>
                <w:rFonts w:cs="Arial"/>
                <w:szCs w:val="20"/>
                <w:shd w:val="clear" w:color="auto" w:fill="FFFFFF"/>
              </w:rPr>
              <w:t>parquet</w:t>
            </w:r>
            <w:proofErr w:type="spellEnd"/>
            <w:r w:rsidRPr="00115F14">
              <w:rPr>
                <w:rStyle w:val="Poudarek"/>
                <w:rFonts w:cs="Arial"/>
                <w:szCs w:val="20"/>
                <w:shd w:val="clear" w:color="auto" w:fill="FFFFFF"/>
              </w:rPr>
              <w:t>/parket</w:t>
            </w:r>
            <w:r w:rsidRPr="00115F14">
              <w:rPr>
                <w:rFonts w:cs="Arial"/>
                <w:szCs w:val="20"/>
                <w:shd w:val="clear" w:color="auto" w:fill="FFFFFF"/>
              </w:rPr>
              <w:t>), ki dejansko začne sodni pregon</w:t>
            </w:r>
            <w:r w:rsidR="005763B2">
              <w:rPr>
                <w:rFonts w:cs="Arial"/>
                <w:szCs w:val="20"/>
                <w:shd w:val="clear" w:color="auto" w:fill="FFFFFF"/>
              </w:rPr>
              <w:t>,</w:t>
            </w:r>
            <w:r w:rsidRPr="00115F14">
              <w:rPr>
                <w:rFonts w:cs="Arial"/>
                <w:szCs w:val="20"/>
                <w:shd w:val="clear" w:color="auto" w:fill="FFFFFF"/>
              </w:rPr>
              <w:t xml:space="preserve"> sestavljajo pravosodni uslužbenci, ki so </w:t>
            </w:r>
            <w:r w:rsidRPr="00115F14">
              <w:rPr>
                <w:rFonts w:cs="Arial"/>
                <w:szCs w:val="20"/>
                <w:shd w:val="clear" w:color="auto" w:fill="FFFFFF"/>
              </w:rPr>
              <w:lastRenderedPageBreak/>
              <w:t>kvalificirani sodniki (</w:t>
            </w:r>
            <w:proofErr w:type="spellStart"/>
            <w:r w:rsidRPr="00115F14">
              <w:rPr>
                <w:rStyle w:val="Poudarek"/>
                <w:rFonts w:cs="Arial"/>
                <w:szCs w:val="20"/>
                <w:shd w:val="clear" w:color="auto" w:fill="FFFFFF"/>
              </w:rPr>
              <w:t>magistrats</w:t>
            </w:r>
            <w:proofErr w:type="spellEnd"/>
            <w:r w:rsidRPr="00115F14">
              <w:rPr>
                <w:rStyle w:val="Poudarek"/>
                <w:rFonts w:cs="Arial"/>
                <w:szCs w:val="20"/>
                <w:shd w:val="clear" w:color="auto" w:fill="FFFFFF"/>
              </w:rPr>
              <w:t>/magistraten</w:t>
            </w:r>
            <w:r w:rsidRPr="00115F14">
              <w:rPr>
                <w:rFonts w:cs="Arial"/>
                <w:szCs w:val="20"/>
                <w:shd w:val="clear" w:color="auto" w:fill="FFFFFF"/>
              </w:rPr>
              <w:t>) in izvajajo svoje naloge v okviru pristojnosti </w:t>
            </w:r>
            <w:r w:rsidRPr="00115F14">
              <w:rPr>
                <w:rStyle w:val="Krepko"/>
                <w:rFonts w:cs="Arial"/>
                <w:b w:val="0"/>
                <w:szCs w:val="20"/>
                <w:bdr w:val="none" w:sz="0" w:space="0" w:color="auto" w:frame="1"/>
                <w:shd w:val="clear" w:color="auto" w:fill="FFFFFF"/>
              </w:rPr>
              <w:t>sodišča</w:t>
            </w:r>
            <w:r w:rsidRPr="00115F14">
              <w:rPr>
                <w:rFonts w:cs="Arial"/>
                <w:szCs w:val="20"/>
                <w:shd w:val="clear" w:color="auto" w:fill="FFFFFF"/>
              </w:rPr>
              <w:t>, ki so mu dodeljeni.</w:t>
            </w:r>
          </w:p>
          <w:p w:rsidR="00AE2155" w:rsidRPr="00115F14" w:rsidRDefault="00AE2155" w:rsidP="00B644CC">
            <w:pPr>
              <w:spacing w:line="288" w:lineRule="auto"/>
              <w:jc w:val="both"/>
            </w:pPr>
          </w:p>
          <w:p w:rsidR="00AE2155" w:rsidRPr="00115F14" w:rsidRDefault="00AE2155" w:rsidP="00B644CC">
            <w:pPr>
              <w:spacing w:line="288" w:lineRule="auto"/>
              <w:jc w:val="both"/>
            </w:pPr>
            <w:r w:rsidRPr="00115F14">
              <w:t xml:space="preserve">V skladu z 153. členom belgijske </w:t>
            </w:r>
            <w:r w:rsidR="005763B2">
              <w:t>u</w:t>
            </w:r>
            <w:r w:rsidRPr="00115F14">
              <w:t xml:space="preserve">stave državne tožilce imenuje in razrešuje kralj. Imenovanje predlaga minister za pravosodje. </w:t>
            </w:r>
            <w:r w:rsidR="005763B2">
              <w:t>Drugače kot</w:t>
            </w:r>
            <w:r w:rsidRPr="00115F14">
              <w:t xml:space="preserve"> sodnik</w:t>
            </w:r>
            <w:r w:rsidR="005763B2">
              <w:t>i</w:t>
            </w:r>
            <w:r w:rsidRPr="00115F14">
              <w:t xml:space="preserve"> nimajo trajnega mandata. </w:t>
            </w:r>
          </w:p>
          <w:p w:rsidR="00AE2155" w:rsidRPr="00115F14" w:rsidRDefault="00AE2155" w:rsidP="00B644CC">
            <w:pPr>
              <w:spacing w:line="288" w:lineRule="auto"/>
              <w:jc w:val="both"/>
            </w:pPr>
          </w:p>
          <w:p w:rsidR="00AE2155" w:rsidRPr="00115F14" w:rsidRDefault="00AE2155" w:rsidP="00B644CC">
            <w:pPr>
              <w:spacing w:line="288" w:lineRule="auto"/>
              <w:jc w:val="both"/>
            </w:pPr>
            <w:r w:rsidRPr="00115F14">
              <w:t>V postopku imenovanja sodeluje poseben organ, Vrhovni pravosodni svet (</w:t>
            </w:r>
            <w:r w:rsidRPr="005763B2">
              <w:rPr>
                <w:i/>
                <w:iCs/>
              </w:rPr>
              <w:t xml:space="preserve">le </w:t>
            </w:r>
            <w:proofErr w:type="spellStart"/>
            <w:r w:rsidRPr="005763B2">
              <w:rPr>
                <w:i/>
                <w:iCs/>
              </w:rPr>
              <w:t>Conseilsupérieur</w:t>
            </w:r>
            <w:proofErr w:type="spellEnd"/>
            <w:r w:rsidRPr="005763B2">
              <w:rPr>
                <w:i/>
                <w:iCs/>
              </w:rPr>
              <w:t xml:space="preserve"> de la Justice</w:t>
            </w:r>
            <w:r w:rsidRPr="00115F14">
              <w:t>), uveden leta 1999, ki naj bi zagotovil oz</w:t>
            </w:r>
            <w:r w:rsidR="005763B2">
              <w:t>iroma</w:t>
            </w:r>
            <w:r w:rsidRPr="00115F14">
              <w:t xml:space="preserve"> povrnil zaupanje belgijske javnosti v pravosodni sistem. Vrhovni pravosodni svet je pristojen, da predlaga kandidate za državne tožilce in vodje tožilstev (</w:t>
            </w:r>
            <w:proofErr w:type="spellStart"/>
            <w:r w:rsidRPr="005763B2">
              <w:rPr>
                <w:i/>
                <w:iCs/>
              </w:rPr>
              <w:t>fonctions</w:t>
            </w:r>
            <w:proofErr w:type="spellEnd"/>
            <w:r w:rsidRPr="005763B2">
              <w:rPr>
                <w:i/>
                <w:iCs/>
              </w:rPr>
              <w:t xml:space="preserve"> de </w:t>
            </w:r>
            <w:proofErr w:type="spellStart"/>
            <w:r w:rsidRPr="005763B2">
              <w:rPr>
                <w:i/>
                <w:iCs/>
              </w:rPr>
              <w:t>chef</w:t>
            </w:r>
            <w:proofErr w:type="spellEnd"/>
            <w:r w:rsidRPr="005763B2">
              <w:rPr>
                <w:i/>
                <w:iCs/>
              </w:rPr>
              <w:t xml:space="preserve"> de </w:t>
            </w:r>
            <w:proofErr w:type="spellStart"/>
            <w:r w:rsidRPr="005763B2">
              <w:rPr>
                <w:i/>
                <w:iCs/>
              </w:rPr>
              <w:t>corps</w:t>
            </w:r>
            <w:proofErr w:type="spellEnd"/>
            <w:r w:rsidRPr="005763B2">
              <w:t>)</w:t>
            </w:r>
            <w:r w:rsidRPr="005763B2">
              <w:rPr>
                <w:i/>
                <w:iCs/>
              </w:rPr>
              <w:t>.</w:t>
            </w:r>
            <w:r w:rsidRPr="00115F14">
              <w:t xml:space="preserve"> Poleg tega je pristojen za izobraževanje sodnikov in tožilcev.</w:t>
            </w:r>
          </w:p>
          <w:p w:rsidR="00AE2155" w:rsidRPr="00115F14" w:rsidRDefault="00AE2155" w:rsidP="00B644CC">
            <w:pPr>
              <w:spacing w:line="288" w:lineRule="auto"/>
              <w:jc w:val="both"/>
            </w:pPr>
          </w:p>
          <w:p w:rsidR="00AE2155" w:rsidRPr="00115F14" w:rsidRDefault="00AE2155" w:rsidP="00B644CC">
            <w:pPr>
              <w:spacing w:line="288" w:lineRule="auto"/>
              <w:jc w:val="both"/>
            </w:pPr>
            <w:r w:rsidRPr="00115F14">
              <w:t>Tožilstva v Belgiji so hierarhično organizirana. Imenujejo se z izrazom</w:t>
            </w:r>
            <w:r w:rsidRPr="005763B2">
              <w:rPr>
                <w:i/>
                <w:iCs/>
              </w:rPr>
              <w:t xml:space="preserve"> </w:t>
            </w:r>
            <w:proofErr w:type="spellStart"/>
            <w:r w:rsidRPr="005763B2">
              <w:rPr>
                <w:i/>
                <w:iCs/>
              </w:rPr>
              <w:t>ministèrepublic</w:t>
            </w:r>
            <w:proofErr w:type="spellEnd"/>
            <w:r w:rsidRPr="00115F14">
              <w:t>. Na prv</w:t>
            </w:r>
            <w:r w:rsidR="005763B2">
              <w:t>i</w:t>
            </w:r>
            <w:r w:rsidRPr="00115F14">
              <w:t xml:space="preserve"> </w:t>
            </w:r>
            <w:r w:rsidR="005763B2">
              <w:t>ravni</w:t>
            </w:r>
            <w:r w:rsidRPr="00115F14">
              <w:t xml:space="preserve"> je 27 kraljevih tožilcev (</w:t>
            </w:r>
            <w:proofErr w:type="spellStart"/>
            <w:r w:rsidRPr="005763B2">
              <w:rPr>
                <w:i/>
                <w:iCs/>
              </w:rPr>
              <w:t>procureurduroi</w:t>
            </w:r>
            <w:proofErr w:type="spellEnd"/>
            <w:r w:rsidRPr="00115F14">
              <w:t>), pri vsakem sodnem okrožju (</w:t>
            </w:r>
            <w:proofErr w:type="spellStart"/>
            <w:r w:rsidRPr="005763B2">
              <w:rPr>
                <w:i/>
                <w:iCs/>
              </w:rPr>
              <w:t>judicaldistrict</w:t>
            </w:r>
            <w:proofErr w:type="spellEnd"/>
            <w:r w:rsidRPr="00115F14">
              <w:t>) eden. Delujejo pred sodišči prve stopnje (</w:t>
            </w:r>
            <w:r w:rsidRPr="00D903B2">
              <w:rPr>
                <w:i/>
                <w:iCs/>
              </w:rPr>
              <w:t>tribunal de première instance</w:t>
            </w:r>
            <w:r w:rsidRPr="00115F14">
              <w:t>), policijskim sodiščem (</w:t>
            </w:r>
            <w:r w:rsidRPr="00D903B2">
              <w:rPr>
                <w:i/>
                <w:iCs/>
              </w:rPr>
              <w:t>tribunal de police</w:t>
            </w:r>
            <w:r w:rsidRPr="00115F14">
              <w:t>) in gospodarskim sodiščem (</w:t>
            </w:r>
            <w:r w:rsidRPr="00D903B2">
              <w:rPr>
                <w:i/>
                <w:iCs/>
              </w:rPr>
              <w:t xml:space="preserve">tribunal </w:t>
            </w:r>
            <w:proofErr w:type="spellStart"/>
            <w:r w:rsidRPr="00D903B2">
              <w:rPr>
                <w:i/>
                <w:iCs/>
              </w:rPr>
              <w:t>decommerce</w:t>
            </w:r>
            <w:proofErr w:type="spellEnd"/>
            <w:r w:rsidRPr="00115F14">
              <w:t xml:space="preserve">). </w:t>
            </w:r>
          </w:p>
          <w:p w:rsidR="00AE2155" w:rsidRPr="00115F14" w:rsidRDefault="00AE2155" w:rsidP="00B644CC">
            <w:pPr>
              <w:spacing w:line="288" w:lineRule="auto"/>
              <w:jc w:val="both"/>
              <w:rPr>
                <w:szCs w:val="20"/>
              </w:rPr>
            </w:pPr>
          </w:p>
          <w:p w:rsidR="00AE2155" w:rsidRPr="00115F14" w:rsidRDefault="00AE2155" w:rsidP="00B644CC">
            <w:pPr>
              <w:spacing w:line="288" w:lineRule="auto"/>
              <w:jc w:val="both"/>
              <w:rPr>
                <w:rFonts w:cs="Arial"/>
                <w:szCs w:val="20"/>
                <w:shd w:val="clear" w:color="auto" w:fill="FFFFFF"/>
              </w:rPr>
            </w:pPr>
            <w:r w:rsidRPr="00115F14">
              <w:rPr>
                <w:rFonts w:cs="Arial"/>
                <w:szCs w:val="20"/>
                <w:shd w:val="clear" w:color="auto" w:fill="FFFFFF"/>
              </w:rPr>
              <w:t>V </w:t>
            </w:r>
            <w:r w:rsidRPr="00115F14">
              <w:rPr>
                <w:rStyle w:val="Krepko"/>
                <w:rFonts w:cs="Arial"/>
                <w:b w:val="0"/>
                <w:szCs w:val="20"/>
                <w:bdr w:val="none" w:sz="0" w:space="0" w:color="auto" w:frame="1"/>
                <w:shd w:val="clear" w:color="auto" w:fill="FFFFFF"/>
              </w:rPr>
              <w:t>sodnem okrožju</w:t>
            </w:r>
            <w:r w:rsidRPr="00115F14">
              <w:rPr>
                <w:rStyle w:val="Krepko"/>
                <w:rFonts w:cs="Arial"/>
                <w:szCs w:val="20"/>
                <w:bdr w:val="none" w:sz="0" w:space="0" w:color="auto" w:frame="1"/>
                <w:shd w:val="clear" w:color="auto" w:fill="FFFFFF"/>
              </w:rPr>
              <w:t> </w:t>
            </w:r>
            <w:r w:rsidRPr="00115F14">
              <w:rPr>
                <w:rFonts w:cs="Arial"/>
                <w:szCs w:val="20"/>
                <w:shd w:val="clear" w:color="auto" w:fill="FFFFFF"/>
              </w:rPr>
              <w:t>(</w:t>
            </w:r>
            <w:proofErr w:type="spellStart"/>
            <w:r w:rsidRPr="00115F14">
              <w:rPr>
                <w:rStyle w:val="Poudarek"/>
                <w:rFonts w:cs="Arial"/>
                <w:szCs w:val="20"/>
                <w:shd w:val="clear" w:color="auto" w:fill="FFFFFF"/>
              </w:rPr>
              <w:t>arrondissement</w:t>
            </w:r>
            <w:proofErr w:type="spellEnd"/>
            <w:r w:rsidRPr="00115F14">
              <w:rPr>
                <w:rStyle w:val="Poudarek"/>
                <w:rFonts w:cs="Arial"/>
                <w:szCs w:val="20"/>
                <w:shd w:val="clear" w:color="auto" w:fill="FFFFFF"/>
              </w:rPr>
              <w:t xml:space="preserve"> </w:t>
            </w:r>
            <w:proofErr w:type="spellStart"/>
            <w:r w:rsidRPr="00115F14">
              <w:rPr>
                <w:rStyle w:val="Poudarek"/>
                <w:rFonts w:cs="Arial"/>
                <w:szCs w:val="20"/>
                <w:shd w:val="clear" w:color="auto" w:fill="FFFFFF"/>
              </w:rPr>
              <w:t>judiciare</w:t>
            </w:r>
            <w:proofErr w:type="spellEnd"/>
            <w:r w:rsidRPr="00115F14">
              <w:rPr>
                <w:rStyle w:val="Poudarek"/>
                <w:rFonts w:cs="Arial"/>
                <w:szCs w:val="20"/>
                <w:shd w:val="clear" w:color="auto" w:fill="FFFFFF"/>
              </w:rPr>
              <w:t>/</w:t>
            </w:r>
            <w:proofErr w:type="spellStart"/>
            <w:r w:rsidRPr="00115F14">
              <w:rPr>
                <w:rStyle w:val="Poudarek"/>
                <w:rFonts w:cs="Arial"/>
                <w:szCs w:val="20"/>
                <w:shd w:val="clear" w:color="auto" w:fill="FFFFFF"/>
              </w:rPr>
              <w:t>gerechtelijk</w:t>
            </w:r>
            <w:proofErr w:type="spellEnd"/>
            <w:r w:rsidRPr="00115F14">
              <w:rPr>
                <w:rStyle w:val="Poudarek"/>
                <w:rFonts w:cs="Arial"/>
                <w:szCs w:val="20"/>
                <w:shd w:val="clear" w:color="auto" w:fill="FFFFFF"/>
              </w:rPr>
              <w:t xml:space="preserve"> </w:t>
            </w:r>
            <w:proofErr w:type="spellStart"/>
            <w:r w:rsidRPr="00115F14">
              <w:rPr>
                <w:rStyle w:val="Poudarek"/>
                <w:rFonts w:cs="Arial"/>
                <w:szCs w:val="20"/>
                <w:shd w:val="clear" w:color="auto" w:fill="FFFFFF"/>
              </w:rPr>
              <w:t>arrondissement</w:t>
            </w:r>
            <w:proofErr w:type="spellEnd"/>
            <w:r w:rsidRPr="00115F14">
              <w:rPr>
                <w:rFonts w:cs="Arial"/>
                <w:szCs w:val="20"/>
                <w:shd w:val="clear" w:color="auto" w:fill="FFFFFF"/>
              </w:rPr>
              <w:t>) so uradniki, ki zastopajo državno tožilstvo na sodišču prve stopnje (</w:t>
            </w:r>
            <w:r w:rsidRPr="00115F14">
              <w:rPr>
                <w:rStyle w:val="Poudarek"/>
                <w:rFonts w:cs="Arial"/>
                <w:szCs w:val="20"/>
                <w:shd w:val="clear" w:color="auto" w:fill="FFFFFF"/>
              </w:rPr>
              <w:t>tribunal de première instance/</w:t>
            </w:r>
            <w:proofErr w:type="spellStart"/>
            <w:r w:rsidRPr="00115F14">
              <w:rPr>
                <w:rStyle w:val="Poudarek"/>
                <w:rFonts w:cs="Arial"/>
                <w:szCs w:val="20"/>
                <w:shd w:val="clear" w:color="auto" w:fill="FFFFFF"/>
              </w:rPr>
              <w:t>rechtbank</w:t>
            </w:r>
            <w:proofErr w:type="spellEnd"/>
            <w:r w:rsidRPr="00115F14">
              <w:rPr>
                <w:rStyle w:val="Poudarek"/>
                <w:rFonts w:cs="Arial"/>
                <w:szCs w:val="20"/>
                <w:shd w:val="clear" w:color="auto" w:fill="FFFFFF"/>
              </w:rPr>
              <w:t xml:space="preserve"> van </w:t>
            </w:r>
            <w:proofErr w:type="spellStart"/>
            <w:r w:rsidRPr="00115F14">
              <w:rPr>
                <w:rStyle w:val="Poudarek"/>
                <w:rFonts w:cs="Arial"/>
                <w:szCs w:val="20"/>
                <w:shd w:val="clear" w:color="auto" w:fill="FFFFFF"/>
              </w:rPr>
              <w:t>eerste</w:t>
            </w:r>
            <w:proofErr w:type="spellEnd"/>
            <w:r w:rsidRPr="00115F14">
              <w:rPr>
                <w:rStyle w:val="Poudarek"/>
                <w:rFonts w:cs="Arial"/>
                <w:szCs w:val="20"/>
                <w:shd w:val="clear" w:color="auto" w:fill="FFFFFF"/>
              </w:rPr>
              <w:t xml:space="preserve"> </w:t>
            </w:r>
            <w:proofErr w:type="spellStart"/>
            <w:r w:rsidRPr="00115F14">
              <w:rPr>
                <w:rStyle w:val="Poudarek"/>
                <w:rFonts w:cs="Arial"/>
                <w:szCs w:val="20"/>
                <w:shd w:val="clear" w:color="auto" w:fill="FFFFFF"/>
              </w:rPr>
              <w:t>aanleg</w:t>
            </w:r>
            <w:proofErr w:type="spellEnd"/>
            <w:r w:rsidRPr="00115F14">
              <w:rPr>
                <w:rFonts w:cs="Arial"/>
                <w:szCs w:val="20"/>
                <w:shd w:val="clear" w:color="auto" w:fill="FFFFFF"/>
              </w:rPr>
              <w:t>) in zlasti na sodišču za mladoletnike (</w:t>
            </w:r>
            <w:r w:rsidRPr="00115F14">
              <w:rPr>
                <w:rStyle w:val="Poudarek"/>
                <w:rFonts w:cs="Arial"/>
                <w:szCs w:val="20"/>
                <w:shd w:val="clear" w:color="auto" w:fill="FFFFFF"/>
              </w:rPr>
              <w:t xml:space="preserve">tribunal de la </w:t>
            </w:r>
            <w:proofErr w:type="spellStart"/>
            <w:r w:rsidRPr="00115F14">
              <w:rPr>
                <w:rStyle w:val="Poudarek"/>
                <w:rFonts w:cs="Arial"/>
                <w:szCs w:val="20"/>
                <w:shd w:val="clear" w:color="auto" w:fill="FFFFFF"/>
              </w:rPr>
              <w:t>jeunesse</w:t>
            </w:r>
            <w:proofErr w:type="spellEnd"/>
            <w:r w:rsidRPr="00115F14">
              <w:rPr>
                <w:rStyle w:val="Poudarek"/>
                <w:rFonts w:cs="Arial"/>
                <w:szCs w:val="20"/>
                <w:shd w:val="clear" w:color="auto" w:fill="FFFFFF"/>
              </w:rPr>
              <w:t>/</w:t>
            </w:r>
            <w:proofErr w:type="spellStart"/>
            <w:r w:rsidRPr="00115F14">
              <w:rPr>
                <w:rStyle w:val="Poudarek"/>
                <w:rFonts w:cs="Arial"/>
                <w:szCs w:val="20"/>
                <w:shd w:val="clear" w:color="auto" w:fill="FFFFFF"/>
              </w:rPr>
              <w:t>jeugdrechtbank</w:t>
            </w:r>
            <w:proofErr w:type="spellEnd"/>
            <w:r w:rsidRPr="00115F14">
              <w:rPr>
                <w:rFonts w:cs="Arial"/>
                <w:szCs w:val="20"/>
                <w:shd w:val="clear" w:color="auto" w:fill="FFFFFF"/>
              </w:rPr>
              <w:t>), ki je eden od oddelkov sodišča prve stopnje, </w:t>
            </w:r>
            <w:r w:rsidRPr="00115F14">
              <w:rPr>
                <w:rStyle w:val="Krepko"/>
                <w:rFonts w:cs="Arial"/>
                <w:b w:val="0"/>
                <w:szCs w:val="20"/>
                <w:bdr w:val="none" w:sz="0" w:space="0" w:color="auto" w:frame="1"/>
                <w:shd w:val="clear" w:color="auto" w:fill="FFFFFF"/>
              </w:rPr>
              <w:t>državni tožilec</w:t>
            </w:r>
            <w:r w:rsidRPr="00115F14">
              <w:rPr>
                <w:rFonts w:cs="Arial"/>
                <w:szCs w:val="20"/>
                <w:shd w:val="clear" w:color="auto" w:fill="FFFFFF"/>
              </w:rPr>
              <w:t> (</w:t>
            </w:r>
            <w:proofErr w:type="spellStart"/>
            <w:r w:rsidRPr="00115F14">
              <w:rPr>
                <w:rStyle w:val="Poudarek"/>
                <w:rFonts w:cs="Arial"/>
                <w:szCs w:val="20"/>
                <w:shd w:val="clear" w:color="auto" w:fill="FFFFFF"/>
              </w:rPr>
              <w:t>procureur</w:t>
            </w:r>
            <w:proofErr w:type="spellEnd"/>
            <w:r w:rsidRPr="00115F14">
              <w:rPr>
                <w:rStyle w:val="Poudarek"/>
                <w:rFonts w:cs="Arial"/>
                <w:szCs w:val="20"/>
                <w:shd w:val="clear" w:color="auto" w:fill="FFFFFF"/>
              </w:rPr>
              <w:t xml:space="preserve"> </w:t>
            </w:r>
            <w:proofErr w:type="spellStart"/>
            <w:r w:rsidRPr="00115F14">
              <w:rPr>
                <w:rStyle w:val="Poudarek"/>
                <w:rFonts w:cs="Arial"/>
                <w:szCs w:val="20"/>
                <w:shd w:val="clear" w:color="auto" w:fill="FFFFFF"/>
              </w:rPr>
              <w:t>du</w:t>
            </w:r>
            <w:proofErr w:type="spellEnd"/>
            <w:r w:rsidRPr="00115F14">
              <w:rPr>
                <w:rStyle w:val="Poudarek"/>
                <w:rFonts w:cs="Arial"/>
                <w:szCs w:val="20"/>
                <w:shd w:val="clear" w:color="auto" w:fill="FFFFFF"/>
              </w:rPr>
              <w:t xml:space="preserve"> </w:t>
            </w:r>
            <w:proofErr w:type="spellStart"/>
            <w:r w:rsidRPr="00115F14">
              <w:rPr>
                <w:rStyle w:val="Poudarek"/>
                <w:rFonts w:cs="Arial"/>
                <w:szCs w:val="20"/>
                <w:shd w:val="clear" w:color="auto" w:fill="FFFFFF"/>
              </w:rPr>
              <w:t>Roi</w:t>
            </w:r>
            <w:proofErr w:type="spellEnd"/>
            <w:r w:rsidRPr="00115F14">
              <w:rPr>
                <w:rStyle w:val="Poudarek"/>
                <w:rFonts w:cs="Arial"/>
                <w:szCs w:val="20"/>
                <w:shd w:val="clear" w:color="auto" w:fill="FFFFFF"/>
              </w:rPr>
              <w:t>/</w:t>
            </w:r>
            <w:proofErr w:type="spellStart"/>
            <w:r w:rsidRPr="00115F14">
              <w:rPr>
                <w:rStyle w:val="Poudarek"/>
                <w:rFonts w:cs="Arial"/>
                <w:szCs w:val="20"/>
                <w:shd w:val="clear" w:color="auto" w:fill="FFFFFF"/>
              </w:rPr>
              <w:t>procureur</w:t>
            </w:r>
            <w:proofErr w:type="spellEnd"/>
            <w:r w:rsidRPr="00115F14">
              <w:rPr>
                <w:rStyle w:val="Poudarek"/>
                <w:rFonts w:cs="Arial"/>
                <w:szCs w:val="20"/>
                <w:shd w:val="clear" w:color="auto" w:fill="FFFFFF"/>
              </w:rPr>
              <w:t xml:space="preserve"> des </w:t>
            </w:r>
            <w:proofErr w:type="spellStart"/>
            <w:r w:rsidRPr="00115F14">
              <w:rPr>
                <w:rStyle w:val="Poudarek"/>
                <w:rFonts w:cs="Arial"/>
                <w:szCs w:val="20"/>
                <w:shd w:val="clear" w:color="auto" w:fill="FFFFFF"/>
              </w:rPr>
              <w:t>Konings</w:t>
            </w:r>
            <w:proofErr w:type="spellEnd"/>
            <w:r w:rsidRPr="00115F14">
              <w:rPr>
                <w:rFonts w:cs="Arial"/>
                <w:szCs w:val="20"/>
                <w:shd w:val="clear" w:color="auto" w:fill="FFFFFF"/>
              </w:rPr>
              <w:t>), prvi namestnik državnega tožilca (</w:t>
            </w:r>
            <w:proofErr w:type="spellStart"/>
            <w:r w:rsidRPr="00115F14">
              <w:rPr>
                <w:rStyle w:val="Poudarek"/>
                <w:rFonts w:cs="Arial"/>
                <w:szCs w:val="20"/>
                <w:shd w:val="clear" w:color="auto" w:fill="FFFFFF"/>
              </w:rPr>
              <w:t>premiers</w:t>
            </w:r>
            <w:proofErr w:type="spellEnd"/>
            <w:r w:rsidRPr="00115F14">
              <w:rPr>
                <w:rStyle w:val="Poudarek"/>
                <w:rFonts w:cs="Arial"/>
                <w:szCs w:val="20"/>
                <w:shd w:val="clear" w:color="auto" w:fill="FFFFFF"/>
              </w:rPr>
              <w:t xml:space="preserve"> </w:t>
            </w:r>
            <w:proofErr w:type="spellStart"/>
            <w:r w:rsidRPr="00115F14">
              <w:rPr>
                <w:rStyle w:val="Poudarek"/>
                <w:rFonts w:cs="Arial"/>
                <w:szCs w:val="20"/>
                <w:shd w:val="clear" w:color="auto" w:fill="FFFFFF"/>
              </w:rPr>
              <w:t>substituts</w:t>
            </w:r>
            <w:proofErr w:type="spellEnd"/>
            <w:r w:rsidRPr="00115F14">
              <w:rPr>
                <w:rStyle w:val="Poudarek"/>
                <w:rFonts w:cs="Arial"/>
                <w:szCs w:val="20"/>
                <w:shd w:val="clear" w:color="auto" w:fill="FFFFFF"/>
              </w:rPr>
              <w:t>/</w:t>
            </w:r>
            <w:proofErr w:type="spellStart"/>
            <w:r w:rsidRPr="00115F14">
              <w:rPr>
                <w:rStyle w:val="Poudarek"/>
                <w:rFonts w:cs="Arial"/>
                <w:szCs w:val="20"/>
                <w:shd w:val="clear" w:color="auto" w:fill="FFFFFF"/>
              </w:rPr>
              <w:t>eerste</w:t>
            </w:r>
            <w:proofErr w:type="spellEnd"/>
            <w:r w:rsidRPr="00115F14">
              <w:rPr>
                <w:rStyle w:val="Poudarek"/>
                <w:rFonts w:cs="Arial"/>
                <w:szCs w:val="20"/>
                <w:shd w:val="clear" w:color="auto" w:fill="FFFFFF"/>
              </w:rPr>
              <w:t xml:space="preserve"> </w:t>
            </w:r>
            <w:proofErr w:type="spellStart"/>
            <w:r w:rsidRPr="00115F14">
              <w:rPr>
                <w:rStyle w:val="Poudarek"/>
                <w:rFonts w:cs="Arial"/>
                <w:szCs w:val="20"/>
                <w:shd w:val="clear" w:color="auto" w:fill="FFFFFF"/>
              </w:rPr>
              <w:t>substituten</w:t>
            </w:r>
            <w:proofErr w:type="spellEnd"/>
            <w:r w:rsidRPr="00115F14">
              <w:rPr>
                <w:rFonts w:cs="Arial"/>
                <w:szCs w:val="20"/>
                <w:shd w:val="clear" w:color="auto" w:fill="FFFFFF"/>
              </w:rPr>
              <w:t>) in namestnik državnega tožilca (</w:t>
            </w:r>
            <w:proofErr w:type="spellStart"/>
            <w:r w:rsidRPr="00115F14">
              <w:rPr>
                <w:rStyle w:val="Poudarek"/>
                <w:rFonts w:cs="Arial"/>
                <w:szCs w:val="20"/>
                <w:shd w:val="clear" w:color="auto" w:fill="FFFFFF"/>
              </w:rPr>
              <w:t>substituts</w:t>
            </w:r>
            <w:proofErr w:type="spellEnd"/>
            <w:r w:rsidRPr="00115F14">
              <w:rPr>
                <w:rStyle w:val="Poudarek"/>
                <w:rFonts w:cs="Arial"/>
                <w:szCs w:val="20"/>
                <w:shd w:val="clear" w:color="auto" w:fill="FFFFFF"/>
              </w:rPr>
              <w:t>/</w:t>
            </w:r>
            <w:proofErr w:type="spellStart"/>
            <w:r w:rsidRPr="00115F14">
              <w:rPr>
                <w:rStyle w:val="Poudarek"/>
                <w:rFonts w:cs="Arial"/>
                <w:szCs w:val="20"/>
                <w:shd w:val="clear" w:color="auto" w:fill="FFFFFF"/>
              </w:rPr>
              <w:t>subsituten</w:t>
            </w:r>
            <w:proofErr w:type="spellEnd"/>
            <w:r w:rsidRPr="00115F14">
              <w:rPr>
                <w:rFonts w:cs="Arial"/>
                <w:szCs w:val="20"/>
                <w:shd w:val="clear" w:color="auto" w:fill="FFFFFF"/>
              </w:rPr>
              <w:t>). Enako nastopajo tudi pred sodiščem ali sodišči za prekrške (</w:t>
            </w:r>
            <w:r w:rsidRPr="00115F14">
              <w:rPr>
                <w:rStyle w:val="Poudarek"/>
                <w:rFonts w:cs="Arial"/>
                <w:szCs w:val="20"/>
                <w:shd w:val="clear" w:color="auto" w:fill="FFFFFF"/>
              </w:rPr>
              <w:t>tribunal de police/</w:t>
            </w:r>
            <w:proofErr w:type="spellStart"/>
            <w:r w:rsidRPr="00115F14">
              <w:rPr>
                <w:rStyle w:val="Poudarek"/>
                <w:rFonts w:cs="Arial"/>
                <w:szCs w:val="20"/>
                <w:shd w:val="clear" w:color="auto" w:fill="FFFFFF"/>
              </w:rPr>
              <w:t>politierechtbank</w:t>
            </w:r>
            <w:proofErr w:type="spellEnd"/>
            <w:r w:rsidRPr="00115F14">
              <w:rPr>
                <w:rFonts w:cs="Arial"/>
                <w:szCs w:val="20"/>
                <w:shd w:val="clear" w:color="auto" w:fill="FFFFFF"/>
              </w:rPr>
              <w:t>) ter gospodarskim sodiščem (</w:t>
            </w:r>
            <w:r w:rsidRPr="00115F14">
              <w:rPr>
                <w:rStyle w:val="Poudarek"/>
                <w:rFonts w:cs="Arial"/>
                <w:szCs w:val="20"/>
                <w:shd w:val="clear" w:color="auto" w:fill="FFFFFF"/>
              </w:rPr>
              <w:t xml:space="preserve">tribunal de </w:t>
            </w:r>
            <w:proofErr w:type="spellStart"/>
            <w:r w:rsidRPr="00115F14">
              <w:rPr>
                <w:rStyle w:val="Poudarek"/>
                <w:rFonts w:cs="Arial"/>
                <w:szCs w:val="20"/>
                <w:shd w:val="clear" w:color="auto" w:fill="FFFFFF"/>
              </w:rPr>
              <w:t>commerce</w:t>
            </w:r>
            <w:proofErr w:type="spellEnd"/>
            <w:r w:rsidRPr="00115F14">
              <w:rPr>
                <w:rStyle w:val="Poudarek"/>
                <w:rFonts w:cs="Arial"/>
                <w:szCs w:val="20"/>
                <w:shd w:val="clear" w:color="auto" w:fill="FFFFFF"/>
              </w:rPr>
              <w:t>/</w:t>
            </w:r>
            <w:proofErr w:type="spellStart"/>
            <w:r w:rsidRPr="00115F14">
              <w:rPr>
                <w:rStyle w:val="Poudarek"/>
                <w:rFonts w:cs="Arial"/>
                <w:szCs w:val="20"/>
                <w:shd w:val="clear" w:color="auto" w:fill="FFFFFF"/>
              </w:rPr>
              <w:t>handelsrechtbank</w:t>
            </w:r>
            <w:proofErr w:type="spellEnd"/>
            <w:r w:rsidRPr="00115F14">
              <w:rPr>
                <w:rFonts w:cs="Arial"/>
                <w:szCs w:val="20"/>
                <w:shd w:val="clear" w:color="auto" w:fill="FFFFFF"/>
              </w:rPr>
              <w:t xml:space="preserve">) v okviru svojega delovnega področja. </w:t>
            </w:r>
          </w:p>
          <w:p w:rsidR="00AE2155" w:rsidRPr="00115F14" w:rsidRDefault="00AE2155" w:rsidP="00B644CC">
            <w:pPr>
              <w:spacing w:line="288" w:lineRule="auto"/>
              <w:jc w:val="both"/>
              <w:rPr>
                <w:rFonts w:cs="Arial"/>
                <w:szCs w:val="20"/>
                <w:shd w:val="clear" w:color="auto" w:fill="FFFFFF"/>
              </w:rPr>
            </w:pPr>
          </w:p>
          <w:p w:rsidR="00AE2155" w:rsidRPr="00115F14" w:rsidRDefault="00AE2155" w:rsidP="00B644CC">
            <w:pPr>
              <w:spacing w:line="288" w:lineRule="auto"/>
              <w:jc w:val="both"/>
              <w:rPr>
                <w:rFonts w:cs="Arial"/>
                <w:szCs w:val="20"/>
              </w:rPr>
            </w:pPr>
            <w:r w:rsidRPr="00115F14">
              <w:rPr>
                <w:rStyle w:val="Krepko"/>
                <w:rFonts w:cs="Arial"/>
                <w:b w:val="0"/>
                <w:szCs w:val="20"/>
                <w:bdr w:val="none" w:sz="0" w:space="0" w:color="auto" w:frame="1"/>
              </w:rPr>
              <w:t>Na ravni pritožbenih</w:t>
            </w:r>
            <w:r w:rsidRPr="00115F14">
              <w:rPr>
                <w:rStyle w:val="Krepko"/>
                <w:rFonts w:cs="Arial"/>
                <w:szCs w:val="20"/>
                <w:bdr w:val="none" w:sz="0" w:space="0" w:color="auto" w:frame="1"/>
              </w:rPr>
              <w:t> </w:t>
            </w:r>
            <w:r w:rsidRPr="00115F14">
              <w:rPr>
                <w:rFonts w:cs="Arial"/>
                <w:szCs w:val="20"/>
              </w:rPr>
              <w:t>(</w:t>
            </w:r>
            <w:proofErr w:type="spellStart"/>
            <w:r w:rsidRPr="00115F14">
              <w:rPr>
                <w:rStyle w:val="Poudarek"/>
                <w:rFonts w:cs="Arial"/>
                <w:szCs w:val="20"/>
              </w:rPr>
              <w:t>cour</w:t>
            </w:r>
            <w:proofErr w:type="spellEnd"/>
            <w:r w:rsidRPr="00115F14">
              <w:rPr>
                <w:rStyle w:val="Poudarek"/>
                <w:rFonts w:cs="Arial"/>
                <w:szCs w:val="20"/>
              </w:rPr>
              <w:t xml:space="preserve"> </w:t>
            </w:r>
            <w:proofErr w:type="spellStart"/>
            <w:r w:rsidRPr="00115F14">
              <w:rPr>
                <w:rStyle w:val="Poudarek"/>
                <w:rFonts w:cs="Arial"/>
                <w:szCs w:val="20"/>
              </w:rPr>
              <w:t>d’appel</w:t>
            </w:r>
            <w:proofErr w:type="spellEnd"/>
            <w:r w:rsidRPr="00115F14">
              <w:rPr>
                <w:rStyle w:val="Poudarek"/>
                <w:rFonts w:cs="Arial"/>
                <w:szCs w:val="20"/>
              </w:rPr>
              <w:t>/</w:t>
            </w:r>
            <w:proofErr w:type="spellStart"/>
            <w:r w:rsidRPr="00115F14">
              <w:rPr>
                <w:rStyle w:val="Poudarek"/>
                <w:rFonts w:cs="Arial"/>
                <w:szCs w:val="20"/>
              </w:rPr>
              <w:t>hof</w:t>
            </w:r>
            <w:proofErr w:type="spellEnd"/>
            <w:r w:rsidRPr="00115F14">
              <w:rPr>
                <w:rStyle w:val="Poudarek"/>
                <w:rFonts w:cs="Arial"/>
                <w:szCs w:val="20"/>
              </w:rPr>
              <w:t xml:space="preserve"> van </w:t>
            </w:r>
            <w:proofErr w:type="spellStart"/>
            <w:r w:rsidRPr="00115F14">
              <w:rPr>
                <w:rStyle w:val="Poudarek"/>
                <w:rFonts w:cs="Arial"/>
                <w:szCs w:val="20"/>
              </w:rPr>
              <w:t>beroep</w:t>
            </w:r>
            <w:proofErr w:type="spellEnd"/>
            <w:r w:rsidRPr="00115F14">
              <w:rPr>
                <w:rFonts w:cs="Arial"/>
                <w:szCs w:val="20"/>
              </w:rPr>
              <w:t>) in</w:t>
            </w:r>
            <w:r w:rsidRPr="00115F14">
              <w:rPr>
                <w:rStyle w:val="Krepko"/>
                <w:rFonts w:cs="Arial"/>
                <w:szCs w:val="20"/>
                <w:bdr w:val="none" w:sz="0" w:space="0" w:color="auto" w:frame="1"/>
              </w:rPr>
              <w:t> </w:t>
            </w:r>
            <w:r w:rsidRPr="00115F14">
              <w:rPr>
                <w:rStyle w:val="Krepko"/>
                <w:rFonts w:cs="Arial"/>
                <w:b w:val="0"/>
                <w:szCs w:val="20"/>
                <w:bdr w:val="none" w:sz="0" w:space="0" w:color="auto" w:frame="1"/>
              </w:rPr>
              <w:t>delovnih sodišč</w:t>
            </w:r>
            <w:r w:rsidRPr="00115F14">
              <w:rPr>
                <w:rFonts w:cs="Arial"/>
                <w:szCs w:val="20"/>
              </w:rPr>
              <w:t> (</w:t>
            </w:r>
            <w:proofErr w:type="spellStart"/>
            <w:r w:rsidRPr="00115F14">
              <w:rPr>
                <w:rStyle w:val="Poudarek"/>
                <w:rFonts w:cs="Arial"/>
                <w:szCs w:val="20"/>
              </w:rPr>
              <w:t>cour</w:t>
            </w:r>
            <w:proofErr w:type="spellEnd"/>
            <w:r w:rsidRPr="00115F14">
              <w:rPr>
                <w:rStyle w:val="Poudarek"/>
                <w:rFonts w:cs="Arial"/>
                <w:szCs w:val="20"/>
              </w:rPr>
              <w:t xml:space="preserve"> </w:t>
            </w:r>
            <w:proofErr w:type="spellStart"/>
            <w:r w:rsidRPr="00115F14">
              <w:rPr>
                <w:rStyle w:val="Poudarek"/>
                <w:rFonts w:cs="Arial"/>
                <w:szCs w:val="20"/>
              </w:rPr>
              <w:t>du</w:t>
            </w:r>
            <w:proofErr w:type="spellEnd"/>
            <w:r w:rsidRPr="00115F14">
              <w:rPr>
                <w:rStyle w:val="Poudarek"/>
                <w:rFonts w:cs="Arial"/>
                <w:szCs w:val="20"/>
              </w:rPr>
              <w:t xml:space="preserve"> </w:t>
            </w:r>
            <w:proofErr w:type="spellStart"/>
            <w:r w:rsidRPr="00115F14">
              <w:rPr>
                <w:rStyle w:val="Poudarek"/>
                <w:rFonts w:cs="Arial"/>
                <w:szCs w:val="20"/>
              </w:rPr>
              <w:t>travail</w:t>
            </w:r>
            <w:proofErr w:type="spellEnd"/>
            <w:r w:rsidRPr="00115F14">
              <w:rPr>
                <w:rStyle w:val="Poudarek"/>
                <w:rFonts w:cs="Arial"/>
                <w:szCs w:val="20"/>
              </w:rPr>
              <w:t>/</w:t>
            </w:r>
            <w:proofErr w:type="spellStart"/>
            <w:r w:rsidRPr="00115F14">
              <w:rPr>
                <w:rStyle w:val="Poudarek"/>
                <w:rFonts w:cs="Arial"/>
                <w:szCs w:val="20"/>
              </w:rPr>
              <w:t>arbeidshof</w:t>
            </w:r>
            <w:proofErr w:type="spellEnd"/>
            <w:r w:rsidRPr="00115F14">
              <w:rPr>
                <w:rFonts w:cs="Arial"/>
                <w:szCs w:val="20"/>
              </w:rPr>
              <w:t>) to funkcijo izvaja </w:t>
            </w:r>
            <w:r w:rsidRPr="00115F14">
              <w:rPr>
                <w:rStyle w:val="Krepko"/>
                <w:rFonts w:cs="Arial"/>
                <w:b w:val="0"/>
                <w:szCs w:val="20"/>
                <w:bdr w:val="none" w:sz="0" w:space="0" w:color="auto" w:frame="1"/>
              </w:rPr>
              <w:t>generalni državni tožilec</w:t>
            </w:r>
            <w:r w:rsidRPr="00115F14">
              <w:rPr>
                <w:rFonts w:cs="Arial"/>
                <w:szCs w:val="20"/>
              </w:rPr>
              <w:t> (</w:t>
            </w:r>
            <w:proofErr w:type="spellStart"/>
            <w:r w:rsidRPr="00115F14">
              <w:rPr>
                <w:rStyle w:val="Poudarek"/>
                <w:rFonts w:cs="Arial"/>
                <w:szCs w:val="20"/>
              </w:rPr>
              <w:t>procureur</w:t>
            </w:r>
            <w:proofErr w:type="spellEnd"/>
            <w:r w:rsidRPr="00115F14">
              <w:rPr>
                <w:rStyle w:val="Poudarek"/>
                <w:rFonts w:cs="Arial"/>
                <w:szCs w:val="20"/>
              </w:rPr>
              <w:t>-général/</w:t>
            </w:r>
            <w:proofErr w:type="spellStart"/>
            <w:r w:rsidRPr="00115F14">
              <w:rPr>
                <w:rStyle w:val="Poudarek"/>
                <w:rFonts w:cs="Arial"/>
                <w:szCs w:val="20"/>
              </w:rPr>
              <w:t>procureur-generaal</w:t>
            </w:r>
            <w:proofErr w:type="spellEnd"/>
            <w:r w:rsidRPr="00115F14">
              <w:rPr>
                <w:rFonts w:cs="Arial"/>
                <w:szCs w:val="20"/>
              </w:rPr>
              <w:t>), ki vodi in nadzira pravosodne uslužbence generalnega državnega tožilstva na pritožbenem sodišču (</w:t>
            </w:r>
            <w:proofErr w:type="spellStart"/>
            <w:r w:rsidRPr="00115F14">
              <w:rPr>
                <w:rStyle w:val="Poudarek"/>
                <w:rFonts w:cs="Arial"/>
                <w:szCs w:val="20"/>
              </w:rPr>
              <w:t>parquet</w:t>
            </w:r>
            <w:proofErr w:type="spellEnd"/>
            <w:r w:rsidRPr="00115F14">
              <w:rPr>
                <w:rStyle w:val="Poudarek"/>
                <w:rFonts w:cs="Arial"/>
                <w:szCs w:val="20"/>
              </w:rPr>
              <w:t xml:space="preserve"> général/parket-</w:t>
            </w:r>
            <w:proofErr w:type="spellStart"/>
            <w:r w:rsidRPr="00115F14">
              <w:rPr>
                <w:rStyle w:val="Poudarek"/>
                <w:rFonts w:cs="Arial"/>
                <w:szCs w:val="20"/>
              </w:rPr>
              <w:t>generaaal</w:t>
            </w:r>
            <w:proofErr w:type="spellEnd"/>
            <w:r w:rsidRPr="00115F14">
              <w:rPr>
                <w:rFonts w:cs="Arial"/>
                <w:szCs w:val="20"/>
              </w:rPr>
              <w:t>) ter ustreznega organa na delovnem sodišču (</w:t>
            </w:r>
            <w:proofErr w:type="spellStart"/>
            <w:r w:rsidRPr="00115F14">
              <w:rPr>
                <w:rStyle w:val="Poudarek"/>
                <w:rFonts w:cs="Arial"/>
                <w:szCs w:val="20"/>
              </w:rPr>
              <w:t>auditorat</w:t>
            </w:r>
            <w:proofErr w:type="spellEnd"/>
            <w:r w:rsidRPr="00115F14">
              <w:rPr>
                <w:rStyle w:val="Poudarek"/>
                <w:rFonts w:cs="Arial"/>
                <w:szCs w:val="20"/>
              </w:rPr>
              <w:t xml:space="preserve"> général/</w:t>
            </w:r>
            <w:proofErr w:type="spellStart"/>
            <w:r w:rsidRPr="00115F14">
              <w:rPr>
                <w:rStyle w:val="Poudarek"/>
                <w:rFonts w:cs="Arial"/>
                <w:szCs w:val="20"/>
              </w:rPr>
              <w:t>arbeidsauditoraat-generaal</w:t>
            </w:r>
            <w:proofErr w:type="spellEnd"/>
            <w:r w:rsidRPr="00115F14">
              <w:rPr>
                <w:rFonts w:cs="Arial"/>
                <w:szCs w:val="20"/>
              </w:rPr>
              <w:t>). Na pritožbenem sodišču generalnemu državnemu tožilcu pomagajo prvi generalni pravobranilec (</w:t>
            </w:r>
            <w:r w:rsidRPr="00115F14">
              <w:rPr>
                <w:rStyle w:val="Poudarek"/>
                <w:rFonts w:cs="Arial"/>
                <w:szCs w:val="20"/>
              </w:rPr>
              <w:t xml:space="preserve">premier </w:t>
            </w:r>
            <w:proofErr w:type="spellStart"/>
            <w:r w:rsidRPr="00115F14">
              <w:rPr>
                <w:rStyle w:val="Poudarek"/>
                <w:rFonts w:cs="Arial"/>
                <w:szCs w:val="20"/>
              </w:rPr>
              <w:t>avocat</w:t>
            </w:r>
            <w:proofErr w:type="spellEnd"/>
            <w:r w:rsidRPr="00115F14">
              <w:rPr>
                <w:rStyle w:val="Poudarek"/>
                <w:rFonts w:cs="Arial"/>
                <w:szCs w:val="20"/>
              </w:rPr>
              <w:t>-général/</w:t>
            </w:r>
            <w:proofErr w:type="spellStart"/>
            <w:r w:rsidRPr="00115F14">
              <w:rPr>
                <w:rStyle w:val="Poudarek"/>
                <w:rFonts w:cs="Arial"/>
                <w:szCs w:val="20"/>
              </w:rPr>
              <w:t>eerste</w:t>
            </w:r>
            <w:proofErr w:type="spellEnd"/>
            <w:r w:rsidRPr="00115F14">
              <w:rPr>
                <w:rStyle w:val="Poudarek"/>
                <w:rFonts w:cs="Arial"/>
                <w:szCs w:val="20"/>
              </w:rPr>
              <w:t xml:space="preserve"> </w:t>
            </w:r>
            <w:proofErr w:type="spellStart"/>
            <w:r w:rsidRPr="00115F14">
              <w:rPr>
                <w:rStyle w:val="Poudarek"/>
                <w:rFonts w:cs="Arial"/>
                <w:szCs w:val="20"/>
              </w:rPr>
              <w:t>advocaat-generaal</w:t>
            </w:r>
            <w:proofErr w:type="spellEnd"/>
            <w:r w:rsidRPr="00115F14">
              <w:rPr>
                <w:rFonts w:cs="Arial"/>
                <w:szCs w:val="20"/>
              </w:rPr>
              <w:t>), generalni pravobranilci (</w:t>
            </w:r>
            <w:proofErr w:type="spellStart"/>
            <w:r w:rsidRPr="00115F14">
              <w:rPr>
                <w:rStyle w:val="Poudarek"/>
                <w:rFonts w:cs="Arial"/>
                <w:szCs w:val="20"/>
              </w:rPr>
              <w:t>avocats-généraux</w:t>
            </w:r>
            <w:proofErr w:type="spellEnd"/>
            <w:r w:rsidRPr="00115F14">
              <w:rPr>
                <w:rStyle w:val="Poudarek"/>
                <w:rFonts w:cs="Arial"/>
                <w:szCs w:val="20"/>
              </w:rPr>
              <w:t>/</w:t>
            </w:r>
            <w:proofErr w:type="spellStart"/>
            <w:r w:rsidRPr="00115F14">
              <w:rPr>
                <w:rStyle w:val="Poudarek"/>
                <w:rFonts w:cs="Arial"/>
                <w:szCs w:val="20"/>
              </w:rPr>
              <w:t>advocaten-generaal</w:t>
            </w:r>
            <w:proofErr w:type="spellEnd"/>
            <w:r w:rsidRPr="00115F14">
              <w:rPr>
                <w:rFonts w:cs="Arial"/>
                <w:szCs w:val="20"/>
              </w:rPr>
              <w:t>) in namestniki generalnega državnega tožilca (</w:t>
            </w:r>
            <w:proofErr w:type="spellStart"/>
            <w:r w:rsidRPr="00115F14">
              <w:rPr>
                <w:rStyle w:val="Poudarek"/>
                <w:rFonts w:cs="Arial"/>
                <w:szCs w:val="20"/>
              </w:rPr>
              <w:t>substituts</w:t>
            </w:r>
            <w:proofErr w:type="spellEnd"/>
            <w:r w:rsidRPr="00115F14">
              <w:rPr>
                <w:rStyle w:val="Poudarek"/>
                <w:rFonts w:cs="Arial"/>
                <w:szCs w:val="20"/>
              </w:rPr>
              <w:t xml:space="preserve"> </w:t>
            </w:r>
            <w:proofErr w:type="spellStart"/>
            <w:r w:rsidRPr="00115F14">
              <w:rPr>
                <w:rStyle w:val="Poudarek"/>
                <w:rFonts w:cs="Arial"/>
                <w:szCs w:val="20"/>
              </w:rPr>
              <w:t>généraux</w:t>
            </w:r>
            <w:proofErr w:type="spellEnd"/>
            <w:r w:rsidRPr="00115F14">
              <w:rPr>
                <w:rStyle w:val="Poudarek"/>
                <w:rFonts w:cs="Arial"/>
                <w:szCs w:val="20"/>
              </w:rPr>
              <w:t>/</w:t>
            </w:r>
            <w:proofErr w:type="spellStart"/>
            <w:r w:rsidRPr="00115F14">
              <w:rPr>
                <w:rStyle w:val="Poudarek"/>
                <w:rFonts w:cs="Arial"/>
                <w:szCs w:val="20"/>
              </w:rPr>
              <w:t>substituten-generaal</w:t>
            </w:r>
            <w:proofErr w:type="spellEnd"/>
            <w:r w:rsidRPr="00115F14">
              <w:rPr>
                <w:rFonts w:cs="Arial"/>
                <w:szCs w:val="20"/>
              </w:rPr>
              <w:t>). Na delovnem sodišču generalnemu državnemu tožilcu pomagajo prvi generalni pravobranilec, generalni pravobranilci in namestniki generalnega državnega tožilca.</w:t>
            </w:r>
          </w:p>
          <w:p w:rsidR="00AE2155" w:rsidRPr="00115F14" w:rsidRDefault="00AE2155" w:rsidP="00B644CC">
            <w:pPr>
              <w:spacing w:line="288" w:lineRule="auto"/>
              <w:jc w:val="both"/>
              <w:rPr>
                <w:rFonts w:cs="Arial"/>
                <w:szCs w:val="20"/>
              </w:rPr>
            </w:pPr>
          </w:p>
          <w:p w:rsidR="00AE2155" w:rsidRPr="00115F14" w:rsidRDefault="00AE2155" w:rsidP="00B644CC">
            <w:pPr>
              <w:spacing w:line="288" w:lineRule="auto"/>
              <w:jc w:val="both"/>
              <w:rPr>
                <w:szCs w:val="20"/>
              </w:rPr>
            </w:pPr>
            <w:r w:rsidRPr="00115F14">
              <w:rPr>
                <w:rStyle w:val="Krepko"/>
                <w:rFonts w:cs="Arial"/>
                <w:b w:val="0"/>
                <w:szCs w:val="20"/>
                <w:bdr w:val="none" w:sz="0" w:space="0" w:color="auto" w:frame="1"/>
              </w:rPr>
              <w:t>Na kasacijskem sodišču</w:t>
            </w:r>
            <w:r w:rsidRPr="00115F14">
              <w:rPr>
                <w:rFonts w:cs="Arial"/>
                <w:b/>
                <w:szCs w:val="20"/>
              </w:rPr>
              <w:t> </w:t>
            </w:r>
            <w:r w:rsidRPr="00115F14">
              <w:rPr>
                <w:rFonts w:cs="Arial"/>
                <w:szCs w:val="20"/>
              </w:rPr>
              <w:t>(</w:t>
            </w:r>
            <w:proofErr w:type="spellStart"/>
            <w:r w:rsidR="00D903B2">
              <w:rPr>
                <w:rStyle w:val="Poudarek"/>
              </w:rPr>
              <w:t>c</w:t>
            </w:r>
            <w:r w:rsidRPr="00115F14">
              <w:rPr>
                <w:rStyle w:val="Poudarek"/>
                <w:rFonts w:cs="Arial"/>
                <w:szCs w:val="20"/>
              </w:rPr>
              <w:t>our</w:t>
            </w:r>
            <w:proofErr w:type="spellEnd"/>
            <w:r w:rsidRPr="00115F14">
              <w:rPr>
                <w:rStyle w:val="Poudarek"/>
                <w:rFonts w:cs="Arial"/>
                <w:szCs w:val="20"/>
              </w:rPr>
              <w:t xml:space="preserve"> de </w:t>
            </w:r>
            <w:proofErr w:type="spellStart"/>
            <w:r w:rsidRPr="00115F14">
              <w:rPr>
                <w:rStyle w:val="Poudarek"/>
                <w:rFonts w:cs="Arial"/>
                <w:szCs w:val="20"/>
              </w:rPr>
              <w:t>cassation</w:t>
            </w:r>
            <w:proofErr w:type="spellEnd"/>
            <w:r w:rsidRPr="00115F14">
              <w:rPr>
                <w:rStyle w:val="Poudarek"/>
                <w:rFonts w:cs="Arial"/>
                <w:szCs w:val="20"/>
              </w:rPr>
              <w:t>/</w:t>
            </w:r>
            <w:proofErr w:type="spellStart"/>
            <w:r w:rsidR="00D903B2">
              <w:rPr>
                <w:rStyle w:val="Poudarek"/>
                <w:rFonts w:cs="Arial"/>
                <w:szCs w:val="20"/>
              </w:rPr>
              <w:t>h</w:t>
            </w:r>
            <w:r w:rsidRPr="00115F14">
              <w:rPr>
                <w:rStyle w:val="Poudarek"/>
                <w:rFonts w:cs="Arial"/>
                <w:szCs w:val="20"/>
              </w:rPr>
              <w:t>of</w:t>
            </w:r>
            <w:proofErr w:type="spellEnd"/>
            <w:r w:rsidRPr="00115F14">
              <w:rPr>
                <w:rStyle w:val="Poudarek"/>
                <w:rFonts w:cs="Arial"/>
                <w:szCs w:val="20"/>
              </w:rPr>
              <w:t xml:space="preserve"> van </w:t>
            </w:r>
            <w:proofErr w:type="spellStart"/>
            <w:r w:rsidRPr="00115F14">
              <w:rPr>
                <w:rStyle w:val="Poudarek"/>
                <w:rFonts w:cs="Arial"/>
                <w:szCs w:val="20"/>
              </w:rPr>
              <w:t>cassatie</w:t>
            </w:r>
            <w:proofErr w:type="spellEnd"/>
            <w:r w:rsidRPr="00115F14">
              <w:rPr>
                <w:rFonts w:cs="Arial"/>
                <w:szCs w:val="20"/>
              </w:rPr>
              <w:t>) funkcijo državnega tožilstva izvaja </w:t>
            </w:r>
            <w:r w:rsidRPr="00115F14">
              <w:rPr>
                <w:rStyle w:val="Krepko"/>
                <w:rFonts w:cs="Arial"/>
                <w:b w:val="0"/>
                <w:szCs w:val="20"/>
                <w:bdr w:val="none" w:sz="0" w:space="0" w:color="auto" w:frame="1"/>
              </w:rPr>
              <w:t>generalni državni tožilec pri kasacijskem sodišču</w:t>
            </w:r>
            <w:r w:rsidRPr="00115F14">
              <w:rPr>
                <w:rFonts w:cs="Arial"/>
                <w:szCs w:val="20"/>
              </w:rPr>
              <w:t>, pomagajo pa mu prvi generalni pravobranilec in generalni pravobranilci. Kljub terminološki enakosti je funkcija državnega tožilstva tukaj popolnoma drugačna. Kasacijsko sodišče ne odloča o vsebini zadeve, temveč preverja zakonitost in pravilnost postopka.</w:t>
            </w:r>
          </w:p>
          <w:p w:rsidR="00AE2155" w:rsidRPr="00115F14" w:rsidRDefault="00AE2155" w:rsidP="00B644CC">
            <w:pPr>
              <w:spacing w:line="288" w:lineRule="auto"/>
              <w:jc w:val="both"/>
            </w:pPr>
          </w:p>
          <w:p w:rsidR="00AE2155" w:rsidRPr="00115F14" w:rsidRDefault="00AE2155" w:rsidP="00B644CC">
            <w:pPr>
              <w:spacing w:line="288" w:lineRule="auto"/>
              <w:jc w:val="both"/>
              <w:rPr>
                <w:szCs w:val="20"/>
              </w:rPr>
            </w:pPr>
            <w:r w:rsidRPr="00115F14">
              <w:rPr>
                <w:rFonts w:cs="Arial"/>
                <w:szCs w:val="20"/>
                <w:shd w:val="clear" w:color="auto" w:fill="FFFFFF"/>
              </w:rPr>
              <w:t>Državno tožilstvo je </w:t>
            </w:r>
            <w:r w:rsidRPr="00115F14">
              <w:rPr>
                <w:rStyle w:val="Krepko"/>
                <w:rFonts w:cs="Arial"/>
                <w:b w:val="0"/>
                <w:szCs w:val="20"/>
                <w:bdr w:val="none" w:sz="0" w:space="0" w:color="auto" w:frame="1"/>
                <w:shd w:val="clear" w:color="auto" w:fill="FFFFFF"/>
              </w:rPr>
              <w:t>neodvisno</w:t>
            </w:r>
            <w:r w:rsidRPr="00115F14">
              <w:rPr>
                <w:rFonts w:cs="Arial"/>
                <w:szCs w:val="20"/>
                <w:shd w:val="clear" w:color="auto" w:fill="FFFFFF"/>
              </w:rPr>
              <w:t xml:space="preserve"> pri posameznih preiskavah in postopkih pregona, omejeno je </w:t>
            </w:r>
            <w:r w:rsidR="00D903B2">
              <w:rPr>
                <w:rFonts w:cs="Arial"/>
                <w:szCs w:val="20"/>
                <w:shd w:val="clear" w:color="auto" w:fill="FFFFFF"/>
              </w:rPr>
              <w:t>le</w:t>
            </w:r>
            <w:r w:rsidRPr="00115F14">
              <w:rPr>
                <w:rFonts w:cs="Arial"/>
                <w:szCs w:val="20"/>
                <w:shd w:val="clear" w:color="auto" w:fill="FFFFFF"/>
              </w:rPr>
              <w:t>s pravico pristojnega ministra za odreditev pregona in določitev zavezujočih smernic na področju kazenske politike, vključno s politiko preiskave in pregona.</w:t>
            </w:r>
            <w:r w:rsidRPr="00115F14">
              <w:rPr>
                <w:rStyle w:val="Sprotnaopomba-sklic"/>
                <w:rFonts w:cs="Arial"/>
                <w:szCs w:val="20"/>
                <w:shd w:val="clear" w:color="auto" w:fill="FFFFFF"/>
              </w:rPr>
              <w:footnoteReference w:id="27"/>
            </w:r>
          </w:p>
          <w:p w:rsidR="00AE2155" w:rsidRPr="00115F14" w:rsidRDefault="00AE2155" w:rsidP="00B644CC">
            <w:pPr>
              <w:spacing w:line="288" w:lineRule="auto"/>
            </w:pPr>
          </w:p>
          <w:p w:rsidR="00AE2155" w:rsidRPr="00115F14" w:rsidRDefault="00AE2155" w:rsidP="00B644CC">
            <w:pPr>
              <w:spacing w:line="288" w:lineRule="auto"/>
              <w:jc w:val="both"/>
            </w:pPr>
            <w:r w:rsidRPr="00115F14">
              <w:lastRenderedPageBreak/>
              <w:t xml:space="preserve">Kraljevi tožilci so imenovani za dobo </w:t>
            </w:r>
            <w:r w:rsidR="00D903B2">
              <w:t>petih</w:t>
            </w:r>
            <w:r w:rsidRPr="00115F14">
              <w:t xml:space="preserve"> let in so lahko enkrat ponovno imenovani na isto funkcijo. Prvi namestniki kraljevega tožilca so imenovani za dobo treh let, pred iztekom dobe imenovanja se ocenijo. </w:t>
            </w:r>
            <w:r w:rsidR="00D903B2">
              <w:t>Če t</w:t>
            </w:r>
            <w:r w:rsidRPr="00115F14">
              <w:t xml:space="preserve">o funkcijo opravljajo že </w:t>
            </w:r>
            <w:r w:rsidR="00D903B2">
              <w:t>devet</w:t>
            </w:r>
            <w:r w:rsidRPr="00115F14">
              <w:t xml:space="preserve"> let, so po ponovni oceni lahko imenovani</w:t>
            </w:r>
            <w:r w:rsidR="00D903B2">
              <w:t xml:space="preserve"> </w:t>
            </w:r>
            <w:r w:rsidRPr="00115F14">
              <w:t>za nedoločen čas (povzeto po spletn</w:t>
            </w:r>
            <w:r w:rsidR="00D903B2">
              <w:t>i</w:t>
            </w:r>
            <w:r w:rsidRPr="00115F14">
              <w:t xml:space="preserve"> stran</w:t>
            </w:r>
            <w:r w:rsidR="00D903B2">
              <w:t>i</w:t>
            </w:r>
            <w:r w:rsidRPr="00115F14">
              <w:t xml:space="preserve"> </w:t>
            </w:r>
            <w:r w:rsidRPr="00D903B2">
              <w:rPr>
                <w:i/>
                <w:iCs/>
              </w:rPr>
              <w:t xml:space="preserve">Le </w:t>
            </w:r>
            <w:proofErr w:type="spellStart"/>
            <w:r w:rsidRPr="00D903B2">
              <w:rPr>
                <w:i/>
                <w:iCs/>
              </w:rPr>
              <w:t>Conseilsupérieur</w:t>
            </w:r>
            <w:proofErr w:type="spellEnd"/>
            <w:r w:rsidRPr="00D903B2">
              <w:rPr>
                <w:i/>
                <w:iCs/>
              </w:rPr>
              <w:t xml:space="preserve"> de la Justice</w:t>
            </w:r>
            <w:r w:rsidRPr="00115F14">
              <w:t xml:space="preserve"> in po </w:t>
            </w:r>
            <w:r w:rsidR="00D903B2">
              <w:t>s</w:t>
            </w:r>
            <w:r w:rsidRPr="00115F14">
              <w:t xml:space="preserve">odnem zakoniku </w:t>
            </w:r>
            <w:r w:rsidR="00D903B2">
              <w:t>–</w:t>
            </w:r>
            <w:r w:rsidRPr="00115F14">
              <w:t xml:space="preserve"> </w:t>
            </w:r>
            <w:proofErr w:type="spellStart"/>
            <w:r w:rsidRPr="00D903B2">
              <w:rPr>
                <w:i/>
                <w:iCs/>
              </w:rPr>
              <w:t>Code</w:t>
            </w:r>
            <w:proofErr w:type="spellEnd"/>
            <w:r w:rsidR="00D903B2">
              <w:rPr>
                <w:i/>
                <w:iCs/>
              </w:rPr>
              <w:t xml:space="preserve"> </w:t>
            </w:r>
            <w:proofErr w:type="spellStart"/>
            <w:r w:rsidR="00D903B2">
              <w:rPr>
                <w:i/>
                <w:iCs/>
              </w:rPr>
              <w:t>J</w:t>
            </w:r>
            <w:r w:rsidRPr="00D903B2">
              <w:rPr>
                <w:i/>
                <w:iCs/>
              </w:rPr>
              <w:t>udiciaire</w:t>
            </w:r>
            <w:proofErr w:type="spellEnd"/>
            <w:r w:rsidRPr="00115F14">
              <w:t>).</w:t>
            </w:r>
            <w:r w:rsidRPr="00115F14">
              <w:rPr>
                <w:rStyle w:val="Sprotnaopomba-sklic"/>
              </w:rPr>
              <w:footnoteReference w:id="28"/>
            </w:r>
          </w:p>
          <w:p w:rsidR="00AE2155" w:rsidRPr="00115F14" w:rsidRDefault="00AE2155" w:rsidP="00B644CC">
            <w:pPr>
              <w:spacing w:line="288" w:lineRule="auto"/>
              <w:jc w:val="both"/>
              <w:rPr>
                <w:rFonts w:cs="Arial"/>
                <w:szCs w:val="20"/>
              </w:rPr>
            </w:pPr>
          </w:p>
          <w:p w:rsidR="00AE2155" w:rsidRPr="00115F14" w:rsidRDefault="00AE2155" w:rsidP="00B644CC">
            <w:pPr>
              <w:spacing w:line="288" w:lineRule="auto"/>
              <w:jc w:val="both"/>
              <w:rPr>
                <w:rFonts w:cs="Arial"/>
                <w:szCs w:val="20"/>
              </w:rPr>
            </w:pPr>
            <w:r w:rsidRPr="00115F14">
              <w:rPr>
                <w:rFonts w:cs="Arial"/>
                <w:szCs w:val="20"/>
              </w:rPr>
              <w:t xml:space="preserve">Na podlagi 309. člena Sodnega zakonika </w:t>
            </w:r>
            <w:r w:rsidRPr="00115F14">
              <w:rPr>
                <w:rFonts w:cs="Arial"/>
                <w:bCs/>
                <w:szCs w:val="20"/>
              </w:rPr>
              <w:t>(</w:t>
            </w:r>
            <w:proofErr w:type="spellStart"/>
            <w:r w:rsidRPr="00D903B2">
              <w:rPr>
                <w:rFonts w:cs="Arial"/>
                <w:bCs/>
                <w:i/>
                <w:iCs/>
                <w:szCs w:val="20"/>
              </w:rPr>
              <w:t>Code</w:t>
            </w:r>
            <w:proofErr w:type="spellEnd"/>
            <w:r w:rsidR="00D903B2" w:rsidRPr="00D903B2">
              <w:rPr>
                <w:rFonts w:cs="Arial"/>
                <w:bCs/>
                <w:i/>
                <w:iCs/>
                <w:szCs w:val="20"/>
              </w:rPr>
              <w:t xml:space="preserve"> </w:t>
            </w:r>
            <w:proofErr w:type="spellStart"/>
            <w:r w:rsidRPr="00D903B2">
              <w:rPr>
                <w:rFonts w:cs="Arial"/>
                <w:bCs/>
                <w:i/>
                <w:iCs/>
                <w:szCs w:val="20"/>
              </w:rPr>
              <w:t>Judiciaire</w:t>
            </w:r>
            <w:proofErr w:type="spellEnd"/>
            <w:r w:rsidRPr="00115F14">
              <w:rPr>
                <w:rFonts w:cs="Arial"/>
                <w:bCs/>
                <w:szCs w:val="20"/>
              </w:rPr>
              <w:t xml:space="preserve">) </w:t>
            </w:r>
            <w:r w:rsidRPr="00115F14">
              <w:rPr>
                <w:rFonts w:cs="Arial"/>
                <w:szCs w:val="20"/>
              </w:rPr>
              <w:t>n</w:t>
            </w:r>
            <w:r w:rsidRPr="00115F14">
              <w:rPr>
                <w:rFonts w:cs="Arial"/>
                <w:bCs/>
                <w:szCs w:val="20"/>
              </w:rPr>
              <w:t xml:space="preserve">acionalnega člana v </w:t>
            </w:r>
            <w:proofErr w:type="spellStart"/>
            <w:r w:rsidRPr="00115F14">
              <w:rPr>
                <w:rFonts w:cs="Arial"/>
                <w:bCs/>
                <w:szCs w:val="20"/>
              </w:rPr>
              <w:t>Eurojustu</w:t>
            </w:r>
            <w:proofErr w:type="spellEnd"/>
            <w:r w:rsidRPr="00115F14">
              <w:rPr>
                <w:rFonts w:cs="Arial"/>
                <w:bCs/>
                <w:szCs w:val="20"/>
              </w:rPr>
              <w:t xml:space="preserve"> in njegovega namestnika</w:t>
            </w:r>
            <w:r w:rsidRPr="00115F14">
              <w:rPr>
                <w:rFonts w:cs="Arial"/>
                <w:szCs w:val="20"/>
              </w:rPr>
              <w:t xml:space="preserve"> imenuje minister za pravosodje na podlagi mnenja generalnega državnega tožilca, ki je pristojen za mednarodne odnose. Nacionalni član in namestnik se imenujeta izmed zveznih magistratov (tožilcev oziroma sodnikov). Pomočnika nacionalnega predstavnika izmed pravnikov zaposlenih na zveznem tožilstvu imenuje minister po predhodnem mnenju generalnega državnega tožilca</w:t>
            </w:r>
            <w:r w:rsidR="00D903B2">
              <w:rPr>
                <w:rFonts w:cs="Arial"/>
                <w:szCs w:val="20"/>
              </w:rPr>
              <w:t>,</w:t>
            </w:r>
            <w:r w:rsidRPr="00115F14">
              <w:rPr>
                <w:rFonts w:cs="Arial"/>
                <w:szCs w:val="20"/>
              </w:rPr>
              <w:t xml:space="preserve"> pristojnega za mednarodne odnose.</w:t>
            </w:r>
          </w:p>
          <w:p w:rsidR="00AE2155" w:rsidRPr="00115F14" w:rsidRDefault="00AE2155" w:rsidP="00B644CC">
            <w:pPr>
              <w:spacing w:line="288" w:lineRule="auto"/>
              <w:jc w:val="both"/>
              <w:rPr>
                <w:rFonts w:cs="Arial"/>
                <w:szCs w:val="20"/>
              </w:rPr>
            </w:pPr>
          </w:p>
          <w:p w:rsidR="00AE2155" w:rsidRPr="00115F14" w:rsidRDefault="00AE2155" w:rsidP="00B644CC">
            <w:pPr>
              <w:spacing w:line="288" w:lineRule="auto"/>
              <w:jc w:val="both"/>
              <w:rPr>
                <w:rFonts w:cs="Arial"/>
                <w:szCs w:val="20"/>
              </w:rPr>
            </w:pPr>
            <w:r w:rsidRPr="00115F14">
              <w:rPr>
                <w:rFonts w:cs="Arial"/>
                <w:szCs w:val="20"/>
              </w:rPr>
              <w:t>Imenovani nacionalni predstavnik Belgije je vodja enote za posebne zadev</w:t>
            </w:r>
            <w:r w:rsidR="00D903B2">
              <w:rPr>
                <w:rFonts w:cs="Arial"/>
                <w:szCs w:val="20"/>
              </w:rPr>
              <w:t>e</w:t>
            </w:r>
            <w:r w:rsidRPr="00115F14">
              <w:rPr>
                <w:rFonts w:cs="Arial"/>
                <w:szCs w:val="20"/>
              </w:rPr>
              <w:t>, ki se ukvarja s posebnimi preiskovalnimi ukrepi</w:t>
            </w:r>
            <w:r w:rsidR="00D903B2">
              <w:rPr>
                <w:rFonts w:cs="Arial"/>
                <w:szCs w:val="20"/>
              </w:rPr>
              <w:t xml:space="preserve"> in</w:t>
            </w:r>
            <w:r w:rsidRPr="00115F14">
              <w:rPr>
                <w:rFonts w:cs="Arial"/>
                <w:szCs w:val="20"/>
              </w:rPr>
              <w:t xml:space="preserve"> prikrit</w:t>
            </w:r>
            <w:r w:rsidR="00D903B2">
              <w:rPr>
                <w:rFonts w:cs="Arial"/>
                <w:szCs w:val="20"/>
              </w:rPr>
              <w:t>imi</w:t>
            </w:r>
            <w:r w:rsidRPr="00115F14">
              <w:rPr>
                <w:rFonts w:cs="Arial"/>
                <w:szCs w:val="20"/>
              </w:rPr>
              <w:t xml:space="preserve"> preiskav</w:t>
            </w:r>
            <w:r w:rsidR="00D903B2">
              <w:rPr>
                <w:rFonts w:cs="Arial"/>
                <w:szCs w:val="20"/>
              </w:rPr>
              <w:t>ami</w:t>
            </w:r>
            <w:r w:rsidRPr="00115F14">
              <w:rPr>
                <w:rFonts w:cs="Arial"/>
                <w:szCs w:val="20"/>
              </w:rPr>
              <w:t xml:space="preserve"> znotraj Urada generalnega državnega tožilstva.</w:t>
            </w:r>
          </w:p>
          <w:p w:rsidR="00AE2155" w:rsidRDefault="00AE2155" w:rsidP="00B644CC">
            <w:pPr>
              <w:jc w:val="both"/>
              <w:rPr>
                <w:rFonts w:cs="Arial"/>
                <w:b/>
                <w:bCs/>
                <w:szCs w:val="20"/>
              </w:rPr>
            </w:pPr>
          </w:p>
          <w:p w:rsidR="00AE2155" w:rsidRPr="00E50A1B" w:rsidRDefault="00DD7397" w:rsidP="00B644CC">
            <w:pPr>
              <w:jc w:val="both"/>
              <w:rPr>
                <w:rFonts w:cs="Arial"/>
                <w:b/>
                <w:bCs/>
                <w:szCs w:val="20"/>
              </w:rPr>
            </w:pPr>
            <w:r>
              <w:rPr>
                <w:rFonts w:cs="Arial"/>
                <w:b/>
                <w:bCs/>
                <w:szCs w:val="20"/>
              </w:rPr>
              <w:t xml:space="preserve">5.1.6 </w:t>
            </w:r>
            <w:r w:rsidR="00AE2155" w:rsidRPr="00E50A1B">
              <w:rPr>
                <w:rFonts w:cs="Arial"/>
                <w:b/>
                <w:bCs/>
                <w:szCs w:val="20"/>
              </w:rPr>
              <w:t>Latvija</w:t>
            </w:r>
          </w:p>
          <w:p w:rsidR="00AE2155" w:rsidRPr="00115F14" w:rsidRDefault="00AE2155" w:rsidP="00B644CC">
            <w:pPr>
              <w:jc w:val="both"/>
              <w:rPr>
                <w:rFonts w:cs="Arial"/>
                <w:szCs w:val="20"/>
              </w:rPr>
            </w:pPr>
          </w:p>
          <w:p w:rsidR="00AE2155" w:rsidRPr="00115F14" w:rsidRDefault="00AE2155" w:rsidP="00B644CC">
            <w:pPr>
              <w:jc w:val="both"/>
              <w:rPr>
                <w:rFonts w:cs="Arial"/>
                <w:szCs w:val="20"/>
                <w:lang w:eastAsia="sl-SI"/>
              </w:rPr>
            </w:pPr>
            <w:r w:rsidRPr="00115F14">
              <w:rPr>
                <w:rFonts w:cs="Arial"/>
                <w:szCs w:val="20"/>
                <w:lang w:eastAsia="sl-SI"/>
              </w:rPr>
              <w:t>Latvijsko dr</w:t>
            </w:r>
            <w:hyperlink r:id="rId11" w:tgtFrame="_blank" w:history="1">
              <w:r w:rsidRPr="00115F14">
                <w:rPr>
                  <w:rFonts w:cs="Arial"/>
                  <w:szCs w:val="20"/>
                  <w:lang w:eastAsia="sl-SI"/>
                </w:rPr>
                <w:t>žavno tožilstvo (</w:t>
              </w:r>
              <w:proofErr w:type="spellStart"/>
              <w:r w:rsidRPr="00115F14">
                <w:rPr>
                  <w:rFonts w:cs="Arial"/>
                  <w:i/>
                  <w:iCs/>
                  <w:szCs w:val="20"/>
                  <w:lang w:eastAsia="sl-SI"/>
                </w:rPr>
                <w:t>Prokuratūra</w:t>
              </w:r>
              <w:proofErr w:type="spellEnd"/>
              <w:r w:rsidRPr="00115F14">
                <w:rPr>
                  <w:rFonts w:cs="Arial"/>
                  <w:szCs w:val="20"/>
                  <w:lang w:eastAsia="sl-SI"/>
                </w:rPr>
                <w:t>)</w:t>
              </w:r>
            </w:hyperlink>
            <w:r w:rsidRPr="00115F14">
              <w:rPr>
                <w:rFonts w:cs="Arial"/>
                <w:szCs w:val="20"/>
                <w:lang w:eastAsia="sl-SI"/>
              </w:rPr>
              <w:t> je enoten centraliziran </w:t>
            </w:r>
            <w:r w:rsidRPr="00115F14">
              <w:rPr>
                <w:rFonts w:cs="Arial"/>
                <w:bCs/>
                <w:szCs w:val="20"/>
                <w:lang w:eastAsia="sl-SI"/>
              </w:rPr>
              <w:t>pravosodni organ</w:t>
            </w:r>
            <w:r w:rsidRPr="00115F14">
              <w:rPr>
                <w:rFonts w:cs="Arial"/>
                <w:szCs w:val="20"/>
                <w:lang w:eastAsia="sl-SI"/>
              </w:rPr>
              <w:t> s tristopenjskim sistemom. Vodi ga </w:t>
            </w:r>
            <w:r w:rsidRPr="00115F14">
              <w:rPr>
                <w:rFonts w:cs="Arial"/>
                <w:bCs/>
                <w:szCs w:val="20"/>
                <w:lang w:eastAsia="sl-SI"/>
              </w:rPr>
              <w:t>generalni državni tožilec </w:t>
            </w:r>
            <w:r w:rsidRPr="00115F14">
              <w:rPr>
                <w:rFonts w:cs="Arial"/>
                <w:szCs w:val="20"/>
                <w:lang w:eastAsia="sl-SI"/>
              </w:rPr>
              <w:t>(</w:t>
            </w:r>
            <w:proofErr w:type="spellStart"/>
            <w:r w:rsidRPr="00115F14">
              <w:rPr>
                <w:rFonts w:cs="Arial"/>
                <w:i/>
                <w:iCs/>
                <w:szCs w:val="20"/>
                <w:lang w:eastAsia="sl-SI"/>
              </w:rPr>
              <w:t>ģenerālprokurors</w:t>
            </w:r>
            <w:proofErr w:type="spellEnd"/>
            <w:r w:rsidRPr="00115F14">
              <w:rPr>
                <w:rFonts w:cs="Arial"/>
                <w:szCs w:val="20"/>
                <w:lang w:eastAsia="sl-SI"/>
              </w:rPr>
              <w:t>). Naloga državnega tožilstva je </w:t>
            </w:r>
            <w:r w:rsidRPr="00115F14">
              <w:rPr>
                <w:rFonts w:cs="Arial"/>
                <w:bCs/>
                <w:szCs w:val="20"/>
                <w:lang w:eastAsia="sl-SI"/>
              </w:rPr>
              <w:t>odzivati se na kršitve zakona in zagotoviti, da se o kršitvah odloča</w:t>
            </w:r>
            <w:r w:rsidRPr="00115F14">
              <w:rPr>
                <w:rFonts w:cs="Arial"/>
                <w:szCs w:val="20"/>
                <w:lang w:eastAsia="sl-SI"/>
              </w:rPr>
              <w:t xml:space="preserve"> v skladu z zakonom. </w:t>
            </w:r>
          </w:p>
          <w:p w:rsidR="00AE2155" w:rsidRPr="00115F14" w:rsidRDefault="00AE2155" w:rsidP="00B644CC">
            <w:pPr>
              <w:jc w:val="both"/>
              <w:rPr>
                <w:rFonts w:cs="Arial"/>
                <w:szCs w:val="20"/>
                <w:lang w:eastAsia="sl-SI"/>
              </w:rPr>
            </w:pPr>
          </w:p>
          <w:p w:rsidR="00AE2155" w:rsidRPr="00115F14" w:rsidRDefault="00AE2155" w:rsidP="00B644CC">
            <w:pPr>
              <w:jc w:val="both"/>
              <w:rPr>
                <w:rFonts w:cs="Arial"/>
                <w:szCs w:val="20"/>
              </w:rPr>
            </w:pPr>
            <w:r w:rsidRPr="00115F14">
              <w:rPr>
                <w:rFonts w:cs="Arial"/>
                <w:szCs w:val="20"/>
                <w:lang w:eastAsia="sl-SI"/>
              </w:rPr>
              <w:t>Državno tožilstvo sestavljajo:</w:t>
            </w:r>
          </w:p>
          <w:p w:rsidR="00AE2155" w:rsidRPr="00115F14" w:rsidRDefault="00AE2155" w:rsidP="00B644CC">
            <w:pPr>
              <w:pStyle w:val="Odstavekseznama"/>
              <w:numPr>
                <w:ilvl w:val="0"/>
                <w:numId w:val="23"/>
              </w:numPr>
              <w:ind w:hanging="255"/>
              <w:jc w:val="both"/>
              <w:rPr>
                <w:rFonts w:cs="Arial"/>
                <w:szCs w:val="20"/>
              </w:rPr>
            </w:pPr>
            <w:r w:rsidRPr="00115F14">
              <w:rPr>
                <w:rFonts w:cs="Arial"/>
                <w:szCs w:val="20"/>
                <w:lang w:eastAsia="sl-SI"/>
              </w:rPr>
              <w:t>generalno državno tožilstvo (</w:t>
            </w:r>
            <w:proofErr w:type="spellStart"/>
            <w:r w:rsidRPr="00115F14">
              <w:rPr>
                <w:rFonts w:cs="Arial"/>
                <w:i/>
                <w:iCs/>
                <w:szCs w:val="20"/>
                <w:lang w:eastAsia="sl-SI"/>
              </w:rPr>
              <w:t>Ģenerālprokuratūra</w:t>
            </w:r>
            <w:proofErr w:type="spellEnd"/>
            <w:r w:rsidRPr="00115F14">
              <w:rPr>
                <w:rFonts w:cs="Arial"/>
                <w:szCs w:val="20"/>
                <w:lang w:eastAsia="sl-SI"/>
              </w:rPr>
              <w:t>)</w:t>
            </w:r>
            <w:r w:rsidR="00D903B2">
              <w:rPr>
                <w:rFonts w:cs="Arial"/>
                <w:szCs w:val="20"/>
                <w:lang w:eastAsia="sl-SI"/>
              </w:rPr>
              <w:t>,</w:t>
            </w:r>
          </w:p>
          <w:p w:rsidR="00AE2155" w:rsidRPr="00115F14" w:rsidRDefault="00AE2155" w:rsidP="00B644CC">
            <w:pPr>
              <w:pStyle w:val="Odstavekseznama"/>
              <w:numPr>
                <w:ilvl w:val="0"/>
                <w:numId w:val="23"/>
              </w:numPr>
              <w:ind w:hanging="255"/>
              <w:jc w:val="both"/>
              <w:rPr>
                <w:rFonts w:cs="Arial"/>
                <w:szCs w:val="20"/>
              </w:rPr>
            </w:pPr>
            <w:r w:rsidRPr="00115F14">
              <w:rPr>
                <w:rFonts w:cs="Arial"/>
                <w:szCs w:val="20"/>
                <w:lang w:eastAsia="sl-SI"/>
              </w:rPr>
              <w:t>regionalna državna tožilstva (</w:t>
            </w:r>
            <w:proofErr w:type="spellStart"/>
            <w:r w:rsidRPr="00115F14">
              <w:rPr>
                <w:rFonts w:cs="Arial"/>
                <w:i/>
                <w:iCs/>
                <w:szCs w:val="20"/>
                <w:lang w:eastAsia="sl-SI"/>
              </w:rPr>
              <w:t>tiesu</w:t>
            </w:r>
            <w:proofErr w:type="spellEnd"/>
            <w:r w:rsidRPr="00115F14">
              <w:rPr>
                <w:rFonts w:cs="Arial"/>
                <w:i/>
                <w:iCs/>
                <w:szCs w:val="20"/>
                <w:lang w:eastAsia="sl-SI"/>
              </w:rPr>
              <w:t xml:space="preserve"> </w:t>
            </w:r>
            <w:proofErr w:type="spellStart"/>
            <w:r w:rsidRPr="00115F14">
              <w:rPr>
                <w:rFonts w:cs="Arial"/>
                <w:i/>
                <w:iCs/>
                <w:szCs w:val="20"/>
                <w:lang w:eastAsia="sl-SI"/>
              </w:rPr>
              <w:t>apgabalu</w:t>
            </w:r>
            <w:proofErr w:type="spellEnd"/>
            <w:r w:rsidRPr="00115F14">
              <w:rPr>
                <w:rFonts w:cs="Arial"/>
                <w:i/>
                <w:iCs/>
                <w:szCs w:val="20"/>
                <w:lang w:eastAsia="sl-SI"/>
              </w:rPr>
              <w:t xml:space="preserve"> </w:t>
            </w:r>
            <w:proofErr w:type="spellStart"/>
            <w:r w:rsidRPr="00115F14">
              <w:rPr>
                <w:rFonts w:cs="Arial"/>
                <w:i/>
                <w:iCs/>
                <w:szCs w:val="20"/>
                <w:lang w:eastAsia="sl-SI"/>
              </w:rPr>
              <w:t>prokuratūras</w:t>
            </w:r>
            <w:proofErr w:type="spellEnd"/>
            <w:r w:rsidRPr="00115F14">
              <w:rPr>
                <w:rFonts w:cs="Arial"/>
                <w:szCs w:val="20"/>
                <w:lang w:eastAsia="sl-SI"/>
              </w:rPr>
              <w:t>)</w:t>
            </w:r>
            <w:r w:rsidR="00D903B2">
              <w:rPr>
                <w:rFonts w:cs="Arial"/>
                <w:szCs w:val="20"/>
                <w:lang w:eastAsia="sl-SI"/>
              </w:rPr>
              <w:t>,</w:t>
            </w:r>
          </w:p>
          <w:p w:rsidR="00AE2155" w:rsidRPr="00115F14" w:rsidRDefault="00AE2155" w:rsidP="00B644CC">
            <w:pPr>
              <w:pStyle w:val="Odstavekseznama"/>
              <w:numPr>
                <w:ilvl w:val="0"/>
                <w:numId w:val="23"/>
              </w:numPr>
              <w:ind w:hanging="255"/>
              <w:jc w:val="both"/>
              <w:rPr>
                <w:rFonts w:cs="Arial"/>
                <w:szCs w:val="20"/>
              </w:rPr>
            </w:pPr>
            <w:r w:rsidRPr="00115F14">
              <w:rPr>
                <w:rFonts w:cs="Arial"/>
                <w:szCs w:val="20"/>
                <w:lang w:eastAsia="sl-SI"/>
              </w:rPr>
              <w:t>okrožna ali mestna državna tožilstva (</w:t>
            </w:r>
            <w:r w:rsidRPr="00115F14">
              <w:rPr>
                <w:rFonts w:cs="Arial"/>
                <w:i/>
                <w:iCs/>
                <w:szCs w:val="20"/>
                <w:lang w:eastAsia="sl-SI"/>
              </w:rPr>
              <w:t xml:space="preserve">rajona </w:t>
            </w:r>
            <w:proofErr w:type="spellStart"/>
            <w:r w:rsidRPr="00115F14">
              <w:rPr>
                <w:rFonts w:cs="Arial"/>
                <w:i/>
                <w:iCs/>
                <w:szCs w:val="20"/>
                <w:lang w:eastAsia="sl-SI"/>
              </w:rPr>
              <w:t>vai</w:t>
            </w:r>
            <w:proofErr w:type="spellEnd"/>
            <w:r w:rsidRPr="00115F14">
              <w:rPr>
                <w:rFonts w:cs="Arial"/>
                <w:i/>
                <w:iCs/>
                <w:szCs w:val="20"/>
                <w:lang w:eastAsia="sl-SI"/>
              </w:rPr>
              <w:t xml:space="preserve"> </w:t>
            </w:r>
            <w:proofErr w:type="spellStart"/>
            <w:r w:rsidRPr="00115F14">
              <w:rPr>
                <w:rFonts w:cs="Arial"/>
                <w:i/>
                <w:iCs/>
                <w:szCs w:val="20"/>
                <w:lang w:eastAsia="sl-SI"/>
              </w:rPr>
              <w:t>republikas</w:t>
            </w:r>
            <w:proofErr w:type="spellEnd"/>
            <w:r w:rsidRPr="00115F14">
              <w:rPr>
                <w:rFonts w:cs="Arial"/>
                <w:i/>
                <w:iCs/>
                <w:szCs w:val="20"/>
                <w:lang w:eastAsia="sl-SI"/>
              </w:rPr>
              <w:t xml:space="preserve"> </w:t>
            </w:r>
            <w:proofErr w:type="spellStart"/>
            <w:r w:rsidRPr="00115F14">
              <w:rPr>
                <w:rFonts w:cs="Arial"/>
                <w:i/>
                <w:iCs/>
                <w:szCs w:val="20"/>
                <w:lang w:eastAsia="sl-SI"/>
              </w:rPr>
              <w:t>pilsētu</w:t>
            </w:r>
            <w:proofErr w:type="spellEnd"/>
            <w:r w:rsidRPr="00115F14">
              <w:rPr>
                <w:rFonts w:cs="Arial"/>
                <w:i/>
                <w:iCs/>
                <w:szCs w:val="20"/>
                <w:lang w:eastAsia="sl-SI"/>
              </w:rPr>
              <w:t xml:space="preserve"> </w:t>
            </w:r>
            <w:proofErr w:type="spellStart"/>
            <w:r w:rsidRPr="00115F14">
              <w:rPr>
                <w:rFonts w:cs="Arial"/>
                <w:i/>
                <w:iCs/>
                <w:szCs w:val="20"/>
                <w:lang w:eastAsia="sl-SI"/>
              </w:rPr>
              <w:t>prokuratūras</w:t>
            </w:r>
            <w:proofErr w:type="spellEnd"/>
            <w:r w:rsidRPr="00115F14">
              <w:rPr>
                <w:rFonts w:cs="Arial"/>
                <w:szCs w:val="20"/>
                <w:lang w:eastAsia="sl-SI"/>
              </w:rPr>
              <w:t>)</w:t>
            </w:r>
            <w:r w:rsidR="00D903B2">
              <w:rPr>
                <w:rFonts w:cs="Arial"/>
                <w:szCs w:val="20"/>
                <w:lang w:eastAsia="sl-SI"/>
              </w:rPr>
              <w:t>,</w:t>
            </w:r>
          </w:p>
          <w:p w:rsidR="00AE2155" w:rsidRPr="00115F14" w:rsidRDefault="00AE2155" w:rsidP="00B644CC">
            <w:pPr>
              <w:pStyle w:val="Odstavekseznama"/>
              <w:numPr>
                <w:ilvl w:val="0"/>
                <w:numId w:val="23"/>
              </w:numPr>
              <w:ind w:hanging="255"/>
              <w:jc w:val="both"/>
              <w:rPr>
                <w:rFonts w:cs="Arial"/>
                <w:szCs w:val="20"/>
              </w:rPr>
            </w:pPr>
            <w:r w:rsidRPr="00115F14">
              <w:rPr>
                <w:rFonts w:cs="Arial"/>
                <w:szCs w:val="20"/>
                <w:lang w:eastAsia="sl-SI"/>
              </w:rPr>
              <w:t>specializirana državna tožilstva (</w:t>
            </w:r>
            <w:proofErr w:type="spellStart"/>
            <w:r w:rsidRPr="00115F14">
              <w:rPr>
                <w:rFonts w:cs="Arial"/>
                <w:i/>
                <w:iCs/>
                <w:szCs w:val="20"/>
                <w:lang w:eastAsia="sl-SI"/>
              </w:rPr>
              <w:t>specializētas</w:t>
            </w:r>
            <w:proofErr w:type="spellEnd"/>
            <w:r w:rsidRPr="00115F14">
              <w:rPr>
                <w:rFonts w:cs="Arial"/>
                <w:i/>
                <w:iCs/>
                <w:szCs w:val="20"/>
                <w:lang w:eastAsia="sl-SI"/>
              </w:rPr>
              <w:t xml:space="preserve"> </w:t>
            </w:r>
            <w:proofErr w:type="spellStart"/>
            <w:r w:rsidRPr="00115F14">
              <w:rPr>
                <w:rFonts w:cs="Arial"/>
                <w:i/>
                <w:iCs/>
                <w:szCs w:val="20"/>
                <w:lang w:eastAsia="sl-SI"/>
              </w:rPr>
              <w:t>prokuratūras</w:t>
            </w:r>
            <w:proofErr w:type="spellEnd"/>
            <w:r w:rsidRPr="00115F14">
              <w:rPr>
                <w:rFonts w:cs="Arial"/>
                <w:szCs w:val="20"/>
                <w:lang w:eastAsia="sl-SI"/>
              </w:rPr>
              <w:t>).</w:t>
            </w:r>
          </w:p>
          <w:p w:rsidR="00AE2155" w:rsidRPr="00115F14" w:rsidRDefault="00AE2155" w:rsidP="00B644CC">
            <w:pPr>
              <w:jc w:val="both"/>
              <w:rPr>
                <w:rFonts w:cs="Arial"/>
                <w:szCs w:val="20"/>
                <w:lang w:eastAsia="sl-SI"/>
              </w:rPr>
            </w:pPr>
          </w:p>
          <w:p w:rsidR="00AE2155" w:rsidRDefault="00AE2155" w:rsidP="00B644CC">
            <w:pPr>
              <w:jc w:val="both"/>
              <w:rPr>
                <w:rFonts w:cs="Arial"/>
                <w:szCs w:val="20"/>
                <w:lang w:eastAsia="sl-SI"/>
              </w:rPr>
            </w:pPr>
            <w:r w:rsidRPr="00115F14">
              <w:rPr>
                <w:rFonts w:cs="Arial"/>
                <w:szCs w:val="20"/>
                <w:lang w:eastAsia="sl-SI"/>
              </w:rPr>
              <w:t>Po potrebi lahko generalni državni tožilec ustanovi specializirano tožilstvo za posebno področje, ki ima status okrožnega ali regionalnega državnega tožilstva. V Latviji je </w:t>
            </w:r>
            <w:r w:rsidRPr="00115F14">
              <w:rPr>
                <w:rFonts w:cs="Arial"/>
                <w:bCs/>
                <w:szCs w:val="20"/>
                <w:lang w:eastAsia="sl-SI"/>
              </w:rPr>
              <w:t>pet specializiranih državnih tožilstev</w:t>
            </w:r>
            <w:r w:rsidR="00D903B2">
              <w:rPr>
                <w:rFonts w:cs="Arial"/>
                <w:bCs/>
                <w:szCs w:val="20"/>
                <w:lang w:eastAsia="sl-SI"/>
              </w:rPr>
              <w:t>,</w:t>
            </w:r>
            <w:r w:rsidRPr="00115F14">
              <w:rPr>
                <w:rFonts w:cs="Arial"/>
                <w:szCs w:val="20"/>
                <w:lang w:eastAsia="sl-SI"/>
              </w:rPr>
              <w:t xml:space="preserve"> in sicer:</w:t>
            </w:r>
          </w:p>
          <w:p w:rsidR="00B644CC" w:rsidRPr="00115F14" w:rsidRDefault="00B644CC" w:rsidP="00B644CC">
            <w:pPr>
              <w:jc w:val="both"/>
              <w:rPr>
                <w:rFonts w:cs="Arial"/>
                <w:szCs w:val="20"/>
                <w:lang w:eastAsia="sl-SI"/>
              </w:rPr>
            </w:pPr>
          </w:p>
          <w:p w:rsidR="00AE2155" w:rsidRPr="00115F14" w:rsidRDefault="00AE2155" w:rsidP="00B644CC">
            <w:pPr>
              <w:pStyle w:val="Odstavekseznama"/>
              <w:numPr>
                <w:ilvl w:val="0"/>
                <w:numId w:val="22"/>
              </w:numPr>
              <w:ind w:left="284" w:hanging="284"/>
              <w:jc w:val="both"/>
              <w:rPr>
                <w:rFonts w:cs="Arial"/>
                <w:szCs w:val="20"/>
              </w:rPr>
            </w:pPr>
            <w:r w:rsidRPr="00115F14">
              <w:rPr>
                <w:rFonts w:cs="Arial"/>
                <w:szCs w:val="20"/>
                <w:lang w:eastAsia="sl-SI"/>
              </w:rPr>
              <w:t>specializirano državno tožilstvo za organizirani kriminal in druga področja (</w:t>
            </w:r>
            <w:proofErr w:type="spellStart"/>
            <w:r w:rsidRPr="00115F14">
              <w:rPr>
                <w:rFonts w:cs="Arial"/>
                <w:i/>
                <w:iCs/>
                <w:szCs w:val="20"/>
                <w:lang w:eastAsia="sl-SI"/>
              </w:rPr>
              <w:t>Organizētās</w:t>
            </w:r>
            <w:proofErr w:type="spellEnd"/>
            <w:r w:rsidR="00B644CC">
              <w:rPr>
                <w:rFonts w:cs="Arial"/>
                <w:i/>
                <w:iCs/>
                <w:szCs w:val="20"/>
                <w:lang w:eastAsia="sl-SI"/>
              </w:rPr>
              <w:t xml:space="preserve"> </w:t>
            </w:r>
            <w:proofErr w:type="spellStart"/>
            <w:r w:rsidRPr="00115F14">
              <w:rPr>
                <w:rFonts w:cs="Arial"/>
                <w:i/>
                <w:iCs/>
                <w:szCs w:val="20"/>
                <w:lang w:eastAsia="sl-SI"/>
              </w:rPr>
              <w:t>noziedzības</w:t>
            </w:r>
            <w:proofErr w:type="spellEnd"/>
            <w:r w:rsidRPr="00115F14">
              <w:rPr>
                <w:rFonts w:cs="Arial"/>
                <w:i/>
                <w:iCs/>
                <w:szCs w:val="20"/>
                <w:lang w:eastAsia="sl-SI"/>
              </w:rPr>
              <w:t xml:space="preserve"> </w:t>
            </w:r>
            <w:proofErr w:type="spellStart"/>
            <w:r w:rsidRPr="00115F14">
              <w:rPr>
                <w:rFonts w:cs="Arial"/>
                <w:i/>
                <w:iCs/>
                <w:szCs w:val="20"/>
                <w:lang w:eastAsia="sl-SI"/>
              </w:rPr>
              <w:t>un</w:t>
            </w:r>
            <w:proofErr w:type="spellEnd"/>
            <w:r w:rsidRPr="00115F14">
              <w:rPr>
                <w:rFonts w:cs="Arial"/>
                <w:i/>
                <w:iCs/>
                <w:szCs w:val="20"/>
                <w:lang w:eastAsia="sl-SI"/>
              </w:rPr>
              <w:t xml:space="preserve"> </w:t>
            </w:r>
            <w:proofErr w:type="spellStart"/>
            <w:r w:rsidRPr="00115F14">
              <w:rPr>
                <w:rFonts w:cs="Arial"/>
                <w:i/>
                <w:iCs/>
                <w:szCs w:val="20"/>
                <w:lang w:eastAsia="sl-SI"/>
              </w:rPr>
              <w:t>citu</w:t>
            </w:r>
            <w:proofErr w:type="spellEnd"/>
            <w:r w:rsidRPr="00115F14">
              <w:rPr>
                <w:rFonts w:cs="Arial"/>
                <w:i/>
                <w:iCs/>
                <w:szCs w:val="20"/>
                <w:lang w:eastAsia="sl-SI"/>
              </w:rPr>
              <w:t xml:space="preserve"> </w:t>
            </w:r>
            <w:proofErr w:type="spellStart"/>
            <w:r w:rsidRPr="00115F14">
              <w:rPr>
                <w:rFonts w:cs="Arial"/>
                <w:i/>
                <w:iCs/>
                <w:szCs w:val="20"/>
                <w:lang w:eastAsia="sl-SI"/>
              </w:rPr>
              <w:t>nozaru</w:t>
            </w:r>
            <w:proofErr w:type="spellEnd"/>
            <w:r w:rsidRPr="00115F14">
              <w:rPr>
                <w:rFonts w:cs="Arial"/>
                <w:i/>
                <w:iCs/>
                <w:szCs w:val="20"/>
                <w:lang w:eastAsia="sl-SI"/>
              </w:rPr>
              <w:t xml:space="preserve"> </w:t>
            </w:r>
            <w:proofErr w:type="spellStart"/>
            <w:r w:rsidRPr="00115F14">
              <w:rPr>
                <w:rFonts w:cs="Arial"/>
                <w:i/>
                <w:iCs/>
                <w:szCs w:val="20"/>
                <w:lang w:eastAsia="sl-SI"/>
              </w:rPr>
              <w:t>specializētā</w:t>
            </w:r>
            <w:proofErr w:type="spellEnd"/>
            <w:r w:rsidRPr="00115F14">
              <w:rPr>
                <w:rFonts w:cs="Arial"/>
                <w:i/>
                <w:iCs/>
                <w:szCs w:val="20"/>
                <w:lang w:eastAsia="sl-SI"/>
              </w:rPr>
              <w:t xml:space="preserve"> </w:t>
            </w:r>
            <w:proofErr w:type="spellStart"/>
            <w:r w:rsidRPr="00115F14">
              <w:rPr>
                <w:rFonts w:cs="Arial"/>
                <w:i/>
                <w:iCs/>
                <w:szCs w:val="20"/>
                <w:lang w:eastAsia="sl-SI"/>
              </w:rPr>
              <w:t>prokuratūra</w:t>
            </w:r>
            <w:proofErr w:type="spellEnd"/>
            <w:r w:rsidRPr="00115F14">
              <w:rPr>
                <w:rFonts w:cs="Arial"/>
                <w:szCs w:val="20"/>
                <w:lang w:eastAsia="sl-SI"/>
              </w:rPr>
              <w:t>)</w:t>
            </w:r>
            <w:r w:rsidR="00D903B2">
              <w:rPr>
                <w:rFonts w:cs="Arial"/>
                <w:szCs w:val="20"/>
                <w:lang w:eastAsia="sl-SI"/>
              </w:rPr>
              <w:t>,</w:t>
            </w:r>
          </w:p>
          <w:p w:rsidR="00AE2155" w:rsidRPr="00115F14" w:rsidRDefault="00AE2155" w:rsidP="00B644CC">
            <w:pPr>
              <w:pStyle w:val="Odstavekseznama"/>
              <w:numPr>
                <w:ilvl w:val="0"/>
                <w:numId w:val="22"/>
              </w:numPr>
              <w:ind w:left="284" w:hanging="284"/>
              <w:jc w:val="both"/>
              <w:rPr>
                <w:rFonts w:cs="Arial"/>
                <w:szCs w:val="20"/>
              </w:rPr>
            </w:pPr>
            <w:r w:rsidRPr="00115F14">
              <w:rPr>
                <w:rFonts w:cs="Arial"/>
                <w:szCs w:val="20"/>
                <w:lang w:eastAsia="sl-SI"/>
              </w:rPr>
              <w:t>specializirano več področno državno tožilstvo (</w:t>
            </w:r>
            <w:proofErr w:type="spellStart"/>
            <w:r w:rsidRPr="00115F14">
              <w:rPr>
                <w:rFonts w:cs="Arial"/>
                <w:i/>
                <w:iCs/>
                <w:szCs w:val="20"/>
                <w:lang w:eastAsia="sl-SI"/>
              </w:rPr>
              <w:t>Specializētā</w:t>
            </w:r>
            <w:proofErr w:type="spellEnd"/>
            <w:r w:rsidRPr="00115F14">
              <w:rPr>
                <w:rFonts w:cs="Arial"/>
                <w:i/>
                <w:iCs/>
                <w:szCs w:val="20"/>
                <w:lang w:eastAsia="sl-SI"/>
              </w:rPr>
              <w:t xml:space="preserve"> </w:t>
            </w:r>
            <w:proofErr w:type="spellStart"/>
            <w:r w:rsidRPr="00115F14">
              <w:rPr>
                <w:rFonts w:cs="Arial"/>
                <w:i/>
                <w:iCs/>
                <w:szCs w:val="20"/>
                <w:lang w:eastAsia="sl-SI"/>
              </w:rPr>
              <w:t>vairāku</w:t>
            </w:r>
            <w:proofErr w:type="spellEnd"/>
            <w:r w:rsidRPr="00115F14">
              <w:rPr>
                <w:rFonts w:cs="Arial"/>
                <w:i/>
                <w:iCs/>
                <w:szCs w:val="20"/>
                <w:lang w:eastAsia="sl-SI"/>
              </w:rPr>
              <w:t xml:space="preserve"> </w:t>
            </w:r>
            <w:proofErr w:type="spellStart"/>
            <w:r w:rsidRPr="00115F14">
              <w:rPr>
                <w:rFonts w:cs="Arial"/>
                <w:i/>
                <w:iCs/>
                <w:szCs w:val="20"/>
                <w:lang w:eastAsia="sl-SI"/>
              </w:rPr>
              <w:t>nozaru</w:t>
            </w:r>
            <w:proofErr w:type="spellEnd"/>
            <w:r w:rsidRPr="00115F14">
              <w:rPr>
                <w:rFonts w:cs="Arial"/>
                <w:i/>
                <w:iCs/>
                <w:szCs w:val="20"/>
                <w:lang w:eastAsia="sl-SI"/>
              </w:rPr>
              <w:t xml:space="preserve"> </w:t>
            </w:r>
            <w:proofErr w:type="spellStart"/>
            <w:r w:rsidRPr="00115F14">
              <w:rPr>
                <w:rFonts w:cs="Arial"/>
                <w:i/>
                <w:iCs/>
                <w:szCs w:val="20"/>
                <w:lang w:eastAsia="sl-SI"/>
              </w:rPr>
              <w:t>prokuratūra</w:t>
            </w:r>
            <w:proofErr w:type="spellEnd"/>
            <w:r w:rsidRPr="00115F14">
              <w:rPr>
                <w:rFonts w:cs="Arial"/>
                <w:szCs w:val="20"/>
                <w:lang w:eastAsia="sl-SI"/>
              </w:rPr>
              <w:t>)</w:t>
            </w:r>
            <w:r w:rsidR="00D903B2">
              <w:rPr>
                <w:rFonts w:cs="Arial"/>
                <w:szCs w:val="20"/>
                <w:lang w:eastAsia="sl-SI"/>
              </w:rPr>
              <w:t>,</w:t>
            </w:r>
          </w:p>
          <w:p w:rsidR="00AE2155" w:rsidRPr="00115F14" w:rsidRDefault="00AE2155" w:rsidP="00B644CC">
            <w:pPr>
              <w:pStyle w:val="Odstavekseznama"/>
              <w:numPr>
                <w:ilvl w:val="0"/>
                <w:numId w:val="22"/>
              </w:numPr>
              <w:ind w:left="284" w:hanging="284"/>
              <w:jc w:val="both"/>
              <w:rPr>
                <w:rFonts w:cs="Arial"/>
                <w:szCs w:val="20"/>
              </w:rPr>
            </w:pPr>
            <w:r w:rsidRPr="00115F14">
              <w:rPr>
                <w:rFonts w:cs="Arial"/>
                <w:szCs w:val="20"/>
                <w:lang w:eastAsia="sl-SI"/>
              </w:rPr>
              <w:t>državno tožilstvo Rige za cestni promet (</w:t>
            </w:r>
            <w:proofErr w:type="spellStart"/>
            <w:r w:rsidRPr="00115F14">
              <w:rPr>
                <w:rFonts w:cs="Arial"/>
                <w:i/>
                <w:iCs/>
                <w:szCs w:val="20"/>
                <w:lang w:eastAsia="sl-SI"/>
              </w:rPr>
              <w:t>Rīgas</w:t>
            </w:r>
            <w:proofErr w:type="spellEnd"/>
            <w:r w:rsidRPr="00115F14">
              <w:rPr>
                <w:rFonts w:cs="Arial"/>
                <w:i/>
                <w:iCs/>
                <w:szCs w:val="20"/>
                <w:lang w:eastAsia="sl-SI"/>
              </w:rPr>
              <w:t xml:space="preserve"> </w:t>
            </w:r>
            <w:proofErr w:type="spellStart"/>
            <w:r w:rsidRPr="00115F14">
              <w:rPr>
                <w:rFonts w:cs="Arial"/>
                <w:i/>
                <w:iCs/>
                <w:szCs w:val="20"/>
                <w:lang w:eastAsia="sl-SI"/>
              </w:rPr>
              <w:t>autotransporta</w:t>
            </w:r>
            <w:proofErr w:type="spellEnd"/>
            <w:r w:rsidRPr="00115F14">
              <w:rPr>
                <w:rFonts w:cs="Arial"/>
                <w:i/>
                <w:iCs/>
                <w:szCs w:val="20"/>
                <w:lang w:eastAsia="sl-SI"/>
              </w:rPr>
              <w:t xml:space="preserve"> </w:t>
            </w:r>
            <w:proofErr w:type="spellStart"/>
            <w:r w:rsidRPr="00115F14">
              <w:rPr>
                <w:rFonts w:cs="Arial"/>
                <w:i/>
                <w:iCs/>
                <w:szCs w:val="20"/>
                <w:lang w:eastAsia="sl-SI"/>
              </w:rPr>
              <w:t>prokuratūra</w:t>
            </w:r>
            <w:proofErr w:type="spellEnd"/>
            <w:r w:rsidRPr="00115F14">
              <w:rPr>
                <w:rFonts w:cs="Arial"/>
                <w:szCs w:val="20"/>
                <w:lang w:eastAsia="sl-SI"/>
              </w:rPr>
              <w:t>)</w:t>
            </w:r>
            <w:r w:rsidR="00D903B2">
              <w:rPr>
                <w:rFonts w:cs="Arial"/>
                <w:szCs w:val="20"/>
                <w:lang w:eastAsia="sl-SI"/>
              </w:rPr>
              <w:t>,</w:t>
            </w:r>
          </w:p>
          <w:p w:rsidR="00AE2155" w:rsidRPr="00115F14" w:rsidRDefault="00AE2155" w:rsidP="00B644CC">
            <w:pPr>
              <w:numPr>
                <w:ilvl w:val="0"/>
                <w:numId w:val="22"/>
              </w:numPr>
              <w:shd w:val="clear" w:color="auto" w:fill="FFFFFF"/>
              <w:spacing w:line="288" w:lineRule="auto"/>
              <w:ind w:left="284" w:hanging="284"/>
              <w:jc w:val="both"/>
              <w:rPr>
                <w:rFonts w:cs="Arial"/>
                <w:szCs w:val="20"/>
                <w:lang w:eastAsia="sl-SI"/>
              </w:rPr>
            </w:pPr>
            <w:r w:rsidRPr="00115F14">
              <w:rPr>
                <w:rFonts w:cs="Arial"/>
                <w:szCs w:val="20"/>
                <w:lang w:eastAsia="sl-SI"/>
              </w:rPr>
              <w:t>državno tožilstvo za preiskovanje finančnega in gospodarskega kriminala (</w:t>
            </w:r>
            <w:proofErr w:type="spellStart"/>
            <w:r w:rsidRPr="00115F14">
              <w:rPr>
                <w:rFonts w:cs="Arial"/>
                <w:i/>
                <w:iCs/>
                <w:szCs w:val="20"/>
                <w:lang w:eastAsia="sl-SI"/>
              </w:rPr>
              <w:t>Finanšu</w:t>
            </w:r>
            <w:proofErr w:type="spellEnd"/>
            <w:r w:rsidRPr="00115F14">
              <w:rPr>
                <w:rFonts w:cs="Arial"/>
                <w:i/>
                <w:iCs/>
                <w:szCs w:val="20"/>
                <w:lang w:eastAsia="sl-SI"/>
              </w:rPr>
              <w:t xml:space="preserve"> </w:t>
            </w:r>
            <w:proofErr w:type="spellStart"/>
            <w:r w:rsidRPr="00115F14">
              <w:rPr>
                <w:rFonts w:cs="Arial"/>
                <w:i/>
                <w:iCs/>
                <w:szCs w:val="20"/>
                <w:lang w:eastAsia="sl-SI"/>
              </w:rPr>
              <w:t>un</w:t>
            </w:r>
            <w:proofErr w:type="spellEnd"/>
            <w:r w:rsidRPr="00115F14">
              <w:rPr>
                <w:rFonts w:cs="Arial"/>
                <w:i/>
                <w:iCs/>
                <w:szCs w:val="20"/>
                <w:lang w:eastAsia="sl-SI"/>
              </w:rPr>
              <w:t xml:space="preserve"> </w:t>
            </w:r>
            <w:proofErr w:type="spellStart"/>
            <w:r w:rsidRPr="00115F14">
              <w:rPr>
                <w:rFonts w:cs="Arial"/>
                <w:i/>
                <w:iCs/>
                <w:szCs w:val="20"/>
                <w:lang w:eastAsia="sl-SI"/>
              </w:rPr>
              <w:t>ekonomisko</w:t>
            </w:r>
            <w:proofErr w:type="spellEnd"/>
            <w:r w:rsidRPr="00115F14">
              <w:rPr>
                <w:rFonts w:cs="Arial"/>
                <w:i/>
                <w:iCs/>
                <w:szCs w:val="20"/>
                <w:lang w:eastAsia="sl-SI"/>
              </w:rPr>
              <w:t xml:space="preserve"> </w:t>
            </w:r>
            <w:proofErr w:type="spellStart"/>
            <w:r w:rsidRPr="00115F14">
              <w:rPr>
                <w:rFonts w:cs="Arial"/>
                <w:i/>
                <w:iCs/>
                <w:szCs w:val="20"/>
                <w:lang w:eastAsia="sl-SI"/>
              </w:rPr>
              <w:t>noziegumu</w:t>
            </w:r>
            <w:proofErr w:type="spellEnd"/>
            <w:r w:rsidRPr="00115F14">
              <w:rPr>
                <w:rFonts w:cs="Arial"/>
                <w:i/>
                <w:iCs/>
                <w:szCs w:val="20"/>
                <w:lang w:eastAsia="sl-SI"/>
              </w:rPr>
              <w:t xml:space="preserve"> </w:t>
            </w:r>
            <w:proofErr w:type="spellStart"/>
            <w:r w:rsidRPr="00115F14">
              <w:rPr>
                <w:rFonts w:cs="Arial"/>
                <w:i/>
                <w:iCs/>
                <w:szCs w:val="20"/>
                <w:lang w:eastAsia="sl-SI"/>
              </w:rPr>
              <w:t>izmeklēšanas</w:t>
            </w:r>
            <w:proofErr w:type="spellEnd"/>
            <w:r w:rsidRPr="00115F14">
              <w:rPr>
                <w:rFonts w:cs="Arial"/>
                <w:i/>
                <w:iCs/>
                <w:szCs w:val="20"/>
                <w:lang w:eastAsia="sl-SI"/>
              </w:rPr>
              <w:t xml:space="preserve"> </w:t>
            </w:r>
            <w:proofErr w:type="spellStart"/>
            <w:r w:rsidRPr="00115F14">
              <w:rPr>
                <w:rFonts w:cs="Arial"/>
                <w:i/>
                <w:iCs/>
                <w:szCs w:val="20"/>
                <w:lang w:eastAsia="sl-SI"/>
              </w:rPr>
              <w:t>prokuratūra</w:t>
            </w:r>
            <w:proofErr w:type="spellEnd"/>
            <w:r w:rsidRPr="00115F14">
              <w:rPr>
                <w:rFonts w:cs="Arial"/>
                <w:szCs w:val="20"/>
                <w:lang w:eastAsia="sl-SI"/>
              </w:rPr>
              <w:t xml:space="preserve">) ter </w:t>
            </w:r>
          </w:p>
          <w:p w:rsidR="00AE2155" w:rsidRPr="00115F14" w:rsidRDefault="00AE2155" w:rsidP="00B644CC">
            <w:pPr>
              <w:numPr>
                <w:ilvl w:val="0"/>
                <w:numId w:val="22"/>
              </w:numPr>
              <w:shd w:val="clear" w:color="auto" w:fill="FFFFFF"/>
              <w:spacing w:line="288" w:lineRule="auto"/>
              <w:ind w:left="284" w:hanging="284"/>
              <w:jc w:val="both"/>
              <w:rPr>
                <w:rFonts w:cs="Arial"/>
                <w:szCs w:val="20"/>
                <w:lang w:eastAsia="sl-SI"/>
              </w:rPr>
            </w:pPr>
            <w:r w:rsidRPr="00115F14">
              <w:rPr>
                <w:rFonts w:cs="Arial"/>
                <w:szCs w:val="20"/>
                <w:lang w:eastAsia="sl-SI"/>
              </w:rPr>
              <w:t>državno tožilstvo za preiskovanje kaznivih dejanj v zvezi z nedovoljenim prometom s prepovedanimi drogami (</w:t>
            </w:r>
            <w:r w:rsidRPr="00115F14">
              <w:rPr>
                <w:rFonts w:cs="Arial"/>
                <w:i/>
                <w:iCs/>
                <w:szCs w:val="20"/>
                <w:lang w:eastAsia="sl-SI"/>
              </w:rPr>
              <w:t xml:space="preserve">Narkotiku </w:t>
            </w:r>
            <w:proofErr w:type="spellStart"/>
            <w:r w:rsidRPr="00115F14">
              <w:rPr>
                <w:rFonts w:cs="Arial"/>
                <w:i/>
                <w:iCs/>
                <w:szCs w:val="20"/>
                <w:lang w:eastAsia="sl-SI"/>
              </w:rPr>
              <w:t>nelegālas</w:t>
            </w:r>
            <w:proofErr w:type="spellEnd"/>
            <w:r w:rsidRPr="00115F14">
              <w:rPr>
                <w:rFonts w:cs="Arial"/>
                <w:i/>
                <w:iCs/>
                <w:szCs w:val="20"/>
                <w:lang w:eastAsia="sl-SI"/>
              </w:rPr>
              <w:t xml:space="preserve"> </w:t>
            </w:r>
            <w:proofErr w:type="spellStart"/>
            <w:r w:rsidRPr="00115F14">
              <w:rPr>
                <w:rFonts w:cs="Arial"/>
                <w:i/>
                <w:iCs/>
                <w:szCs w:val="20"/>
                <w:lang w:eastAsia="sl-SI"/>
              </w:rPr>
              <w:t>aprites</w:t>
            </w:r>
            <w:proofErr w:type="spellEnd"/>
            <w:r w:rsidRPr="00115F14">
              <w:rPr>
                <w:rFonts w:cs="Arial"/>
                <w:i/>
                <w:iCs/>
                <w:szCs w:val="20"/>
                <w:lang w:eastAsia="sl-SI"/>
              </w:rPr>
              <w:t xml:space="preserve"> </w:t>
            </w:r>
            <w:proofErr w:type="spellStart"/>
            <w:r w:rsidRPr="00115F14">
              <w:rPr>
                <w:rFonts w:cs="Arial"/>
                <w:i/>
                <w:iCs/>
                <w:szCs w:val="20"/>
                <w:lang w:eastAsia="sl-SI"/>
              </w:rPr>
              <w:t>noziegumu</w:t>
            </w:r>
            <w:proofErr w:type="spellEnd"/>
            <w:r w:rsidRPr="00115F14">
              <w:rPr>
                <w:rFonts w:cs="Arial"/>
                <w:i/>
                <w:iCs/>
                <w:szCs w:val="20"/>
                <w:lang w:eastAsia="sl-SI"/>
              </w:rPr>
              <w:t xml:space="preserve"> </w:t>
            </w:r>
            <w:proofErr w:type="spellStart"/>
            <w:r w:rsidRPr="00115F14">
              <w:rPr>
                <w:rFonts w:cs="Arial"/>
                <w:i/>
                <w:iCs/>
                <w:szCs w:val="20"/>
                <w:lang w:eastAsia="sl-SI"/>
              </w:rPr>
              <w:t>izmeklēšanas</w:t>
            </w:r>
            <w:proofErr w:type="spellEnd"/>
            <w:r w:rsidRPr="00115F14">
              <w:rPr>
                <w:rFonts w:cs="Arial"/>
                <w:i/>
                <w:iCs/>
                <w:szCs w:val="20"/>
                <w:lang w:eastAsia="sl-SI"/>
              </w:rPr>
              <w:t xml:space="preserve"> </w:t>
            </w:r>
            <w:proofErr w:type="spellStart"/>
            <w:r w:rsidRPr="00115F14">
              <w:rPr>
                <w:rFonts w:cs="Arial"/>
                <w:i/>
                <w:iCs/>
                <w:szCs w:val="20"/>
                <w:lang w:eastAsia="sl-SI"/>
              </w:rPr>
              <w:t>prokuratūra</w:t>
            </w:r>
            <w:proofErr w:type="spellEnd"/>
            <w:r w:rsidRPr="00115F14">
              <w:rPr>
                <w:rFonts w:cs="Arial"/>
                <w:szCs w:val="20"/>
                <w:lang w:eastAsia="sl-SI"/>
              </w:rPr>
              <w:t>).</w:t>
            </w:r>
          </w:p>
          <w:p w:rsidR="00AE2155" w:rsidRPr="00115F14" w:rsidRDefault="00AE2155" w:rsidP="00B644CC">
            <w:pPr>
              <w:shd w:val="clear" w:color="auto" w:fill="FFFFFF"/>
              <w:spacing w:line="288" w:lineRule="auto"/>
              <w:jc w:val="both"/>
              <w:rPr>
                <w:rFonts w:cs="Arial"/>
                <w:szCs w:val="20"/>
                <w:lang w:eastAsia="sl-SI"/>
              </w:rPr>
            </w:pPr>
          </w:p>
          <w:p w:rsidR="00AE2155" w:rsidRPr="00115F14" w:rsidRDefault="00AE2155" w:rsidP="00B644CC">
            <w:pPr>
              <w:shd w:val="clear" w:color="auto" w:fill="FFFFFF"/>
              <w:spacing w:line="288" w:lineRule="auto"/>
              <w:jc w:val="both"/>
              <w:rPr>
                <w:rFonts w:cs="Arial"/>
                <w:szCs w:val="20"/>
                <w:lang w:eastAsia="sl-SI"/>
              </w:rPr>
            </w:pPr>
            <w:r w:rsidRPr="00115F14">
              <w:rPr>
                <w:rFonts w:cs="Arial"/>
                <w:szCs w:val="20"/>
                <w:lang w:eastAsia="sl-SI"/>
              </w:rPr>
              <w:t xml:space="preserve">Generalno državno tožilstvo lahko nadzoruje delo javnih organov, </w:t>
            </w:r>
            <w:r w:rsidR="00D903B2">
              <w:rPr>
                <w:rFonts w:cs="Arial"/>
                <w:szCs w:val="20"/>
                <w:lang w:eastAsia="sl-SI"/>
              </w:rPr>
              <w:t>t</w:t>
            </w:r>
            <w:r w:rsidRPr="00115F14">
              <w:rPr>
                <w:rFonts w:cs="Arial"/>
                <w:szCs w:val="20"/>
                <w:lang w:eastAsia="sl-SI"/>
              </w:rPr>
              <w:t xml:space="preserve">i sami ne delujejo kot tožilstva, </w:t>
            </w:r>
            <w:r w:rsidR="00D903B2">
              <w:rPr>
                <w:rFonts w:cs="Arial"/>
                <w:szCs w:val="20"/>
                <w:lang w:eastAsia="sl-SI"/>
              </w:rPr>
              <w:t>tod</w:t>
            </w:r>
            <w:r w:rsidRPr="00115F14">
              <w:rPr>
                <w:rFonts w:cs="Arial"/>
                <w:szCs w:val="20"/>
                <w:lang w:eastAsia="sl-SI"/>
              </w:rPr>
              <w:t xml:space="preserve">a opravljajo določene naloge v kazenskem postopku, ki spadajo v njihovo pristojnost. Te organe ustanovi, reorganizira in razpusti generalni državni tožilec. Na podlagi dodeljenih proračunskih sredstev generalni državni tožilec določi </w:t>
            </w:r>
            <w:r w:rsidR="00D903B2">
              <w:rPr>
                <w:rFonts w:cs="Arial"/>
                <w:szCs w:val="20"/>
                <w:lang w:eastAsia="sl-SI"/>
              </w:rPr>
              <w:t xml:space="preserve">tudi </w:t>
            </w:r>
            <w:r w:rsidRPr="00115F14">
              <w:rPr>
                <w:rFonts w:cs="Arial"/>
                <w:szCs w:val="20"/>
                <w:lang w:eastAsia="sl-SI"/>
              </w:rPr>
              <w:t xml:space="preserve">strukturo in število osebja teh organov. Do </w:t>
            </w:r>
            <w:r w:rsidR="00D903B2">
              <w:rPr>
                <w:rFonts w:cs="Arial"/>
                <w:szCs w:val="20"/>
                <w:lang w:eastAsia="sl-SI"/>
              </w:rPr>
              <w:t>z</w:t>
            </w:r>
            <w:r w:rsidRPr="00115F14">
              <w:rPr>
                <w:rFonts w:cs="Arial"/>
                <w:szCs w:val="20"/>
                <w:lang w:eastAsia="sl-SI"/>
              </w:rPr>
              <w:t>daj je bil ustanovljen le en tak organ, in sicer </w:t>
            </w:r>
            <w:hyperlink r:id="rId12" w:tgtFrame="_blank" w:history="1">
              <w:r w:rsidRPr="00115F14">
                <w:rPr>
                  <w:rFonts w:cs="Arial"/>
                  <w:szCs w:val="20"/>
                  <w:lang w:eastAsia="sl-SI"/>
                </w:rPr>
                <w:t>Urad za boj proti pranju denarja</w:t>
              </w:r>
            </w:hyperlink>
            <w:r w:rsidRPr="00115F14">
              <w:rPr>
                <w:rFonts w:cs="Arial"/>
                <w:szCs w:val="20"/>
                <w:lang w:eastAsia="sl-SI"/>
              </w:rPr>
              <w:t> (</w:t>
            </w:r>
            <w:proofErr w:type="spellStart"/>
            <w:r w:rsidRPr="00115F14">
              <w:rPr>
                <w:rFonts w:cs="Arial"/>
                <w:i/>
                <w:iCs/>
                <w:szCs w:val="20"/>
                <w:lang w:eastAsia="sl-SI"/>
              </w:rPr>
              <w:t>Noziedzīgi</w:t>
            </w:r>
            <w:proofErr w:type="spellEnd"/>
            <w:r w:rsidRPr="00115F14">
              <w:rPr>
                <w:rFonts w:cs="Arial"/>
                <w:i/>
                <w:iCs/>
                <w:szCs w:val="20"/>
                <w:lang w:eastAsia="sl-SI"/>
              </w:rPr>
              <w:t xml:space="preserve"> </w:t>
            </w:r>
            <w:proofErr w:type="spellStart"/>
            <w:r w:rsidRPr="00115F14">
              <w:rPr>
                <w:rFonts w:cs="Arial"/>
                <w:i/>
                <w:iCs/>
                <w:szCs w:val="20"/>
                <w:lang w:eastAsia="sl-SI"/>
              </w:rPr>
              <w:t>iegūtu</w:t>
            </w:r>
            <w:proofErr w:type="spellEnd"/>
            <w:r w:rsidRPr="00115F14">
              <w:rPr>
                <w:rFonts w:cs="Arial"/>
                <w:i/>
                <w:iCs/>
                <w:szCs w:val="20"/>
                <w:lang w:eastAsia="sl-SI"/>
              </w:rPr>
              <w:t xml:space="preserve"> </w:t>
            </w:r>
            <w:proofErr w:type="spellStart"/>
            <w:r w:rsidRPr="00115F14">
              <w:rPr>
                <w:rFonts w:cs="Arial"/>
                <w:i/>
                <w:iCs/>
                <w:szCs w:val="20"/>
                <w:lang w:eastAsia="sl-SI"/>
              </w:rPr>
              <w:t>līdzekļu</w:t>
            </w:r>
            <w:proofErr w:type="spellEnd"/>
            <w:r w:rsidRPr="00115F14">
              <w:rPr>
                <w:rFonts w:cs="Arial"/>
                <w:i/>
                <w:iCs/>
                <w:szCs w:val="20"/>
                <w:lang w:eastAsia="sl-SI"/>
              </w:rPr>
              <w:t xml:space="preserve"> </w:t>
            </w:r>
            <w:proofErr w:type="spellStart"/>
            <w:r w:rsidRPr="00115F14">
              <w:rPr>
                <w:rFonts w:cs="Arial"/>
                <w:i/>
                <w:iCs/>
                <w:szCs w:val="20"/>
                <w:lang w:eastAsia="sl-SI"/>
              </w:rPr>
              <w:t>legalizācijas</w:t>
            </w:r>
            <w:proofErr w:type="spellEnd"/>
            <w:r w:rsidRPr="00115F14">
              <w:rPr>
                <w:rFonts w:cs="Arial"/>
                <w:i/>
                <w:iCs/>
                <w:szCs w:val="20"/>
                <w:lang w:eastAsia="sl-SI"/>
              </w:rPr>
              <w:t xml:space="preserve"> </w:t>
            </w:r>
            <w:proofErr w:type="spellStart"/>
            <w:r w:rsidRPr="00115F14">
              <w:rPr>
                <w:rFonts w:cs="Arial"/>
                <w:i/>
                <w:iCs/>
                <w:szCs w:val="20"/>
                <w:lang w:eastAsia="sl-SI"/>
              </w:rPr>
              <w:t>novēršanas</w:t>
            </w:r>
            <w:proofErr w:type="spellEnd"/>
            <w:r w:rsidRPr="00115F14">
              <w:rPr>
                <w:rFonts w:cs="Arial"/>
                <w:i/>
                <w:iCs/>
                <w:szCs w:val="20"/>
                <w:lang w:eastAsia="sl-SI"/>
              </w:rPr>
              <w:t xml:space="preserve"> </w:t>
            </w:r>
            <w:proofErr w:type="spellStart"/>
            <w:r w:rsidRPr="00115F14">
              <w:rPr>
                <w:rFonts w:cs="Arial"/>
                <w:i/>
                <w:iCs/>
                <w:szCs w:val="20"/>
                <w:lang w:eastAsia="sl-SI"/>
              </w:rPr>
              <w:t>dienests</w:t>
            </w:r>
            <w:proofErr w:type="spellEnd"/>
            <w:r w:rsidRPr="00115F14">
              <w:rPr>
                <w:rFonts w:cs="Arial"/>
                <w:szCs w:val="20"/>
                <w:lang w:eastAsia="sl-SI"/>
              </w:rPr>
              <w:t>).</w:t>
            </w:r>
          </w:p>
          <w:p w:rsidR="00AE2155" w:rsidRPr="00115F14" w:rsidRDefault="00AE2155" w:rsidP="00B644CC">
            <w:pPr>
              <w:shd w:val="clear" w:color="auto" w:fill="FFFFFF"/>
              <w:spacing w:line="288" w:lineRule="auto"/>
              <w:jc w:val="both"/>
              <w:rPr>
                <w:rFonts w:cs="Arial"/>
                <w:szCs w:val="20"/>
                <w:lang w:eastAsia="sl-SI"/>
              </w:rPr>
            </w:pPr>
          </w:p>
          <w:p w:rsidR="00AE2155" w:rsidRPr="00115F14" w:rsidRDefault="00AE2155" w:rsidP="00B644CC">
            <w:pPr>
              <w:shd w:val="clear" w:color="auto" w:fill="FFFFFF"/>
              <w:spacing w:line="288" w:lineRule="auto"/>
              <w:jc w:val="both"/>
              <w:rPr>
                <w:rFonts w:cs="Arial"/>
                <w:szCs w:val="20"/>
                <w:lang w:eastAsia="sl-SI"/>
              </w:rPr>
            </w:pPr>
            <w:r w:rsidRPr="00115F14">
              <w:rPr>
                <w:rFonts w:cs="Arial"/>
                <w:szCs w:val="20"/>
                <w:lang w:eastAsia="sl-SI"/>
              </w:rPr>
              <w:t xml:space="preserve">Državna tožilstva so del sodnega sistema. To pomeni, da delujejo neodvisno od zakonodajne in izvršilne oblasti. </w:t>
            </w:r>
            <w:proofErr w:type="spellStart"/>
            <w:r w:rsidRPr="00115F14">
              <w:rPr>
                <w:rFonts w:cs="Arial"/>
                <w:szCs w:val="20"/>
                <w:lang w:eastAsia="sl-SI"/>
              </w:rPr>
              <w:t>Saeima</w:t>
            </w:r>
            <w:proofErr w:type="spellEnd"/>
            <w:r w:rsidRPr="00115F14">
              <w:rPr>
                <w:rFonts w:cs="Arial"/>
                <w:szCs w:val="20"/>
                <w:lang w:eastAsia="sl-SI"/>
              </w:rPr>
              <w:t xml:space="preserve"> (latvijski parlament), kabinet ministrov in predsednik države lahko državnemu tožilstvu dajo navodilo, da preveri dejstva v zvezi s kršitvami zakona, in lahko prejemajo pojasnila od generalnega državnega tožilstva, ne smejo pa posegati v delo državnega tožilstva, tudi če preiskuje kršitve, ki imajo velik </w:t>
            </w:r>
            <w:r w:rsidR="00D903B2">
              <w:rPr>
                <w:rFonts w:cs="Arial"/>
                <w:szCs w:val="20"/>
                <w:lang w:eastAsia="sl-SI"/>
              </w:rPr>
              <w:t xml:space="preserve">državni </w:t>
            </w:r>
            <w:r w:rsidRPr="00115F14">
              <w:rPr>
                <w:rFonts w:cs="Arial"/>
                <w:szCs w:val="20"/>
                <w:lang w:eastAsia="sl-SI"/>
              </w:rPr>
              <w:t>pomen.</w:t>
            </w:r>
          </w:p>
          <w:p w:rsidR="00AE2155" w:rsidRPr="00115F14" w:rsidRDefault="00AE2155" w:rsidP="00B644CC">
            <w:pPr>
              <w:shd w:val="clear" w:color="auto" w:fill="FFFFFF"/>
              <w:spacing w:line="288" w:lineRule="auto"/>
              <w:jc w:val="both"/>
              <w:rPr>
                <w:rFonts w:cs="Arial"/>
                <w:szCs w:val="20"/>
                <w:lang w:eastAsia="sl-SI"/>
              </w:rPr>
            </w:pPr>
          </w:p>
          <w:p w:rsidR="00AE2155" w:rsidRPr="00115F14" w:rsidRDefault="00AE2155" w:rsidP="00B644CC">
            <w:pPr>
              <w:shd w:val="clear" w:color="auto" w:fill="FFFFFF"/>
              <w:spacing w:line="288" w:lineRule="auto"/>
              <w:jc w:val="both"/>
              <w:rPr>
                <w:rFonts w:cs="Arial"/>
                <w:szCs w:val="20"/>
                <w:lang w:eastAsia="sl-SI"/>
              </w:rPr>
            </w:pPr>
            <w:r w:rsidRPr="00115F14">
              <w:rPr>
                <w:rFonts w:cs="Arial"/>
                <w:szCs w:val="20"/>
                <w:lang w:eastAsia="sl-SI"/>
              </w:rPr>
              <w:t xml:space="preserve">Državni tožilci lahko izpodbijajo pravne akte, ki jih je sprejel kabinet ministrov ali </w:t>
            </w:r>
            <w:r w:rsidR="00D903B2">
              <w:rPr>
                <w:rFonts w:cs="Arial"/>
                <w:szCs w:val="20"/>
                <w:lang w:eastAsia="sl-SI"/>
              </w:rPr>
              <w:t xml:space="preserve">so jih sprejeli </w:t>
            </w:r>
            <w:r w:rsidRPr="00115F14">
              <w:rPr>
                <w:rFonts w:cs="Arial"/>
                <w:szCs w:val="20"/>
                <w:lang w:eastAsia="sl-SI"/>
              </w:rPr>
              <w:t>javni organi, če niso v skladu z zakonom. Generalni državni tožilec in glavni tožilci oddelkov generalnega</w:t>
            </w:r>
            <w:r w:rsidR="005D5B92">
              <w:rPr>
                <w:rFonts w:cs="Arial"/>
                <w:szCs w:val="20"/>
                <w:lang w:eastAsia="sl-SI"/>
              </w:rPr>
              <w:t xml:space="preserve"> </w:t>
            </w:r>
            <w:r w:rsidRPr="00115F14">
              <w:rPr>
                <w:rFonts w:cs="Arial"/>
                <w:szCs w:val="20"/>
                <w:lang w:eastAsia="sl-SI"/>
              </w:rPr>
              <w:t xml:space="preserve">državnega tožilstva se lahko udeležijo sej kabineta ministrov in izrazijo svoje mnenje o vprašanjih, ki so </w:t>
            </w:r>
            <w:r w:rsidR="005D5B92">
              <w:rPr>
                <w:rFonts w:cs="Arial"/>
                <w:szCs w:val="20"/>
                <w:lang w:eastAsia="sl-SI"/>
              </w:rPr>
              <w:t>vsebina</w:t>
            </w:r>
            <w:r w:rsidRPr="00115F14">
              <w:rPr>
                <w:rFonts w:cs="Arial"/>
                <w:szCs w:val="20"/>
                <w:lang w:eastAsia="sl-SI"/>
              </w:rPr>
              <w:t xml:space="preserve"> razprav.</w:t>
            </w:r>
          </w:p>
          <w:p w:rsidR="00AE2155" w:rsidRPr="00115F14" w:rsidRDefault="00AE2155" w:rsidP="00B644CC">
            <w:pPr>
              <w:shd w:val="clear" w:color="auto" w:fill="FFFFFF"/>
              <w:spacing w:line="288" w:lineRule="auto"/>
              <w:jc w:val="both"/>
              <w:rPr>
                <w:rFonts w:cs="Arial"/>
                <w:szCs w:val="20"/>
                <w:lang w:eastAsia="sl-SI"/>
              </w:rPr>
            </w:pPr>
          </w:p>
          <w:p w:rsidR="00AE2155" w:rsidRPr="00115F14" w:rsidRDefault="00AE2155" w:rsidP="00B644CC">
            <w:pPr>
              <w:shd w:val="clear" w:color="auto" w:fill="FFFFFF"/>
              <w:spacing w:line="288" w:lineRule="auto"/>
              <w:jc w:val="both"/>
              <w:rPr>
                <w:rFonts w:cs="Arial"/>
                <w:szCs w:val="20"/>
                <w:lang w:eastAsia="sl-SI"/>
              </w:rPr>
            </w:pPr>
            <w:r w:rsidRPr="00115F14">
              <w:rPr>
                <w:rFonts w:cs="Arial"/>
                <w:szCs w:val="20"/>
              </w:rPr>
              <w:t>Državno tožilstvo je pristojno za nadzor nad delom preiskovalnih organov in drugih organov; organizira, upravlja in vodi preiskavo v predhodnem postopku ter daje navodila preiskovalnim organom pri izvajanju preiskav kaznivih dejanj; začne in vodi kazenski pregon; varuje pravice in pravne interese posameznikov in države; v zadevah, določenih z zakonom, pri sodišču vloži predlog za začetek postopka ali vlogo. Državni tožilec v skladu s 36</w:t>
            </w:r>
            <w:r w:rsidR="005D5B92">
              <w:rPr>
                <w:rFonts w:cs="Arial"/>
                <w:szCs w:val="20"/>
              </w:rPr>
              <w:t>.</w:t>
            </w:r>
            <w:r w:rsidRPr="00115F14">
              <w:rPr>
                <w:rFonts w:cs="Arial"/>
                <w:szCs w:val="20"/>
              </w:rPr>
              <w:t xml:space="preserve"> členom </w:t>
            </w:r>
            <w:r w:rsidRPr="00115F14">
              <w:rPr>
                <w:rFonts w:cs="Arial"/>
                <w:szCs w:val="20"/>
                <w:bdr w:val="none" w:sz="0" w:space="0" w:color="auto" w:frame="1"/>
              </w:rPr>
              <w:t>Zakona o kazenskem postopku</w:t>
            </w:r>
            <w:r w:rsidRPr="00115F14">
              <w:rPr>
                <w:rFonts w:cs="Arial"/>
                <w:szCs w:val="20"/>
              </w:rPr>
              <w:t xml:space="preserve"> nadzira in vodi preiskavo, vodi kazenski pregon, zastopa obtožnico pred sodiščem v imenu države </w:t>
            </w:r>
            <w:r w:rsidR="005D5B92">
              <w:rPr>
                <w:rFonts w:cs="Arial"/>
                <w:szCs w:val="20"/>
              </w:rPr>
              <w:t>ter</w:t>
            </w:r>
            <w:r w:rsidRPr="00115F14">
              <w:rPr>
                <w:rFonts w:cs="Arial"/>
                <w:szCs w:val="20"/>
              </w:rPr>
              <w:t xml:space="preserve"> opravlja druge naloge v kazenskem postopku.</w:t>
            </w:r>
            <w:r w:rsidRPr="00115F14">
              <w:rPr>
                <w:rStyle w:val="Sprotnaopomba-sklic"/>
                <w:rFonts w:cs="Arial"/>
                <w:szCs w:val="20"/>
              </w:rPr>
              <w:footnoteReference w:id="29"/>
            </w:r>
          </w:p>
          <w:p w:rsidR="00AE2155" w:rsidRPr="00115F14" w:rsidRDefault="00AE2155" w:rsidP="00B644CC">
            <w:pPr>
              <w:shd w:val="clear" w:color="auto" w:fill="FFFFFF"/>
              <w:spacing w:line="288" w:lineRule="auto"/>
              <w:jc w:val="both"/>
              <w:rPr>
                <w:rFonts w:cs="Arial"/>
                <w:szCs w:val="20"/>
                <w:lang w:eastAsia="sl-SI"/>
              </w:rPr>
            </w:pPr>
          </w:p>
          <w:p w:rsidR="00696BEC" w:rsidRPr="00F25413" w:rsidRDefault="00AE2155" w:rsidP="00F25413">
            <w:pPr>
              <w:spacing w:line="288" w:lineRule="auto"/>
              <w:jc w:val="both"/>
              <w:rPr>
                <w:rFonts w:cs="Arial"/>
                <w:szCs w:val="20"/>
              </w:rPr>
            </w:pPr>
            <w:r w:rsidRPr="00115F14">
              <w:rPr>
                <w:rFonts w:cs="Arial"/>
                <w:szCs w:val="20"/>
              </w:rPr>
              <w:t xml:space="preserve">Latvijskega nacionalnega predstavnika in njegovega namestnika ter pomočnika imenuje generalni državni tožilec po prejemu mnenja kandidacijske komisije, ki jo je sam imenoval. Za razliko </w:t>
            </w:r>
            <w:r w:rsidR="005D5B92">
              <w:rPr>
                <w:rFonts w:cs="Arial"/>
                <w:szCs w:val="20"/>
              </w:rPr>
              <w:t>o</w:t>
            </w:r>
            <w:r w:rsidRPr="00115F14">
              <w:rPr>
                <w:rFonts w:cs="Arial"/>
                <w:szCs w:val="20"/>
              </w:rPr>
              <w:t>d nacionalnega predstavnika in njegovega namestnika pomočnika imenuje generalni državni tožilec brez mnenja kandidacijske komisije za neomejen</w:t>
            </w:r>
            <w:r w:rsidR="005D5B92">
              <w:rPr>
                <w:rFonts w:cs="Arial"/>
                <w:szCs w:val="20"/>
              </w:rPr>
              <w:t>i</w:t>
            </w:r>
            <w:r w:rsidRPr="00115F14">
              <w:rPr>
                <w:rFonts w:cs="Arial"/>
                <w:szCs w:val="20"/>
              </w:rPr>
              <w:t xml:space="preserve"> mandat s pooblastili, ki jih predlaga nacionalni predstavnik v </w:t>
            </w:r>
            <w:proofErr w:type="spellStart"/>
            <w:r w:rsidRPr="00115F14">
              <w:rPr>
                <w:rFonts w:cs="Arial"/>
                <w:szCs w:val="20"/>
              </w:rPr>
              <w:t>Eurojustu</w:t>
            </w:r>
            <w:proofErr w:type="spellEnd"/>
            <w:r w:rsidRPr="00115F14">
              <w:rPr>
                <w:rFonts w:cs="Arial"/>
                <w:szCs w:val="20"/>
              </w:rPr>
              <w:t>.</w:t>
            </w:r>
            <w:r w:rsidRPr="00115F14">
              <w:rPr>
                <w:rStyle w:val="Sprotnaopomba-sklic"/>
                <w:rFonts w:cs="Arial"/>
                <w:szCs w:val="20"/>
              </w:rPr>
              <w:footnoteReference w:id="30"/>
            </w:r>
          </w:p>
          <w:p w:rsidR="00696BEC" w:rsidRPr="00115F14" w:rsidRDefault="00696BEC" w:rsidP="00B644CC">
            <w:pPr>
              <w:jc w:val="both"/>
            </w:pPr>
          </w:p>
          <w:p w:rsidR="00AE2155" w:rsidRPr="00115F14" w:rsidRDefault="00AE2155" w:rsidP="00B644CC">
            <w:pPr>
              <w:jc w:val="both"/>
              <w:rPr>
                <w:rFonts w:cs="Arial"/>
                <w:b/>
                <w:szCs w:val="20"/>
                <w:lang w:eastAsia="sl-SI"/>
              </w:rPr>
            </w:pPr>
            <w:r w:rsidRPr="00115F14">
              <w:rPr>
                <w:rFonts w:cs="Arial"/>
                <w:b/>
                <w:szCs w:val="20"/>
                <w:lang w:eastAsia="sl-SI"/>
              </w:rPr>
              <w:t>5.2 Prikaz ureditve v drugih pravnih sistemih</w:t>
            </w:r>
          </w:p>
          <w:p w:rsidR="00AE2155" w:rsidRPr="00115F14" w:rsidRDefault="00AE2155" w:rsidP="00B644CC">
            <w:pPr>
              <w:jc w:val="both"/>
              <w:rPr>
                <w:rFonts w:cs="Arial"/>
                <w:b/>
                <w:szCs w:val="20"/>
                <w:lang w:eastAsia="sl-SI"/>
              </w:rPr>
            </w:pPr>
          </w:p>
          <w:p w:rsidR="00AE2155" w:rsidRPr="00115F14" w:rsidRDefault="00AE2155" w:rsidP="00B644CC">
            <w:pPr>
              <w:jc w:val="both"/>
              <w:rPr>
                <w:rFonts w:cs="Arial"/>
                <w:szCs w:val="20"/>
                <w:lang w:eastAsia="sl-SI"/>
              </w:rPr>
            </w:pPr>
            <w:r w:rsidRPr="00115F14">
              <w:rPr>
                <w:rFonts w:cs="Arial"/>
                <w:szCs w:val="20"/>
                <w:lang w:eastAsia="sl-SI"/>
              </w:rPr>
              <w:t xml:space="preserve">Ureditev, ki jo </w:t>
            </w:r>
            <w:r w:rsidR="005D5B92">
              <w:rPr>
                <w:rFonts w:cs="Arial"/>
                <w:szCs w:val="20"/>
                <w:lang w:eastAsia="sl-SI"/>
              </w:rPr>
              <w:t>upošteva</w:t>
            </w:r>
            <w:r w:rsidRPr="00115F14">
              <w:rPr>
                <w:rFonts w:cs="Arial"/>
                <w:szCs w:val="20"/>
                <w:lang w:eastAsia="sl-SI"/>
              </w:rPr>
              <w:t xml:space="preserve"> predlog zakona</w:t>
            </w:r>
            <w:r w:rsidR="005D5B92">
              <w:rPr>
                <w:rFonts w:cs="Arial"/>
                <w:szCs w:val="20"/>
                <w:lang w:eastAsia="sl-SI"/>
              </w:rPr>
              <w:t>,</w:t>
            </w:r>
            <w:r w:rsidRPr="00115F14">
              <w:rPr>
                <w:rFonts w:cs="Arial"/>
                <w:szCs w:val="20"/>
                <w:lang w:eastAsia="sl-SI"/>
              </w:rPr>
              <w:t xml:space="preserve"> ni predmet urejanja v drugih pravnih sistemih, saj Uredba </w:t>
            </w:r>
            <w:r w:rsidRPr="00115F14">
              <w:rPr>
                <w:szCs w:val="20"/>
              </w:rPr>
              <w:t xml:space="preserve">2018/1727/EU </w:t>
            </w:r>
            <w:r w:rsidRPr="00115F14">
              <w:rPr>
                <w:rFonts w:cs="Arial"/>
                <w:szCs w:val="20"/>
                <w:lang w:eastAsia="sl-SI"/>
              </w:rPr>
              <w:t xml:space="preserve">zavezuje le države članice EU. </w:t>
            </w:r>
          </w:p>
          <w:p w:rsidR="00AE2155" w:rsidRPr="00115F14" w:rsidRDefault="00AE2155" w:rsidP="00B644CC">
            <w:pPr>
              <w:jc w:val="both"/>
              <w:rPr>
                <w:rFonts w:cs="Arial"/>
                <w:szCs w:val="20"/>
                <w:lang w:eastAsia="sl-SI"/>
              </w:rPr>
            </w:pPr>
          </w:p>
          <w:p w:rsidR="00AE2155" w:rsidRPr="00115F14" w:rsidRDefault="00AE2155" w:rsidP="00B644CC">
            <w:pPr>
              <w:jc w:val="both"/>
              <w:rPr>
                <w:rFonts w:cs="Arial"/>
                <w:szCs w:val="20"/>
                <w:lang w:eastAsia="sl-SI"/>
              </w:rPr>
            </w:pPr>
            <w:r w:rsidRPr="00115F14">
              <w:rPr>
                <w:rFonts w:cs="Arial"/>
                <w:b/>
                <w:szCs w:val="20"/>
                <w:lang w:eastAsia="sl-SI"/>
              </w:rPr>
              <w:t>5.3 Prikaz prilagojenosti predlagane ureditve pravu Evropske unije</w:t>
            </w:r>
          </w:p>
          <w:p w:rsidR="00AE2155" w:rsidRPr="00115F14" w:rsidRDefault="00AE2155" w:rsidP="00B644CC">
            <w:pPr>
              <w:spacing w:line="288" w:lineRule="auto"/>
              <w:jc w:val="both"/>
              <w:rPr>
                <w:rFonts w:cs="Arial"/>
                <w:szCs w:val="20"/>
              </w:rPr>
            </w:pPr>
          </w:p>
          <w:p w:rsidR="00507A34" w:rsidRDefault="00AE2155" w:rsidP="00B644CC">
            <w:pPr>
              <w:spacing w:line="288" w:lineRule="auto"/>
              <w:jc w:val="both"/>
              <w:rPr>
                <w:szCs w:val="20"/>
              </w:rPr>
            </w:pPr>
            <w:r w:rsidRPr="00115F14">
              <w:rPr>
                <w:rFonts w:cs="Arial"/>
                <w:szCs w:val="20"/>
              </w:rPr>
              <w:t xml:space="preserve">Uredba je pravni akt, sprejet v okviru EU, ki se po 3.a členu Ustave v Sloveniji uporablja neposredno in v skladu s pravno ureditvijo EU. </w:t>
            </w:r>
            <w:r w:rsidRPr="00115F14">
              <w:rPr>
                <w:szCs w:val="20"/>
              </w:rPr>
              <w:t xml:space="preserve">Da bi pri izvajanju Uredbe 2018/1727/EU dosegli dosledno upoštevanje </w:t>
            </w:r>
            <w:r w:rsidR="005D5B92">
              <w:rPr>
                <w:szCs w:val="20"/>
              </w:rPr>
              <w:t>notranjega</w:t>
            </w:r>
            <w:r w:rsidRPr="00115F14">
              <w:rPr>
                <w:szCs w:val="20"/>
              </w:rPr>
              <w:t xml:space="preserve"> pravnega reda ter učinkovitost načela pravne države in pravne varnosti, je nujno treba prilagoditi veljavne določbe ZDT-1 tako, da ne bodo v nasprotju z vsebino</w:t>
            </w:r>
            <w:r w:rsidR="00507A34">
              <w:rPr>
                <w:szCs w:val="20"/>
              </w:rPr>
              <w:t xml:space="preserve"> </w:t>
            </w:r>
            <w:r w:rsidRPr="00115F14">
              <w:rPr>
                <w:szCs w:val="20"/>
              </w:rPr>
              <w:t xml:space="preserve">Uredbe 2018/1727/EU oziroma bo zagotovljena njena uporaba. </w:t>
            </w:r>
          </w:p>
          <w:p w:rsidR="00507A34" w:rsidRDefault="00507A34" w:rsidP="00B644CC">
            <w:pPr>
              <w:spacing w:line="288" w:lineRule="auto"/>
              <w:jc w:val="both"/>
              <w:rPr>
                <w:szCs w:val="20"/>
              </w:rPr>
            </w:pPr>
          </w:p>
          <w:p w:rsidR="00AE2155" w:rsidRPr="00115F14" w:rsidRDefault="00AE2155" w:rsidP="00B644CC">
            <w:pPr>
              <w:spacing w:line="288" w:lineRule="auto"/>
              <w:jc w:val="both"/>
              <w:rPr>
                <w:szCs w:val="20"/>
              </w:rPr>
            </w:pPr>
            <w:r w:rsidRPr="00115F14">
              <w:rPr>
                <w:szCs w:val="20"/>
              </w:rPr>
              <w:t xml:space="preserve">Ker Uredba 2018/1727/EU ne ureja postopka imenovanja nacionalnega predstavnika, njegovega namestnika in pomočnika, se s predlogom tega zakona določa nov postopek imenovanja </w:t>
            </w:r>
            <w:r w:rsidR="005D5B92">
              <w:rPr>
                <w:szCs w:val="20"/>
              </w:rPr>
              <w:t>ter</w:t>
            </w:r>
            <w:r w:rsidRPr="00115F14">
              <w:rPr>
                <w:szCs w:val="20"/>
              </w:rPr>
              <w:t xml:space="preserve"> podaljšuje doba imenovanja nacionalnega predstavnika in njegovega namestnika. Hkrati se urejajo tudi s tem povezana statusna delovnopravna vprašanja, ki so</w:t>
            </w:r>
            <w:r w:rsidR="005D5B92">
              <w:rPr>
                <w:szCs w:val="20"/>
              </w:rPr>
              <w:t xml:space="preserve"> del</w:t>
            </w:r>
            <w:r w:rsidRPr="00115F14">
              <w:rPr>
                <w:szCs w:val="20"/>
              </w:rPr>
              <w:t xml:space="preserve"> ureditve v n</w:t>
            </w:r>
            <w:r w:rsidR="005D5B92">
              <w:rPr>
                <w:szCs w:val="20"/>
              </w:rPr>
              <w:t xml:space="preserve">otranjem </w:t>
            </w:r>
            <w:r w:rsidRPr="00115F14">
              <w:rPr>
                <w:szCs w:val="20"/>
              </w:rPr>
              <w:t>pravnem sistemu.</w:t>
            </w:r>
          </w:p>
          <w:p w:rsidR="00AE2155" w:rsidRPr="00115F14" w:rsidRDefault="00AE2155" w:rsidP="00B644CC">
            <w:pPr>
              <w:spacing w:line="288" w:lineRule="auto"/>
              <w:jc w:val="both"/>
              <w:rPr>
                <w:szCs w:val="20"/>
              </w:rPr>
            </w:pPr>
          </w:p>
          <w:p w:rsidR="00AE2155" w:rsidRPr="00115F14" w:rsidRDefault="00AE2155" w:rsidP="00B644CC">
            <w:pPr>
              <w:spacing w:line="288" w:lineRule="auto"/>
              <w:jc w:val="both"/>
              <w:rPr>
                <w:szCs w:val="20"/>
              </w:rPr>
            </w:pPr>
            <w:r w:rsidRPr="00115F14">
              <w:rPr>
                <w:rFonts w:cs="Arial"/>
                <w:szCs w:val="20"/>
                <w:lang w:eastAsia="sl-SI"/>
              </w:rPr>
              <w:lastRenderedPageBreak/>
              <w:t>Predlog zakona je z organizacijs</w:t>
            </w:r>
            <w:r w:rsidR="005D5B92">
              <w:rPr>
                <w:rFonts w:cs="Arial"/>
                <w:szCs w:val="20"/>
                <w:lang w:eastAsia="sl-SI"/>
              </w:rPr>
              <w:t>kega in</w:t>
            </w:r>
            <w:r w:rsidRPr="00115F14">
              <w:rPr>
                <w:rFonts w:cs="Arial"/>
                <w:szCs w:val="20"/>
                <w:lang w:eastAsia="sl-SI"/>
              </w:rPr>
              <w:t xml:space="preserve"> statusnega vidika v delu, ki se nanaša na ukrepe</w:t>
            </w:r>
            <w:r w:rsidR="005D5B92">
              <w:rPr>
                <w:rFonts w:cs="Arial"/>
                <w:szCs w:val="20"/>
                <w:lang w:eastAsia="sl-SI"/>
              </w:rPr>
              <w:t>,</w:t>
            </w:r>
            <w:r w:rsidRPr="00115F14">
              <w:rPr>
                <w:rFonts w:cs="Arial"/>
                <w:szCs w:val="20"/>
                <w:lang w:eastAsia="sl-SI"/>
              </w:rPr>
              <w:t xml:space="preserve"> potrebne za imenovanje in delovanje nacionalnega predstavnika, njegovega namestnika in pomočnika v Republiki Sloveniji</w:t>
            </w:r>
            <w:r w:rsidR="005D5B92">
              <w:rPr>
                <w:rFonts w:cs="Arial"/>
                <w:szCs w:val="20"/>
                <w:lang w:eastAsia="sl-SI"/>
              </w:rPr>
              <w:t>,</w:t>
            </w:r>
            <w:r w:rsidRPr="00115F14">
              <w:rPr>
                <w:rFonts w:cs="Arial"/>
                <w:szCs w:val="20"/>
                <w:lang w:eastAsia="sl-SI"/>
              </w:rPr>
              <w:t xml:space="preserve"> usklajen s pravnim redom EU.</w:t>
            </w:r>
          </w:p>
          <w:bookmarkEnd w:id="24"/>
          <w:p w:rsidR="00547375" w:rsidRDefault="00547375" w:rsidP="00B644CC">
            <w:pPr>
              <w:jc w:val="both"/>
              <w:rPr>
                <w:szCs w:val="20"/>
              </w:rPr>
            </w:pPr>
          </w:p>
          <w:p w:rsidR="00547375" w:rsidRPr="00C923FF" w:rsidRDefault="00547375" w:rsidP="00547375">
            <w:pPr>
              <w:spacing w:line="288" w:lineRule="auto"/>
              <w:jc w:val="both"/>
              <w:rPr>
                <w:rFonts w:cs="Arial"/>
                <w:b/>
                <w:szCs w:val="20"/>
              </w:rPr>
            </w:pPr>
            <w:r w:rsidRPr="00C923FF">
              <w:rPr>
                <w:rFonts w:cs="Arial"/>
                <w:b/>
                <w:szCs w:val="20"/>
              </w:rPr>
              <w:t>6. PRESOJA POSLEDIC, KI JIH BO IMEL SPREJEM ZAKONA</w:t>
            </w:r>
          </w:p>
          <w:p w:rsidR="00547375" w:rsidRPr="00C923FF" w:rsidRDefault="00547375" w:rsidP="00547375">
            <w:pPr>
              <w:spacing w:line="288" w:lineRule="auto"/>
              <w:jc w:val="both"/>
              <w:rPr>
                <w:rFonts w:cs="Arial"/>
                <w:b/>
                <w:szCs w:val="20"/>
              </w:rPr>
            </w:pPr>
          </w:p>
          <w:p w:rsidR="00547375" w:rsidRDefault="00547375" w:rsidP="00547375">
            <w:pPr>
              <w:spacing w:line="288" w:lineRule="auto"/>
              <w:jc w:val="both"/>
              <w:rPr>
                <w:rFonts w:cs="Arial"/>
                <w:b/>
                <w:szCs w:val="20"/>
              </w:rPr>
            </w:pPr>
            <w:r w:rsidRPr="00C923FF">
              <w:rPr>
                <w:rFonts w:cs="Arial"/>
                <w:b/>
                <w:szCs w:val="20"/>
              </w:rPr>
              <w:t xml:space="preserve">6.1 Presoja administrativnih posledic </w:t>
            </w:r>
          </w:p>
          <w:p w:rsidR="00547375" w:rsidRPr="00C923FF" w:rsidRDefault="00547375" w:rsidP="00547375">
            <w:pPr>
              <w:spacing w:line="288" w:lineRule="auto"/>
              <w:ind w:left="-142"/>
              <w:jc w:val="both"/>
              <w:rPr>
                <w:rFonts w:cs="Arial"/>
                <w:b/>
                <w:szCs w:val="20"/>
              </w:rPr>
            </w:pPr>
          </w:p>
          <w:p w:rsidR="00547375" w:rsidRDefault="00547375" w:rsidP="00547375">
            <w:pPr>
              <w:spacing w:line="288" w:lineRule="auto"/>
              <w:ind w:left="37"/>
              <w:jc w:val="both"/>
              <w:rPr>
                <w:rFonts w:cs="Arial"/>
                <w:b/>
                <w:szCs w:val="20"/>
              </w:rPr>
            </w:pPr>
            <w:r w:rsidRPr="00C923FF">
              <w:rPr>
                <w:rFonts w:cs="Arial"/>
                <w:b/>
                <w:szCs w:val="20"/>
              </w:rPr>
              <w:t xml:space="preserve">a) v postopkih oziroma poslovanju javne uprave ali pravosodnih organov: </w:t>
            </w:r>
          </w:p>
          <w:p w:rsidR="00547375" w:rsidRDefault="00547375" w:rsidP="00547375">
            <w:pPr>
              <w:spacing w:line="288" w:lineRule="auto"/>
              <w:ind w:left="37"/>
              <w:jc w:val="both"/>
              <w:rPr>
                <w:rFonts w:cs="Arial"/>
                <w:b/>
                <w:szCs w:val="20"/>
              </w:rPr>
            </w:pPr>
          </w:p>
          <w:p w:rsidR="00B24032" w:rsidRDefault="00B24032" w:rsidP="00547375">
            <w:pPr>
              <w:spacing w:line="288" w:lineRule="auto"/>
              <w:ind w:left="37"/>
              <w:jc w:val="both"/>
              <w:rPr>
                <w:rFonts w:cs="Arial"/>
                <w:szCs w:val="20"/>
              </w:rPr>
            </w:pPr>
            <w:r w:rsidRPr="00667924">
              <w:rPr>
                <w:rFonts w:cs="Arial"/>
                <w:color w:val="000000" w:themeColor="text1"/>
                <w:szCs w:val="20"/>
              </w:rPr>
              <w:t>Predlog zakona nima pomembnejših posledic za poslovanje javne uprave ali pravosodnih organov</w:t>
            </w:r>
            <w:r>
              <w:rPr>
                <w:rFonts w:cs="Arial"/>
                <w:szCs w:val="20"/>
              </w:rPr>
              <w:t>. Administrativne posledice se bodo kazale zgolj v obliki notranjega poslovanja državnega tožilstva z razporejanju j</w:t>
            </w:r>
            <w:r w:rsidRPr="00115F14">
              <w:rPr>
                <w:szCs w:val="20"/>
              </w:rPr>
              <w:t>avni</w:t>
            </w:r>
            <w:r>
              <w:rPr>
                <w:szCs w:val="20"/>
              </w:rPr>
              <w:t>h</w:t>
            </w:r>
            <w:r w:rsidRPr="00115F14">
              <w:rPr>
                <w:szCs w:val="20"/>
              </w:rPr>
              <w:t xml:space="preserve"> uslužbenc</w:t>
            </w:r>
            <w:r>
              <w:rPr>
                <w:szCs w:val="20"/>
              </w:rPr>
              <w:t>ev, ki bodo</w:t>
            </w:r>
            <w:r w:rsidRPr="00115F14">
              <w:rPr>
                <w:szCs w:val="20"/>
              </w:rPr>
              <w:t xml:space="preserve"> sodel</w:t>
            </w:r>
            <w:r>
              <w:rPr>
                <w:szCs w:val="20"/>
              </w:rPr>
              <w:t xml:space="preserve">ovali </w:t>
            </w:r>
            <w:r w:rsidRPr="00115F14">
              <w:rPr>
                <w:szCs w:val="20"/>
              </w:rPr>
              <w:t>pri opravi nujnih procesnih dejanj</w:t>
            </w:r>
            <w:r w:rsidR="00547375">
              <w:rPr>
                <w:rFonts w:cs="Arial"/>
                <w:szCs w:val="20"/>
              </w:rPr>
              <w:t>.</w:t>
            </w:r>
          </w:p>
          <w:p w:rsidR="008D340F" w:rsidRDefault="008D340F" w:rsidP="00547375">
            <w:pPr>
              <w:spacing w:line="288" w:lineRule="auto"/>
              <w:ind w:left="37"/>
              <w:jc w:val="both"/>
              <w:rPr>
                <w:szCs w:val="20"/>
              </w:rPr>
            </w:pPr>
          </w:p>
          <w:p w:rsidR="00547375" w:rsidRDefault="00547375" w:rsidP="00547375">
            <w:pPr>
              <w:spacing w:line="288" w:lineRule="auto"/>
              <w:ind w:left="37"/>
              <w:jc w:val="both"/>
              <w:rPr>
                <w:szCs w:val="20"/>
              </w:rPr>
            </w:pPr>
            <w:r>
              <w:rPr>
                <w:szCs w:val="20"/>
              </w:rPr>
              <w:t xml:space="preserve">Predlog zakona ne ukinja ali odpravlja administrativnih bremen. </w:t>
            </w:r>
          </w:p>
          <w:p w:rsidR="00547375" w:rsidRDefault="00547375" w:rsidP="00547375">
            <w:pPr>
              <w:spacing w:line="288" w:lineRule="auto"/>
              <w:ind w:left="37"/>
              <w:jc w:val="both"/>
              <w:rPr>
                <w:szCs w:val="20"/>
              </w:rPr>
            </w:pPr>
          </w:p>
          <w:p w:rsidR="00547375" w:rsidRDefault="00547375" w:rsidP="00547375">
            <w:pPr>
              <w:spacing w:line="288" w:lineRule="auto"/>
              <w:ind w:left="37"/>
              <w:jc w:val="both"/>
              <w:rPr>
                <w:szCs w:val="20"/>
              </w:rPr>
            </w:pPr>
            <w:r>
              <w:rPr>
                <w:szCs w:val="20"/>
              </w:rPr>
              <w:t>Predlog zakona ne uvaja novih obveznosti za državljane oziroma druge osebe</w:t>
            </w:r>
            <w:r w:rsidR="000F513B">
              <w:rPr>
                <w:szCs w:val="20"/>
              </w:rPr>
              <w:t>.</w:t>
            </w:r>
          </w:p>
          <w:p w:rsidR="00547375" w:rsidRDefault="00547375" w:rsidP="00547375">
            <w:pPr>
              <w:pStyle w:val="Alineazaodstavkom"/>
              <w:numPr>
                <w:ilvl w:val="0"/>
                <w:numId w:val="0"/>
              </w:numPr>
              <w:spacing w:line="260" w:lineRule="exact"/>
              <w:ind w:left="37"/>
              <w:rPr>
                <w:sz w:val="20"/>
                <w:szCs w:val="20"/>
              </w:rPr>
            </w:pPr>
          </w:p>
          <w:p w:rsidR="00547375" w:rsidRPr="008E238E" w:rsidRDefault="00547375" w:rsidP="00547375">
            <w:pPr>
              <w:pStyle w:val="Alineazaodstavkom"/>
              <w:numPr>
                <w:ilvl w:val="0"/>
                <w:numId w:val="0"/>
              </w:numPr>
              <w:spacing w:line="260" w:lineRule="exact"/>
              <w:ind w:left="37"/>
              <w:rPr>
                <w:sz w:val="20"/>
                <w:szCs w:val="20"/>
              </w:rPr>
            </w:pPr>
            <w:r>
              <w:rPr>
                <w:sz w:val="20"/>
                <w:szCs w:val="20"/>
              </w:rPr>
              <w:t>Predlog zakona ne predvideva ustanovitve novih organov, reorganizacije ali ukinitve obstoječih organov.</w:t>
            </w:r>
          </w:p>
          <w:p w:rsidR="00547375" w:rsidRDefault="00547375" w:rsidP="00547375">
            <w:pPr>
              <w:pStyle w:val="Alineazaodstavkom"/>
              <w:numPr>
                <w:ilvl w:val="0"/>
                <w:numId w:val="0"/>
              </w:numPr>
              <w:spacing w:line="260" w:lineRule="exact"/>
              <w:ind w:left="37"/>
              <w:rPr>
                <w:sz w:val="20"/>
                <w:szCs w:val="20"/>
              </w:rPr>
            </w:pPr>
          </w:p>
          <w:p w:rsidR="00547375" w:rsidRPr="008D41C2" w:rsidRDefault="00547375" w:rsidP="00547375">
            <w:pPr>
              <w:pStyle w:val="Alineazaodstavkom"/>
              <w:numPr>
                <w:ilvl w:val="0"/>
                <w:numId w:val="0"/>
              </w:numPr>
              <w:spacing w:line="260" w:lineRule="exact"/>
              <w:ind w:left="37"/>
              <w:rPr>
                <w:b/>
                <w:i/>
                <w:sz w:val="20"/>
                <w:szCs w:val="20"/>
              </w:rPr>
            </w:pPr>
            <w:r w:rsidRPr="008D41C2">
              <w:rPr>
                <w:sz w:val="20"/>
                <w:szCs w:val="20"/>
              </w:rPr>
              <w:t>Zaradi izvajanja zakona bodo potrebne nove zaposlitve</w:t>
            </w:r>
            <w:r>
              <w:rPr>
                <w:b/>
                <w:i/>
                <w:sz w:val="20"/>
                <w:szCs w:val="20"/>
              </w:rPr>
              <w:t xml:space="preserve">, </w:t>
            </w:r>
            <w:r>
              <w:rPr>
                <w:sz w:val="20"/>
                <w:szCs w:val="20"/>
              </w:rPr>
              <w:t>usposabljanja ter finančna in materialna sredstva.</w:t>
            </w:r>
          </w:p>
          <w:p w:rsidR="00547375" w:rsidRPr="00C923FF" w:rsidRDefault="00547375" w:rsidP="00547375">
            <w:pPr>
              <w:spacing w:line="288" w:lineRule="auto"/>
              <w:ind w:left="37"/>
              <w:jc w:val="both"/>
              <w:rPr>
                <w:rFonts w:cs="Arial"/>
                <w:szCs w:val="20"/>
              </w:rPr>
            </w:pPr>
          </w:p>
          <w:p w:rsidR="00547375" w:rsidRDefault="00547375" w:rsidP="00547375">
            <w:pPr>
              <w:spacing w:line="288" w:lineRule="auto"/>
              <w:ind w:left="37"/>
              <w:jc w:val="both"/>
              <w:rPr>
                <w:rFonts w:cs="Arial"/>
                <w:b/>
                <w:szCs w:val="20"/>
              </w:rPr>
            </w:pPr>
            <w:r>
              <w:rPr>
                <w:rFonts w:cs="Arial"/>
                <w:b/>
                <w:szCs w:val="20"/>
              </w:rPr>
              <w:t xml:space="preserve">b) </w:t>
            </w:r>
            <w:r w:rsidRPr="00C923FF">
              <w:rPr>
                <w:rFonts w:cs="Arial"/>
                <w:b/>
                <w:szCs w:val="20"/>
              </w:rPr>
              <w:t>pri obveznostih strank do javne uprave ali pravosodnih organov:</w:t>
            </w:r>
          </w:p>
          <w:p w:rsidR="00547375" w:rsidRDefault="00547375" w:rsidP="00547375">
            <w:pPr>
              <w:spacing w:line="288" w:lineRule="auto"/>
              <w:ind w:left="37"/>
              <w:jc w:val="both"/>
              <w:rPr>
                <w:rFonts w:cs="Arial"/>
                <w:b/>
                <w:szCs w:val="20"/>
              </w:rPr>
            </w:pPr>
          </w:p>
          <w:p w:rsidR="00547375" w:rsidRDefault="00547375" w:rsidP="00547375">
            <w:pPr>
              <w:spacing w:line="288" w:lineRule="auto"/>
              <w:ind w:left="37"/>
              <w:jc w:val="both"/>
              <w:rPr>
                <w:rFonts w:cs="Arial"/>
                <w:szCs w:val="20"/>
              </w:rPr>
            </w:pPr>
            <w:r w:rsidRPr="00C923FF">
              <w:rPr>
                <w:rFonts w:cs="Arial"/>
                <w:szCs w:val="20"/>
              </w:rPr>
              <w:t xml:space="preserve">Določbe predloga zakona ne prinašajo </w:t>
            </w:r>
            <w:r>
              <w:rPr>
                <w:rFonts w:cs="Arial"/>
                <w:szCs w:val="20"/>
              </w:rPr>
              <w:t xml:space="preserve">administrativnih posledic za obveznosti strank. </w:t>
            </w:r>
          </w:p>
          <w:p w:rsidR="00547375" w:rsidRDefault="00547375" w:rsidP="00547375">
            <w:pPr>
              <w:spacing w:line="288" w:lineRule="auto"/>
              <w:ind w:left="37"/>
              <w:jc w:val="both"/>
              <w:rPr>
                <w:rFonts w:cs="Arial"/>
                <w:szCs w:val="20"/>
              </w:rPr>
            </w:pPr>
          </w:p>
          <w:p w:rsidR="00547375" w:rsidRDefault="00547375" w:rsidP="00547375">
            <w:pPr>
              <w:spacing w:line="288" w:lineRule="auto"/>
              <w:ind w:left="37"/>
              <w:jc w:val="both"/>
              <w:rPr>
                <w:rFonts w:cs="Arial"/>
                <w:szCs w:val="20"/>
              </w:rPr>
            </w:pPr>
            <w:r w:rsidRPr="008D41C2">
              <w:rPr>
                <w:rFonts w:cs="Arial"/>
                <w:szCs w:val="20"/>
              </w:rPr>
              <w:t>Predlog zakona ne predvideva povečanja stroškov strank ali njihove razbremenitve.</w:t>
            </w:r>
          </w:p>
          <w:p w:rsidR="00547375" w:rsidRDefault="00547375" w:rsidP="00547375">
            <w:pPr>
              <w:spacing w:line="288" w:lineRule="auto"/>
              <w:ind w:left="37"/>
              <w:jc w:val="both"/>
              <w:rPr>
                <w:rFonts w:cs="Arial"/>
                <w:szCs w:val="20"/>
              </w:rPr>
            </w:pPr>
          </w:p>
          <w:p w:rsidR="00547375" w:rsidRDefault="00547375" w:rsidP="00547375">
            <w:pPr>
              <w:spacing w:line="288" w:lineRule="auto"/>
              <w:ind w:left="37"/>
              <w:jc w:val="both"/>
              <w:rPr>
                <w:rFonts w:cs="Arial"/>
                <w:szCs w:val="20"/>
              </w:rPr>
            </w:pPr>
            <w:r w:rsidRPr="008D41C2">
              <w:rPr>
                <w:rFonts w:cs="Arial"/>
                <w:szCs w:val="20"/>
              </w:rPr>
              <w:t>Predlog zakona ne vpliva na čas urejanja zadev strank.</w:t>
            </w:r>
          </w:p>
          <w:p w:rsidR="00547375" w:rsidRPr="00C923FF" w:rsidRDefault="00547375" w:rsidP="00547375">
            <w:pPr>
              <w:spacing w:line="288" w:lineRule="auto"/>
              <w:ind w:left="37"/>
              <w:jc w:val="both"/>
              <w:rPr>
                <w:rFonts w:cs="Arial"/>
                <w:szCs w:val="20"/>
              </w:rPr>
            </w:pPr>
          </w:p>
          <w:p w:rsidR="00547375" w:rsidRPr="00C923FF" w:rsidRDefault="00547375" w:rsidP="00547375">
            <w:pPr>
              <w:spacing w:line="288" w:lineRule="auto"/>
              <w:ind w:left="37"/>
              <w:jc w:val="both"/>
              <w:rPr>
                <w:rFonts w:cs="Arial"/>
                <w:b/>
                <w:szCs w:val="20"/>
              </w:rPr>
            </w:pPr>
            <w:r w:rsidRPr="00C923FF">
              <w:rPr>
                <w:rFonts w:cs="Arial"/>
                <w:b/>
                <w:szCs w:val="20"/>
              </w:rPr>
              <w:t>6.2 Presoja posledic za okolje, vključno s prostorskimi in varstvenimi vidiki, in sicer za:</w:t>
            </w:r>
          </w:p>
          <w:p w:rsidR="00547375" w:rsidRPr="00C923FF" w:rsidRDefault="00547375" w:rsidP="00547375">
            <w:pPr>
              <w:spacing w:line="288" w:lineRule="auto"/>
              <w:ind w:left="37"/>
              <w:jc w:val="both"/>
              <w:rPr>
                <w:rFonts w:cs="Arial"/>
                <w:szCs w:val="20"/>
              </w:rPr>
            </w:pPr>
          </w:p>
          <w:p w:rsidR="00547375" w:rsidRPr="00C923FF" w:rsidRDefault="00547375" w:rsidP="00547375">
            <w:pPr>
              <w:spacing w:line="288" w:lineRule="auto"/>
              <w:ind w:left="37" w:right="284"/>
              <w:jc w:val="both"/>
              <w:rPr>
                <w:rFonts w:cs="Arial"/>
                <w:szCs w:val="20"/>
              </w:rPr>
            </w:pPr>
            <w:r w:rsidRPr="00C923FF">
              <w:rPr>
                <w:rFonts w:cs="Arial"/>
                <w:szCs w:val="20"/>
              </w:rPr>
              <w:t>Določbe predloga zakona ne prinašajo posledic za okolje, vključno s prostorskimi in varstvenimi vidiki.</w:t>
            </w:r>
          </w:p>
          <w:p w:rsidR="00547375" w:rsidRPr="00C923FF" w:rsidRDefault="00547375" w:rsidP="00547375">
            <w:pPr>
              <w:spacing w:line="288" w:lineRule="auto"/>
              <w:ind w:left="37"/>
              <w:jc w:val="both"/>
              <w:rPr>
                <w:rFonts w:cs="Arial"/>
                <w:szCs w:val="20"/>
              </w:rPr>
            </w:pPr>
          </w:p>
          <w:p w:rsidR="00547375" w:rsidRPr="00C923FF" w:rsidRDefault="00547375" w:rsidP="00547375">
            <w:pPr>
              <w:spacing w:line="288" w:lineRule="auto"/>
              <w:ind w:left="37"/>
              <w:jc w:val="both"/>
              <w:rPr>
                <w:rFonts w:cs="Arial"/>
                <w:b/>
                <w:szCs w:val="20"/>
              </w:rPr>
            </w:pPr>
            <w:r w:rsidRPr="00C923FF">
              <w:rPr>
                <w:rFonts w:cs="Arial"/>
                <w:b/>
                <w:szCs w:val="20"/>
              </w:rPr>
              <w:t>6.3 Presoja posledic za gospodarstvo, in sicer za:</w:t>
            </w:r>
          </w:p>
          <w:p w:rsidR="00547375" w:rsidRPr="00C923FF" w:rsidRDefault="00547375" w:rsidP="00547375">
            <w:pPr>
              <w:spacing w:line="288" w:lineRule="auto"/>
              <w:ind w:left="37"/>
              <w:jc w:val="both"/>
              <w:rPr>
                <w:rFonts w:cs="Arial"/>
                <w:szCs w:val="20"/>
              </w:rPr>
            </w:pPr>
          </w:p>
          <w:p w:rsidR="00547375" w:rsidRPr="00C923FF" w:rsidRDefault="00547375" w:rsidP="00547375">
            <w:pPr>
              <w:spacing w:line="288" w:lineRule="auto"/>
              <w:ind w:left="37"/>
              <w:jc w:val="both"/>
              <w:rPr>
                <w:rFonts w:cs="Arial"/>
                <w:szCs w:val="20"/>
              </w:rPr>
            </w:pPr>
            <w:r w:rsidRPr="00C923FF">
              <w:rPr>
                <w:rFonts w:cs="Arial"/>
                <w:szCs w:val="20"/>
              </w:rPr>
              <w:t>Določbe predloga zakona ne prinašajo posledic za gospodarstvo.</w:t>
            </w:r>
          </w:p>
          <w:p w:rsidR="00547375" w:rsidRPr="00C923FF" w:rsidRDefault="00547375" w:rsidP="00547375">
            <w:pPr>
              <w:spacing w:line="288" w:lineRule="auto"/>
              <w:ind w:left="37"/>
              <w:jc w:val="both"/>
              <w:rPr>
                <w:rFonts w:cs="Arial"/>
                <w:szCs w:val="20"/>
              </w:rPr>
            </w:pPr>
          </w:p>
          <w:p w:rsidR="00547375" w:rsidRPr="00C923FF" w:rsidRDefault="00547375" w:rsidP="00547375">
            <w:pPr>
              <w:spacing w:line="288" w:lineRule="auto"/>
              <w:ind w:left="37"/>
              <w:jc w:val="both"/>
              <w:rPr>
                <w:rFonts w:cs="Arial"/>
                <w:b/>
                <w:szCs w:val="20"/>
              </w:rPr>
            </w:pPr>
            <w:r w:rsidRPr="00C923FF">
              <w:rPr>
                <w:rFonts w:cs="Arial"/>
                <w:b/>
                <w:szCs w:val="20"/>
              </w:rPr>
              <w:t>6.4 Presoja posledic za socialno področje, in sicer za:</w:t>
            </w:r>
          </w:p>
          <w:p w:rsidR="00547375" w:rsidRDefault="00547375" w:rsidP="008D340F">
            <w:pPr>
              <w:spacing w:line="288" w:lineRule="auto"/>
              <w:jc w:val="both"/>
              <w:rPr>
                <w:rFonts w:cs="Arial"/>
                <w:szCs w:val="20"/>
              </w:rPr>
            </w:pPr>
          </w:p>
          <w:p w:rsidR="008D340F" w:rsidRPr="00C923FF" w:rsidRDefault="008D340F" w:rsidP="008D340F">
            <w:pPr>
              <w:spacing w:line="288" w:lineRule="auto"/>
              <w:ind w:left="37"/>
              <w:jc w:val="both"/>
              <w:rPr>
                <w:rFonts w:cs="Arial"/>
                <w:szCs w:val="20"/>
              </w:rPr>
            </w:pPr>
            <w:r w:rsidRPr="00C923FF">
              <w:rPr>
                <w:rFonts w:cs="Arial"/>
                <w:szCs w:val="20"/>
              </w:rPr>
              <w:t xml:space="preserve">Določbe predloga zakona ne prinašajo posledic za </w:t>
            </w:r>
            <w:r>
              <w:rPr>
                <w:rFonts w:cs="Arial"/>
                <w:szCs w:val="20"/>
              </w:rPr>
              <w:t>socialno področje</w:t>
            </w:r>
            <w:r w:rsidRPr="00C923FF">
              <w:rPr>
                <w:rFonts w:cs="Arial"/>
                <w:szCs w:val="20"/>
              </w:rPr>
              <w:t>.</w:t>
            </w:r>
          </w:p>
          <w:p w:rsidR="008D340F" w:rsidRPr="00C923FF" w:rsidRDefault="008D340F" w:rsidP="008D340F">
            <w:pPr>
              <w:spacing w:line="288" w:lineRule="auto"/>
              <w:jc w:val="both"/>
              <w:rPr>
                <w:rFonts w:cs="Arial"/>
                <w:szCs w:val="20"/>
              </w:rPr>
            </w:pPr>
          </w:p>
          <w:p w:rsidR="00547375" w:rsidRPr="00C923FF" w:rsidRDefault="00547375" w:rsidP="00547375">
            <w:pPr>
              <w:spacing w:line="288" w:lineRule="auto"/>
              <w:ind w:left="37"/>
              <w:jc w:val="both"/>
              <w:rPr>
                <w:rFonts w:cs="Arial"/>
                <w:b/>
                <w:szCs w:val="20"/>
              </w:rPr>
            </w:pPr>
            <w:r w:rsidRPr="00C923FF">
              <w:rPr>
                <w:rFonts w:cs="Arial"/>
                <w:b/>
                <w:szCs w:val="20"/>
              </w:rPr>
              <w:t>6.5 Presoja posledic za dokumente razvojnega načrtovanja, in sicer za:</w:t>
            </w:r>
          </w:p>
          <w:p w:rsidR="00547375" w:rsidRPr="00C923FF" w:rsidRDefault="00547375" w:rsidP="00547375">
            <w:pPr>
              <w:spacing w:line="288" w:lineRule="auto"/>
              <w:ind w:left="37"/>
              <w:jc w:val="both"/>
              <w:rPr>
                <w:rFonts w:cs="Arial"/>
                <w:szCs w:val="20"/>
              </w:rPr>
            </w:pPr>
          </w:p>
          <w:p w:rsidR="00547375" w:rsidRPr="00C923FF" w:rsidRDefault="00547375" w:rsidP="00547375">
            <w:pPr>
              <w:spacing w:line="288" w:lineRule="auto"/>
              <w:ind w:left="37"/>
              <w:jc w:val="both"/>
              <w:rPr>
                <w:rFonts w:cs="Arial"/>
                <w:szCs w:val="20"/>
              </w:rPr>
            </w:pPr>
            <w:r w:rsidRPr="00C923FF">
              <w:rPr>
                <w:rFonts w:cs="Arial"/>
                <w:szCs w:val="20"/>
              </w:rPr>
              <w:t xml:space="preserve">Določbe predloga zakona ne prinašajo posledic za dokumente razvojnega načrtovanja. </w:t>
            </w:r>
          </w:p>
          <w:p w:rsidR="00547375" w:rsidRPr="00C923FF" w:rsidRDefault="00547375" w:rsidP="00547375">
            <w:pPr>
              <w:spacing w:line="288" w:lineRule="auto"/>
              <w:ind w:left="37"/>
              <w:jc w:val="both"/>
              <w:rPr>
                <w:rFonts w:cs="Arial"/>
                <w:szCs w:val="20"/>
              </w:rPr>
            </w:pPr>
          </w:p>
          <w:p w:rsidR="00547375" w:rsidRPr="00C923FF" w:rsidRDefault="00547375" w:rsidP="00547375">
            <w:pPr>
              <w:spacing w:line="288" w:lineRule="auto"/>
              <w:ind w:left="37"/>
              <w:jc w:val="both"/>
              <w:rPr>
                <w:rFonts w:cs="Arial"/>
                <w:b/>
                <w:szCs w:val="20"/>
              </w:rPr>
            </w:pPr>
            <w:r w:rsidRPr="00C923FF">
              <w:rPr>
                <w:rFonts w:cs="Arial"/>
                <w:b/>
                <w:szCs w:val="20"/>
              </w:rPr>
              <w:t>6.6 Presoja posledic za druga področja</w:t>
            </w:r>
          </w:p>
          <w:p w:rsidR="00547375" w:rsidRDefault="00547375" w:rsidP="00547375">
            <w:pPr>
              <w:pStyle w:val="Alineazaodstavkom"/>
              <w:numPr>
                <w:ilvl w:val="0"/>
                <w:numId w:val="0"/>
              </w:numPr>
              <w:spacing w:line="260" w:lineRule="exact"/>
              <w:ind w:left="37"/>
              <w:rPr>
                <w:sz w:val="20"/>
                <w:szCs w:val="20"/>
              </w:rPr>
            </w:pPr>
          </w:p>
          <w:p w:rsidR="00547375" w:rsidRPr="00084A2C" w:rsidRDefault="00547375" w:rsidP="00547375">
            <w:pPr>
              <w:pStyle w:val="Alineazaodstavkom"/>
              <w:numPr>
                <w:ilvl w:val="0"/>
                <w:numId w:val="0"/>
              </w:numPr>
              <w:spacing w:line="260" w:lineRule="exact"/>
              <w:ind w:left="37"/>
              <w:rPr>
                <w:sz w:val="20"/>
                <w:szCs w:val="20"/>
              </w:rPr>
            </w:pPr>
            <w:r>
              <w:rPr>
                <w:sz w:val="20"/>
                <w:szCs w:val="20"/>
              </w:rPr>
              <w:t>Določbe predloga zakona ne prinašajo posledic za druga področja.</w:t>
            </w:r>
          </w:p>
          <w:p w:rsidR="00547375" w:rsidRPr="00C923FF" w:rsidRDefault="00547375" w:rsidP="00547375">
            <w:pPr>
              <w:spacing w:line="288" w:lineRule="auto"/>
              <w:ind w:left="37"/>
              <w:jc w:val="both"/>
              <w:rPr>
                <w:rFonts w:cs="Arial"/>
                <w:szCs w:val="20"/>
              </w:rPr>
            </w:pPr>
          </w:p>
          <w:p w:rsidR="00547375" w:rsidRPr="00C923FF" w:rsidRDefault="00547375" w:rsidP="00547375">
            <w:pPr>
              <w:spacing w:line="288" w:lineRule="auto"/>
              <w:ind w:left="37"/>
              <w:jc w:val="both"/>
              <w:rPr>
                <w:rFonts w:cs="Arial"/>
                <w:b/>
                <w:szCs w:val="20"/>
              </w:rPr>
            </w:pPr>
            <w:r w:rsidRPr="00C923FF">
              <w:rPr>
                <w:rFonts w:cs="Arial"/>
                <w:b/>
                <w:szCs w:val="20"/>
              </w:rPr>
              <w:t>6.7 Izvajanje sprejetega predpisa:</w:t>
            </w:r>
          </w:p>
          <w:p w:rsidR="00547375" w:rsidRPr="00C923FF" w:rsidRDefault="00547375" w:rsidP="00547375">
            <w:pPr>
              <w:spacing w:line="288" w:lineRule="auto"/>
              <w:ind w:left="37"/>
              <w:jc w:val="both"/>
              <w:rPr>
                <w:rFonts w:cs="Arial"/>
                <w:szCs w:val="20"/>
              </w:rPr>
            </w:pPr>
          </w:p>
          <w:p w:rsidR="00547375" w:rsidRPr="00C923FF" w:rsidRDefault="00547375" w:rsidP="00547375">
            <w:pPr>
              <w:numPr>
                <w:ilvl w:val="0"/>
                <w:numId w:val="39"/>
              </w:numPr>
              <w:spacing w:line="288" w:lineRule="auto"/>
              <w:ind w:left="37"/>
              <w:jc w:val="both"/>
              <w:rPr>
                <w:rFonts w:cs="Arial"/>
                <w:b/>
                <w:szCs w:val="20"/>
              </w:rPr>
            </w:pPr>
            <w:r w:rsidRPr="00C923FF">
              <w:rPr>
                <w:rFonts w:cs="Arial"/>
                <w:b/>
                <w:szCs w:val="20"/>
              </w:rPr>
              <w:t>Predstavitev sprejetega zakona:</w:t>
            </w:r>
          </w:p>
          <w:p w:rsidR="00547375" w:rsidRDefault="00547375" w:rsidP="00547375">
            <w:pPr>
              <w:spacing w:line="288" w:lineRule="auto"/>
              <w:ind w:left="37"/>
              <w:jc w:val="both"/>
              <w:rPr>
                <w:szCs w:val="20"/>
              </w:rPr>
            </w:pPr>
          </w:p>
          <w:p w:rsidR="00547375" w:rsidRDefault="00547375" w:rsidP="00547375">
            <w:pPr>
              <w:spacing w:line="288" w:lineRule="auto"/>
              <w:ind w:left="37"/>
              <w:jc w:val="both"/>
              <w:rPr>
                <w:szCs w:val="20"/>
              </w:rPr>
            </w:pPr>
            <w:r>
              <w:rPr>
                <w:szCs w:val="20"/>
              </w:rPr>
              <w:t>Sprejeti zakon bo v skladu z ustaljeno prakso predstavljen državnim tožilcem na usposabljanjih, ki jih organizira Center za izobraževanje v pravosodju.</w:t>
            </w:r>
          </w:p>
          <w:p w:rsidR="00547375" w:rsidRPr="00C923FF" w:rsidRDefault="00547375" w:rsidP="00547375">
            <w:pPr>
              <w:spacing w:line="288" w:lineRule="auto"/>
              <w:ind w:left="37"/>
              <w:jc w:val="both"/>
              <w:rPr>
                <w:rFonts w:cs="Arial"/>
                <w:szCs w:val="20"/>
              </w:rPr>
            </w:pPr>
          </w:p>
          <w:p w:rsidR="00547375" w:rsidRPr="00C923FF" w:rsidRDefault="00547375" w:rsidP="00547375">
            <w:pPr>
              <w:numPr>
                <w:ilvl w:val="0"/>
                <w:numId w:val="39"/>
              </w:numPr>
              <w:spacing w:line="288" w:lineRule="auto"/>
              <w:ind w:left="37"/>
              <w:jc w:val="both"/>
              <w:rPr>
                <w:rFonts w:cs="Arial"/>
                <w:b/>
                <w:szCs w:val="20"/>
              </w:rPr>
            </w:pPr>
            <w:r w:rsidRPr="00C923FF">
              <w:rPr>
                <w:rFonts w:cs="Arial"/>
                <w:b/>
                <w:szCs w:val="20"/>
              </w:rPr>
              <w:t>Spremljanje izvajanja sprejetega predpisa:</w:t>
            </w:r>
          </w:p>
          <w:p w:rsidR="00547375" w:rsidRPr="00C923FF" w:rsidRDefault="00547375" w:rsidP="00547375">
            <w:pPr>
              <w:spacing w:line="288" w:lineRule="auto"/>
              <w:ind w:left="37"/>
              <w:jc w:val="both"/>
              <w:rPr>
                <w:rFonts w:cs="Arial"/>
                <w:szCs w:val="20"/>
              </w:rPr>
            </w:pPr>
          </w:p>
          <w:p w:rsidR="00547375" w:rsidRPr="00C923FF" w:rsidRDefault="00547375" w:rsidP="00547375">
            <w:pPr>
              <w:spacing w:line="288" w:lineRule="auto"/>
              <w:ind w:left="37"/>
              <w:jc w:val="both"/>
              <w:rPr>
                <w:rFonts w:cs="Arial"/>
                <w:szCs w:val="20"/>
              </w:rPr>
            </w:pPr>
            <w:r w:rsidRPr="00C923FF">
              <w:rPr>
                <w:rFonts w:cs="Arial"/>
                <w:szCs w:val="20"/>
              </w:rPr>
              <w:t>Ministrstvo za pravosodje bo v skladu s svojimi pristojnostmi spremljalo izvajanje</w:t>
            </w:r>
            <w:r>
              <w:rPr>
                <w:rFonts w:cs="Arial"/>
                <w:szCs w:val="20"/>
              </w:rPr>
              <w:t xml:space="preserve"> Uredbe </w:t>
            </w:r>
            <w:r w:rsidR="008D340F" w:rsidRPr="00115F14">
              <w:rPr>
                <w:rFonts w:eastAsia="Calibri" w:cs="Arial"/>
                <w:szCs w:val="20"/>
              </w:rPr>
              <w:t>2018/1727/EU</w:t>
            </w:r>
            <w:r w:rsidR="008D340F">
              <w:rPr>
                <w:rFonts w:eastAsia="Calibri" w:cs="Arial"/>
                <w:szCs w:val="20"/>
              </w:rPr>
              <w:t xml:space="preserve"> </w:t>
            </w:r>
            <w:r>
              <w:rPr>
                <w:rFonts w:cs="Arial"/>
                <w:szCs w:val="20"/>
              </w:rPr>
              <w:t>v praksi</w:t>
            </w:r>
            <w:r w:rsidR="008316DB">
              <w:rPr>
                <w:rFonts w:cs="Arial"/>
                <w:szCs w:val="20"/>
              </w:rPr>
              <w:t>.</w:t>
            </w:r>
          </w:p>
          <w:p w:rsidR="008D340F" w:rsidRPr="00C923FF" w:rsidRDefault="008D340F" w:rsidP="008D340F">
            <w:pPr>
              <w:spacing w:line="288" w:lineRule="auto"/>
              <w:jc w:val="both"/>
              <w:rPr>
                <w:rFonts w:cs="Arial"/>
                <w:szCs w:val="20"/>
              </w:rPr>
            </w:pPr>
          </w:p>
          <w:p w:rsidR="00547375" w:rsidRPr="00C923FF" w:rsidRDefault="00547375" w:rsidP="00547375">
            <w:pPr>
              <w:spacing w:line="288" w:lineRule="auto"/>
              <w:ind w:left="37"/>
              <w:jc w:val="both"/>
              <w:rPr>
                <w:rFonts w:cs="Arial"/>
                <w:szCs w:val="20"/>
              </w:rPr>
            </w:pPr>
            <w:r w:rsidRPr="00C923FF">
              <w:rPr>
                <w:rFonts w:cs="Arial"/>
                <w:szCs w:val="20"/>
              </w:rPr>
              <w:t>Glede na vsebino predloga zakona ne bo potrebna priprava poročil. Če bodo v praksi ugotovljene pomanjkljivosti predlaganih določb, bo Ministrstvo za pravosodje to ugotovilo v sodelovanju s pristojnimi organi.</w:t>
            </w:r>
          </w:p>
          <w:p w:rsidR="00547375" w:rsidRPr="00C923FF" w:rsidRDefault="00547375" w:rsidP="00547375">
            <w:pPr>
              <w:spacing w:line="288" w:lineRule="auto"/>
              <w:ind w:left="37"/>
              <w:jc w:val="both"/>
              <w:rPr>
                <w:rFonts w:cs="Arial"/>
                <w:szCs w:val="20"/>
              </w:rPr>
            </w:pPr>
          </w:p>
          <w:p w:rsidR="00547375" w:rsidRPr="00C923FF" w:rsidRDefault="00547375" w:rsidP="00547375">
            <w:pPr>
              <w:spacing w:line="288" w:lineRule="auto"/>
              <w:ind w:left="37"/>
              <w:jc w:val="both"/>
              <w:rPr>
                <w:rFonts w:cs="Arial"/>
                <w:szCs w:val="20"/>
              </w:rPr>
            </w:pPr>
            <w:r>
              <w:rPr>
                <w:rFonts w:cs="Arial"/>
                <w:szCs w:val="20"/>
              </w:rPr>
              <w:t>Upoštevaje statusno in organizacijsko</w:t>
            </w:r>
            <w:r w:rsidRPr="00C923FF">
              <w:rPr>
                <w:rFonts w:cs="Arial"/>
                <w:szCs w:val="20"/>
              </w:rPr>
              <w:t xml:space="preserve"> vsebino predloga</w:t>
            </w:r>
            <w:r>
              <w:rPr>
                <w:rFonts w:cs="Arial"/>
                <w:szCs w:val="20"/>
              </w:rPr>
              <w:t xml:space="preserve"> zakona</w:t>
            </w:r>
            <w:r w:rsidRPr="00C923FF">
              <w:rPr>
                <w:rFonts w:cs="Arial"/>
                <w:szCs w:val="20"/>
              </w:rPr>
              <w:t>, poročila o izvajanju zakona in doseženih ciljih niso potrebna.</w:t>
            </w:r>
          </w:p>
          <w:p w:rsidR="00547375" w:rsidRPr="00C923FF" w:rsidRDefault="00547375" w:rsidP="00547375">
            <w:pPr>
              <w:spacing w:line="288" w:lineRule="auto"/>
              <w:ind w:left="37"/>
              <w:jc w:val="both"/>
              <w:rPr>
                <w:rFonts w:cs="Arial"/>
                <w:szCs w:val="20"/>
              </w:rPr>
            </w:pPr>
          </w:p>
          <w:p w:rsidR="00547375" w:rsidRPr="00C923FF" w:rsidRDefault="00547375" w:rsidP="00547375">
            <w:pPr>
              <w:spacing w:line="288" w:lineRule="auto"/>
              <w:ind w:left="37"/>
              <w:jc w:val="both"/>
              <w:rPr>
                <w:rFonts w:cs="Arial"/>
                <w:b/>
                <w:szCs w:val="20"/>
              </w:rPr>
            </w:pPr>
            <w:r w:rsidRPr="00C923FF">
              <w:rPr>
                <w:rFonts w:cs="Arial"/>
                <w:b/>
                <w:szCs w:val="20"/>
              </w:rPr>
              <w:t>6.8 Druge pomembne okoliščine v zvezi z vprašanji, ki jih ureja predlog zakona</w:t>
            </w:r>
          </w:p>
          <w:p w:rsidR="00547375" w:rsidRPr="00C923FF" w:rsidRDefault="00547375" w:rsidP="00547375">
            <w:pPr>
              <w:spacing w:line="288" w:lineRule="auto"/>
              <w:ind w:left="37"/>
              <w:jc w:val="both"/>
              <w:rPr>
                <w:rFonts w:cs="Arial"/>
                <w:szCs w:val="20"/>
              </w:rPr>
            </w:pPr>
          </w:p>
          <w:p w:rsidR="00547375" w:rsidRPr="00C923FF" w:rsidRDefault="00547375" w:rsidP="00547375">
            <w:pPr>
              <w:spacing w:line="288" w:lineRule="auto"/>
              <w:ind w:left="37"/>
              <w:jc w:val="both"/>
              <w:rPr>
                <w:rFonts w:cs="Arial"/>
                <w:b/>
                <w:szCs w:val="20"/>
              </w:rPr>
            </w:pPr>
            <w:r w:rsidRPr="00C923FF">
              <w:rPr>
                <w:rFonts w:cs="Arial"/>
                <w:b/>
                <w:szCs w:val="20"/>
              </w:rPr>
              <w:t>7. PRIKAZ SODELOVANJA JAVNOSTI PRI PRIPRAVI PREDLOGA ZAKONA:</w:t>
            </w:r>
          </w:p>
          <w:p w:rsidR="00547375" w:rsidRPr="00C923FF" w:rsidRDefault="00547375" w:rsidP="00547375">
            <w:pPr>
              <w:spacing w:line="288" w:lineRule="auto"/>
              <w:ind w:left="37"/>
              <w:jc w:val="both"/>
              <w:rPr>
                <w:rFonts w:cs="Arial"/>
                <w:szCs w:val="20"/>
              </w:rPr>
            </w:pPr>
          </w:p>
          <w:p w:rsidR="008D340F" w:rsidRDefault="008D340F" w:rsidP="008D340F">
            <w:pPr>
              <w:widowControl w:val="0"/>
              <w:overflowPunct w:val="0"/>
              <w:autoSpaceDE w:val="0"/>
              <w:autoSpaceDN w:val="0"/>
              <w:adjustRightInd w:val="0"/>
              <w:spacing w:line="288" w:lineRule="auto"/>
              <w:jc w:val="both"/>
              <w:textAlignment w:val="baseline"/>
              <w:rPr>
                <w:rFonts w:cs="Arial"/>
                <w:iCs/>
                <w:szCs w:val="20"/>
                <w:lang w:eastAsia="sl-SI"/>
              </w:rPr>
            </w:pPr>
            <w:r w:rsidRPr="009809C0">
              <w:rPr>
                <w:rFonts w:cs="Arial"/>
                <w:iCs/>
                <w:szCs w:val="20"/>
                <w:lang w:eastAsia="sl-SI"/>
              </w:rPr>
              <w:t xml:space="preserve">V </w:t>
            </w:r>
            <w:r>
              <w:rPr>
                <w:rFonts w:cs="Arial"/>
                <w:iCs/>
                <w:szCs w:val="20"/>
                <w:lang w:eastAsia="sl-SI"/>
              </w:rPr>
              <w:t xml:space="preserve">strokovno razpravo glede predlaganih rešitev </w:t>
            </w:r>
            <w:r w:rsidRPr="009809C0">
              <w:rPr>
                <w:rFonts w:cs="Arial"/>
                <w:iCs/>
                <w:szCs w:val="20"/>
                <w:lang w:eastAsia="sl-SI"/>
              </w:rPr>
              <w:t xml:space="preserve">so bili vključeni </w:t>
            </w:r>
            <w:r>
              <w:rPr>
                <w:rFonts w:cs="Arial"/>
                <w:iCs/>
                <w:szCs w:val="20"/>
                <w:lang w:eastAsia="sl-SI"/>
              </w:rPr>
              <w:t xml:space="preserve">Vrhovno državno tožilstvo, </w:t>
            </w:r>
            <w:proofErr w:type="spellStart"/>
            <w:r>
              <w:rPr>
                <w:rFonts w:cs="Arial"/>
                <w:iCs/>
                <w:szCs w:val="20"/>
                <w:lang w:eastAsia="sl-SI"/>
              </w:rPr>
              <w:t>Državnotožilski</w:t>
            </w:r>
            <w:proofErr w:type="spellEnd"/>
            <w:r>
              <w:rPr>
                <w:rFonts w:cs="Arial"/>
                <w:iCs/>
                <w:szCs w:val="20"/>
                <w:lang w:eastAsia="sl-SI"/>
              </w:rPr>
              <w:t xml:space="preserve"> svet, Društvo državnih tožilcev Slovenije in Sindikat delavcev v pravosodju.</w:t>
            </w:r>
          </w:p>
          <w:p w:rsidR="008D340F" w:rsidRDefault="008D340F" w:rsidP="008D340F">
            <w:pPr>
              <w:widowControl w:val="0"/>
              <w:overflowPunct w:val="0"/>
              <w:autoSpaceDE w:val="0"/>
              <w:autoSpaceDN w:val="0"/>
              <w:adjustRightInd w:val="0"/>
              <w:spacing w:line="288" w:lineRule="auto"/>
              <w:jc w:val="both"/>
              <w:textAlignment w:val="baseline"/>
              <w:rPr>
                <w:rFonts w:cs="Arial"/>
                <w:iCs/>
                <w:szCs w:val="20"/>
                <w:lang w:eastAsia="sl-SI"/>
              </w:rPr>
            </w:pPr>
          </w:p>
          <w:p w:rsidR="008D340F" w:rsidRDefault="007B531E" w:rsidP="008D340F">
            <w:pPr>
              <w:widowControl w:val="0"/>
              <w:overflowPunct w:val="0"/>
              <w:autoSpaceDE w:val="0"/>
              <w:autoSpaceDN w:val="0"/>
              <w:adjustRightInd w:val="0"/>
              <w:spacing w:line="288" w:lineRule="auto"/>
              <w:jc w:val="both"/>
              <w:textAlignment w:val="baseline"/>
              <w:rPr>
                <w:rFonts w:cs="Arial"/>
                <w:iCs/>
                <w:szCs w:val="20"/>
                <w:lang w:eastAsia="sl-SI"/>
              </w:rPr>
            </w:pPr>
            <w:r>
              <w:rPr>
                <w:rFonts w:cs="Arial"/>
                <w:iCs/>
                <w:szCs w:val="20"/>
                <w:lang w:eastAsia="sl-SI"/>
              </w:rPr>
              <w:t>S</w:t>
            </w:r>
            <w:r w:rsidRPr="00AA1CCE">
              <w:rPr>
                <w:rFonts w:cs="Arial"/>
                <w:iCs/>
                <w:szCs w:val="20"/>
                <w:lang w:eastAsia="sl-SI"/>
              </w:rPr>
              <w:t xml:space="preserve">estanek s predstavniki Ministrstva za javno upravo glede možnih rešitev normativnega urejanja sodelovanja </w:t>
            </w:r>
            <w:proofErr w:type="spellStart"/>
            <w:r w:rsidRPr="00AA1CCE">
              <w:rPr>
                <w:rFonts w:cs="Arial"/>
                <w:iCs/>
                <w:szCs w:val="20"/>
                <w:lang w:eastAsia="sl-SI"/>
              </w:rPr>
              <w:t>državnotožilskega</w:t>
            </w:r>
            <w:proofErr w:type="spellEnd"/>
            <w:r w:rsidRPr="00AA1CCE">
              <w:rPr>
                <w:rFonts w:cs="Arial"/>
                <w:iCs/>
                <w:szCs w:val="20"/>
                <w:lang w:eastAsia="sl-SI"/>
              </w:rPr>
              <w:t xml:space="preserve"> osebja pri delu v dežurni službi državnega tožilstva in ureditve plačila za opravljeno delo v okviru enotnega plačnega sistema za javni sektor</w:t>
            </w:r>
            <w:r>
              <w:rPr>
                <w:rFonts w:cs="Arial"/>
                <w:iCs/>
                <w:szCs w:val="20"/>
                <w:lang w:eastAsia="sl-SI"/>
              </w:rPr>
              <w:t xml:space="preserve"> je bil 18. novembra 2019. Nato je sledil 11. decembra </w:t>
            </w:r>
            <w:r w:rsidR="008D340F" w:rsidRPr="00AA1CCE">
              <w:rPr>
                <w:rFonts w:cs="Arial"/>
                <w:iCs/>
                <w:szCs w:val="20"/>
                <w:lang w:eastAsia="sl-SI"/>
              </w:rPr>
              <w:t>2019</w:t>
            </w:r>
            <w:r w:rsidR="008D340F">
              <w:rPr>
                <w:rFonts w:cs="Arial"/>
                <w:iCs/>
                <w:szCs w:val="20"/>
                <w:lang w:eastAsia="sl-SI"/>
              </w:rPr>
              <w:t xml:space="preserve"> </w:t>
            </w:r>
            <w:r>
              <w:rPr>
                <w:rFonts w:cs="Arial"/>
                <w:iCs/>
                <w:szCs w:val="20"/>
                <w:lang w:eastAsia="sl-SI"/>
              </w:rPr>
              <w:t xml:space="preserve">še </w:t>
            </w:r>
            <w:r w:rsidR="008D340F">
              <w:rPr>
                <w:rFonts w:cs="Arial"/>
                <w:iCs/>
                <w:szCs w:val="20"/>
                <w:lang w:eastAsia="sl-SI"/>
              </w:rPr>
              <w:t xml:space="preserve">sestanek </w:t>
            </w:r>
            <w:r w:rsidR="008D340F" w:rsidRPr="00AA1CCE">
              <w:rPr>
                <w:rFonts w:cs="Arial"/>
                <w:iCs/>
                <w:szCs w:val="20"/>
                <w:lang w:eastAsia="sl-SI"/>
              </w:rPr>
              <w:t>s predstavniki Vrhovnega državnega tožilstva</w:t>
            </w:r>
            <w:r w:rsidR="007153F3">
              <w:rPr>
                <w:rFonts w:cs="Arial"/>
                <w:iCs/>
                <w:szCs w:val="20"/>
                <w:lang w:eastAsia="sl-SI"/>
              </w:rPr>
              <w:t xml:space="preserve"> RS</w:t>
            </w:r>
            <w:r w:rsidR="008D340F">
              <w:rPr>
                <w:rFonts w:cs="Arial"/>
                <w:iCs/>
                <w:szCs w:val="20"/>
                <w:lang w:eastAsia="sl-SI"/>
              </w:rPr>
              <w:t>.</w:t>
            </w:r>
            <w:r w:rsidR="00252372">
              <w:rPr>
                <w:rFonts w:cs="Arial"/>
                <w:iCs/>
                <w:szCs w:val="20"/>
                <w:lang w:eastAsia="sl-SI"/>
              </w:rPr>
              <w:t xml:space="preserve"> </w:t>
            </w:r>
            <w:r w:rsidR="008D340F">
              <w:rPr>
                <w:rFonts w:cs="Arial"/>
                <w:iCs/>
                <w:szCs w:val="20"/>
                <w:lang w:eastAsia="sl-SI"/>
              </w:rPr>
              <w:t>Z</w:t>
            </w:r>
            <w:r w:rsidR="008D340F" w:rsidRPr="00AA1CCE">
              <w:rPr>
                <w:rFonts w:cs="Arial"/>
                <w:iCs/>
                <w:szCs w:val="20"/>
                <w:lang w:eastAsia="sl-SI"/>
              </w:rPr>
              <w:t xml:space="preserve"> namenom izmenjave strokovnih stališč glede nakazane rešitve za potrebe nadaljnje priprave strokovnega gradiva</w:t>
            </w:r>
            <w:r w:rsidR="008D340F">
              <w:rPr>
                <w:rFonts w:cs="Arial"/>
                <w:iCs/>
                <w:szCs w:val="20"/>
                <w:lang w:eastAsia="sl-SI"/>
              </w:rPr>
              <w:t xml:space="preserve"> je bil 8. </w:t>
            </w:r>
            <w:r w:rsidR="007153F3">
              <w:rPr>
                <w:rFonts w:cs="Arial"/>
                <w:iCs/>
                <w:szCs w:val="20"/>
                <w:lang w:eastAsia="sl-SI"/>
              </w:rPr>
              <w:t>januarja</w:t>
            </w:r>
            <w:r w:rsidR="008D340F">
              <w:rPr>
                <w:rFonts w:cs="Arial"/>
                <w:iCs/>
                <w:szCs w:val="20"/>
                <w:lang w:eastAsia="sl-SI"/>
              </w:rPr>
              <w:t xml:space="preserve"> 2020 izveden sestanek s </w:t>
            </w:r>
            <w:r w:rsidR="008D340F" w:rsidRPr="00AA1CCE">
              <w:rPr>
                <w:rFonts w:cs="Arial"/>
                <w:iCs/>
                <w:szCs w:val="20"/>
                <w:lang w:eastAsia="sl-SI"/>
              </w:rPr>
              <w:t>predstavniki Sindikata delavcev v pravosodju</w:t>
            </w:r>
            <w:r w:rsidR="008D340F">
              <w:rPr>
                <w:rFonts w:cs="Arial"/>
                <w:iCs/>
                <w:szCs w:val="20"/>
                <w:lang w:eastAsia="sl-SI"/>
              </w:rPr>
              <w:t xml:space="preserve">. </w:t>
            </w:r>
          </w:p>
          <w:p w:rsidR="008D340F" w:rsidRDefault="008D340F" w:rsidP="008D340F">
            <w:pPr>
              <w:widowControl w:val="0"/>
              <w:overflowPunct w:val="0"/>
              <w:autoSpaceDE w:val="0"/>
              <w:autoSpaceDN w:val="0"/>
              <w:adjustRightInd w:val="0"/>
              <w:spacing w:line="288" w:lineRule="auto"/>
              <w:jc w:val="both"/>
              <w:textAlignment w:val="baseline"/>
              <w:rPr>
                <w:rFonts w:cs="Arial"/>
                <w:iCs/>
                <w:szCs w:val="20"/>
                <w:lang w:eastAsia="sl-SI"/>
              </w:rPr>
            </w:pPr>
          </w:p>
          <w:p w:rsidR="007153F3" w:rsidRDefault="00252372" w:rsidP="00252372">
            <w:pPr>
              <w:widowControl w:val="0"/>
              <w:overflowPunct w:val="0"/>
              <w:autoSpaceDE w:val="0"/>
              <w:autoSpaceDN w:val="0"/>
              <w:adjustRightInd w:val="0"/>
              <w:spacing w:line="288" w:lineRule="auto"/>
              <w:jc w:val="both"/>
              <w:textAlignment w:val="baseline"/>
              <w:rPr>
                <w:rFonts w:cs="Arial"/>
                <w:iCs/>
                <w:szCs w:val="20"/>
                <w:lang w:eastAsia="sl-SI"/>
              </w:rPr>
            </w:pPr>
            <w:r>
              <w:rPr>
                <w:rFonts w:cs="Arial"/>
                <w:iCs/>
                <w:szCs w:val="20"/>
                <w:lang w:eastAsia="sl-SI"/>
              </w:rPr>
              <w:t>G</w:t>
            </w:r>
            <w:r w:rsidR="008D340F">
              <w:rPr>
                <w:rFonts w:cs="Arial"/>
                <w:iCs/>
                <w:szCs w:val="20"/>
                <w:lang w:eastAsia="sl-SI"/>
              </w:rPr>
              <w:t xml:space="preserve">radivo delovnega osnutka zakona </w:t>
            </w:r>
            <w:r>
              <w:rPr>
                <w:rFonts w:cs="Arial"/>
                <w:iCs/>
                <w:szCs w:val="20"/>
                <w:lang w:eastAsia="sl-SI"/>
              </w:rPr>
              <w:t xml:space="preserve">je bilo 28. </w:t>
            </w:r>
            <w:r w:rsidR="007153F3">
              <w:rPr>
                <w:rFonts w:cs="Arial"/>
                <w:iCs/>
                <w:szCs w:val="20"/>
                <w:lang w:eastAsia="sl-SI"/>
              </w:rPr>
              <w:t>februarja</w:t>
            </w:r>
            <w:r>
              <w:rPr>
                <w:rFonts w:cs="Arial"/>
                <w:iCs/>
                <w:szCs w:val="20"/>
                <w:lang w:eastAsia="sl-SI"/>
              </w:rPr>
              <w:t xml:space="preserve"> 2020 </w:t>
            </w:r>
            <w:r w:rsidR="008D340F">
              <w:rPr>
                <w:rFonts w:cs="Arial"/>
                <w:iCs/>
                <w:szCs w:val="20"/>
                <w:lang w:eastAsia="sl-SI"/>
              </w:rPr>
              <w:t>posredovano v strokovno usklajevanje Vrhovnemu državnemu tožilstvu</w:t>
            </w:r>
            <w:r w:rsidR="007153F3">
              <w:rPr>
                <w:rFonts w:cs="Arial"/>
                <w:iCs/>
                <w:szCs w:val="20"/>
                <w:lang w:eastAsia="sl-SI"/>
              </w:rPr>
              <w:t xml:space="preserve"> RS</w:t>
            </w:r>
            <w:r w:rsidR="008D340F">
              <w:rPr>
                <w:rFonts w:cs="Arial"/>
                <w:iCs/>
                <w:szCs w:val="20"/>
                <w:lang w:eastAsia="sl-SI"/>
              </w:rPr>
              <w:t>,</w:t>
            </w:r>
            <w:r>
              <w:rPr>
                <w:rFonts w:cs="Arial"/>
                <w:iCs/>
                <w:szCs w:val="20"/>
                <w:lang w:eastAsia="sl-SI"/>
              </w:rPr>
              <w:t xml:space="preserve"> </w:t>
            </w:r>
            <w:proofErr w:type="spellStart"/>
            <w:r w:rsidR="008D340F">
              <w:rPr>
                <w:rFonts w:cs="Arial"/>
                <w:iCs/>
                <w:szCs w:val="20"/>
                <w:lang w:eastAsia="sl-SI"/>
              </w:rPr>
              <w:t>Državnotožilskemu</w:t>
            </w:r>
            <w:proofErr w:type="spellEnd"/>
            <w:r w:rsidR="008D340F">
              <w:rPr>
                <w:rFonts w:cs="Arial"/>
                <w:iCs/>
                <w:szCs w:val="20"/>
                <w:lang w:eastAsia="sl-SI"/>
              </w:rPr>
              <w:t xml:space="preserve"> svetu, Društvu državnih tožilcev Slovenije in Sindikatu delavcev v pravosodju</w:t>
            </w:r>
            <w:r w:rsidR="007153F3">
              <w:rPr>
                <w:rFonts w:cs="Arial"/>
                <w:iCs/>
                <w:szCs w:val="20"/>
                <w:lang w:eastAsia="sl-SI"/>
              </w:rPr>
              <w:t xml:space="preserve">. </w:t>
            </w:r>
          </w:p>
          <w:p w:rsidR="007153F3" w:rsidRDefault="007153F3" w:rsidP="00252372">
            <w:pPr>
              <w:widowControl w:val="0"/>
              <w:overflowPunct w:val="0"/>
              <w:autoSpaceDE w:val="0"/>
              <w:autoSpaceDN w:val="0"/>
              <w:adjustRightInd w:val="0"/>
              <w:spacing w:line="288" w:lineRule="auto"/>
              <w:jc w:val="both"/>
              <w:textAlignment w:val="baseline"/>
              <w:rPr>
                <w:rFonts w:cs="Arial"/>
                <w:iCs/>
                <w:szCs w:val="20"/>
                <w:lang w:eastAsia="sl-SI"/>
              </w:rPr>
            </w:pPr>
          </w:p>
          <w:p w:rsidR="007153F3" w:rsidRPr="009809C0" w:rsidRDefault="007153F3">
            <w:pPr>
              <w:widowControl w:val="0"/>
              <w:overflowPunct w:val="0"/>
              <w:autoSpaceDE w:val="0"/>
              <w:autoSpaceDN w:val="0"/>
              <w:adjustRightInd w:val="0"/>
              <w:spacing w:line="288" w:lineRule="auto"/>
              <w:jc w:val="both"/>
              <w:textAlignment w:val="baseline"/>
              <w:rPr>
                <w:rFonts w:cs="Arial"/>
                <w:iCs/>
                <w:szCs w:val="20"/>
                <w:lang w:eastAsia="sl-SI"/>
              </w:rPr>
            </w:pPr>
            <w:r>
              <w:rPr>
                <w:rFonts w:cs="Arial"/>
                <w:iCs/>
                <w:szCs w:val="20"/>
                <w:lang w:eastAsia="sl-SI"/>
              </w:rPr>
              <w:t>Gradivo delovnega osnutka predloga zakona je bilo v strokovnem usklajevanju 3. marca 2020 poslano tudi Ministrstvu za javno upravo in Računskemu sodišču RS.</w:t>
            </w:r>
          </w:p>
          <w:p w:rsidR="007153F3" w:rsidRPr="009809C0" w:rsidRDefault="007153F3">
            <w:pPr>
              <w:widowControl w:val="0"/>
              <w:overflowPunct w:val="0"/>
              <w:autoSpaceDE w:val="0"/>
              <w:autoSpaceDN w:val="0"/>
              <w:adjustRightInd w:val="0"/>
              <w:spacing w:line="288" w:lineRule="auto"/>
              <w:jc w:val="both"/>
              <w:textAlignment w:val="baseline"/>
              <w:rPr>
                <w:rFonts w:cs="Arial"/>
                <w:iCs/>
                <w:szCs w:val="20"/>
                <w:lang w:eastAsia="sl-SI"/>
              </w:rPr>
            </w:pPr>
          </w:p>
          <w:p w:rsidR="007153F3" w:rsidRPr="009809C0" w:rsidRDefault="007153F3" w:rsidP="001D21AA">
            <w:pPr>
              <w:widowControl w:val="0"/>
              <w:overflowPunct w:val="0"/>
              <w:autoSpaceDE w:val="0"/>
              <w:autoSpaceDN w:val="0"/>
              <w:adjustRightInd w:val="0"/>
              <w:spacing w:line="288" w:lineRule="auto"/>
              <w:jc w:val="both"/>
              <w:textAlignment w:val="baseline"/>
              <w:rPr>
                <w:rFonts w:cs="Arial"/>
                <w:szCs w:val="20"/>
              </w:rPr>
            </w:pPr>
            <w:r w:rsidRPr="009809C0">
              <w:rPr>
                <w:rFonts w:cs="Arial"/>
                <w:szCs w:val="20"/>
              </w:rPr>
              <w:t xml:space="preserve">Vsebina predloga zakona je bila strokovno usklajevana s podajo </w:t>
            </w:r>
            <w:r>
              <w:rPr>
                <w:rFonts w:cs="Arial"/>
                <w:szCs w:val="20"/>
              </w:rPr>
              <w:t xml:space="preserve">pisnih </w:t>
            </w:r>
            <w:r w:rsidRPr="009809C0">
              <w:rPr>
                <w:rFonts w:cs="Arial"/>
                <w:szCs w:val="20"/>
              </w:rPr>
              <w:t xml:space="preserve">pripomb Vrhovnega državnega tožilstva </w:t>
            </w:r>
            <w:r>
              <w:rPr>
                <w:rFonts w:cs="Arial"/>
                <w:szCs w:val="20"/>
              </w:rPr>
              <w:t xml:space="preserve">RS </w:t>
            </w:r>
            <w:r w:rsidRPr="009809C0">
              <w:rPr>
                <w:rFonts w:cs="Arial"/>
                <w:szCs w:val="20"/>
              </w:rPr>
              <w:t xml:space="preserve">(dopis št. VDT-Tu-10-1/2/2020/25 z dne 3. 4. 2020), </w:t>
            </w:r>
            <w:proofErr w:type="spellStart"/>
            <w:r w:rsidRPr="009809C0">
              <w:rPr>
                <w:rFonts w:cs="Arial"/>
                <w:szCs w:val="20"/>
              </w:rPr>
              <w:t>Državnotožils</w:t>
            </w:r>
            <w:r>
              <w:rPr>
                <w:rFonts w:cs="Arial"/>
                <w:szCs w:val="20"/>
              </w:rPr>
              <w:t>k</w:t>
            </w:r>
            <w:r w:rsidRPr="009809C0">
              <w:rPr>
                <w:rFonts w:cs="Arial"/>
                <w:szCs w:val="20"/>
              </w:rPr>
              <w:t>ega</w:t>
            </w:r>
            <w:proofErr w:type="spellEnd"/>
            <w:r w:rsidRPr="009809C0">
              <w:rPr>
                <w:rFonts w:cs="Arial"/>
                <w:szCs w:val="20"/>
              </w:rPr>
              <w:t xml:space="preserve"> sveta (dopis št. </w:t>
            </w:r>
            <w:proofErr w:type="spellStart"/>
            <w:r w:rsidRPr="009809C0">
              <w:rPr>
                <w:rFonts w:cs="Arial"/>
                <w:szCs w:val="20"/>
              </w:rPr>
              <w:t>Dts</w:t>
            </w:r>
            <w:proofErr w:type="spellEnd"/>
            <w:r w:rsidRPr="009809C0">
              <w:rPr>
                <w:rFonts w:cs="Arial"/>
                <w:szCs w:val="20"/>
              </w:rPr>
              <w:t xml:space="preserve">. 68/2020-3 z dne 25. 3. 2020) in Ministrstva za javno upravo (dopis št. 007-110/2020/2 z dne 27. 3. 2020). Besedilo predloga zakona pa je bilo strokovno usklajevano tudi na sestanku 14. </w:t>
            </w:r>
            <w:r>
              <w:rPr>
                <w:rFonts w:cs="Arial"/>
                <w:szCs w:val="20"/>
              </w:rPr>
              <w:t>maja</w:t>
            </w:r>
            <w:r w:rsidRPr="009809C0">
              <w:rPr>
                <w:rFonts w:cs="Arial"/>
                <w:szCs w:val="20"/>
              </w:rPr>
              <w:t xml:space="preserve"> 2020 s predstavniki Vrhovnega državnega tožilstva</w:t>
            </w:r>
            <w:r>
              <w:rPr>
                <w:rFonts w:cs="Arial"/>
                <w:szCs w:val="20"/>
              </w:rPr>
              <w:t xml:space="preserve"> RS, </w:t>
            </w:r>
            <w:proofErr w:type="spellStart"/>
            <w:r w:rsidRPr="009809C0">
              <w:rPr>
                <w:rFonts w:cs="Arial"/>
                <w:szCs w:val="20"/>
              </w:rPr>
              <w:t>Državnotožilskega</w:t>
            </w:r>
            <w:proofErr w:type="spellEnd"/>
            <w:r w:rsidRPr="009809C0">
              <w:rPr>
                <w:rFonts w:cs="Arial"/>
                <w:szCs w:val="20"/>
              </w:rPr>
              <w:t xml:space="preserve"> </w:t>
            </w:r>
            <w:r w:rsidRPr="009809C0">
              <w:rPr>
                <w:rFonts w:cs="Arial"/>
                <w:szCs w:val="20"/>
              </w:rPr>
              <w:lastRenderedPageBreak/>
              <w:t>sveta</w:t>
            </w:r>
            <w:r>
              <w:rPr>
                <w:rFonts w:cs="Arial"/>
                <w:szCs w:val="20"/>
              </w:rPr>
              <w:t xml:space="preserve"> in Društva državnih tožilcev Slovenije</w:t>
            </w:r>
            <w:r w:rsidRPr="009809C0">
              <w:rPr>
                <w:rFonts w:cs="Arial"/>
                <w:szCs w:val="20"/>
              </w:rPr>
              <w:t xml:space="preserve"> ter 18. </w:t>
            </w:r>
            <w:r>
              <w:rPr>
                <w:rFonts w:cs="Arial"/>
                <w:szCs w:val="20"/>
              </w:rPr>
              <w:t>maja</w:t>
            </w:r>
            <w:r w:rsidRPr="009809C0">
              <w:rPr>
                <w:rFonts w:cs="Arial"/>
                <w:szCs w:val="20"/>
              </w:rPr>
              <w:t xml:space="preserve"> 2020 s predstavniki Ministrstva za javno upravo. </w:t>
            </w:r>
          </w:p>
          <w:p w:rsidR="008D340F" w:rsidRPr="009809C0" w:rsidRDefault="008D340F">
            <w:pPr>
              <w:widowControl w:val="0"/>
              <w:overflowPunct w:val="0"/>
              <w:autoSpaceDE w:val="0"/>
              <w:autoSpaceDN w:val="0"/>
              <w:adjustRightInd w:val="0"/>
              <w:spacing w:line="288" w:lineRule="auto"/>
              <w:jc w:val="both"/>
              <w:textAlignment w:val="baseline"/>
              <w:rPr>
                <w:rFonts w:cs="Arial"/>
                <w:iCs/>
                <w:szCs w:val="20"/>
                <w:lang w:eastAsia="sl-SI"/>
              </w:rPr>
            </w:pPr>
          </w:p>
          <w:p w:rsidR="00547375" w:rsidRDefault="007153F3" w:rsidP="001D21AA">
            <w:pPr>
              <w:widowControl w:val="0"/>
              <w:overflowPunct w:val="0"/>
              <w:autoSpaceDE w:val="0"/>
              <w:autoSpaceDN w:val="0"/>
              <w:adjustRightInd w:val="0"/>
              <w:spacing w:line="288" w:lineRule="auto"/>
              <w:jc w:val="both"/>
              <w:textAlignment w:val="baseline"/>
              <w:rPr>
                <w:rFonts w:cs="Arial"/>
                <w:iCs/>
                <w:szCs w:val="20"/>
                <w:lang w:eastAsia="sl-SI"/>
              </w:rPr>
            </w:pPr>
            <w:r>
              <w:rPr>
                <w:rFonts w:cs="Arial"/>
                <w:iCs/>
                <w:szCs w:val="20"/>
                <w:lang w:eastAsia="sl-SI"/>
              </w:rPr>
              <w:t>Strokovno usklajevanje se je na sestanku 25. maja 2020</w:t>
            </w:r>
            <w:r w:rsidRPr="009809C0">
              <w:rPr>
                <w:rFonts w:cs="Arial"/>
                <w:iCs/>
                <w:szCs w:val="20"/>
                <w:lang w:eastAsia="sl-SI"/>
              </w:rPr>
              <w:t xml:space="preserve"> </w:t>
            </w:r>
            <w:r>
              <w:rPr>
                <w:rFonts w:cs="Arial"/>
                <w:iCs/>
                <w:szCs w:val="20"/>
                <w:lang w:eastAsia="sl-SI"/>
              </w:rPr>
              <w:t>zaključilo s podajo pripomb</w:t>
            </w:r>
            <w:r w:rsidR="003B1DC1">
              <w:rPr>
                <w:rFonts w:cs="Arial"/>
                <w:iCs/>
                <w:szCs w:val="20"/>
                <w:lang w:eastAsia="sl-SI"/>
              </w:rPr>
              <w:t xml:space="preserve"> predstavni</w:t>
            </w:r>
            <w:r>
              <w:rPr>
                <w:rFonts w:cs="Arial"/>
                <w:iCs/>
                <w:szCs w:val="20"/>
                <w:lang w:eastAsia="sl-SI"/>
              </w:rPr>
              <w:t xml:space="preserve">kov </w:t>
            </w:r>
            <w:r w:rsidR="008D340F" w:rsidRPr="009809C0">
              <w:rPr>
                <w:rFonts w:cs="Arial"/>
                <w:iCs/>
                <w:szCs w:val="20"/>
                <w:lang w:eastAsia="sl-SI"/>
              </w:rPr>
              <w:t>Vrhovne</w:t>
            </w:r>
            <w:r>
              <w:rPr>
                <w:rFonts w:cs="Arial"/>
                <w:iCs/>
                <w:szCs w:val="20"/>
                <w:lang w:eastAsia="sl-SI"/>
              </w:rPr>
              <w:t>ga</w:t>
            </w:r>
            <w:r w:rsidR="008D340F" w:rsidRPr="009809C0">
              <w:rPr>
                <w:rFonts w:cs="Arial"/>
                <w:iCs/>
                <w:szCs w:val="20"/>
                <w:lang w:eastAsia="sl-SI"/>
              </w:rPr>
              <w:t xml:space="preserve"> državne</w:t>
            </w:r>
            <w:r>
              <w:rPr>
                <w:rFonts w:cs="Arial"/>
                <w:iCs/>
                <w:szCs w:val="20"/>
                <w:lang w:eastAsia="sl-SI"/>
              </w:rPr>
              <w:t>ga</w:t>
            </w:r>
            <w:r w:rsidR="008D340F" w:rsidRPr="009809C0">
              <w:rPr>
                <w:rFonts w:cs="Arial"/>
                <w:iCs/>
                <w:szCs w:val="20"/>
                <w:lang w:eastAsia="sl-SI"/>
              </w:rPr>
              <w:t xml:space="preserve"> tožilstv</w:t>
            </w:r>
            <w:r>
              <w:rPr>
                <w:rFonts w:cs="Arial"/>
                <w:iCs/>
                <w:szCs w:val="20"/>
                <w:lang w:eastAsia="sl-SI"/>
              </w:rPr>
              <w:t>a</w:t>
            </w:r>
            <w:r w:rsidR="008D340F" w:rsidRPr="009809C0">
              <w:rPr>
                <w:rFonts w:cs="Arial"/>
                <w:iCs/>
                <w:szCs w:val="20"/>
                <w:lang w:eastAsia="sl-SI"/>
              </w:rPr>
              <w:t xml:space="preserve"> RS,</w:t>
            </w:r>
            <w:r w:rsidR="003B1DC1">
              <w:rPr>
                <w:rFonts w:cs="Arial"/>
                <w:iCs/>
                <w:szCs w:val="20"/>
                <w:lang w:eastAsia="sl-SI"/>
              </w:rPr>
              <w:t xml:space="preserve"> </w:t>
            </w:r>
            <w:proofErr w:type="spellStart"/>
            <w:r w:rsidR="008D340F" w:rsidRPr="009809C0">
              <w:rPr>
                <w:rFonts w:cs="Arial"/>
                <w:iCs/>
                <w:szCs w:val="20"/>
                <w:lang w:eastAsia="sl-SI"/>
              </w:rPr>
              <w:t>Državnotožilsk</w:t>
            </w:r>
            <w:r w:rsidR="003B1DC1">
              <w:rPr>
                <w:rFonts w:cs="Arial"/>
                <w:iCs/>
                <w:szCs w:val="20"/>
                <w:lang w:eastAsia="sl-SI"/>
              </w:rPr>
              <w:t>ega</w:t>
            </w:r>
            <w:proofErr w:type="spellEnd"/>
            <w:r w:rsidR="008D340F" w:rsidRPr="009809C0">
              <w:rPr>
                <w:rFonts w:cs="Arial"/>
                <w:iCs/>
                <w:szCs w:val="20"/>
                <w:lang w:eastAsia="sl-SI"/>
              </w:rPr>
              <w:t xml:space="preserve"> svet</w:t>
            </w:r>
            <w:r w:rsidR="003B1DC1">
              <w:rPr>
                <w:rFonts w:cs="Arial"/>
                <w:iCs/>
                <w:szCs w:val="20"/>
                <w:lang w:eastAsia="sl-SI"/>
              </w:rPr>
              <w:t xml:space="preserve">a in </w:t>
            </w:r>
            <w:r w:rsidR="008D340F" w:rsidRPr="009809C0">
              <w:rPr>
                <w:rFonts w:cs="Arial"/>
                <w:iCs/>
                <w:szCs w:val="20"/>
                <w:lang w:eastAsia="sl-SI"/>
              </w:rPr>
              <w:t>Društv</w:t>
            </w:r>
            <w:r w:rsidR="003B1DC1">
              <w:rPr>
                <w:rFonts w:cs="Arial"/>
                <w:iCs/>
                <w:szCs w:val="20"/>
                <w:lang w:eastAsia="sl-SI"/>
              </w:rPr>
              <w:t>a</w:t>
            </w:r>
            <w:r w:rsidR="008D340F" w:rsidRPr="009809C0">
              <w:rPr>
                <w:rFonts w:cs="Arial"/>
                <w:iCs/>
                <w:szCs w:val="20"/>
                <w:lang w:eastAsia="sl-SI"/>
              </w:rPr>
              <w:t xml:space="preserve"> državnih tožilcev</w:t>
            </w:r>
            <w:r w:rsidR="008D340F">
              <w:rPr>
                <w:rFonts w:cs="Arial"/>
                <w:iCs/>
                <w:szCs w:val="20"/>
                <w:lang w:eastAsia="sl-SI"/>
              </w:rPr>
              <w:t>.</w:t>
            </w:r>
          </w:p>
          <w:p w:rsidR="008316DB" w:rsidRPr="003B1DC1" w:rsidRDefault="008316DB" w:rsidP="001D21AA">
            <w:pPr>
              <w:widowControl w:val="0"/>
              <w:overflowPunct w:val="0"/>
              <w:autoSpaceDE w:val="0"/>
              <w:autoSpaceDN w:val="0"/>
              <w:adjustRightInd w:val="0"/>
              <w:spacing w:line="288" w:lineRule="auto"/>
              <w:jc w:val="both"/>
              <w:textAlignment w:val="baseline"/>
              <w:rPr>
                <w:rFonts w:cs="Arial"/>
                <w:iCs/>
                <w:szCs w:val="20"/>
                <w:lang w:eastAsia="sl-SI"/>
              </w:rPr>
            </w:pPr>
          </w:p>
          <w:p w:rsidR="00547375" w:rsidRPr="00C923FF" w:rsidRDefault="00547375" w:rsidP="00547375">
            <w:pPr>
              <w:spacing w:line="288" w:lineRule="auto"/>
              <w:ind w:left="37"/>
              <w:jc w:val="both"/>
              <w:rPr>
                <w:rFonts w:cs="Arial"/>
                <w:b/>
                <w:szCs w:val="20"/>
              </w:rPr>
            </w:pPr>
            <w:r w:rsidRPr="00C923FF">
              <w:rPr>
                <w:rFonts w:cs="Arial"/>
                <w:b/>
                <w:szCs w:val="20"/>
              </w:rPr>
              <w:t>8. PODATEK O ZUNANJEM STROKOVNJAKU OZIROMA PRAVNI OSEBI, KI JE SODELOVALA PRI PRIPRAVI PREDLOGA ZAKONA, IN ZNESKU PLAČILA ZA TA NAMEN:</w:t>
            </w:r>
          </w:p>
          <w:p w:rsidR="00547375" w:rsidRPr="00C923FF" w:rsidRDefault="00547375" w:rsidP="00547375">
            <w:pPr>
              <w:spacing w:line="288" w:lineRule="auto"/>
              <w:ind w:left="37"/>
              <w:jc w:val="both"/>
              <w:rPr>
                <w:rFonts w:cs="Arial"/>
                <w:szCs w:val="20"/>
              </w:rPr>
            </w:pPr>
          </w:p>
          <w:p w:rsidR="00547375" w:rsidRDefault="00547375" w:rsidP="00547375">
            <w:pPr>
              <w:spacing w:line="288" w:lineRule="auto"/>
              <w:ind w:left="37"/>
              <w:jc w:val="both"/>
              <w:rPr>
                <w:rFonts w:cs="Arial"/>
                <w:szCs w:val="20"/>
              </w:rPr>
            </w:pPr>
            <w:r>
              <w:rPr>
                <w:rFonts w:cs="Arial"/>
                <w:szCs w:val="20"/>
              </w:rPr>
              <w:t>Zunanji strokovnjaki oziroma pravne osebe</w:t>
            </w:r>
            <w:r w:rsidRPr="00C923FF">
              <w:rPr>
                <w:rFonts w:cs="Arial"/>
                <w:szCs w:val="20"/>
              </w:rPr>
              <w:t xml:space="preserve"> </w:t>
            </w:r>
            <w:r>
              <w:rPr>
                <w:rFonts w:cs="Arial"/>
                <w:szCs w:val="20"/>
              </w:rPr>
              <w:t xml:space="preserve">niso sodelovali </w:t>
            </w:r>
            <w:r w:rsidRPr="00C923FF">
              <w:rPr>
                <w:rFonts w:cs="Arial"/>
                <w:szCs w:val="20"/>
              </w:rPr>
              <w:t xml:space="preserve">pri pripravi predloga zakona. </w:t>
            </w:r>
          </w:p>
          <w:p w:rsidR="00547375" w:rsidRPr="00C923FF" w:rsidRDefault="00547375" w:rsidP="00547375">
            <w:pPr>
              <w:spacing w:line="288" w:lineRule="auto"/>
              <w:ind w:left="37"/>
              <w:jc w:val="both"/>
              <w:rPr>
                <w:rFonts w:cs="Arial"/>
                <w:szCs w:val="20"/>
              </w:rPr>
            </w:pPr>
          </w:p>
          <w:p w:rsidR="00547375" w:rsidRDefault="00547375" w:rsidP="00547375">
            <w:pPr>
              <w:spacing w:line="288" w:lineRule="auto"/>
              <w:ind w:left="37"/>
              <w:jc w:val="both"/>
              <w:rPr>
                <w:rFonts w:cs="Arial"/>
                <w:b/>
                <w:szCs w:val="20"/>
              </w:rPr>
            </w:pPr>
            <w:r w:rsidRPr="00C923FF">
              <w:rPr>
                <w:rFonts w:cs="Arial"/>
                <w:b/>
                <w:szCs w:val="20"/>
              </w:rPr>
              <w:t>9. NAVEDBA, KATERI PREDSTAVNIKI PREDLAGATELJA BODO SODELOVALI PRI DELU DRŽAVNEGA ZBORA IN DELOVNIH TELES</w:t>
            </w:r>
          </w:p>
          <w:p w:rsidR="003B1DC1" w:rsidRPr="00EB2843" w:rsidRDefault="005C0838" w:rsidP="003B1DC1">
            <w:pPr>
              <w:spacing w:before="120" w:line="288" w:lineRule="auto"/>
              <w:jc w:val="both"/>
              <w:rPr>
                <w:rFonts w:cs="Arial"/>
                <w:szCs w:val="20"/>
              </w:rPr>
            </w:pPr>
            <w:r>
              <w:rPr>
                <w:rFonts w:cs="Arial"/>
                <w:szCs w:val="20"/>
              </w:rPr>
              <w:t xml:space="preserve">– </w:t>
            </w:r>
            <w:r w:rsidR="003B1DC1">
              <w:rPr>
                <w:rFonts w:cs="Arial"/>
                <w:szCs w:val="20"/>
              </w:rPr>
              <w:t>m</w:t>
            </w:r>
            <w:r w:rsidR="003B1DC1" w:rsidRPr="00EB2843">
              <w:rPr>
                <w:rFonts w:cs="Arial"/>
                <w:szCs w:val="20"/>
              </w:rPr>
              <w:t>ag. Lil</w:t>
            </w:r>
            <w:r w:rsidR="0041465F">
              <w:rPr>
                <w:rFonts w:cs="Arial"/>
                <w:szCs w:val="20"/>
              </w:rPr>
              <w:t>i</w:t>
            </w:r>
            <w:r w:rsidR="003B1DC1" w:rsidRPr="00EB2843">
              <w:rPr>
                <w:rFonts w:cs="Arial"/>
                <w:szCs w:val="20"/>
              </w:rPr>
              <w:t xml:space="preserve">jana Kozlovič, ministrica za pravosodje, </w:t>
            </w:r>
          </w:p>
          <w:p w:rsidR="003B1DC1" w:rsidRPr="00EB2843" w:rsidRDefault="005C0838" w:rsidP="003B1DC1">
            <w:pPr>
              <w:spacing w:line="288" w:lineRule="auto"/>
              <w:jc w:val="both"/>
              <w:rPr>
                <w:rFonts w:cs="Arial"/>
                <w:szCs w:val="20"/>
              </w:rPr>
            </w:pPr>
            <w:r>
              <w:rPr>
                <w:rFonts w:cs="Arial"/>
                <w:szCs w:val="20"/>
              </w:rPr>
              <w:t xml:space="preserve">– </w:t>
            </w:r>
            <w:r w:rsidR="003B1DC1" w:rsidRPr="00EB2843">
              <w:rPr>
                <w:rFonts w:cs="Arial"/>
                <w:szCs w:val="20"/>
              </w:rPr>
              <w:t>Zlatko Rat</w:t>
            </w:r>
            <w:r w:rsidR="003B1DC1">
              <w:rPr>
                <w:rFonts w:cs="Arial"/>
                <w:szCs w:val="20"/>
              </w:rPr>
              <w:t>e</w:t>
            </w:r>
            <w:r w:rsidR="003B1DC1" w:rsidRPr="00EB2843">
              <w:rPr>
                <w:rFonts w:cs="Arial"/>
                <w:szCs w:val="20"/>
              </w:rPr>
              <w:t>j, državn</w:t>
            </w:r>
            <w:r w:rsidR="003B1DC1">
              <w:rPr>
                <w:rFonts w:cs="Arial"/>
                <w:szCs w:val="20"/>
              </w:rPr>
              <w:t>i</w:t>
            </w:r>
            <w:r w:rsidR="003B1DC1" w:rsidRPr="00EB2843">
              <w:rPr>
                <w:rFonts w:cs="Arial"/>
                <w:szCs w:val="20"/>
              </w:rPr>
              <w:t xml:space="preserve"> sekretar, Ministrstvo za pravosodje</w:t>
            </w:r>
            <w:r w:rsidR="000F513B">
              <w:rPr>
                <w:rFonts w:cs="Arial"/>
                <w:szCs w:val="20"/>
              </w:rPr>
              <w:t>,</w:t>
            </w:r>
            <w:r w:rsidR="003B1DC1" w:rsidRPr="00EB2843">
              <w:rPr>
                <w:rFonts w:cs="Arial"/>
                <w:szCs w:val="20"/>
              </w:rPr>
              <w:t xml:space="preserve"> </w:t>
            </w:r>
          </w:p>
          <w:p w:rsidR="003B1DC1" w:rsidRPr="00EB2843" w:rsidRDefault="005C0838" w:rsidP="003B1DC1">
            <w:pPr>
              <w:spacing w:line="288" w:lineRule="auto"/>
              <w:jc w:val="both"/>
              <w:rPr>
                <w:rFonts w:cs="Arial"/>
                <w:szCs w:val="20"/>
              </w:rPr>
            </w:pPr>
            <w:r>
              <w:rPr>
                <w:rFonts w:cs="Arial"/>
                <w:szCs w:val="20"/>
              </w:rPr>
              <w:t xml:space="preserve">– </w:t>
            </w:r>
            <w:r w:rsidR="003B1DC1" w:rsidRPr="00EB2843">
              <w:rPr>
                <w:rFonts w:cs="Arial"/>
                <w:szCs w:val="20"/>
              </w:rPr>
              <w:t>Matic Zupan, državni sekretar, Ministrstvo za pravosodje</w:t>
            </w:r>
            <w:r w:rsidR="000F513B">
              <w:rPr>
                <w:rFonts w:cs="Arial"/>
                <w:szCs w:val="20"/>
              </w:rPr>
              <w:t>,</w:t>
            </w:r>
            <w:r w:rsidR="003B1DC1" w:rsidRPr="00EB2843">
              <w:rPr>
                <w:rFonts w:cs="Arial"/>
                <w:szCs w:val="20"/>
              </w:rPr>
              <w:t xml:space="preserve"> </w:t>
            </w:r>
          </w:p>
          <w:p w:rsidR="003B1DC1" w:rsidRDefault="005C0838" w:rsidP="003B1DC1">
            <w:pPr>
              <w:spacing w:line="288" w:lineRule="auto"/>
              <w:jc w:val="both"/>
              <w:rPr>
                <w:rFonts w:cs="Arial"/>
                <w:szCs w:val="20"/>
              </w:rPr>
            </w:pPr>
            <w:r>
              <w:rPr>
                <w:rFonts w:cs="Arial"/>
                <w:szCs w:val="20"/>
              </w:rPr>
              <w:t xml:space="preserve">– </w:t>
            </w:r>
            <w:r w:rsidR="003B1DC1" w:rsidRPr="00C923FF">
              <w:rPr>
                <w:rFonts w:cs="Arial"/>
                <w:szCs w:val="20"/>
              </w:rPr>
              <w:t>mag. Evelin Pristavec Tratar, generalna direktorica Direktorata za organizacijsko zakonodajo in</w:t>
            </w:r>
          </w:p>
          <w:p w:rsidR="00547375" w:rsidRPr="003B1DC1" w:rsidRDefault="005C0838" w:rsidP="003B1DC1">
            <w:pPr>
              <w:spacing w:line="288" w:lineRule="auto"/>
              <w:jc w:val="both"/>
              <w:rPr>
                <w:rFonts w:cs="Arial"/>
                <w:szCs w:val="20"/>
              </w:rPr>
            </w:pPr>
            <w:r>
              <w:rPr>
                <w:rFonts w:cs="Arial"/>
                <w:szCs w:val="20"/>
              </w:rPr>
              <w:t xml:space="preserve">   </w:t>
            </w:r>
            <w:r w:rsidR="003B1DC1" w:rsidRPr="003B1DC1">
              <w:rPr>
                <w:rFonts w:cs="Arial"/>
                <w:szCs w:val="20"/>
              </w:rPr>
              <w:t>pravosodno upravo, Ministrstvo za pravosodje</w:t>
            </w:r>
            <w:r w:rsidR="000F513B">
              <w:rPr>
                <w:rFonts w:cs="Arial"/>
                <w:szCs w:val="20"/>
              </w:rPr>
              <w:t>.</w:t>
            </w:r>
          </w:p>
          <w:p w:rsidR="00C17600" w:rsidRDefault="00C17600" w:rsidP="00B644CC">
            <w:pPr>
              <w:jc w:val="both"/>
              <w:rPr>
                <w:szCs w:val="20"/>
              </w:rPr>
            </w:pPr>
          </w:p>
          <w:p w:rsidR="003B1DC1" w:rsidRDefault="003B1DC1" w:rsidP="00B644CC">
            <w:pPr>
              <w:jc w:val="both"/>
              <w:rPr>
                <w:szCs w:val="20"/>
              </w:rPr>
            </w:pPr>
          </w:p>
          <w:p w:rsidR="003B1DC1" w:rsidRDefault="003B1DC1" w:rsidP="00B644CC">
            <w:pPr>
              <w:jc w:val="both"/>
              <w:rPr>
                <w:szCs w:val="20"/>
              </w:rPr>
            </w:pPr>
          </w:p>
          <w:p w:rsidR="003B1DC1" w:rsidRDefault="003B1DC1" w:rsidP="00B644CC">
            <w:pPr>
              <w:jc w:val="both"/>
              <w:rPr>
                <w:szCs w:val="20"/>
              </w:rPr>
            </w:pPr>
          </w:p>
          <w:p w:rsidR="003B1DC1" w:rsidRDefault="003B1DC1" w:rsidP="00B644CC">
            <w:pPr>
              <w:jc w:val="both"/>
              <w:rPr>
                <w:szCs w:val="20"/>
              </w:rPr>
            </w:pPr>
          </w:p>
          <w:p w:rsidR="003B1DC1" w:rsidRDefault="003B1DC1" w:rsidP="00B644CC">
            <w:pPr>
              <w:jc w:val="both"/>
              <w:rPr>
                <w:szCs w:val="20"/>
              </w:rPr>
            </w:pPr>
          </w:p>
          <w:p w:rsidR="003B1DC1" w:rsidRDefault="003B1DC1" w:rsidP="00B644CC">
            <w:pPr>
              <w:jc w:val="both"/>
              <w:rPr>
                <w:szCs w:val="20"/>
              </w:rPr>
            </w:pPr>
          </w:p>
          <w:p w:rsidR="003B1DC1" w:rsidRDefault="003B1DC1" w:rsidP="00B644CC">
            <w:pPr>
              <w:jc w:val="both"/>
              <w:rPr>
                <w:szCs w:val="20"/>
              </w:rPr>
            </w:pPr>
          </w:p>
          <w:p w:rsidR="003B1DC1" w:rsidRDefault="003B1DC1" w:rsidP="00B644CC">
            <w:pPr>
              <w:jc w:val="both"/>
              <w:rPr>
                <w:szCs w:val="20"/>
              </w:rPr>
            </w:pPr>
          </w:p>
          <w:p w:rsidR="003B1DC1" w:rsidRDefault="003B1DC1" w:rsidP="00B644CC">
            <w:pPr>
              <w:jc w:val="both"/>
              <w:rPr>
                <w:szCs w:val="20"/>
              </w:rPr>
            </w:pPr>
          </w:p>
          <w:p w:rsidR="003B1DC1" w:rsidRDefault="003B1DC1" w:rsidP="00B644CC">
            <w:pPr>
              <w:jc w:val="both"/>
              <w:rPr>
                <w:szCs w:val="20"/>
              </w:rPr>
            </w:pPr>
          </w:p>
          <w:p w:rsidR="003B1DC1" w:rsidRDefault="003B1DC1" w:rsidP="00B644CC">
            <w:pPr>
              <w:jc w:val="both"/>
              <w:rPr>
                <w:szCs w:val="20"/>
              </w:rPr>
            </w:pPr>
          </w:p>
          <w:p w:rsidR="003B1DC1" w:rsidRDefault="003B1DC1" w:rsidP="00B644CC">
            <w:pPr>
              <w:jc w:val="both"/>
              <w:rPr>
                <w:szCs w:val="20"/>
              </w:rPr>
            </w:pPr>
          </w:p>
          <w:p w:rsidR="003B1DC1" w:rsidRDefault="003B1DC1" w:rsidP="00B644CC">
            <w:pPr>
              <w:jc w:val="both"/>
              <w:rPr>
                <w:szCs w:val="20"/>
              </w:rPr>
            </w:pPr>
          </w:p>
          <w:p w:rsidR="003B1DC1" w:rsidRDefault="003B1DC1" w:rsidP="00B644CC">
            <w:pPr>
              <w:jc w:val="both"/>
              <w:rPr>
                <w:szCs w:val="20"/>
              </w:rPr>
            </w:pPr>
          </w:p>
          <w:p w:rsidR="003B1DC1" w:rsidRDefault="003B1DC1" w:rsidP="00B644CC">
            <w:pPr>
              <w:jc w:val="both"/>
              <w:rPr>
                <w:szCs w:val="20"/>
              </w:rPr>
            </w:pPr>
          </w:p>
          <w:p w:rsidR="003B1DC1" w:rsidRDefault="003B1DC1" w:rsidP="00B644CC">
            <w:pPr>
              <w:jc w:val="both"/>
              <w:rPr>
                <w:szCs w:val="20"/>
              </w:rPr>
            </w:pPr>
          </w:p>
          <w:p w:rsidR="003B1DC1" w:rsidRDefault="003B1DC1" w:rsidP="00B644CC">
            <w:pPr>
              <w:jc w:val="both"/>
              <w:rPr>
                <w:szCs w:val="20"/>
              </w:rPr>
            </w:pPr>
          </w:p>
          <w:p w:rsidR="003B1DC1" w:rsidRDefault="003B1DC1" w:rsidP="00B644CC">
            <w:pPr>
              <w:jc w:val="both"/>
              <w:rPr>
                <w:szCs w:val="20"/>
              </w:rPr>
            </w:pPr>
          </w:p>
          <w:p w:rsidR="003B1DC1" w:rsidRDefault="003B1DC1" w:rsidP="00B644CC">
            <w:pPr>
              <w:jc w:val="both"/>
              <w:rPr>
                <w:szCs w:val="20"/>
              </w:rPr>
            </w:pPr>
          </w:p>
          <w:p w:rsidR="003B1DC1" w:rsidRDefault="003B1DC1" w:rsidP="00B644CC">
            <w:pPr>
              <w:jc w:val="both"/>
              <w:rPr>
                <w:szCs w:val="20"/>
              </w:rPr>
            </w:pPr>
          </w:p>
          <w:p w:rsidR="003B1DC1" w:rsidRDefault="003B1DC1" w:rsidP="00B644CC">
            <w:pPr>
              <w:jc w:val="both"/>
              <w:rPr>
                <w:szCs w:val="20"/>
              </w:rPr>
            </w:pPr>
          </w:p>
          <w:p w:rsidR="003B1DC1" w:rsidRDefault="003B1DC1" w:rsidP="00B644CC">
            <w:pPr>
              <w:jc w:val="both"/>
              <w:rPr>
                <w:szCs w:val="20"/>
              </w:rPr>
            </w:pPr>
          </w:p>
          <w:p w:rsidR="003B1DC1" w:rsidRDefault="003B1DC1" w:rsidP="00B644CC">
            <w:pPr>
              <w:jc w:val="both"/>
              <w:rPr>
                <w:szCs w:val="20"/>
              </w:rPr>
            </w:pPr>
          </w:p>
          <w:p w:rsidR="008316DB" w:rsidRDefault="008316DB" w:rsidP="00B644CC">
            <w:pPr>
              <w:jc w:val="both"/>
              <w:rPr>
                <w:szCs w:val="20"/>
              </w:rPr>
            </w:pPr>
          </w:p>
          <w:p w:rsidR="008316DB" w:rsidRDefault="008316DB" w:rsidP="00B644CC">
            <w:pPr>
              <w:jc w:val="both"/>
              <w:rPr>
                <w:szCs w:val="20"/>
              </w:rPr>
            </w:pPr>
          </w:p>
          <w:p w:rsidR="001D21AA" w:rsidRDefault="001D21AA" w:rsidP="00B644CC">
            <w:pPr>
              <w:jc w:val="both"/>
              <w:rPr>
                <w:szCs w:val="20"/>
              </w:rPr>
            </w:pPr>
          </w:p>
          <w:p w:rsidR="001D21AA" w:rsidRDefault="001D21AA" w:rsidP="00B644CC">
            <w:pPr>
              <w:jc w:val="both"/>
              <w:rPr>
                <w:szCs w:val="20"/>
              </w:rPr>
            </w:pPr>
          </w:p>
          <w:p w:rsidR="001D21AA" w:rsidRDefault="001D21AA" w:rsidP="00B644CC">
            <w:pPr>
              <w:jc w:val="both"/>
              <w:rPr>
                <w:szCs w:val="20"/>
              </w:rPr>
            </w:pPr>
          </w:p>
          <w:p w:rsidR="001D21AA" w:rsidRDefault="001D21AA" w:rsidP="00B644CC">
            <w:pPr>
              <w:jc w:val="both"/>
              <w:rPr>
                <w:szCs w:val="20"/>
              </w:rPr>
            </w:pPr>
          </w:p>
          <w:p w:rsidR="003B1DC1" w:rsidRDefault="003B1DC1" w:rsidP="00B644CC">
            <w:pPr>
              <w:jc w:val="both"/>
              <w:rPr>
                <w:szCs w:val="20"/>
              </w:rPr>
            </w:pPr>
          </w:p>
          <w:p w:rsidR="003B1DC1" w:rsidRPr="00115F14" w:rsidRDefault="003B1DC1" w:rsidP="00B644CC">
            <w:pPr>
              <w:jc w:val="both"/>
              <w:rPr>
                <w:szCs w:val="20"/>
              </w:rPr>
            </w:pPr>
          </w:p>
        </w:tc>
      </w:tr>
    </w:tbl>
    <w:bookmarkEnd w:id="23"/>
    <w:p w:rsidR="00AE2155" w:rsidRDefault="00AE2155" w:rsidP="00B644CC">
      <w:pPr>
        <w:pStyle w:val="Navadensplet"/>
        <w:spacing w:before="0" w:beforeAutospacing="0" w:after="0" w:afterAutospacing="0" w:line="288" w:lineRule="auto"/>
        <w:rPr>
          <w:rFonts w:ascii="Arial" w:hAnsi="Arial" w:cs="Arial"/>
          <w:b/>
          <w:bCs/>
          <w:sz w:val="20"/>
          <w:szCs w:val="20"/>
        </w:rPr>
      </w:pPr>
      <w:r>
        <w:rPr>
          <w:rFonts w:ascii="Arial" w:hAnsi="Arial" w:cs="Arial"/>
          <w:b/>
          <w:sz w:val="20"/>
          <w:szCs w:val="20"/>
        </w:rPr>
        <w:lastRenderedPageBreak/>
        <w:t>II. BESEDILO ČLENOV</w:t>
      </w:r>
    </w:p>
    <w:p w:rsidR="00AE2155" w:rsidRDefault="00AE2155" w:rsidP="00B644CC">
      <w:pPr>
        <w:spacing w:line="288" w:lineRule="auto"/>
        <w:rPr>
          <w:rFonts w:eastAsia="Calibri" w:cs="Arial"/>
          <w:b/>
          <w:szCs w:val="20"/>
        </w:rPr>
      </w:pPr>
    </w:p>
    <w:p w:rsidR="00AE2155" w:rsidRDefault="00AE2155" w:rsidP="00B644CC">
      <w:pPr>
        <w:spacing w:line="288" w:lineRule="auto"/>
        <w:jc w:val="center"/>
        <w:rPr>
          <w:rFonts w:eastAsia="Calibri" w:cs="Arial"/>
          <w:szCs w:val="20"/>
        </w:rPr>
      </w:pPr>
    </w:p>
    <w:p w:rsidR="00AE2155" w:rsidRPr="00746AD7" w:rsidRDefault="00AE2155" w:rsidP="00B644CC">
      <w:pPr>
        <w:pStyle w:val="Odstavekseznama"/>
        <w:spacing w:line="288" w:lineRule="auto"/>
        <w:ind w:left="0"/>
        <w:jc w:val="center"/>
        <w:rPr>
          <w:rFonts w:eastAsia="Calibri" w:cs="Arial"/>
          <w:b/>
          <w:szCs w:val="20"/>
        </w:rPr>
      </w:pPr>
      <w:r w:rsidRPr="001C7A64">
        <w:rPr>
          <w:rFonts w:eastAsia="Calibri" w:cs="Arial"/>
          <w:b/>
          <w:szCs w:val="20"/>
        </w:rPr>
        <w:t>1. člen</w:t>
      </w:r>
    </w:p>
    <w:p w:rsidR="00AE2155" w:rsidRDefault="00AE2155" w:rsidP="00B644CC">
      <w:pPr>
        <w:spacing w:line="288" w:lineRule="auto"/>
        <w:rPr>
          <w:rFonts w:eastAsia="Calibri" w:cs="Arial"/>
          <w:szCs w:val="20"/>
        </w:rPr>
      </w:pPr>
    </w:p>
    <w:p w:rsidR="00AE2155" w:rsidRDefault="00AE2155" w:rsidP="00B644CC">
      <w:pPr>
        <w:spacing w:line="288" w:lineRule="auto"/>
        <w:jc w:val="both"/>
        <w:rPr>
          <w:rFonts w:eastAsia="Calibri" w:cs="Arial"/>
          <w:szCs w:val="20"/>
        </w:rPr>
      </w:pPr>
      <w:r w:rsidRPr="00BB3D7A">
        <w:rPr>
          <w:rFonts w:eastAsia="Calibri" w:cs="Arial"/>
          <w:szCs w:val="20"/>
        </w:rPr>
        <w:t xml:space="preserve">V Zakonu o državnem tožilstvu (Uradni list RS, št. 58/11, 21/12 – ZDU-1F, 47/12, 15/13 – </w:t>
      </w:r>
      <w:proofErr w:type="spellStart"/>
      <w:r w:rsidRPr="00BB3D7A">
        <w:rPr>
          <w:rFonts w:eastAsia="Calibri" w:cs="Arial"/>
          <w:szCs w:val="20"/>
        </w:rPr>
        <w:t>ZODPol</w:t>
      </w:r>
      <w:proofErr w:type="spellEnd"/>
      <w:r w:rsidRPr="00BB3D7A">
        <w:rPr>
          <w:rFonts w:eastAsia="Calibri" w:cs="Arial"/>
          <w:szCs w:val="20"/>
        </w:rPr>
        <w:t>, 47/13 – ZDU-1G, 48/13 – ZSKZDČEU-1, 19/15</w:t>
      </w:r>
      <w:r>
        <w:rPr>
          <w:rFonts w:eastAsia="Calibri" w:cs="Arial"/>
          <w:szCs w:val="20"/>
        </w:rPr>
        <w:t>,</w:t>
      </w:r>
      <w:r w:rsidRPr="00BB3D7A">
        <w:rPr>
          <w:rFonts w:eastAsia="Calibri" w:cs="Arial"/>
          <w:szCs w:val="20"/>
        </w:rPr>
        <w:t xml:space="preserve"> 23/17 – </w:t>
      </w:r>
      <w:proofErr w:type="spellStart"/>
      <w:r w:rsidRPr="00BB3D7A">
        <w:rPr>
          <w:rFonts w:eastAsia="Calibri" w:cs="Arial"/>
          <w:szCs w:val="20"/>
        </w:rPr>
        <w:t>ZSSve</w:t>
      </w:r>
      <w:proofErr w:type="spellEnd"/>
      <w:r>
        <w:rPr>
          <w:rFonts w:eastAsia="Calibri" w:cs="Arial"/>
          <w:szCs w:val="20"/>
        </w:rPr>
        <w:t xml:space="preserve"> in 36/19</w:t>
      </w:r>
      <w:r w:rsidRPr="00BB3D7A">
        <w:rPr>
          <w:rFonts w:eastAsia="Calibri" w:cs="Arial"/>
          <w:szCs w:val="20"/>
        </w:rPr>
        <w:t xml:space="preserve">) se </w:t>
      </w:r>
      <w:r>
        <w:rPr>
          <w:rFonts w:eastAsia="Calibri" w:cs="Arial"/>
          <w:szCs w:val="20"/>
        </w:rPr>
        <w:t>1.a člen</w:t>
      </w:r>
      <w:r w:rsidRPr="00BB3D7A">
        <w:rPr>
          <w:rFonts w:eastAsia="Calibri" w:cs="Arial"/>
          <w:szCs w:val="20"/>
        </w:rPr>
        <w:t xml:space="preserve"> spremeni tako, da se glasi:</w:t>
      </w:r>
    </w:p>
    <w:p w:rsidR="00AE2155" w:rsidRDefault="00AE2155" w:rsidP="00B644CC">
      <w:pPr>
        <w:spacing w:line="288" w:lineRule="auto"/>
        <w:jc w:val="both"/>
        <w:rPr>
          <w:rFonts w:eastAsia="Calibri" w:cs="Arial"/>
          <w:szCs w:val="20"/>
        </w:rPr>
      </w:pPr>
    </w:p>
    <w:p w:rsidR="00AE2155" w:rsidRPr="00C20D0A" w:rsidRDefault="00AE2155" w:rsidP="00B644CC">
      <w:pPr>
        <w:spacing w:line="288" w:lineRule="auto"/>
        <w:jc w:val="center"/>
        <w:rPr>
          <w:rFonts w:eastAsia="Calibri" w:cs="Arial"/>
          <w:b/>
          <w:szCs w:val="20"/>
        </w:rPr>
      </w:pPr>
      <w:r w:rsidRPr="00C20D0A">
        <w:rPr>
          <w:rFonts w:eastAsia="Calibri" w:cs="Arial"/>
          <w:b/>
          <w:szCs w:val="20"/>
        </w:rPr>
        <w:t>»1.a člen</w:t>
      </w:r>
    </w:p>
    <w:p w:rsidR="00AE2155" w:rsidRPr="00BB3D7A" w:rsidRDefault="00AE2155" w:rsidP="00B644CC">
      <w:pPr>
        <w:spacing w:line="288" w:lineRule="auto"/>
        <w:jc w:val="center"/>
        <w:rPr>
          <w:rFonts w:eastAsia="Calibri" w:cs="Arial"/>
          <w:b/>
          <w:szCs w:val="20"/>
        </w:rPr>
      </w:pPr>
      <w:r w:rsidRPr="00C20D0A">
        <w:rPr>
          <w:rFonts w:eastAsia="Calibri" w:cs="Arial"/>
          <w:b/>
          <w:szCs w:val="20"/>
        </w:rPr>
        <w:t>(izvajanje pravnih aktov Evropske unije)</w:t>
      </w:r>
    </w:p>
    <w:p w:rsidR="00AE2155" w:rsidRPr="00BB3D7A" w:rsidRDefault="00AE2155" w:rsidP="00B644CC">
      <w:pPr>
        <w:spacing w:line="288" w:lineRule="auto"/>
        <w:jc w:val="both"/>
        <w:rPr>
          <w:rFonts w:eastAsia="Calibri" w:cs="Arial"/>
          <w:szCs w:val="20"/>
        </w:rPr>
      </w:pPr>
    </w:p>
    <w:p w:rsidR="00C20D0A" w:rsidRDefault="00C20D0A" w:rsidP="00B644CC">
      <w:pPr>
        <w:spacing w:line="288" w:lineRule="auto"/>
        <w:jc w:val="both"/>
        <w:rPr>
          <w:rFonts w:eastAsia="Calibri" w:cs="Arial"/>
          <w:szCs w:val="20"/>
        </w:rPr>
      </w:pPr>
      <w:r>
        <w:rPr>
          <w:rFonts w:eastAsia="Calibri" w:cs="Arial"/>
          <w:szCs w:val="20"/>
        </w:rPr>
        <w:t xml:space="preserve">(1) </w:t>
      </w:r>
      <w:r w:rsidR="00873A7F">
        <w:rPr>
          <w:rFonts w:eastAsia="Calibri" w:cs="Arial"/>
          <w:szCs w:val="20"/>
        </w:rPr>
        <w:t>S tem zakonom se</w:t>
      </w:r>
      <w:r>
        <w:rPr>
          <w:rFonts w:eastAsia="Calibri" w:cs="Arial"/>
          <w:szCs w:val="20"/>
        </w:rPr>
        <w:t xml:space="preserve"> za izvajanje </w:t>
      </w:r>
      <w:r w:rsidRPr="00BB3D7A">
        <w:rPr>
          <w:rFonts w:eastAsia="Calibri" w:cs="Arial"/>
          <w:szCs w:val="20"/>
        </w:rPr>
        <w:t>Uredb</w:t>
      </w:r>
      <w:r>
        <w:rPr>
          <w:rFonts w:eastAsia="Calibri" w:cs="Arial"/>
          <w:szCs w:val="20"/>
        </w:rPr>
        <w:t>e</w:t>
      </w:r>
      <w:r w:rsidRPr="00BB3D7A">
        <w:rPr>
          <w:rFonts w:eastAsia="Calibri" w:cs="Arial"/>
          <w:szCs w:val="20"/>
        </w:rPr>
        <w:t xml:space="preserve"> (EU) 2018/1727 Evropskega parlamenta in Sveta z dne 14. novembra 2018 o Agenciji Evropske unije za pravosodno sodelovanje v kazenskih zadevah (</w:t>
      </w:r>
      <w:proofErr w:type="spellStart"/>
      <w:r w:rsidRPr="00BB3D7A">
        <w:rPr>
          <w:rFonts w:eastAsia="Calibri" w:cs="Arial"/>
          <w:szCs w:val="20"/>
        </w:rPr>
        <w:t>Eurojust</w:t>
      </w:r>
      <w:proofErr w:type="spellEnd"/>
      <w:r w:rsidRPr="00BB3D7A">
        <w:rPr>
          <w:rFonts w:eastAsia="Calibri" w:cs="Arial"/>
          <w:szCs w:val="20"/>
        </w:rPr>
        <w:t>) ter nadomestitvi in razveljavitvi Sklepa Sveta 2002/187/PNZ (UL L št. 295 z dne 21. 11. 2018, str. 138; v nadaljnjem besedilu: Uredba 2018/1727/EU)</w:t>
      </w:r>
      <w:r>
        <w:rPr>
          <w:rFonts w:eastAsia="Calibri" w:cs="Arial"/>
          <w:szCs w:val="20"/>
        </w:rPr>
        <w:t xml:space="preserve"> </w:t>
      </w:r>
      <w:r w:rsidR="00873A7F">
        <w:rPr>
          <w:rFonts w:eastAsia="Calibri" w:cs="Arial"/>
          <w:szCs w:val="20"/>
        </w:rPr>
        <w:t xml:space="preserve">določajo </w:t>
      </w:r>
      <w:r w:rsidR="00AE2155" w:rsidRPr="00BB3D7A">
        <w:rPr>
          <w:rFonts w:eastAsia="Calibri" w:cs="Arial"/>
          <w:szCs w:val="20"/>
        </w:rPr>
        <w:t>postopek in pogoj</w:t>
      </w:r>
      <w:r w:rsidR="00B119C6">
        <w:rPr>
          <w:rFonts w:eastAsia="Calibri" w:cs="Arial"/>
          <w:szCs w:val="20"/>
        </w:rPr>
        <w:t>i</w:t>
      </w:r>
      <w:r w:rsidR="00AE2155" w:rsidRPr="00BB3D7A">
        <w:rPr>
          <w:rFonts w:eastAsia="Calibri" w:cs="Arial"/>
          <w:szCs w:val="20"/>
        </w:rPr>
        <w:t xml:space="preserve"> za imenovanje </w:t>
      </w:r>
      <w:r w:rsidR="00023962">
        <w:rPr>
          <w:rFonts w:eastAsia="Calibri" w:cs="Arial"/>
          <w:szCs w:val="20"/>
        </w:rPr>
        <w:t xml:space="preserve">ter pooblastila in pravice </w:t>
      </w:r>
      <w:r w:rsidR="00AE2155" w:rsidRPr="00BB3D7A">
        <w:rPr>
          <w:rFonts w:eastAsia="Calibri" w:cs="Arial"/>
          <w:szCs w:val="20"/>
        </w:rPr>
        <w:t xml:space="preserve">nacionalnega predstavnika, njegovega namestnika in pomočnika v </w:t>
      </w:r>
      <w:r w:rsidR="00AE2155">
        <w:rPr>
          <w:rFonts w:eastAsia="Calibri" w:cs="Arial"/>
          <w:szCs w:val="20"/>
        </w:rPr>
        <w:t>Agenciji Evropske unije</w:t>
      </w:r>
      <w:r w:rsidR="00AE2155" w:rsidRPr="00BB3D7A">
        <w:rPr>
          <w:rFonts w:eastAsia="Calibri" w:cs="Arial"/>
          <w:szCs w:val="20"/>
        </w:rPr>
        <w:t xml:space="preserve"> za pravosodno sodelovanje</w:t>
      </w:r>
      <w:r w:rsidR="00AE2155">
        <w:rPr>
          <w:rFonts w:eastAsia="Calibri" w:cs="Arial"/>
          <w:szCs w:val="20"/>
        </w:rPr>
        <w:t xml:space="preserve"> v kazenskih zadevah</w:t>
      </w:r>
      <w:r>
        <w:rPr>
          <w:rFonts w:eastAsia="Calibri" w:cs="Arial"/>
          <w:szCs w:val="20"/>
        </w:rPr>
        <w:t>.</w:t>
      </w:r>
    </w:p>
    <w:p w:rsidR="00C20D0A" w:rsidRDefault="00C20D0A" w:rsidP="00B644CC">
      <w:pPr>
        <w:spacing w:line="288" w:lineRule="auto"/>
        <w:jc w:val="both"/>
        <w:rPr>
          <w:rFonts w:eastAsia="Calibri" w:cs="Arial"/>
          <w:szCs w:val="20"/>
        </w:rPr>
      </w:pPr>
    </w:p>
    <w:p w:rsidR="00AE2155" w:rsidRPr="00BB3D7A" w:rsidRDefault="00C20D0A" w:rsidP="00B644CC">
      <w:pPr>
        <w:pStyle w:val="Odstavekseznama"/>
        <w:spacing w:line="288" w:lineRule="auto"/>
        <w:ind w:left="0"/>
        <w:jc w:val="both"/>
        <w:rPr>
          <w:rFonts w:eastAsia="Calibri" w:cs="Arial"/>
          <w:szCs w:val="20"/>
        </w:rPr>
      </w:pPr>
      <w:r>
        <w:rPr>
          <w:rFonts w:eastAsia="Calibri" w:cs="Arial"/>
          <w:szCs w:val="20"/>
        </w:rPr>
        <w:t>(2)</w:t>
      </w:r>
      <w:r w:rsidR="008D35C2">
        <w:rPr>
          <w:rFonts w:eastAsia="Calibri" w:cs="Arial"/>
          <w:szCs w:val="20"/>
        </w:rPr>
        <w:t xml:space="preserve"> </w:t>
      </w:r>
      <w:r w:rsidR="00873A7F">
        <w:rPr>
          <w:rFonts w:eastAsia="Calibri" w:cs="Arial"/>
          <w:szCs w:val="20"/>
        </w:rPr>
        <w:t xml:space="preserve">S tem zakonom se za izvajanje </w:t>
      </w:r>
      <w:r w:rsidRPr="00BB3D7A">
        <w:rPr>
          <w:rFonts w:eastAsia="Calibri" w:cs="Arial"/>
          <w:szCs w:val="20"/>
        </w:rPr>
        <w:t>Uredbe Sveta (EU) 2017/1939 z dne 12. oktobra 2017 o izvajanju okrepljenega sodelovanja v zvezi z ustanovitvijo Evropskega javnega tožilstva (UL L št. 283 z dne 31. 10. 2017, str. 1; v nadaljnjem besedilu: Uredba 2017/1939/EU)</w:t>
      </w:r>
      <w:r w:rsidR="00873A7F">
        <w:rPr>
          <w:rFonts w:eastAsia="Calibri" w:cs="Arial"/>
          <w:szCs w:val="20"/>
        </w:rPr>
        <w:t xml:space="preserve"> določajo</w:t>
      </w:r>
      <w:r>
        <w:rPr>
          <w:rFonts w:eastAsia="Calibri" w:cs="Arial"/>
          <w:szCs w:val="20"/>
        </w:rPr>
        <w:t xml:space="preserve"> </w:t>
      </w:r>
      <w:r w:rsidR="00AE2155" w:rsidRPr="00C20D0A">
        <w:rPr>
          <w:rFonts w:eastAsia="Calibri" w:cs="Arial"/>
          <w:szCs w:val="20"/>
        </w:rPr>
        <w:t>kandidacijski postopek in pogoj</w:t>
      </w:r>
      <w:r w:rsidR="00873A7F">
        <w:rPr>
          <w:rFonts w:eastAsia="Calibri" w:cs="Arial"/>
          <w:szCs w:val="20"/>
        </w:rPr>
        <w:t>i</w:t>
      </w:r>
      <w:r w:rsidR="00AE2155" w:rsidRPr="00C20D0A">
        <w:rPr>
          <w:rFonts w:eastAsia="Calibri" w:cs="Arial"/>
          <w:szCs w:val="20"/>
        </w:rPr>
        <w:t xml:space="preserve"> za uvrstitev na listo kandidatov za imenovanje evropskega tožilca in evropskih delegiranih tožilcev v Evropskem javnem tožilstvu, njihovo število, pristojnosti, položaj in pravice</w:t>
      </w:r>
      <w:r>
        <w:rPr>
          <w:rFonts w:eastAsia="Calibri" w:cs="Arial"/>
          <w:szCs w:val="20"/>
        </w:rPr>
        <w:t>.</w:t>
      </w:r>
      <w:r w:rsidR="0049766B">
        <w:rPr>
          <w:rFonts w:eastAsia="Calibri" w:cs="Arial"/>
          <w:szCs w:val="20"/>
        </w:rPr>
        <w:t>«.</w:t>
      </w:r>
    </w:p>
    <w:p w:rsidR="00AE2155" w:rsidRDefault="00AE2155" w:rsidP="00B644CC">
      <w:pPr>
        <w:spacing w:line="288" w:lineRule="auto"/>
        <w:jc w:val="both"/>
        <w:rPr>
          <w:rFonts w:eastAsia="Calibri" w:cs="Arial"/>
          <w:szCs w:val="20"/>
        </w:rPr>
      </w:pPr>
    </w:p>
    <w:p w:rsidR="00AE2155" w:rsidRPr="004A6746" w:rsidRDefault="00AE2155" w:rsidP="00B644CC">
      <w:pPr>
        <w:spacing w:line="288" w:lineRule="auto"/>
        <w:jc w:val="center"/>
        <w:rPr>
          <w:rFonts w:eastAsia="Calibri" w:cs="Arial"/>
          <w:b/>
          <w:bCs/>
          <w:szCs w:val="20"/>
        </w:rPr>
      </w:pPr>
      <w:r w:rsidRPr="004A6746">
        <w:rPr>
          <w:rFonts w:eastAsia="Calibri" w:cs="Arial"/>
          <w:b/>
          <w:bCs/>
          <w:szCs w:val="20"/>
        </w:rPr>
        <w:t>2. člen</w:t>
      </w:r>
    </w:p>
    <w:p w:rsidR="00AE2155" w:rsidRPr="004A6746" w:rsidRDefault="00AE2155" w:rsidP="00B644CC">
      <w:pPr>
        <w:spacing w:line="288" w:lineRule="auto"/>
        <w:jc w:val="both"/>
        <w:rPr>
          <w:rFonts w:eastAsia="Calibri" w:cs="Arial"/>
          <w:szCs w:val="20"/>
        </w:rPr>
      </w:pPr>
    </w:p>
    <w:p w:rsidR="00AE2155" w:rsidRDefault="00AE2155" w:rsidP="00B644CC">
      <w:pPr>
        <w:spacing w:line="288" w:lineRule="auto"/>
        <w:jc w:val="both"/>
        <w:rPr>
          <w:rFonts w:eastAsia="Calibri" w:cs="Arial"/>
          <w:szCs w:val="20"/>
        </w:rPr>
      </w:pPr>
      <w:r w:rsidRPr="004A6746">
        <w:rPr>
          <w:rFonts w:eastAsia="Calibri" w:cs="Arial"/>
          <w:szCs w:val="20"/>
        </w:rPr>
        <w:t>V 30. členu se v drugem odstavku v tretji alineji besedilo »</w:t>
      </w:r>
      <w:r w:rsidRPr="004A6746">
        <w:t>državnem pravobranilstvu« nadomesti z besedilom »državnem odvetništvu«.</w:t>
      </w:r>
    </w:p>
    <w:p w:rsidR="00AE2155" w:rsidRPr="00746AD7" w:rsidRDefault="00AE2155" w:rsidP="00B644CC">
      <w:pPr>
        <w:pStyle w:val="Odstavekseznama"/>
        <w:spacing w:line="288" w:lineRule="auto"/>
        <w:ind w:left="0"/>
        <w:jc w:val="center"/>
        <w:rPr>
          <w:rFonts w:eastAsia="Calibri" w:cs="Arial"/>
          <w:b/>
          <w:szCs w:val="20"/>
        </w:rPr>
      </w:pPr>
      <w:r>
        <w:rPr>
          <w:rFonts w:eastAsia="Calibri" w:cs="Arial"/>
          <w:b/>
          <w:szCs w:val="20"/>
        </w:rPr>
        <w:t>3</w:t>
      </w:r>
      <w:r w:rsidRPr="00746AD7">
        <w:rPr>
          <w:rFonts w:eastAsia="Calibri" w:cs="Arial"/>
          <w:b/>
          <w:szCs w:val="20"/>
        </w:rPr>
        <w:t>. člen</w:t>
      </w:r>
    </w:p>
    <w:p w:rsidR="00AE2155" w:rsidRPr="00746AD7" w:rsidRDefault="00AE2155" w:rsidP="00B644CC">
      <w:pPr>
        <w:spacing w:line="288" w:lineRule="auto"/>
        <w:jc w:val="center"/>
        <w:rPr>
          <w:rFonts w:eastAsia="Calibri" w:cs="Arial"/>
          <w:szCs w:val="20"/>
        </w:rPr>
      </w:pPr>
    </w:p>
    <w:p w:rsidR="00AE2155" w:rsidRPr="006E178C" w:rsidRDefault="00AE2155" w:rsidP="00B644CC">
      <w:pPr>
        <w:spacing w:line="288" w:lineRule="auto"/>
        <w:jc w:val="both"/>
        <w:rPr>
          <w:rFonts w:eastAsia="Calibri" w:cs="Arial"/>
          <w:szCs w:val="20"/>
        </w:rPr>
      </w:pPr>
      <w:r w:rsidRPr="006E178C">
        <w:rPr>
          <w:rFonts w:eastAsia="Calibri" w:cs="Arial"/>
          <w:szCs w:val="20"/>
        </w:rPr>
        <w:t>V 44. členu se peti odstavek črta.</w:t>
      </w:r>
    </w:p>
    <w:p w:rsidR="00AE2155" w:rsidRPr="006E178C" w:rsidRDefault="00AE2155" w:rsidP="00B644CC">
      <w:pPr>
        <w:spacing w:line="288" w:lineRule="auto"/>
        <w:jc w:val="both"/>
        <w:rPr>
          <w:rFonts w:eastAsia="Calibri" w:cs="Arial"/>
          <w:szCs w:val="20"/>
        </w:rPr>
      </w:pPr>
    </w:p>
    <w:p w:rsidR="00AE2155" w:rsidRPr="006E178C" w:rsidRDefault="00AE2155" w:rsidP="00B644CC">
      <w:pPr>
        <w:spacing w:line="288" w:lineRule="auto"/>
        <w:jc w:val="center"/>
        <w:rPr>
          <w:rFonts w:eastAsia="Calibri" w:cs="Arial"/>
          <w:b/>
          <w:szCs w:val="20"/>
        </w:rPr>
      </w:pPr>
      <w:r w:rsidRPr="001C7A64">
        <w:rPr>
          <w:rFonts w:eastAsia="Calibri" w:cs="Arial"/>
          <w:b/>
          <w:szCs w:val="20"/>
        </w:rPr>
        <w:t>4. člen</w:t>
      </w:r>
    </w:p>
    <w:p w:rsidR="00AE2155" w:rsidRPr="006E178C" w:rsidRDefault="00AE2155" w:rsidP="00B644CC">
      <w:pPr>
        <w:spacing w:line="288" w:lineRule="auto"/>
        <w:jc w:val="center"/>
        <w:rPr>
          <w:rFonts w:eastAsia="Calibri" w:cs="Arial"/>
          <w:b/>
          <w:szCs w:val="20"/>
        </w:rPr>
      </w:pPr>
    </w:p>
    <w:p w:rsidR="00AE2155" w:rsidRDefault="00AE2155" w:rsidP="00B644CC">
      <w:pPr>
        <w:spacing w:line="288" w:lineRule="auto"/>
        <w:jc w:val="both"/>
        <w:rPr>
          <w:rFonts w:eastAsia="Calibri" w:cs="Arial"/>
          <w:szCs w:val="20"/>
        </w:rPr>
      </w:pPr>
      <w:bookmarkStart w:id="25" w:name="_Hlk29466513"/>
      <w:r w:rsidRPr="00B8339A">
        <w:rPr>
          <w:rFonts w:eastAsia="Calibri" w:cs="Arial"/>
          <w:szCs w:val="20"/>
        </w:rPr>
        <w:t>45. člen se spremeni tako, da se glasi:</w:t>
      </w:r>
    </w:p>
    <w:p w:rsidR="00C20D0A" w:rsidRDefault="00C20D0A" w:rsidP="00B644CC">
      <w:pPr>
        <w:spacing w:line="288" w:lineRule="auto"/>
        <w:jc w:val="both"/>
        <w:rPr>
          <w:rFonts w:eastAsia="Calibri" w:cs="Arial"/>
          <w:szCs w:val="20"/>
        </w:rPr>
      </w:pPr>
    </w:p>
    <w:p w:rsidR="00C20D0A" w:rsidRPr="00C20D0A" w:rsidRDefault="00C20D0A" w:rsidP="00C20D0A">
      <w:pPr>
        <w:spacing w:line="288" w:lineRule="auto"/>
        <w:jc w:val="center"/>
        <w:rPr>
          <w:rFonts w:eastAsia="Calibri" w:cs="Arial"/>
          <w:b/>
          <w:bCs/>
          <w:szCs w:val="20"/>
        </w:rPr>
      </w:pPr>
      <w:r>
        <w:rPr>
          <w:rFonts w:eastAsia="Calibri" w:cs="Arial"/>
          <w:szCs w:val="20"/>
        </w:rPr>
        <w:t>»</w:t>
      </w:r>
      <w:r w:rsidRPr="00C20D0A">
        <w:rPr>
          <w:rFonts w:eastAsia="Calibri" w:cs="Arial"/>
          <w:b/>
          <w:bCs/>
          <w:szCs w:val="20"/>
        </w:rPr>
        <w:t>45. člen</w:t>
      </w:r>
    </w:p>
    <w:p w:rsidR="00C20D0A" w:rsidRPr="00C20D0A" w:rsidRDefault="00C20D0A" w:rsidP="00C20D0A">
      <w:pPr>
        <w:spacing w:line="288" w:lineRule="auto"/>
        <w:jc w:val="center"/>
        <w:rPr>
          <w:rFonts w:eastAsia="Calibri" w:cs="Arial"/>
          <w:b/>
          <w:bCs/>
          <w:szCs w:val="20"/>
        </w:rPr>
      </w:pPr>
      <w:r w:rsidRPr="00C20D0A">
        <w:rPr>
          <w:rFonts w:eastAsia="Calibri" w:cs="Arial"/>
          <w:b/>
          <w:bCs/>
          <w:szCs w:val="20"/>
        </w:rPr>
        <w:t>(pripravljenost in dežurstvo)</w:t>
      </w:r>
    </w:p>
    <w:p w:rsidR="00AE2155" w:rsidRDefault="00AE2155" w:rsidP="00B644CC">
      <w:pPr>
        <w:spacing w:line="288" w:lineRule="auto"/>
        <w:jc w:val="both"/>
        <w:rPr>
          <w:rFonts w:eastAsia="Calibri" w:cs="Arial"/>
          <w:szCs w:val="20"/>
        </w:rPr>
      </w:pPr>
    </w:p>
    <w:p w:rsidR="00AE2155" w:rsidRDefault="00AE2155" w:rsidP="00B644CC">
      <w:pPr>
        <w:spacing w:line="288" w:lineRule="auto"/>
        <w:jc w:val="both"/>
        <w:rPr>
          <w:rFonts w:eastAsia="Calibri" w:cs="Arial"/>
          <w:szCs w:val="20"/>
        </w:rPr>
      </w:pPr>
      <w:r w:rsidRPr="006E178C">
        <w:rPr>
          <w:rFonts w:eastAsia="Calibri" w:cs="Arial"/>
          <w:szCs w:val="20"/>
        </w:rPr>
        <w:t xml:space="preserve">»(1) </w:t>
      </w:r>
      <w:bookmarkStart w:id="26" w:name="_Hlk33690260"/>
      <w:r>
        <w:rPr>
          <w:rFonts w:eastAsia="Calibri" w:cs="Arial"/>
          <w:szCs w:val="20"/>
        </w:rPr>
        <w:t>Z</w:t>
      </w:r>
      <w:r w:rsidRPr="00A53195">
        <w:rPr>
          <w:rFonts w:eastAsia="Calibri" w:cs="Arial"/>
          <w:szCs w:val="20"/>
        </w:rPr>
        <w:t xml:space="preserve">a </w:t>
      </w:r>
      <w:bookmarkStart w:id="27" w:name="_Hlk33689992"/>
      <w:r w:rsidRPr="00A53195">
        <w:rPr>
          <w:rFonts w:eastAsia="Calibri" w:cs="Arial"/>
          <w:szCs w:val="20"/>
        </w:rPr>
        <w:t>sodelovanje državnega tožilstva s policijo ter drugimi pristojnimi državnimi organi</w:t>
      </w:r>
      <w:r>
        <w:rPr>
          <w:rFonts w:eastAsia="Calibri" w:cs="Arial"/>
          <w:szCs w:val="20"/>
        </w:rPr>
        <w:t xml:space="preserve"> v predkazenskem postopku</w:t>
      </w:r>
      <w:r w:rsidRPr="00A53195">
        <w:rPr>
          <w:rFonts w:eastAsia="Calibri" w:cs="Arial"/>
          <w:szCs w:val="20"/>
        </w:rPr>
        <w:t xml:space="preserve">, ki obsega medsebojno obveščanje in usmerjanje predkazenskega postopka, </w:t>
      </w:r>
      <w:r>
        <w:rPr>
          <w:rFonts w:eastAsia="Calibri" w:cs="Arial"/>
          <w:szCs w:val="20"/>
        </w:rPr>
        <w:t xml:space="preserve">za </w:t>
      </w:r>
      <w:r w:rsidRPr="00A53195">
        <w:rPr>
          <w:rFonts w:eastAsia="Calibri" w:cs="Arial"/>
          <w:szCs w:val="20"/>
        </w:rPr>
        <w:t xml:space="preserve">zagotovitev udeležbe pri </w:t>
      </w:r>
      <w:r>
        <w:rPr>
          <w:rFonts w:eastAsia="Calibri" w:cs="Arial"/>
          <w:szCs w:val="20"/>
        </w:rPr>
        <w:t xml:space="preserve">nujnih </w:t>
      </w:r>
      <w:r w:rsidRPr="00A53195">
        <w:rPr>
          <w:rFonts w:eastAsia="Calibri" w:cs="Arial"/>
          <w:szCs w:val="20"/>
        </w:rPr>
        <w:t>procesnih dejanjih in drugih opravilih predkazenskega ali kazenskega postopka ter za druga nujna dejanja</w:t>
      </w:r>
      <w:r>
        <w:rPr>
          <w:rFonts w:eastAsia="Calibri" w:cs="Arial"/>
          <w:szCs w:val="20"/>
        </w:rPr>
        <w:t xml:space="preserve"> v predkazenskem postopku</w:t>
      </w:r>
      <w:bookmarkEnd w:id="27"/>
      <w:r>
        <w:rPr>
          <w:rFonts w:eastAsia="Calibri" w:cs="Arial"/>
          <w:szCs w:val="20"/>
        </w:rPr>
        <w:t xml:space="preserve"> se </w:t>
      </w:r>
      <w:r w:rsidRPr="006E178C">
        <w:rPr>
          <w:rFonts w:eastAsia="Calibri" w:cs="Arial"/>
          <w:szCs w:val="20"/>
        </w:rPr>
        <w:t>zunaj poslovnega časa državnega tožilstva</w:t>
      </w:r>
      <w:r>
        <w:rPr>
          <w:rFonts w:eastAsia="Calibri" w:cs="Arial"/>
          <w:szCs w:val="20"/>
        </w:rPr>
        <w:t xml:space="preserve"> organizira</w:t>
      </w:r>
      <w:r w:rsidRPr="00A53195">
        <w:rPr>
          <w:rFonts w:eastAsia="Calibri" w:cs="Arial"/>
          <w:szCs w:val="20"/>
        </w:rPr>
        <w:t xml:space="preserve"> dežurna služba</w:t>
      </w:r>
      <w:r>
        <w:rPr>
          <w:rFonts w:eastAsia="Calibri" w:cs="Arial"/>
          <w:szCs w:val="20"/>
        </w:rPr>
        <w:t>.</w:t>
      </w:r>
    </w:p>
    <w:bookmarkEnd w:id="26"/>
    <w:p w:rsidR="00AE2155" w:rsidRDefault="00AE2155" w:rsidP="00B644CC">
      <w:pPr>
        <w:spacing w:line="288" w:lineRule="auto"/>
        <w:jc w:val="both"/>
        <w:rPr>
          <w:rFonts w:eastAsia="Calibri" w:cs="Arial"/>
          <w:szCs w:val="20"/>
        </w:rPr>
      </w:pPr>
    </w:p>
    <w:p w:rsidR="00AE2155" w:rsidRPr="00685557" w:rsidRDefault="00AE2155" w:rsidP="00B644CC">
      <w:pPr>
        <w:spacing w:line="288" w:lineRule="auto"/>
        <w:ind w:right="28"/>
        <w:jc w:val="both"/>
        <w:rPr>
          <w:rFonts w:cs="Arial"/>
          <w:szCs w:val="20"/>
        </w:rPr>
      </w:pPr>
      <w:r w:rsidRPr="00685557">
        <w:rPr>
          <w:rFonts w:cs="Arial"/>
          <w:szCs w:val="20"/>
        </w:rPr>
        <w:t>(2) Dežurna služba se zagotavlja s pripravljenostjo za delo in dežurstvom</w:t>
      </w:r>
      <w:r w:rsidR="007D7920">
        <w:rPr>
          <w:rFonts w:cs="Arial"/>
          <w:noProof/>
          <w:szCs w:val="20"/>
          <w:lang w:eastAsia="sl-SI"/>
        </w:rPr>
        <w:t>.</w:t>
      </w:r>
    </w:p>
    <w:p w:rsidR="00AE2155" w:rsidRPr="00685557" w:rsidRDefault="00AE2155" w:rsidP="00B644CC">
      <w:pPr>
        <w:spacing w:line="288" w:lineRule="auto"/>
        <w:jc w:val="both"/>
        <w:rPr>
          <w:rFonts w:eastAsia="Calibri" w:cs="Arial"/>
          <w:szCs w:val="20"/>
        </w:rPr>
      </w:pPr>
    </w:p>
    <w:p w:rsidR="00AE2155" w:rsidRPr="00577470" w:rsidRDefault="00AE2155" w:rsidP="00B644CC">
      <w:pPr>
        <w:spacing w:line="288" w:lineRule="auto"/>
        <w:jc w:val="both"/>
        <w:rPr>
          <w:rFonts w:eastAsia="Calibri" w:cs="Arial"/>
          <w:szCs w:val="20"/>
        </w:rPr>
      </w:pPr>
      <w:r w:rsidRPr="00577470">
        <w:rPr>
          <w:rFonts w:eastAsia="Calibri" w:cs="Arial"/>
          <w:szCs w:val="20"/>
        </w:rPr>
        <w:t xml:space="preserve">(3) Pripravljenost </w:t>
      </w:r>
      <w:r w:rsidRPr="00577470">
        <w:rPr>
          <w:rFonts w:cs="Arial"/>
          <w:szCs w:val="20"/>
        </w:rPr>
        <w:t>za delo</w:t>
      </w:r>
      <w:r w:rsidRPr="00577470">
        <w:rPr>
          <w:rFonts w:eastAsia="Calibri" w:cs="Arial"/>
          <w:szCs w:val="20"/>
        </w:rPr>
        <w:t xml:space="preserve"> pomeni dosegljivost državnega tožilca po telefonu ali z uporabo drugih komunikacijskih sredstev za potrebe opravljanja dejanj iz prvega odstavka tega člena</w:t>
      </w:r>
      <w:r w:rsidR="00164605" w:rsidRPr="00577470">
        <w:rPr>
          <w:rFonts w:eastAsia="Calibri" w:cs="Arial"/>
          <w:szCs w:val="20"/>
        </w:rPr>
        <w:t xml:space="preserve"> </w:t>
      </w:r>
      <w:r w:rsidR="008A6184" w:rsidRPr="001D21AA">
        <w:rPr>
          <w:rFonts w:eastAsia="Calibri" w:cs="Arial"/>
          <w:szCs w:val="20"/>
        </w:rPr>
        <w:t>oziroma</w:t>
      </w:r>
      <w:r w:rsidR="00164605" w:rsidRPr="001D21AA">
        <w:rPr>
          <w:rFonts w:eastAsia="Calibri" w:cs="Arial"/>
          <w:szCs w:val="20"/>
        </w:rPr>
        <w:t xml:space="preserve"> </w:t>
      </w:r>
      <w:r w:rsidR="00164605" w:rsidRPr="001D21AA">
        <w:rPr>
          <w:lang w:val="x-none"/>
        </w:rPr>
        <w:lastRenderedPageBreak/>
        <w:t>prihod na delovno mesto ali na kraj, kjer je treba opraviti nujno procesno dejanje</w:t>
      </w:r>
      <w:r w:rsidRPr="00577470">
        <w:rPr>
          <w:rFonts w:eastAsia="Calibri" w:cs="Arial"/>
          <w:szCs w:val="20"/>
        </w:rPr>
        <w:t xml:space="preserve">. Ure pripravljenosti </w:t>
      </w:r>
      <w:r w:rsidRPr="00577470">
        <w:rPr>
          <w:rFonts w:cs="Arial"/>
          <w:szCs w:val="20"/>
        </w:rPr>
        <w:t>za delo</w:t>
      </w:r>
      <w:r w:rsidRPr="00577470">
        <w:rPr>
          <w:rFonts w:eastAsia="Calibri" w:cs="Arial"/>
          <w:szCs w:val="20"/>
        </w:rPr>
        <w:t xml:space="preserve"> se ne štejejo v delovni čas.</w:t>
      </w:r>
    </w:p>
    <w:p w:rsidR="00AE2155" w:rsidRDefault="00AE2155" w:rsidP="00B644CC">
      <w:pPr>
        <w:spacing w:line="288" w:lineRule="auto"/>
        <w:jc w:val="both"/>
        <w:rPr>
          <w:rFonts w:eastAsia="Calibri" w:cs="Arial"/>
          <w:szCs w:val="20"/>
        </w:rPr>
      </w:pPr>
    </w:p>
    <w:p w:rsidR="00AE2155" w:rsidRPr="006E178C" w:rsidRDefault="00AE2155" w:rsidP="00B644CC">
      <w:pPr>
        <w:spacing w:line="288" w:lineRule="auto"/>
        <w:jc w:val="both"/>
        <w:rPr>
          <w:rFonts w:eastAsia="Calibri" w:cs="Arial"/>
          <w:szCs w:val="20"/>
        </w:rPr>
      </w:pPr>
      <w:bookmarkStart w:id="28" w:name="_Hlk31289899"/>
      <w:r w:rsidRPr="006E178C">
        <w:rPr>
          <w:rFonts w:eastAsia="Calibri" w:cs="Arial"/>
          <w:szCs w:val="20"/>
        </w:rPr>
        <w:t>(</w:t>
      </w:r>
      <w:r>
        <w:rPr>
          <w:rFonts w:eastAsia="Calibri" w:cs="Arial"/>
          <w:szCs w:val="20"/>
        </w:rPr>
        <w:t>4</w:t>
      </w:r>
      <w:r w:rsidRPr="006E178C">
        <w:rPr>
          <w:rFonts w:eastAsia="Calibri" w:cs="Arial"/>
          <w:szCs w:val="20"/>
        </w:rPr>
        <w:t>) V času dežurstva državni tožilec opravlja dejanja iz prvega odstavka tega člena na delovnem mestu ali na drugem kraju</w:t>
      </w:r>
      <w:r>
        <w:rPr>
          <w:rFonts w:eastAsia="Calibri" w:cs="Arial"/>
          <w:szCs w:val="20"/>
        </w:rPr>
        <w:t xml:space="preserve">, </w:t>
      </w:r>
      <w:r w:rsidRPr="00685557">
        <w:t>kjer je treba opraviti dejanje iz prvega odstavka tega člena</w:t>
      </w:r>
      <w:r w:rsidRPr="00685557">
        <w:rPr>
          <w:rFonts w:eastAsia="Calibri" w:cs="Arial"/>
          <w:szCs w:val="20"/>
        </w:rPr>
        <w:t>. Ure dežurstva se štejejo v delovni čas.</w:t>
      </w:r>
    </w:p>
    <w:p w:rsidR="00AE2155" w:rsidRDefault="00AE2155" w:rsidP="00B644CC">
      <w:pPr>
        <w:spacing w:line="288" w:lineRule="auto"/>
        <w:jc w:val="both"/>
        <w:rPr>
          <w:rFonts w:eastAsia="Calibri" w:cs="Arial"/>
          <w:szCs w:val="20"/>
        </w:rPr>
      </w:pPr>
    </w:p>
    <w:bookmarkEnd w:id="28"/>
    <w:p w:rsidR="00AE2155" w:rsidRPr="00AA6478" w:rsidRDefault="00AE2155" w:rsidP="00B644CC">
      <w:pPr>
        <w:spacing w:line="288" w:lineRule="auto"/>
        <w:jc w:val="both"/>
        <w:rPr>
          <w:rFonts w:eastAsia="Calibri" w:cs="Arial"/>
          <w:szCs w:val="20"/>
        </w:rPr>
      </w:pPr>
      <w:r w:rsidRPr="006E178C">
        <w:rPr>
          <w:rFonts w:eastAsia="Calibri" w:cs="Arial"/>
          <w:szCs w:val="20"/>
        </w:rPr>
        <w:t>(</w:t>
      </w:r>
      <w:r w:rsidR="008A6184">
        <w:rPr>
          <w:rFonts w:eastAsia="Calibri" w:cs="Arial"/>
          <w:szCs w:val="20"/>
        </w:rPr>
        <w:t>5</w:t>
      </w:r>
      <w:r w:rsidRPr="006E178C">
        <w:rPr>
          <w:rFonts w:eastAsia="Calibri" w:cs="Arial"/>
          <w:szCs w:val="20"/>
        </w:rPr>
        <w:t xml:space="preserve">) Vodja državnega tožilstva lahko zaradi njihove pogostosti odredi opravljanje dejanj iz prvega odstavka tega člena izključno z dežurstvom. Načrt opravljanja dežurstva mora predhodno odobriti generalni državni tožilec na podlagi obrazloženega pisnega predloga vodje državnega tožilstva in </w:t>
      </w:r>
      <w:r w:rsidRPr="00AA6478">
        <w:rPr>
          <w:rFonts w:eastAsia="Calibri" w:cs="Arial"/>
          <w:szCs w:val="20"/>
        </w:rPr>
        <w:t>o tem obvestiti ministrstvo.</w:t>
      </w:r>
    </w:p>
    <w:p w:rsidR="00AE2155" w:rsidRDefault="00AE2155" w:rsidP="00B644CC">
      <w:pPr>
        <w:spacing w:line="288" w:lineRule="auto"/>
        <w:jc w:val="both"/>
        <w:rPr>
          <w:rFonts w:eastAsia="Calibri" w:cs="Arial"/>
          <w:szCs w:val="20"/>
        </w:rPr>
      </w:pPr>
    </w:p>
    <w:p w:rsidR="00AE2155" w:rsidRPr="001D5747" w:rsidRDefault="00AE2155" w:rsidP="00B644CC">
      <w:pPr>
        <w:spacing w:line="288" w:lineRule="auto"/>
        <w:jc w:val="both"/>
        <w:rPr>
          <w:rFonts w:eastAsia="Calibri" w:cs="Arial"/>
          <w:strike/>
          <w:szCs w:val="20"/>
        </w:rPr>
      </w:pPr>
      <w:r w:rsidRPr="0022222A">
        <w:rPr>
          <w:rFonts w:eastAsia="Calibri" w:cs="Arial"/>
          <w:szCs w:val="20"/>
        </w:rPr>
        <w:t>(</w:t>
      </w:r>
      <w:r w:rsidR="008A6184">
        <w:rPr>
          <w:rFonts w:eastAsia="Calibri" w:cs="Arial"/>
          <w:szCs w:val="20"/>
        </w:rPr>
        <w:t>6</w:t>
      </w:r>
      <w:r w:rsidRPr="0022222A">
        <w:rPr>
          <w:rFonts w:eastAsia="Calibri" w:cs="Arial"/>
          <w:szCs w:val="20"/>
        </w:rPr>
        <w:t xml:space="preserve">) Ko državni tožilec v </w:t>
      </w:r>
      <w:r w:rsidRPr="002F7AD1">
        <w:rPr>
          <w:rFonts w:eastAsia="Calibri" w:cs="Arial"/>
          <w:szCs w:val="20"/>
        </w:rPr>
        <w:t>času odrejenega dežurstva iz prejšnjega odstavka ne opravlja</w:t>
      </w:r>
      <w:r w:rsidRPr="0022222A">
        <w:rPr>
          <w:rFonts w:eastAsia="Calibri" w:cs="Arial"/>
          <w:szCs w:val="20"/>
        </w:rPr>
        <w:t xml:space="preserve"> dejanj iz prvega odstavka tega člena, mora biti dosegljiv na delovnem mestu. </w:t>
      </w:r>
    </w:p>
    <w:p w:rsidR="00AE2155" w:rsidRPr="006E178C" w:rsidRDefault="00AE2155" w:rsidP="00B644CC">
      <w:pPr>
        <w:spacing w:line="288" w:lineRule="auto"/>
        <w:jc w:val="both"/>
        <w:rPr>
          <w:rFonts w:eastAsia="Calibri" w:cs="Arial"/>
          <w:szCs w:val="20"/>
        </w:rPr>
      </w:pPr>
    </w:p>
    <w:p w:rsidR="00AE2155" w:rsidRDefault="00AE2155" w:rsidP="00052C7C">
      <w:pPr>
        <w:pStyle w:val="datumtevilka"/>
        <w:suppressAutoHyphens/>
        <w:spacing w:line="288" w:lineRule="auto"/>
        <w:jc w:val="both"/>
        <w:rPr>
          <w:rFonts w:eastAsia="Calibri" w:cs="Arial"/>
        </w:rPr>
      </w:pPr>
      <w:r w:rsidRPr="006E178C">
        <w:rPr>
          <w:rFonts w:eastAsia="Calibri" w:cs="Arial"/>
        </w:rPr>
        <w:t>(</w:t>
      </w:r>
      <w:r w:rsidR="008A6184">
        <w:rPr>
          <w:rFonts w:eastAsia="Calibri" w:cs="Arial"/>
        </w:rPr>
        <w:t>7</w:t>
      </w:r>
      <w:r w:rsidRPr="006E178C">
        <w:rPr>
          <w:rFonts w:eastAsia="Calibri" w:cs="Arial"/>
        </w:rPr>
        <w:t xml:space="preserve">) Izvajanje </w:t>
      </w:r>
      <w:r w:rsidRPr="00685557">
        <w:rPr>
          <w:rFonts w:eastAsia="Calibri" w:cs="Arial"/>
        </w:rPr>
        <w:t>pripravljenosti za delo in</w:t>
      </w:r>
      <w:r w:rsidRPr="006E178C">
        <w:rPr>
          <w:rFonts w:eastAsia="Calibri" w:cs="Arial"/>
        </w:rPr>
        <w:t xml:space="preserve"> dežurstva, </w:t>
      </w:r>
      <w:r w:rsidR="00052C7C" w:rsidRPr="001E0D84">
        <w:rPr>
          <w:rFonts w:cs="Arial"/>
          <w:color w:val="000000"/>
        </w:rPr>
        <w:t xml:space="preserve">najdaljši sprejemljivi čas prihoda na delovno mesto ali kraj, kjer se opravlja nujno procesno dejanje, </w:t>
      </w:r>
      <w:r w:rsidRPr="006E178C">
        <w:rPr>
          <w:rFonts w:eastAsia="Calibri" w:cs="Arial"/>
        </w:rPr>
        <w:t xml:space="preserve">pogoji in način odrejanja se natančneje določijo z </w:t>
      </w:r>
      <w:proofErr w:type="spellStart"/>
      <w:r w:rsidRPr="006E178C">
        <w:rPr>
          <w:rFonts w:eastAsia="Calibri" w:cs="Arial"/>
        </w:rPr>
        <w:t>Državnotožilskim</w:t>
      </w:r>
      <w:proofErr w:type="spellEnd"/>
      <w:r w:rsidRPr="006E178C">
        <w:rPr>
          <w:rFonts w:eastAsia="Calibri" w:cs="Arial"/>
        </w:rPr>
        <w:t xml:space="preserve"> redom.«.</w:t>
      </w:r>
    </w:p>
    <w:p w:rsidR="00AE2155" w:rsidRDefault="00AE2155" w:rsidP="00B644CC">
      <w:pPr>
        <w:spacing w:line="288" w:lineRule="auto"/>
        <w:jc w:val="both"/>
        <w:rPr>
          <w:rFonts w:eastAsia="Calibri" w:cs="Arial"/>
          <w:szCs w:val="20"/>
        </w:rPr>
      </w:pPr>
    </w:p>
    <w:p w:rsidR="00AE2155" w:rsidRPr="00324027" w:rsidRDefault="00AE2155" w:rsidP="00B644CC">
      <w:pPr>
        <w:spacing w:line="288" w:lineRule="auto"/>
        <w:jc w:val="center"/>
        <w:rPr>
          <w:rFonts w:eastAsia="Calibri" w:cs="Arial"/>
          <w:b/>
          <w:szCs w:val="20"/>
        </w:rPr>
      </w:pPr>
      <w:r>
        <w:rPr>
          <w:rFonts w:eastAsia="Calibri" w:cs="Arial"/>
          <w:b/>
          <w:szCs w:val="20"/>
        </w:rPr>
        <w:t>5</w:t>
      </w:r>
      <w:r w:rsidRPr="00324027">
        <w:rPr>
          <w:rFonts w:eastAsia="Calibri" w:cs="Arial"/>
          <w:b/>
          <w:szCs w:val="20"/>
        </w:rPr>
        <w:t>. člen</w:t>
      </w:r>
    </w:p>
    <w:p w:rsidR="00AE2155" w:rsidRDefault="00AE2155" w:rsidP="00B644CC">
      <w:pPr>
        <w:spacing w:line="288" w:lineRule="auto"/>
        <w:jc w:val="both"/>
        <w:rPr>
          <w:rFonts w:eastAsia="Calibri" w:cs="Arial"/>
          <w:szCs w:val="20"/>
        </w:rPr>
      </w:pPr>
    </w:p>
    <w:p w:rsidR="00AE2155" w:rsidRDefault="00AE2155" w:rsidP="00B644CC">
      <w:pPr>
        <w:spacing w:line="288" w:lineRule="auto"/>
        <w:jc w:val="both"/>
        <w:rPr>
          <w:rFonts w:eastAsia="Calibri" w:cs="Arial"/>
          <w:szCs w:val="20"/>
        </w:rPr>
      </w:pPr>
      <w:r>
        <w:rPr>
          <w:rFonts w:eastAsia="Calibri" w:cs="Arial"/>
          <w:szCs w:val="20"/>
        </w:rPr>
        <w:t>V 46. členu se drugi odstavek spremeni tako, da se glasi:</w:t>
      </w:r>
    </w:p>
    <w:p w:rsidR="00AE2155" w:rsidRDefault="00AE2155" w:rsidP="00B644CC">
      <w:pPr>
        <w:spacing w:line="288" w:lineRule="auto"/>
        <w:jc w:val="both"/>
        <w:rPr>
          <w:rFonts w:eastAsia="Calibri" w:cs="Arial"/>
          <w:szCs w:val="20"/>
        </w:rPr>
      </w:pPr>
    </w:p>
    <w:p w:rsidR="00AE2155" w:rsidRPr="006E178C" w:rsidRDefault="00AE2155" w:rsidP="00B644CC">
      <w:pPr>
        <w:spacing w:line="288" w:lineRule="auto"/>
        <w:jc w:val="both"/>
        <w:rPr>
          <w:rFonts w:eastAsia="Calibri" w:cs="Arial"/>
          <w:szCs w:val="20"/>
        </w:rPr>
      </w:pPr>
      <w:r>
        <w:rPr>
          <w:rFonts w:eastAsia="Calibri" w:cs="Arial"/>
          <w:szCs w:val="20"/>
        </w:rPr>
        <w:t>»(2) Določba prejšnjega odstavka se uporablja tudi, če je državni tožilec izvoljen za poslanca evropskega parlamenta ali evropskega varuha človekovih pravic, imenovan za člana Evropske komisije, imenovan za evropskega glavnega tožilca ali napoten v mednarodno civilno misijo ali mednarodno organizacijo.«.</w:t>
      </w:r>
    </w:p>
    <w:bookmarkEnd w:id="25"/>
    <w:p w:rsidR="00AE2155" w:rsidRPr="006E178C" w:rsidRDefault="00AE2155" w:rsidP="00B644CC">
      <w:pPr>
        <w:spacing w:line="288" w:lineRule="auto"/>
        <w:rPr>
          <w:rFonts w:eastAsia="Calibri" w:cs="Arial"/>
          <w:szCs w:val="20"/>
        </w:rPr>
      </w:pPr>
    </w:p>
    <w:p w:rsidR="00AE2155" w:rsidRPr="006E178C" w:rsidRDefault="00AE2155" w:rsidP="00B644CC">
      <w:pPr>
        <w:spacing w:line="288" w:lineRule="auto"/>
        <w:jc w:val="center"/>
        <w:rPr>
          <w:rFonts w:eastAsia="Calibri" w:cs="Arial"/>
          <w:b/>
          <w:szCs w:val="20"/>
        </w:rPr>
      </w:pPr>
      <w:r>
        <w:rPr>
          <w:rFonts w:eastAsia="Calibri" w:cs="Arial"/>
          <w:b/>
          <w:szCs w:val="20"/>
        </w:rPr>
        <w:t>6</w:t>
      </w:r>
      <w:r w:rsidRPr="006E178C">
        <w:rPr>
          <w:rFonts w:eastAsia="Calibri" w:cs="Arial"/>
          <w:b/>
          <w:szCs w:val="20"/>
        </w:rPr>
        <w:t>. člen</w:t>
      </w:r>
    </w:p>
    <w:p w:rsidR="00AE2155" w:rsidRPr="006E178C" w:rsidRDefault="00AE2155" w:rsidP="00B644CC">
      <w:pPr>
        <w:spacing w:line="288" w:lineRule="auto"/>
        <w:rPr>
          <w:rFonts w:eastAsia="Calibri" w:cs="Arial"/>
          <w:szCs w:val="20"/>
        </w:rPr>
      </w:pPr>
    </w:p>
    <w:p w:rsidR="00AE2155" w:rsidRPr="006E178C" w:rsidRDefault="00AE2155" w:rsidP="00B644CC">
      <w:pPr>
        <w:spacing w:line="288" w:lineRule="auto"/>
        <w:rPr>
          <w:rFonts w:eastAsia="Calibri" w:cs="Arial"/>
          <w:szCs w:val="20"/>
        </w:rPr>
      </w:pPr>
      <w:r w:rsidRPr="006E178C">
        <w:rPr>
          <w:rFonts w:eastAsia="Calibri" w:cs="Arial"/>
          <w:szCs w:val="20"/>
        </w:rPr>
        <w:t>V 50. členu se drugi odstavek spremeni tako, da se glasi:</w:t>
      </w:r>
    </w:p>
    <w:p w:rsidR="00AE2155" w:rsidRDefault="00AE2155" w:rsidP="00B644CC">
      <w:pPr>
        <w:spacing w:line="288" w:lineRule="auto"/>
        <w:rPr>
          <w:rFonts w:eastAsia="Calibri" w:cs="Arial"/>
          <w:szCs w:val="20"/>
        </w:rPr>
      </w:pPr>
    </w:p>
    <w:p w:rsidR="00AE2155" w:rsidRPr="006E178C" w:rsidRDefault="00AE2155" w:rsidP="00B644CC">
      <w:pPr>
        <w:spacing w:line="288" w:lineRule="auto"/>
        <w:jc w:val="both"/>
        <w:rPr>
          <w:rFonts w:eastAsia="Calibri" w:cs="Arial"/>
          <w:szCs w:val="20"/>
        </w:rPr>
      </w:pPr>
      <w:r w:rsidRPr="006E178C">
        <w:rPr>
          <w:rFonts w:eastAsia="Calibri" w:cs="Arial"/>
          <w:szCs w:val="20"/>
        </w:rPr>
        <w:t xml:space="preserve">»(2) Če državni tožilec med </w:t>
      </w:r>
      <w:r w:rsidRPr="00685557">
        <w:rPr>
          <w:rFonts w:eastAsia="Calibri" w:cs="Arial"/>
          <w:szCs w:val="20"/>
        </w:rPr>
        <w:t>pripravljenostjo za delo prevzame opravljanje dejanj iz prvega odstavka 45. člena tega zakona, se ta čas evidentira in vrednoti kot delovni čas.«.</w:t>
      </w:r>
    </w:p>
    <w:p w:rsidR="00AE2155" w:rsidRDefault="00AE2155" w:rsidP="00B644CC">
      <w:pPr>
        <w:spacing w:line="288" w:lineRule="auto"/>
        <w:rPr>
          <w:rFonts w:eastAsia="Calibri" w:cs="Arial"/>
          <w:szCs w:val="20"/>
        </w:rPr>
      </w:pPr>
    </w:p>
    <w:p w:rsidR="00AE2155" w:rsidRPr="009D74CA" w:rsidRDefault="00AE2155" w:rsidP="00B644CC">
      <w:pPr>
        <w:spacing w:line="288" w:lineRule="auto"/>
        <w:jc w:val="center"/>
        <w:rPr>
          <w:rFonts w:eastAsia="Calibri" w:cs="Arial"/>
          <w:b/>
          <w:szCs w:val="20"/>
        </w:rPr>
      </w:pPr>
      <w:r>
        <w:rPr>
          <w:rFonts w:eastAsia="Calibri" w:cs="Arial"/>
          <w:b/>
          <w:szCs w:val="20"/>
        </w:rPr>
        <w:t>7</w:t>
      </w:r>
      <w:r w:rsidRPr="009D74CA">
        <w:rPr>
          <w:rFonts w:eastAsia="Calibri" w:cs="Arial"/>
          <w:b/>
          <w:szCs w:val="20"/>
        </w:rPr>
        <w:t>. člen</w:t>
      </w:r>
    </w:p>
    <w:p w:rsidR="00AE2155" w:rsidRDefault="00AE2155" w:rsidP="00B644CC">
      <w:pPr>
        <w:spacing w:line="288" w:lineRule="auto"/>
        <w:jc w:val="both"/>
        <w:rPr>
          <w:rFonts w:eastAsia="Calibri" w:cs="Arial"/>
          <w:szCs w:val="20"/>
        </w:rPr>
      </w:pPr>
    </w:p>
    <w:p w:rsidR="00AE2155" w:rsidRDefault="00AE2155" w:rsidP="00B644CC">
      <w:pPr>
        <w:spacing w:line="288" w:lineRule="auto"/>
        <w:jc w:val="both"/>
        <w:rPr>
          <w:rFonts w:eastAsia="Calibri" w:cs="Arial"/>
          <w:szCs w:val="20"/>
        </w:rPr>
      </w:pPr>
      <w:r w:rsidRPr="006E178C">
        <w:rPr>
          <w:rFonts w:eastAsia="Calibri" w:cs="Arial"/>
          <w:szCs w:val="20"/>
        </w:rPr>
        <w:t>V 62. členu se šesti odstavek črta</w:t>
      </w:r>
      <w:r>
        <w:rPr>
          <w:rFonts w:eastAsia="Calibri" w:cs="Arial"/>
          <w:szCs w:val="20"/>
        </w:rPr>
        <w:t xml:space="preserve">. </w:t>
      </w:r>
    </w:p>
    <w:p w:rsidR="00AE2155" w:rsidRPr="006E178C" w:rsidRDefault="00AE2155" w:rsidP="00B644CC">
      <w:pPr>
        <w:spacing w:line="288" w:lineRule="auto"/>
        <w:rPr>
          <w:rFonts w:eastAsia="Calibri" w:cs="Arial"/>
          <w:szCs w:val="20"/>
        </w:rPr>
      </w:pPr>
    </w:p>
    <w:p w:rsidR="00AE2155" w:rsidRPr="006E178C" w:rsidRDefault="00AE2155" w:rsidP="00B644CC">
      <w:pPr>
        <w:spacing w:line="288" w:lineRule="auto"/>
        <w:jc w:val="center"/>
        <w:rPr>
          <w:rFonts w:eastAsia="Calibri" w:cs="Arial"/>
          <w:b/>
          <w:szCs w:val="20"/>
        </w:rPr>
      </w:pPr>
      <w:r>
        <w:rPr>
          <w:rFonts w:eastAsia="Calibri" w:cs="Arial"/>
          <w:b/>
          <w:szCs w:val="20"/>
        </w:rPr>
        <w:t>8</w:t>
      </w:r>
      <w:r w:rsidRPr="006E178C">
        <w:rPr>
          <w:rFonts w:eastAsia="Calibri" w:cs="Arial"/>
          <w:b/>
          <w:szCs w:val="20"/>
        </w:rPr>
        <w:t>. člen</w:t>
      </w:r>
    </w:p>
    <w:p w:rsidR="00AE2155" w:rsidRPr="006E178C" w:rsidRDefault="00AE2155" w:rsidP="00B644CC">
      <w:pPr>
        <w:spacing w:line="288" w:lineRule="auto"/>
        <w:jc w:val="center"/>
        <w:rPr>
          <w:rFonts w:eastAsia="Calibri" w:cs="Arial"/>
          <w:szCs w:val="20"/>
          <w:shd w:val="clear" w:color="auto" w:fill="FFFFFF"/>
        </w:rPr>
      </w:pPr>
    </w:p>
    <w:p w:rsidR="00AE2155" w:rsidRDefault="00AE2155" w:rsidP="00B644CC">
      <w:pPr>
        <w:spacing w:line="288" w:lineRule="auto"/>
        <w:jc w:val="both"/>
        <w:rPr>
          <w:rFonts w:eastAsia="Calibri" w:cs="Arial"/>
          <w:szCs w:val="20"/>
          <w:shd w:val="clear" w:color="auto" w:fill="FFFFFF"/>
        </w:rPr>
      </w:pPr>
      <w:r w:rsidRPr="006E178C">
        <w:rPr>
          <w:rFonts w:eastAsia="Calibri" w:cs="Arial"/>
          <w:szCs w:val="20"/>
          <w:shd w:val="clear" w:color="auto" w:fill="FFFFFF"/>
        </w:rPr>
        <w:t xml:space="preserve">V 65. členu se </w:t>
      </w:r>
      <w:r>
        <w:rPr>
          <w:rFonts w:eastAsia="Calibri" w:cs="Arial"/>
          <w:szCs w:val="20"/>
          <w:shd w:val="clear" w:color="auto" w:fill="FFFFFF"/>
        </w:rPr>
        <w:t>v drugem odstavku besedilo »po izteku dodelitve« črta.</w:t>
      </w:r>
    </w:p>
    <w:p w:rsidR="00AE2155" w:rsidRDefault="00AE2155" w:rsidP="00B644CC">
      <w:pPr>
        <w:spacing w:line="288" w:lineRule="auto"/>
        <w:jc w:val="both"/>
        <w:rPr>
          <w:rFonts w:eastAsia="Calibri" w:cs="Arial"/>
          <w:szCs w:val="20"/>
          <w:shd w:val="clear" w:color="auto" w:fill="FFFFFF"/>
        </w:rPr>
      </w:pPr>
    </w:p>
    <w:p w:rsidR="00AE2155" w:rsidRPr="006E178C" w:rsidRDefault="00AE2155" w:rsidP="00B644CC">
      <w:pPr>
        <w:spacing w:line="288" w:lineRule="auto"/>
        <w:jc w:val="both"/>
        <w:rPr>
          <w:rFonts w:eastAsia="Calibri" w:cs="Arial"/>
          <w:szCs w:val="20"/>
          <w:shd w:val="clear" w:color="auto" w:fill="FFFFFF"/>
        </w:rPr>
      </w:pPr>
      <w:r>
        <w:rPr>
          <w:rFonts w:eastAsia="Calibri" w:cs="Arial"/>
          <w:szCs w:val="20"/>
          <w:shd w:val="clear" w:color="auto" w:fill="FFFFFF"/>
        </w:rPr>
        <w:t>T</w:t>
      </w:r>
      <w:r w:rsidRPr="006E178C">
        <w:rPr>
          <w:rFonts w:eastAsia="Calibri" w:cs="Arial"/>
          <w:szCs w:val="20"/>
          <w:shd w:val="clear" w:color="auto" w:fill="FFFFFF"/>
        </w:rPr>
        <w:t xml:space="preserve">retji odstavek </w:t>
      </w:r>
      <w:r>
        <w:rPr>
          <w:rFonts w:eastAsia="Calibri" w:cs="Arial"/>
          <w:szCs w:val="20"/>
          <w:shd w:val="clear" w:color="auto" w:fill="FFFFFF"/>
        </w:rPr>
        <w:t>se spremeni tako, da se glasi:</w:t>
      </w:r>
    </w:p>
    <w:p w:rsidR="00AE2155" w:rsidRDefault="00AE2155" w:rsidP="00B644CC">
      <w:pPr>
        <w:spacing w:line="288" w:lineRule="auto"/>
        <w:jc w:val="both"/>
        <w:rPr>
          <w:rFonts w:eastAsia="Calibri" w:cs="Arial"/>
          <w:szCs w:val="20"/>
          <w:shd w:val="clear" w:color="auto" w:fill="FFFFFF"/>
        </w:rPr>
      </w:pPr>
    </w:p>
    <w:p w:rsidR="00AE2155" w:rsidRPr="006E178C" w:rsidRDefault="00AE2155" w:rsidP="00B644CC">
      <w:pPr>
        <w:spacing w:line="288" w:lineRule="auto"/>
        <w:jc w:val="both"/>
        <w:rPr>
          <w:rFonts w:eastAsia="Calibri" w:cs="Arial"/>
          <w:szCs w:val="20"/>
          <w:shd w:val="clear" w:color="auto" w:fill="FFFFFF"/>
        </w:rPr>
      </w:pPr>
      <w:r>
        <w:rPr>
          <w:rFonts w:eastAsia="Calibri" w:cs="Arial"/>
          <w:szCs w:val="20"/>
          <w:shd w:val="clear" w:color="auto" w:fill="FFFFFF"/>
        </w:rPr>
        <w:t>»</w:t>
      </w:r>
      <w:r w:rsidRPr="006E178C">
        <w:rPr>
          <w:rFonts w:eastAsia="Calibri" w:cs="Arial"/>
          <w:szCs w:val="20"/>
          <w:shd w:val="clear" w:color="auto" w:fill="FFFFFF"/>
        </w:rPr>
        <w:t>(3) Državni tožilec iz prvega odstavka</w:t>
      </w:r>
      <w:r w:rsidR="00C20D0A">
        <w:rPr>
          <w:rFonts w:eastAsia="Calibri" w:cs="Arial"/>
          <w:szCs w:val="20"/>
          <w:shd w:val="clear" w:color="auto" w:fill="FFFFFF"/>
        </w:rPr>
        <w:t xml:space="preserve"> tega člena</w:t>
      </w:r>
      <w:r w:rsidRPr="006E178C">
        <w:rPr>
          <w:rFonts w:eastAsia="Calibri" w:cs="Arial"/>
          <w:szCs w:val="20"/>
          <w:shd w:val="clear" w:color="auto" w:fill="FFFFFF"/>
        </w:rPr>
        <w:t xml:space="preserve"> ima na podlagi dodelitve pravico do dodatkov, določenih z zakonom</w:t>
      </w:r>
      <w:r w:rsidR="008C4D0E">
        <w:rPr>
          <w:rFonts w:eastAsia="Calibri" w:cs="Arial"/>
          <w:szCs w:val="20"/>
          <w:shd w:val="clear" w:color="auto" w:fill="FFFFFF"/>
        </w:rPr>
        <w:t>, ki ureja sistem plač v javnem sektorju</w:t>
      </w:r>
      <w:r w:rsidRPr="006E178C">
        <w:rPr>
          <w:rFonts w:eastAsia="Calibri" w:cs="Arial"/>
          <w:szCs w:val="20"/>
          <w:shd w:val="clear" w:color="auto" w:fill="FFFFFF"/>
        </w:rPr>
        <w:t xml:space="preserve">. Pri oceni </w:t>
      </w:r>
      <w:proofErr w:type="spellStart"/>
      <w:r w:rsidRPr="006E178C">
        <w:rPr>
          <w:rFonts w:eastAsia="Calibri" w:cs="Arial"/>
          <w:szCs w:val="20"/>
          <w:shd w:val="clear" w:color="auto" w:fill="FFFFFF"/>
        </w:rPr>
        <w:t>državnotožilske</w:t>
      </w:r>
      <w:proofErr w:type="spellEnd"/>
      <w:r w:rsidRPr="006E178C">
        <w:rPr>
          <w:rFonts w:eastAsia="Calibri" w:cs="Arial"/>
          <w:szCs w:val="20"/>
          <w:shd w:val="clear" w:color="auto" w:fill="FFFFFF"/>
        </w:rPr>
        <w:t xml:space="preserve"> službe za čas dodelitve se upošteva</w:t>
      </w:r>
      <w:r w:rsidR="00323F7E">
        <w:rPr>
          <w:rFonts w:eastAsia="Calibri" w:cs="Arial"/>
          <w:szCs w:val="20"/>
          <w:shd w:val="clear" w:color="auto" w:fill="FFFFFF"/>
        </w:rPr>
        <w:t>ta</w:t>
      </w:r>
      <w:r w:rsidRPr="006E178C">
        <w:rPr>
          <w:rFonts w:eastAsia="Calibri" w:cs="Arial"/>
          <w:szCs w:val="20"/>
          <w:shd w:val="clear" w:color="auto" w:fill="FFFFFF"/>
        </w:rPr>
        <w:t xml:space="preserve"> </w:t>
      </w:r>
      <w:r w:rsidR="00186C9B">
        <w:rPr>
          <w:rFonts w:eastAsia="Calibri" w:cs="Arial"/>
          <w:szCs w:val="20"/>
          <w:shd w:val="clear" w:color="auto" w:fill="FFFFFF"/>
        </w:rPr>
        <w:t>poročilo o delu, ki ga izdela državni tožilec</w:t>
      </w:r>
      <w:r w:rsidR="00186C9B" w:rsidRPr="006E178C">
        <w:rPr>
          <w:rFonts w:eastAsia="Calibri" w:cs="Arial"/>
          <w:szCs w:val="20"/>
          <w:shd w:val="clear" w:color="auto" w:fill="FFFFFF"/>
        </w:rPr>
        <w:t xml:space="preserve"> </w:t>
      </w:r>
      <w:r w:rsidR="00186C9B">
        <w:rPr>
          <w:rFonts w:eastAsia="Calibri" w:cs="Arial"/>
          <w:szCs w:val="20"/>
          <w:shd w:val="clear" w:color="auto" w:fill="FFFFFF"/>
        </w:rPr>
        <w:t xml:space="preserve">in </w:t>
      </w:r>
      <w:r w:rsidRPr="006E178C">
        <w:rPr>
          <w:rFonts w:eastAsia="Calibri" w:cs="Arial"/>
          <w:szCs w:val="20"/>
          <w:shd w:val="clear" w:color="auto" w:fill="FFFFFF"/>
        </w:rPr>
        <w:t xml:space="preserve">mnenje o delu državnega tožilca, ki ga za namene ocene </w:t>
      </w:r>
      <w:proofErr w:type="spellStart"/>
      <w:r w:rsidRPr="006E178C">
        <w:rPr>
          <w:rFonts w:eastAsia="Calibri" w:cs="Arial"/>
          <w:szCs w:val="20"/>
          <w:shd w:val="clear" w:color="auto" w:fill="FFFFFF"/>
        </w:rPr>
        <w:t>državnotožilske</w:t>
      </w:r>
      <w:proofErr w:type="spellEnd"/>
      <w:r w:rsidRPr="006E178C">
        <w:rPr>
          <w:rFonts w:eastAsia="Calibri" w:cs="Arial"/>
          <w:szCs w:val="20"/>
          <w:shd w:val="clear" w:color="auto" w:fill="FFFFFF"/>
        </w:rPr>
        <w:t xml:space="preserve"> službe izdela predstojnik organa, pri katerem je oziroma je bil državni tožilec dodeljen.«.</w:t>
      </w:r>
    </w:p>
    <w:p w:rsidR="00AE2155" w:rsidRPr="00191E11" w:rsidRDefault="00AE2155" w:rsidP="00B644CC">
      <w:pPr>
        <w:spacing w:line="288" w:lineRule="auto"/>
        <w:rPr>
          <w:rFonts w:eastAsia="Calibri" w:cs="Arial"/>
          <w:b/>
          <w:szCs w:val="20"/>
        </w:rPr>
      </w:pPr>
    </w:p>
    <w:p w:rsidR="00AE2155" w:rsidRDefault="00AE2155" w:rsidP="00B644CC">
      <w:pPr>
        <w:pStyle w:val="Odstavekseznama"/>
        <w:spacing w:line="288" w:lineRule="auto"/>
        <w:ind w:left="0"/>
        <w:jc w:val="center"/>
        <w:rPr>
          <w:rFonts w:eastAsia="Calibri" w:cs="Arial"/>
          <w:b/>
          <w:szCs w:val="20"/>
        </w:rPr>
      </w:pPr>
      <w:r>
        <w:rPr>
          <w:rFonts w:eastAsia="Calibri" w:cs="Arial"/>
          <w:b/>
          <w:szCs w:val="20"/>
        </w:rPr>
        <w:t xml:space="preserve">9. </w:t>
      </w:r>
      <w:r w:rsidRPr="00746AD7">
        <w:rPr>
          <w:rFonts w:eastAsia="Calibri" w:cs="Arial"/>
          <w:b/>
          <w:szCs w:val="20"/>
        </w:rPr>
        <w:t>člen</w:t>
      </w:r>
    </w:p>
    <w:p w:rsidR="00AE2155" w:rsidRDefault="00AE2155" w:rsidP="00B644CC">
      <w:pPr>
        <w:pStyle w:val="Odstavekseznama"/>
        <w:spacing w:line="288" w:lineRule="auto"/>
        <w:ind w:left="0"/>
        <w:jc w:val="both"/>
        <w:rPr>
          <w:rFonts w:eastAsia="Calibri" w:cs="Arial"/>
          <w:b/>
          <w:szCs w:val="20"/>
        </w:rPr>
      </w:pPr>
    </w:p>
    <w:p w:rsidR="00AE2155" w:rsidRPr="009A70E3" w:rsidRDefault="00AE2155" w:rsidP="00B644CC">
      <w:pPr>
        <w:pStyle w:val="Odstavekseznama"/>
        <w:spacing w:line="288" w:lineRule="auto"/>
        <w:ind w:left="0"/>
        <w:jc w:val="both"/>
        <w:rPr>
          <w:rFonts w:eastAsia="Calibri" w:cs="Arial"/>
          <w:szCs w:val="20"/>
        </w:rPr>
      </w:pPr>
      <w:r w:rsidRPr="009A70E3">
        <w:rPr>
          <w:rFonts w:eastAsia="Calibri" w:cs="Arial"/>
          <w:szCs w:val="20"/>
        </w:rPr>
        <w:t>Za 67. členom se naslov 8. oddelka spremeni in doda nov 67.a člen, ki se glasi:</w:t>
      </w:r>
    </w:p>
    <w:p w:rsidR="00AE2155" w:rsidRDefault="00AE2155" w:rsidP="00B644CC">
      <w:pPr>
        <w:pStyle w:val="Odstavekseznama"/>
        <w:spacing w:line="288" w:lineRule="auto"/>
        <w:ind w:left="0"/>
        <w:jc w:val="center"/>
        <w:rPr>
          <w:rFonts w:eastAsia="Calibri" w:cs="Arial"/>
          <w:b/>
          <w:szCs w:val="20"/>
        </w:rPr>
      </w:pPr>
    </w:p>
    <w:p w:rsidR="00AE2155" w:rsidRPr="00323F7E" w:rsidRDefault="00AE2155" w:rsidP="00B644CC">
      <w:pPr>
        <w:pStyle w:val="Odstavekseznama"/>
        <w:spacing w:line="288" w:lineRule="auto"/>
        <w:ind w:left="0"/>
        <w:jc w:val="center"/>
        <w:rPr>
          <w:rFonts w:eastAsia="Calibri" w:cs="Arial"/>
          <w:bCs/>
          <w:szCs w:val="20"/>
        </w:rPr>
      </w:pPr>
      <w:r w:rsidRPr="00323F7E">
        <w:rPr>
          <w:rFonts w:eastAsia="Calibri" w:cs="Arial"/>
          <w:bCs/>
          <w:szCs w:val="20"/>
        </w:rPr>
        <w:t>»8. oddelek</w:t>
      </w:r>
    </w:p>
    <w:p w:rsidR="00AE2155" w:rsidRPr="00323F7E" w:rsidRDefault="00AE2155" w:rsidP="00B644CC">
      <w:pPr>
        <w:pStyle w:val="Odstavekseznama"/>
        <w:spacing w:line="288" w:lineRule="auto"/>
        <w:ind w:left="0"/>
        <w:jc w:val="center"/>
        <w:rPr>
          <w:rFonts w:eastAsia="Calibri" w:cs="Arial"/>
          <w:bCs/>
          <w:szCs w:val="20"/>
        </w:rPr>
      </w:pPr>
      <w:r w:rsidRPr="00323F7E">
        <w:rPr>
          <w:rFonts w:eastAsia="Calibri" w:cs="Arial"/>
          <w:bCs/>
          <w:szCs w:val="20"/>
        </w:rPr>
        <w:t xml:space="preserve">Nacionalni predstavnik, njegov namestnik in pomočnik v </w:t>
      </w:r>
      <w:proofErr w:type="spellStart"/>
      <w:r w:rsidRPr="00323F7E">
        <w:rPr>
          <w:rFonts w:eastAsia="Calibri" w:cs="Arial"/>
          <w:bCs/>
          <w:szCs w:val="20"/>
        </w:rPr>
        <w:t>Eurojustu</w:t>
      </w:r>
      <w:proofErr w:type="spellEnd"/>
    </w:p>
    <w:p w:rsidR="00AE2155" w:rsidRDefault="00AE2155" w:rsidP="00B644CC">
      <w:pPr>
        <w:pStyle w:val="Odstavekseznama"/>
        <w:spacing w:line="288" w:lineRule="auto"/>
        <w:ind w:left="0"/>
        <w:jc w:val="center"/>
        <w:rPr>
          <w:rFonts w:eastAsia="Calibri" w:cs="Arial"/>
          <w:b/>
          <w:szCs w:val="20"/>
        </w:rPr>
      </w:pPr>
    </w:p>
    <w:p w:rsidR="00AE2155" w:rsidRDefault="00AE2155" w:rsidP="00B644CC">
      <w:pPr>
        <w:pStyle w:val="Odstavekseznama"/>
        <w:spacing w:line="288" w:lineRule="auto"/>
        <w:ind w:left="0"/>
        <w:jc w:val="center"/>
        <w:rPr>
          <w:rFonts w:eastAsia="Calibri" w:cs="Arial"/>
          <w:b/>
          <w:szCs w:val="20"/>
        </w:rPr>
      </w:pPr>
      <w:bookmarkStart w:id="29" w:name="_Hlk43298170"/>
      <w:r>
        <w:rPr>
          <w:rFonts w:eastAsia="Calibri" w:cs="Arial"/>
          <w:b/>
          <w:szCs w:val="20"/>
        </w:rPr>
        <w:t>67.a člen</w:t>
      </w:r>
    </w:p>
    <w:p w:rsidR="00C20D0A" w:rsidRDefault="00C20D0A" w:rsidP="00B644CC">
      <w:pPr>
        <w:pStyle w:val="Odstavekseznama"/>
        <w:spacing w:line="288" w:lineRule="auto"/>
        <w:ind w:left="0"/>
        <w:jc w:val="center"/>
        <w:rPr>
          <w:rFonts w:eastAsia="Calibri" w:cs="Arial"/>
          <w:b/>
          <w:szCs w:val="20"/>
        </w:rPr>
      </w:pPr>
      <w:r>
        <w:rPr>
          <w:rFonts w:eastAsia="Calibri" w:cs="Arial"/>
          <w:b/>
          <w:szCs w:val="20"/>
        </w:rPr>
        <w:t xml:space="preserve">(nacionalni člani v </w:t>
      </w:r>
      <w:proofErr w:type="spellStart"/>
      <w:r>
        <w:rPr>
          <w:rFonts w:eastAsia="Calibri" w:cs="Arial"/>
          <w:b/>
          <w:szCs w:val="20"/>
        </w:rPr>
        <w:t>Eurojustu</w:t>
      </w:r>
      <w:proofErr w:type="spellEnd"/>
      <w:r>
        <w:rPr>
          <w:rFonts w:eastAsia="Calibri" w:cs="Arial"/>
          <w:b/>
          <w:szCs w:val="20"/>
        </w:rPr>
        <w:t>)</w:t>
      </w:r>
    </w:p>
    <w:p w:rsidR="00AE2155" w:rsidRDefault="00AE2155" w:rsidP="00B644CC">
      <w:pPr>
        <w:pStyle w:val="Odstavekseznama"/>
        <w:spacing w:line="288" w:lineRule="auto"/>
        <w:ind w:left="0"/>
        <w:jc w:val="center"/>
        <w:rPr>
          <w:rFonts w:eastAsia="Calibri" w:cs="Arial"/>
          <w:b/>
          <w:szCs w:val="20"/>
        </w:rPr>
      </w:pPr>
    </w:p>
    <w:p w:rsidR="008C4D0E" w:rsidRDefault="008C4D0E" w:rsidP="00B644CC">
      <w:pPr>
        <w:pStyle w:val="Odstavekseznama"/>
        <w:spacing w:line="288" w:lineRule="auto"/>
        <w:ind w:left="0"/>
        <w:jc w:val="both"/>
        <w:rPr>
          <w:rFonts w:eastAsia="Calibri" w:cs="Arial"/>
          <w:szCs w:val="20"/>
        </w:rPr>
      </w:pPr>
      <w:r>
        <w:rPr>
          <w:rFonts w:eastAsia="Calibri" w:cs="Arial"/>
          <w:szCs w:val="20"/>
        </w:rPr>
        <w:t xml:space="preserve">(1) </w:t>
      </w:r>
      <w:r w:rsidR="0093366C">
        <w:rPr>
          <w:rFonts w:eastAsia="Calibri" w:cs="Arial"/>
          <w:szCs w:val="20"/>
        </w:rPr>
        <w:t xml:space="preserve">Nacionalni člani v </w:t>
      </w:r>
      <w:proofErr w:type="spellStart"/>
      <w:r w:rsidR="0093366C">
        <w:rPr>
          <w:rFonts w:eastAsia="Calibri" w:cs="Arial"/>
          <w:szCs w:val="20"/>
        </w:rPr>
        <w:t>Eurojustu</w:t>
      </w:r>
      <w:proofErr w:type="spellEnd"/>
      <w:r w:rsidR="0093366C">
        <w:rPr>
          <w:rFonts w:eastAsia="Calibri" w:cs="Arial"/>
          <w:szCs w:val="20"/>
        </w:rPr>
        <w:t xml:space="preserve"> so nacionalni predstavnik, njegov namestnik in pomočnik</w:t>
      </w:r>
      <w:r w:rsidR="00AE2155" w:rsidRPr="00E6158A">
        <w:rPr>
          <w:rFonts w:eastAsia="Calibri" w:cs="Arial"/>
          <w:szCs w:val="20"/>
        </w:rPr>
        <w:t>.</w:t>
      </w:r>
    </w:p>
    <w:p w:rsidR="008C4D0E" w:rsidRDefault="008C4D0E" w:rsidP="00B644CC">
      <w:pPr>
        <w:pStyle w:val="Odstavekseznama"/>
        <w:spacing w:line="288" w:lineRule="auto"/>
        <w:ind w:left="0"/>
        <w:jc w:val="both"/>
        <w:rPr>
          <w:rFonts w:eastAsia="Calibri" w:cs="Arial"/>
          <w:szCs w:val="20"/>
        </w:rPr>
      </w:pPr>
    </w:p>
    <w:p w:rsidR="00AE2155" w:rsidRPr="00E6158A" w:rsidRDefault="008C4D0E" w:rsidP="00B644CC">
      <w:pPr>
        <w:pStyle w:val="Odstavekseznama"/>
        <w:spacing w:line="288" w:lineRule="auto"/>
        <w:ind w:left="0"/>
        <w:jc w:val="both"/>
        <w:rPr>
          <w:rFonts w:eastAsia="Calibri" w:cs="Arial"/>
          <w:szCs w:val="20"/>
        </w:rPr>
      </w:pPr>
      <w:r>
        <w:rPr>
          <w:rFonts w:eastAsia="Calibri" w:cs="Arial"/>
          <w:szCs w:val="20"/>
        </w:rPr>
        <w:t xml:space="preserve">(2) Nacionalni predstavnik </w:t>
      </w:r>
      <w:r w:rsidR="008A4B1B">
        <w:rPr>
          <w:rFonts w:eastAsia="Calibri" w:cs="Arial"/>
          <w:szCs w:val="20"/>
        </w:rPr>
        <w:t xml:space="preserve">in njegov namestnik </w:t>
      </w:r>
      <w:r>
        <w:rPr>
          <w:rFonts w:eastAsia="Calibri" w:cs="Arial"/>
          <w:szCs w:val="20"/>
        </w:rPr>
        <w:t>opravlja</w:t>
      </w:r>
      <w:r w:rsidR="008A4B1B">
        <w:rPr>
          <w:rFonts w:eastAsia="Calibri" w:cs="Arial"/>
          <w:szCs w:val="20"/>
        </w:rPr>
        <w:t>ta</w:t>
      </w:r>
      <w:r>
        <w:rPr>
          <w:rFonts w:eastAsia="Calibri" w:cs="Arial"/>
          <w:szCs w:val="20"/>
        </w:rPr>
        <w:t xml:space="preserve"> naloge na sedežu </w:t>
      </w:r>
      <w:proofErr w:type="spellStart"/>
      <w:r>
        <w:rPr>
          <w:rFonts w:eastAsia="Calibri" w:cs="Arial"/>
          <w:szCs w:val="20"/>
        </w:rPr>
        <w:t>Eurojusta</w:t>
      </w:r>
      <w:proofErr w:type="spellEnd"/>
      <w:r w:rsidR="00806A01">
        <w:rPr>
          <w:rFonts w:eastAsia="Calibri" w:cs="Arial"/>
          <w:szCs w:val="20"/>
        </w:rPr>
        <w:t xml:space="preserve">, pomočnik pa na </w:t>
      </w:r>
      <w:r w:rsidR="00481B17">
        <w:rPr>
          <w:rFonts w:eastAsia="Calibri" w:cs="Arial"/>
          <w:szCs w:val="20"/>
        </w:rPr>
        <w:t>v</w:t>
      </w:r>
      <w:r w:rsidR="00806A01">
        <w:rPr>
          <w:rFonts w:eastAsia="Calibri" w:cs="Arial"/>
          <w:szCs w:val="20"/>
        </w:rPr>
        <w:t>rhovnem državnem tožilstvu</w:t>
      </w:r>
      <w:r>
        <w:rPr>
          <w:rFonts w:eastAsia="Calibri" w:cs="Arial"/>
          <w:szCs w:val="20"/>
        </w:rPr>
        <w:t xml:space="preserve">. </w:t>
      </w:r>
      <w:r w:rsidR="00FC1713">
        <w:rPr>
          <w:rFonts w:eastAsia="Calibri" w:cs="Arial"/>
          <w:szCs w:val="20"/>
        </w:rPr>
        <w:t xml:space="preserve">Če je to potrebno lahko na obrazložen predlog </w:t>
      </w:r>
      <w:r>
        <w:rPr>
          <w:rFonts w:eastAsia="Calibri" w:cs="Arial"/>
          <w:szCs w:val="20"/>
        </w:rPr>
        <w:t>nacionalnega predstavnika</w:t>
      </w:r>
      <w:r w:rsidR="008A4B1B">
        <w:rPr>
          <w:rFonts w:eastAsia="Calibri" w:cs="Arial"/>
          <w:szCs w:val="20"/>
        </w:rPr>
        <w:t xml:space="preserve"> pomočnik opravlja naloge tudi na sedežu </w:t>
      </w:r>
      <w:proofErr w:type="spellStart"/>
      <w:r w:rsidR="008A4B1B">
        <w:rPr>
          <w:rFonts w:eastAsia="Calibri" w:cs="Arial"/>
          <w:szCs w:val="20"/>
        </w:rPr>
        <w:t>Eurojusta</w:t>
      </w:r>
      <w:proofErr w:type="spellEnd"/>
      <w:r w:rsidR="008A4B1B">
        <w:rPr>
          <w:rFonts w:eastAsia="Calibri" w:cs="Arial"/>
          <w:szCs w:val="20"/>
        </w:rPr>
        <w:t>.</w:t>
      </w:r>
      <w:r w:rsidR="00873A7F">
        <w:rPr>
          <w:rFonts w:eastAsia="Calibri" w:cs="Arial"/>
          <w:szCs w:val="20"/>
        </w:rPr>
        <w:t>«.</w:t>
      </w:r>
    </w:p>
    <w:bookmarkEnd w:id="29"/>
    <w:p w:rsidR="00AE2155" w:rsidRPr="00E6158A" w:rsidRDefault="00AE2155" w:rsidP="00B644CC">
      <w:pPr>
        <w:pStyle w:val="Odstavekseznama"/>
        <w:spacing w:line="288" w:lineRule="auto"/>
        <w:ind w:left="0"/>
        <w:jc w:val="both"/>
        <w:rPr>
          <w:rFonts w:eastAsia="Calibri" w:cs="Arial"/>
          <w:szCs w:val="20"/>
        </w:rPr>
      </w:pPr>
    </w:p>
    <w:p w:rsidR="00AE2155" w:rsidRDefault="00AE2155" w:rsidP="00B644CC">
      <w:pPr>
        <w:pStyle w:val="Odstavekseznama"/>
        <w:spacing w:line="288" w:lineRule="auto"/>
        <w:ind w:left="0"/>
        <w:jc w:val="center"/>
        <w:rPr>
          <w:rFonts w:eastAsia="Calibri" w:cs="Arial"/>
          <w:b/>
          <w:szCs w:val="20"/>
        </w:rPr>
      </w:pPr>
      <w:r>
        <w:rPr>
          <w:rFonts w:eastAsia="Calibri" w:cs="Arial"/>
          <w:b/>
          <w:szCs w:val="20"/>
        </w:rPr>
        <w:t xml:space="preserve">10. </w:t>
      </w:r>
      <w:r w:rsidRPr="00746AD7">
        <w:rPr>
          <w:rFonts w:eastAsia="Calibri" w:cs="Arial"/>
          <w:b/>
          <w:szCs w:val="20"/>
        </w:rPr>
        <w:t>člen</w:t>
      </w:r>
    </w:p>
    <w:p w:rsidR="00AE2155" w:rsidRDefault="00AE2155" w:rsidP="00B644CC">
      <w:pPr>
        <w:pStyle w:val="Odstavekseznama"/>
        <w:spacing w:line="288" w:lineRule="auto"/>
        <w:ind w:left="0"/>
        <w:rPr>
          <w:rFonts w:eastAsia="Calibri" w:cs="Arial"/>
          <w:szCs w:val="20"/>
        </w:rPr>
      </w:pPr>
      <w:r w:rsidRPr="00746AD7">
        <w:rPr>
          <w:rFonts w:eastAsia="Calibri" w:cs="Arial"/>
          <w:szCs w:val="20"/>
        </w:rPr>
        <w:t>68. člen</w:t>
      </w:r>
      <w:r>
        <w:rPr>
          <w:rFonts w:eastAsia="Calibri" w:cs="Arial"/>
          <w:szCs w:val="20"/>
        </w:rPr>
        <w:t xml:space="preserve"> se spremeni tako</w:t>
      </w:r>
      <w:r w:rsidR="00481B17">
        <w:rPr>
          <w:rFonts w:eastAsia="Calibri" w:cs="Arial"/>
          <w:szCs w:val="20"/>
        </w:rPr>
        <w:t>,</w:t>
      </w:r>
      <w:r>
        <w:rPr>
          <w:rFonts w:eastAsia="Calibri" w:cs="Arial"/>
          <w:szCs w:val="20"/>
        </w:rPr>
        <w:t xml:space="preserve"> da se glasi:</w:t>
      </w:r>
    </w:p>
    <w:p w:rsidR="00AE2155" w:rsidRDefault="00AE2155" w:rsidP="00B644CC">
      <w:pPr>
        <w:pStyle w:val="Odstavekseznama"/>
        <w:spacing w:line="288" w:lineRule="auto"/>
        <w:ind w:left="0"/>
        <w:rPr>
          <w:rFonts w:eastAsia="Calibri" w:cs="Arial"/>
          <w:szCs w:val="20"/>
        </w:rPr>
      </w:pPr>
    </w:p>
    <w:p w:rsidR="00AE2155" w:rsidRPr="00EB12C1" w:rsidRDefault="00AE2155" w:rsidP="00B644CC">
      <w:pPr>
        <w:pStyle w:val="Odstavekseznama"/>
        <w:spacing w:line="288" w:lineRule="auto"/>
        <w:ind w:left="0"/>
        <w:jc w:val="center"/>
        <w:rPr>
          <w:rFonts w:eastAsia="Calibri" w:cs="Arial"/>
          <w:b/>
          <w:szCs w:val="20"/>
        </w:rPr>
      </w:pPr>
      <w:r>
        <w:rPr>
          <w:rFonts w:eastAsia="Calibri" w:cs="Arial"/>
          <w:szCs w:val="20"/>
        </w:rPr>
        <w:t>»</w:t>
      </w:r>
      <w:r w:rsidRPr="00EB12C1">
        <w:rPr>
          <w:rFonts w:eastAsia="Calibri" w:cs="Arial"/>
          <w:b/>
          <w:szCs w:val="20"/>
        </w:rPr>
        <w:t>68. člen</w:t>
      </w:r>
    </w:p>
    <w:p w:rsidR="00AE2155" w:rsidRPr="00EB12C1" w:rsidRDefault="00AE2155" w:rsidP="00B644CC">
      <w:pPr>
        <w:pStyle w:val="Odstavekseznama"/>
        <w:spacing w:line="288" w:lineRule="auto"/>
        <w:ind w:left="0"/>
        <w:jc w:val="center"/>
        <w:rPr>
          <w:rFonts w:eastAsia="Calibri" w:cs="Arial"/>
          <w:b/>
          <w:szCs w:val="20"/>
        </w:rPr>
      </w:pPr>
      <w:r w:rsidRPr="00EB12C1">
        <w:rPr>
          <w:rFonts w:eastAsia="Calibri" w:cs="Arial"/>
          <w:b/>
          <w:szCs w:val="20"/>
        </w:rPr>
        <w:t>(pogoji in imenovanje)</w:t>
      </w:r>
    </w:p>
    <w:p w:rsidR="00AE2155" w:rsidRDefault="00AE2155" w:rsidP="00B644CC">
      <w:pPr>
        <w:pStyle w:val="Odstavekseznama"/>
        <w:spacing w:line="288" w:lineRule="auto"/>
        <w:ind w:left="0"/>
        <w:rPr>
          <w:rFonts w:eastAsia="Calibri" w:cs="Arial"/>
          <w:szCs w:val="20"/>
        </w:rPr>
      </w:pPr>
    </w:p>
    <w:p w:rsidR="00AE2155" w:rsidRPr="00EA195F" w:rsidRDefault="00AE2155" w:rsidP="00B644CC">
      <w:pPr>
        <w:spacing w:line="288" w:lineRule="auto"/>
        <w:jc w:val="both"/>
        <w:rPr>
          <w:rFonts w:eastAsia="Calibri" w:cs="Arial"/>
          <w:szCs w:val="20"/>
        </w:rPr>
      </w:pPr>
      <w:r w:rsidRPr="00934956">
        <w:rPr>
          <w:rFonts w:eastAsia="Calibri" w:cs="Arial"/>
          <w:szCs w:val="20"/>
        </w:rPr>
        <w:t xml:space="preserve">(1) Za nacionalnega predstavnika v </w:t>
      </w:r>
      <w:proofErr w:type="spellStart"/>
      <w:r w:rsidRPr="00934956">
        <w:rPr>
          <w:rFonts w:eastAsia="Calibri" w:cs="Arial"/>
          <w:szCs w:val="20"/>
        </w:rPr>
        <w:t>Eurojust</w:t>
      </w:r>
      <w:r>
        <w:rPr>
          <w:rFonts w:eastAsia="Calibri" w:cs="Arial"/>
          <w:szCs w:val="20"/>
        </w:rPr>
        <w:t>u</w:t>
      </w:r>
      <w:proofErr w:type="spellEnd"/>
      <w:r w:rsidRPr="00934956">
        <w:rPr>
          <w:rFonts w:eastAsia="Calibri" w:cs="Arial"/>
          <w:szCs w:val="20"/>
        </w:rPr>
        <w:t xml:space="preserve"> in njegovega </w:t>
      </w:r>
      <w:r w:rsidRPr="00EA195F">
        <w:rPr>
          <w:rFonts w:eastAsia="Calibri" w:cs="Arial"/>
          <w:szCs w:val="20"/>
        </w:rPr>
        <w:t xml:space="preserve">namestnika se lahko imenuje vrhovni ali višji državni tožilec ali okrožni državni tožilec, ki izpolnjuje pogoje za imenovanje v naziv višjega državnega tožilca in izkaže z javno priznanim preizkusom potrjeno višjo raven znanja najmanj enega uradnega jezika Evropske unije, ki je delovni jezik v </w:t>
      </w:r>
      <w:proofErr w:type="spellStart"/>
      <w:r w:rsidRPr="00EA195F">
        <w:rPr>
          <w:rFonts w:eastAsia="Calibri" w:cs="Arial"/>
          <w:szCs w:val="20"/>
        </w:rPr>
        <w:t>Eurojustu</w:t>
      </w:r>
      <w:proofErr w:type="spellEnd"/>
      <w:r w:rsidRPr="00EA195F">
        <w:rPr>
          <w:rFonts w:eastAsia="Calibri" w:cs="Arial"/>
          <w:szCs w:val="20"/>
        </w:rPr>
        <w:t>.</w:t>
      </w:r>
    </w:p>
    <w:p w:rsidR="00AE2155" w:rsidRPr="00EA195F" w:rsidRDefault="00AE2155" w:rsidP="00B644CC">
      <w:pPr>
        <w:spacing w:line="288" w:lineRule="auto"/>
        <w:jc w:val="both"/>
        <w:rPr>
          <w:rFonts w:eastAsia="Calibri" w:cs="Arial"/>
          <w:szCs w:val="20"/>
        </w:rPr>
      </w:pPr>
    </w:p>
    <w:p w:rsidR="00AE2155" w:rsidRPr="00EA195F" w:rsidRDefault="00AE2155" w:rsidP="00B644CC">
      <w:pPr>
        <w:spacing w:line="288" w:lineRule="auto"/>
        <w:jc w:val="both"/>
        <w:rPr>
          <w:rFonts w:eastAsia="Calibri" w:cs="Arial"/>
          <w:szCs w:val="20"/>
        </w:rPr>
      </w:pPr>
      <w:r w:rsidRPr="00EA195F">
        <w:rPr>
          <w:rFonts w:eastAsia="Calibri" w:cs="Arial"/>
          <w:szCs w:val="20"/>
        </w:rPr>
        <w:t xml:space="preserve">(2) Za pomočnika nacionalnega predstavnika je lahko imenovan okrožni državni tožilec ali okrajni državni tožilec, ki izpolnjuje pogoje za imenovanje v naziv okrožnega državnega tožilca in izkaže z javno priznanim preizkusom potrjeno višjo raven znanja najmanj enega uradnega jezika Evropske unije, ki je delovni jezik v </w:t>
      </w:r>
      <w:proofErr w:type="spellStart"/>
      <w:r w:rsidRPr="00EA195F">
        <w:rPr>
          <w:rFonts w:eastAsia="Calibri" w:cs="Arial"/>
          <w:szCs w:val="20"/>
        </w:rPr>
        <w:t>Eurojustu</w:t>
      </w:r>
      <w:proofErr w:type="spellEnd"/>
      <w:r w:rsidRPr="00EA195F">
        <w:rPr>
          <w:rFonts w:eastAsia="Calibri" w:cs="Arial"/>
          <w:szCs w:val="20"/>
        </w:rPr>
        <w:t>.</w:t>
      </w:r>
      <w:r>
        <w:rPr>
          <w:rFonts w:eastAsia="Calibri" w:cs="Arial"/>
          <w:szCs w:val="20"/>
        </w:rPr>
        <w:t>«.</w:t>
      </w:r>
    </w:p>
    <w:p w:rsidR="00AE2155" w:rsidRDefault="00AE2155" w:rsidP="00B644CC">
      <w:pPr>
        <w:spacing w:line="288" w:lineRule="auto"/>
        <w:jc w:val="both"/>
        <w:rPr>
          <w:rFonts w:eastAsia="Calibri" w:cs="Arial"/>
          <w:szCs w:val="20"/>
        </w:rPr>
      </w:pPr>
    </w:p>
    <w:p w:rsidR="00AE2155" w:rsidRDefault="00AE2155" w:rsidP="00B644CC">
      <w:pPr>
        <w:pStyle w:val="Odstavekseznama"/>
        <w:spacing w:line="288" w:lineRule="auto"/>
        <w:ind w:left="0"/>
        <w:jc w:val="center"/>
        <w:rPr>
          <w:rFonts w:eastAsia="Calibri" w:cs="Arial"/>
          <w:b/>
          <w:szCs w:val="20"/>
        </w:rPr>
      </w:pPr>
      <w:r>
        <w:rPr>
          <w:rFonts w:eastAsia="Calibri" w:cs="Arial"/>
          <w:b/>
          <w:szCs w:val="20"/>
        </w:rPr>
        <w:t xml:space="preserve">11. </w:t>
      </w:r>
      <w:r w:rsidRPr="00746AD7">
        <w:rPr>
          <w:rFonts w:eastAsia="Calibri" w:cs="Arial"/>
          <w:b/>
          <w:szCs w:val="20"/>
        </w:rPr>
        <w:t>člen</w:t>
      </w:r>
    </w:p>
    <w:p w:rsidR="00AE2155" w:rsidRDefault="00AE2155" w:rsidP="00B644CC">
      <w:pPr>
        <w:pStyle w:val="Odstavekseznama"/>
        <w:spacing w:line="288" w:lineRule="auto"/>
        <w:ind w:left="0"/>
        <w:rPr>
          <w:rFonts w:eastAsia="Calibri" w:cs="Arial"/>
          <w:szCs w:val="20"/>
        </w:rPr>
      </w:pPr>
    </w:p>
    <w:p w:rsidR="00AE2155" w:rsidRPr="00746AD7" w:rsidRDefault="00AE2155" w:rsidP="00B644CC">
      <w:pPr>
        <w:pStyle w:val="Odstavekseznama"/>
        <w:spacing w:line="288" w:lineRule="auto"/>
        <w:ind w:left="0"/>
        <w:rPr>
          <w:rFonts w:eastAsia="Calibri" w:cs="Arial"/>
          <w:szCs w:val="20"/>
        </w:rPr>
      </w:pPr>
      <w:r w:rsidRPr="00746AD7">
        <w:rPr>
          <w:rFonts w:eastAsia="Calibri" w:cs="Arial"/>
          <w:szCs w:val="20"/>
        </w:rPr>
        <w:t>6</w:t>
      </w:r>
      <w:r>
        <w:rPr>
          <w:rFonts w:eastAsia="Calibri" w:cs="Arial"/>
          <w:szCs w:val="20"/>
        </w:rPr>
        <w:t>9</w:t>
      </w:r>
      <w:r w:rsidRPr="00746AD7">
        <w:rPr>
          <w:rFonts w:eastAsia="Calibri" w:cs="Arial"/>
          <w:szCs w:val="20"/>
        </w:rPr>
        <w:t>. člen</w:t>
      </w:r>
      <w:r>
        <w:rPr>
          <w:rFonts w:eastAsia="Calibri" w:cs="Arial"/>
          <w:szCs w:val="20"/>
        </w:rPr>
        <w:t xml:space="preserve"> se spremeni </w:t>
      </w:r>
      <w:r w:rsidRPr="00746AD7">
        <w:rPr>
          <w:rFonts w:eastAsia="Calibri" w:cs="Arial"/>
          <w:szCs w:val="20"/>
        </w:rPr>
        <w:t>tako, da se glasi:</w:t>
      </w:r>
    </w:p>
    <w:p w:rsidR="00AE2155" w:rsidRPr="00934956" w:rsidRDefault="00AE2155" w:rsidP="00B644CC">
      <w:pPr>
        <w:spacing w:line="288" w:lineRule="auto"/>
        <w:jc w:val="both"/>
        <w:rPr>
          <w:rFonts w:eastAsia="Calibri" w:cs="Arial"/>
          <w:szCs w:val="20"/>
        </w:rPr>
      </w:pPr>
    </w:p>
    <w:p w:rsidR="00AE2155" w:rsidRPr="00AD554E" w:rsidRDefault="00AE2155" w:rsidP="00B644CC">
      <w:pPr>
        <w:spacing w:line="288" w:lineRule="auto"/>
        <w:jc w:val="center"/>
        <w:rPr>
          <w:rFonts w:eastAsia="Calibri" w:cs="Arial"/>
          <w:b/>
          <w:szCs w:val="20"/>
        </w:rPr>
      </w:pPr>
      <w:r w:rsidRPr="00AD554E">
        <w:rPr>
          <w:rFonts w:eastAsia="Calibri" w:cs="Arial"/>
          <w:b/>
          <w:szCs w:val="20"/>
        </w:rPr>
        <w:t>»69. člen</w:t>
      </w:r>
    </w:p>
    <w:p w:rsidR="00AE2155" w:rsidRPr="00AD554E" w:rsidRDefault="00AE2155" w:rsidP="00B644CC">
      <w:pPr>
        <w:spacing w:line="288" w:lineRule="auto"/>
        <w:jc w:val="center"/>
        <w:rPr>
          <w:rFonts w:eastAsia="Calibri" w:cs="Arial"/>
          <w:b/>
          <w:szCs w:val="20"/>
        </w:rPr>
      </w:pPr>
      <w:r>
        <w:rPr>
          <w:rFonts w:eastAsia="Calibri" w:cs="Arial"/>
          <w:b/>
          <w:szCs w:val="20"/>
        </w:rPr>
        <w:t>(</w:t>
      </w:r>
      <w:r w:rsidRPr="00AD554E">
        <w:rPr>
          <w:rFonts w:eastAsia="Calibri" w:cs="Arial"/>
          <w:b/>
          <w:szCs w:val="20"/>
        </w:rPr>
        <w:t>doba imenovanja)</w:t>
      </w:r>
    </w:p>
    <w:p w:rsidR="00AE2155" w:rsidRPr="00934956" w:rsidRDefault="00AE2155" w:rsidP="00B644CC">
      <w:pPr>
        <w:spacing w:line="288" w:lineRule="auto"/>
        <w:jc w:val="both"/>
        <w:rPr>
          <w:rFonts w:eastAsia="Calibri" w:cs="Arial"/>
          <w:szCs w:val="20"/>
        </w:rPr>
      </w:pPr>
    </w:p>
    <w:p w:rsidR="00AE2155" w:rsidRDefault="00AE2155" w:rsidP="00B644CC">
      <w:pPr>
        <w:spacing w:line="288" w:lineRule="auto"/>
        <w:jc w:val="both"/>
        <w:rPr>
          <w:rFonts w:eastAsia="Calibri" w:cs="Arial"/>
          <w:szCs w:val="20"/>
        </w:rPr>
      </w:pPr>
      <w:r>
        <w:rPr>
          <w:rFonts w:eastAsia="Calibri" w:cs="Arial"/>
          <w:szCs w:val="20"/>
        </w:rPr>
        <w:t>»</w:t>
      </w:r>
      <w:r w:rsidRPr="00FD5D20">
        <w:rPr>
          <w:rFonts w:eastAsia="Calibri" w:cs="Arial"/>
          <w:szCs w:val="20"/>
        </w:rPr>
        <w:t>Nacionalni predstavnik</w:t>
      </w:r>
      <w:r>
        <w:rPr>
          <w:rFonts w:eastAsia="Calibri" w:cs="Arial"/>
          <w:szCs w:val="20"/>
        </w:rPr>
        <w:t>, njegov</w:t>
      </w:r>
      <w:r w:rsidRPr="00FD5D20">
        <w:rPr>
          <w:rFonts w:eastAsia="Calibri" w:cs="Arial"/>
          <w:szCs w:val="20"/>
        </w:rPr>
        <w:t xml:space="preserve"> namestnik</w:t>
      </w:r>
      <w:r>
        <w:rPr>
          <w:rFonts w:eastAsia="Calibri" w:cs="Arial"/>
          <w:szCs w:val="20"/>
        </w:rPr>
        <w:t xml:space="preserve"> in pomočnik</w:t>
      </w:r>
      <w:r w:rsidRPr="00FD5D20">
        <w:rPr>
          <w:rFonts w:eastAsia="Calibri" w:cs="Arial"/>
          <w:szCs w:val="20"/>
        </w:rPr>
        <w:t xml:space="preserve"> </w:t>
      </w:r>
      <w:r>
        <w:rPr>
          <w:rFonts w:eastAsia="Calibri" w:cs="Arial"/>
          <w:szCs w:val="20"/>
        </w:rPr>
        <w:t xml:space="preserve">se </w:t>
      </w:r>
      <w:r w:rsidRPr="00FD5D20">
        <w:rPr>
          <w:rFonts w:eastAsia="Calibri" w:cs="Arial"/>
          <w:szCs w:val="20"/>
        </w:rPr>
        <w:t xml:space="preserve">za izvajanje pooblastil in strokovnih nalog </w:t>
      </w:r>
      <w:proofErr w:type="spellStart"/>
      <w:r w:rsidRPr="00FD5D20">
        <w:rPr>
          <w:rFonts w:eastAsia="Calibri" w:cs="Arial"/>
          <w:szCs w:val="20"/>
        </w:rPr>
        <w:t>Eurojusta</w:t>
      </w:r>
      <w:proofErr w:type="spellEnd"/>
      <w:r w:rsidRPr="00FD5D20">
        <w:rPr>
          <w:rFonts w:eastAsia="Calibri" w:cs="Arial"/>
          <w:szCs w:val="20"/>
        </w:rPr>
        <w:t xml:space="preserve"> imenuje</w:t>
      </w:r>
      <w:r>
        <w:rPr>
          <w:rFonts w:eastAsia="Calibri" w:cs="Arial"/>
          <w:szCs w:val="20"/>
        </w:rPr>
        <w:t>jo</w:t>
      </w:r>
      <w:r w:rsidRPr="00FD5D20">
        <w:rPr>
          <w:rFonts w:eastAsia="Calibri" w:cs="Arial"/>
          <w:szCs w:val="20"/>
        </w:rPr>
        <w:t xml:space="preserve"> za pet let. Po poteku navedene dobe sta</w:t>
      </w:r>
      <w:r>
        <w:rPr>
          <w:rFonts w:eastAsia="Calibri" w:cs="Arial"/>
          <w:szCs w:val="20"/>
        </w:rPr>
        <w:t xml:space="preserve"> nacionalni predstavnik in njegov namestnik</w:t>
      </w:r>
      <w:r w:rsidRPr="00FD5D20">
        <w:rPr>
          <w:rFonts w:eastAsia="Calibri" w:cs="Arial"/>
          <w:szCs w:val="20"/>
        </w:rPr>
        <w:t xml:space="preserve"> lahko še enkrat ponovno imenovana.</w:t>
      </w:r>
      <w:r>
        <w:rPr>
          <w:rFonts w:eastAsia="Calibri" w:cs="Arial"/>
          <w:szCs w:val="20"/>
        </w:rPr>
        <w:t>«</w:t>
      </w:r>
      <w:r w:rsidR="00023962">
        <w:rPr>
          <w:rFonts w:eastAsia="Calibri" w:cs="Arial"/>
          <w:szCs w:val="20"/>
        </w:rPr>
        <w:t>.</w:t>
      </w:r>
    </w:p>
    <w:p w:rsidR="00AE2155" w:rsidRDefault="00AE2155" w:rsidP="00B644CC">
      <w:pPr>
        <w:spacing w:line="288" w:lineRule="auto"/>
        <w:jc w:val="both"/>
        <w:rPr>
          <w:rFonts w:eastAsia="Calibri" w:cs="Arial"/>
          <w:szCs w:val="20"/>
        </w:rPr>
      </w:pPr>
    </w:p>
    <w:p w:rsidR="00AE2155" w:rsidRDefault="00AE2155" w:rsidP="00B644CC">
      <w:pPr>
        <w:spacing w:line="288" w:lineRule="auto"/>
        <w:jc w:val="center"/>
        <w:rPr>
          <w:rFonts w:eastAsia="Calibri" w:cs="Arial"/>
          <w:b/>
          <w:bCs/>
          <w:szCs w:val="20"/>
        </w:rPr>
      </w:pPr>
      <w:r w:rsidRPr="00805A81">
        <w:rPr>
          <w:rFonts w:eastAsia="Calibri" w:cs="Arial"/>
          <w:b/>
          <w:bCs/>
          <w:szCs w:val="20"/>
        </w:rPr>
        <w:t>12. člen</w:t>
      </w:r>
    </w:p>
    <w:p w:rsidR="00AE2155" w:rsidRDefault="00AE2155" w:rsidP="00B644CC">
      <w:pPr>
        <w:spacing w:line="288" w:lineRule="auto"/>
        <w:rPr>
          <w:rFonts w:eastAsia="Calibri" w:cs="Arial"/>
          <w:b/>
          <w:bCs/>
          <w:szCs w:val="20"/>
        </w:rPr>
      </w:pPr>
    </w:p>
    <w:p w:rsidR="00AE2155" w:rsidRPr="00805A81" w:rsidRDefault="00AE2155" w:rsidP="00B644CC">
      <w:pPr>
        <w:spacing w:line="288" w:lineRule="auto"/>
        <w:rPr>
          <w:rFonts w:eastAsia="Calibri" w:cs="Arial"/>
          <w:szCs w:val="20"/>
        </w:rPr>
      </w:pPr>
      <w:r w:rsidRPr="00805A81">
        <w:rPr>
          <w:rFonts w:eastAsia="Calibri" w:cs="Arial"/>
          <w:szCs w:val="20"/>
        </w:rPr>
        <w:t>Za 69. členom se doda</w:t>
      </w:r>
      <w:r w:rsidR="009B5194">
        <w:rPr>
          <w:rFonts w:eastAsia="Calibri" w:cs="Arial"/>
          <w:szCs w:val="20"/>
        </w:rPr>
        <w:t>jo</w:t>
      </w:r>
      <w:r w:rsidRPr="00805A81">
        <w:rPr>
          <w:rFonts w:eastAsia="Calibri" w:cs="Arial"/>
          <w:szCs w:val="20"/>
        </w:rPr>
        <w:t xml:space="preserve"> nov</w:t>
      </w:r>
      <w:r w:rsidR="009B5194">
        <w:rPr>
          <w:rFonts w:eastAsia="Calibri" w:cs="Arial"/>
          <w:szCs w:val="20"/>
        </w:rPr>
        <w:t>i</w:t>
      </w:r>
      <w:r w:rsidRPr="00805A81">
        <w:rPr>
          <w:rFonts w:eastAsia="Calibri" w:cs="Arial"/>
          <w:szCs w:val="20"/>
        </w:rPr>
        <w:t xml:space="preserve"> 69.a</w:t>
      </w:r>
      <w:r w:rsidR="009B5194">
        <w:rPr>
          <w:rFonts w:eastAsia="Calibri" w:cs="Arial"/>
          <w:szCs w:val="20"/>
        </w:rPr>
        <w:t>,</w:t>
      </w:r>
      <w:r w:rsidRPr="00805A81">
        <w:rPr>
          <w:rFonts w:eastAsia="Calibri" w:cs="Arial"/>
          <w:szCs w:val="20"/>
        </w:rPr>
        <w:t xml:space="preserve"> 69.b</w:t>
      </w:r>
      <w:r w:rsidR="009B5194">
        <w:rPr>
          <w:rFonts w:eastAsia="Calibri" w:cs="Arial"/>
          <w:szCs w:val="20"/>
        </w:rPr>
        <w:t xml:space="preserve"> in 69.c</w:t>
      </w:r>
      <w:r w:rsidRPr="00805A81">
        <w:rPr>
          <w:rFonts w:eastAsia="Calibri" w:cs="Arial"/>
          <w:szCs w:val="20"/>
        </w:rPr>
        <w:t xml:space="preserve"> člen, ki se glasi</w:t>
      </w:r>
      <w:r w:rsidR="009B5194">
        <w:rPr>
          <w:rFonts w:eastAsia="Calibri" w:cs="Arial"/>
          <w:szCs w:val="20"/>
        </w:rPr>
        <w:t>jo</w:t>
      </w:r>
      <w:r w:rsidRPr="00805A81">
        <w:rPr>
          <w:rFonts w:eastAsia="Calibri" w:cs="Arial"/>
          <w:szCs w:val="20"/>
        </w:rPr>
        <w:t>:</w:t>
      </w:r>
    </w:p>
    <w:p w:rsidR="00AE2155" w:rsidRDefault="00AE2155" w:rsidP="00B644CC">
      <w:pPr>
        <w:spacing w:line="288" w:lineRule="auto"/>
        <w:jc w:val="center"/>
        <w:rPr>
          <w:rFonts w:eastAsia="Calibri" w:cs="Arial"/>
          <w:szCs w:val="20"/>
        </w:rPr>
      </w:pPr>
    </w:p>
    <w:p w:rsidR="00AE2155" w:rsidRPr="00805A81" w:rsidRDefault="00AE2155" w:rsidP="00B644CC">
      <w:pPr>
        <w:spacing w:line="288" w:lineRule="auto"/>
        <w:jc w:val="center"/>
        <w:rPr>
          <w:rFonts w:eastAsia="Calibri" w:cs="Arial"/>
          <w:b/>
          <w:bCs/>
          <w:szCs w:val="20"/>
        </w:rPr>
      </w:pPr>
      <w:r>
        <w:rPr>
          <w:rFonts w:eastAsia="Calibri" w:cs="Arial"/>
          <w:b/>
          <w:bCs/>
          <w:szCs w:val="20"/>
        </w:rPr>
        <w:t>»</w:t>
      </w:r>
      <w:r w:rsidRPr="00805A81">
        <w:rPr>
          <w:rFonts w:eastAsia="Calibri" w:cs="Arial"/>
          <w:b/>
          <w:bCs/>
          <w:szCs w:val="20"/>
        </w:rPr>
        <w:t>69.a člen</w:t>
      </w:r>
    </w:p>
    <w:p w:rsidR="00AE2155" w:rsidRDefault="00AE2155" w:rsidP="00B644CC">
      <w:pPr>
        <w:spacing w:line="288" w:lineRule="auto"/>
        <w:jc w:val="center"/>
        <w:rPr>
          <w:rFonts w:eastAsia="Calibri" w:cs="Arial"/>
          <w:b/>
          <w:szCs w:val="20"/>
        </w:rPr>
      </w:pPr>
      <w:r w:rsidRPr="00AD554E">
        <w:rPr>
          <w:rFonts w:eastAsia="Calibri" w:cs="Arial"/>
          <w:b/>
          <w:szCs w:val="20"/>
        </w:rPr>
        <w:t>(postopek i</w:t>
      </w:r>
      <w:r>
        <w:rPr>
          <w:rFonts w:eastAsia="Calibri" w:cs="Arial"/>
          <w:b/>
          <w:szCs w:val="20"/>
        </w:rPr>
        <w:t>menovanja nacionalnega predstavnika in njegovega namestnika)</w:t>
      </w:r>
    </w:p>
    <w:p w:rsidR="00AE2155" w:rsidRDefault="00AE2155" w:rsidP="00B644CC">
      <w:pPr>
        <w:spacing w:line="288" w:lineRule="auto"/>
        <w:jc w:val="both"/>
        <w:rPr>
          <w:rFonts w:eastAsia="Calibri" w:cs="Arial"/>
          <w:b/>
          <w:szCs w:val="20"/>
        </w:rPr>
      </w:pPr>
    </w:p>
    <w:p w:rsidR="00AE2155" w:rsidRDefault="00AE2155" w:rsidP="00B644CC">
      <w:pPr>
        <w:spacing w:line="288" w:lineRule="auto"/>
        <w:jc w:val="both"/>
        <w:rPr>
          <w:rFonts w:eastAsia="Calibri" w:cs="Arial"/>
          <w:b/>
          <w:szCs w:val="20"/>
        </w:rPr>
      </w:pPr>
      <w:r>
        <w:rPr>
          <w:rFonts w:eastAsia="Calibri" w:cs="Arial"/>
          <w:szCs w:val="20"/>
        </w:rPr>
        <w:t xml:space="preserve">(1) </w:t>
      </w:r>
      <w:r w:rsidRPr="006F4E3C">
        <w:rPr>
          <w:rFonts w:eastAsia="Calibri" w:cs="Arial"/>
          <w:szCs w:val="20"/>
        </w:rPr>
        <w:t xml:space="preserve">Nacionalnega predstavnika in njegovega namestnika imenuje Vlada Republike Slovenije na predlog </w:t>
      </w:r>
      <w:proofErr w:type="spellStart"/>
      <w:r w:rsidRPr="006F4E3C">
        <w:rPr>
          <w:rFonts w:eastAsia="Calibri" w:cs="Arial"/>
          <w:szCs w:val="20"/>
        </w:rPr>
        <w:t>Državnotožilskega</w:t>
      </w:r>
      <w:proofErr w:type="spellEnd"/>
      <w:r w:rsidRPr="006F4E3C">
        <w:rPr>
          <w:rFonts w:eastAsia="Calibri" w:cs="Arial"/>
          <w:szCs w:val="20"/>
        </w:rPr>
        <w:t xml:space="preserve"> sveta po predhodnem mnenju generalnega državnega tožilca.</w:t>
      </w:r>
    </w:p>
    <w:p w:rsidR="00AE2155" w:rsidRDefault="00AE2155" w:rsidP="00B644CC">
      <w:pPr>
        <w:spacing w:line="288" w:lineRule="auto"/>
        <w:jc w:val="both"/>
        <w:rPr>
          <w:rFonts w:eastAsia="Calibri" w:cs="Arial"/>
          <w:b/>
          <w:szCs w:val="20"/>
        </w:rPr>
      </w:pPr>
    </w:p>
    <w:p w:rsidR="00AE2155" w:rsidRDefault="00AE2155" w:rsidP="00B644CC">
      <w:pPr>
        <w:spacing w:line="288" w:lineRule="auto"/>
        <w:jc w:val="both"/>
        <w:rPr>
          <w:rFonts w:eastAsia="Calibri" w:cs="Arial"/>
          <w:szCs w:val="20"/>
        </w:rPr>
      </w:pPr>
      <w:r>
        <w:rPr>
          <w:rFonts w:eastAsia="Calibri" w:cs="Arial"/>
          <w:szCs w:val="20"/>
        </w:rPr>
        <w:t>(2) Poziv k prijavam za imenovanje nacionalnega predstavnika ali njegovega namestnika objavi ministrstvo v Uradnem listu Republike Slovenije po prejemu predloga</w:t>
      </w:r>
      <w:r w:rsidR="001B33DD">
        <w:rPr>
          <w:rFonts w:eastAsia="Calibri" w:cs="Arial"/>
          <w:szCs w:val="20"/>
        </w:rPr>
        <w:t xml:space="preserve"> </w:t>
      </w:r>
      <w:r w:rsidRPr="006F4E3C">
        <w:rPr>
          <w:rFonts w:eastAsia="Calibri" w:cs="Arial"/>
          <w:szCs w:val="20"/>
        </w:rPr>
        <w:t>generalnega državnega tožilca</w:t>
      </w:r>
      <w:r w:rsidR="001B33DD">
        <w:rPr>
          <w:rFonts w:eastAsia="Calibri" w:cs="Arial"/>
          <w:szCs w:val="20"/>
        </w:rPr>
        <w:t xml:space="preserve"> za uvedbo postopka imenovanja</w:t>
      </w:r>
      <w:r>
        <w:rPr>
          <w:rFonts w:eastAsia="Calibri" w:cs="Arial"/>
          <w:szCs w:val="20"/>
        </w:rPr>
        <w:t>. Pozivni rok ne sme biti krajši od 15</w:t>
      </w:r>
      <w:r w:rsidR="00B85884">
        <w:rPr>
          <w:rFonts w:eastAsia="Calibri" w:cs="Arial"/>
          <w:szCs w:val="20"/>
        </w:rPr>
        <w:t xml:space="preserve"> </w:t>
      </w:r>
      <w:r>
        <w:rPr>
          <w:rFonts w:eastAsia="Calibri" w:cs="Arial"/>
          <w:szCs w:val="20"/>
        </w:rPr>
        <w:t>dni.</w:t>
      </w:r>
    </w:p>
    <w:p w:rsidR="00AE2155" w:rsidRDefault="00AE2155" w:rsidP="00B644CC">
      <w:pPr>
        <w:spacing w:line="288" w:lineRule="auto"/>
        <w:jc w:val="both"/>
        <w:rPr>
          <w:rFonts w:eastAsia="Calibri" w:cs="Arial"/>
          <w:szCs w:val="20"/>
        </w:rPr>
      </w:pPr>
    </w:p>
    <w:p w:rsidR="00AE2155" w:rsidRDefault="00AE2155" w:rsidP="00B644CC">
      <w:pPr>
        <w:spacing w:line="288" w:lineRule="auto"/>
        <w:jc w:val="both"/>
        <w:rPr>
          <w:rFonts w:eastAsia="Calibri" w:cs="Arial"/>
          <w:szCs w:val="20"/>
        </w:rPr>
      </w:pPr>
      <w:r>
        <w:rPr>
          <w:rFonts w:eastAsia="Calibri" w:cs="Arial"/>
          <w:szCs w:val="20"/>
        </w:rPr>
        <w:t xml:space="preserve">(3) Ministrstvo najpozneje v petih dneh po izteku pozivnega roka </w:t>
      </w:r>
      <w:proofErr w:type="spellStart"/>
      <w:r>
        <w:rPr>
          <w:rFonts w:eastAsia="Calibri" w:cs="Arial"/>
          <w:szCs w:val="20"/>
        </w:rPr>
        <w:t>Državnotožilskemu</w:t>
      </w:r>
      <w:proofErr w:type="spellEnd"/>
      <w:r>
        <w:rPr>
          <w:rFonts w:eastAsia="Calibri" w:cs="Arial"/>
          <w:szCs w:val="20"/>
        </w:rPr>
        <w:t xml:space="preserve"> svetu pošlje vse prijave, ki jih ni zavrglo.</w:t>
      </w:r>
    </w:p>
    <w:p w:rsidR="00AE2155" w:rsidRDefault="00AE2155" w:rsidP="00B644CC">
      <w:pPr>
        <w:spacing w:line="288" w:lineRule="auto"/>
        <w:jc w:val="both"/>
        <w:rPr>
          <w:rFonts w:eastAsia="Calibri" w:cs="Arial"/>
          <w:szCs w:val="20"/>
        </w:rPr>
      </w:pPr>
    </w:p>
    <w:p w:rsidR="00AE2155" w:rsidRDefault="00AE2155" w:rsidP="00B644CC">
      <w:pPr>
        <w:spacing w:line="288" w:lineRule="auto"/>
        <w:jc w:val="both"/>
        <w:rPr>
          <w:rFonts w:eastAsia="Calibri" w:cs="Arial"/>
          <w:szCs w:val="20"/>
        </w:rPr>
      </w:pPr>
      <w:r>
        <w:rPr>
          <w:rFonts w:eastAsia="Calibri" w:cs="Arial"/>
          <w:szCs w:val="20"/>
        </w:rPr>
        <w:t>(4) Za postopek z nepopolnimi prijavami in prijavami</w:t>
      </w:r>
      <w:r w:rsidR="00481B17">
        <w:rPr>
          <w:rFonts w:eastAsia="Calibri" w:cs="Arial"/>
          <w:szCs w:val="20"/>
        </w:rPr>
        <w:t>,</w:t>
      </w:r>
      <w:r>
        <w:rPr>
          <w:rFonts w:eastAsia="Calibri" w:cs="Arial"/>
          <w:szCs w:val="20"/>
        </w:rPr>
        <w:t xml:space="preserve"> vloženimi po izteku pozivnega roka se smiselno uporablja določba 71.č člena tega zakona.</w:t>
      </w:r>
    </w:p>
    <w:p w:rsidR="00AE2155" w:rsidRDefault="00AE2155" w:rsidP="00B644CC">
      <w:pPr>
        <w:spacing w:line="288" w:lineRule="auto"/>
        <w:jc w:val="both"/>
        <w:rPr>
          <w:rFonts w:eastAsia="Calibri" w:cs="Arial"/>
          <w:szCs w:val="20"/>
        </w:rPr>
      </w:pPr>
    </w:p>
    <w:p w:rsidR="00AE2155" w:rsidRDefault="00AE2155" w:rsidP="00B644CC">
      <w:pPr>
        <w:spacing w:line="288" w:lineRule="auto"/>
        <w:jc w:val="both"/>
        <w:rPr>
          <w:rFonts w:eastAsia="Calibri" w:cs="Arial"/>
          <w:szCs w:val="20"/>
        </w:rPr>
      </w:pPr>
      <w:r>
        <w:rPr>
          <w:rFonts w:eastAsia="Calibri" w:cs="Arial"/>
          <w:szCs w:val="20"/>
        </w:rPr>
        <w:t xml:space="preserve">(5) </w:t>
      </w:r>
      <w:proofErr w:type="spellStart"/>
      <w:r>
        <w:rPr>
          <w:rFonts w:eastAsia="Calibri" w:cs="Arial"/>
          <w:szCs w:val="20"/>
        </w:rPr>
        <w:t>D</w:t>
      </w:r>
      <w:r w:rsidRPr="005F2E37">
        <w:rPr>
          <w:rFonts w:eastAsia="Calibri" w:cs="Arial"/>
          <w:szCs w:val="20"/>
        </w:rPr>
        <w:t>ržavnotožilski</w:t>
      </w:r>
      <w:proofErr w:type="spellEnd"/>
      <w:r w:rsidRPr="005F2E37">
        <w:rPr>
          <w:rFonts w:eastAsia="Calibri" w:cs="Arial"/>
          <w:szCs w:val="20"/>
        </w:rPr>
        <w:t xml:space="preserve"> svet se po pridobitvi mnenja generalnega državnega tožilca do prijavljenih kandida</w:t>
      </w:r>
      <w:r>
        <w:rPr>
          <w:rFonts w:eastAsia="Calibri" w:cs="Arial"/>
          <w:szCs w:val="20"/>
        </w:rPr>
        <w:t xml:space="preserve">tov </w:t>
      </w:r>
      <w:r w:rsidRPr="005F2E37">
        <w:rPr>
          <w:rFonts w:eastAsia="Calibri" w:cs="Arial"/>
          <w:szCs w:val="20"/>
        </w:rPr>
        <w:t xml:space="preserve">opredeli in oblikuje predlog </w:t>
      </w:r>
      <w:r>
        <w:rPr>
          <w:rFonts w:eastAsia="Calibri" w:cs="Arial"/>
          <w:szCs w:val="20"/>
        </w:rPr>
        <w:t xml:space="preserve">za imenovanje nacionalnega predstavnika in njegovega namestnika </w:t>
      </w:r>
      <w:r w:rsidRPr="005F2E37">
        <w:rPr>
          <w:rFonts w:eastAsia="Calibri" w:cs="Arial"/>
          <w:szCs w:val="20"/>
        </w:rPr>
        <w:t xml:space="preserve">ter o tem obvesti prijavljene kandidate in </w:t>
      </w:r>
      <w:r>
        <w:rPr>
          <w:rFonts w:eastAsia="Calibri" w:cs="Arial"/>
          <w:szCs w:val="20"/>
        </w:rPr>
        <w:t>predlog posreduje Vladi Republike Slovenije</w:t>
      </w:r>
      <w:r w:rsidRPr="005F2E37">
        <w:rPr>
          <w:rFonts w:eastAsia="Calibri" w:cs="Arial"/>
          <w:szCs w:val="20"/>
        </w:rPr>
        <w:t xml:space="preserve">. </w:t>
      </w:r>
    </w:p>
    <w:p w:rsidR="00AE2155" w:rsidRDefault="00AE2155" w:rsidP="00B644CC">
      <w:pPr>
        <w:spacing w:line="288" w:lineRule="auto"/>
        <w:jc w:val="both"/>
        <w:rPr>
          <w:rFonts w:eastAsia="Calibri" w:cs="Arial"/>
          <w:szCs w:val="20"/>
        </w:rPr>
      </w:pPr>
    </w:p>
    <w:p w:rsidR="00AE2155" w:rsidRDefault="00AE2155" w:rsidP="00B644CC">
      <w:pPr>
        <w:spacing w:line="288" w:lineRule="auto"/>
        <w:jc w:val="both"/>
        <w:rPr>
          <w:rFonts w:eastAsia="Calibri" w:cs="Arial"/>
          <w:szCs w:val="20"/>
        </w:rPr>
      </w:pPr>
      <w:r>
        <w:rPr>
          <w:rFonts w:eastAsia="Calibri" w:cs="Arial"/>
          <w:szCs w:val="20"/>
        </w:rPr>
        <w:t xml:space="preserve">(6) </w:t>
      </w:r>
      <w:r w:rsidRPr="00EB12C1">
        <w:rPr>
          <w:rFonts w:eastAsia="Calibri" w:cs="Arial"/>
          <w:szCs w:val="20"/>
        </w:rPr>
        <w:t>Vlada</w:t>
      </w:r>
      <w:r>
        <w:rPr>
          <w:rFonts w:eastAsia="Calibri" w:cs="Arial"/>
          <w:szCs w:val="20"/>
        </w:rPr>
        <w:t xml:space="preserve"> Republike Slovenije</w:t>
      </w:r>
      <w:r w:rsidRPr="00EB12C1">
        <w:rPr>
          <w:rFonts w:eastAsia="Calibri" w:cs="Arial"/>
          <w:szCs w:val="20"/>
        </w:rPr>
        <w:t xml:space="preserve"> vroči in objavi odločbo o imenovanju nacionalnega predstavnika in njegovega namestnika </w:t>
      </w:r>
      <w:r w:rsidR="001B33DD">
        <w:rPr>
          <w:rFonts w:eastAsia="Calibri" w:cs="Arial"/>
          <w:szCs w:val="20"/>
        </w:rPr>
        <w:t>v skladu s</w:t>
      </w:r>
      <w:r w:rsidRPr="00EB12C1">
        <w:rPr>
          <w:rFonts w:eastAsia="Calibri" w:cs="Arial"/>
          <w:szCs w:val="20"/>
        </w:rPr>
        <w:t xml:space="preserve"> 34. člen</w:t>
      </w:r>
      <w:r w:rsidR="001B33DD">
        <w:rPr>
          <w:rFonts w:eastAsia="Calibri" w:cs="Arial"/>
          <w:szCs w:val="20"/>
        </w:rPr>
        <w:t>om</w:t>
      </w:r>
      <w:r w:rsidRPr="00EB12C1">
        <w:rPr>
          <w:rFonts w:eastAsia="Calibri" w:cs="Arial"/>
          <w:szCs w:val="20"/>
        </w:rPr>
        <w:t xml:space="preserve"> tega zakona.</w:t>
      </w:r>
    </w:p>
    <w:p w:rsidR="00AE2155" w:rsidRDefault="00AE2155" w:rsidP="00B644CC">
      <w:pPr>
        <w:spacing w:line="288" w:lineRule="auto"/>
        <w:jc w:val="both"/>
        <w:rPr>
          <w:rFonts w:eastAsia="Calibri" w:cs="Arial"/>
          <w:szCs w:val="20"/>
        </w:rPr>
      </w:pPr>
    </w:p>
    <w:p w:rsidR="00AE2155" w:rsidRPr="00805A81" w:rsidRDefault="00AE2155" w:rsidP="00B644CC">
      <w:pPr>
        <w:spacing w:line="288" w:lineRule="auto"/>
        <w:jc w:val="center"/>
        <w:rPr>
          <w:rFonts w:eastAsia="Calibri" w:cs="Arial"/>
          <w:b/>
          <w:bCs/>
          <w:szCs w:val="20"/>
        </w:rPr>
      </w:pPr>
      <w:r w:rsidRPr="00805A81">
        <w:rPr>
          <w:rFonts w:eastAsia="Calibri" w:cs="Arial"/>
          <w:b/>
          <w:bCs/>
          <w:szCs w:val="20"/>
        </w:rPr>
        <w:t>69.</w:t>
      </w:r>
      <w:r>
        <w:rPr>
          <w:rFonts w:eastAsia="Calibri" w:cs="Arial"/>
          <w:b/>
          <w:bCs/>
          <w:szCs w:val="20"/>
        </w:rPr>
        <w:t>b</w:t>
      </w:r>
      <w:r w:rsidRPr="00805A81">
        <w:rPr>
          <w:rFonts w:eastAsia="Calibri" w:cs="Arial"/>
          <w:b/>
          <w:bCs/>
          <w:szCs w:val="20"/>
        </w:rPr>
        <w:t xml:space="preserve"> člen</w:t>
      </w:r>
    </w:p>
    <w:p w:rsidR="00AE2155" w:rsidRDefault="00AE2155" w:rsidP="00B644CC">
      <w:pPr>
        <w:spacing w:line="288" w:lineRule="auto"/>
        <w:jc w:val="center"/>
        <w:rPr>
          <w:rFonts w:eastAsia="Calibri" w:cs="Arial"/>
          <w:b/>
          <w:szCs w:val="20"/>
        </w:rPr>
      </w:pPr>
      <w:r w:rsidRPr="00AD554E">
        <w:rPr>
          <w:rFonts w:eastAsia="Calibri" w:cs="Arial"/>
          <w:b/>
          <w:szCs w:val="20"/>
        </w:rPr>
        <w:t>(postopek i</w:t>
      </w:r>
      <w:r>
        <w:rPr>
          <w:rFonts w:eastAsia="Calibri" w:cs="Arial"/>
          <w:b/>
          <w:szCs w:val="20"/>
        </w:rPr>
        <w:t>menovanja pomočnika nacionalnega predstavnika)</w:t>
      </w:r>
    </w:p>
    <w:p w:rsidR="00AE2155" w:rsidRDefault="00AE2155" w:rsidP="00B644CC">
      <w:pPr>
        <w:spacing w:line="288" w:lineRule="auto"/>
        <w:jc w:val="both"/>
        <w:rPr>
          <w:rFonts w:eastAsia="Calibri" w:cs="Arial"/>
          <w:szCs w:val="20"/>
        </w:rPr>
      </w:pPr>
    </w:p>
    <w:p w:rsidR="00AE2155" w:rsidRDefault="00AE2155" w:rsidP="00B644CC">
      <w:pPr>
        <w:spacing w:line="288" w:lineRule="auto"/>
        <w:jc w:val="both"/>
        <w:rPr>
          <w:rFonts w:eastAsia="Calibri" w:cs="Arial"/>
          <w:szCs w:val="20"/>
        </w:rPr>
      </w:pPr>
      <w:r>
        <w:rPr>
          <w:rFonts w:eastAsia="Calibri" w:cs="Arial"/>
          <w:szCs w:val="20"/>
        </w:rPr>
        <w:t xml:space="preserve">(1) </w:t>
      </w:r>
      <w:r w:rsidRPr="006F4E3C">
        <w:rPr>
          <w:rFonts w:eastAsia="Calibri" w:cs="Arial"/>
          <w:szCs w:val="20"/>
        </w:rPr>
        <w:t xml:space="preserve">Pomočnika nacionalnega predstavnika imenuje </w:t>
      </w:r>
      <w:proofErr w:type="spellStart"/>
      <w:r w:rsidRPr="006F4E3C">
        <w:rPr>
          <w:rFonts w:eastAsia="Calibri" w:cs="Arial"/>
          <w:szCs w:val="20"/>
        </w:rPr>
        <w:t>Državnotožilski</w:t>
      </w:r>
      <w:proofErr w:type="spellEnd"/>
      <w:r w:rsidRPr="006F4E3C">
        <w:rPr>
          <w:rFonts w:eastAsia="Calibri" w:cs="Arial"/>
          <w:szCs w:val="20"/>
        </w:rPr>
        <w:t xml:space="preserve"> svet na predlog generalnega državnega tožilca po predhodnem mnenju nacionalnega predstavnika.</w:t>
      </w:r>
    </w:p>
    <w:p w:rsidR="00AE2155" w:rsidRDefault="00AE2155" w:rsidP="00B644CC">
      <w:pPr>
        <w:spacing w:line="288" w:lineRule="auto"/>
        <w:jc w:val="both"/>
        <w:rPr>
          <w:rFonts w:eastAsia="Calibri" w:cs="Arial"/>
          <w:szCs w:val="20"/>
        </w:rPr>
      </w:pPr>
    </w:p>
    <w:p w:rsidR="00AE2155" w:rsidRDefault="00AE2155" w:rsidP="00B644CC">
      <w:pPr>
        <w:spacing w:line="288" w:lineRule="auto"/>
        <w:jc w:val="both"/>
        <w:rPr>
          <w:rFonts w:eastAsia="Calibri" w:cs="Arial"/>
          <w:szCs w:val="20"/>
        </w:rPr>
      </w:pPr>
      <w:r>
        <w:rPr>
          <w:rFonts w:eastAsia="Calibri" w:cs="Arial"/>
          <w:szCs w:val="20"/>
        </w:rPr>
        <w:t xml:space="preserve">(2) </w:t>
      </w:r>
      <w:r w:rsidR="003907C3">
        <w:rPr>
          <w:rFonts w:eastAsia="Calibri" w:cs="Arial"/>
          <w:szCs w:val="20"/>
        </w:rPr>
        <w:t>Generalni državni tožilec s</w:t>
      </w:r>
      <w:r>
        <w:rPr>
          <w:rFonts w:eastAsia="Calibri" w:cs="Arial"/>
          <w:szCs w:val="20"/>
        </w:rPr>
        <w:t xml:space="preserve">e po pridobitvi mnenja nacionalnega predstavnika </w:t>
      </w:r>
      <w:r w:rsidRPr="005F2E37">
        <w:rPr>
          <w:rFonts w:eastAsia="Calibri" w:cs="Arial"/>
          <w:szCs w:val="20"/>
        </w:rPr>
        <w:t>do prijavljenih kandida</w:t>
      </w:r>
      <w:r>
        <w:rPr>
          <w:rFonts w:eastAsia="Calibri" w:cs="Arial"/>
          <w:szCs w:val="20"/>
        </w:rPr>
        <w:t xml:space="preserve">tov </w:t>
      </w:r>
      <w:r w:rsidRPr="005F2E37">
        <w:rPr>
          <w:rFonts w:eastAsia="Calibri" w:cs="Arial"/>
          <w:szCs w:val="20"/>
        </w:rPr>
        <w:t>opredeli in</w:t>
      </w:r>
      <w:r w:rsidR="003907C3">
        <w:rPr>
          <w:rFonts w:eastAsia="Calibri" w:cs="Arial"/>
          <w:szCs w:val="20"/>
        </w:rPr>
        <w:t xml:space="preserve"> </w:t>
      </w:r>
      <w:r w:rsidR="003907C3" w:rsidRPr="005F2E37">
        <w:rPr>
          <w:rFonts w:eastAsia="Calibri" w:cs="Arial"/>
          <w:szCs w:val="20"/>
        </w:rPr>
        <w:t xml:space="preserve">oblikuje predlog </w:t>
      </w:r>
      <w:r w:rsidR="003907C3">
        <w:rPr>
          <w:rFonts w:eastAsia="Calibri" w:cs="Arial"/>
          <w:szCs w:val="20"/>
        </w:rPr>
        <w:t>za imenovanje</w:t>
      </w:r>
      <w:r w:rsidRPr="005F2E37">
        <w:rPr>
          <w:rFonts w:eastAsia="Calibri" w:cs="Arial"/>
          <w:szCs w:val="20"/>
        </w:rPr>
        <w:t xml:space="preserve"> </w:t>
      </w:r>
      <w:r>
        <w:rPr>
          <w:rFonts w:eastAsia="Calibri" w:cs="Arial"/>
          <w:szCs w:val="20"/>
        </w:rPr>
        <w:t>pomočnika nacionalnega predstavnika</w:t>
      </w:r>
      <w:r w:rsidR="003907C3">
        <w:rPr>
          <w:rFonts w:eastAsia="Calibri" w:cs="Arial"/>
          <w:szCs w:val="20"/>
        </w:rPr>
        <w:t xml:space="preserve"> </w:t>
      </w:r>
      <w:r w:rsidR="003907C3" w:rsidRPr="005F2E37">
        <w:rPr>
          <w:rFonts w:eastAsia="Calibri" w:cs="Arial"/>
          <w:szCs w:val="20"/>
        </w:rPr>
        <w:t xml:space="preserve">ter o tem obvesti prijavljene kandidate in </w:t>
      </w:r>
      <w:r w:rsidR="003907C3">
        <w:rPr>
          <w:rFonts w:eastAsia="Calibri" w:cs="Arial"/>
          <w:szCs w:val="20"/>
        </w:rPr>
        <w:t xml:space="preserve">predlog posreduje </w:t>
      </w:r>
      <w:proofErr w:type="spellStart"/>
      <w:r w:rsidR="003907C3">
        <w:rPr>
          <w:rFonts w:eastAsia="Calibri" w:cs="Arial"/>
          <w:szCs w:val="20"/>
        </w:rPr>
        <w:t>Državnotožilskemu</w:t>
      </w:r>
      <w:proofErr w:type="spellEnd"/>
      <w:r w:rsidR="003907C3">
        <w:rPr>
          <w:rFonts w:eastAsia="Calibri" w:cs="Arial"/>
          <w:szCs w:val="20"/>
        </w:rPr>
        <w:t xml:space="preserve"> svetu</w:t>
      </w:r>
      <w:r>
        <w:rPr>
          <w:rFonts w:eastAsia="Calibri" w:cs="Arial"/>
          <w:szCs w:val="20"/>
        </w:rPr>
        <w:t xml:space="preserve">. </w:t>
      </w:r>
    </w:p>
    <w:p w:rsidR="00AE2155" w:rsidRDefault="00AE2155" w:rsidP="00B644CC">
      <w:pPr>
        <w:spacing w:line="288" w:lineRule="auto"/>
        <w:jc w:val="both"/>
        <w:rPr>
          <w:rFonts w:eastAsia="Calibri" w:cs="Arial"/>
          <w:szCs w:val="20"/>
        </w:rPr>
      </w:pPr>
    </w:p>
    <w:p w:rsidR="00AE2155" w:rsidRDefault="00AE2155" w:rsidP="00B644CC">
      <w:pPr>
        <w:spacing w:line="288" w:lineRule="auto"/>
        <w:jc w:val="both"/>
        <w:rPr>
          <w:rFonts w:eastAsia="Calibri" w:cs="Arial"/>
          <w:szCs w:val="20"/>
        </w:rPr>
      </w:pPr>
      <w:r>
        <w:rPr>
          <w:rFonts w:eastAsia="Calibri" w:cs="Arial"/>
          <w:szCs w:val="20"/>
        </w:rPr>
        <w:t>(3) Za postopek s pozivom k prijavam, z nepopolnimi prijavami in prijavami vloženimi po izteku pozivnega roka ter za vročitev odločbe o imenovanju pomočnika nacionalnega predstavnika se uporablja</w:t>
      </w:r>
      <w:r w:rsidR="00481B17">
        <w:rPr>
          <w:rFonts w:eastAsia="Calibri" w:cs="Arial"/>
          <w:szCs w:val="20"/>
        </w:rPr>
        <w:t>jo</w:t>
      </w:r>
      <w:r>
        <w:rPr>
          <w:rFonts w:eastAsia="Calibri" w:cs="Arial"/>
          <w:szCs w:val="20"/>
        </w:rPr>
        <w:t xml:space="preserve"> drugi, tretji, četrti in šesti odstavek prejšnjega člena.</w:t>
      </w:r>
    </w:p>
    <w:p w:rsidR="00AE2155" w:rsidRDefault="00AE2155" w:rsidP="00B644CC">
      <w:pPr>
        <w:spacing w:line="288" w:lineRule="auto"/>
        <w:jc w:val="both"/>
        <w:rPr>
          <w:rFonts w:eastAsia="Calibri" w:cs="Arial"/>
          <w:szCs w:val="20"/>
        </w:rPr>
      </w:pPr>
    </w:p>
    <w:p w:rsidR="001F31FC" w:rsidRPr="006B4D55" w:rsidRDefault="001F31FC" w:rsidP="001F31FC">
      <w:pPr>
        <w:spacing w:line="288" w:lineRule="auto"/>
        <w:jc w:val="center"/>
        <w:rPr>
          <w:rFonts w:eastAsia="Calibri" w:cs="Arial"/>
          <w:b/>
          <w:bCs/>
          <w:szCs w:val="20"/>
        </w:rPr>
      </w:pPr>
      <w:bookmarkStart w:id="30" w:name="_Hlk43287570"/>
      <w:bookmarkStart w:id="31" w:name="_Hlk43299245"/>
      <w:r w:rsidRPr="006B4D55">
        <w:rPr>
          <w:rFonts w:eastAsia="Calibri" w:cs="Arial"/>
          <w:b/>
          <w:bCs/>
          <w:szCs w:val="20"/>
        </w:rPr>
        <w:t>69.c člen</w:t>
      </w:r>
    </w:p>
    <w:p w:rsidR="001F31FC" w:rsidRPr="006B4D55" w:rsidRDefault="001F31FC" w:rsidP="001F31FC">
      <w:pPr>
        <w:spacing w:line="288" w:lineRule="auto"/>
        <w:jc w:val="center"/>
        <w:rPr>
          <w:rFonts w:eastAsia="Calibri" w:cs="Arial"/>
          <w:b/>
          <w:bCs/>
          <w:szCs w:val="20"/>
        </w:rPr>
      </w:pPr>
      <w:r w:rsidRPr="006B4D55">
        <w:rPr>
          <w:rFonts w:eastAsia="Calibri" w:cs="Arial"/>
          <w:b/>
          <w:bCs/>
          <w:szCs w:val="20"/>
        </w:rPr>
        <w:t>(</w:t>
      </w:r>
      <w:r w:rsidR="006B4D55" w:rsidRPr="006B4D55">
        <w:rPr>
          <w:rFonts w:eastAsia="Calibri" w:cs="Arial"/>
          <w:b/>
          <w:bCs/>
          <w:szCs w:val="20"/>
        </w:rPr>
        <w:t xml:space="preserve">prenehanje </w:t>
      </w:r>
      <w:r w:rsidR="00275DD0">
        <w:rPr>
          <w:rFonts w:eastAsia="Calibri" w:cs="Arial"/>
          <w:b/>
          <w:bCs/>
          <w:szCs w:val="20"/>
        </w:rPr>
        <w:t>mandata</w:t>
      </w:r>
      <w:r w:rsidRPr="006B4D55">
        <w:rPr>
          <w:rFonts w:eastAsia="Calibri" w:cs="Arial"/>
          <w:b/>
          <w:bCs/>
          <w:szCs w:val="20"/>
        </w:rPr>
        <w:t>)</w:t>
      </w:r>
    </w:p>
    <w:p w:rsidR="001F31FC" w:rsidRPr="00F95568" w:rsidRDefault="001F31FC" w:rsidP="001F31FC">
      <w:pPr>
        <w:spacing w:line="288" w:lineRule="auto"/>
        <w:jc w:val="center"/>
        <w:rPr>
          <w:rFonts w:eastAsia="Calibri" w:cs="Arial"/>
          <w:b/>
          <w:bCs/>
          <w:szCs w:val="20"/>
          <w:highlight w:val="yellow"/>
        </w:rPr>
      </w:pPr>
    </w:p>
    <w:p w:rsidR="006B4D55" w:rsidRPr="00C15754" w:rsidRDefault="00FD069D" w:rsidP="00C15754">
      <w:pPr>
        <w:shd w:val="clear" w:color="auto" w:fill="FFFFFF" w:themeFill="background1"/>
        <w:spacing w:line="288" w:lineRule="auto"/>
        <w:jc w:val="both"/>
        <w:rPr>
          <w:rFonts w:eastAsia="Calibri" w:cs="Arial"/>
          <w:szCs w:val="20"/>
        </w:rPr>
      </w:pPr>
      <w:r>
        <w:rPr>
          <w:rFonts w:eastAsia="Calibri" w:cs="Arial"/>
          <w:szCs w:val="20"/>
        </w:rPr>
        <w:t xml:space="preserve">(1) </w:t>
      </w:r>
      <w:r w:rsidR="00523C99" w:rsidRPr="00C15754">
        <w:rPr>
          <w:rFonts w:eastAsia="Calibri" w:cs="Arial"/>
          <w:szCs w:val="20"/>
        </w:rPr>
        <w:t>Nacionaln</w:t>
      </w:r>
      <w:r w:rsidR="006B4D55" w:rsidRPr="00C15754">
        <w:rPr>
          <w:rFonts w:eastAsia="Calibri" w:cs="Arial"/>
          <w:szCs w:val="20"/>
        </w:rPr>
        <w:t xml:space="preserve">emu </w:t>
      </w:r>
      <w:r w:rsidR="00523C99" w:rsidRPr="00C15754">
        <w:rPr>
          <w:rFonts w:eastAsia="Calibri" w:cs="Arial"/>
          <w:szCs w:val="20"/>
        </w:rPr>
        <w:t>predstavnik</w:t>
      </w:r>
      <w:r w:rsidR="006B4D55" w:rsidRPr="00C15754">
        <w:rPr>
          <w:rFonts w:eastAsia="Calibri" w:cs="Arial"/>
          <w:szCs w:val="20"/>
        </w:rPr>
        <w:t>u</w:t>
      </w:r>
      <w:r w:rsidR="00523C99" w:rsidRPr="00C15754">
        <w:rPr>
          <w:rFonts w:eastAsia="Calibri" w:cs="Arial"/>
          <w:szCs w:val="20"/>
        </w:rPr>
        <w:t>, njegov</w:t>
      </w:r>
      <w:r w:rsidR="006B4D55" w:rsidRPr="00C15754">
        <w:rPr>
          <w:rFonts w:eastAsia="Calibri" w:cs="Arial"/>
          <w:szCs w:val="20"/>
        </w:rPr>
        <w:t>emu</w:t>
      </w:r>
      <w:r w:rsidR="00523C99" w:rsidRPr="00C15754">
        <w:rPr>
          <w:rFonts w:eastAsia="Calibri" w:cs="Arial"/>
          <w:szCs w:val="20"/>
        </w:rPr>
        <w:t xml:space="preserve"> namestnik</w:t>
      </w:r>
      <w:r w:rsidR="006B4D55" w:rsidRPr="00C15754">
        <w:rPr>
          <w:rFonts w:eastAsia="Calibri" w:cs="Arial"/>
          <w:szCs w:val="20"/>
        </w:rPr>
        <w:t>u</w:t>
      </w:r>
      <w:r w:rsidR="00523C99" w:rsidRPr="00C15754">
        <w:rPr>
          <w:rFonts w:eastAsia="Calibri" w:cs="Arial"/>
          <w:szCs w:val="20"/>
        </w:rPr>
        <w:t xml:space="preserve"> in pomočnik</w:t>
      </w:r>
      <w:r w:rsidR="006B4D55" w:rsidRPr="00C15754">
        <w:rPr>
          <w:rFonts w:eastAsia="Calibri" w:cs="Arial"/>
          <w:szCs w:val="20"/>
        </w:rPr>
        <w:t xml:space="preserve">u preneha članstvo v </w:t>
      </w:r>
      <w:proofErr w:type="spellStart"/>
      <w:r w:rsidR="006B4D55" w:rsidRPr="00C15754">
        <w:rPr>
          <w:rFonts w:eastAsia="Calibri" w:cs="Arial"/>
          <w:szCs w:val="20"/>
        </w:rPr>
        <w:t>Eurojustu</w:t>
      </w:r>
      <w:proofErr w:type="spellEnd"/>
      <w:r w:rsidR="006B4D55" w:rsidRPr="00C15754">
        <w:rPr>
          <w:rFonts w:eastAsia="Calibri" w:cs="Arial"/>
          <w:szCs w:val="20"/>
        </w:rPr>
        <w:t xml:space="preserve"> pred potekom mandata:</w:t>
      </w:r>
    </w:p>
    <w:p w:rsidR="00C15754" w:rsidRDefault="00C15754" w:rsidP="00C15754">
      <w:pPr>
        <w:pStyle w:val="Odstavekseznama"/>
        <w:numPr>
          <w:ilvl w:val="0"/>
          <w:numId w:val="36"/>
        </w:numPr>
        <w:shd w:val="clear" w:color="auto" w:fill="FFFFFF" w:themeFill="background1"/>
        <w:spacing w:line="288" w:lineRule="auto"/>
        <w:jc w:val="both"/>
        <w:rPr>
          <w:rFonts w:eastAsia="Calibri" w:cs="Arial"/>
          <w:szCs w:val="20"/>
        </w:rPr>
      </w:pPr>
      <w:r>
        <w:rPr>
          <w:rFonts w:eastAsia="Calibri" w:cs="Arial"/>
          <w:szCs w:val="20"/>
        </w:rPr>
        <w:t>z odstopom;</w:t>
      </w:r>
    </w:p>
    <w:p w:rsidR="00C15754" w:rsidRPr="00C15754" w:rsidRDefault="006B4D55" w:rsidP="00C15754">
      <w:pPr>
        <w:pStyle w:val="Odstavekseznama"/>
        <w:numPr>
          <w:ilvl w:val="0"/>
          <w:numId w:val="36"/>
        </w:numPr>
        <w:shd w:val="clear" w:color="auto" w:fill="FFFFFF" w:themeFill="background1"/>
        <w:spacing w:line="288" w:lineRule="auto"/>
        <w:jc w:val="both"/>
        <w:rPr>
          <w:rFonts w:eastAsia="Calibri" w:cs="Arial"/>
          <w:szCs w:val="20"/>
        </w:rPr>
      </w:pPr>
      <w:r w:rsidRPr="00C15754">
        <w:rPr>
          <w:rFonts w:eastAsia="Calibri" w:cs="Arial"/>
          <w:szCs w:val="20"/>
        </w:rPr>
        <w:t xml:space="preserve">s prenehanjem </w:t>
      </w:r>
      <w:proofErr w:type="spellStart"/>
      <w:r w:rsidRPr="00C15754">
        <w:rPr>
          <w:rFonts w:eastAsia="Calibri" w:cs="Arial"/>
          <w:szCs w:val="20"/>
        </w:rPr>
        <w:t>državnotožilske</w:t>
      </w:r>
      <w:proofErr w:type="spellEnd"/>
      <w:r w:rsidRPr="00C15754">
        <w:rPr>
          <w:rFonts w:eastAsia="Calibri" w:cs="Arial"/>
          <w:szCs w:val="20"/>
        </w:rPr>
        <w:t xml:space="preserve"> funkcije ali razrešitvijo državnega tožilca</w:t>
      </w:r>
      <w:r w:rsidR="00C15754" w:rsidRPr="00C15754">
        <w:rPr>
          <w:rFonts w:eastAsia="Calibri" w:cs="Arial"/>
          <w:szCs w:val="20"/>
        </w:rPr>
        <w:t>;</w:t>
      </w:r>
    </w:p>
    <w:p w:rsidR="00C15754" w:rsidRPr="00C15754" w:rsidRDefault="00C15754" w:rsidP="00C15754">
      <w:pPr>
        <w:pStyle w:val="Odstavekseznama"/>
        <w:numPr>
          <w:ilvl w:val="0"/>
          <w:numId w:val="36"/>
        </w:numPr>
        <w:shd w:val="clear" w:color="auto" w:fill="FFFFFF" w:themeFill="background1"/>
        <w:spacing w:line="288" w:lineRule="auto"/>
        <w:jc w:val="both"/>
        <w:rPr>
          <w:rFonts w:eastAsia="Calibri" w:cs="Arial"/>
          <w:szCs w:val="20"/>
        </w:rPr>
      </w:pPr>
      <w:r w:rsidRPr="00C15754">
        <w:rPr>
          <w:rFonts w:eastAsia="Calibri" w:cs="Arial"/>
          <w:szCs w:val="20"/>
        </w:rPr>
        <w:t>če mu je izrečena disciplinska sankcija</w:t>
      </w:r>
      <w:r w:rsidR="00CE41BC">
        <w:rPr>
          <w:rFonts w:eastAsia="Calibri" w:cs="Arial"/>
          <w:szCs w:val="20"/>
        </w:rPr>
        <w:t xml:space="preserve"> zaradi hujše disciplinske kršitve</w:t>
      </w:r>
      <w:r>
        <w:rPr>
          <w:rFonts w:eastAsia="Calibri" w:cs="Arial"/>
          <w:szCs w:val="20"/>
        </w:rPr>
        <w:t>.</w:t>
      </w:r>
    </w:p>
    <w:p w:rsidR="001F31FC" w:rsidRDefault="001F31FC" w:rsidP="006C33A1">
      <w:pPr>
        <w:spacing w:line="288" w:lineRule="auto"/>
        <w:jc w:val="both"/>
        <w:rPr>
          <w:rFonts w:eastAsia="Calibri" w:cs="Arial"/>
          <w:szCs w:val="20"/>
        </w:rPr>
      </w:pPr>
    </w:p>
    <w:bookmarkEnd w:id="30"/>
    <w:p w:rsidR="00140B43" w:rsidRDefault="00140B43" w:rsidP="00140B43">
      <w:pPr>
        <w:spacing w:line="288" w:lineRule="auto"/>
        <w:jc w:val="both"/>
      </w:pPr>
      <w:r>
        <w:rPr>
          <w:rFonts w:eastAsia="Calibri" w:cs="Arial"/>
          <w:szCs w:val="20"/>
        </w:rPr>
        <w:t xml:space="preserve">(2) </w:t>
      </w:r>
      <w:r w:rsidRPr="00C15754">
        <w:rPr>
          <w:rFonts w:eastAsia="Calibri" w:cs="Arial"/>
          <w:szCs w:val="20"/>
        </w:rPr>
        <w:t xml:space="preserve">Nacionalnemu predstavniku, njegovemu namestniku in pomočniku </w:t>
      </w:r>
      <w:r>
        <w:t xml:space="preserve">preneha članstvo v </w:t>
      </w:r>
      <w:proofErr w:type="spellStart"/>
      <w:r>
        <w:t>Eurojustu</w:t>
      </w:r>
      <w:proofErr w:type="spellEnd"/>
      <w:r>
        <w:t>:</w:t>
      </w:r>
    </w:p>
    <w:p w:rsidR="00140B43" w:rsidRDefault="00481B17" w:rsidP="00481B17">
      <w:pPr>
        <w:spacing w:line="288" w:lineRule="auto"/>
        <w:jc w:val="both"/>
      </w:pPr>
      <w:r>
        <w:t xml:space="preserve">– </w:t>
      </w:r>
      <w:r w:rsidR="00140B43">
        <w:t>po 1. točki prejšnjega odstavka z dnem</w:t>
      </w:r>
      <w:r w:rsidR="00140B43" w:rsidRPr="00481B17">
        <w:rPr>
          <w:rFonts w:eastAsia="Calibri" w:cs="Arial"/>
          <w:szCs w:val="20"/>
        </w:rPr>
        <w:t>, ki ga državni tožilec predlaga v odstopni izjavi</w:t>
      </w:r>
      <w:r w:rsidR="008D35C2" w:rsidRPr="00481B17">
        <w:rPr>
          <w:rFonts w:eastAsia="Calibri" w:cs="Arial"/>
          <w:szCs w:val="20"/>
        </w:rPr>
        <w:t>,</w:t>
      </w:r>
      <w:r w:rsidR="00140B43" w:rsidRPr="00481B17">
        <w:rPr>
          <w:rFonts w:eastAsia="Calibri" w:cs="Arial"/>
          <w:szCs w:val="20"/>
        </w:rPr>
        <w:t xml:space="preserve"> vendar ne prej kot 30. dan po prispetju odstopne izjave</w:t>
      </w:r>
      <w:r w:rsidR="008D35C2" w:rsidRPr="00481B17">
        <w:rPr>
          <w:rFonts w:eastAsia="Calibri" w:cs="Arial"/>
          <w:szCs w:val="20"/>
        </w:rPr>
        <w:t xml:space="preserve"> k organu, ki je pristojen za imenovanje</w:t>
      </w:r>
      <w:r w:rsidR="00140B43" w:rsidRPr="00481B17">
        <w:rPr>
          <w:rFonts w:eastAsia="Calibri" w:cs="Arial"/>
          <w:szCs w:val="20"/>
        </w:rPr>
        <w:t>;</w:t>
      </w:r>
    </w:p>
    <w:p w:rsidR="00140B43" w:rsidRDefault="00481B17" w:rsidP="00481B17">
      <w:pPr>
        <w:spacing w:line="288" w:lineRule="auto"/>
        <w:jc w:val="both"/>
      </w:pPr>
      <w:r>
        <w:t xml:space="preserve">– </w:t>
      </w:r>
      <w:r w:rsidR="00140B43">
        <w:t xml:space="preserve">po 2. točki prejšnjega odstavka z dnem, ko je nastopilo prenehanje ali z dnem pravnomočnosti odločitve o razrešitvi in </w:t>
      </w:r>
    </w:p>
    <w:p w:rsidR="00140B43" w:rsidRPr="00481B17" w:rsidRDefault="00481B17" w:rsidP="00481B17">
      <w:pPr>
        <w:spacing w:line="288" w:lineRule="auto"/>
        <w:jc w:val="both"/>
        <w:rPr>
          <w:rFonts w:eastAsia="Calibri" w:cs="Arial"/>
          <w:szCs w:val="20"/>
        </w:rPr>
      </w:pPr>
      <w:r>
        <w:lastRenderedPageBreak/>
        <w:t xml:space="preserve">– </w:t>
      </w:r>
      <w:r w:rsidR="00140B43">
        <w:t>po 3. točki prejšnjega odstavka z dnem pravnomočnosti odločbe pristojnega organa.</w:t>
      </w:r>
    </w:p>
    <w:p w:rsidR="00140B43" w:rsidRDefault="00140B43" w:rsidP="00140B43">
      <w:pPr>
        <w:spacing w:line="288" w:lineRule="auto"/>
        <w:jc w:val="both"/>
        <w:rPr>
          <w:rFonts w:eastAsia="Calibri" w:cs="Arial"/>
          <w:szCs w:val="20"/>
        </w:rPr>
      </w:pPr>
    </w:p>
    <w:p w:rsidR="00140B43" w:rsidRDefault="00140B43" w:rsidP="00140B43">
      <w:pPr>
        <w:pStyle w:val="datumtevilka"/>
        <w:spacing w:line="288" w:lineRule="auto"/>
        <w:jc w:val="both"/>
        <w:rPr>
          <w:rFonts w:cs="Arial"/>
        </w:rPr>
      </w:pPr>
      <w:r>
        <w:rPr>
          <w:rFonts w:cs="Arial"/>
        </w:rPr>
        <w:t>(3) O prenehanju</w:t>
      </w:r>
      <w:r w:rsidR="00CB32AF">
        <w:rPr>
          <w:rFonts w:cs="Arial"/>
        </w:rPr>
        <w:t xml:space="preserve"> članstva pred potekom</w:t>
      </w:r>
      <w:r>
        <w:rPr>
          <w:rFonts w:cs="Arial"/>
        </w:rPr>
        <w:t xml:space="preserve"> mandata </w:t>
      </w:r>
      <w:r>
        <w:rPr>
          <w:rFonts w:eastAsia="Calibri" w:cs="Arial"/>
        </w:rPr>
        <w:t>n</w:t>
      </w:r>
      <w:r w:rsidRPr="00C15754">
        <w:rPr>
          <w:rFonts w:eastAsia="Calibri" w:cs="Arial"/>
        </w:rPr>
        <w:t xml:space="preserve">acionalnemu predstavniku, njegovemu namestniku in pomočniku </w:t>
      </w:r>
      <w:r>
        <w:rPr>
          <w:rFonts w:cs="Arial"/>
        </w:rPr>
        <w:t>organ pristojen za imenovanje</w:t>
      </w:r>
      <w:r w:rsidR="008D35C2">
        <w:rPr>
          <w:rFonts w:cs="Arial"/>
        </w:rPr>
        <w:t>,</w:t>
      </w:r>
      <w:r>
        <w:rPr>
          <w:rFonts w:cs="Arial"/>
        </w:rPr>
        <w:t xml:space="preserve"> izda ugotovitveno odločbo.</w:t>
      </w:r>
      <w:r w:rsidR="00B119C6">
        <w:rPr>
          <w:rFonts w:cs="Arial"/>
        </w:rPr>
        <w:t>«.</w:t>
      </w:r>
    </w:p>
    <w:bookmarkEnd w:id="31"/>
    <w:p w:rsidR="00FD069D" w:rsidRDefault="00FD069D" w:rsidP="00B644CC">
      <w:pPr>
        <w:spacing w:line="288" w:lineRule="auto"/>
        <w:jc w:val="both"/>
        <w:rPr>
          <w:rFonts w:eastAsia="Calibri" w:cs="Arial"/>
          <w:szCs w:val="20"/>
        </w:rPr>
      </w:pPr>
    </w:p>
    <w:p w:rsidR="00AE2155" w:rsidRDefault="00AE2155" w:rsidP="00B644CC">
      <w:pPr>
        <w:spacing w:line="288" w:lineRule="auto"/>
        <w:jc w:val="center"/>
        <w:rPr>
          <w:rFonts w:eastAsia="Calibri" w:cs="Arial"/>
          <w:b/>
          <w:szCs w:val="20"/>
        </w:rPr>
      </w:pPr>
      <w:r>
        <w:rPr>
          <w:rFonts w:eastAsia="Calibri" w:cs="Arial"/>
          <w:b/>
          <w:szCs w:val="20"/>
        </w:rPr>
        <w:t>13</w:t>
      </w:r>
      <w:r w:rsidRPr="00BD2F85">
        <w:rPr>
          <w:rFonts w:eastAsia="Calibri" w:cs="Arial"/>
          <w:b/>
          <w:szCs w:val="20"/>
        </w:rPr>
        <w:t>. člen</w:t>
      </w:r>
    </w:p>
    <w:p w:rsidR="00AE2155" w:rsidRPr="00BD2F85" w:rsidRDefault="00AE2155" w:rsidP="00B644CC">
      <w:pPr>
        <w:spacing w:line="288" w:lineRule="auto"/>
        <w:jc w:val="center"/>
        <w:rPr>
          <w:rFonts w:eastAsia="Calibri" w:cs="Arial"/>
          <w:b/>
          <w:szCs w:val="20"/>
        </w:rPr>
      </w:pPr>
    </w:p>
    <w:p w:rsidR="00AE2155" w:rsidRDefault="00AE2155" w:rsidP="00B644CC">
      <w:pPr>
        <w:spacing w:line="288" w:lineRule="auto"/>
        <w:jc w:val="both"/>
        <w:rPr>
          <w:rFonts w:eastAsia="Calibri" w:cs="Arial"/>
          <w:szCs w:val="20"/>
        </w:rPr>
      </w:pPr>
      <w:bookmarkStart w:id="32" w:name="_Hlk40961069"/>
      <w:r>
        <w:rPr>
          <w:rFonts w:eastAsia="Calibri" w:cs="Arial"/>
          <w:szCs w:val="20"/>
        </w:rPr>
        <w:t>V 70. členu se tretji odstavek spremeni tako, da se glasi:</w:t>
      </w:r>
    </w:p>
    <w:p w:rsidR="00AE2155" w:rsidRDefault="00AE2155" w:rsidP="00B644CC">
      <w:pPr>
        <w:spacing w:line="288" w:lineRule="auto"/>
        <w:jc w:val="both"/>
        <w:rPr>
          <w:rFonts w:eastAsia="Calibri" w:cs="Arial"/>
          <w:szCs w:val="20"/>
        </w:rPr>
      </w:pPr>
    </w:p>
    <w:p w:rsidR="00AE2155" w:rsidRDefault="00AE2155" w:rsidP="00B644CC">
      <w:pPr>
        <w:spacing w:line="288" w:lineRule="auto"/>
        <w:jc w:val="both"/>
        <w:rPr>
          <w:rFonts w:eastAsia="Calibri" w:cs="Arial"/>
          <w:szCs w:val="20"/>
        </w:rPr>
      </w:pPr>
      <w:r>
        <w:rPr>
          <w:rFonts w:eastAsia="Calibri" w:cs="Arial"/>
          <w:szCs w:val="20"/>
        </w:rPr>
        <w:t>»</w:t>
      </w:r>
      <w:r w:rsidRPr="000D4EC5">
        <w:rPr>
          <w:rFonts w:eastAsia="Calibri" w:cs="Arial"/>
          <w:szCs w:val="20"/>
        </w:rPr>
        <w:t>(3</w:t>
      </w:r>
      <w:r>
        <w:rPr>
          <w:rFonts w:eastAsia="Calibri" w:cs="Arial"/>
          <w:szCs w:val="20"/>
        </w:rPr>
        <w:t xml:space="preserve">) </w:t>
      </w:r>
      <w:r w:rsidRPr="000D4EC5">
        <w:rPr>
          <w:rFonts w:eastAsia="Calibri" w:cs="Arial"/>
          <w:szCs w:val="20"/>
        </w:rPr>
        <w:t>Državn</w:t>
      </w:r>
      <w:r>
        <w:rPr>
          <w:rFonts w:eastAsia="Calibri" w:cs="Arial"/>
          <w:szCs w:val="20"/>
        </w:rPr>
        <w:t>emu</w:t>
      </w:r>
      <w:r w:rsidRPr="000D4EC5">
        <w:rPr>
          <w:rFonts w:eastAsia="Calibri" w:cs="Arial"/>
          <w:szCs w:val="20"/>
        </w:rPr>
        <w:t xml:space="preserve"> tožil</w:t>
      </w:r>
      <w:r>
        <w:rPr>
          <w:rFonts w:eastAsia="Calibri" w:cs="Arial"/>
          <w:szCs w:val="20"/>
        </w:rPr>
        <w:t>cu</w:t>
      </w:r>
      <w:r w:rsidRPr="000D4EC5">
        <w:rPr>
          <w:rFonts w:eastAsia="Calibri" w:cs="Arial"/>
          <w:szCs w:val="20"/>
        </w:rPr>
        <w:t xml:space="preserve"> z imenovanjem za nacionalnega predstavnika v </w:t>
      </w:r>
      <w:proofErr w:type="spellStart"/>
      <w:r w:rsidRPr="000D4EC5">
        <w:rPr>
          <w:rFonts w:eastAsia="Calibri" w:cs="Arial"/>
          <w:szCs w:val="20"/>
        </w:rPr>
        <w:t>Eurojustu</w:t>
      </w:r>
      <w:proofErr w:type="spellEnd"/>
      <w:r>
        <w:rPr>
          <w:rFonts w:eastAsia="Calibri" w:cs="Arial"/>
          <w:szCs w:val="20"/>
        </w:rPr>
        <w:t xml:space="preserve"> mirujejo pravice in dolžnosti iz </w:t>
      </w:r>
      <w:proofErr w:type="spellStart"/>
      <w:r>
        <w:rPr>
          <w:rFonts w:eastAsia="Calibri" w:cs="Arial"/>
          <w:szCs w:val="20"/>
        </w:rPr>
        <w:t>državnotožilske</w:t>
      </w:r>
      <w:proofErr w:type="spellEnd"/>
      <w:r>
        <w:rPr>
          <w:rFonts w:eastAsia="Calibri" w:cs="Arial"/>
          <w:szCs w:val="20"/>
        </w:rPr>
        <w:t xml:space="preserve"> službe, razen </w:t>
      </w:r>
      <w:proofErr w:type="spellStart"/>
      <w:r>
        <w:rPr>
          <w:rFonts w:eastAsia="Calibri" w:cs="Arial"/>
          <w:szCs w:val="20"/>
        </w:rPr>
        <w:t>državnotožilska</w:t>
      </w:r>
      <w:proofErr w:type="spellEnd"/>
      <w:r>
        <w:rPr>
          <w:rFonts w:eastAsia="Calibri" w:cs="Arial"/>
          <w:szCs w:val="20"/>
        </w:rPr>
        <w:t xml:space="preserve"> funkcija, varovane so vse njegove pravice do napredovanja v skladu s tem </w:t>
      </w:r>
      <w:r w:rsidRPr="00545590">
        <w:rPr>
          <w:rFonts w:eastAsia="Calibri" w:cs="Arial"/>
          <w:szCs w:val="20"/>
        </w:rPr>
        <w:t>zakonom</w:t>
      </w:r>
      <w:r>
        <w:rPr>
          <w:rFonts w:eastAsia="Calibri" w:cs="Arial"/>
          <w:szCs w:val="20"/>
        </w:rPr>
        <w:t>.</w:t>
      </w:r>
      <w:r w:rsidRPr="00545590">
        <w:rPr>
          <w:rFonts w:eastAsia="Calibri" w:cs="Arial"/>
          <w:szCs w:val="20"/>
        </w:rPr>
        <w:t xml:space="preserve"> </w:t>
      </w:r>
      <w:r w:rsidR="00F508A2" w:rsidRPr="006E178C">
        <w:rPr>
          <w:rFonts w:eastAsia="Calibri" w:cs="Arial"/>
          <w:szCs w:val="20"/>
          <w:shd w:val="clear" w:color="auto" w:fill="FFFFFF"/>
        </w:rPr>
        <w:t xml:space="preserve">Pri oceni </w:t>
      </w:r>
      <w:proofErr w:type="spellStart"/>
      <w:r w:rsidR="00F508A2" w:rsidRPr="006E178C">
        <w:rPr>
          <w:rFonts w:eastAsia="Calibri" w:cs="Arial"/>
          <w:szCs w:val="20"/>
          <w:shd w:val="clear" w:color="auto" w:fill="FFFFFF"/>
        </w:rPr>
        <w:t>državnotožilske</w:t>
      </w:r>
      <w:proofErr w:type="spellEnd"/>
      <w:r w:rsidR="00F508A2" w:rsidRPr="006E178C">
        <w:rPr>
          <w:rFonts w:eastAsia="Calibri" w:cs="Arial"/>
          <w:szCs w:val="20"/>
          <w:shd w:val="clear" w:color="auto" w:fill="FFFFFF"/>
        </w:rPr>
        <w:t xml:space="preserve"> službe za čas </w:t>
      </w:r>
      <w:r w:rsidR="00F508A2">
        <w:rPr>
          <w:rFonts w:eastAsia="Calibri" w:cs="Arial"/>
          <w:szCs w:val="20"/>
          <w:shd w:val="clear" w:color="auto" w:fill="FFFFFF"/>
        </w:rPr>
        <w:t>imenovanja</w:t>
      </w:r>
      <w:r w:rsidR="00F508A2" w:rsidRPr="006E178C">
        <w:rPr>
          <w:rFonts w:eastAsia="Calibri" w:cs="Arial"/>
          <w:szCs w:val="20"/>
          <w:shd w:val="clear" w:color="auto" w:fill="FFFFFF"/>
        </w:rPr>
        <w:t xml:space="preserve"> se upošteva</w:t>
      </w:r>
      <w:r w:rsidR="00481B17">
        <w:rPr>
          <w:rFonts w:eastAsia="Calibri" w:cs="Arial"/>
          <w:szCs w:val="20"/>
          <w:shd w:val="clear" w:color="auto" w:fill="FFFFFF"/>
        </w:rPr>
        <w:t>ta</w:t>
      </w:r>
      <w:r w:rsidR="00F508A2">
        <w:rPr>
          <w:rFonts w:eastAsia="Calibri" w:cs="Arial"/>
          <w:szCs w:val="20"/>
          <w:shd w:val="clear" w:color="auto" w:fill="FFFFFF"/>
        </w:rPr>
        <w:t xml:space="preserve"> poročilo o delu</w:t>
      </w:r>
      <w:r w:rsidR="003907C3">
        <w:rPr>
          <w:rFonts w:eastAsia="Calibri" w:cs="Arial"/>
          <w:szCs w:val="20"/>
          <w:shd w:val="clear" w:color="auto" w:fill="FFFFFF"/>
        </w:rPr>
        <w:t xml:space="preserve">, ki ga izdela državni tožilec in </w:t>
      </w:r>
      <w:r w:rsidR="00F508A2" w:rsidRPr="006E178C">
        <w:rPr>
          <w:rFonts w:eastAsia="Calibri" w:cs="Arial"/>
          <w:szCs w:val="20"/>
          <w:shd w:val="clear" w:color="auto" w:fill="FFFFFF"/>
        </w:rPr>
        <w:t xml:space="preserve">mnenje o delu državnega tožilca, ki ga za namene ocene </w:t>
      </w:r>
      <w:proofErr w:type="spellStart"/>
      <w:r w:rsidR="00F508A2" w:rsidRPr="006E178C">
        <w:rPr>
          <w:rFonts w:eastAsia="Calibri" w:cs="Arial"/>
          <w:szCs w:val="20"/>
          <w:shd w:val="clear" w:color="auto" w:fill="FFFFFF"/>
        </w:rPr>
        <w:t>državnotožilske</w:t>
      </w:r>
      <w:proofErr w:type="spellEnd"/>
      <w:r w:rsidR="00F508A2" w:rsidRPr="006E178C">
        <w:rPr>
          <w:rFonts w:eastAsia="Calibri" w:cs="Arial"/>
          <w:szCs w:val="20"/>
          <w:shd w:val="clear" w:color="auto" w:fill="FFFFFF"/>
        </w:rPr>
        <w:t xml:space="preserve"> službe izdela predstojnik </w:t>
      </w:r>
      <w:proofErr w:type="spellStart"/>
      <w:r w:rsidR="00F508A2">
        <w:rPr>
          <w:rFonts w:eastAsia="Calibri" w:cs="Arial"/>
          <w:szCs w:val="20"/>
          <w:shd w:val="clear" w:color="auto" w:fill="FFFFFF"/>
        </w:rPr>
        <w:t>Eurojusta</w:t>
      </w:r>
      <w:proofErr w:type="spellEnd"/>
      <w:r w:rsidR="00F508A2">
        <w:rPr>
          <w:rFonts w:eastAsia="Calibri" w:cs="Arial"/>
          <w:szCs w:val="20"/>
          <w:shd w:val="clear" w:color="auto" w:fill="FFFFFF"/>
        </w:rPr>
        <w:t>.</w:t>
      </w:r>
      <w:r w:rsidR="00F508A2">
        <w:rPr>
          <w:rFonts w:eastAsia="Calibri" w:cs="Arial"/>
          <w:szCs w:val="20"/>
        </w:rPr>
        <w:t xml:space="preserve"> </w:t>
      </w:r>
      <w:r>
        <w:rPr>
          <w:rFonts w:eastAsia="Calibri" w:cs="Arial"/>
          <w:szCs w:val="20"/>
        </w:rPr>
        <w:t xml:space="preserve">Državni tožilec obdrži pravico uporabljati doseženi naziv in položaj. </w:t>
      </w:r>
      <w:r w:rsidRPr="000D4EC5">
        <w:rPr>
          <w:rFonts w:eastAsia="Calibri" w:cs="Arial"/>
          <w:szCs w:val="20"/>
        </w:rPr>
        <w:t xml:space="preserve">Nacionalni predstavnik opravlja funkcijo državnega tožilca s pooblastili, ki jih ima kot član </w:t>
      </w:r>
      <w:proofErr w:type="spellStart"/>
      <w:r w:rsidRPr="000D4EC5">
        <w:rPr>
          <w:rFonts w:eastAsia="Calibri" w:cs="Arial"/>
          <w:szCs w:val="20"/>
        </w:rPr>
        <w:t>Eurojusta</w:t>
      </w:r>
      <w:proofErr w:type="spellEnd"/>
      <w:r w:rsidRPr="000D4EC5">
        <w:rPr>
          <w:rFonts w:eastAsia="Calibri" w:cs="Arial"/>
          <w:szCs w:val="20"/>
        </w:rPr>
        <w:t xml:space="preserve"> iz Republike Slovenije, </w:t>
      </w:r>
      <w:r w:rsidR="00023962">
        <w:rPr>
          <w:rFonts w:eastAsia="Calibri" w:cs="Arial"/>
          <w:szCs w:val="20"/>
        </w:rPr>
        <w:t>v skladu s tem zakonom</w:t>
      </w:r>
      <w:r w:rsidR="00023962" w:rsidRPr="000D4EC5">
        <w:rPr>
          <w:rFonts w:eastAsia="Calibri" w:cs="Arial"/>
          <w:szCs w:val="20"/>
        </w:rPr>
        <w:t xml:space="preserve"> </w:t>
      </w:r>
      <w:r w:rsidR="00023962">
        <w:rPr>
          <w:rFonts w:eastAsia="Calibri" w:cs="Arial"/>
          <w:szCs w:val="20"/>
        </w:rPr>
        <w:t>in pravnimi akti Evropske unije, ki</w:t>
      </w:r>
      <w:r w:rsidRPr="000D4EC5">
        <w:rPr>
          <w:rFonts w:eastAsia="Calibri" w:cs="Arial"/>
          <w:szCs w:val="20"/>
        </w:rPr>
        <w:t xml:space="preserve"> urejajo delovanje </w:t>
      </w:r>
      <w:proofErr w:type="spellStart"/>
      <w:r w:rsidRPr="000D4EC5">
        <w:rPr>
          <w:rFonts w:eastAsia="Calibri" w:cs="Arial"/>
          <w:szCs w:val="20"/>
        </w:rPr>
        <w:t>Eurojusta</w:t>
      </w:r>
      <w:proofErr w:type="spellEnd"/>
      <w:r w:rsidRPr="000D4EC5">
        <w:rPr>
          <w:rFonts w:eastAsia="Calibri" w:cs="Arial"/>
          <w:szCs w:val="20"/>
        </w:rPr>
        <w:t>.</w:t>
      </w:r>
      <w:r>
        <w:rPr>
          <w:rFonts w:eastAsia="Calibri" w:cs="Arial"/>
          <w:szCs w:val="20"/>
        </w:rPr>
        <w:t>«.</w:t>
      </w:r>
    </w:p>
    <w:p w:rsidR="006B0380" w:rsidRDefault="006B0380" w:rsidP="00B644CC">
      <w:pPr>
        <w:spacing w:line="288" w:lineRule="auto"/>
        <w:jc w:val="both"/>
        <w:rPr>
          <w:rFonts w:eastAsia="Calibri" w:cs="Arial"/>
          <w:szCs w:val="20"/>
        </w:rPr>
      </w:pPr>
    </w:p>
    <w:p w:rsidR="006B0380" w:rsidRDefault="006B0380" w:rsidP="00B644CC">
      <w:pPr>
        <w:spacing w:line="288" w:lineRule="auto"/>
        <w:jc w:val="both"/>
        <w:rPr>
          <w:rFonts w:eastAsia="Calibri" w:cs="Arial"/>
          <w:szCs w:val="20"/>
        </w:rPr>
      </w:pPr>
      <w:r>
        <w:rPr>
          <w:rFonts w:eastAsia="Calibri" w:cs="Arial"/>
          <w:szCs w:val="20"/>
        </w:rPr>
        <w:t>Peti odstavek se spremeni tako, da se glasi:</w:t>
      </w:r>
    </w:p>
    <w:p w:rsidR="00B119C6" w:rsidRDefault="00B119C6" w:rsidP="00B644CC">
      <w:pPr>
        <w:spacing w:line="288" w:lineRule="auto"/>
        <w:jc w:val="both"/>
        <w:rPr>
          <w:rFonts w:eastAsia="Calibri" w:cs="Arial"/>
          <w:szCs w:val="20"/>
        </w:rPr>
      </w:pPr>
    </w:p>
    <w:p w:rsidR="007F5441" w:rsidRDefault="00877409" w:rsidP="00B644CC">
      <w:pPr>
        <w:spacing w:line="288" w:lineRule="auto"/>
        <w:jc w:val="both"/>
        <w:rPr>
          <w:rFonts w:eastAsia="Calibri" w:cs="Arial"/>
          <w:szCs w:val="20"/>
        </w:rPr>
      </w:pPr>
      <w:r>
        <w:rPr>
          <w:rFonts w:eastAsia="Calibri" w:cs="Arial"/>
          <w:szCs w:val="20"/>
        </w:rPr>
        <w:t xml:space="preserve">»(5) </w:t>
      </w:r>
      <w:r w:rsidR="007F5441" w:rsidRPr="007F5441">
        <w:rPr>
          <w:rFonts w:eastAsia="Calibri" w:cs="Arial"/>
          <w:szCs w:val="20"/>
        </w:rPr>
        <w:t xml:space="preserve">Plačo nacionalnega predstavnika v </w:t>
      </w:r>
      <w:proofErr w:type="spellStart"/>
      <w:r w:rsidR="007F5441" w:rsidRPr="007F5441">
        <w:rPr>
          <w:rFonts w:eastAsia="Calibri" w:cs="Arial"/>
          <w:szCs w:val="20"/>
        </w:rPr>
        <w:t>Eurojustu</w:t>
      </w:r>
      <w:proofErr w:type="spellEnd"/>
      <w:r w:rsidR="007F5441" w:rsidRPr="007F5441">
        <w:rPr>
          <w:rFonts w:eastAsia="Calibri" w:cs="Arial"/>
          <w:szCs w:val="20"/>
        </w:rPr>
        <w:t>, namestnika in pomočnika nacionalnega predstavnika uredi vlada z uredbo na način, kot jo ureja zakon, ki ureja plače v javnem sektorju za funkcionarje, ki so napoteni na delo v tujino ter jim v skladu z zakonom v času napotitve funkcija miruje.</w:t>
      </w:r>
      <w:r w:rsidR="006B0380">
        <w:rPr>
          <w:rFonts w:eastAsia="Calibri" w:cs="Arial"/>
          <w:szCs w:val="20"/>
        </w:rPr>
        <w:t>«.</w:t>
      </w:r>
    </w:p>
    <w:p w:rsidR="006B0380" w:rsidRDefault="006B0380" w:rsidP="00B644CC">
      <w:pPr>
        <w:spacing w:line="288" w:lineRule="auto"/>
        <w:jc w:val="both"/>
        <w:rPr>
          <w:rFonts w:eastAsia="Calibri" w:cs="Arial"/>
          <w:szCs w:val="20"/>
        </w:rPr>
      </w:pPr>
    </w:p>
    <w:p w:rsidR="006B0380" w:rsidRDefault="006B0380" w:rsidP="00B644CC">
      <w:pPr>
        <w:spacing w:line="288" w:lineRule="auto"/>
        <w:jc w:val="both"/>
        <w:rPr>
          <w:rFonts w:eastAsia="Calibri" w:cs="Arial"/>
          <w:szCs w:val="20"/>
        </w:rPr>
      </w:pPr>
      <w:r>
        <w:rPr>
          <w:rFonts w:eastAsia="Calibri" w:cs="Arial"/>
          <w:szCs w:val="20"/>
        </w:rPr>
        <w:t>Za novim petim odstavkom se dodata nova</w:t>
      </w:r>
      <w:r w:rsidR="00481B17">
        <w:rPr>
          <w:rFonts w:eastAsia="Calibri" w:cs="Arial"/>
          <w:szCs w:val="20"/>
        </w:rPr>
        <w:t>,</w:t>
      </w:r>
      <w:r>
        <w:rPr>
          <w:rFonts w:eastAsia="Calibri" w:cs="Arial"/>
          <w:szCs w:val="20"/>
        </w:rPr>
        <w:t xml:space="preserve"> šesti in sedmi odstavek, ki se glasita:</w:t>
      </w:r>
    </w:p>
    <w:p w:rsidR="00B119C6" w:rsidRDefault="00B119C6" w:rsidP="00B644CC">
      <w:pPr>
        <w:spacing w:line="288" w:lineRule="auto"/>
        <w:jc w:val="both"/>
        <w:rPr>
          <w:rFonts w:eastAsia="Calibri" w:cs="Arial"/>
          <w:szCs w:val="20"/>
        </w:rPr>
      </w:pPr>
    </w:p>
    <w:p w:rsidR="004E106F" w:rsidRDefault="006B0380" w:rsidP="004E106F">
      <w:pPr>
        <w:spacing w:line="288" w:lineRule="auto"/>
        <w:jc w:val="both"/>
      </w:pPr>
      <w:r>
        <w:rPr>
          <w:rFonts w:eastAsia="Calibri" w:cs="Arial"/>
          <w:szCs w:val="20"/>
        </w:rPr>
        <w:t>»</w:t>
      </w:r>
      <w:r w:rsidR="004E106F" w:rsidRPr="007F5441">
        <w:rPr>
          <w:rFonts w:eastAsia="Calibri" w:cs="Arial"/>
          <w:szCs w:val="20"/>
        </w:rPr>
        <w:t>(</w:t>
      </w:r>
      <w:r w:rsidR="004E106F">
        <w:rPr>
          <w:rFonts w:eastAsia="Calibri" w:cs="Arial"/>
          <w:szCs w:val="20"/>
        </w:rPr>
        <w:t>6</w:t>
      </w:r>
      <w:r w:rsidR="004E106F" w:rsidRPr="007F5441">
        <w:rPr>
          <w:rFonts w:eastAsia="Calibri" w:cs="Arial"/>
          <w:szCs w:val="20"/>
        </w:rPr>
        <w:t xml:space="preserve">) </w:t>
      </w:r>
      <w:r w:rsidR="00806A01">
        <w:rPr>
          <w:rFonts w:eastAsia="Calibri" w:cs="Arial"/>
          <w:szCs w:val="20"/>
        </w:rPr>
        <w:t>P</w:t>
      </w:r>
      <w:r w:rsidR="004E106F" w:rsidRPr="007F5441">
        <w:rPr>
          <w:rFonts w:eastAsia="Calibri" w:cs="Arial"/>
          <w:szCs w:val="20"/>
        </w:rPr>
        <w:t xml:space="preserve">omočniku nacionalnega predstavnika pripada plača v skladu s prejšnjim </w:t>
      </w:r>
      <w:r w:rsidR="004E106F">
        <w:rPr>
          <w:rFonts w:eastAsia="Calibri" w:cs="Arial"/>
          <w:szCs w:val="20"/>
        </w:rPr>
        <w:t>odstavkom</w:t>
      </w:r>
      <w:r w:rsidR="004E106F" w:rsidRPr="007F5441">
        <w:rPr>
          <w:rFonts w:eastAsia="Calibri" w:cs="Arial"/>
          <w:szCs w:val="20"/>
        </w:rPr>
        <w:t xml:space="preserve">, kadar opravlja naloge </w:t>
      </w:r>
      <w:r w:rsidR="004E106F">
        <w:rPr>
          <w:rFonts w:eastAsia="Calibri" w:cs="Arial"/>
          <w:szCs w:val="20"/>
        </w:rPr>
        <w:t xml:space="preserve">na sedežu </w:t>
      </w:r>
      <w:proofErr w:type="spellStart"/>
      <w:r w:rsidR="004E106F">
        <w:rPr>
          <w:rFonts w:eastAsia="Calibri" w:cs="Arial"/>
          <w:szCs w:val="20"/>
        </w:rPr>
        <w:t>Eurojust</w:t>
      </w:r>
      <w:r>
        <w:rPr>
          <w:rFonts w:eastAsia="Calibri" w:cs="Arial"/>
          <w:szCs w:val="20"/>
        </w:rPr>
        <w:t>a</w:t>
      </w:r>
      <w:proofErr w:type="spellEnd"/>
      <w:r w:rsidR="004E106F" w:rsidRPr="007F5441">
        <w:rPr>
          <w:rFonts w:eastAsia="Calibri" w:cs="Arial"/>
          <w:szCs w:val="20"/>
        </w:rPr>
        <w:t>.</w:t>
      </w:r>
      <w:r w:rsidR="004E106F">
        <w:rPr>
          <w:rFonts w:eastAsia="Calibri" w:cs="Arial"/>
          <w:szCs w:val="20"/>
        </w:rPr>
        <w:t xml:space="preserve"> </w:t>
      </w:r>
    </w:p>
    <w:p w:rsidR="00955211" w:rsidRDefault="00955211" w:rsidP="00B644CC">
      <w:pPr>
        <w:spacing w:line="288" w:lineRule="auto"/>
        <w:jc w:val="both"/>
        <w:rPr>
          <w:rFonts w:eastAsia="Calibri" w:cs="Arial"/>
          <w:szCs w:val="20"/>
        </w:rPr>
      </w:pPr>
    </w:p>
    <w:p w:rsidR="007F5441" w:rsidRDefault="004E106F" w:rsidP="00B644CC">
      <w:pPr>
        <w:spacing w:line="288" w:lineRule="auto"/>
        <w:jc w:val="both"/>
        <w:rPr>
          <w:rFonts w:eastAsia="Calibri" w:cs="Arial"/>
          <w:szCs w:val="20"/>
        </w:rPr>
      </w:pPr>
      <w:r>
        <w:rPr>
          <w:rFonts w:eastAsia="Calibri" w:cs="Arial"/>
          <w:szCs w:val="20"/>
        </w:rPr>
        <w:t xml:space="preserve">(7) </w:t>
      </w:r>
      <w:r w:rsidR="007F5441" w:rsidRPr="007F5441">
        <w:rPr>
          <w:rFonts w:eastAsia="Calibri" w:cs="Arial"/>
          <w:szCs w:val="20"/>
        </w:rPr>
        <w:t xml:space="preserve">Ne glede na </w:t>
      </w:r>
      <w:r w:rsidR="0015453C">
        <w:rPr>
          <w:rFonts w:eastAsia="Calibri" w:cs="Arial"/>
          <w:szCs w:val="20"/>
        </w:rPr>
        <w:t xml:space="preserve">peti in šesti </w:t>
      </w:r>
      <w:r w:rsidR="007F5441">
        <w:rPr>
          <w:rFonts w:eastAsia="Calibri" w:cs="Arial"/>
          <w:szCs w:val="20"/>
        </w:rPr>
        <w:t>odstavek</w:t>
      </w:r>
      <w:r w:rsidR="007F5441" w:rsidRPr="007F5441">
        <w:rPr>
          <w:rFonts w:eastAsia="Calibri" w:cs="Arial"/>
          <w:szCs w:val="20"/>
        </w:rPr>
        <w:t xml:space="preserve"> </w:t>
      </w:r>
      <w:r w:rsidR="0015453C">
        <w:rPr>
          <w:rFonts w:eastAsia="Calibri" w:cs="Arial"/>
          <w:szCs w:val="20"/>
        </w:rPr>
        <w:t xml:space="preserve">tega člena </w:t>
      </w:r>
      <w:r w:rsidR="007F5441" w:rsidRPr="007F5441">
        <w:rPr>
          <w:rFonts w:eastAsia="Calibri" w:cs="Arial"/>
          <w:szCs w:val="20"/>
        </w:rPr>
        <w:t xml:space="preserve">nacionalnemu predstavniku v </w:t>
      </w:r>
      <w:proofErr w:type="spellStart"/>
      <w:r w:rsidR="007F5441" w:rsidRPr="007F5441">
        <w:rPr>
          <w:rFonts w:eastAsia="Calibri" w:cs="Arial"/>
          <w:szCs w:val="20"/>
        </w:rPr>
        <w:t>Eurojustu</w:t>
      </w:r>
      <w:proofErr w:type="spellEnd"/>
      <w:r w:rsidR="007F5441" w:rsidRPr="007F5441">
        <w:rPr>
          <w:rFonts w:eastAsia="Calibri" w:cs="Arial"/>
          <w:szCs w:val="20"/>
        </w:rPr>
        <w:t xml:space="preserve">, namestniku in pomočniku nacionalnega predstavnika pripada najmanj takšna plača, kakršno bi prejemal, če bi opravljal </w:t>
      </w:r>
      <w:proofErr w:type="spellStart"/>
      <w:r w:rsidR="007F5441" w:rsidRPr="007F5441">
        <w:rPr>
          <w:rFonts w:eastAsia="Calibri" w:cs="Arial"/>
          <w:szCs w:val="20"/>
        </w:rPr>
        <w:t>državnotožilsko</w:t>
      </w:r>
      <w:proofErr w:type="spellEnd"/>
      <w:r w:rsidR="007F5441" w:rsidRPr="007F5441">
        <w:rPr>
          <w:rFonts w:eastAsia="Calibri" w:cs="Arial"/>
          <w:szCs w:val="20"/>
        </w:rPr>
        <w:t xml:space="preserve"> službo</w:t>
      </w:r>
      <w:r w:rsidR="007F5441">
        <w:rPr>
          <w:rFonts w:eastAsia="Calibri" w:cs="Arial"/>
          <w:szCs w:val="20"/>
        </w:rPr>
        <w:t xml:space="preserve"> v Republiki Sloveniji.</w:t>
      </w:r>
      <w:r w:rsidR="00955211">
        <w:rPr>
          <w:rFonts w:eastAsia="Calibri" w:cs="Arial"/>
          <w:szCs w:val="20"/>
        </w:rPr>
        <w:t>«.</w:t>
      </w:r>
    </w:p>
    <w:bookmarkEnd w:id="32"/>
    <w:p w:rsidR="0011486F" w:rsidRDefault="0011486F" w:rsidP="00B644CC">
      <w:pPr>
        <w:spacing w:line="288" w:lineRule="auto"/>
        <w:jc w:val="both"/>
        <w:rPr>
          <w:rFonts w:eastAsia="Calibri" w:cs="Arial"/>
          <w:szCs w:val="20"/>
        </w:rPr>
      </w:pPr>
    </w:p>
    <w:p w:rsidR="00AE2155" w:rsidRPr="00785F2E" w:rsidRDefault="00AE2155" w:rsidP="00B644CC">
      <w:pPr>
        <w:spacing w:line="288" w:lineRule="auto"/>
        <w:jc w:val="center"/>
        <w:rPr>
          <w:rFonts w:eastAsia="Calibri" w:cs="Arial"/>
          <w:b/>
          <w:szCs w:val="20"/>
        </w:rPr>
      </w:pPr>
      <w:r>
        <w:rPr>
          <w:rFonts w:eastAsia="Calibri" w:cs="Arial"/>
          <w:b/>
          <w:szCs w:val="20"/>
        </w:rPr>
        <w:t>14</w:t>
      </w:r>
      <w:r w:rsidRPr="00785F2E">
        <w:rPr>
          <w:rFonts w:eastAsia="Calibri" w:cs="Arial"/>
          <w:b/>
          <w:szCs w:val="20"/>
        </w:rPr>
        <w:t>. člen</w:t>
      </w:r>
    </w:p>
    <w:p w:rsidR="00AE2155" w:rsidRPr="00785F2E" w:rsidRDefault="00AE2155" w:rsidP="00B644CC">
      <w:pPr>
        <w:spacing w:line="288" w:lineRule="auto"/>
        <w:jc w:val="center"/>
        <w:rPr>
          <w:rFonts w:eastAsia="Calibri" w:cs="Arial"/>
          <w:szCs w:val="20"/>
          <w:shd w:val="clear" w:color="auto" w:fill="FFFFFF"/>
        </w:rPr>
      </w:pPr>
    </w:p>
    <w:p w:rsidR="00AE2155" w:rsidRDefault="00AE2155" w:rsidP="00B644CC">
      <w:pPr>
        <w:spacing w:line="288" w:lineRule="auto"/>
        <w:jc w:val="both"/>
        <w:rPr>
          <w:rFonts w:eastAsia="Calibri" w:cs="Arial"/>
          <w:szCs w:val="20"/>
          <w:shd w:val="clear" w:color="auto" w:fill="FFFFFF"/>
        </w:rPr>
      </w:pPr>
      <w:r w:rsidRPr="00785F2E">
        <w:rPr>
          <w:rFonts w:eastAsia="Calibri" w:cs="Arial"/>
          <w:szCs w:val="20"/>
          <w:shd w:val="clear" w:color="auto" w:fill="FFFFFF"/>
        </w:rPr>
        <w:t>V 71. b členu se v drugem odstavku besedilo »po izteku imenovanja« črta</w:t>
      </w:r>
      <w:r w:rsidR="00042B7F">
        <w:rPr>
          <w:rFonts w:eastAsia="Calibri" w:cs="Arial"/>
          <w:szCs w:val="20"/>
          <w:shd w:val="clear" w:color="auto" w:fill="FFFFFF"/>
        </w:rPr>
        <w:t xml:space="preserve">, </w:t>
      </w:r>
      <w:r w:rsidR="00241319">
        <w:rPr>
          <w:rFonts w:eastAsia="Calibri" w:cs="Arial"/>
          <w:szCs w:val="20"/>
          <w:shd w:val="clear" w:color="auto" w:fill="FFFFFF"/>
        </w:rPr>
        <w:t xml:space="preserve">na koncu odstavka pa se </w:t>
      </w:r>
      <w:r w:rsidR="00042B7F" w:rsidRPr="00665E35">
        <w:rPr>
          <w:rFonts w:eastAsia="Calibri" w:cs="Arial"/>
          <w:szCs w:val="20"/>
          <w:shd w:val="clear" w:color="auto" w:fill="FFFFFF"/>
        </w:rPr>
        <w:t>za piko</w:t>
      </w:r>
      <w:r w:rsidR="004D32E4" w:rsidRPr="00665E35">
        <w:rPr>
          <w:rFonts w:eastAsia="Calibri" w:cs="Arial"/>
          <w:szCs w:val="20"/>
          <w:shd w:val="clear" w:color="auto" w:fill="FFFFFF"/>
        </w:rPr>
        <w:t xml:space="preserve"> </w:t>
      </w:r>
      <w:r w:rsidR="00042B7F" w:rsidRPr="00665E35">
        <w:rPr>
          <w:rFonts w:eastAsia="Calibri" w:cs="Arial"/>
          <w:szCs w:val="20"/>
          <w:shd w:val="clear" w:color="auto" w:fill="FFFFFF"/>
        </w:rPr>
        <w:t xml:space="preserve">doda nov </w:t>
      </w:r>
      <w:r w:rsidR="00F119F5" w:rsidRPr="00665E35">
        <w:rPr>
          <w:rFonts w:eastAsia="Calibri" w:cs="Arial"/>
          <w:szCs w:val="20"/>
          <w:shd w:val="clear" w:color="auto" w:fill="FFFFFF"/>
        </w:rPr>
        <w:t>tretji</w:t>
      </w:r>
      <w:r w:rsidR="00042B7F">
        <w:rPr>
          <w:rFonts w:eastAsia="Calibri" w:cs="Arial"/>
          <w:szCs w:val="20"/>
          <w:shd w:val="clear" w:color="auto" w:fill="FFFFFF"/>
        </w:rPr>
        <w:t xml:space="preserve"> stavek, ki se glasi: »</w:t>
      </w:r>
      <w:r w:rsidR="00042B7F" w:rsidRPr="006E178C">
        <w:rPr>
          <w:rFonts w:eastAsia="Calibri" w:cs="Arial"/>
          <w:szCs w:val="20"/>
          <w:shd w:val="clear" w:color="auto" w:fill="FFFFFF"/>
        </w:rPr>
        <w:t xml:space="preserve">Pri oceni </w:t>
      </w:r>
      <w:proofErr w:type="spellStart"/>
      <w:r w:rsidR="00042B7F" w:rsidRPr="006E178C">
        <w:rPr>
          <w:rFonts w:eastAsia="Calibri" w:cs="Arial"/>
          <w:szCs w:val="20"/>
          <w:shd w:val="clear" w:color="auto" w:fill="FFFFFF"/>
        </w:rPr>
        <w:t>državnotožilske</w:t>
      </w:r>
      <w:proofErr w:type="spellEnd"/>
      <w:r w:rsidR="00042B7F" w:rsidRPr="006E178C">
        <w:rPr>
          <w:rFonts w:eastAsia="Calibri" w:cs="Arial"/>
          <w:szCs w:val="20"/>
          <w:shd w:val="clear" w:color="auto" w:fill="FFFFFF"/>
        </w:rPr>
        <w:t xml:space="preserve"> službe za čas </w:t>
      </w:r>
      <w:r w:rsidR="00042B7F">
        <w:rPr>
          <w:rFonts w:eastAsia="Calibri" w:cs="Arial"/>
          <w:szCs w:val="20"/>
          <w:shd w:val="clear" w:color="auto" w:fill="FFFFFF"/>
        </w:rPr>
        <w:t>imenovanja</w:t>
      </w:r>
      <w:r w:rsidR="00042B7F" w:rsidRPr="006E178C">
        <w:rPr>
          <w:rFonts w:eastAsia="Calibri" w:cs="Arial"/>
          <w:szCs w:val="20"/>
          <w:shd w:val="clear" w:color="auto" w:fill="FFFFFF"/>
        </w:rPr>
        <w:t xml:space="preserve"> se upošteva</w:t>
      </w:r>
      <w:r w:rsidR="00481B17">
        <w:rPr>
          <w:rFonts w:eastAsia="Calibri" w:cs="Arial"/>
          <w:szCs w:val="20"/>
          <w:shd w:val="clear" w:color="auto" w:fill="FFFFFF"/>
        </w:rPr>
        <w:t>ta</w:t>
      </w:r>
      <w:r w:rsidR="00042B7F">
        <w:rPr>
          <w:rFonts w:eastAsia="Calibri" w:cs="Arial"/>
          <w:szCs w:val="20"/>
          <w:shd w:val="clear" w:color="auto" w:fill="FFFFFF"/>
        </w:rPr>
        <w:t xml:space="preserve"> poročilo o delu, ki ga izdela </w:t>
      </w:r>
      <w:r w:rsidR="00EF76BE">
        <w:rPr>
          <w:rFonts w:eastAsia="Calibri" w:cs="Arial"/>
          <w:szCs w:val="20"/>
          <w:shd w:val="clear" w:color="auto" w:fill="FFFFFF"/>
        </w:rPr>
        <w:t>evropski tožilec</w:t>
      </w:r>
      <w:r w:rsidR="00042B7F">
        <w:rPr>
          <w:rFonts w:eastAsia="Calibri" w:cs="Arial"/>
          <w:szCs w:val="20"/>
          <w:shd w:val="clear" w:color="auto" w:fill="FFFFFF"/>
        </w:rPr>
        <w:t xml:space="preserve"> in </w:t>
      </w:r>
      <w:r w:rsidR="00042B7F" w:rsidRPr="006E178C">
        <w:rPr>
          <w:rFonts w:eastAsia="Calibri" w:cs="Arial"/>
          <w:szCs w:val="20"/>
          <w:shd w:val="clear" w:color="auto" w:fill="FFFFFF"/>
        </w:rPr>
        <w:t xml:space="preserve">mnenje o delu </w:t>
      </w:r>
      <w:r w:rsidR="00EF76BE">
        <w:rPr>
          <w:rFonts w:eastAsia="Calibri" w:cs="Arial"/>
          <w:szCs w:val="20"/>
          <w:shd w:val="clear" w:color="auto" w:fill="FFFFFF"/>
        </w:rPr>
        <w:t>evropskega tožilca</w:t>
      </w:r>
      <w:r w:rsidR="00042B7F" w:rsidRPr="006E178C">
        <w:rPr>
          <w:rFonts w:eastAsia="Calibri" w:cs="Arial"/>
          <w:szCs w:val="20"/>
          <w:shd w:val="clear" w:color="auto" w:fill="FFFFFF"/>
        </w:rPr>
        <w:t xml:space="preserve">, ki ga za namene ocene </w:t>
      </w:r>
      <w:proofErr w:type="spellStart"/>
      <w:r w:rsidR="00042B7F" w:rsidRPr="006E178C">
        <w:rPr>
          <w:rFonts w:eastAsia="Calibri" w:cs="Arial"/>
          <w:szCs w:val="20"/>
          <w:shd w:val="clear" w:color="auto" w:fill="FFFFFF"/>
        </w:rPr>
        <w:t>državnotožilske</w:t>
      </w:r>
      <w:proofErr w:type="spellEnd"/>
      <w:r w:rsidR="00042B7F" w:rsidRPr="006E178C">
        <w:rPr>
          <w:rFonts w:eastAsia="Calibri" w:cs="Arial"/>
          <w:szCs w:val="20"/>
          <w:shd w:val="clear" w:color="auto" w:fill="FFFFFF"/>
        </w:rPr>
        <w:t xml:space="preserve"> službe izdela predstojnik </w:t>
      </w:r>
      <w:r w:rsidR="00042B7F">
        <w:rPr>
          <w:rFonts w:eastAsia="Calibri" w:cs="Arial"/>
          <w:szCs w:val="20"/>
          <w:shd w:val="clear" w:color="auto" w:fill="FFFFFF"/>
        </w:rPr>
        <w:t>Evropskega javnega tožilstva.</w:t>
      </w:r>
      <w:r w:rsidR="006B0380">
        <w:rPr>
          <w:rFonts w:eastAsia="Calibri" w:cs="Arial"/>
          <w:szCs w:val="20"/>
          <w:shd w:val="clear" w:color="auto" w:fill="FFFFFF"/>
        </w:rPr>
        <w:t>«.</w:t>
      </w:r>
    </w:p>
    <w:p w:rsidR="00180313" w:rsidRDefault="00180313" w:rsidP="00B644CC">
      <w:pPr>
        <w:spacing w:line="288" w:lineRule="auto"/>
        <w:jc w:val="both"/>
        <w:rPr>
          <w:rFonts w:eastAsia="Calibri" w:cs="Arial"/>
          <w:szCs w:val="20"/>
          <w:shd w:val="clear" w:color="auto" w:fill="FFFFFF"/>
        </w:rPr>
      </w:pPr>
    </w:p>
    <w:p w:rsidR="00EF76BE" w:rsidRDefault="006F6D2D" w:rsidP="00180313">
      <w:pPr>
        <w:spacing w:line="288" w:lineRule="auto"/>
        <w:jc w:val="both"/>
        <w:rPr>
          <w:rFonts w:eastAsia="Calibri" w:cs="Arial"/>
          <w:szCs w:val="20"/>
          <w:shd w:val="clear" w:color="auto" w:fill="FFFFFF"/>
        </w:rPr>
      </w:pPr>
      <w:r>
        <w:rPr>
          <w:rFonts w:eastAsia="Calibri" w:cs="Arial"/>
          <w:szCs w:val="20"/>
          <w:shd w:val="clear" w:color="auto" w:fill="FFFFFF"/>
        </w:rPr>
        <w:t xml:space="preserve">Za tretjim odstavkom </w:t>
      </w:r>
      <w:r w:rsidR="00EF76BE">
        <w:rPr>
          <w:rFonts w:eastAsia="Calibri" w:cs="Arial"/>
          <w:szCs w:val="20"/>
          <w:shd w:val="clear" w:color="auto" w:fill="FFFFFF"/>
        </w:rPr>
        <w:t xml:space="preserve">se </w:t>
      </w:r>
      <w:r>
        <w:rPr>
          <w:rFonts w:eastAsia="Calibri" w:cs="Arial"/>
          <w:szCs w:val="20"/>
          <w:shd w:val="clear" w:color="auto" w:fill="FFFFFF"/>
        </w:rPr>
        <w:t xml:space="preserve">doda </w:t>
      </w:r>
      <w:r w:rsidR="00EF76BE">
        <w:rPr>
          <w:rFonts w:eastAsia="Calibri" w:cs="Arial"/>
          <w:szCs w:val="20"/>
          <w:shd w:val="clear" w:color="auto" w:fill="FFFFFF"/>
        </w:rPr>
        <w:t>nov</w:t>
      </w:r>
      <w:r>
        <w:rPr>
          <w:rFonts w:eastAsia="Calibri" w:cs="Arial"/>
          <w:szCs w:val="20"/>
          <w:shd w:val="clear" w:color="auto" w:fill="FFFFFF"/>
        </w:rPr>
        <w:t>i</w:t>
      </w:r>
      <w:r w:rsidR="00EF76BE">
        <w:rPr>
          <w:rFonts w:eastAsia="Calibri" w:cs="Arial"/>
          <w:szCs w:val="20"/>
          <w:shd w:val="clear" w:color="auto" w:fill="FFFFFF"/>
        </w:rPr>
        <w:t xml:space="preserve"> četrti odstavek, ki se glasi</w:t>
      </w:r>
      <w:r w:rsidR="00180313">
        <w:rPr>
          <w:rFonts w:eastAsia="Calibri" w:cs="Arial"/>
          <w:szCs w:val="20"/>
          <w:shd w:val="clear" w:color="auto" w:fill="FFFFFF"/>
        </w:rPr>
        <w:t>:</w:t>
      </w:r>
    </w:p>
    <w:p w:rsidR="00B119C6" w:rsidRDefault="00B119C6" w:rsidP="00180313">
      <w:pPr>
        <w:spacing w:line="288" w:lineRule="auto"/>
        <w:jc w:val="both"/>
        <w:rPr>
          <w:rFonts w:eastAsia="Calibri" w:cs="Arial"/>
          <w:szCs w:val="20"/>
          <w:shd w:val="clear" w:color="auto" w:fill="FFFFFF"/>
        </w:rPr>
      </w:pPr>
    </w:p>
    <w:p w:rsidR="00180313" w:rsidRDefault="00EF76BE" w:rsidP="00180313">
      <w:pPr>
        <w:spacing w:line="288" w:lineRule="auto"/>
        <w:jc w:val="both"/>
        <w:rPr>
          <w:rFonts w:eastAsia="Calibri" w:cs="Arial"/>
          <w:szCs w:val="20"/>
          <w:shd w:val="clear" w:color="auto" w:fill="FFFFFF"/>
        </w:rPr>
      </w:pPr>
      <w:r w:rsidRPr="00A470E5">
        <w:rPr>
          <w:rFonts w:eastAsia="Calibri" w:cs="Arial"/>
          <w:szCs w:val="20"/>
          <w:shd w:val="clear" w:color="auto" w:fill="FFFFFF"/>
        </w:rPr>
        <w:t>»(4)</w:t>
      </w:r>
      <w:r w:rsidR="00180313" w:rsidRPr="00A470E5">
        <w:rPr>
          <w:rFonts w:eastAsia="Calibri" w:cs="Arial"/>
          <w:szCs w:val="20"/>
          <w:shd w:val="clear" w:color="auto" w:fill="FFFFFF"/>
        </w:rPr>
        <w:t xml:space="preserve"> Pri oceni </w:t>
      </w:r>
      <w:proofErr w:type="spellStart"/>
      <w:r w:rsidR="00180313" w:rsidRPr="00A470E5">
        <w:rPr>
          <w:rFonts w:eastAsia="Calibri" w:cs="Arial"/>
          <w:szCs w:val="20"/>
          <w:shd w:val="clear" w:color="auto" w:fill="FFFFFF"/>
        </w:rPr>
        <w:t>državnotožilske</w:t>
      </w:r>
      <w:proofErr w:type="spellEnd"/>
      <w:r w:rsidR="00180313" w:rsidRPr="00A470E5">
        <w:rPr>
          <w:rFonts w:eastAsia="Calibri" w:cs="Arial"/>
          <w:szCs w:val="20"/>
          <w:shd w:val="clear" w:color="auto" w:fill="FFFFFF"/>
        </w:rPr>
        <w:t xml:space="preserve"> službe </w:t>
      </w:r>
      <w:r w:rsidRPr="00A470E5">
        <w:rPr>
          <w:rFonts w:eastAsia="Calibri" w:cs="Arial"/>
          <w:szCs w:val="20"/>
          <w:shd w:val="clear" w:color="auto" w:fill="FFFFFF"/>
        </w:rPr>
        <w:t xml:space="preserve">za evropskega delegiranega tožilca </w:t>
      </w:r>
      <w:r w:rsidR="00481B17">
        <w:rPr>
          <w:rFonts w:eastAsia="Calibri" w:cs="Arial"/>
          <w:szCs w:val="20"/>
          <w:shd w:val="clear" w:color="auto" w:fill="FFFFFF"/>
        </w:rPr>
        <w:t xml:space="preserve">se </w:t>
      </w:r>
      <w:r w:rsidRPr="00A470E5">
        <w:rPr>
          <w:rFonts w:eastAsia="Calibri" w:cs="Arial"/>
          <w:szCs w:val="20"/>
          <w:shd w:val="clear" w:color="auto" w:fill="FFFFFF"/>
        </w:rPr>
        <w:t xml:space="preserve">v delu, v katerem opravlja naloge iz pristojnosti EJT </w:t>
      </w:r>
      <w:r w:rsidR="00180313" w:rsidRPr="00A470E5">
        <w:rPr>
          <w:rFonts w:eastAsia="Calibri" w:cs="Arial"/>
          <w:szCs w:val="20"/>
          <w:shd w:val="clear" w:color="auto" w:fill="FFFFFF"/>
        </w:rPr>
        <w:t>upošteva</w:t>
      </w:r>
      <w:r w:rsidR="00481B17">
        <w:rPr>
          <w:rFonts w:eastAsia="Calibri" w:cs="Arial"/>
          <w:szCs w:val="20"/>
          <w:shd w:val="clear" w:color="auto" w:fill="FFFFFF"/>
        </w:rPr>
        <w:t>ta</w:t>
      </w:r>
      <w:r w:rsidR="00180313" w:rsidRPr="00A470E5">
        <w:rPr>
          <w:rFonts w:eastAsia="Calibri" w:cs="Arial"/>
          <w:szCs w:val="20"/>
          <w:shd w:val="clear" w:color="auto" w:fill="FFFFFF"/>
        </w:rPr>
        <w:t xml:space="preserve"> poročilo o delu, ki ga izdela </w:t>
      </w:r>
      <w:r w:rsidRPr="00A470E5">
        <w:rPr>
          <w:rFonts w:eastAsia="Calibri" w:cs="Arial"/>
          <w:szCs w:val="20"/>
          <w:shd w:val="clear" w:color="auto" w:fill="FFFFFF"/>
        </w:rPr>
        <w:t>evropski delegirani tožilec</w:t>
      </w:r>
      <w:r w:rsidR="00180313" w:rsidRPr="00A470E5">
        <w:rPr>
          <w:rFonts w:eastAsia="Calibri" w:cs="Arial"/>
          <w:szCs w:val="20"/>
          <w:shd w:val="clear" w:color="auto" w:fill="FFFFFF"/>
        </w:rPr>
        <w:t xml:space="preserve"> in mnenje o delu </w:t>
      </w:r>
      <w:r w:rsidRPr="00A470E5">
        <w:rPr>
          <w:rFonts w:eastAsia="Calibri" w:cs="Arial"/>
          <w:szCs w:val="20"/>
          <w:shd w:val="clear" w:color="auto" w:fill="FFFFFF"/>
        </w:rPr>
        <w:t>evropskega delegiranega tožilca</w:t>
      </w:r>
      <w:r w:rsidR="00180313" w:rsidRPr="00A470E5">
        <w:rPr>
          <w:rFonts w:eastAsia="Calibri" w:cs="Arial"/>
          <w:szCs w:val="20"/>
          <w:shd w:val="clear" w:color="auto" w:fill="FFFFFF"/>
        </w:rPr>
        <w:t xml:space="preserve">, ki ga za namene ocene </w:t>
      </w:r>
      <w:proofErr w:type="spellStart"/>
      <w:r w:rsidR="00180313" w:rsidRPr="00A470E5">
        <w:rPr>
          <w:rFonts w:eastAsia="Calibri" w:cs="Arial"/>
          <w:szCs w:val="20"/>
          <w:shd w:val="clear" w:color="auto" w:fill="FFFFFF"/>
        </w:rPr>
        <w:t>državnotožilske</w:t>
      </w:r>
      <w:proofErr w:type="spellEnd"/>
      <w:r w:rsidR="00180313" w:rsidRPr="00A470E5">
        <w:rPr>
          <w:rFonts w:eastAsia="Calibri" w:cs="Arial"/>
          <w:szCs w:val="20"/>
          <w:shd w:val="clear" w:color="auto" w:fill="FFFFFF"/>
        </w:rPr>
        <w:t xml:space="preserve"> službe izdela predstojnik </w:t>
      </w:r>
      <w:r w:rsidR="00481B17">
        <w:rPr>
          <w:rFonts w:eastAsia="Calibri" w:cs="Arial"/>
          <w:szCs w:val="20"/>
          <w:shd w:val="clear" w:color="auto" w:fill="FFFFFF"/>
        </w:rPr>
        <w:t>EJT</w:t>
      </w:r>
      <w:r w:rsidR="00180313" w:rsidRPr="00A470E5">
        <w:rPr>
          <w:rFonts w:eastAsia="Calibri" w:cs="Arial"/>
          <w:szCs w:val="20"/>
          <w:shd w:val="clear" w:color="auto" w:fill="FFFFFF"/>
        </w:rPr>
        <w:t>.</w:t>
      </w:r>
      <w:r w:rsidR="00B343AC">
        <w:rPr>
          <w:rFonts w:eastAsia="Calibri" w:cs="Arial"/>
          <w:szCs w:val="20"/>
          <w:shd w:val="clear" w:color="auto" w:fill="FFFFFF"/>
        </w:rPr>
        <w:t>«.</w:t>
      </w:r>
    </w:p>
    <w:p w:rsidR="00180313" w:rsidRDefault="00180313" w:rsidP="00B644CC">
      <w:pPr>
        <w:spacing w:line="288" w:lineRule="auto"/>
        <w:jc w:val="both"/>
        <w:rPr>
          <w:rFonts w:eastAsia="Calibri" w:cs="Arial"/>
          <w:szCs w:val="20"/>
        </w:rPr>
      </w:pPr>
    </w:p>
    <w:p w:rsidR="00EF76BE" w:rsidRDefault="00EF76BE" w:rsidP="00B644CC">
      <w:pPr>
        <w:spacing w:line="288" w:lineRule="auto"/>
        <w:jc w:val="both"/>
        <w:rPr>
          <w:rFonts w:eastAsia="Calibri" w:cs="Arial"/>
          <w:szCs w:val="20"/>
        </w:rPr>
      </w:pPr>
      <w:r>
        <w:rPr>
          <w:rFonts w:eastAsia="Calibri" w:cs="Arial"/>
          <w:szCs w:val="20"/>
        </w:rPr>
        <w:t xml:space="preserve">Dosedanji četrti </w:t>
      </w:r>
      <w:r w:rsidR="006F6D2D">
        <w:rPr>
          <w:rFonts w:eastAsia="Calibri" w:cs="Arial"/>
          <w:szCs w:val="20"/>
        </w:rPr>
        <w:t>do</w:t>
      </w:r>
      <w:r>
        <w:rPr>
          <w:rFonts w:eastAsia="Calibri" w:cs="Arial"/>
          <w:szCs w:val="20"/>
        </w:rPr>
        <w:t xml:space="preserve"> osmi odstavek postanejo peti</w:t>
      </w:r>
      <w:r w:rsidR="006F6D2D">
        <w:rPr>
          <w:rFonts w:eastAsia="Calibri" w:cs="Arial"/>
          <w:szCs w:val="20"/>
        </w:rPr>
        <w:t xml:space="preserve"> do </w:t>
      </w:r>
      <w:r>
        <w:rPr>
          <w:rFonts w:eastAsia="Calibri" w:cs="Arial"/>
          <w:szCs w:val="20"/>
        </w:rPr>
        <w:t>deveti odstavek</w:t>
      </w:r>
      <w:r w:rsidR="00681DA3">
        <w:rPr>
          <w:rFonts w:eastAsia="Calibri" w:cs="Arial"/>
          <w:szCs w:val="20"/>
        </w:rPr>
        <w:t>.</w:t>
      </w:r>
    </w:p>
    <w:p w:rsidR="00AE2155" w:rsidRDefault="00AE2155" w:rsidP="00B644CC">
      <w:pPr>
        <w:spacing w:line="288" w:lineRule="auto"/>
        <w:jc w:val="center"/>
        <w:rPr>
          <w:rFonts w:eastAsia="Calibri" w:cs="Arial"/>
          <w:b/>
          <w:color w:val="FF0000"/>
          <w:szCs w:val="20"/>
          <w:highlight w:val="yellow"/>
        </w:rPr>
      </w:pPr>
    </w:p>
    <w:p w:rsidR="00AE2155" w:rsidRPr="00EA195F" w:rsidRDefault="00AE2155" w:rsidP="00B644CC">
      <w:pPr>
        <w:spacing w:line="288" w:lineRule="auto"/>
        <w:jc w:val="center"/>
        <w:rPr>
          <w:rFonts w:eastAsia="Calibri" w:cs="Arial"/>
          <w:b/>
          <w:szCs w:val="20"/>
        </w:rPr>
      </w:pPr>
      <w:r w:rsidRPr="00EA195F">
        <w:rPr>
          <w:rFonts w:eastAsia="Calibri" w:cs="Arial"/>
          <w:b/>
          <w:szCs w:val="20"/>
        </w:rPr>
        <w:lastRenderedPageBreak/>
        <w:t>1</w:t>
      </w:r>
      <w:r>
        <w:rPr>
          <w:rFonts w:eastAsia="Calibri" w:cs="Arial"/>
          <w:b/>
          <w:szCs w:val="20"/>
        </w:rPr>
        <w:t>5</w:t>
      </w:r>
      <w:r w:rsidRPr="00EA195F">
        <w:rPr>
          <w:rFonts w:eastAsia="Calibri" w:cs="Arial"/>
          <w:b/>
          <w:szCs w:val="20"/>
        </w:rPr>
        <w:t>. člen</w:t>
      </w:r>
    </w:p>
    <w:p w:rsidR="00AE2155" w:rsidRPr="00EA195F" w:rsidRDefault="00AE2155" w:rsidP="00B644CC">
      <w:pPr>
        <w:spacing w:line="288" w:lineRule="auto"/>
        <w:jc w:val="both"/>
        <w:rPr>
          <w:rFonts w:eastAsia="Calibri" w:cs="Arial"/>
          <w:b/>
          <w:szCs w:val="20"/>
        </w:rPr>
      </w:pPr>
    </w:p>
    <w:p w:rsidR="00AE2155" w:rsidRPr="00EA195F" w:rsidRDefault="00AE2155" w:rsidP="00B644CC">
      <w:pPr>
        <w:spacing w:line="288" w:lineRule="auto"/>
        <w:jc w:val="both"/>
        <w:rPr>
          <w:rFonts w:eastAsia="Calibri" w:cs="Arial"/>
          <w:bCs/>
          <w:szCs w:val="20"/>
        </w:rPr>
      </w:pPr>
      <w:r w:rsidRPr="00EA195F">
        <w:rPr>
          <w:rFonts w:eastAsia="Calibri" w:cs="Arial"/>
          <w:bCs/>
          <w:szCs w:val="20"/>
        </w:rPr>
        <w:t>V 77. členu se v petem odstavku beseda »pravobranilstvo« nadomesti z besedo »odvetništvo«.</w:t>
      </w:r>
    </w:p>
    <w:p w:rsidR="00AE2155" w:rsidRPr="00EA195F" w:rsidRDefault="00AE2155" w:rsidP="00B644CC">
      <w:pPr>
        <w:spacing w:line="288" w:lineRule="auto"/>
        <w:jc w:val="both"/>
        <w:rPr>
          <w:rFonts w:eastAsia="Calibri" w:cs="Arial"/>
          <w:szCs w:val="20"/>
        </w:rPr>
      </w:pPr>
    </w:p>
    <w:p w:rsidR="00AE2155" w:rsidRPr="00EA195F" w:rsidRDefault="00AE2155" w:rsidP="00B644CC">
      <w:pPr>
        <w:spacing w:line="288" w:lineRule="auto"/>
        <w:jc w:val="center"/>
        <w:rPr>
          <w:rFonts w:eastAsia="Calibri" w:cs="Arial"/>
          <w:szCs w:val="20"/>
        </w:rPr>
      </w:pPr>
      <w:r w:rsidRPr="00EA195F">
        <w:rPr>
          <w:rFonts w:eastAsia="Calibri" w:cs="Arial"/>
          <w:b/>
          <w:szCs w:val="20"/>
        </w:rPr>
        <w:t>1</w:t>
      </w:r>
      <w:r>
        <w:rPr>
          <w:rFonts w:eastAsia="Calibri" w:cs="Arial"/>
          <w:b/>
          <w:szCs w:val="20"/>
        </w:rPr>
        <w:t>6</w:t>
      </w:r>
      <w:r w:rsidRPr="00EA195F">
        <w:rPr>
          <w:rFonts w:eastAsia="Calibri" w:cs="Arial"/>
          <w:b/>
          <w:szCs w:val="20"/>
        </w:rPr>
        <w:t>. člen</w:t>
      </w:r>
    </w:p>
    <w:p w:rsidR="00AE2155" w:rsidRPr="00EA195F" w:rsidRDefault="00AE2155" w:rsidP="00B644CC">
      <w:pPr>
        <w:spacing w:line="288" w:lineRule="auto"/>
        <w:jc w:val="center"/>
        <w:rPr>
          <w:rFonts w:eastAsia="Calibri" w:cs="Arial"/>
          <w:b/>
          <w:szCs w:val="20"/>
        </w:rPr>
      </w:pPr>
    </w:p>
    <w:p w:rsidR="00AE2155" w:rsidRPr="00EA195F" w:rsidRDefault="00AE2155" w:rsidP="00B644CC">
      <w:pPr>
        <w:spacing w:line="288" w:lineRule="auto"/>
        <w:jc w:val="both"/>
        <w:rPr>
          <w:rFonts w:eastAsia="Calibri" w:cs="Arial"/>
          <w:bCs/>
          <w:szCs w:val="20"/>
        </w:rPr>
      </w:pPr>
      <w:r w:rsidRPr="00EA195F">
        <w:rPr>
          <w:rFonts w:eastAsia="Calibri" w:cs="Arial"/>
          <w:bCs/>
          <w:szCs w:val="20"/>
        </w:rPr>
        <w:t>V 102. členu se v prvem odstavku šestnajsta alineja črta.</w:t>
      </w:r>
    </w:p>
    <w:p w:rsidR="00AE2155" w:rsidRPr="00EA195F" w:rsidRDefault="00AE2155" w:rsidP="00B644CC">
      <w:pPr>
        <w:spacing w:line="288" w:lineRule="auto"/>
        <w:jc w:val="both"/>
        <w:rPr>
          <w:rFonts w:eastAsia="Calibri" w:cs="Arial"/>
          <w:bCs/>
          <w:szCs w:val="20"/>
        </w:rPr>
      </w:pPr>
    </w:p>
    <w:p w:rsidR="00AE2155" w:rsidRPr="00EA195F" w:rsidRDefault="00B343AC" w:rsidP="00B644CC">
      <w:pPr>
        <w:spacing w:line="288" w:lineRule="auto"/>
        <w:jc w:val="both"/>
        <w:rPr>
          <w:rFonts w:eastAsia="Calibri" w:cs="Arial"/>
          <w:bCs/>
          <w:szCs w:val="20"/>
        </w:rPr>
      </w:pPr>
      <w:r>
        <w:rPr>
          <w:rFonts w:eastAsia="Calibri" w:cs="Arial"/>
          <w:bCs/>
          <w:szCs w:val="20"/>
        </w:rPr>
        <w:t>Dosedanja s</w:t>
      </w:r>
      <w:r w:rsidR="00AE2155" w:rsidRPr="00EA195F">
        <w:rPr>
          <w:rFonts w:eastAsia="Calibri" w:cs="Arial"/>
          <w:bCs/>
          <w:szCs w:val="20"/>
        </w:rPr>
        <w:t>edemnajsta</w:t>
      </w:r>
      <w:r w:rsidR="006F6D2D">
        <w:rPr>
          <w:rFonts w:eastAsia="Calibri" w:cs="Arial"/>
          <w:bCs/>
          <w:szCs w:val="20"/>
        </w:rPr>
        <w:t xml:space="preserve"> do </w:t>
      </w:r>
      <w:r w:rsidR="00AE2155" w:rsidRPr="00EA195F">
        <w:rPr>
          <w:rFonts w:eastAsia="Calibri" w:cs="Arial"/>
          <w:bCs/>
          <w:szCs w:val="20"/>
        </w:rPr>
        <w:t xml:space="preserve">enaindvajseta alineja postanejo šestnajsta </w:t>
      </w:r>
      <w:r w:rsidR="006F6D2D">
        <w:rPr>
          <w:rFonts w:eastAsia="Calibri" w:cs="Arial"/>
          <w:bCs/>
          <w:szCs w:val="20"/>
        </w:rPr>
        <w:t xml:space="preserve">do </w:t>
      </w:r>
      <w:r w:rsidR="00AE2155" w:rsidRPr="00EA195F">
        <w:rPr>
          <w:rFonts w:eastAsia="Calibri" w:cs="Arial"/>
          <w:bCs/>
          <w:szCs w:val="20"/>
        </w:rPr>
        <w:t>dvajseta alineja.</w:t>
      </w:r>
    </w:p>
    <w:p w:rsidR="00AE2155" w:rsidRDefault="00AE2155" w:rsidP="00B644CC">
      <w:pPr>
        <w:spacing w:line="288" w:lineRule="auto"/>
        <w:jc w:val="center"/>
        <w:rPr>
          <w:rFonts w:eastAsia="Calibri" w:cs="Arial"/>
          <w:b/>
          <w:szCs w:val="20"/>
        </w:rPr>
      </w:pPr>
    </w:p>
    <w:p w:rsidR="00AE2155" w:rsidRPr="006E178C" w:rsidRDefault="00AE2155" w:rsidP="00B644CC">
      <w:pPr>
        <w:spacing w:line="288" w:lineRule="auto"/>
        <w:jc w:val="center"/>
        <w:rPr>
          <w:rFonts w:eastAsia="Calibri" w:cs="Arial"/>
          <w:szCs w:val="20"/>
        </w:rPr>
      </w:pPr>
      <w:r>
        <w:rPr>
          <w:rFonts w:eastAsia="Calibri" w:cs="Arial"/>
          <w:b/>
          <w:szCs w:val="20"/>
        </w:rPr>
        <w:t>17</w:t>
      </w:r>
      <w:r w:rsidRPr="006E178C">
        <w:rPr>
          <w:rFonts w:eastAsia="Calibri" w:cs="Arial"/>
          <w:b/>
          <w:szCs w:val="20"/>
        </w:rPr>
        <w:t>. člen</w:t>
      </w:r>
    </w:p>
    <w:p w:rsidR="00AE2155" w:rsidRPr="006E178C" w:rsidRDefault="00AE2155" w:rsidP="00B644CC">
      <w:pPr>
        <w:spacing w:line="288" w:lineRule="auto"/>
        <w:jc w:val="both"/>
        <w:rPr>
          <w:rFonts w:eastAsia="Calibri" w:cs="Arial"/>
          <w:szCs w:val="20"/>
        </w:rPr>
      </w:pPr>
    </w:p>
    <w:p w:rsidR="00AE2155" w:rsidRPr="006E178C" w:rsidRDefault="00AE2155" w:rsidP="00B644CC">
      <w:pPr>
        <w:spacing w:line="288" w:lineRule="auto"/>
        <w:rPr>
          <w:rFonts w:eastAsia="Calibri" w:cs="Arial"/>
          <w:szCs w:val="20"/>
        </w:rPr>
      </w:pPr>
      <w:r w:rsidRPr="006E178C">
        <w:rPr>
          <w:rFonts w:eastAsia="Calibri" w:cs="Arial"/>
          <w:szCs w:val="20"/>
        </w:rPr>
        <w:t xml:space="preserve">V 124. členu se tretji odstavek spremeni tako, da se glasi: </w:t>
      </w:r>
    </w:p>
    <w:p w:rsidR="00AE2155" w:rsidRDefault="00AE2155" w:rsidP="00B644CC">
      <w:pPr>
        <w:spacing w:line="288" w:lineRule="auto"/>
        <w:jc w:val="both"/>
        <w:rPr>
          <w:rFonts w:eastAsia="Calibri" w:cs="Arial"/>
          <w:szCs w:val="20"/>
        </w:rPr>
      </w:pPr>
    </w:p>
    <w:p w:rsidR="00AE2155" w:rsidRDefault="00AE2155" w:rsidP="00B644CC">
      <w:pPr>
        <w:spacing w:line="288" w:lineRule="auto"/>
        <w:jc w:val="both"/>
        <w:rPr>
          <w:rFonts w:eastAsia="Calibri" w:cs="Arial"/>
          <w:szCs w:val="20"/>
        </w:rPr>
      </w:pPr>
      <w:r w:rsidRPr="006E178C">
        <w:rPr>
          <w:rFonts w:eastAsia="Calibri" w:cs="Arial"/>
          <w:szCs w:val="20"/>
        </w:rPr>
        <w:t>»(3) </w:t>
      </w:r>
      <w:r w:rsidR="00B343AC">
        <w:rPr>
          <w:rFonts w:eastAsia="Calibri" w:cs="Arial"/>
          <w:szCs w:val="20"/>
        </w:rPr>
        <w:t xml:space="preserve">Na </w:t>
      </w:r>
      <w:r w:rsidR="00E00CB6">
        <w:rPr>
          <w:rFonts w:eastAsia="Calibri" w:cs="Arial"/>
          <w:szCs w:val="20"/>
        </w:rPr>
        <w:t>o</w:t>
      </w:r>
      <w:r w:rsidRPr="006E178C">
        <w:rPr>
          <w:rFonts w:eastAsia="Calibri" w:cs="Arial"/>
          <w:szCs w:val="20"/>
        </w:rPr>
        <w:t>krožn</w:t>
      </w:r>
      <w:r w:rsidR="00B343AC">
        <w:rPr>
          <w:rFonts w:eastAsia="Calibri" w:cs="Arial"/>
          <w:szCs w:val="20"/>
        </w:rPr>
        <w:t>em</w:t>
      </w:r>
      <w:r w:rsidRPr="006E178C">
        <w:rPr>
          <w:rFonts w:eastAsia="Calibri" w:cs="Arial"/>
          <w:szCs w:val="20"/>
        </w:rPr>
        <w:t xml:space="preserve"> državn</w:t>
      </w:r>
      <w:r w:rsidR="00B343AC">
        <w:rPr>
          <w:rFonts w:eastAsia="Calibri" w:cs="Arial"/>
          <w:szCs w:val="20"/>
        </w:rPr>
        <w:t>em</w:t>
      </w:r>
      <w:r w:rsidRPr="006E178C">
        <w:rPr>
          <w:rFonts w:eastAsia="Calibri" w:cs="Arial"/>
          <w:szCs w:val="20"/>
        </w:rPr>
        <w:t xml:space="preserve"> tožilstv</w:t>
      </w:r>
      <w:r w:rsidR="00B343AC">
        <w:rPr>
          <w:rFonts w:eastAsia="Calibri" w:cs="Arial"/>
          <w:szCs w:val="20"/>
        </w:rPr>
        <w:t>u</w:t>
      </w:r>
      <w:r w:rsidRPr="006E178C">
        <w:rPr>
          <w:rFonts w:eastAsia="Calibri" w:cs="Arial"/>
          <w:szCs w:val="20"/>
        </w:rPr>
        <w:t xml:space="preserve">, pri katerem je določeno najmanj 50 </w:t>
      </w:r>
      <w:proofErr w:type="spellStart"/>
      <w:r w:rsidRPr="006E178C">
        <w:rPr>
          <w:rFonts w:eastAsia="Calibri" w:cs="Arial"/>
          <w:szCs w:val="20"/>
        </w:rPr>
        <w:t>državnotožilskih</w:t>
      </w:r>
      <w:proofErr w:type="spellEnd"/>
      <w:r w:rsidRPr="006E178C">
        <w:rPr>
          <w:rFonts w:eastAsia="Calibri" w:cs="Arial"/>
          <w:szCs w:val="20"/>
        </w:rPr>
        <w:t xml:space="preserve"> mest, ima </w:t>
      </w:r>
      <w:r w:rsidR="00B343AC">
        <w:rPr>
          <w:rFonts w:eastAsia="Calibri" w:cs="Arial"/>
          <w:szCs w:val="20"/>
        </w:rPr>
        <w:t xml:space="preserve">lahko </w:t>
      </w:r>
      <w:r w:rsidRPr="006E178C">
        <w:rPr>
          <w:rFonts w:eastAsia="Calibri" w:cs="Arial"/>
          <w:szCs w:val="20"/>
        </w:rPr>
        <w:t>vodj</w:t>
      </w:r>
      <w:r w:rsidR="00B343AC">
        <w:rPr>
          <w:rFonts w:eastAsia="Calibri" w:cs="Arial"/>
          <w:szCs w:val="20"/>
        </w:rPr>
        <w:t>a tega tož</w:t>
      </w:r>
      <w:r w:rsidRPr="006E178C">
        <w:rPr>
          <w:rFonts w:eastAsia="Calibri" w:cs="Arial"/>
          <w:szCs w:val="20"/>
        </w:rPr>
        <w:t>ilstva</w:t>
      </w:r>
      <w:r w:rsidR="00B343AC" w:rsidRPr="006E178C">
        <w:rPr>
          <w:rFonts w:eastAsia="Calibri" w:cs="Arial"/>
          <w:szCs w:val="20"/>
        </w:rPr>
        <w:t xml:space="preserve"> dva namestnika</w:t>
      </w:r>
      <w:r w:rsidRPr="00D7625E">
        <w:rPr>
          <w:rFonts w:eastAsia="Calibri" w:cs="Arial"/>
          <w:szCs w:val="20"/>
        </w:rPr>
        <w:t>. Če ima okrožno državno tožilstvo več kot enega namestnika vodje, vodja okrožnega državnega tožilstva pooblasti enega izmed nji</w:t>
      </w:r>
      <w:r w:rsidR="00B343AC" w:rsidRPr="00D7625E">
        <w:rPr>
          <w:rFonts w:eastAsia="Calibri" w:cs="Arial"/>
          <w:szCs w:val="20"/>
        </w:rPr>
        <w:t>ju</w:t>
      </w:r>
      <w:r w:rsidRPr="00D7625E">
        <w:rPr>
          <w:rFonts w:eastAsia="Calibri" w:cs="Arial"/>
          <w:szCs w:val="20"/>
        </w:rPr>
        <w:t xml:space="preserve"> za nadomeščanje, če pooblastila ni, vodjo nadomešča namestnik vodje, ki dalj časa opravlja </w:t>
      </w:r>
      <w:proofErr w:type="spellStart"/>
      <w:r w:rsidRPr="00D7625E">
        <w:rPr>
          <w:rFonts w:eastAsia="Calibri" w:cs="Arial"/>
          <w:szCs w:val="20"/>
        </w:rPr>
        <w:t>državnotožilsko</w:t>
      </w:r>
      <w:proofErr w:type="spellEnd"/>
      <w:r w:rsidRPr="00D7625E">
        <w:rPr>
          <w:rFonts w:eastAsia="Calibri" w:cs="Arial"/>
          <w:szCs w:val="20"/>
        </w:rPr>
        <w:t xml:space="preserve"> službo.«.</w:t>
      </w:r>
    </w:p>
    <w:p w:rsidR="00AE2155" w:rsidRDefault="00AE2155" w:rsidP="00B644CC">
      <w:pPr>
        <w:spacing w:line="288" w:lineRule="auto"/>
        <w:jc w:val="both"/>
        <w:rPr>
          <w:rFonts w:eastAsia="Calibri" w:cs="Arial"/>
          <w:szCs w:val="20"/>
        </w:rPr>
      </w:pPr>
    </w:p>
    <w:p w:rsidR="00AE2155" w:rsidRDefault="00AE2155" w:rsidP="00B644CC">
      <w:pPr>
        <w:spacing w:line="288" w:lineRule="auto"/>
        <w:jc w:val="both"/>
        <w:rPr>
          <w:rFonts w:eastAsia="Calibri" w:cs="Arial"/>
          <w:szCs w:val="20"/>
        </w:rPr>
      </w:pPr>
      <w:r>
        <w:rPr>
          <w:rFonts w:eastAsia="Calibri" w:cs="Arial"/>
          <w:szCs w:val="20"/>
        </w:rPr>
        <w:t>V petem odstavku se za besedo »imenovanje« doda besedilo »in usposabljanje«.</w:t>
      </w:r>
    </w:p>
    <w:p w:rsidR="00AE2155" w:rsidRPr="006E178C" w:rsidRDefault="00AE2155" w:rsidP="00B644CC">
      <w:pPr>
        <w:spacing w:line="288" w:lineRule="auto"/>
        <w:jc w:val="both"/>
        <w:rPr>
          <w:rFonts w:eastAsia="Calibri" w:cs="Arial"/>
          <w:szCs w:val="20"/>
        </w:rPr>
      </w:pPr>
    </w:p>
    <w:p w:rsidR="00AE2155" w:rsidRPr="006E178C" w:rsidRDefault="00AE2155" w:rsidP="00B644CC">
      <w:pPr>
        <w:spacing w:line="288" w:lineRule="auto"/>
        <w:jc w:val="center"/>
        <w:rPr>
          <w:rFonts w:eastAsia="Calibri" w:cs="Arial"/>
          <w:b/>
          <w:szCs w:val="20"/>
        </w:rPr>
      </w:pPr>
      <w:r>
        <w:rPr>
          <w:rFonts w:eastAsia="Calibri" w:cs="Arial"/>
          <w:b/>
          <w:szCs w:val="20"/>
        </w:rPr>
        <w:t>18. člen</w:t>
      </w:r>
    </w:p>
    <w:p w:rsidR="00AE2155" w:rsidRPr="00545590" w:rsidRDefault="00AE2155" w:rsidP="00B644CC">
      <w:pPr>
        <w:spacing w:line="288" w:lineRule="auto"/>
        <w:jc w:val="both"/>
        <w:rPr>
          <w:rFonts w:eastAsia="Calibri" w:cs="Arial"/>
          <w:szCs w:val="20"/>
        </w:rPr>
      </w:pPr>
    </w:p>
    <w:p w:rsidR="00AE2155" w:rsidRDefault="00AE2155" w:rsidP="00B644CC">
      <w:pPr>
        <w:spacing w:line="288" w:lineRule="auto"/>
        <w:jc w:val="both"/>
        <w:rPr>
          <w:rFonts w:eastAsia="Calibri" w:cs="Arial"/>
          <w:szCs w:val="20"/>
        </w:rPr>
      </w:pPr>
      <w:r w:rsidRPr="00545590">
        <w:rPr>
          <w:rFonts w:eastAsia="Calibri" w:cs="Arial"/>
          <w:szCs w:val="20"/>
        </w:rPr>
        <w:t>129. člen</w:t>
      </w:r>
      <w:r w:rsidRPr="00545590">
        <w:rPr>
          <w:rFonts w:eastAsia="Calibri" w:cs="Arial"/>
          <w:b/>
          <w:bCs/>
          <w:szCs w:val="20"/>
        </w:rPr>
        <w:t xml:space="preserve"> </w:t>
      </w:r>
      <w:r w:rsidRPr="00545590">
        <w:rPr>
          <w:rFonts w:eastAsia="Calibri" w:cs="Arial"/>
          <w:szCs w:val="20"/>
        </w:rPr>
        <w:t>se spremeni tako, da se glasi:</w:t>
      </w:r>
    </w:p>
    <w:p w:rsidR="00B119C6" w:rsidRPr="00F7775B" w:rsidRDefault="00B119C6" w:rsidP="00F7775B">
      <w:pPr>
        <w:spacing w:line="288" w:lineRule="auto"/>
        <w:jc w:val="center"/>
        <w:rPr>
          <w:rFonts w:eastAsia="Calibri" w:cs="Arial"/>
          <w:b/>
          <w:szCs w:val="20"/>
        </w:rPr>
      </w:pPr>
      <w:r>
        <w:rPr>
          <w:rFonts w:eastAsia="Calibri" w:cs="Arial"/>
          <w:szCs w:val="20"/>
        </w:rPr>
        <w:t>»</w:t>
      </w:r>
      <w:r w:rsidRPr="00F7775B">
        <w:rPr>
          <w:rFonts w:eastAsia="Calibri" w:cs="Arial"/>
          <w:b/>
          <w:szCs w:val="20"/>
        </w:rPr>
        <w:t>129. člen</w:t>
      </w:r>
    </w:p>
    <w:p w:rsidR="00B119C6" w:rsidRPr="00F7775B" w:rsidRDefault="00B119C6" w:rsidP="00F7775B">
      <w:pPr>
        <w:spacing w:line="288" w:lineRule="auto"/>
        <w:jc w:val="center"/>
        <w:rPr>
          <w:rFonts w:eastAsia="Calibri" w:cs="Arial"/>
          <w:b/>
          <w:szCs w:val="20"/>
        </w:rPr>
      </w:pPr>
      <w:r w:rsidRPr="00F7775B">
        <w:rPr>
          <w:rFonts w:eastAsia="Calibri" w:cs="Arial"/>
          <w:b/>
          <w:szCs w:val="20"/>
        </w:rPr>
        <w:t>(razrešitev funkcije namestnika)</w:t>
      </w:r>
    </w:p>
    <w:p w:rsidR="00B119C6" w:rsidRPr="00545590" w:rsidRDefault="00B119C6" w:rsidP="00F7775B">
      <w:pPr>
        <w:spacing w:line="288" w:lineRule="auto"/>
        <w:jc w:val="center"/>
        <w:rPr>
          <w:rFonts w:eastAsia="Calibri" w:cs="Arial"/>
          <w:szCs w:val="20"/>
        </w:rPr>
      </w:pPr>
    </w:p>
    <w:p w:rsidR="00AE2155" w:rsidRPr="00545590" w:rsidRDefault="00AE2155" w:rsidP="00B644CC">
      <w:pPr>
        <w:spacing w:line="288" w:lineRule="auto"/>
        <w:jc w:val="both"/>
        <w:rPr>
          <w:rFonts w:eastAsia="Calibri" w:cs="Arial"/>
          <w:szCs w:val="20"/>
        </w:rPr>
      </w:pPr>
      <w:r w:rsidRPr="00545590">
        <w:rPr>
          <w:rFonts w:eastAsia="Calibri" w:cs="Arial"/>
          <w:szCs w:val="20"/>
        </w:rPr>
        <w:t xml:space="preserve">(1) O razrešitvi namestnika generalnega državnega tožilca odloči Vlada Republike Slovenije na obrazložen predlog generalnega državnega tožilca po predhodnem mnenju </w:t>
      </w:r>
      <w:proofErr w:type="spellStart"/>
      <w:r w:rsidRPr="00545590">
        <w:rPr>
          <w:rFonts w:eastAsia="Calibri" w:cs="Arial"/>
          <w:szCs w:val="20"/>
        </w:rPr>
        <w:t>Državnotožilskega</w:t>
      </w:r>
      <w:proofErr w:type="spellEnd"/>
      <w:r w:rsidRPr="00545590">
        <w:rPr>
          <w:rFonts w:eastAsia="Calibri" w:cs="Arial"/>
          <w:szCs w:val="20"/>
        </w:rPr>
        <w:t xml:space="preserve"> sveta.</w:t>
      </w:r>
    </w:p>
    <w:p w:rsidR="00AE2155" w:rsidRPr="00545590" w:rsidRDefault="00AE2155" w:rsidP="00B644CC">
      <w:pPr>
        <w:spacing w:line="288" w:lineRule="auto"/>
        <w:jc w:val="both"/>
        <w:rPr>
          <w:rFonts w:eastAsia="Calibri" w:cs="Arial"/>
          <w:szCs w:val="20"/>
        </w:rPr>
      </w:pPr>
    </w:p>
    <w:p w:rsidR="00AE2155" w:rsidRDefault="00AE2155" w:rsidP="00B644CC">
      <w:pPr>
        <w:spacing w:line="288" w:lineRule="auto"/>
        <w:jc w:val="both"/>
        <w:rPr>
          <w:rFonts w:eastAsia="Calibri" w:cs="Arial"/>
          <w:szCs w:val="20"/>
        </w:rPr>
      </w:pPr>
      <w:r w:rsidRPr="00545590">
        <w:rPr>
          <w:rFonts w:eastAsia="Calibri" w:cs="Arial"/>
          <w:szCs w:val="20"/>
        </w:rPr>
        <w:t xml:space="preserve">(2) O razrešitvi namestnika vodje okrožnega državnega tožilstva odloči </w:t>
      </w:r>
      <w:proofErr w:type="spellStart"/>
      <w:r w:rsidRPr="00545590">
        <w:rPr>
          <w:rFonts w:eastAsia="Calibri" w:cs="Arial"/>
          <w:szCs w:val="20"/>
        </w:rPr>
        <w:t>Državnotožilski</w:t>
      </w:r>
      <w:proofErr w:type="spellEnd"/>
      <w:r w:rsidRPr="00545590">
        <w:rPr>
          <w:rFonts w:eastAsia="Calibri" w:cs="Arial"/>
          <w:szCs w:val="20"/>
        </w:rPr>
        <w:t xml:space="preserve"> svet na obrazložen predlog vodje okrožnega državnega tožilstva po predhodnem mnenju generalnega državnega tožilca.«.</w:t>
      </w:r>
    </w:p>
    <w:p w:rsidR="00AE2155" w:rsidRDefault="00AE2155" w:rsidP="00B644CC">
      <w:pPr>
        <w:spacing w:line="288" w:lineRule="auto"/>
        <w:jc w:val="both"/>
        <w:rPr>
          <w:rFonts w:eastAsia="Calibri" w:cs="Arial"/>
          <w:szCs w:val="20"/>
        </w:rPr>
      </w:pPr>
    </w:p>
    <w:p w:rsidR="00AE2155" w:rsidRPr="009C14A7" w:rsidRDefault="00AE2155" w:rsidP="00B644CC">
      <w:pPr>
        <w:spacing w:line="288" w:lineRule="auto"/>
        <w:jc w:val="center"/>
        <w:rPr>
          <w:rFonts w:eastAsia="Calibri" w:cs="Arial"/>
          <w:b/>
          <w:szCs w:val="20"/>
        </w:rPr>
      </w:pPr>
      <w:r>
        <w:rPr>
          <w:rFonts w:eastAsia="Calibri" w:cs="Arial"/>
          <w:b/>
          <w:szCs w:val="20"/>
        </w:rPr>
        <w:t>19</w:t>
      </w:r>
      <w:r w:rsidRPr="009C14A7">
        <w:rPr>
          <w:rFonts w:eastAsia="Calibri" w:cs="Arial"/>
          <w:b/>
          <w:szCs w:val="20"/>
        </w:rPr>
        <w:t>. člen</w:t>
      </w:r>
    </w:p>
    <w:p w:rsidR="00AE2155" w:rsidRDefault="00AE2155" w:rsidP="00B644CC">
      <w:pPr>
        <w:spacing w:line="288" w:lineRule="auto"/>
        <w:jc w:val="both"/>
        <w:rPr>
          <w:rFonts w:eastAsia="Calibri" w:cs="Arial"/>
          <w:szCs w:val="20"/>
        </w:rPr>
      </w:pPr>
    </w:p>
    <w:p w:rsidR="00AE2155" w:rsidRPr="00740A53" w:rsidRDefault="00AE2155" w:rsidP="00B644CC">
      <w:pPr>
        <w:spacing w:line="288" w:lineRule="auto"/>
        <w:jc w:val="both"/>
        <w:rPr>
          <w:rFonts w:eastAsia="Calibri" w:cs="Arial"/>
          <w:szCs w:val="20"/>
        </w:rPr>
      </w:pPr>
      <w:r w:rsidRPr="00740A53">
        <w:rPr>
          <w:rFonts w:eastAsia="Calibri" w:cs="Arial"/>
          <w:szCs w:val="20"/>
        </w:rPr>
        <w:t>V 132. členu se</w:t>
      </w:r>
      <w:r>
        <w:rPr>
          <w:rFonts w:eastAsia="Calibri" w:cs="Arial"/>
          <w:szCs w:val="20"/>
        </w:rPr>
        <w:t xml:space="preserve"> v</w:t>
      </w:r>
      <w:r w:rsidRPr="00740A53">
        <w:rPr>
          <w:rFonts w:eastAsia="Calibri" w:cs="Arial"/>
          <w:szCs w:val="20"/>
        </w:rPr>
        <w:t xml:space="preserve"> prv</w:t>
      </w:r>
      <w:r>
        <w:rPr>
          <w:rFonts w:eastAsia="Calibri" w:cs="Arial"/>
          <w:szCs w:val="20"/>
        </w:rPr>
        <w:t>em</w:t>
      </w:r>
      <w:r w:rsidRPr="00740A53">
        <w:rPr>
          <w:rFonts w:eastAsia="Calibri" w:cs="Arial"/>
          <w:szCs w:val="20"/>
        </w:rPr>
        <w:t xml:space="preserve"> odstavk</w:t>
      </w:r>
      <w:r>
        <w:rPr>
          <w:rFonts w:eastAsia="Calibri" w:cs="Arial"/>
          <w:szCs w:val="20"/>
        </w:rPr>
        <w:t>u besedilo »strokovni sodelavci in direktor« nadomesti z besedilom »direktor in strokovni sodelavci«.</w:t>
      </w:r>
    </w:p>
    <w:p w:rsidR="00AE2155" w:rsidRDefault="00AE2155" w:rsidP="00B644CC">
      <w:pPr>
        <w:spacing w:line="288" w:lineRule="auto"/>
        <w:rPr>
          <w:rFonts w:eastAsia="Calibri" w:cs="Arial"/>
          <w:b/>
          <w:szCs w:val="20"/>
        </w:rPr>
      </w:pPr>
    </w:p>
    <w:p w:rsidR="00AE2155" w:rsidRDefault="00AE2155" w:rsidP="00B644CC">
      <w:pPr>
        <w:spacing w:line="288" w:lineRule="auto"/>
        <w:jc w:val="center"/>
        <w:rPr>
          <w:rFonts w:eastAsia="Calibri" w:cs="Arial"/>
          <w:b/>
          <w:szCs w:val="20"/>
        </w:rPr>
      </w:pPr>
      <w:r>
        <w:rPr>
          <w:rFonts w:eastAsia="Calibri" w:cs="Arial"/>
          <w:b/>
          <w:szCs w:val="20"/>
        </w:rPr>
        <w:t>20</w:t>
      </w:r>
      <w:r w:rsidRPr="006E178C">
        <w:rPr>
          <w:rFonts w:eastAsia="Calibri" w:cs="Arial"/>
          <w:b/>
          <w:szCs w:val="20"/>
        </w:rPr>
        <w:t>. člen</w:t>
      </w:r>
    </w:p>
    <w:p w:rsidR="00AE2155" w:rsidRPr="006E178C" w:rsidRDefault="00AE2155" w:rsidP="00B644CC">
      <w:pPr>
        <w:spacing w:line="288" w:lineRule="auto"/>
        <w:jc w:val="center"/>
        <w:rPr>
          <w:rFonts w:eastAsia="Calibri" w:cs="Arial"/>
          <w:szCs w:val="20"/>
        </w:rPr>
      </w:pPr>
    </w:p>
    <w:p w:rsidR="00AE2155" w:rsidRPr="006E178C" w:rsidRDefault="00AE2155" w:rsidP="00B644CC">
      <w:pPr>
        <w:spacing w:line="288" w:lineRule="auto"/>
        <w:jc w:val="both"/>
        <w:rPr>
          <w:rFonts w:eastAsia="Calibri" w:cs="Arial"/>
          <w:szCs w:val="20"/>
        </w:rPr>
      </w:pPr>
      <w:r w:rsidRPr="006E178C">
        <w:rPr>
          <w:rFonts w:eastAsia="Calibri" w:cs="Arial"/>
          <w:szCs w:val="20"/>
        </w:rPr>
        <w:t>V 133. členu se v drugem odstavku za besedo »</w:t>
      </w:r>
      <w:r>
        <w:rPr>
          <w:rFonts w:eastAsia="Calibri" w:cs="Arial"/>
          <w:szCs w:val="20"/>
        </w:rPr>
        <w:t>sodelujejo</w:t>
      </w:r>
      <w:r w:rsidRPr="006E178C">
        <w:rPr>
          <w:rFonts w:eastAsia="Calibri" w:cs="Arial"/>
          <w:szCs w:val="20"/>
        </w:rPr>
        <w:t>« doda besedilo »generalni direktor</w:t>
      </w:r>
      <w:r>
        <w:rPr>
          <w:rFonts w:eastAsia="Calibri" w:cs="Arial"/>
          <w:szCs w:val="20"/>
        </w:rPr>
        <w:t xml:space="preserve"> in</w:t>
      </w:r>
      <w:r w:rsidRPr="006E178C">
        <w:rPr>
          <w:rFonts w:eastAsia="Calibri" w:cs="Arial"/>
          <w:szCs w:val="20"/>
        </w:rPr>
        <w:t>«.</w:t>
      </w:r>
    </w:p>
    <w:p w:rsidR="00AE2155" w:rsidRDefault="00AE2155" w:rsidP="00B644CC">
      <w:pPr>
        <w:spacing w:line="288" w:lineRule="auto"/>
        <w:jc w:val="both"/>
        <w:rPr>
          <w:rFonts w:eastAsia="Calibri" w:cs="Arial"/>
          <w:szCs w:val="20"/>
        </w:rPr>
      </w:pPr>
    </w:p>
    <w:p w:rsidR="00AE2155" w:rsidRPr="00202BA6" w:rsidRDefault="00AE2155" w:rsidP="00B644CC">
      <w:pPr>
        <w:spacing w:line="288" w:lineRule="auto"/>
        <w:jc w:val="center"/>
        <w:rPr>
          <w:rFonts w:eastAsia="Calibri" w:cs="Arial"/>
          <w:b/>
          <w:szCs w:val="20"/>
        </w:rPr>
      </w:pPr>
      <w:r>
        <w:rPr>
          <w:rFonts w:eastAsia="Calibri" w:cs="Arial"/>
          <w:b/>
          <w:szCs w:val="20"/>
        </w:rPr>
        <w:t>21</w:t>
      </w:r>
      <w:r w:rsidRPr="00202BA6">
        <w:rPr>
          <w:rFonts w:eastAsia="Calibri" w:cs="Arial"/>
          <w:b/>
          <w:szCs w:val="20"/>
        </w:rPr>
        <w:t>. člen</w:t>
      </w:r>
    </w:p>
    <w:p w:rsidR="00AE2155" w:rsidRDefault="00AE2155" w:rsidP="00B644CC">
      <w:pPr>
        <w:spacing w:line="288" w:lineRule="auto"/>
        <w:jc w:val="both"/>
        <w:rPr>
          <w:rFonts w:eastAsia="Calibri" w:cs="Arial"/>
          <w:szCs w:val="20"/>
        </w:rPr>
      </w:pPr>
    </w:p>
    <w:p w:rsidR="00AE2155" w:rsidRDefault="00AE2155" w:rsidP="00B644CC">
      <w:pPr>
        <w:spacing w:line="288" w:lineRule="auto"/>
        <w:jc w:val="both"/>
        <w:rPr>
          <w:rFonts w:eastAsia="Calibri" w:cs="Arial"/>
          <w:szCs w:val="20"/>
        </w:rPr>
      </w:pPr>
      <w:r w:rsidRPr="00202BA6">
        <w:rPr>
          <w:rFonts w:eastAsia="Calibri" w:cs="Arial"/>
          <w:szCs w:val="20"/>
        </w:rPr>
        <w:t>Za 1</w:t>
      </w:r>
      <w:r>
        <w:rPr>
          <w:rFonts w:eastAsia="Calibri" w:cs="Arial"/>
          <w:szCs w:val="20"/>
        </w:rPr>
        <w:t>37</w:t>
      </w:r>
      <w:r w:rsidRPr="00202BA6">
        <w:rPr>
          <w:rFonts w:eastAsia="Calibri" w:cs="Arial"/>
          <w:szCs w:val="20"/>
        </w:rPr>
        <w:t>. členom se doda nov 1</w:t>
      </w:r>
      <w:r>
        <w:rPr>
          <w:rFonts w:eastAsia="Calibri" w:cs="Arial"/>
          <w:szCs w:val="20"/>
        </w:rPr>
        <w:t>37</w:t>
      </w:r>
      <w:r w:rsidRPr="00202BA6">
        <w:rPr>
          <w:rFonts w:eastAsia="Calibri" w:cs="Arial"/>
          <w:szCs w:val="20"/>
        </w:rPr>
        <w:t>.a člen, ki se glasi:</w:t>
      </w:r>
    </w:p>
    <w:p w:rsidR="00B119C6" w:rsidRPr="00202BA6" w:rsidRDefault="00B119C6" w:rsidP="00B644CC">
      <w:pPr>
        <w:spacing w:line="288" w:lineRule="auto"/>
        <w:jc w:val="both"/>
        <w:rPr>
          <w:rFonts w:eastAsia="Calibri" w:cs="Arial"/>
          <w:szCs w:val="20"/>
        </w:rPr>
      </w:pPr>
    </w:p>
    <w:p w:rsidR="00AE2155" w:rsidRPr="00202BA6" w:rsidRDefault="00AE2155" w:rsidP="00B644CC">
      <w:pPr>
        <w:spacing w:line="288" w:lineRule="auto"/>
        <w:jc w:val="center"/>
        <w:rPr>
          <w:rFonts w:eastAsia="Calibri" w:cs="Arial"/>
          <w:szCs w:val="20"/>
        </w:rPr>
      </w:pPr>
      <w:r w:rsidRPr="002C00AA">
        <w:rPr>
          <w:rFonts w:eastAsia="Calibri" w:cs="Arial"/>
          <w:szCs w:val="20"/>
        </w:rPr>
        <w:t>»</w:t>
      </w:r>
      <w:r w:rsidRPr="009A70E3">
        <w:rPr>
          <w:rFonts w:eastAsia="Calibri" w:cs="Arial"/>
          <w:b/>
          <w:szCs w:val="20"/>
        </w:rPr>
        <w:t>1</w:t>
      </w:r>
      <w:r>
        <w:rPr>
          <w:rFonts w:eastAsia="Calibri" w:cs="Arial"/>
          <w:b/>
          <w:szCs w:val="20"/>
        </w:rPr>
        <w:t>37</w:t>
      </w:r>
      <w:r w:rsidRPr="009A70E3">
        <w:rPr>
          <w:rFonts w:eastAsia="Calibri" w:cs="Arial"/>
          <w:b/>
          <w:szCs w:val="20"/>
        </w:rPr>
        <w:t>.a člen</w:t>
      </w:r>
    </w:p>
    <w:p w:rsidR="00AE2155" w:rsidRPr="009A70E3" w:rsidRDefault="00AE2155" w:rsidP="00B644CC">
      <w:pPr>
        <w:spacing w:line="288" w:lineRule="auto"/>
        <w:jc w:val="center"/>
        <w:rPr>
          <w:rFonts w:eastAsia="Calibri" w:cs="Arial"/>
          <w:b/>
          <w:szCs w:val="20"/>
        </w:rPr>
      </w:pPr>
      <w:r w:rsidRPr="009A70E3">
        <w:rPr>
          <w:rFonts w:eastAsia="Calibri" w:cs="Arial"/>
          <w:b/>
          <w:szCs w:val="20"/>
        </w:rPr>
        <w:lastRenderedPageBreak/>
        <w:t>(sodelovanje pri opravljanju nujnih procesnih dejanj)</w:t>
      </w:r>
    </w:p>
    <w:p w:rsidR="00AE2155" w:rsidRDefault="00AE2155" w:rsidP="00B644CC">
      <w:pPr>
        <w:spacing w:line="288" w:lineRule="auto"/>
        <w:jc w:val="both"/>
        <w:rPr>
          <w:rFonts w:eastAsia="Calibri" w:cs="Arial"/>
          <w:szCs w:val="20"/>
        </w:rPr>
      </w:pPr>
    </w:p>
    <w:p w:rsidR="001E0D84" w:rsidRDefault="00AE2155" w:rsidP="00B644CC">
      <w:pPr>
        <w:spacing w:line="288" w:lineRule="auto"/>
        <w:jc w:val="both"/>
        <w:rPr>
          <w:rFonts w:eastAsia="Calibri" w:cs="Arial"/>
          <w:szCs w:val="20"/>
        </w:rPr>
      </w:pPr>
      <w:r w:rsidRPr="002C00AA">
        <w:rPr>
          <w:rFonts w:eastAsia="Calibri" w:cs="Arial"/>
          <w:szCs w:val="20"/>
        </w:rPr>
        <w:t xml:space="preserve">(1) </w:t>
      </w:r>
      <w:proofErr w:type="spellStart"/>
      <w:r>
        <w:rPr>
          <w:rFonts w:eastAsia="Calibri" w:cs="Arial"/>
          <w:szCs w:val="20"/>
        </w:rPr>
        <w:t>Državnotožilskemu</w:t>
      </w:r>
      <w:proofErr w:type="spellEnd"/>
      <w:r>
        <w:rPr>
          <w:rFonts w:eastAsia="Calibri" w:cs="Arial"/>
          <w:szCs w:val="20"/>
        </w:rPr>
        <w:t xml:space="preserve"> osebju, </w:t>
      </w:r>
      <w:r w:rsidR="001E0D84">
        <w:rPr>
          <w:rFonts w:cs="Arial"/>
          <w:color w:val="000000"/>
          <w:szCs w:val="20"/>
        </w:rPr>
        <w:t>ki sodeluje pri opravljanju nujnih procesnih dejanj izven delovnega časa, se lahko odredi</w:t>
      </w:r>
      <w:r w:rsidR="00481B17">
        <w:rPr>
          <w:rFonts w:cs="Arial"/>
          <w:color w:val="000000"/>
          <w:szCs w:val="20"/>
        </w:rPr>
        <w:t>ta</w:t>
      </w:r>
      <w:r w:rsidR="001E0D84">
        <w:rPr>
          <w:rFonts w:cs="Arial"/>
          <w:color w:val="000000"/>
          <w:szCs w:val="20"/>
        </w:rPr>
        <w:t xml:space="preserve"> opravljanje dela v manj ugodnem delovnem času in pripravljenost za delo</w:t>
      </w:r>
      <w:r w:rsidR="009F48B1">
        <w:rPr>
          <w:rFonts w:eastAsia="Calibri" w:cs="Arial"/>
          <w:szCs w:val="20"/>
        </w:rPr>
        <w:t>.</w:t>
      </w:r>
    </w:p>
    <w:p w:rsidR="001E0D84" w:rsidRDefault="001E0D84" w:rsidP="00B644CC">
      <w:pPr>
        <w:spacing w:line="288" w:lineRule="auto"/>
        <w:jc w:val="both"/>
        <w:rPr>
          <w:rFonts w:eastAsia="Calibri" w:cs="Arial"/>
          <w:szCs w:val="20"/>
        </w:rPr>
      </w:pPr>
    </w:p>
    <w:p w:rsidR="00AE2155" w:rsidRDefault="00AE2155" w:rsidP="00B644CC">
      <w:pPr>
        <w:spacing w:line="288" w:lineRule="auto"/>
        <w:jc w:val="both"/>
        <w:rPr>
          <w:rFonts w:eastAsia="Calibri" w:cs="Arial"/>
          <w:szCs w:val="20"/>
        </w:rPr>
      </w:pPr>
      <w:r w:rsidRPr="004A3C4C">
        <w:rPr>
          <w:rFonts w:eastAsia="Calibri" w:cs="Arial"/>
          <w:szCs w:val="20"/>
        </w:rPr>
        <w:t>(2) Delo v manj ugodnem delovnem času je</w:t>
      </w:r>
      <w:r>
        <w:rPr>
          <w:rFonts w:eastAsia="Calibri" w:cs="Arial"/>
          <w:szCs w:val="20"/>
        </w:rPr>
        <w:t>:</w:t>
      </w:r>
    </w:p>
    <w:p w:rsidR="00350BE5" w:rsidRPr="004A3C4C" w:rsidRDefault="00350BE5" w:rsidP="00B644CC">
      <w:pPr>
        <w:spacing w:line="288" w:lineRule="auto"/>
        <w:jc w:val="both"/>
        <w:rPr>
          <w:rFonts w:eastAsia="Calibri" w:cs="Arial"/>
          <w:szCs w:val="20"/>
        </w:rPr>
      </w:pPr>
      <w:r w:rsidRPr="003844C1">
        <w:rPr>
          <w:rFonts w:eastAsia="Calibri" w:cs="Arial"/>
          <w:szCs w:val="20"/>
        </w:rPr>
        <w:t xml:space="preserve">– </w:t>
      </w:r>
      <w:r>
        <w:rPr>
          <w:rFonts w:eastAsia="Calibri" w:cs="Arial"/>
          <w:szCs w:val="20"/>
        </w:rPr>
        <w:t>izmensko delo,</w:t>
      </w:r>
    </w:p>
    <w:p w:rsidR="00AE2155" w:rsidRPr="003844C1" w:rsidRDefault="00AE2155" w:rsidP="00B644CC">
      <w:pPr>
        <w:spacing w:line="288" w:lineRule="auto"/>
        <w:jc w:val="both"/>
        <w:rPr>
          <w:rFonts w:eastAsia="Calibri" w:cs="Arial"/>
          <w:szCs w:val="20"/>
        </w:rPr>
      </w:pPr>
      <w:r w:rsidRPr="003844C1">
        <w:rPr>
          <w:rFonts w:eastAsia="Calibri" w:cs="Arial"/>
          <w:szCs w:val="20"/>
        </w:rPr>
        <w:t>– delo v neenakomerno razporejenem delovnem času,</w:t>
      </w:r>
    </w:p>
    <w:p w:rsidR="00AE2155" w:rsidRDefault="00AE2155" w:rsidP="00B644CC">
      <w:pPr>
        <w:spacing w:line="288" w:lineRule="auto"/>
        <w:jc w:val="both"/>
        <w:rPr>
          <w:rFonts w:eastAsia="Calibri" w:cs="Arial"/>
          <w:szCs w:val="20"/>
        </w:rPr>
      </w:pPr>
      <w:r w:rsidRPr="003844C1">
        <w:rPr>
          <w:rFonts w:eastAsia="Calibri" w:cs="Arial"/>
          <w:szCs w:val="20"/>
        </w:rPr>
        <w:t>– delo prek polnega delovnega časa</w:t>
      </w:r>
      <w:r>
        <w:rPr>
          <w:rFonts w:eastAsia="Calibri" w:cs="Arial"/>
          <w:szCs w:val="20"/>
        </w:rPr>
        <w:t xml:space="preserve"> in</w:t>
      </w:r>
    </w:p>
    <w:p w:rsidR="00AE2155" w:rsidRDefault="00F77A49" w:rsidP="00B644CC">
      <w:pPr>
        <w:spacing w:line="288" w:lineRule="auto"/>
        <w:jc w:val="both"/>
        <w:rPr>
          <w:rFonts w:eastAsia="Calibri" w:cs="Arial"/>
          <w:szCs w:val="20"/>
        </w:rPr>
      </w:pPr>
      <w:r w:rsidRPr="003844C1">
        <w:rPr>
          <w:rFonts w:eastAsia="Calibri" w:cs="Arial"/>
          <w:szCs w:val="20"/>
        </w:rPr>
        <w:t xml:space="preserve">– </w:t>
      </w:r>
      <w:r w:rsidRPr="00F77A49">
        <w:rPr>
          <w:rFonts w:eastAsia="Calibri" w:cs="Arial"/>
          <w:szCs w:val="20"/>
        </w:rPr>
        <w:t>delo ponoči, v nedeljo in na dan, ki je z zakonom določen kot dela prost dan ali prazni</w:t>
      </w:r>
      <w:r>
        <w:rPr>
          <w:rFonts w:eastAsia="Calibri" w:cs="Arial"/>
          <w:szCs w:val="20"/>
        </w:rPr>
        <w:t>k</w:t>
      </w:r>
      <w:r w:rsidR="00AE2155" w:rsidRPr="003844C1">
        <w:rPr>
          <w:rFonts w:eastAsia="Calibri" w:cs="Arial"/>
          <w:szCs w:val="20"/>
        </w:rPr>
        <w:t>.</w:t>
      </w:r>
    </w:p>
    <w:p w:rsidR="00F77A49" w:rsidRDefault="00F77A49" w:rsidP="00B644CC">
      <w:pPr>
        <w:spacing w:line="288" w:lineRule="auto"/>
        <w:jc w:val="both"/>
        <w:rPr>
          <w:rFonts w:eastAsia="Calibri" w:cs="Arial"/>
          <w:szCs w:val="20"/>
        </w:rPr>
      </w:pPr>
    </w:p>
    <w:p w:rsidR="001E0D84" w:rsidRDefault="00AE2155" w:rsidP="00B644CC">
      <w:pPr>
        <w:spacing w:line="288" w:lineRule="auto"/>
        <w:jc w:val="both"/>
        <w:rPr>
          <w:rFonts w:eastAsia="Calibri" w:cs="Arial"/>
          <w:szCs w:val="20"/>
        </w:rPr>
      </w:pPr>
      <w:r w:rsidRPr="002C00AA">
        <w:rPr>
          <w:rFonts w:eastAsia="Calibri" w:cs="Arial"/>
          <w:szCs w:val="20"/>
        </w:rPr>
        <w:t>(</w:t>
      </w:r>
      <w:r>
        <w:rPr>
          <w:rFonts w:eastAsia="Calibri" w:cs="Arial"/>
          <w:szCs w:val="20"/>
        </w:rPr>
        <w:t>3</w:t>
      </w:r>
      <w:r w:rsidRPr="002C00AA">
        <w:rPr>
          <w:rFonts w:eastAsia="Calibri" w:cs="Arial"/>
          <w:szCs w:val="20"/>
        </w:rPr>
        <w:t xml:space="preserve">) </w:t>
      </w:r>
      <w:r w:rsidRPr="00B145F8">
        <w:rPr>
          <w:rFonts w:eastAsia="Calibri" w:cs="Arial"/>
          <w:szCs w:val="20"/>
        </w:rPr>
        <w:t xml:space="preserve">Pripravljenost </w:t>
      </w:r>
      <w:r w:rsidR="00481B17">
        <w:rPr>
          <w:rFonts w:eastAsia="Calibri" w:cs="Arial"/>
          <w:szCs w:val="20"/>
        </w:rPr>
        <w:t>z</w:t>
      </w:r>
      <w:r w:rsidRPr="00B145F8">
        <w:rPr>
          <w:rFonts w:eastAsia="Calibri" w:cs="Arial"/>
          <w:szCs w:val="20"/>
        </w:rPr>
        <w:t xml:space="preserve">a delo je poseben delovni pogoj, ki </w:t>
      </w:r>
      <w:r w:rsidRPr="00B145F8">
        <w:t>pomeni dosegljivost po te</w:t>
      </w:r>
      <w:r>
        <w:t>lefonu ali drugih komunikacijskih sredstvih za potrebe</w:t>
      </w:r>
      <w:r w:rsidR="008A6184">
        <w:t xml:space="preserve"> sodelovanja pri opravljanju nujnih procesnih dejanj</w:t>
      </w:r>
      <w:r>
        <w:t>. P</w:t>
      </w:r>
      <w:r>
        <w:rPr>
          <w:rFonts w:eastAsia="Calibri" w:cs="Arial"/>
          <w:szCs w:val="20"/>
        </w:rPr>
        <w:t>ripravljenost za delo se ne šteje v delovni čas.</w:t>
      </w:r>
    </w:p>
    <w:p w:rsidR="00AE2155" w:rsidRDefault="00AE2155" w:rsidP="00B644CC">
      <w:pPr>
        <w:spacing w:line="288" w:lineRule="auto"/>
        <w:jc w:val="both"/>
        <w:rPr>
          <w:rFonts w:eastAsia="Calibri" w:cs="Arial"/>
          <w:szCs w:val="20"/>
        </w:rPr>
      </w:pPr>
    </w:p>
    <w:p w:rsidR="00AE2155" w:rsidRPr="006A38A2" w:rsidRDefault="00AE2155" w:rsidP="00B644CC">
      <w:pPr>
        <w:spacing w:line="288" w:lineRule="auto"/>
        <w:jc w:val="both"/>
        <w:rPr>
          <w:rFonts w:eastAsia="Calibri" w:cs="Arial"/>
          <w:szCs w:val="20"/>
        </w:rPr>
      </w:pPr>
      <w:r w:rsidRPr="006A38A2">
        <w:rPr>
          <w:rFonts w:eastAsia="Calibri" w:cs="Arial"/>
          <w:szCs w:val="20"/>
        </w:rPr>
        <w:t xml:space="preserve">(4) </w:t>
      </w:r>
      <w:r w:rsidR="00190EDB" w:rsidRPr="001D21AA">
        <w:rPr>
          <w:rFonts w:eastAsia="Calibri" w:cs="Arial"/>
          <w:szCs w:val="20"/>
        </w:rPr>
        <w:t xml:space="preserve">Čas, ko </w:t>
      </w:r>
      <w:proofErr w:type="spellStart"/>
      <w:r w:rsidR="00190EDB" w:rsidRPr="001D21AA">
        <w:rPr>
          <w:rFonts w:eastAsia="Calibri" w:cs="Arial"/>
          <w:szCs w:val="20"/>
        </w:rPr>
        <w:t>državnotožilsko</w:t>
      </w:r>
      <w:proofErr w:type="spellEnd"/>
      <w:r w:rsidR="00190EDB" w:rsidRPr="001D21AA">
        <w:rPr>
          <w:rFonts w:eastAsia="Calibri" w:cs="Arial"/>
          <w:szCs w:val="20"/>
        </w:rPr>
        <w:t xml:space="preserve"> osebje sodeluje pri opravljanju nujnih procesnih dejanj, </w:t>
      </w:r>
      <w:r w:rsidRPr="001D21AA">
        <w:rPr>
          <w:rFonts w:eastAsia="Calibri" w:cs="Arial"/>
          <w:szCs w:val="20"/>
        </w:rPr>
        <w:t xml:space="preserve">se šteje v delovni čas. </w:t>
      </w:r>
    </w:p>
    <w:p w:rsidR="006A38A2" w:rsidRPr="008B4342" w:rsidRDefault="006A38A2" w:rsidP="00B644CC">
      <w:pPr>
        <w:spacing w:line="288" w:lineRule="auto"/>
        <w:jc w:val="both"/>
        <w:rPr>
          <w:rFonts w:eastAsia="Calibri" w:cs="Arial"/>
          <w:szCs w:val="20"/>
        </w:rPr>
      </w:pPr>
    </w:p>
    <w:p w:rsidR="009F48B1" w:rsidRPr="001E0D84" w:rsidRDefault="009F48B1" w:rsidP="009F48B1">
      <w:pPr>
        <w:pStyle w:val="datumtevilka"/>
        <w:suppressAutoHyphens/>
        <w:spacing w:line="288" w:lineRule="auto"/>
        <w:jc w:val="both"/>
        <w:rPr>
          <w:rFonts w:cs="Arial"/>
          <w:color w:val="000000"/>
        </w:rPr>
      </w:pPr>
      <w:r>
        <w:rPr>
          <w:rFonts w:cs="Arial"/>
          <w:color w:val="000000"/>
        </w:rPr>
        <w:t xml:space="preserve">(5) </w:t>
      </w:r>
      <w:r w:rsidRPr="001E0D84">
        <w:rPr>
          <w:rFonts w:cs="Arial"/>
          <w:color w:val="000000"/>
        </w:rPr>
        <w:t xml:space="preserve">Najdaljši sprejemljivi čas prihoda na delovno mesto ali kraj, kjer se opravlja nujno procesno dejanje, se določi </w:t>
      </w:r>
      <w:r>
        <w:rPr>
          <w:rFonts w:cs="Arial"/>
          <w:color w:val="000000"/>
        </w:rPr>
        <w:t xml:space="preserve">z </w:t>
      </w:r>
      <w:proofErr w:type="spellStart"/>
      <w:r>
        <w:rPr>
          <w:rFonts w:cs="Arial"/>
          <w:color w:val="000000"/>
        </w:rPr>
        <w:t>Državnotožilskim</w:t>
      </w:r>
      <w:proofErr w:type="spellEnd"/>
      <w:r>
        <w:rPr>
          <w:rFonts w:cs="Arial"/>
          <w:color w:val="000000"/>
        </w:rPr>
        <w:t xml:space="preserve"> </w:t>
      </w:r>
      <w:r w:rsidRPr="001E0D84">
        <w:rPr>
          <w:rFonts w:cs="Arial"/>
          <w:color w:val="000000"/>
        </w:rPr>
        <w:t>redom.</w:t>
      </w:r>
    </w:p>
    <w:p w:rsidR="009F48B1" w:rsidRDefault="009F48B1" w:rsidP="009F48B1">
      <w:pPr>
        <w:spacing w:line="288" w:lineRule="auto"/>
        <w:jc w:val="both"/>
        <w:rPr>
          <w:rFonts w:eastAsia="Calibri" w:cs="Arial"/>
          <w:szCs w:val="20"/>
        </w:rPr>
      </w:pPr>
      <w:r w:rsidRPr="008B4342">
        <w:rPr>
          <w:rFonts w:eastAsia="Calibri" w:cs="Arial"/>
          <w:szCs w:val="20"/>
        </w:rPr>
        <w:t xml:space="preserve"> </w:t>
      </w:r>
    </w:p>
    <w:p w:rsidR="001E0D84" w:rsidRPr="009F48B1" w:rsidRDefault="00AE2155" w:rsidP="009F48B1">
      <w:pPr>
        <w:spacing w:line="288" w:lineRule="auto"/>
        <w:jc w:val="both"/>
        <w:rPr>
          <w:rFonts w:eastAsia="Calibri" w:cs="Arial"/>
          <w:szCs w:val="20"/>
        </w:rPr>
      </w:pPr>
      <w:r w:rsidRPr="008B4342">
        <w:rPr>
          <w:rFonts w:eastAsia="Calibri" w:cs="Arial"/>
          <w:szCs w:val="20"/>
        </w:rPr>
        <w:t>(</w:t>
      </w:r>
      <w:r w:rsidR="009F48B1">
        <w:rPr>
          <w:rFonts w:eastAsia="Calibri" w:cs="Arial"/>
          <w:szCs w:val="20"/>
        </w:rPr>
        <w:t>6</w:t>
      </w:r>
      <w:r w:rsidRPr="008B4342">
        <w:rPr>
          <w:rFonts w:eastAsia="Calibri" w:cs="Arial"/>
          <w:szCs w:val="20"/>
        </w:rPr>
        <w:t xml:space="preserve">) Za </w:t>
      </w:r>
      <w:r w:rsidRPr="00B145F8">
        <w:rPr>
          <w:rFonts w:eastAsia="Calibri" w:cs="Arial"/>
          <w:szCs w:val="20"/>
        </w:rPr>
        <w:t xml:space="preserve">opravljeno delo v manj ugodnem delovnem času in za čas pripravljenosti za delo, </w:t>
      </w:r>
      <w:proofErr w:type="spellStart"/>
      <w:r w:rsidRPr="00B145F8">
        <w:rPr>
          <w:rFonts w:eastAsia="Calibri" w:cs="Arial"/>
          <w:szCs w:val="20"/>
        </w:rPr>
        <w:t>državnotožilskemu</w:t>
      </w:r>
      <w:proofErr w:type="spellEnd"/>
      <w:r w:rsidRPr="00B145F8">
        <w:rPr>
          <w:rFonts w:eastAsia="Calibri" w:cs="Arial"/>
          <w:szCs w:val="20"/>
        </w:rPr>
        <w:t xml:space="preserve"> osebju pripada</w:t>
      </w:r>
      <w:r w:rsidR="009F48B1">
        <w:rPr>
          <w:rFonts w:eastAsia="Calibri" w:cs="Arial"/>
          <w:szCs w:val="20"/>
        </w:rPr>
        <w:t>jo</w:t>
      </w:r>
      <w:r w:rsidRPr="00B145F8">
        <w:rPr>
          <w:rFonts w:eastAsia="Calibri" w:cs="Arial"/>
          <w:szCs w:val="20"/>
        </w:rPr>
        <w:t xml:space="preserve"> </w:t>
      </w:r>
      <w:r w:rsidR="009F48B1">
        <w:rPr>
          <w:rFonts w:eastAsia="Calibri" w:cs="Arial"/>
          <w:szCs w:val="20"/>
        </w:rPr>
        <w:t>dodatki</w:t>
      </w:r>
      <w:r w:rsidRPr="00B145F8">
        <w:rPr>
          <w:rFonts w:eastAsia="Calibri" w:cs="Arial"/>
          <w:szCs w:val="20"/>
        </w:rPr>
        <w:t xml:space="preserve"> v skladu z zakonom, ki ureja sistem plač v javnem sektorju.</w:t>
      </w:r>
      <w:r w:rsidR="009F48B1" w:rsidRPr="009F48B1">
        <w:rPr>
          <w:rFonts w:eastAsia="Calibri" w:cs="Arial"/>
          <w:szCs w:val="20"/>
        </w:rPr>
        <w:t xml:space="preserve"> </w:t>
      </w:r>
      <w:r w:rsidR="009F48B1" w:rsidRPr="00B145F8">
        <w:rPr>
          <w:rFonts w:eastAsia="Calibri" w:cs="Arial"/>
          <w:szCs w:val="20"/>
        </w:rPr>
        <w:t xml:space="preserve">Višina dodatkov </w:t>
      </w:r>
      <w:r w:rsidR="009F48B1">
        <w:rPr>
          <w:rFonts w:eastAsia="Calibri" w:cs="Arial"/>
          <w:szCs w:val="20"/>
        </w:rPr>
        <w:t xml:space="preserve">iz tega člena </w:t>
      </w:r>
      <w:r w:rsidR="009F48B1" w:rsidRPr="00B145F8">
        <w:rPr>
          <w:rFonts w:eastAsia="Calibri" w:cs="Arial"/>
          <w:szCs w:val="20"/>
        </w:rPr>
        <w:t xml:space="preserve">se določi s </w:t>
      </w:r>
      <w:r w:rsidR="00481B17">
        <w:rPr>
          <w:rFonts w:eastAsia="Calibri" w:cs="Arial"/>
          <w:szCs w:val="20"/>
        </w:rPr>
        <w:t>K</w:t>
      </w:r>
      <w:r w:rsidR="009F48B1" w:rsidRPr="00B145F8">
        <w:rPr>
          <w:rFonts w:eastAsia="Calibri" w:cs="Arial"/>
          <w:szCs w:val="20"/>
        </w:rPr>
        <w:t>olektivno pogodbo za javni sektor.</w:t>
      </w:r>
      <w:r w:rsidR="009F48B1" w:rsidRPr="009F48B1">
        <w:rPr>
          <w:rFonts w:cs="Arial"/>
          <w:szCs w:val="20"/>
        </w:rPr>
        <w:t xml:space="preserve"> </w:t>
      </w:r>
      <w:r w:rsidR="009F48B1">
        <w:rPr>
          <w:rFonts w:cs="Arial"/>
          <w:szCs w:val="20"/>
        </w:rPr>
        <w:t xml:space="preserve">Dodatki iz tega člena pripadajo </w:t>
      </w:r>
      <w:proofErr w:type="spellStart"/>
      <w:r w:rsidR="009F48B1">
        <w:rPr>
          <w:rFonts w:cs="Arial"/>
          <w:szCs w:val="20"/>
        </w:rPr>
        <w:t>državnotožilskemu</w:t>
      </w:r>
      <w:proofErr w:type="spellEnd"/>
      <w:r w:rsidR="009F48B1">
        <w:rPr>
          <w:rFonts w:cs="Arial"/>
          <w:szCs w:val="20"/>
        </w:rPr>
        <w:t xml:space="preserve"> osebju le za čas opravljanja dela v času, ki je manj ugoden oziroma le za čas pripravljenosti za delo</w:t>
      </w:r>
      <w:r w:rsidRPr="002C00AA">
        <w:rPr>
          <w:rFonts w:eastAsia="Calibri" w:cs="Arial"/>
          <w:szCs w:val="20"/>
        </w:rPr>
        <w:t>.«.</w:t>
      </w:r>
    </w:p>
    <w:p w:rsidR="001E0D84" w:rsidRDefault="001E0D84" w:rsidP="009F48B1">
      <w:pPr>
        <w:spacing w:line="288" w:lineRule="auto"/>
        <w:rPr>
          <w:rFonts w:eastAsia="Calibri" w:cs="Arial"/>
          <w:b/>
          <w:szCs w:val="20"/>
        </w:rPr>
      </w:pPr>
    </w:p>
    <w:p w:rsidR="00F41FCE" w:rsidRPr="00785F2E" w:rsidRDefault="00F41FCE" w:rsidP="00F41FCE">
      <w:pPr>
        <w:spacing w:line="288" w:lineRule="auto"/>
        <w:jc w:val="center"/>
        <w:rPr>
          <w:rFonts w:eastAsia="Calibri" w:cs="Arial"/>
          <w:b/>
          <w:szCs w:val="20"/>
        </w:rPr>
      </w:pPr>
      <w:r>
        <w:rPr>
          <w:rFonts w:eastAsia="Calibri" w:cs="Arial"/>
          <w:b/>
          <w:szCs w:val="20"/>
        </w:rPr>
        <w:t>22</w:t>
      </w:r>
      <w:r w:rsidRPr="00785F2E">
        <w:rPr>
          <w:rFonts w:eastAsia="Calibri" w:cs="Arial"/>
          <w:b/>
          <w:szCs w:val="20"/>
        </w:rPr>
        <w:t>. člen</w:t>
      </w:r>
    </w:p>
    <w:p w:rsidR="00F41FCE" w:rsidRPr="00785F2E" w:rsidRDefault="00F41FCE" w:rsidP="00F41FCE">
      <w:pPr>
        <w:spacing w:line="288" w:lineRule="auto"/>
        <w:jc w:val="center"/>
        <w:rPr>
          <w:rFonts w:eastAsia="Calibri" w:cs="Arial"/>
          <w:b/>
          <w:szCs w:val="20"/>
        </w:rPr>
      </w:pPr>
    </w:p>
    <w:p w:rsidR="00F41FCE" w:rsidRPr="00785F2E" w:rsidRDefault="00B85884" w:rsidP="00F41FCE">
      <w:pPr>
        <w:spacing w:line="288" w:lineRule="auto"/>
        <w:jc w:val="both"/>
        <w:rPr>
          <w:rFonts w:eastAsia="Calibri" w:cs="Arial"/>
          <w:szCs w:val="20"/>
        </w:rPr>
      </w:pPr>
      <w:r w:rsidRPr="00B85884">
        <w:t>V</w:t>
      </w:r>
      <w:r w:rsidR="00F41FCE" w:rsidRPr="00B85884">
        <w:t xml:space="preserve"> drugi alineji</w:t>
      </w:r>
      <w:r w:rsidRPr="00B85884">
        <w:t xml:space="preserve"> drugega odstavka 138. člena</w:t>
      </w:r>
      <w:r w:rsidR="00F41FCE" w:rsidRPr="00B85884">
        <w:t>, drugem odstavku</w:t>
      </w:r>
      <w:r w:rsidRPr="00B85884">
        <w:t xml:space="preserve"> 147. člena</w:t>
      </w:r>
      <w:r w:rsidR="00F41FCE" w:rsidRPr="00B85884">
        <w:t>, drugi alineji</w:t>
      </w:r>
      <w:r w:rsidRPr="00B85884">
        <w:t xml:space="preserve"> prvega odstavka 149. člena</w:t>
      </w:r>
      <w:r w:rsidR="00F41FCE" w:rsidRPr="00B85884">
        <w:t>, tretji alineji</w:t>
      </w:r>
      <w:r w:rsidRPr="00B85884">
        <w:t xml:space="preserve"> tretjega odstavka 150. člena</w:t>
      </w:r>
      <w:r w:rsidR="00F41FCE" w:rsidRPr="00B85884">
        <w:t>, osmi alineji</w:t>
      </w:r>
      <w:r w:rsidRPr="00B85884">
        <w:t xml:space="preserve"> drugega odstavka 151. člena</w:t>
      </w:r>
      <w:r w:rsidR="00FD2102">
        <w:t xml:space="preserve"> in</w:t>
      </w:r>
      <w:r w:rsidR="00F41FCE" w:rsidRPr="00B85884">
        <w:t xml:space="preserve"> prvi alineji</w:t>
      </w:r>
      <w:r w:rsidRPr="00B85884">
        <w:t xml:space="preserve"> prvega odstavka 158. člena</w:t>
      </w:r>
      <w:r w:rsidRPr="00B85884">
        <w:rPr>
          <w:rFonts w:cs="Arial"/>
          <w:szCs w:val="20"/>
        </w:rPr>
        <w:t xml:space="preserve"> </w:t>
      </w:r>
      <w:r w:rsidR="00F41FCE" w:rsidRPr="00B85884">
        <w:t xml:space="preserve">se </w:t>
      </w:r>
      <w:r w:rsidR="00F41FCE" w:rsidRPr="00B85884">
        <w:rPr>
          <w:rFonts w:eastAsia="Calibri" w:cs="Arial"/>
          <w:szCs w:val="20"/>
        </w:rPr>
        <w:t>besedilo »tožilskega osebja«</w:t>
      </w:r>
      <w:r w:rsidR="00FD2102">
        <w:rPr>
          <w:rFonts w:eastAsia="Calibri" w:cs="Arial"/>
          <w:szCs w:val="20"/>
        </w:rPr>
        <w:t xml:space="preserve"> </w:t>
      </w:r>
      <w:r w:rsidR="00F41FCE" w:rsidRPr="00B85884">
        <w:rPr>
          <w:rFonts w:eastAsia="Calibri" w:cs="Arial"/>
          <w:szCs w:val="20"/>
        </w:rPr>
        <w:t>nadomesti z besedilom »</w:t>
      </w:r>
      <w:proofErr w:type="spellStart"/>
      <w:r w:rsidR="00F41FCE" w:rsidRPr="00B85884">
        <w:rPr>
          <w:rFonts w:eastAsia="Calibri" w:cs="Arial"/>
          <w:szCs w:val="20"/>
        </w:rPr>
        <w:t>državnotožilskega</w:t>
      </w:r>
      <w:proofErr w:type="spellEnd"/>
      <w:r w:rsidR="00F41FCE" w:rsidRPr="00B85884">
        <w:rPr>
          <w:rFonts w:eastAsia="Calibri" w:cs="Arial"/>
          <w:szCs w:val="20"/>
        </w:rPr>
        <w:t xml:space="preserve"> osebja«.</w:t>
      </w:r>
    </w:p>
    <w:p w:rsidR="00AE2155" w:rsidRDefault="00AE2155" w:rsidP="00B644CC">
      <w:pPr>
        <w:spacing w:line="288" w:lineRule="auto"/>
        <w:rPr>
          <w:rFonts w:eastAsia="Calibri" w:cs="Arial"/>
          <w:b/>
          <w:szCs w:val="20"/>
        </w:rPr>
      </w:pPr>
    </w:p>
    <w:p w:rsidR="00AE2155" w:rsidRPr="006E178C" w:rsidRDefault="00AE2155" w:rsidP="00B644CC">
      <w:pPr>
        <w:spacing w:line="288" w:lineRule="auto"/>
        <w:jc w:val="center"/>
        <w:rPr>
          <w:rFonts w:eastAsia="Calibri" w:cs="Arial"/>
          <w:b/>
          <w:szCs w:val="20"/>
        </w:rPr>
      </w:pPr>
      <w:r>
        <w:rPr>
          <w:rFonts w:eastAsia="Calibri" w:cs="Arial"/>
          <w:b/>
          <w:szCs w:val="20"/>
        </w:rPr>
        <w:t>2</w:t>
      </w:r>
      <w:r w:rsidR="00F41FCE">
        <w:rPr>
          <w:rFonts w:eastAsia="Calibri" w:cs="Arial"/>
          <w:b/>
          <w:szCs w:val="20"/>
        </w:rPr>
        <w:t>3</w:t>
      </w:r>
      <w:r w:rsidRPr="006E178C">
        <w:rPr>
          <w:rFonts w:eastAsia="Calibri" w:cs="Arial"/>
          <w:b/>
          <w:szCs w:val="20"/>
        </w:rPr>
        <w:t>. člen</w:t>
      </w:r>
    </w:p>
    <w:p w:rsidR="00AE2155" w:rsidRPr="006E178C" w:rsidRDefault="00AE2155" w:rsidP="00B644CC">
      <w:pPr>
        <w:spacing w:line="288" w:lineRule="auto"/>
        <w:jc w:val="both"/>
        <w:rPr>
          <w:rFonts w:eastAsia="Calibri" w:cs="Arial"/>
          <w:szCs w:val="20"/>
        </w:rPr>
      </w:pPr>
    </w:p>
    <w:p w:rsidR="00AE2155" w:rsidRPr="006E178C" w:rsidRDefault="00AE2155" w:rsidP="00B644CC">
      <w:pPr>
        <w:spacing w:line="288" w:lineRule="auto"/>
        <w:jc w:val="both"/>
        <w:rPr>
          <w:rFonts w:eastAsia="Calibri" w:cs="Arial"/>
          <w:szCs w:val="20"/>
        </w:rPr>
      </w:pPr>
      <w:r w:rsidRPr="006E178C">
        <w:rPr>
          <w:rFonts w:eastAsia="Calibri" w:cs="Arial"/>
          <w:szCs w:val="20"/>
        </w:rPr>
        <w:t>V 142. členu se prvi odstavek spremeni tako, da se glasi:</w:t>
      </w:r>
    </w:p>
    <w:p w:rsidR="00AE2155" w:rsidRDefault="00AE2155" w:rsidP="00B644CC">
      <w:pPr>
        <w:spacing w:line="288" w:lineRule="auto"/>
        <w:jc w:val="both"/>
        <w:rPr>
          <w:rFonts w:eastAsia="Calibri" w:cs="Arial"/>
          <w:szCs w:val="20"/>
        </w:rPr>
      </w:pPr>
    </w:p>
    <w:p w:rsidR="00AE2155" w:rsidRDefault="00AE2155" w:rsidP="00B644CC">
      <w:pPr>
        <w:spacing w:line="288" w:lineRule="auto"/>
        <w:jc w:val="both"/>
        <w:rPr>
          <w:rFonts w:cs="Arial"/>
          <w:szCs w:val="20"/>
        </w:rPr>
      </w:pPr>
      <w:r w:rsidRPr="006E178C">
        <w:rPr>
          <w:rFonts w:eastAsia="Calibri" w:cs="Arial"/>
          <w:szCs w:val="20"/>
        </w:rPr>
        <w:t>»</w:t>
      </w:r>
      <w:r w:rsidRPr="006E178C">
        <w:rPr>
          <w:rFonts w:cs="Arial"/>
          <w:szCs w:val="20"/>
        </w:rPr>
        <w:t>(1) Vodja</w:t>
      </w:r>
      <w:r>
        <w:rPr>
          <w:rFonts w:cs="Arial"/>
          <w:szCs w:val="20"/>
        </w:rPr>
        <w:t xml:space="preserve"> </w:t>
      </w:r>
      <w:r w:rsidRPr="006E178C">
        <w:rPr>
          <w:rFonts w:cs="Arial"/>
          <w:szCs w:val="20"/>
        </w:rPr>
        <w:t>državnega</w:t>
      </w:r>
      <w:r>
        <w:rPr>
          <w:rFonts w:cs="Arial"/>
          <w:szCs w:val="20"/>
        </w:rPr>
        <w:t xml:space="preserve"> </w:t>
      </w:r>
      <w:r w:rsidRPr="006E178C">
        <w:rPr>
          <w:rFonts w:cs="Arial"/>
          <w:szCs w:val="20"/>
        </w:rPr>
        <w:t>tožilstva z letnim</w:t>
      </w:r>
      <w:r>
        <w:rPr>
          <w:rFonts w:cs="Arial"/>
          <w:szCs w:val="20"/>
        </w:rPr>
        <w:t xml:space="preserve"> </w:t>
      </w:r>
      <w:r w:rsidRPr="006E178C">
        <w:rPr>
          <w:rFonts w:cs="Arial"/>
          <w:szCs w:val="20"/>
        </w:rPr>
        <w:t>razporedom</w:t>
      </w:r>
      <w:r>
        <w:rPr>
          <w:rFonts w:cs="Arial"/>
          <w:szCs w:val="20"/>
        </w:rPr>
        <w:t xml:space="preserve"> </w:t>
      </w:r>
      <w:r w:rsidRPr="006E178C">
        <w:rPr>
          <w:rFonts w:cs="Arial"/>
          <w:szCs w:val="20"/>
        </w:rPr>
        <w:t>dela</w:t>
      </w:r>
      <w:r>
        <w:rPr>
          <w:rFonts w:cs="Arial"/>
          <w:szCs w:val="20"/>
        </w:rPr>
        <w:t xml:space="preserve"> </w:t>
      </w:r>
      <w:r w:rsidRPr="006E178C">
        <w:rPr>
          <w:rFonts w:cs="Arial"/>
          <w:szCs w:val="20"/>
        </w:rPr>
        <w:t>določi</w:t>
      </w:r>
      <w:r>
        <w:rPr>
          <w:rFonts w:cs="Arial"/>
          <w:szCs w:val="20"/>
        </w:rPr>
        <w:t xml:space="preserve"> </w:t>
      </w:r>
      <w:r w:rsidRPr="006E178C">
        <w:rPr>
          <w:rFonts w:cs="Arial"/>
          <w:szCs w:val="20"/>
        </w:rPr>
        <w:t>razporeditev</w:t>
      </w:r>
      <w:r>
        <w:rPr>
          <w:rFonts w:cs="Arial"/>
          <w:szCs w:val="20"/>
        </w:rPr>
        <w:t xml:space="preserve"> </w:t>
      </w:r>
      <w:r w:rsidRPr="006E178C">
        <w:rPr>
          <w:rFonts w:cs="Arial"/>
          <w:szCs w:val="20"/>
        </w:rPr>
        <w:t>državnih</w:t>
      </w:r>
      <w:r>
        <w:rPr>
          <w:rFonts w:cs="Arial"/>
          <w:szCs w:val="20"/>
        </w:rPr>
        <w:t xml:space="preserve"> </w:t>
      </w:r>
      <w:r w:rsidRPr="006E178C">
        <w:rPr>
          <w:rFonts w:cs="Arial"/>
          <w:szCs w:val="20"/>
        </w:rPr>
        <w:t>tožilcev v oddelke</w:t>
      </w:r>
      <w:r>
        <w:rPr>
          <w:rFonts w:cs="Arial"/>
          <w:szCs w:val="20"/>
        </w:rPr>
        <w:t xml:space="preserve"> </w:t>
      </w:r>
      <w:r w:rsidRPr="006E178C">
        <w:rPr>
          <w:rFonts w:cs="Arial"/>
          <w:szCs w:val="20"/>
        </w:rPr>
        <w:t>oziroma</w:t>
      </w:r>
      <w:r>
        <w:rPr>
          <w:rFonts w:cs="Arial"/>
          <w:szCs w:val="20"/>
        </w:rPr>
        <w:t xml:space="preserve"> </w:t>
      </w:r>
      <w:r w:rsidRPr="006E178C">
        <w:rPr>
          <w:rFonts w:cs="Arial"/>
          <w:szCs w:val="20"/>
        </w:rPr>
        <w:t>notranje</w:t>
      </w:r>
      <w:r>
        <w:rPr>
          <w:rFonts w:cs="Arial"/>
          <w:szCs w:val="20"/>
        </w:rPr>
        <w:t xml:space="preserve"> </w:t>
      </w:r>
      <w:r w:rsidRPr="006E178C">
        <w:rPr>
          <w:rFonts w:cs="Arial"/>
          <w:szCs w:val="20"/>
        </w:rPr>
        <w:t>organizacijske</w:t>
      </w:r>
      <w:r>
        <w:rPr>
          <w:rFonts w:cs="Arial"/>
          <w:szCs w:val="20"/>
        </w:rPr>
        <w:t xml:space="preserve"> </w:t>
      </w:r>
      <w:r w:rsidRPr="006E178C">
        <w:rPr>
          <w:rFonts w:cs="Arial"/>
          <w:szCs w:val="20"/>
        </w:rPr>
        <w:t>enote, njihovo</w:t>
      </w:r>
      <w:r>
        <w:rPr>
          <w:rFonts w:cs="Arial"/>
          <w:szCs w:val="20"/>
        </w:rPr>
        <w:t xml:space="preserve"> </w:t>
      </w:r>
      <w:r w:rsidRPr="006E178C">
        <w:rPr>
          <w:rFonts w:cs="Arial"/>
          <w:szCs w:val="20"/>
        </w:rPr>
        <w:t>pravno</w:t>
      </w:r>
      <w:r>
        <w:rPr>
          <w:rFonts w:cs="Arial"/>
          <w:szCs w:val="20"/>
        </w:rPr>
        <w:t xml:space="preserve"> </w:t>
      </w:r>
      <w:r w:rsidRPr="006E178C">
        <w:rPr>
          <w:rFonts w:cs="Arial"/>
          <w:szCs w:val="20"/>
        </w:rPr>
        <w:t>področje</w:t>
      </w:r>
      <w:r>
        <w:rPr>
          <w:rFonts w:cs="Arial"/>
          <w:szCs w:val="20"/>
        </w:rPr>
        <w:t xml:space="preserve"> </w:t>
      </w:r>
      <w:r w:rsidRPr="006E178C">
        <w:rPr>
          <w:rFonts w:cs="Arial"/>
          <w:szCs w:val="20"/>
        </w:rPr>
        <w:t>dela, vodje</w:t>
      </w:r>
      <w:r>
        <w:rPr>
          <w:rFonts w:cs="Arial"/>
          <w:szCs w:val="20"/>
        </w:rPr>
        <w:t xml:space="preserve"> </w:t>
      </w:r>
      <w:r w:rsidRPr="006E178C">
        <w:rPr>
          <w:rFonts w:cs="Arial"/>
          <w:szCs w:val="20"/>
        </w:rPr>
        <w:t>in name</w:t>
      </w:r>
      <w:r>
        <w:rPr>
          <w:rFonts w:cs="Arial"/>
          <w:szCs w:val="20"/>
        </w:rPr>
        <w:t xml:space="preserve">stnike </w:t>
      </w:r>
      <w:r w:rsidRPr="00785F2E">
        <w:rPr>
          <w:rFonts w:cs="Arial"/>
          <w:szCs w:val="20"/>
        </w:rPr>
        <w:t>vodij</w:t>
      </w:r>
      <w:r>
        <w:rPr>
          <w:rFonts w:cs="Arial"/>
          <w:szCs w:val="20"/>
        </w:rPr>
        <w:t xml:space="preserve"> </w:t>
      </w:r>
      <w:r w:rsidRPr="006E178C">
        <w:rPr>
          <w:rFonts w:cs="Arial"/>
          <w:szCs w:val="20"/>
        </w:rPr>
        <w:t>oddelko</w:t>
      </w:r>
      <w:r>
        <w:rPr>
          <w:rFonts w:cs="Arial"/>
          <w:szCs w:val="20"/>
        </w:rPr>
        <w:t xml:space="preserve">v </w:t>
      </w:r>
      <w:r w:rsidRPr="006E178C">
        <w:rPr>
          <w:rFonts w:cs="Arial"/>
          <w:szCs w:val="20"/>
        </w:rPr>
        <w:t>oziroma</w:t>
      </w:r>
      <w:r>
        <w:rPr>
          <w:rFonts w:cs="Arial"/>
          <w:szCs w:val="20"/>
        </w:rPr>
        <w:t xml:space="preserve"> </w:t>
      </w:r>
      <w:r w:rsidRPr="006E178C">
        <w:rPr>
          <w:rFonts w:cs="Arial"/>
          <w:szCs w:val="20"/>
        </w:rPr>
        <w:t>notranjih</w:t>
      </w:r>
      <w:r>
        <w:rPr>
          <w:rFonts w:cs="Arial"/>
          <w:szCs w:val="20"/>
        </w:rPr>
        <w:t xml:space="preserve"> </w:t>
      </w:r>
      <w:r w:rsidRPr="006E178C">
        <w:rPr>
          <w:rFonts w:cs="Arial"/>
          <w:szCs w:val="20"/>
        </w:rPr>
        <w:t>organizacijskih</w:t>
      </w:r>
      <w:r>
        <w:rPr>
          <w:rFonts w:cs="Arial"/>
          <w:szCs w:val="20"/>
        </w:rPr>
        <w:t xml:space="preserve"> </w:t>
      </w:r>
      <w:r w:rsidRPr="006E178C">
        <w:rPr>
          <w:rFonts w:cs="Arial"/>
          <w:szCs w:val="20"/>
        </w:rPr>
        <w:t>enot</w:t>
      </w:r>
      <w:r>
        <w:rPr>
          <w:rFonts w:cs="Arial"/>
          <w:szCs w:val="20"/>
        </w:rPr>
        <w:t xml:space="preserve">. </w:t>
      </w:r>
      <w:r w:rsidRPr="006E178C">
        <w:rPr>
          <w:rFonts w:cs="Arial"/>
          <w:szCs w:val="20"/>
        </w:rPr>
        <w:t xml:space="preserve">V letnem razporedu vodja državnega tožilstva določi tudi izhodišča in okvirni način odrejanja razporeda dežurstev </w:t>
      </w:r>
      <w:r w:rsidR="00665E35">
        <w:rPr>
          <w:rFonts w:cs="Arial"/>
          <w:szCs w:val="20"/>
        </w:rPr>
        <w:t>ter</w:t>
      </w:r>
      <w:r w:rsidRPr="006E178C">
        <w:rPr>
          <w:rFonts w:cs="Arial"/>
          <w:szCs w:val="20"/>
        </w:rPr>
        <w:t xml:space="preserve"> časa izrabe letnih dopustov.</w:t>
      </w:r>
      <w:r>
        <w:rPr>
          <w:rFonts w:cs="Arial"/>
          <w:szCs w:val="20"/>
        </w:rPr>
        <w:t>«.</w:t>
      </w:r>
    </w:p>
    <w:p w:rsidR="00796EB1" w:rsidRDefault="00796EB1" w:rsidP="00B644CC">
      <w:pPr>
        <w:spacing w:line="288" w:lineRule="auto"/>
        <w:jc w:val="both"/>
        <w:rPr>
          <w:rFonts w:cs="Arial"/>
          <w:szCs w:val="20"/>
        </w:rPr>
      </w:pPr>
    </w:p>
    <w:p w:rsidR="00796EB1" w:rsidRPr="00421E39" w:rsidRDefault="00796EB1" w:rsidP="00B644CC">
      <w:pPr>
        <w:spacing w:line="288" w:lineRule="auto"/>
        <w:jc w:val="center"/>
        <w:rPr>
          <w:rFonts w:eastAsia="Calibri" w:cs="Arial"/>
          <w:b/>
          <w:bCs/>
          <w:szCs w:val="20"/>
          <w:lang w:eastAsia="sl-SI"/>
        </w:rPr>
      </w:pPr>
      <w:bookmarkStart w:id="33" w:name="_Hlk43216990"/>
      <w:r>
        <w:rPr>
          <w:rFonts w:eastAsia="Calibri" w:cs="Arial"/>
          <w:b/>
          <w:bCs/>
          <w:szCs w:val="20"/>
          <w:lang w:eastAsia="sl-SI"/>
        </w:rPr>
        <w:t>2</w:t>
      </w:r>
      <w:r w:rsidR="00F41FCE">
        <w:rPr>
          <w:rFonts w:eastAsia="Calibri" w:cs="Arial"/>
          <w:b/>
          <w:bCs/>
          <w:szCs w:val="20"/>
          <w:lang w:eastAsia="sl-SI"/>
        </w:rPr>
        <w:t>4</w:t>
      </w:r>
      <w:r w:rsidRPr="00421E39">
        <w:rPr>
          <w:rFonts w:eastAsia="Calibri" w:cs="Arial"/>
          <w:b/>
          <w:bCs/>
          <w:szCs w:val="20"/>
          <w:lang w:eastAsia="sl-SI"/>
        </w:rPr>
        <w:t>. člen</w:t>
      </w:r>
    </w:p>
    <w:p w:rsidR="00394573" w:rsidRDefault="00394573" w:rsidP="00394573">
      <w:pPr>
        <w:spacing w:line="288" w:lineRule="auto"/>
        <w:jc w:val="both"/>
        <w:rPr>
          <w:rFonts w:eastAsia="Calibri" w:cs="Arial"/>
          <w:szCs w:val="20"/>
          <w:lang w:eastAsia="sl-SI"/>
        </w:rPr>
      </w:pPr>
      <w:bookmarkStart w:id="34" w:name="_Hlk42851034"/>
    </w:p>
    <w:p w:rsidR="00394573" w:rsidRDefault="009109A5" w:rsidP="00394573">
      <w:pPr>
        <w:spacing w:line="288" w:lineRule="auto"/>
        <w:jc w:val="both"/>
        <w:rPr>
          <w:rFonts w:eastAsia="Calibri" w:cs="Arial"/>
          <w:szCs w:val="20"/>
          <w:lang w:eastAsia="sl-SI"/>
        </w:rPr>
      </w:pPr>
      <w:r w:rsidRPr="009109A5">
        <w:rPr>
          <w:rFonts w:eastAsia="Calibri" w:cs="Arial"/>
          <w:szCs w:val="20"/>
          <w:lang w:eastAsia="sl-SI"/>
        </w:rPr>
        <w:t>V 169. členu se v prvem odstavku besed</w:t>
      </w:r>
      <w:r w:rsidR="00E00CB6">
        <w:rPr>
          <w:rFonts w:eastAsia="Calibri" w:cs="Arial"/>
          <w:szCs w:val="20"/>
          <w:lang w:eastAsia="sl-SI"/>
        </w:rPr>
        <w:t>ilo</w:t>
      </w:r>
      <w:r w:rsidRPr="009109A5">
        <w:rPr>
          <w:rFonts w:eastAsia="Calibri" w:cs="Arial"/>
          <w:szCs w:val="20"/>
          <w:lang w:eastAsia="sl-SI"/>
        </w:rPr>
        <w:t xml:space="preserve"> »na vpogled« nadomesti z bese</w:t>
      </w:r>
      <w:r w:rsidR="00E00CB6">
        <w:rPr>
          <w:rFonts w:eastAsia="Calibri" w:cs="Arial"/>
          <w:szCs w:val="20"/>
          <w:lang w:eastAsia="sl-SI"/>
        </w:rPr>
        <w:t>dilom</w:t>
      </w:r>
      <w:r w:rsidRPr="009109A5">
        <w:rPr>
          <w:rFonts w:eastAsia="Calibri" w:cs="Arial"/>
          <w:szCs w:val="20"/>
          <w:lang w:eastAsia="sl-SI"/>
        </w:rPr>
        <w:t xml:space="preserve"> »v sopodpis«.</w:t>
      </w:r>
    </w:p>
    <w:p w:rsidR="009109A5" w:rsidRPr="00497F1C" w:rsidRDefault="009109A5" w:rsidP="00394573">
      <w:pPr>
        <w:spacing w:line="288" w:lineRule="auto"/>
        <w:jc w:val="both"/>
        <w:rPr>
          <w:rFonts w:eastAsia="Calibri" w:cs="Arial"/>
          <w:szCs w:val="20"/>
          <w:lang w:eastAsia="sl-SI"/>
        </w:rPr>
      </w:pPr>
    </w:p>
    <w:p w:rsidR="00394573" w:rsidRPr="00497F1C" w:rsidRDefault="00394573" w:rsidP="00394573">
      <w:pPr>
        <w:spacing w:line="288" w:lineRule="auto"/>
        <w:jc w:val="both"/>
        <w:rPr>
          <w:rFonts w:eastAsia="Calibri" w:cs="Arial"/>
          <w:szCs w:val="20"/>
          <w:lang w:eastAsia="sl-SI"/>
        </w:rPr>
      </w:pPr>
      <w:r w:rsidRPr="00497F1C">
        <w:rPr>
          <w:rFonts w:eastAsia="Calibri" w:cs="Arial"/>
          <w:szCs w:val="20"/>
          <w:lang w:eastAsia="sl-SI"/>
        </w:rPr>
        <w:t>Za prvim odstavkom se doda</w:t>
      </w:r>
      <w:r w:rsidR="009310B7">
        <w:rPr>
          <w:rFonts w:eastAsia="Calibri" w:cs="Arial"/>
          <w:szCs w:val="20"/>
          <w:lang w:eastAsia="sl-SI"/>
        </w:rPr>
        <w:t>ta</w:t>
      </w:r>
      <w:r w:rsidRPr="00497F1C">
        <w:rPr>
          <w:rFonts w:eastAsia="Calibri" w:cs="Arial"/>
          <w:szCs w:val="20"/>
          <w:lang w:eastAsia="sl-SI"/>
        </w:rPr>
        <w:t xml:space="preserve"> nov</w:t>
      </w:r>
      <w:r w:rsidR="009310B7">
        <w:rPr>
          <w:rFonts w:eastAsia="Calibri" w:cs="Arial"/>
          <w:szCs w:val="20"/>
          <w:lang w:eastAsia="sl-SI"/>
        </w:rPr>
        <w:t>a</w:t>
      </w:r>
      <w:r w:rsidRPr="00497F1C">
        <w:rPr>
          <w:rFonts w:eastAsia="Calibri" w:cs="Arial"/>
          <w:szCs w:val="20"/>
          <w:lang w:eastAsia="sl-SI"/>
        </w:rPr>
        <w:t xml:space="preserve"> drugi</w:t>
      </w:r>
      <w:r w:rsidR="009310B7">
        <w:rPr>
          <w:rFonts w:eastAsia="Calibri" w:cs="Arial"/>
          <w:szCs w:val="20"/>
          <w:lang w:eastAsia="sl-SI"/>
        </w:rPr>
        <w:t xml:space="preserve"> in tretji</w:t>
      </w:r>
      <w:r w:rsidRPr="00497F1C">
        <w:rPr>
          <w:rFonts w:eastAsia="Calibri" w:cs="Arial"/>
          <w:szCs w:val="20"/>
          <w:lang w:eastAsia="sl-SI"/>
        </w:rPr>
        <w:t xml:space="preserve"> odstavek, ki se glasi</w:t>
      </w:r>
      <w:r w:rsidR="009310B7">
        <w:rPr>
          <w:rFonts w:eastAsia="Calibri" w:cs="Arial"/>
          <w:szCs w:val="20"/>
          <w:lang w:eastAsia="sl-SI"/>
        </w:rPr>
        <w:t>ta</w:t>
      </w:r>
      <w:r w:rsidRPr="00497F1C">
        <w:rPr>
          <w:rFonts w:eastAsia="Calibri" w:cs="Arial"/>
          <w:szCs w:val="20"/>
          <w:lang w:eastAsia="sl-SI"/>
        </w:rPr>
        <w:t>:</w:t>
      </w:r>
    </w:p>
    <w:p w:rsidR="00394573" w:rsidRPr="00497F1C" w:rsidRDefault="00394573" w:rsidP="00394573">
      <w:pPr>
        <w:spacing w:line="288" w:lineRule="auto"/>
        <w:jc w:val="both"/>
        <w:rPr>
          <w:rFonts w:eastAsia="Calibri" w:cs="Arial"/>
          <w:szCs w:val="20"/>
          <w:lang w:eastAsia="sl-SI"/>
        </w:rPr>
      </w:pPr>
    </w:p>
    <w:p w:rsidR="006F4150" w:rsidRDefault="009109A5" w:rsidP="00394573">
      <w:pPr>
        <w:spacing w:line="288" w:lineRule="auto"/>
        <w:jc w:val="both"/>
        <w:rPr>
          <w:rFonts w:eastAsia="Calibri" w:cs="Arial"/>
          <w:szCs w:val="20"/>
          <w:lang w:eastAsia="sl-SI"/>
        </w:rPr>
      </w:pPr>
      <w:r w:rsidRPr="009109A5">
        <w:rPr>
          <w:rFonts w:eastAsia="Calibri" w:cs="Arial"/>
          <w:szCs w:val="20"/>
          <w:lang w:eastAsia="sl-SI"/>
        </w:rPr>
        <w:lastRenderedPageBreak/>
        <w:t xml:space="preserve">»(2) Ne glede na prejšnji odstavek </w:t>
      </w:r>
      <w:r w:rsidR="00E00CB6">
        <w:rPr>
          <w:rFonts w:eastAsia="Calibri" w:cs="Arial"/>
          <w:szCs w:val="20"/>
          <w:lang w:eastAsia="sl-SI"/>
        </w:rPr>
        <w:t xml:space="preserve">mora državni tožilec pred </w:t>
      </w:r>
      <w:r w:rsidR="00E00CB6" w:rsidRPr="009109A5">
        <w:rPr>
          <w:rFonts w:eastAsia="Calibri" w:cs="Arial"/>
          <w:szCs w:val="20"/>
          <w:lang w:eastAsia="sl-SI"/>
        </w:rPr>
        <w:t>zavrženj</w:t>
      </w:r>
      <w:r w:rsidR="006F4150">
        <w:rPr>
          <w:rFonts w:eastAsia="Calibri" w:cs="Arial"/>
          <w:szCs w:val="20"/>
          <w:lang w:eastAsia="sl-SI"/>
        </w:rPr>
        <w:t>em</w:t>
      </w:r>
      <w:r w:rsidR="00E00CB6" w:rsidRPr="009109A5">
        <w:rPr>
          <w:rFonts w:eastAsia="Calibri" w:cs="Arial"/>
          <w:szCs w:val="20"/>
          <w:lang w:eastAsia="sl-SI"/>
        </w:rPr>
        <w:t xml:space="preserve"> ovadbe za kaznivo dejanje, za katero je v zakonu predpisana kazen zapora več kot tri leta</w:t>
      </w:r>
      <w:r w:rsidR="00E00CB6">
        <w:rPr>
          <w:rFonts w:eastAsia="Calibri" w:cs="Arial"/>
          <w:szCs w:val="20"/>
          <w:lang w:eastAsia="sl-SI"/>
        </w:rPr>
        <w:t xml:space="preserve">, </w:t>
      </w:r>
      <w:r w:rsidRPr="009109A5">
        <w:rPr>
          <w:rFonts w:eastAsia="Calibri" w:cs="Arial"/>
          <w:szCs w:val="20"/>
          <w:lang w:eastAsia="sl-SI"/>
        </w:rPr>
        <w:t>predložit</w:t>
      </w:r>
      <w:r w:rsidR="00E00CB6">
        <w:rPr>
          <w:rFonts w:eastAsia="Calibri" w:cs="Arial"/>
          <w:szCs w:val="20"/>
          <w:lang w:eastAsia="sl-SI"/>
        </w:rPr>
        <w:t>i</w:t>
      </w:r>
      <w:r w:rsidRPr="009109A5">
        <w:rPr>
          <w:rFonts w:eastAsia="Calibri" w:cs="Arial"/>
          <w:szCs w:val="20"/>
          <w:lang w:eastAsia="sl-SI"/>
        </w:rPr>
        <w:t xml:space="preserve"> osnut</w:t>
      </w:r>
      <w:r w:rsidR="00E00CB6">
        <w:rPr>
          <w:rFonts w:eastAsia="Calibri" w:cs="Arial"/>
          <w:szCs w:val="20"/>
          <w:lang w:eastAsia="sl-SI"/>
        </w:rPr>
        <w:t>e</w:t>
      </w:r>
      <w:r w:rsidRPr="009109A5">
        <w:rPr>
          <w:rFonts w:eastAsia="Calibri" w:cs="Arial"/>
          <w:szCs w:val="20"/>
          <w:lang w:eastAsia="sl-SI"/>
        </w:rPr>
        <w:t xml:space="preserve">k </w:t>
      </w:r>
      <w:r w:rsidR="00E00CB6">
        <w:rPr>
          <w:rFonts w:eastAsia="Calibri" w:cs="Arial"/>
          <w:szCs w:val="20"/>
          <w:lang w:eastAsia="sl-SI"/>
        </w:rPr>
        <w:t xml:space="preserve">tega </w:t>
      </w:r>
      <w:r w:rsidRPr="009109A5">
        <w:rPr>
          <w:rFonts w:eastAsia="Calibri" w:cs="Arial"/>
          <w:szCs w:val="20"/>
          <w:lang w:eastAsia="sl-SI"/>
        </w:rPr>
        <w:t xml:space="preserve">akta v sopodpis vodji državnega tožilstva. </w:t>
      </w:r>
    </w:p>
    <w:p w:rsidR="006F4150" w:rsidRDefault="006F4150" w:rsidP="00394573">
      <w:pPr>
        <w:spacing w:line="288" w:lineRule="auto"/>
        <w:jc w:val="both"/>
        <w:rPr>
          <w:rFonts w:eastAsia="Calibri" w:cs="Arial"/>
          <w:szCs w:val="20"/>
          <w:lang w:eastAsia="sl-SI"/>
        </w:rPr>
      </w:pPr>
    </w:p>
    <w:p w:rsidR="006F4150" w:rsidRDefault="009310B7" w:rsidP="00394573">
      <w:pPr>
        <w:spacing w:line="288" w:lineRule="auto"/>
        <w:jc w:val="both"/>
        <w:rPr>
          <w:rFonts w:eastAsia="Calibri" w:cs="Arial"/>
          <w:szCs w:val="20"/>
          <w:lang w:eastAsia="sl-SI"/>
        </w:rPr>
      </w:pPr>
      <w:r>
        <w:rPr>
          <w:rFonts w:eastAsia="Calibri" w:cs="Arial"/>
          <w:szCs w:val="20"/>
          <w:lang w:eastAsia="sl-SI"/>
        </w:rPr>
        <w:t xml:space="preserve">(3) </w:t>
      </w:r>
      <w:r w:rsidR="006F4150">
        <w:rPr>
          <w:rFonts w:eastAsia="Calibri" w:cs="Arial"/>
          <w:szCs w:val="20"/>
          <w:lang w:eastAsia="sl-SI"/>
        </w:rPr>
        <w:t xml:space="preserve">Če gre za kaznivo dejanje, </w:t>
      </w:r>
      <w:r w:rsidR="006F4150" w:rsidRPr="009109A5">
        <w:rPr>
          <w:rFonts w:eastAsia="Calibri" w:cs="Arial"/>
          <w:szCs w:val="20"/>
          <w:lang w:eastAsia="sl-SI"/>
        </w:rPr>
        <w:t>za katero je v zakonu predpisana kazen zapora več kot osem let</w:t>
      </w:r>
      <w:r w:rsidR="006F4150">
        <w:rPr>
          <w:rFonts w:eastAsia="Calibri" w:cs="Arial"/>
          <w:szCs w:val="20"/>
          <w:lang w:eastAsia="sl-SI"/>
        </w:rPr>
        <w:t>,</w:t>
      </w:r>
      <w:r w:rsidR="006F4150" w:rsidRPr="009109A5">
        <w:rPr>
          <w:rFonts w:eastAsia="Calibri" w:cs="Arial"/>
          <w:szCs w:val="20"/>
          <w:lang w:eastAsia="sl-SI"/>
        </w:rPr>
        <w:t xml:space="preserve"> </w:t>
      </w:r>
      <w:r w:rsidR="006F4150">
        <w:rPr>
          <w:rFonts w:eastAsia="Calibri" w:cs="Arial"/>
          <w:szCs w:val="20"/>
          <w:lang w:eastAsia="sl-SI"/>
        </w:rPr>
        <w:t>v</w:t>
      </w:r>
      <w:r w:rsidR="009109A5" w:rsidRPr="009109A5">
        <w:rPr>
          <w:rFonts w:eastAsia="Calibri" w:cs="Arial"/>
          <w:szCs w:val="20"/>
          <w:lang w:eastAsia="sl-SI"/>
        </w:rPr>
        <w:t>odja državnega tožilstva</w:t>
      </w:r>
      <w:r w:rsidR="006F4150">
        <w:rPr>
          <w:rFonts w:eastAsia="Calibri" w:cs="Arial"/>
          <w:szCs w:val="20"/>
          <w:lang w:eastAsia="sl-SI"/>
        </w:rPr>
        <w:t xml:space="preserve"> predhodno pridobi</w:t>
      </w:r>
      <w:r w:rsidR="009109A5" w:rsidRPr="009109A5">
        <w:rPr>
          <w:rFonts w:eastAsia="Calibri" w:cs="Arial"/>
          <w:szCs w:val="20"/>
          <w:lang w:eastAsia="sl-SI"/>
        </w:rPr>
        <w:t xml:space="preserve"> mnenj</w:t>
      </w:r>
      <w:r w:rsidR="006F4150">
        <w:rPr>
          <w:rFonts w:eastAsia="Calibri" w:cs="Arial"/>
          <w:szCs w:val="20"/>
          <w:lang w:eastAsia="sl-SI"/>
        </w:rPr>
        <w:t>e</w:t>
      </w:r>
      <w:r w:rsidR="009109A5" w:rsidRPr="009109A5">
        <w:rPr>
          <w:rFonts w:eastAsia="Calibri" w:cs="Arial"/>
          <w:szCs w:val="20"/>
          <w:lang w:eastAsia="sl-SI"/>
        </w:rPr>
        <w:t xml:space="preserve"> dveh državnih tožilcev, ki sta z letnim razporedom določena za vodenje oddelka. Če na državnem tožilstvu ni oblikovanega oddelka, mnenje podata državna tožilca, ki ju z odredbo določi vodja </w:t>
      </w:r>
      <w:r>
        <w:rPr>
          <w:rFonts w:eastAsia="Calibri" w:cs="Arial"/>
          <w:szCs w:val="20"/>
          <w:lang w:eastAsia="sl-SI"/>
        </w:rPr>
        <w:t xml:space="preserve">tega </w:t>
      </w:r>
      <w:r w:rsidR="009109A5" w:rsidRPr="009109A5">
        <w:rPr>
          <w:rFonts w:eastAsia="Calibri" w:cs="Arial"/>
          <w:szCs w:val="20"/>
          <w:lang w:eastAsia="sl-SI"/>
        </w:rPr>
        <w:t>državnega tožilstva</w:t>
      </w:r>
      <w:r w:rsidR="003E741A">
        <w:rPr>
          <w:rFonts w:eastAsia="Calibri" w:cs="Arial"/>
          <w:szCs w:val="20"/>
          <w:lang w:eastAsia="sl-SI"/>
        </w:rPr>
        <w:t>.</w:t>
      </w:r>
      <w:r>
        <w:rPr>
          <w:rFonts w:eastAsia="Calibri" w:cs="Arial"/>
          <w:szCs w:val="20"/>
          <w:lang w:eastAsia="sl-SI"/>
        </w:rPr>
        <w:t xml:space="preserve"> </w:t>
      </w:r>
      <w:r w:rsidR="003E741A">
        <w:rPr>
          <w:rFonts w:eastAsia="Calibri" w:cs="Arial"/>
          <w:szCs w:val="20"/>
          <w:lang w:eastAsia="sl-SI"/>
        </w:rPr>
        <w:t xml:space="preserve">V </w:t>
      </w:r>
      <w:r>
        <w:rPr>
          <w:rFonts w:eastAsia="Calibri" w:cs="Arial"/>
          <w:szCs w:val="20"/>
          <w:lang w:eastAsia="sl-SI"/>
        </w:rPr>
        <w:t>zadev</w:t>
      </w:r>
      <w:r w:rsidR="003E741A">
        <w:rPr>
          <w:rFonts w:eastAsia="Calibri" w:cs="Arial"/>
          <w:szCs w:val="20"/>
          <w:lang w:eastAsia="sl-SI"/>
        </w:rPr>
        <w:t>ah</w:t>
      </w:r>
      <w:r>
        <w:rPr>
          <w:rFonts w:eastAsia="Calibri" w:cs="Arial"/>
          <w:szCs w:val="20"/>
          <w:lang w:eastAsia="sl-SI"/>
        </w:rPr>
        <w:t xml:space="preserve"> </w:t>
      </w:r>
      <w:r w:rsidRPr="009109A5">
        <w:rPr>
          <w:rFonts w:eastAsia="Calibri" w:cs="Arial"/>
          <w:szCs w:val="20"/>
          <w:lang w:eastAsia="sl-SI"/>
        </w:rPr>
        <w:t>iz pristojnosti Oddelka za preiskovanje in pregon uradnih oseb s posebnimi pooblastili</w:t>
      </w:r>
      <w:r>
        <w:rPr>
          <w:rFonts w:eastAsia="Calibri" w:cs="Arial"/>
          <w:szCs w:val="20"/>
          <w:lang w:eastAsia="sl-SI"/>
        </w:rPr>
        <w:t xml:space="preserve"> predhodno mnenje </w:t>
      </w:r>
      <w:r w:rsidR="003E741A">
        <w:rPr>
          <w:rFonts w:eastAsia="Calibri" w:cs="Arial"/>
          <w:szCs w:val="20"/>
          <w:lang w:eastAsia="sl-SI"/>
        </w:rPr>
        <w:t xml:space="preserve">podata </w:t>
      </w:r>
      <w:r>
        <w:rPr>
          <w:rFonts w:eastAsia="Calibri" w:cs="Arial"/>
          <w:szCs w:val="20"/>
          <w:lang w:eastAsia="sl-SI"/>
        </w:rPr>
        <w:t>državn</w:t>
      </w:r>
      <w:r w:rsidR="003264A3">
        <w:rPr>
          <w:rFonts w:eastAsia="Calibri" w:cs="Arial"/>
          <w:szCs w:val="20"/>
          <w:lang w:eastAsia="sl-SI"/>
        </w:rPr>
        <w:t>a</w:t>
      </w:r>
      <w:r>
        <w:rPr>
          <w:rFonts w:eastAsia="Calibri" w:cs="Arial"/>
          <w:szCs w:val="20"/>
          <w:lang w:eastAsia="sl-SI"/>
        </w:rPr>
        <w:t xml:space="preserve"> tožilca</w:t>
      </w:r>
      <w:r w:rsidR="003E741A">
        <w:rPr>
          <w:rFonts w:eastAsia="Calibri" w:cs="Arial"/>
          <w:szCs w:val="20"/>
          <w:lang w:eastAsia="sl-SI"/>
        </w:rPr>
        <w:t xml:space="preserve">, ki </w:t>
      </w:r>
      <w:proofErr w:type="spellStart"/>
      <w:r w:rsidR="003E741A">
        <w:rPr>
          <w:rFonts w:eastAsia="Calibri" w:cs="Arial"/>
          <w:szCs w:val="20"/>
          <w:lang w:eastAsia="sl-SI"/>
        </w:rPr>
        <w:t>državnotožilsko</w:t>
      </w:r>
      <w:proofErr w:type="spellEnd"/>
      <w:r w:rsidR="003E741A">
        <w:rPr>
          <w:rFonts w:eastAsia="Calibri" w:cs="Arial"/>
          <w:szCs w:val="20"/>
          <w:lang w:eastAsia="sl-SI"/>
        </w:rPr>
        <w:t xml:space="preserve"> službo opravljata na Specializiranem državnem tožilstvu</w:t>
      </w:r>
      <w:r>
        <w:rPr>
          <w:rFonts w:eastAsia="Calibri" w:cs="Arial"/>
          <w:szCs w:val="20"/>
          <w:lang w:eastAsia="sl-SI"/>
        </w:rPr>
        <w:t>.«.</w:t>
      </w:r>
    </w:p>
    <w:p w:rsidR="009109A5" w:rsidRDefault="009109A5" w:rsidP="00394573">
      <w:pPr>
        <w:spacing w:line="288" w:lineRule="auto"/>
        <w:jc w:val="both"/>
        <w:rPr>
          <w:rFonts w:eastAsia="Calibri" w:cs="Arial"/>
          <w:szCs w:val="20"/>
          <w:lang w:eastAsia="sl-SI"/>
        </w:rPr>
      </w:pPr>
    </w:p>
    <w:p w:rsidR="00394573" w:rsidRPr="00497F1C" w:rsidRDefault="00394573" w:rsidP="00394573">
      <w:pPr>
        <w:spacing w:line="288" w:lineRule="auto"/>
        <w:jc w:val="both"/>
        <w:rPr>
          <w:rFonts w:eastAsia="Calibri" w:cs="Arial"/>
          <w:szCs w:val="20"/>
          <w:lang w:eastAsia="sl-SI"/>
        </w:rPr>
      </w:pPr>
      <w:r w:rsidRPr="00497F1C">
        <w:rPr>
          <w:rFonts w:eastAsia="Calibri" w:cs="Arial"/>
          <w:szCs w:val="20"/>
          <w:lang w:eastAsia="sl-SI"/>
        </w:rPr>
        <w:t xml:space="preserve">V dosedanjem drugem odstavku, ki postane </w:t>
      </w:r>
      <w:r w:rsidR="009310B7">
        <w:rPr>
          <w:rFonts w:eastAsia="Calibri" w:cs="Arial"/>
          <w:szCs w:val="20"/>
          <w:lang w:eastAsia="sl-SI"/>
        </w:rPr>
        <w:t xml:space="preserve">četrti </w:t>
      </w:r>
      <w:r w:rsidRPr="00497F1C">
        <w:rPr>
          <w:rFonts w:eastAsia="Calibri" w:cs="Arial"/>
          <w:szCs w:val="20"/>
          <w:lang w:eastAsia="sl-SI"/>
        </w:rPr>
        <w:t>odstavek, se besedilo »prejšnjega odstavka« nadomesti z besedilom »pr</w:t>
      </w:r>
      <w:r w:rsidR="00B01E0D">
        <w:rPr>
          <w:rFonts w:eastAsia="Calibri" w:cs="Arial"/>
          <w:szCs w:val="20"/>
          <w:lang w:eastAsia="sl-SI"/>
        </w:rPr>
        <w:t xml:space="preserve">vega do tretjega </w:t>
      </w:r>
      <w:r w:rsidRPr="00497F1C">
        <w:rPr>
          <w:rFonts w:eastAsia="Calibri" w:cs="Arial"/>
          <w:szCs w:val="20"/>
          <w:lang w:eastAsia="sl-SI"/>
        </w:rPr>
        <w:t>odstavk</w:t>
      </w:r>
      <w:r w:rsidR="00B01E0D">
        <w:rPr>
          <w:rFonts w:eastAsia="Calibri" w:cs="Arial"/>
          <w:szCs w:val="20"/>
          <w:lang w:eastAsia="sl-SI"/>
        </w:rPr>
        <w:t>a</w:t>
      </w:r>
      <w:r w:rsidRPr="00497F1C">
        <w:rPr>
          <w:rFonts w:eastAsia="Calibri" w:cs="Arial"/>
          <w:szCs w:val="20"/>
          <w:lang w:eastAsia="sl-SI"/>
        </w:rPr>
        <w:t xml:space="preserve"> tega člena«.</w:t>
      </w:r>
    </w:p>
    <w:p w:rsidR="00394573" w:rsidRPr="00497F1C" w:rsidRDefault="00394573" w:rsidP="00394573">
      <w:pPr>
        <w:spacing w:line="288" w:lineRule="auto"/>
        <w:jc w:val="both"/>
        <w:rPr>
          <w:rFonts w:eastAsia="Calibri" w:cs="Arial"/>
          <w:szCs w:val="20"/>
          <w:lang w:eastAsia="sl-SI"/>
        </w:rPr>
      </w:pPr>
    </w:p>
    <w:p w:rsidR="00394573" w:rsidRDefault="00394573" w:rsidP="009109A5">
      <w:pPr>
        <w:spacing w:line="288" w:lineRule="auto"/>
        <w:jc w:val="both"/>
        <w:rPr>
          <w:rFonts w:eastAsia="Calibri" w:cs="Arial"/>
          <w:szCs w:val="20"/>
          <w:lang w:eastAsia="sl-SI"/>
        </w:rPr>
      </w:pPr>
      <w:r w:rsidRPr="00497F1C">
        <w:rPr>
          <w:rFonts w:eastAsia="Calibri" w:cs="Arial"/>
          <w:szCs w:val="20"/>
          <w:lang w:eastAsia="sl-SI"/>
        </w:rPr>
        <w:t xml:space="preserve">V dosedanjem tretjem odstavku, ki postane </w:t>
      </w:r>
      <w:r w:rsidR="009310B7">
        <w:rPr>
          <w:rFonts w:eastAsia="Calibri" w:cs="Arial"/>
          <w:szCs w:val="20"/>
          <w:lang w:eastAsia="sl-SI"/>
        </w:rPr>
        <w:t>peti</w:t>
      </w:r>
      <w:r w:rsidRPr="00497F1C">
        <w:rPr>
          <w:rFonts w:eastAsia="Calibri" w:cs="Arial"/>
          <w:szCs w:val="20"/>
          <w:lang w:eastAsia="sl-SI"/>
        </w:rPr>
        <w:t xml:space="preserve"> odstavek</w:t>
      </w:r>
      <w:r w:rsidR="00CA4C2C">
        <w:rPr>
          <w:rFonts w:eastAsia="Calibri" w:cs="Arial"/>
          <w:szCs w:val="20"/>
          <w:lang w:eastAsia="sl-SI"/>
        </w:rPr>
        <w:t>,</w:t>
      </w:r>
      <w:r w:rsidRPr="00497F1C">
        <w:rPr>
          <w:rFonts w:eastAsia="Calibri" w:cs="Arial"/>
          <w:szCs w:val="20"/>
          <w:lang w:eastAsia="sl-SI"/>
        </w:rPr>
        <w:t xml:space="preserve"> se </w:t>
      </w:r>
      <w:r w:rsidR="009310B7">
        <w:rPr>
          <w:rFonts w:eastAsia="Calibri" w:cs="Arial"/>
          <w:szCs w:val="20"/>
          <w:lang w:eastAsia="sl-SI"/>
        </w:rPr>
        <w:t xml:space="preserve">za </w:t>
      </w:r>
      <w:r w:rsidRPr="00497F1C">
        <w:rPr>
          <w:rFonts w:eastAsia="Calibri" w:cs="Arial"/>
          <w:szCs w:val="20"/>
          <w:lang w:eastAsia="sl-SI"/>
        </w:rPr>
        <w:t>besed</w:t>
      </w:r>
      <w:r w:rsidR="00CA4C2C">
        <w:rPr>
          <w:rFonts w:eastAsia="Calibri" w:cs="Arial"/>
          <w:szCs w:val="20"/>
          <w:lang w:eastAsia="sl-SI"/>
        </w:rPr>
        <w:t>o</w:t>
      </w:r>
      <w:r w:rsidRPr="00497F1C">
        <w:rPr>
          <w:rFonts w:eastAsia="Calibri" w:cs="Arial"/>
          <w:szCs w:val="20"/>
          <w:lang w:eastAsia="sl-SI"/>
        </w:rPr>
        <w:t xml:space="preserve"> »prvega« </w:t>
      </w:r>
      <w:r>
        <w:rPr>
          <w:rFonts w:eastAsia="Calibri" w:cs="Arial"/>
          <w:szCs w:val="20"/>
          <w:lang w:eastAsia="sl-SI"/>
        </w:rPr>
        <w:t>do</w:t>
      </w:r>
      <w:r w:rsidR="009310B7">
        <w:rPr>
          <w:rFonts w:eastAsia="Calibri" w:cs="Arial"/>
          <w:szCs w:val="20"/>
          <w:lang w:eastAsia="sl-SI"/>
        </w:rPr>
        <w:t>da vejica in</w:t>
      </w:r>
      <w:r>
        <w:rPr>
          <w:rFonts w:eastAsia="Calibri" w:cs="Arial"/>
          <w:szCs w:val="20"/>
          <w:lang w:eastAsia="sl-SI"/>
        </w:rPr>
        <w:t xml:space="preserve"> </w:t>
      </w:r>
      <w:r w:rsidRPr="00497F1C">
        <w:rPr>
          <w:rFonts w:eastAsia="Calibri" w:cs="Arial"/>
          <w:szCs w:val="20"/>
          <w:lang w:eastAsia="sl-SI"/>
        </w:rPr>
        <w:t>besedilo »drugega</w:t>
      </w:r>
      <w:r w:rsidR="008D35C2">
        <w:rPr>
          <w:rFonts w:eastAsia="Calibri" w:cs="Arial"/>
          <w:szCs w:val="20"/>
          <w:lang w:eastAsia="sl-SI"/>
        </w:rPr>
        <w:t xml:space="preserve"> ali tretjega</w:t>
      </w:r>
      <w:r w:rsidRPr="00497F1C">
        <w:rPr>
          <w:rFonts w:eastAsia="Calibri" w:cs="Arial"/>
          <w:szCs w:val="20"/>
          <w:lang w:eastAsia="sl-SI"/>
        </w:rPr>
        <w:t>«.</w:t>
      </w:r>
      <w:bookmarkEnd w:id="33"/>
      <w:bookmarkEnd w:id="34"/>
    </w:p>
    <w:p w:rsidR="009109A5" w:rsidRPr="003827DB" w:rsidRDefault="009109A5" w:rsidP="009109A5">
      <w:pPr>
        <w:spacing w:line="288" w:lineRule="auto"/>
        <w:jc w:val="both"/>
        <w:rPr>
          <w:rFonts w:eastAsia="Calibri" w:cs="Arial"/>
          <w:szCs w:val="20"/>
          <w:lang w:eastAsia="sl-SI"/>
        </w:rPr>
      </w:pPr>
    </w:p>
    <w:p w:rsidR="00AE2155" w:rsidRPr="006E178C" w:rsidRDefault="00AE2155" w:rsidP="00B644CC">
      <w:pPr>
        <w:spacing w:line="288" w:lineRule="auto"/>
        <w:jc w:val="center"/>
        <w:rPr>
          <w:rFonts w:eastAsia="Calibri" w:cs="Arial"/>
          <w:b/>
          <w:szCs w:val="20"/>
        </w:rPr>
      </w:pPr>
      <w:r>
        <w:rPr>
          <w:rFonts w:eastAsia="Calibri" w:cs="Arial"/>
          <w:b/>
          <w:szCs w:val="20"/>
        </w:rPr>
        <w:t>2</w:t>
      </w:r>
      <w:r w:rsidR="00F41FCE">
        <w:rPr>
          <w:rFonts w:eastAsia="Calibri" w:cs="Arial"/>
          <w:b/>
          <w:szCs w:val="20"/>
        </w:rPr>
        <w:t>5</w:t>
      </w:r>
      <w:r w:rsidRPr="006E178C">
        <w:rPr>
          <w:rFonts w:eastAsia="Calibri" w:cs="Arial"/>
          <w:b/>
          <w:szCs w:val="20"/>
        </w:rPr>
        <w:t>. člen</w:t>
      </w:r>
    </w:p>
    <w:p w:rsidR="00AE2155" w:rsidRPr="006E178C" w:rsidRDefault="00AE2155" w:rsidP="00B644CC">
      <w:pPr>
        <w:spacing w:line="288" w:lineRule="auto"/>
        <w:jc w:val="both"/>
        <w:rPr>
          <w:rFonts w:eastAsia="Calibri" w:cs="Arial"/>
          <w:szCs w:val="20"/>
        </w:rPr>
      </w:pPr>
    </w:p>
    <w:p w:rsidR="00AE2155" w:rsidRDefault="00AE2155" w:rsidP="00B644CC">
      <w:pPr>
        <w:spacing w:line="288" w:lineRule="auto"/>
        <w:jc w:val="both"/>
        <w:rPr>
          <w:rFonts w:eastAsia="Calibri" w:cs="Arial"/>
          <w:szCs w:val="20"/>
        </w:rPr>
      </w:pPr>
      <w:r w:rsidRPr="006E178C">
        <w:rPr>
          <w:rFonts w:eastAsia="Calibri" w:cs="Arial"/>
          <w:szCs w:val="20"/>
        </w:rPr>
        <w:t>V 173. členu se v petem odstavku besedilo</w:t>
      </w:r>
      <w:r w:rsidR="00FD2102">
        <w:rPr>
          <w:rFonts w:eastAsia="Calibri" w:cs="Arial"/>
          <w:szCs w:val="20"/>
        </w:rPr>
        <w:t xml:space="preserve"> »tožilsko osebje« nadomesti z besedilom »</w:t>
      </w:r>
      <w:proofErr w:type="spellStart"/>
      <w:r w:rsidR="00FD2102">
        <w:rPr>
          <w:rFonts w:eastAsia="Calibri" w:cs="Arial"/>
          <w:szCs w:val="20"/>
        </w:rPr>
        <w:t>državnotožilsko</w:t>
      </w:r>
      <w:proofErr w:type="spellEnd"/>
      <w:r w:rsidR="00FD2102">
        <w:rPr>
          <w:rFonts w:eastAsia="Calibri" w:cs="Arial"/>
          <w:szCs w:val="20"/>
        </w:rPr>
        <w:t xml:space="preserve"> osebje«, besedilo</w:t>
      </w:r>
      <w:r w:rsidRPr="006E178C">
        <w:rPr>
          <w:rFonts w:eastAsia="Calibri" w:cs="Arial"/>
          <w:szCs w:val="20"/>
        </w:rPr>
        <w:t xml:space="preserve"> »15 dneh« </w:t>
      </w:r>
      <w:r w:rsidR="00CA4C2C">
        <w:rPr>
          <w:rFonts w:eastAsia="Calibri" w:cs="Arial"/>
          <w:szCs w:val="20"/>
        </w:rPr>
        <w:t xml:space="preserve">pa </w:t>
      </w:r>
      <w:r w:rsidR="00FD2102">
        <w:rPr>
          <w:rFonts w:eastAsia="Calibri" w:cs="Arial"/>
          <w:szCs w:val="20"/>
        </w:rPr>
        <w:t xml:space="preserve">se </w:t>
      </w:r>
      <w:r w:rsidRPr="006E178C">
        <w:rPr>
          <w:rFonts w:eastAsia="Calibri" w:cs="Arial"/>
          <w:szCs w:val="20"/>
        </w:rPr>
        <w:t>nadomesti z besedilom »osmih dneh«.</w:t>
      </w:r>
    </w:p>
    <w:p w:rsidR="00FD2102" w:rsidRDefault="00FD2102" w:rsidP="00B644CC">
      <w:pPr>
        <w:spacing w:line="288" w:lineRule="auto"/>
        <w:jc w:val="both"/>
        <w:rPr>
          <w:rFonts w:eastAsia="Calibri" w:cs="Arial"/>
          <w:szCs w:val="20"/>
        </w:rPr>
      </w:pPr>
    </w:p>
    <w:p w:rsidR="00AE2155" w:rsidRPr="004D0F66" w:rsidRDefault="00AE2155" w:rsidP="00B644CC">
      <w:pPr>
        <w:spacing w:line="288" w:lineRule="auto"/>
        <w:jc w:val="center"/>
        <w:rPr>
          <w:rFonts w:eastAsia="Calibri" w:cs="Arial"/>
          <w:b/>
          <w:szCs w:val="20"/>
        </w:rPr>
      </w:pPr>
      <w:r>
        <w:rPr>
          <w:rFonts w:eastAsia="Calibri" w:cs="Arial"/>
          <w:b/>
          <w:szCs w:val="20"/>
        </w:rPr>
        <w:t>2</w:t>
      </w:r>
      <w:r w:rsidR="00F41FCE">
        <w:rPr>
          <w:rFonts w:eastAsia="Calibri" w:cs="Arial"/>
          <w:b/>
          <w:szCs w:val="20"/>
        </w:rPr>
        <w:t>6</w:t>
      </w:r>
      <w:r w:rsidRPr="004D0F66">
        <w:rPr>
          <w:rFonts w:eastAsia="Calibri" w:cs="Arial"/>
          <w:b/>
          <w:szCs w:val="20"/>
        </w:rPr>
        <w:t>. člen</w:t>
      </w:r>
    </w:p>
    <w:p w:rsidR="00AE2155" w:rsidRDefault="00AE2155" w:rsidP="00B644CC">
      <w:pPr>
        <w:spacing w:line="288" w:lineRule="auto"/>
        <w:jc w:val="both"/>
        <w:rPr>
          <w:rFonts w:eastAsia="Calibri" w:cs="Arial"/>
          <w:szCs w:val="20"/>
        </w:rPr>
      </w:pPr>
    </w:p>
    <w:p w:rsidR="00AE2155" w:rsidRDefault="00AE2155" w:rsidP="00B644CC">
      <w:pPr>
        <w:spacing w:line="288" w:lineRule="auto"/>
        <w:jc w:val="both"/>
        <w:rPr>
          <w:rFonts w:eastAsia="Calibri" w:cs="Arial"/>
          <w:szCs w:val="20"/>
        </w:rPr>
      </w:pPr>
      <w:r>
        <w:rPr>
          <w:rFonts w:eastAsia="Calibri" w:cs="Arial"/>
          <w:szCs w:val="20"/>
        </w:rPr>
        <w:t>V 188. členu se v drugem odstavku besedilo »</w:t>
      </w:r>
      <w:r w:rsidRPr="001E33C8">
        <w:rPr>
          <w:rFonts w:eastAsia="Calibri" w:cs="Arial"/>
          <w:szCs w:val="20"/>
        </w:rPr>
        <w:t xml:space="preserve">Oddelka za preiskovanje in pregon </w:t>
      </w:r>
      <w:r>
        <w:rPr>
          <w:rFonts w:eastAsia="Calibri" w:cs="Arial"/>
          <w:szCs w:val="20"/>
        </w:rPr>
        <w:t>zlorabe policijskih pooblastil« nadomesti z besedilom »</w:t>
      </w:r>
      <w:r w:rsidRPr="001E33C8">
        <w:rPr>
          <w:rFonts w:eastAsia="Calibri" w:cs="Arial"/>
          <w:szCs w:val="20"/>
        </w:rPr>
        <w:t xml:space="preserve">Oddelka za preiskovanje in pregon </w:t>
      </w:r>
      <w:r>
        <w:rPr>
          <w:rFonts w:eastAsia="Calibri" w:cs="Arial"/>
          <w:szCs w:val="20"/>
        </w:rPr>
        <w:t>uradnih oseb s posebnimi</w:t>
      </w:r>
      <w:r w:rsidRPr="001E33C8">
        <w:rPr>
          <w:rFonts w:eastAsia="Calibri" w:cs="Arial"/>
          <w:szCs w:val="20"/>
        </w:rPr>
        <w:t xml:space="preserve"> pooblastil</w:t>
      </w:r>
      <w:r>
        <w:rPr>
          <w:rFonts w:eastAsia="Calibri" w:cs="Arial"/>
          <w:szCs w:val="20"/>
        </w:rPr>
        <w:t>i«</w:t>
      </w:r>
      <w:r w:rsidRPr="001E33C8">
        <w:rPr>
          <w:rFonts w:eastAsia="Calibri" w:cs="Arial"/>
          <w:szCs w:val="20"/>
        </w:rPr>
        <w:t>.</w:t>
      </w:r>
    </w:p>
    <w:p w:rsidR="00AE2155" w:rsidRDefault="00AE2155" w:rsidP="00B644CC">
      <w:pPr>
        <w:spacing w:line="288" w:lineRule="auto"/>
        <w:jc w:val="both"/>
        <w:rPr>
          <w:rFonts w:eastAsia="Calibri" w:cs="Arial"/>
          <w:szCs w:val="20"/>
        </w:rPr>
      </w:pPr>
    </w:p>
    <w:p w:rsidR="00AE2155" w:rsidRDefault="00AE2155" w:rsidP="00B644CC">
      <w:pPr>
        <w:spacing w:line="288" w:lineRule="auto"/>
        <w:jc w:val="center"/>
        <w:rPr>
          <w:rFonts w:eastAsia="Calibri" w:cs="Arial"/>
          <w:b/>
          <w:szCs w:val="20"/>
        </w:rPr>
      </w:pPr>
      <w:r>
        <w:rPr>
          <w:rFonts w:eastAsia="Calibri" w:cs="Arial"/>
          <w:b/>
          <w:szCs w:val="20"/>
        </w:rPr>
        <w:t>2</w:t>
      </w:r>
      <w:r w:rsidR="00F41FCE">
        <w:rPr>
          <w:rFonts w:eastAsia="Calibri" w:cs="Arial"/>
          <w:b/>
          <w:szCs w:val="20"/>
        </w:rPr>
        <w:t>7</w:t>
      </w:r>
      <w:r w:rsidRPr="006E178C">
        <w:rPr>
          <w:rFonts w:eastAsia="Calibri" w:cs="Arial"/>
          <w:b/>
          <w:szCs w:val="20"/>
        </w:rPr>
        <w:t>. člen</w:t>
      </w:r>
    </w:p>
    <w:p w:rsidR="00DE75D4" w:rsidRDefault="00DE75D4" w:rsidP="007B782E">
      <w:pPr>
        <w:spacing w:line="288" w:lineRule="auto"/>
        <w:jc w:val="both"/>
        <w:rPr>
          <w:rFonts w:eastAsia="Calibri" w:cs="Arial"/>
          <w:szCs w:val="20"/>
          <w:lang w:eastAsia="sl-SI"/>
        </w:rPr>
      </w:pPr>
      <w:bookmarkStart w:id="35" w:name="_Hlk42251188"/>
    </w:p>
    <w:p w:rsidR="00DE75D4" w:rsidRDefault="00DE75D4" w:rsidP="00DE75D4">
      <w:pPr>
        <w:spacing w:line="288" w:lineRule="auto"/>
        <w:jc w:val="both"/>
        <w:rPr>
          <w:rFonts w:eastAsia="Calibri" w:cs="Arial"/>
          <w:szCs w:val="20"/>
        </w:rPr>
      </w:pPr>
      <w:r>
        <w:rPr>
          <w:rFonts w:eastAsia="Calibri" w:cs="Arial"/>
          <w:szCs w:val="20"/>
        </w:rPr>
        <w:t>V 196. členu se v prvem odstavku četrta aline</w:t>
      </w:r>
      <w:r w:rsidR="003449C5">
        <w:rPr>
          <w:rFonts w:eastAsia="Calibri" w:cs="Arial"/>
          <w:szCs w:val="20"/>
        </w:rPr>
        <w:t>j</w:t>
      </w:r>
      <w:r>
        <w:rPr>
          <w:rFonts w:eastAsia="Calibri" w:cs="Arial"/>
          <w:szCs w:val="20"/>
        </w:rPr>
        <w:t>a spremeni tako, da se glasi:</w:t>
      </w:r>
    </w:p>
    <w:p w:rsidR="00DE75D4" w:rsidRDefault="00DE75D4" w:rsidP="00DE75D4">
      <w:pPr>
        <w:spacing w:line="288" w:lineRule="auto"/>
        <w:jc w:val="both"/>
        <w:rPr>
          <w:rFonts w:eastAsia="Calibri" w:cs="Arial"/>
          <w:szCs w:val="20"/>
        </w:rPr>
      </w:pPr>
    </w:p>
    <w:p w:rsidR="00DE75D4" w:rsidRPr="007C03A8" w:rsidRDefault="00DE75D4" w:rsidP="00DE75D4">
      <w:pPr>
        <w:spacing w:line="288" w:lineRule="auto"/>
        <w:jc w:val="both"/>
        <w:rPr>
          <w:rFonts w:eastAsia="Calibri" w:cs="Arial"/>
          <w:szCs w:val="20"/>
        </w:rPr>
      </w:pPr>
      <w:r>
        <w:rPr>
          <w:rFonts w:eastAsia="Calibri" w:cs="Arial"/>
          <w:szCs w:val="20"/>
        </w:rPr>
        <w:t>»</w:t>
      </w:r>
      <w:r w:rsidR="00665E35" w:rsidRPr="003844C1">
        <w:rPr>
          <w:rFonts w:eastAsia="Calibri" w:cs="Arial"/>
          <w:szCs w:val="20"/>
        </w:rPr>
        <w:t>–</w:t>
      </w:r>
      <w:r w:rsidR="00665E35">
        <w:rPr>
          <w:rFonts w:eastAsia="Calibri" w:cs="Arial"/>
          <w:szCs w:val="20"/>
        </w:rPr>
        <w:t xml:space="preserve"> </w:t>
      </w:r>
      <w:r w:rsidRPr="007C03A8">
        <w:rPr>
          <w:rFonts w:eastAsia="Calibri" w:cs="Arial"/>
          <w:szCs w:val="20"/>
        </w:rPr>
        <w:t>okrožnemu državnemu tožilcu svetniku, višjemu državnemu tožilcu ter vrhovnemu državnemu tožilcu plača vrhovnega državnega tožilca svetnika.</w:t>
      </w:r>
      <w:r>
        <w:rPr>
          <w:rFonts w:eastAsia="Calibri" w:cs="Arial"/>
          <w:szCs w:val="20"/>
        </w:rPr>
        <w:t>«.</w:t>
      </w:r>
    </w:p>
    <w:p w:rsidR="00DE75D4" w:rsidRDefault="00DE75D4" w:rsidP="00DE75D4">
      <w:pPr>
        <w:spacing w:line="288" w:lineRule="auto"/>
        <w:jc w:val="both"/>
        <w:rPr>
          <w:rFonts w:eastAsia="Calibri" w:cs="Arial"/>
          <w:szCs w:val="20"/>
        </w:rPr>
      </w:pPr>
    </w:p>
    <w:p w:rsidR="00DE75D4" w:rsidRDefault="00DE75D4" w:rsidP="00DE75D4">
      <w:pPr>
        <w:spacing w:line="288" w:lineRule="auto"/>
        <w:jc w:val="both"/>
        <w:rPr>
          <w:rFonts w:eastAsia="Calibri" w:cs="Arial"/>
          <w:szCs w:val="20"/>
        </w:rPr>
      </w:pPr>
      <w:r>
        <w:rPr>
          <w:rFonts w:eastAsia="Calibri" w:cs="Arial"/>
          <w:szCs w:val="20"/>
        </w:rPr>
        <w:t>V drugem odstavku se četrta aline</w:t>
      </w:r>
      <w:r w:rsidR="003449C5">
        <w:rPr>
          <w:rFonts w:eastAsia="Calibri" w:cs="Arial"/>
          <w:szCs w:val="20"/>
        </w:rPr>
        <w:t>j</w:t>
      </w:r>
      <w:r>
        <w:rPr>
          <w:rFonts w:eastAsia="Calibri" w:cs="Arial"/>
          <w:szCs w:val="20"/>
        </w:rPr>
        <w:t>a spremeni tako, da se glasi:</w:t>
      </w:r>
    </w:p>
    <w:p w:rsidR="00DE75D4" w:rsidRDefault="00DE75D4" w:rsidP="00DE75D4">
      <w:pPr>
        <w:spacing w:line="288" w:lineRule="auto"/>
        <w:jc w:val="both"/>
        <w:rPr>
          <w:rFonts w:eastAsia="Calibri" w:cs="Arial"/>
          <w:szCs w:val="20"/>
        </w:rPr>
      </w:pPr>
    </w:p>
    <w:p w:rsidR="00DE75D4" w:rsidRDefault="00DE75D4" w:rsidP="00DE75D4">
      <w:pPr>
        <w:spacing w:line="288" w:lineRule="auto"/>
        <w:jc w:val="both"/>
        <w:rPr>
          <w:rFonts w:eastAsia="Calibri" w:cs="Arial"/>
          <w:szCs w:val="20"/>
        </w:rPr>
      </w:pPr>
      <w:r>
        <w:rPr>
          <w:rFonts w:eastAsia="Calibri" w:cs="Arial"/>
          <w:szCs w:val="20"/>
        </w:rPr>
        <w:t>»</w:t>
      </w:r>
      <w:r w:rsidR="00665E35" w:rsidRPr="003844C1">
        <w:rPr>
          <w:rFonts w:eastAsia="Calibri" w:cs="Arial"/>
          <w:szCs w:val="20"/>
        </w:rPr>
        <w:t>–</w:t>
      </w:r>
      <w:r w:rsidR="00665E35">
        <w:rPr>
          <w:rFonts w:eastAsia="Calibri" w:cs="Arial"/>
          <w:szCs w:val="20"/>
        </w:rPr>
        <w:t xml:space="preserve"> </w:t>
      </w:r>
      <w:r w:rsidRPr="007C03A8">
        <w:rPr>
          <w:rFonts w:eastAsia="Calibri" w:cs="Arial"/>
          <w:szCs w:val="20"/>
        </w:rPr>
        <w:t>okrožnem</w:t>
      </w:r>
      <w:r w:rsidR="00665E35">
        <w:rPr>
          <w:rFonts w:eastAsia="Calibri" w:cs="Arial"/>
          <w:szCs w:val="20"/>
        </w:rPr>
        <w:t>u</w:t>
      </w:r>
      <w:r w:rsidRPr="007C03A8">
        <w:rPr>
          <w:rFonts w:eastAsia="Calibri" w:cs="Arial"/>
          <w:szCs w:val="20"/>
        </w:rPr>
        <w:t xml:space="preserve"> državnemu tožilcu svetniku, višjemu državnemu tožilcu ter vrhovnemu državnemu tožilcu plača vrhovnega državnega tožilca svetnika.</w:t>
      </w:r>
      <w:r>
        <w:rPr>
          <w:rFonts w:eastAsia="Calibri" w:cs="Arial"/>
          <w:szCs w:val="20"/>
        </w:rPr>
        <w:t>«.</w:t>
      </w:r>
    </w:p>
    <w:p w:rsidR="00DE75D4" w:rsidRDefault="00DE75D4" w:rsidP="00DE75D4">
      <w:pPr>
        <w:spacing w:line="288" w:lineRule="auto"/>
        <w:jc w:val="both"/>
        <w:rPr>
          <w:rFonts w:eastAsia="Calibri" w:cs="Arial"/>
          <w:szCs w:val="20"/>
        </w:rPr>
      </w:pPr>
    </w:p>
    <w:p w:rsidR="00DE75D4" w:rsidRDefault="00DE75D4" w:rsidP="007B782E">
      <w:pPr>
        <w:spacing w:line="288" w:lineRule="auto"/>
        <w:jc w:val="both"/>
        <w:rPr>
          <w:rFonts w:eastAsia="Calibri" w:cs="Arial"/>
          <w:szCs w:val="20"/>
        </w:rPr>
      </w:pPr>
      <w:r>
        <w:rPr>
          <w:rFonts w:eastAsia="Calibri" w:cs="Arial"/>
          <w:szCs w:val="20"/>
        </w:rPr>
        <w:t>V četrtem odstavku se drugi stavek črta.</w:t>
      </w:r>
    </w:p>
    <w:bookmarkEnd w:id="35"/>
    <w:p w:rsidR="00AE2155" w:rsidRDefault="00AE2155" w:rsidP="00DE75D4">
      <w:pPr>
        <w:spacing w:line="288" w:lineRule="auto"/>
        <w:rPr>
          <w:rFonts w:eastAsia="Calibri" w:cs="Arial"/>
          <w:b/>
          <w:szCs w:val="20"/>
        </w:rPr>
      </w:pPr>
    </w:p>
    <w:p w:rsidR="00AE2155" w:rsidRDefault="00AE2155" w:rsidP="00B644CC">
      <w:pPr>
        <w:spacing w:line="288" w:lineRule="auto"/>
        <w:jc w:val="center"/>
        <w:rPr>
          <w:rFonts w:eastAsia="Calibri" w:cs="Arial"/>
          <w:b/>
          <w:szCs w:val="20"/>
        </w:rPr>
      </w:pPr>
      <w:r>
        <w:rPr>
          <w:rFonts w:eastAsia="Calibri" w:cs="Arial"/>
          <w:b/>
          <w:szCs w:val="20"/>
        </w:rPr>
        <w:t>2</w:t>
      </w:r>
      <w:r w:rsidR="00F41FCE">
        <w:rPr>
          <w:rFonts w:eastAsia="Calibri" w:cs="Arial"/>
          <w:b/>
          <w:szCs w:val="20"/>
        </w:rPr>
        <w:t>8</w:t>
      </w:r>
      <w:r w:rsidRPr="006E178C">
        <w:rPr>
          <w:rFonts w:eastAsia="Calibri" w:cs="Arial"/>
          <w:b/>
          <w:szCs w:val="20"/>
        </w:rPr>
        <w:t>. člen</w:t>
      </w:r>
    </w:p>
    <w:p w:rsidR="00AE2155" w:rsidRDefault="00AE2155" w:rsidP="00B644CC">
      <w:pPr>
        <w:spacing w:line="288" w:lineRule="auto"/>
        <w:jc w:val="both"/>
        <w:rPr>
          <w:rFonts w:eastAsia="Calibri" w:cs="Arial"/>
          <w:szCs w:val="20"/>
        </w:rPr>
      </w:pPr>
    </w:p>
    <w:p w:rsidR="00AE2155" w:rsidRDefault="00AE2155" w:rsidP="00B644CC">
      <w:pPr>
        <w:spacing w:line="288" w:lineRule="auto"/>
        <w:jc w:val="both"/>
        <w:rPr>
          <w:rFonts w:eastAsia="Calibri" w:cs="Arial"/>
          <w:szCs w:val="20"/>
        </w:rPr>
      </w:pPr>
      <w:bookmarkStart w:id="36" w:name="_Hlk42001807"/>
      <w:r>
        <w:rPr>
          <w:rFonts w:eastAsia="Calibri" w:cs="Arial"/>
          <w:szCs w:val="20"/>
        </w:rPr>
        <w:t>V 198. členu se v prvem odstavku besedilo »drugega in četrtega« nadomesti z besedilom »drugega, četrtega in petega«.</w:t>
      </w:r>
    </w:p>
    <w:p w:rsidR="006378D7" w:rsidRDefault="006378D7" w:rsidP="00B644CC">
      <w:pPr>
        <w:spacing w:line="288" w:lineRule="auto"/>
        <w:jc w:val="both"/>
        <w:rPr>
          <w:rFonts w:eastAsia="Calibri" w:cs="Arial"/>
          <w:szCs w:val="20"/>
        </w:rPr>
      </w:pPr>
    </w:p>
    <w:p w:rsidR="006378D7" w:rsidRDefault="006378D7" w:rsidP="00B644CC">
      <w:pPr>
        <w:spacing w:line="288" w:lineRule="auto"/>
        <w:jc w:val="both"/>
        <w:rPr>
          <w:rFonts w:eastAsia="Calibri" w:cs="Arial"/>
          <w:szCs w:val="20"/>
        </w:rPr>
      </w:pPr>
      <w:bookmarkStart w:id="37" w:name="_Hlk42001520"/>
      <w:r>
        <w:rPr>
          <w:rFonts w:eastAsia="Calibri" w:cs="Arial"/>
          <w:szCs w:val="20"/>
        </w:rPr>
        <w:t>Drugi odstavek se spremeni tako, da se glasi:</w:t>
      </w:r>
    </w:p>
    <w:p w:rsidR="00CA4C2C" w:rsidRDefault="00CA4C2C" w:rsidP="00B644CC">
      <w:pPr>
        <w:spacing w:line="288" w:lineRule="auto"/>
        <w:jc w:val="both"/>
        <w:rPr>
          <w:rFonts w:eastAsia="Calibri" w:cs="Arial"/>
          <w:szCs w:val="20"/>
        </w:rPr>
      </w:pPr>
    </w:p>
    <w:p w:rsidR="006378D7" w:rsidRPr="00FC0F01" w:rsidRDefault="006378D7" w:rsidP="00B644CC">
      <w:pPr>
        <w:spacing w:line="288" w:lineRule="auto"/>
        <w:jc w:val="both"/>
        <w:rPr>
          <w:rFonts w:eastAsia="Calibri" w:cs="Arial"/>
          <w:szCs w:val="20"/>
        </w:rPr>
      </w:pPr>
      <w:r w:rsidRPr="00FC0F01">
        <w:lastRenderedPageBreak/>
        <w:t xml:space="preserve">»(2) Vodja krajevno pristojnega okrožnega državnega tožilstva oziroma vodja pristojne uprave oziroma enote Policije morata nemudoma obvestiti vodjo SDT o zadevah, glede katerih je podana pristojnost SDT po drugem in petem odstavku 192. člena tega zakona, in mu brez odlašanja </w:t>
      </w:r>
      <w:r w:rsidR="00665E35">
        <w:t>izročiti</w:t>
      </w:r>
      <w:r w:rsidRPr="00FC0F01">
        <w:t xml:space="preserve"> spise zadev z vsemi zbranimi dokazi. E</w:t>
      </w:r>
      <w:r w:rsidR="004C2482" w:rsidRPr="00FC0F01">
        <w:t>vropski</w:t>
      </w:r>
      <w:r w:rsidRPr="00FC0F01">
        <w:t xml:space="preserve"> delegirani tožilec mora pred odstopom zadeve</w:t>
      </w:r>
      <w:r w:rsidR="00000359" w:rsidRPr="00FC0F01">
        <w:t>, glede katere je po 22. in 25. člena Uredbe 2017/1939/EU podana pristojnost EJT</w:t>
      </w:r>
      <w:r w:rsidR="00C8037E" w:rsidRPr="00FC0F01">
        <w:t>,</w:t>
      </w:r>
      <w:r w:rsidR="00000359" w:rsidRPr="00FC0F01">
        <w:t xml:space="preserve"> </w:t>
      </w:r>
      <w:r w:rsidRPr="00FC0F01">
        <w:t xml:space="preserve">in </w:t>
      </w:r>
      <w:r w:rsidR="003449C5">
        <w:t xml:space="preserve">pred </w:t>
      </w:r>
      <w:r w:rsidRPr="00FC0F01">
        <w:t>prenosom pristojnosti z EJT na pristojn</w:t>
      </w:r>
      <w:r w:rsidR="00665E35">
        <w:t>i</w:t>
      </w:r>
      <w:r w:rsidRPr="00FC0F01">
        <w:t xml:space="preserve"> organ v skladu s 34. členom Uredbe 2017/1939/EU obvestiti vodjo SDT</w:t>
      </w:r>
      <w:r w:rsidR="00000359" w:rsidRPr="00FC0F01">
        <w:t xml:space="preserve"> in mu brez odlašanja </w:t>
      </w:r>
      <w:r w:rsidR="00665E35">
        <w:t>izročiti</w:t>
      </w:r>
      <w:r w:rsidR="00000359" w:rsidRPr="00FC0F01">
        <w:t xml:space="preserve"> spis zadeve z vsemi zbranimi dokazi</w:t>
      </w:r>
      <w:r w:rsidRPr="00FC0F01">
        <w:t>.</w:t>
      </w:r>
      <w:r w:rsidR="00EF0732">
        <w:t>«.</w:t>
      </w:r>
      <w:r w:rsidRPr="00FC0F01">
        <w:t xml:space="preserve"> </w:t>
      </w:r>
    </w:p>
    <w:bookmarkEnd w:id="37"/>
    <w:p w:rsidR="00AE2155" w:rsidRDefault="00AE2155" w:rsidP="00B644CC">
      <w:pPr>
        <w:spacing w:line="288" w:lineRule="auto"/>
        <w:jc w:val="both"/>
        <w:rPr>
          <w:rFonts w:eastAsia="Calibri" w:cs="Arial"/>
          <w:szCs w:val="20"/>
        </w:rPr>
      </w:pPr>
    </w:p>
    <w:p w:rsidR="00EF0732" w:rsidRDefault="00AE2155" w:rsidP="00B644CC">
      <w:pPr>
        <w:spacing w:line="288" w:lineRule="auto"/>
        <w:jc w:val="both"/>
        <w:rPr>
          <w:rFonts w:eastAsia="Calibri" w:cs="Arial"/>
          <w:szCs w:val="20"/>
        </w:rPr>
      </w:pPr>
      <w:bookmarkStart w:id="38" w:name="_Hlk43299335"/>
      <w:r>
        <w:rPr>
          <w:rFonts w:eastAsia="Calibri" w:cs="Arial"/>
          <w:szCs w:val="20"/>
        </w:rPr>
        <w:t xml:space="preserve">V tretjem odstavku se za piko doda nov tretji stavek, ki se glasi: </w:t>
      </w:r>
    </w:p>
    <w:p w:rsidR="00CA4C2C" w:rsidRDefault="00CA4C2C" w:rsidP="00B644CC">
      <w:pPr>
        <w:spacing w:line="288" w:lineRule="auto"/>
        <w:jc w:val="both"/>
        <w:rPr>
          <w:rFonts w:eastAsia="Calibri" w:cs="Arial"/>
          <w:szCs w:val="20"/>
        </w:rPr>
      </w:pPr>
    </w:p>
    <w:p w:rsidR="00AE2155" w:rsidRDefault="00AE2155" w:rsidP="00B644CC">
      <w:pPr>
        <w:spacing w:line="288" w:lineRule="auto"/>
        <w:jc w:val="both"/>
        <w:rPr>
          <w:rFonts w:eastAsia="Calibri" w:cs="Arial"/>
          <w:szCs w:val="20"/>
        </w:rPr>
      </w:pPr>
      <w:r>
        <w:rPr>
          <w:rFonts w:eastAsia="Calibri" w:cs="Arial"/>
          <w:szCs w:val="20"/>
        </w:rPr>
        <w:t>»</w:t>
      </w:r>
      <w:r w:rsidR="009C139B">
        <w:rPr>
          <w:rFonts w:eastAsia="Calibri" w:cs="Arial"/>
          <w:szCs w:val="20"/>
        </w:rPr>
        <w:t>Vodja SDT na zahtevo g</w:t>
      </w:r>
      <w:r w:rsidR="003449C5">
        <w:rPr>
          <w:rFonts w:eastAsia="Calibri" w:cs="Arial"/>
          <w:szCs w:val="20"/>
        </w:rPr>
        <w:t>eneraln</w:t>
      </w:r>
      <w:r w:rsidR="009C139B">
        <w:rPr>
          <w:rFonts w:eastAsia="Calibri" w:cs="Arial"/>
          <w:szCs w:val="20"/>
        </w:rPr>
        <w:t>ega</w:t>
      </w:r>
      <w:r w:rsidR="003449C5">
        <w:rPr>
          <w:rFonts w:eastAsia="Calibri" w:cs="Arial"/>
          <w:szCs w:val="20"/>
        </w:rPr>
        <w:t xml:space="preserve"> državn</w:t>
      </w:r>
      <w:r w:rsidR="009C139B">
        <w:rPr>
          <w:rFonts w:eastAsia="Calibri" w:cs="Arial"/>
          <w:szCs w:val="20"/>
        </w:rPr>
        <w:t>ega</w:t>
      </w:r>
      <w:r w:rsidR="003449C5">
        <w:rPr>
          <w:rFonts w:eastAsia="Calibri" w:cs="Arial"/>
          <w:szCs w:val="20"/>
        </w:rPr>
        <w:t xml:space="preserve"> tožilc</w:t>
      </w:r>
      <w:r w:rsidR="009C139B">
        <w:rPr>
          <w:rFonts w:eastAsia="Calibri" w:cs="Arial"/>
          <w:szCs w:val="20"/>
        </w:rPr>
        <w:t>a,</w:t>
      </w:r>
      <w:r w:rsidR="003449C5">
        <w:rPr>
          <w:rFonts w:eastAsia="Calibri" w:cs="Arial"/>
          <w:szCs w:val="20"/>
        </w:rPr>
        <w:t xml:space="preserve"> lahko</w:t>
      </w:r>
      <w:r w:rsidR="009C139B">
        <w:rPr>
          <w:rFonts w:eastAsia="Calibri" w:cs="Arial"/>
          <w:szCs w:val="20"/>
        </w:rPr>
        <w:t xml:space="preserve"> pa tudi na lastno pobudo, pred odločitvijo generalnega državnega tožilca poda dodatno pojasnilo o razlogih za dodelitev</w:t>
      </w:r>
      <w:r w:rsidR="003449C5">
        <w:rPr>
          <w:rFonts w:eastAsia="Calibri" w:cs="Arial"/>
          <w:szCs w:val="20"/>
        </w:rPr>
        <w:t>.«.</w:t>
      </w:r>
    </w:p>
    <w:bookmarkEnd w:id="38"/>
    <w:p w:rsidR="003449C5" w:rsidRDefault="003449C5" w:rsidP="00B644CC">
      <w:pPr>
        <w:spacing w:line="288" w:lineRule="auto"/>
        <w:jc w:val="both"/>
        <w:rPr>
          <w:rFonts w:eastAsia="Calibri" w:cs="Arial"/>
          <w:szCs w:val="20"/>
        </w:rPr>
      </w:pPr>
    </w:p>
    <w:p w:rsidR="00AE2155" w:rsidRDefault="00AE2155" w:rsidP="00B644CC">
      <w:pPr>
        <w:spacing w:line="288" w:lineRule="auto"/>
        <w:jc w:val="both"/>
        <w:rPr>
          <w:rFonts w:eastAsia="Calibri" w:cs="Arial"/>
          <w:szCs w:val="20"/>
        </w:rPr>
      </w:pPr>
      <w:r>
        <w:rPr>
          <w:rFonts w:eastAsia="Calibri" w:cs="Arial"/>
          <w:szCs w:val="20"/>
        </w:rPr>
        <w:t>Šesti odstavek se črta.</w:t>
      </w:r>
    </w:p>
    <w:p w:rsidR="00AE2155" w:rsidRDefault="00AE2155" w:rsidP="00B644CC">
      <w:pPr>
        <w:spacing w:line="288" w:lineRule="auto"/>
        <w:jc w:val="both"/>
        <w:rPr>
          <w:rFonts w:eastAsia="Calibri" w:cs="Arial"/>
          <w:szCs w:val="20"/>
        </w:rPr>
      </w:pPr>
    </w:p>
    <w:p w:rsidR="00AE2155" w:rsidRDefault="00AE2155" w:rsidP="00B644CC">
      <w:pPr>
        <w:spacing w:line="288" w:lineRule="auto"/>
        <w:jc w:val="both"/>
        <w:rPr>
          <w:rFonts w:eastAsia="Calibri" w:cs="Arial"/>
          <w:szCs w:val="20"/>
        </w:rPr>
      </w:pPr>
      <w:r>
        <w:rPr>
          <w:rFonts w:eastAsia="Calibri" w:cs="Arial"/>
          <w:szCs w:val="20"/>
        </w:rPr>
        <w:t>Dosedanj</w:t>
      </w:r>
      <w:r w:rsidR="003449C5">
        <w:rPr>
          <w:rFonts w:eastAsia="Calibri" w:cs="Arial"/>
          <w:szCs w:val="20"/>
        </w:rPr>
        <w:t>a</w:t>
      </w:r>
      <w:r>
        <w:rPr>
          <w:rFonts w:eastAsia="Calibri" w:cs="Arial"/>
          <w:szCs w:val="20"/>
        </w:rPr>
        <w:t xml:space="preserve"> sedmi in osmi odstavek postaneta šesti in sedmi odstavek. </w:t>
      </w:r>
    </w:p>
    <w:p w:rsidR="00AE2155" w:rsidRDefault="00AE2155" w:rsidP="00B644CC">
      <w:pPr>
        <w:spacing w:line="288" w:lineRule="auto"/>
        <w:jc w:val="both"/>
        <w:rPr>
          <w:rFonts w:eastAsia="Calibri" w:cs="Arial"/>
          <w:szCs w:val="20"/>
        </w:rPr>
      </w:pPr>
    </w:p>
    <w:bookmarkEnd w:id="36"/>
    <w:p w:rsidR="00AE2155" w:rsidRPr="00606AE8" w:rsidRDefault="00AE2155" w:rsidP="00B644CC">
      <w:pPr>
        <w:spacing w:line="288" w:lineRule="auto"/>
        <w:jc w:val="center"/>
        <w:rPr>
          <w:rFonts w:eastAsia="Calibri" w:cs="Arial"/>
          <w:b/>
          <w:szCs w:val="20"/>
        </w:rPr>
      </w:pPr>
      <w:r w:rsidRPr="00606AE8">
        <w:rPr>
          <w:rFonts w:eastAsia="Calibri" w:cs="Arial"/>
          <w:b/>
          <w:szCs w:val="20"/>
        </w:rPr>
        <w:t>2</w:t>
      </w:r>
      <w:r w:rsidR="00F41FCE">
        <w:rPr>
          <w:rFonts w:eastAsia="Calibri" w:cs="Arial"/>
          <w:b/>
          <w:szCs w:val="20"/>
        </w:rPr>
        <w:t>9</w:t>
      </w:r>
      <w:r w:rsidRPr="00606AE8">
        <w:rPr>
          <w:rFonts w:eastAsia="Calibri" w:cs="Arial"/>
          <w:b/>
          <w:szCs w:val="20"/>
        </w:rPr>
        <w:t>. člen</w:t>
      </w:r>
    </w:p>
    <w:p w:rsidR="00AE2155" w:rsidRDefault="00AE2155" w:rsidP="00B644CC">
      <w:pPr>
        <w:spacing w:line="288" w:lineRule="auto"/>
        <w:jc w:val="both"/>
        <w:rPr>
          <w:rFonts w:eastAsia="Calibri" w:cs="Arial"/>
          <w:szCs w:val="20"/>
        </w:rPr>
      </w:pPr>
    </w:p>
    <w:p w:rsidR="00AE2155" w:rsidRDefault="00AE2155" w:rsidP="00B644CC">
      <w:pPr>
        <w:spacing w:line="288" w:lineRule="auto"/>
        <w:jc w:val="both"/>
        <w:rPr>
          <w:rFonts w:eastAsia="Calibri" w:cs="Arial"/>
          <w:szCs w:val="20"/>
        </w:rPr>
      </w:pPr>
      <w:r>
        <w:rPr>
          <w:rFonts w:eastAsia="Calibri" w:cs="Arial"/>
          <w:szCs w:val="20"/>
        </w:rPr>
        <w:t>V 203.a členu se v naslovu besedilo »in dodelitev« črta.</w:t>
      </w:r>
    </w:p>
    <w:p w:rsidR="00AE2155" w:rsidRDefault="00AE2155" w:rsidP="00B644CC">
      <w:pPr>
        <w:spacing w:line="288" w:lineRule="auto"/>
        <w:jc w:val="both"/>
        <w:rPr>
          <w:rFonts w:eastAsia="Calibri" w:cs="Arial"/>
          <w:szCs w:val="20"/>
        </w:rPr>
      </w:pPr>
    </w:p>
    <w:p w:rsidR="00AE2155" w:rsidRDefault="00AE2155" w:rsidP="00B644CC">
      <w:pPr>
        <w:spacing w:line="288" w:lineRule="auto"/>
        <w:jc w:val="both"/>
        <w:rPr>
          <w:rFonts w:eastAsia="Calibri" w:cs="Arial"/>
          <w:szCs w:val="20"/>
        </w:rPr>
      </w:pPr>
      <w:r>
        <w:rPr>
          <w:rFonts w:eastAsia="Calibri" w:cs="Arial"/>
          <w:szCs w:val="20"/>
        </w:rPr>
        <w:t>Tretji</w:t>
      </w:r>
      <w:r w:rsidR="007F2A0A">
        <w:rPr>
          <w:rFonts w:eastAsia="Calibri" w:cs="Arial"/>
          <w:szCs w:val="20"/>
        </w:rPr>
        <w:t xml:space="preserve"> do </w:t>
      </w:r>
      <w:r>
        <w:rPr>
          <w:rFonts w:eastAsia="Calibri" w:cs="Arial"/>
          <w:szCs w:val="20"/>
        </w:rPr>
        <w:t>šesti odstavek se črtajo.</w:t>
      </w:r>
    </w:p>
    <w:p w:rsidR="00FC4E26" w:rsidRDefault="00FC4E26" w:rsidP="00FD2102">
      <w:pPr>
        <w:spacing w:line="288" w:lineRule="auto"/>
        <w:rPr>
          <w:rFonts w:eastAsia="Calibri" w:cs="Arial"/>
          <w:b/>
          <w:szCs w:val="20"/>
        </w:rPr>
      </w:pPr>
    </w:p>
    <w:p w:rsidR="00AE2155" w:rsidRDefault="00F41FCE" w:rsidP="00B644CC">
      <w:pPr>
        <w:spacing w:line="288" w:lineRule="auto"/>
        <w:jc w:val="center"/>
        <w:rPr>
          <w:rFonts w:eastAsia="Calibri" w:cs="Arial"/>
          <w:b/>
          <w:szCs w:val="20"/>
        </w:rPr>
      </w:pPr>
      <w:r>
        <w:rPr>
          <w:rFonts w:eastAsia="Calibri" w:cs="Arial"/>
          <w:b/>
          <w:szCs w:val="20"/>
        </w:rPr>
        <w:t>30</w:t>
      </w:r>
      <w:r w:rsidR="00AE2155" w:rsidRPr="00FD3271">
        <w:rPr>
          <w:rFonts w:eastAsia="Calibri" w:cs="Arial"/>
          <w:b/>
          <w:szCs w:val="20"/>
        </w:rPr>
        <w:t>. člen</w:t>
      </w:r>
    </w:p>
    <w:p w:rsidR="00AE2155" w:rsidRDefault="00AE2155" w:rsidP="00B644CC">
      <w:pPr>
        <w:spacing w:line="288" w:lineRule="auto"/>
        <w:rPr>
          <w:rFonts w:eastAsia="Calibri" w:cs="Arial"/>
          <w:b/>
          <w:szCs w:val="20"/>
        </w:rPr>
      </w:pPr>
    </w:p>
    <w:p w:rsidR="00FD2102" w:rsidRDefault="00AE2155" w:rsidP="008647C7">
      <w:pPr>
        <w:spacing w:line="288" w:lineRule="auto"/>
        <w:jc w:val="both"/>
        <w:rPr>
          <w:rFonts w:eastAsia="Calibri" w:cs="Arial"/>
          <w:szCs w:val="20"/>
        </w:rPr>
      </w:pPr>
      <w:r>
        <w:rPr>
          <w:rFonts w:cs="Arial"/>
          <w:szCs w:val="20"/>
        </w:rPr>
        <w:t xml:space="preserve">V 204. členu se </w:t>
      </w:r>
      <w:r w:rsidR="00FD2102" w:rsidRPr="00B85884">
        <w:t>v</w:t>
      </w:r>
      <w:r w:rsidR="00FD2102" w:rsidRPr="00B85884">
        <w:rPr>
          <w:rFonts w:cs="Arial"/>
          <w:szCs w:val="20"/>
        </w:rPr>
        <w:t xml:space="preserve"> tretjem odstavku</w:t>
      </w:r>
      <w:r w:rsidR="00FD2102">
        <w:rPr>
          <w:rFonts w:cs="Arial"/>
          <w:szCs w:val="20"/>
        </w:rPr>
        <w:t xml:space="preserve"> </w:t>
      </w:r>
      <w:r w:rsidR="00FD2102" w:rsidRPr="00B85884">
        <w:rPr>
          <w:rFonts w:eastAsia="Calibri" w:cs="Arial"/>
          <w:szCs w:val="20"/>
        </w:rPr>
        <w:t>besedilo »tožilsk</w:t>
      </w:r>
      <w:r w:rsidR="00FD2102">
        <w:rPr>
          <w:rFonts w:eastAsia="Calibri" w:cs="Arial"/>
          <w:szCs w:val="20"/>
        </w:rPr>
        <w:t>o</w:t>
      </w:r>
      <w:r w:rsidR="00FD2102" w:rsidRPr="00B85884">
        <w:rPr>
          <w:rFonts w:eastAsia="Calibri" w:cs="Arial"/>
          <w:szCs w:val="20"/>
        </w:rPr>
        <w:t xml:space="preserve"> osebj</w:t>
      </w:r>
      <w:r w:rsidR="00FD2102">
        <w:rPr>
          <w:rFonts w:eastAsia="Calibri" w:cs="Arial"/>
          <w:szCs w:val="20"/>
        </w:rPr>
        <w:t>e</w:t>
      </w:r>
      <w:r w:rsidR="00FD2102" w:rsidRPr="00B85884">
        <w:rPr>
          <w:rFonts w:eastAsia="Calibri" w:cs="Arial"/>
          <w:szCs w:val="20"/>
        </w:rPr>
        <w:t>« nadomesti z besedilom »</w:t>
      </w:r>
      <w:proofErr w:type="spellStart"/>
      <w:r w:rsidR="00FD2102" w:rsidRPr="00B85884">
        <w:rPr>
          <w:rFonts w:eastAsia="Calibri" w:cs="Arial"/>
          <w:szCs w:val="20"/>
        </w:rPr>
        <w:t>državnotožilsk</w:t>
      </w:r>
      <w:r w:rsidR="00FD2102">
        <w:rPr>
          <w:rFonts w:eastAsia="Calibri" w:cs="Arial"/>
          <w:szCs w:val="20"/>
        </w:rPr>
        <w:t>o</w:t>
      </w:r>
      <w:proofErr w:type="spellEnd"/>
      <w:r w:rsidR="00FD2102" w:rsidRPr="00B85884">
        <w:rPr>
          <w:rFonts w:eastAsia="Calibri" w:cs="Arial"/>
          <w:szCs w:val="20"/>
        </w:rPr>
        <w:t xml:space="preserve"> osebj</w:t>
      </w:r>
      <w:r w:rsidR="00FD2102">
        <w:rPr>
          <w:rFonts w:eastAsia="Calibri" w:cs="Arial"/>
          <w:szCs w:val="20"/>
        </w:rPr>
        <w:t>e</w:t>
      </w:r>
      <w:r w:rsidR="00FD2102" w:rsidRPr="00B85884">
        <w:rPr>
          <w:rFonts w:eastAsia="Calibri" w:cs="Arial"/>
          <w:szCs w:val="20"/>
        </w:rPr>
        <w:t>«.</w:t>
      </w:r>
    </w:p>
    <w:p w:rsidR="00FD2102" w:rsidRDefault="00FD2102" w:rsidP="008647C7">
      <w:pPr>
        <w:spacing w:line="288" w:lineRule="auto"/>
        <w:jc w:val="both"/>
        <w:rPr>
          <w:rFonts w:eastAsia="Calibri" w:cs="Arial"/>
          <w:szCs w:val="20"/>
        </w:rPr>
      </w:pPr>
    </w:p>
    <w:p w:rsidR="00AE2155" w:rsidRDefault="00FD2102" w:rsidP="008647C7">
      <w:pPr>
        <w:spacing w:line="288" w:lineRule="auto"/>
        <w:jc w:val="both"/>
        <w:rPr>
          <w:rFonts w:cs="Arial"/>
          <w:szCs w:val="20"/>
        </w:rPr>
      </w:pPr>
      <w:r>
        <w:rPr>
          <w:rFonts w:cs="Arial"/>
          <w:szCs w:val="20"/>
        </w:rPr>
        <w:t>Č</w:t>
      </w:r>
      <w:r w:rsidR="00AE2155">
        <w:rPr>
          <w:rFonts w:cs="Arial"/>
          <w:szCs w:val="20"/>
        </w:rPr>
        <w:t>etrti odstavek</w:t>
      </w:r>
      <w:r>
        <w:rPr>
          <w:rFonts w:cs="Arial"/>
          <w:szCs w:val="20"/>
        </w:rPr>
        <w:t xml:space="preserve"> se</w:t>
      </w:r>
      <w:r w:rsidR="00AE2155">
        <w:rPr>
          <w:rFonts w:cs="Arial"/>
          <w:szCs w:val="20"/>
        </w:rPr>
        <w:t xml:space="preserve"> črta.</w:t>
      </w:r>
    </w:p>
    <w:p w:rsidR="00EF0732" w:rsidRDefault="00EF0732" w:rsidP="006F6D2D">
      <w:pPr>
        <w:spacing w:line="288" w:lineRule="auto"/>
        <w:rPr>
          <w:rFonts w:eastAsia="Calibri" w:cs="Arial"/>
          <w:b/>
          <w:szCs w:val="20"/>
        </w:rPr>
      </w:pPr>
    </w:p>
    <w:p w:rsidR="00AE2155" w:rsidRDefault="00AE2155" w:rsidP="00B644CC">
      <w:pPr>
        <w:spacing w:line="288" w:lineRule="auto"/>
        <w:jc w:val="center"/>
        <w:rPr>
          <w:rFonts w:eastAsia="Calibri" w:cs="Arial"/>
          <w:b/>
          <w:szCs w:val="20"/>
        </w:rPr>
      </w:pPr>
      <w:r>
        <w:rPr>
          <w:rFonts w:eastAsia="Calibri" w:cs="Arial"/>
          <w:b/>
          <w:szCs w:val="20"/>
        </w:rPr>
        <w:t>PREHODN</w:t>
      </w:r>
      <w:r w:rsidR="007F2A0A">
        <w:rPr>
          <w:rFonts w:eastAsia="Calibri" w:cs="Arial"/>
          <w:b/>
          <w:szCs w:val="20"/>
        </w:rPr>
        <w:t>I</w:t>
      </w:r>
      <w:r>
        <w:rPr>
          <w:rFonts w:eastAsia="Calibri" w:cs="Arial"/>
          <w:b/>
          <w:szCs w:val="20"/>
        </w:rPr>
        <w:t xml:space="preserve"> IN </w:t>
      </w:r>
      <w:r w:rsidRPr="00EB2A42">
        <w:rPr>
          <w:rFonts w:eastAsia="Calibri" w:cs="Arial"/>
          <w:b/>
          <w:szCs w:val="20"/>
        </w:rPr>
        <w:t>KONČN</w:t>
      </w:r>
      <w:r w:rsidR="007F2A0A">
        <w:rPr>
          <w:rFonts w:eastAsia="Calibri" w:cs="Arial"/>
          <w:b/>
          <w:szCs w:val="20"/>
        </w:rPr>
        <w:t>A</w:t>
      </w:r>
      <w:r w:rsidRPr="00EB2A42">
        <w:rPr>
          <w:rFonts w:eastAsia="Calibri" w:cs="Arial"/>
          <w:b/>
          <w:szCs w:val="20"/>
        </w:rPr>
        <w:t xml:space="preserve"> DOLOČB</w:t>
      </w:r>
      <w:r w:rsidR="007F2A0A">
        <w:rPr>
          <w:rFonts w:eastAsia="Calibri" w:cs="Arial"/>
          <w:b/>
          <w:szCs w:val="20"/>
        </w:rPr>
        <w:t>A</w:t>
      </w:r>
    </w:p>
    <w:p w:rsidR="00AE2155" w:rsidRDefault="00AE2155" w:rsidP="00B644CC">
      <w:pPr>
        <w:spacing w:line="288" w:lineRule="auto"/>
        <w:jc w:val="center"/>
        <w:rPr>
          <w:rFonts w:eastAsia="Calibri" w:cs="Arial"/>
          <w:b/>
          <w:szCs w:val="20"/>
        </w:rPr>
      </w:pPr>
    </w:p>
    <w:p w:rsidR="00AE2155" w:rsidRDefault="00AE2155" w:rsidP="00B644CC">
      <w:pPr>
        <w:spacing w:line="288" w:lineRule="auto"/>
        <w:jc w:val="center"/>
        <w:rPr>
          <w:rFonts w:eastAsia="Calibri" w:cs="Arial"/>
          <w:b/>
          <w:szCs w:val="20"/>
        </w:rPr>
      </w:pPr>
      <w:r>
        <w:rPr>
          <w:rFonts w:eastAsia="Calibri" w:cs="Arial"/>
          <w:b/>
          <w:szCs w:val="20"/>
        </w:rPr>
        <w:t>3</w:t>
      </w:r>
      <w:r w:rsidR="00F41FCE">
        <w:rPr>
          <w:rFonts w:eastAsia="Calibri" w:cs="Arial"/>
          <w:b/>
          <w:szCs w:val="20"/>
        </w:rPr>
        <w:t>1</w:t>
      </w:r>
      <w:r w:rsidRPr="00EB2A42">
        <w:rPr>
          <w:rFonts w:eastAsia="Calibri" w:cs="Arial"/>
          <w:b/>
          <w:szCs w:val="20"/>
        </w:rPr>
        <w:t>. člen</w:t>
      </w:r>
    </w:p>
    <w:p w:rsidR="00AE2155" w:rsidRDefault="00AE2155" w:rsidP="00B644CC">
      <w:pPr>
        <w:spacing w:line="288" w:lineRule="auto"/>
        <w:jc w:val="center"/>
        <w:rPr>
          <w:rFonts w:eastAsia="Calibri" w:cs="Arial"/>
          <w:b/>
          <w:szCs w:val="20"/>
        </w:rPr>
      </w:pPr>
      <w:r>
        <w:rPr>
          <w:rFonts w:eastAsia="Calibri" w:cs="Arial"/>
          <w:b/>
          <w:szCs w:val="20"/>
        </w:rPr>
        <w:t>(uskladitev</w:t>
      </w:r>
      <w:r w:rsidR="00F7775B">
        <w:rPr>
          <w:rFonts w:eastAsia="Calibri" w:cs="Arial"/>
          <w:b/>
          <w:szCs w:val="20"/>
        </w:rPr>
        <w:t xml:space="preserve"> </w:t>
      </w:r>
      <w:r w:rsidR="00CA4C2C">
        <w:rPr>
          <w:rFonts w:eastAsia="Calibri" w:cs="Arial"/>
          <w:b/>
          <w:szCs w:val="20"/>
        </w:rPr>
        <w:t>aktov</w:t>
      </w:r>
      <w:r>
        <w:rPr>
          <w:rFonts w:eastAsia="Calibri" w:cs="Arial"/>
          <w:b/>
          <w:szCs w:val="20"/>
        </w:rPr>
        <w:t xml:space="preserve">) </w:t>
      </w:r>
    </w:p>
    <w:p w:rsidR="00AE2155" w:rsidRPr="006323FE" w:rsidRDefault="00AE2155" w:rsidP="00B644CC">
      <w:pPr>
        <w:autoSpaceDE w:val="0"/>
        <w:autoSpaceDN w:val="0"/>
        <w:adjustRightInd w:val="0"/>
        <w:spacing w:line="288" w:lineRule="auto"/>
        <w:jc w:val="both"/>
        <w:rPr>
          <w:rFonts w:cs="Arial"/>
          <w:szCs w:val="20"/>
        </w:rPr>
      </w:pPr>
    </w:p>
    <w:p w:rsidR="00AE2155" w:rsidRPr="009F5032" w:rsidRDefault="00AE2155" w:rsidP="00B644CC">
      <w:pPr>
        <w:autoSpaceDE w:val="0"/>
        <w:autoSpaceDN w:val="0"/>
        <w:adjustRightInd w:val="0"/>
        <w:spacing w:line="288" w:lineRule="auto"/>
        <w:jc w:val="both"/>
        <w:rPr>
          <w:rFonts w:cs="Arial"/>
          <w:szCs w:val="20"/>
        </w:rPr>
      </w:pPr>
      <w:r w:rsidRPr="009F5032">
        <w:rPr>
          <w:rFonts w:cs="Arial"/>
          <w:szCs w:val="20"/>
          <w:shd w:val="clear" w:color="auto" w:fill="FFFFFF"/>
        </w:rPr>
        <w:t xml:space="preserve">(2) Generalni državni tožilec uskladi </w:t>
      </w:r>
      <w:r w:rsidR="004C2821" w:rsidRPr="009F5032">
        <w:rPr>
          <w:rFonts w:cs="Arial"/>
          <w:szCs w:val="20"/>
          <w:shd w:val="clear" w:color="auto" w:fill="FFFFFF"/>
        </w:rPr>
        <w:t xml:space="preserve">Nacionalni sistem za usklajevanje dejavnosti </w:t>
      </w:r>
      <w:proofErr w:type="spellStart"/>
      <w:r w:rsidR="004C2821" w:rsidRPr="009F5032">
        <w:rPr>
          <w:rFonts w:cs="Arial"/>
          <w:szCs w:val="20"/>
          <w:shd w:val="clear" w:color="auto" w:fill="FFFFFF"/>
        </w:rPr>
        <w:t>Eurojusta</w:t>
      </w:r>
      <w:proofErr w:type="spellEnd"/>
      <w:r w:rsidR="004C2821" w:rsidRPr="009F5032">
        <w:rPr>
          <w:rFonts w:cs="Arial"/>
          <w:szCs w:val="20"/>
          <w:shd w:val="clear" w:color="auto" w:fill="FFFFFF"/>
        </w:rPr>
        <w:t xml:space="preserve"> in nacionalne korespondente </w:t>
      </w:r>
      <w:proofErr w:type="spellStart"/>
      <w:r w:rsidR="004C2821" w:rsidRPr="009F5032">
        <w:rPr>
          <w:rFonts w:cs="Arial"/>
          <w:szCs w:val="20"/>
          <w:shd w:val="clear" w:color="auto" w:fill="FFFFFF"/>
        </w:rPr>
        <w:t>Eurojusta</w:t>
      </w:r>
      <w:proofErr w:type="spellEnd"/>
      <w:r w:rsidR="004C2821" w:rsidRPr="009F5032">
        <w:rPr>
          <w:rFonts w:cs="Arial"/>
          <w:szCs w:val="20"/>
          <w:shd w:val="clear" w:color="auto" w:fill="FFFFFF"/>
        </w:rPr>
        <w:t xml:space="preserve"> </w:t>
      </w:r>
      <w:r w:rsidRPr="009F5032">
        <w:rPr>
          <w:rFonts w:cs="Arial"/>
          <w:szCs w:val="20"/>
          <w:shd w:val="clear" w:color="auto" w:fill="FFFFFF"/>
        </w:rPr>
        <w:t>z Uredbo</w:t>
      </w:r>
      <w:r w:rsidR="006A2CEE">
        <w:rPr>
          <w:rFonts w:cs="Arial"/>
          <w:szCs w:val="20"/>
          <w:shd w:val="clear" w:color="auto" w:fill="FFFFFF"/>
        </w:rPr>
        <w:t xml:space="preserve"> </w:t>
      </w:r>
      <w:r w:rsidRPr="009F5032">
        <w:rPr>
          <w:rFonts w:cs="Arial"/>
          <w:szCs w:val="20"/>
          <w:shd w:val="clear" w:color="auto" w:fill="FFFFFF"/>
        </w:rPr>
        <w:t xml:space="preserve">2018/1727/EU in </w:t>
      </w:r>
      <w:r w:rsidR="00783E26">
        <w:rPr>
          <w:rFonts w:cs="Arial"/>
          <w:szCs w:val="20"/>
          <w:shd w:val="clear" w:color="auto" w:fill="FFFFFF"/>
        </w:rPr>
        <w:t>ga</w:t>
      </w:r>
      <w:r w:rsidR="004C2821">
        <w:rPr>
          <w:rFonts w:cs="Arial"/>
          <w:szCs w:val="20"/>
          <w:shd w:val="clear" w:color="auto" w:fill="FFFFFF"/>
        </w:rPr>
        <w:t xml:space="preserve"> </w:t>
      </w:r>
      <w:r w:rsidRPr="009F5032">
        <w:rPr>
          <w:rFonts w:cs="Arial"/>
          <w:szCs w:val="20"/>
          <w:shd w:val="clear" w:color="auto" w:fill="FFFFFF"/>
        </w:rPr>
        <w:t xml:space="preserve">objavi </w:t>
      </w:r>
      <w:r w:rsidR="004C2821">
        <w:rPr>
          <w:rFonts w:cs="Arial"/>
          <w:szCs w:val="20"/>
          <w:shd w:val="clear" w:color="auto" w:fill="FFFFFF"/>
        </w:rPr>
        <w:t xml:space="preserve">na spletni strani državnega tožilstva </w:t>
      </w:r>
      <w:r w:rsidRPr="009F5032">
        <w:rPr>
          <w:rFonts w:cs="Arial"/>
          <w:szCs w:val="20"/>
          <w:shd w:val="clear" w:color="auto" w:fill="FFFFFF"/>
        </w:rPr>
        <w:t>najpozneje v šestih mesecih po uveljavitvi tega zakona.</w:t>
      </w:r>
    </w:p>
    <w:p w:rsidR="00AE2155" w:rsidRPr="009F5032" w:rsidRDefault="00AE2155" w:rsidP="00B644CC">
      <w:pPr>
        <w:spacing w:line="288" w:lineRule="auto"/>
        <w:jc w:val="both"/>
        <w:rPr>
          <w:rFonts w:eastAsia="Calibri" w:cs="Arial"/>
          <w:szCs w:val="20"/>
        </w:rPr>
      </w:pPr>
      <w:bookmarkStart w:id="39" w:name="_Hlk33620547"/>
    </w:p>
    <w:p w:rsidR="00AE2155" w:rsidRPr="009F5032" w:rsidRDefault="00AE2155" w:rsidP="00B644CC">
      <w:pPr>
        <w:spacing w:line="288" w:lineRule="auto"/>
        <w:jc w:val="both"/>
        <w:rPr>
          <w:rFonts w:eastAsia="Calibri" w:cs="Arial"/>
          <w:szCs w:val="20"/>
        </w:rPr>
      </w:pPr>
      <w:r w:rsidRPr="009F5032">
        <w:rPr>
          <w:rFonts w:eastAsia="Calibri" w:cs="Arial"/>
          <w:szCs w:val="20"/>
        </w:rPr>
        <w:t xml:space="preserve">(3) </w:t>
      </w:r>
      <w:r w:rsidR="006A2CEE">
        <w:rPr>
          <w:rFonts w:eastAsia="Calibri" w:cs="Arial"/>
          <w:szCs w:val="20"/>
        </w:rPr>
        <w:t>D</w:t>
      </w:r>
      <w:r w:rsidRPr="009F5032">
        <w:rPr>
          <w:rFonts w:eastAsia="Calibri" w:cs="Arial"/>
          <w:szCs w:val="20"/>
        </w:rPr>
        <w:t xml:space="preserve">ržavna tožilstva uskladijo </w:t>
      </w:r>
      <w:r w:rsidR="006A2CEE">
        <w:rPr>
          <w:rFonts w:eastAsia="Calibri" w:cs="Arial"/>
          <w:szCs w:val="20"/>
        </w:rPr>
        <w:t>l</w:t>
      </w:r>
      <w:r w:rsidR="006A2CEE" w:rsidRPr="009F5032">
        <w:rPr>
          <w:rFonts w:eastAsia="Calibri" w:cs="Arial"/>
          <w:szCs w:val="20"/>
        </w:rPr>
        <w:t xml:space="preserve">etne razporede </w:t>
      </w:r>
      <w:r w:rsidRPr="009F5032">
        <w:rPr>
          <w:rFonts w:eastAsia="Calibri" w:cs="Arial"/>
          <w:szCs w:val="20"/>
        </w:rPr>
        <w:t>ob prvi</w:t>
      </w:r>
      <w:r w:rsidR="006A2CEE">
        <w:rPr>
          <w:rFonts w:eastAsia="Calibri" w:cs="Arial"/>
          <w:szCs w:val="20"/>
        </w:rPr>
        <w:t xml:space="preserve"> njihovi</w:t>
      </w:r>
      <w:r w:rsidRPr="009F5032">
        <w:rPr>
          <w:rFonts w:eastAsia="Calibri" w:cs="Arial"/>
          <w:szCs w:val="20"/>
        </w:rPr>
        <w:t xml:space="preserve"> </w:t>
      </w:r>
      <w:r w:rsidR="006A2CEE">
        <w:rPr>
          <w:rFonts w:eastAsia="Calibri" w:cs="Arial"/>
          <w:szCs w:val="20"/>
        </w:rPr>
        <w:t xml:space="preserve">spremembi, </w:t>
      </w:r>
      <w:r w:rsidRPr="009F5032">
        <w:rPr>
          <w:rFonts w:eastAsia="Calibri" w:cs="Arial"/>
          <w:szCs w:val="20"/>
        </w:rPr>
        <w:t>naj</w:t>
      </w:r>
      <w:r w:rsidR="006A2CEE">
        <w:rPr>
          <w:rFonts w:eastAsia="Calibri" w:cs="Arial"/>
          <w:szCs w:val="20"/>
        </w:rPr>
        <w:t>pozneje</w:t>
      </w:r>
      <w:r w:rsidRPr="009F5032">
        <w:rPr>
          <w:rFonts w:eastAsia="Calibri" w:cs="Arial"/>
          <w:szCs w:val="20"/>
        </w:rPr>
        <w:t xml:space="preserve"> pa ob pripravi letnega razporeda za naslednje koledarsko leto. </w:t>
      </w:r>
    </w:p>
    <w:bookmarkEnd w:id="39"/>
    <w:p w:rsidR="00AE2155" w:rsidRPr="009F5032" w:rsidRDefault="00AE2155" w:rsidP="00B644CC">
      <w:pPr>
        <w:spacing w:line="288" w:lineRule="auto"/>
        <w:rPr>
          <w:rFonts w:eastAsia="Calibri" w:cs="Arial"/>
          <w:b/>
          <w:szCs w:val="20"/>
        </w:rPr>
      </w:pPr>
    </w:p>
    <w:p w:rsidR="00AE2155" w:rsidRPr="009F5032" w:rsidRDefault="00AE2155" w:rsidP="00B644CC">
      <w:pPr>
        <w:spacing w:line="288" w:lineRule="auto"/>
        <w:jc w:val="center"/>
        <w:rPr>
          <w:rFonts w:eastAsia="Calibri" w:cs="Arial"/>
          <w:b/>
          <w:szCs w:val="20"/>
        </w:rPr>
      </w:pPr>
      <w:bookmarkStart w:id="40" w:name="_Hlk33621188"/>
      <w:r>
        <w:rPr>
          <w:rFonts w:eastAsia="Calibri" w:cs="Arial"/>
          <w:b/>
          <w:szCs w:val="20"/>
        </w:rPr>
        <w:t>3</w:t>
      </w:r>
      <w:r w:rsidR="00F41FCE">
        <w:rPr>
          <w:rFonts w:eastAsia="Calibri" w:cs="Arial"/>
          <w:b/>
          <w:szCs w:val="20"/>
        </w:rPr>
        <w:t>2</w:t>
      </w:r>
      <w:r w:rsidRPr="009F5032">
        <w:rPr>
          <w:rFonts w:eastAsia="Calibri" w:cs="Arial"/>
          <w:b/>
          <w:szCs w:val="20"/>
        </w:rPr>
        <w:t>. člen</w:t>
      </w:r>
    </w:p>
    <w:p w:rsidR="00AE2155" w:rsidRPr="009F5032" w:rsidRDefault="00AE2155" w:rsidP="00B644CC">
      <w:pPr>
        <w:spacing w:line="288" w:lineRule="auto"/>
        <w:jc w:val="center"/>
        <w:rPr>
          <w:rFonts w:eastAsia="Calibri" w:cs="Arial"/>
          <w:b/>
          <w:szCs w:val="20"/>
        </w:rPr>
      </w:pPr>
      <w:r w:rsidRPr="009F5032">
        <w:rPr>
          <w:rFonts w:eastAsia="Calibri" w:cs="Arial"/>
          <w:b/>
          <w:szCs w:val="20"/>
        </w:rPr>
        <w:t>(dokončanje postopkov)</w:t>
      </w:r>
    </w:p>
    <w:p w:rsidR="00AE2155" w:rsidRPr="009F5032" w:rsidRDefault="00AE2155" w:rsidP="00B644CC">
      <w:pPr>
        <w:spacing w:line="288" w:lineRule="auto"/>
        <w:jc w:val="center"/>
        <w:rPr>
          <w:rFonts w:eastAsia="Calibri" w:cs="Arial"/>
          <w:b/>
          <w:szCs w:val="20"/>
        </w:rPr>
      </w:pPr>
    </w:p>
    <w:p w:rsidR="00BC25A3" w:rsidRDefault="00AE2155" w:rsidP="00B644CC">
      <w:pPr>
        <w:spacing w:line="288" w:lineRule="auto"/>
        <w:jc w:val="both"/>
        <w:rPr>
          <w:rFonts w:eastAsia="Calibri" w:cs="Arial"/>
          <w:szCs w:val="20"/>
        </w:rPr>
      </w:pPr>
      <w:r w:rsidRPr="009F5032">
        <w:rPr>
          <w:rFonts w:eastAsia="Calibri" w:cs="Arial"/>
          <w:szCs w:val="20"/>
        </w:rPr>
        <w:t xml:space="preserve">Postopki imenovanja nacionalnega predstavnika v </w:t>
      </w:r>
      <w:proofErr w:type="spellStart"/>
      <w:r w:rsidRPr="009F5032">
        <w:rPr>
          <w:rFonts w:eastAsia="Calibri" w:cs="Arial"/>
          <w:szCs w:val="20"/>
        </w:rPr>
        <w:t>Eurojustu</w:t>
      </w:r>
      <w:proofErr w:type="spellEnd"/>
      <w:r w:rsidRPr="009F5032">
        <w:rPr>
          <w:rFonts w:eastAsia="Calibri" w:cs="Arial"/>
          <w:szCs w:val="20"/>
        </w:rPr>
        <w:t xml:space="preserve">, njegovega namestnika ali  pomočnika, ki so bili začeti pred začetkom </w:t>
      </w:r>
      <w:r w:rsidR="006A2CEE">
        <w:rPr>
          <w:rFonts w:eastAsia="Calibri" w:cs="Arial"/>
          <w:szCs w:val="20"/>
        </w:rPr>
        <w:t>veljavnosti</w:t>
      </w:r>
      <w:r w:rsidRPr="009F5032">
        <w:rPr>
          <w:rFonts w:eastAsia="Calibri" w:cs="Arial"/>
          <w:szCs w:val="20"/>
        </w:rPr>
        <w:t xml:space="preserve"> tega zakona, se nadaljujejo in dokončajo po določbah Zakona o državnem tožilstvu (Uradni list RS, št. 58/11, 21/12 – ZDU-1F, 47/12, 15/13 – </w:t>
      </w:r>
      <w:proofErr w:type="spellStart"/>
      <w:r w:rsidRPr="00690F1F">
        <w:rPr>
          <w:rFonts w:eastAsia="Calibri" w:cs="Arial"/>
          <w:szCs w:val="20"/>
        </w:rPr>
        <w:t>ZODPol</w:t>
      </w:r>
      <w:proofErr w:type="spellEnd"/>
      <w:r w:rsidRPr="00690F1F">
        <w:rPr>
          <w:rFonts w:eastAsia="Calibri" w:cs="Arial"/>
          <w:szCs w:val="20"/>
        </w:rPr>
        <w:t xml:space="preserve">, 47/13 – ZDU-1G, 48/13 – ZSKZDČEU-1, 19/15, 23/17 – </w:t>
      </w:r>
      <w:proofErr w:type="spellStart"/>
      <w:r w:rsidRPr="00690F1F">
        <w:rPr>
          <w:rFonts w:eastAsia="Calibri" w:cs="Arial"/>
          <w:szCs w:val="20"/>
        </w:rPr>
        <w:t>ZSSve</w:t>
      </w:r>
      <w:proofErr w:type="spellEnd"/>
      <w:r w:rsidRPr="00690F1F">
        <w:rPr>
          <w:rFonts w:eastAsia="Calibri" w:cs="Arial"/>
          <w:szCs w:val="20"/>
        </w:rPr>
        <w:t xml:space="preserve"> in 36/19</w:t>
      </w:r>
      <w:r>
        <w:rPr>
          <w:rFonts w:eastAsia="Calibri" w:cs="Arial"/>
          <w:szCs w:val="20"/>
        </w:rPr>
        <w:t>).</w:t>
      </w:r>
    </w:p>
    <w:bookmarkEnd w:id="40"/>
    <w:p w:rsidR="00AE2155" w:rsidRDefault="00AE2155" w:rsidP="00D92A18">
      <w:pPr>
        <w:spacing w:line="288" w:lineRule="auto"/>
        <w:rPr>
          <w:rFonts w:eastAsia="Calibri" w:cs="Arial"/>
          <w:b/>
          <w:szCs w:val="20"/>
        </w:rPr>
      </w:pPr>
    </w:p>
    <w:p w:rsidR="00AE2155" w:rsidRPr="00EB2A42" w:rsidRDefault="00AE2155" w:rsidP="00B644CC">
      <w:pPr>
        <w:spacing w:line="288" w:lineRule="auto"/>
        <w:jc w:val="center"/>
        <w:rPr>
          <w:rFonts w:eastAsia="Calibri" w:cs="Arial"/>
          <w:b/>
          <w:szCs w:val="20"/>
        </w:rPr>
      </w:pPr>
      <w:r>
        <w:rPr>
          <w:rFonts w:eastAsia="Calibri" w:cs="Arial"/>
          <w:b/>
          <w:szCs w:val="20"/>
        </w:rPr>
        <w:lastRenderedPageBreak/>
        <w:t>3</w:t>
      </w:r>
      <w:r w:rsidR="00F41FCE">
        <w:rPr>
          <w:rFonts w:eastAsia="Calibri" w:cs="Arial"/>
          <w:b/>
          <w:szCs w:val="20"/>
        </w:rPr>
        <w:t>3</w:t>
      </w:r>
      <w:r w:rsidRPr="00EB2A42">
        <w:rPr>
          <w:rFonts w:eastAsia="Calibri" w:cs="Arial"/>
          <w:b/>
          <w:szCs w:val="20"/>
        </w:rPr>
        <w:t>. člen</w:t>
      </w:r>
      <w:r>
        <w:rPr>
          <w:rFonts w:eastAsia="Calibri" w:cs="Arial"/>
          <w:b/>
          <w:szCs w:val="20"/>
        </w:rPr>
        <w:t xml:space="preserve"> </w:t>
      </w:r>
    </w:p>
    <w:p w:rsidR="00AE2155" w:rsidRPr="00EB2A42" w:rsidRDefault="00AE2155" w:rsidP="00B644CC">
      <w:pPr>
        <w:spacing w:line="288" w:lineRule="auto"/>
        <w:jc w:val="center"/>
        <w:rPr>
          <w:rFonts w:eastAsia="Calibri" w:cs="Arial"/>
          <w:b/>
          <w:szCs w:val="20"/>
        </w:rPr>
      </w:pPr>
      <w:r w:rsidRPr="00EB2A42">
        <w:rPr>
          <w:rFonts w:eastAsia="Calibri" w:cs="Arial"/>
          <w:b/>
          <w:szCs w:val="20"/>
        </w:rPr>
        <w:t>(začetek veljavnosti)</w:t>
      </w:r>
    </w:p>
    <w:p w:rsidR="00AE2155" w:rsidRPr="00EB2A42" w:rsidRDefault="00AE2155" w:rsidP="00B644CC">
      <w:pPr>
        <w:spacing w:line="288" w:lineRule="auto"/>
        <w:jc w:val="both"/>
        <w:rPr>
          <w:rFonts w:eastAsia="Calibri" w:cs="Arial"/>
          <w:szCs w:val="20"/>
        </w:rPr>
      </w:pPr>
    </w:p>
    <w:p w:rsidR="00AE2155" w:rsidRPr="00EB2A42" w:rsidRDefault="00AE2155" w:rsidP="00B644CC">
      <w:pPr>
        <w:spacing w:line="288" w:lineRule="auto"/>
        <w:jc w:val="both"/>
        <w:rPr>
          <w:rFonts w:eastAsia="Calibri" w:cs="Arial"/>
          <w:szCs w:val="20"/>
        </w:rPr>
      </w:pPr>
      <w:r w:rsidRPr="00EB2A42">
        <w:rPr>
          <w:rFonts w:eastAsia="Calibri" w:cs="Arial"/>
          <w:szCs w:val="20"/>
        </w:rPr>
        <w:t>Ta zakon začne veljati petnajsti dan po objavi v Uradnem listu Republike Slovenije.</w:t>
      </w:r>
    </w:p>
    <w:p w:rsidR="00AE2155" w:rsidRPr="00864A30" w:rsidRDefault="00AE2155" w:rsidP="00B644CC">
      <w:pPr>
        <w:spacing w:line="288" w:lineRule="auto"/>
        <w:jc w:val="both"/>
        <w:rPr>
          <w:rFonts w:eastAsia="Calibri" w:cs="Calibri"/>
          <w:sz w:val="24"/>
        </w:rPr>
      </w:pPr>
    </w:p>
    <w:p w:rsidR="00AE2155" w:rsidRPr="00E60BAA" w:rsidRDefault="00AE2155" w:rsidP="00B644CC">
      <w:pPr>
        <w:spacing w:line="288" w:lineRule="auto"/>
        <w:jc w:val="both"/>
        <w:rPr>
          <w:rFonts w:cs="Arial"/>
          <w:b/>
          <w:color w:val="000000"/>
          <w:szCs w:val="20"/>
          <w:shd w:val="clear" w:color="auto" w:fill="FFFFFF"/>
        </w:rPr>
      </w:pPr>
    </w:p>
    <w:p w:rsidR="00AE2155" w:rsidRDefault="00AE2155" w:rsidP="00B644CC">
      <w:pPr>
        <w:spacing w:line="288" w:lineRule="auto"/>
        <w:jc w:val="both"/>
        <w:rPr>
          <w:rFonts w:cs="Arial"/>
          <w:b/>
          <w:szCs w:val="20"/>
        </w:rPr>
      </w:pPr>
      <w:r>
        <w:rPr>
          <w:rFonts w:cs="Arial"/>
          <w:b/>
          <w:szCs w:val="20"/>
        </w:rPr>
        <w:br w:type="page"/>
      </w:r>
      <w:r w:rsidRPr="00E60BAA">
        <w:rPr>
          <w:rFonts w:cs="Arial"/>
          <w:b/>
          <w:szCs w:val="20"/>
        </w:rPr>
        <w:lastRenderedPageBreak/>
        <w:t>III. OBRAZLOŽITEV</w:t>
      </w:r>
    </w:p>
    <w:p w:rsidR="00AE2155" w:rsidRPr="00B226C4" w:rsidRDefault="00AE2155" w:rsidP="00B644CC">
      <w:pPr>
        <w:spacing w:line="288" w:lineRule="auto"/>
        <w:jc w:val="both"/>
        <w:rPr>
          <w:rFonts w:cs="Arial"/>
          <w:b/>
          <w:szCs w:val="20"/>
        </w:rPr>
      </w:pPr>
    </w:p>
    <w:p w:rsidR="00AE2155" w:rsidRPr="007378F8" w:rsidRDefault="00AE2155" w:rsidP="00B644CC">
      <w:pPr>
        <w:spacing w:line="288" w:lineRule="auto"/>
        <w:jc w:val="both"/>
        <w:rPr>
          <w:b/>
          <w:szCs w:val="20"/>
        </w:rPr>
      </w:pPr>
      <w:r w:rsidRPr="007378F8">
        <w:rPr>
          <w:b/>
          <w:szCs w:val="20"/>
        </w:rPr>
        <w:t>K 1. členu</w:t>
      </w:r>
    </w:p>
    <w:p w:rsidR="00AE2155" w:rsidRDefault="00AE2155" w:rsidP="00B644CC">
      <w:pPr>
        <w:spacing w:line="288" w:lineRule="auto"/>
        <w:jc w:val="both"/>
        <w:rPr>
          <w:szCs w:val="20"/>
        </w:rPr>
      </w:pPr>
      <w:r>
        <w:rPr>
          <w:szCs w:val="20"/>
        </w:rPr>
        <w:t xml:space="preserve">S predlagano določbo se </w:t>
      </w:r>
      <w:r w:rsidR="00022DDF">
        <w:rPr>
          <w:szCs w:val="20"/>
        </w:rPr>
        <w:t>podrobneje pojasni</w:t>
      </w:r>
      <w:r>
        <w:rPr>
          <w:szCs w:val="20"/>
        </w:rPr>
        <w:t xml:space="preserve"> napovedna določba 1.a člena ZDT-1 tako, da se izrecno določa</w:t>
      </w:r>
      <w:r w:rsidR="00022DDF">
        <w:rPr>
          <w:szCs w:val="20"/>
        </w:rPr>
        <w:t>jo</w:t>
      </w:r>
      <w:r>
        <w:rPr>
          <w:szCs w:val="20"/>
        </w:rPr>
        <w:t xml:space="preserve"> institut</w:t>
      </w:r>
      <w:r w:rsidR="00022DDF">
        <w:rPr>
          <w:szCs w:val="20"/>
        </w:rPr>
        <w:t>i,</w:t>
      </w:r>
      <w:r w:rsidRPr="006666AD">
        <w:rPr>
          <w:szCs w:val="20"/>
        </w:rPr>
        <w:t xml:space="preserve"> povezan</w:t>
      </w:r>
      <w:r>
        <w:rPr>
          <w:szCs w:val="20"/>
        </w:rPr>
        <w:t>i</w:t>
      </w:r>
      <w:r w:rsidRPr="006666AD">
        <w:rPr>
          <w:szCs w:val="20"/>
        </w:rPr>
        <w:t xml:space="preserve"> z imenovanjem evropskega tožilca in evropskega delegiranega tožilca oziroma</w:t>
      </w:r>
      <w:r>
        <w:rPr>
          <w:szCs w:val="20"/>
        </w:rPr>
        <w:t xml:space="preserve"> nacionalnega predstavnika v </w:t>
      </w:r>
      <w:proofErr w:type="spellStart"/>
      <w:r>
        <w:rPr>
          <w:szCs w:val="20"/>
        </w:rPr>
        <w:t>Eurojustu</w:t>
      </w:r>
      <w:proofErr w:type="spellEnd"/>
      <w:r>
        <w:rPr>
          <w:szCs w:val="20"/>
        </w:rPr>
        <w:t>, njegovega namestnika in pomočnika</w:t>
      </w:r>
      <w:r w:rsidRPr="006666AD">
        <w:rPr>
          <w:szCs w:val="20"/>
        </w:rPr>
        <w:t xml:space="preserve">. Iz obsega urejanja v tem zakonu je izpuščena zlasti problematika procesnopravne ureditve delovanja Evropskega javnega tožilca (EJT) kot organa pregona z </w:t>
      </w:r>
      <w:r w:rsidR="00022DDF" w:rsidRPr="00BB3D7A">
        <w:rPr>
          <w:rFonts w:eastAsia="Calibri" w:cs="Arial"/>
          <w:szCs w:val="20"/>
        </w:rPr>
        <w:t>Uredb</w:t>
      </w:r>
      <w:r w:rsidR="00022DDF">
        <w:rPr>
          <w:rFonts w:eastAsia="Calibri" w:cs="Arial"/>
          <w:szCs w:val="20"/>
        </w:rPr>
        <w:t>o</w:t>
      </w:r>
      <w:r w:rsidR="00022DDF" w:rsidRPr="00BB3D7A">
        <w:rPr>
          <w:rFonts w:eastAsia="Calibri" w:cs="Arial"/>
          <w:szCs w:val="20"/>
        </w:rPr>
        <w:t xml:space="preserve"> 2017/1939/EU</w:t>
      </w:r>
      <w:r w:rsidRPr="006666AD">
        <w:rPr>
          <w:szCs w:val="20"/>
        </w:rPr>
        <w:t xml:space="preserve"> določenih kaznivih dejanj, zato je besedilo napovedne</w:t>
      </w:r>
      <w:r>
        <w:rPr>
          <w:szCs w:val="20"/>
        </w:rPr>
        <w:t xml:space="preserve"> določbe spremenjeno. </w:t>
      </w:r>
      <w:r w:rsidRPr="006666AD">
        <w:rPr>
          <w:szCs w:val="20"/>
        </w:rPr>
        <w:t xml:space="preserve">Iz določb </w:t>
      </w:r>
      <w:r w:rsidR="00022DDF" w:rsidRPr="00BB3D7A">
        <w:rPr>
          <w:rFonts w:eastAsia="Calibri" w:cs="Arial"/>
          <w:szCs w:val="20"/>
        </w:rPr>
        <w:t>Uredb</w:t>
      </w:r>
      <w:r w:rsidR="00022DDF">
        <w:rPr>
          <w:rFonts w:eastAsia="Calibri" w:cs="Arial"/>
          <w:szCs w:val="20"/>
        </w:rPr>
        <w:t>e</w:t>
      </w:r>
      <w:r w:rsidR="00022DDF" w:rsidRPr="00BB3D7A">
        <w:rPr>
          <w:rFonts w:eastAsia="Calibri" w:cs="Arial"/>
          <w:szCs w:val="20"/>
        </w:rPr>
        <w:t xml:space="preserve"> 2017/1939/EU</w:t>
      </w:r>
      <w:r w:rsidRPr="006666AD">
        <w:rPr>
          <w:szCs w:val="20"/>
        </w:rPr>
        <w:t xml:space="preserve">, ki se nanašajo na postopkovna pravila o preiskavah, preiskovalnih ukrepih, pregonu in alternativnih ukrepih namesto pregona, je namreč razvidno, da so nekatera vprašanja delovanja Evropskega javnega tožilstva (EJT) odvisna od </w:t>
      </w:r>
      <w:r w:rsidR="00022DDF">
        <w:rPr>
          <w:szCs w:val="20"/>
        </w:rPr>
        <w:t xml:space="preserve">notranje </w:t>
      </w:r>
      <w:r w:rsidRPr="006666AD">
        <w:rPr>
          <w:szCs w:val="20"/>
        </w:rPr>
        <w:t>zakonodaje držav članic E</w:t>
      </w:r>
      <w:r>
        <w:rPr>
          <w:szCs w:val="20"/>
        </w:rPr>
        <w:t>U.</w:t>
      </w:r>
    </w:p>
    <w:p w:rsidR="00AE2155" w:rsidRDefault="00AE2155" w:rsidP="00B644CC">
      <w:pPr>
        <w:spacing w:line="288" w:lineRule="auto"/>
        <w:jc w:val="both"/>
        <w:rPr>
          <w:szCs w:val="20"/>
        </w:rPr>
      </w:pPr>
    </w:p>
    <w:p w:rsidR="00F8591D" w:rsidRDefault="00AE2155" w:rsidP="00B644CC">
      <w:pPr>
        <w:spacing w:line="288" w:lineRule="auto"/>
        <w:jc w:val="both"/>
        <w:rPr>
          <w:b/>
          <w:szCs w:val="20"/>
        </w:rPr>
      </w:pPr>
      <w:r w:rsidRPr="007378F8">
        <w:rPr>
          <w:b/>
          <w:szCs w:val="20"/>
        </w:rPr>
        <w:t xml:space="preserve">K </w:t>
      </w:r>
      <w:r w:rsidR="00F8591D">
        <w:rPr>
          <w:b/>
          <w:szCs w:val="20"/>
        </w:rPr>
        <w:t>2. členu</w:t>
      </w:r>
    </w:p>
    <w:p w:rsidR="00D92A18" w:rsidRDefault="00F8591D" w:rsidP="00B644CC">
      <w:pPr>
        <w:spacing w:line="288" w:lineRule="auto"/>
        <w:jc w:val="both"/>
        <w:rPr>
          <w:bCs/>
          <w:szCs w:val="20"/>
        </w:rPr>
      </w:pPr>
      <w:r w:rsidRPr="00F8591D">
        <w:rPr>
          <w:bCs/>
          <w:szCs w:val="20"/>
        </w:rPr>
        <w:t>Z novim Zakonom o državnem odvetništvu</w:t>
      </w:r>
      <w:r>
        <w:rPr>
          <w:bCs/>
          <w:szCs w:val="20"/>
        </w:rPr>
        <w:t xml:space="preserve"> (</w:t>
      </w:r>
      <w:r w:rsidR="008F77DD">
        <w:rPr>
          <w:bCs/>
          <w:szCs w:val="20"/>
        </w:rPr>
        <w:t xml:space="preserve">Uradni list RS, št. 23/17; </w:t>
      </w:r>
      <w:r w:rsidR="00022DDF">
        <w:rPr>
          <w:bCs/>
          <w:szCs w:val="20"/>
        </w:rPr>
        <w:t xml:space="preserve">v nadaljnjem besedilu: </w:t>
      </w:r>
      <w:proofErr w:type="spellStart"/>
      <w:r>
        <w:rPr>
          <w:bCs/>
          <w:szCs w:val="20"/>
        </w:rPr>
        <w:t>ZDOdv</w:t>
      </w:r>
      <w:proofErr w:type="spellEnd"/>
      <w:r>
        <w:rPr>
          <w:bCs/>
          <w:szCs w:val="20"/>
        </w:rPr>
        <w:t>)</w:t>
      </w:r>
      <w:r w:rsidRPr="00F8591D">
        <w:rPr>
          <w:bCs/>
          <w:szCs w:val="20"/>
        </w:rPr>
        <w:t xml:space="preserve"> </w:t>
      </w:r>
      <w:r>
        <w:rPr>
          <w:bCs/>
          <w:szCs w:val="20"/>
        </w:rPr>
        <w:t xml:space="preserve">je </w:t>
      </w:r>
      <w:r w:rsidR="00022DDF">
        <w:rPr>
          <w:bCs/>
          <w:szCs w:val="20"/>
        </w:rPr>
        <w:t>d</w:t>
      </w:r>
      <w:r w:rsidRPr="00F8591D">
        <w:rPr>
          <w:bCs/>
          <w:szCs w:val="20"/>
        </w:rPr>
        <w:t>ržavno odvetništvo</w:t>
      </w:r>
      <w:r>
        <w:rPr>
          <w:bCs/>
          <w:szCs w:val="20"/>
        </w:rPr>
        <w:t xml:space="preserve"> </w:t>
      </w:r>
      <w:r w:rsidRPr="00F8591D">
        <w:rPr>
          <w:bCs/>
          <w:szCs w:val="20"/>
        </w:rPr>
        <w:t xml:space="preserve">prevzelo vse pristojnosti </w:t>
      </w:r>
      <w:r w:rsidR="00022DDF">
        <w:rPr>
          <w:bCs/>
          <w:szCs w:val="20"/>
        </w:rPr>
        <w:t>d</w:t>
      </w:r>
      <w:r w:rsidRPr="00F8591D">
        <w:rPr>
          <w:bCs/>
          <w:szCs w:val="20"/>
        </w:rPr>
        <w:t xml:space="preserve">ržavnega pravobranilstva, pravice in obveznosti, funkcionarje in javne uslužbence, zaposlene v </w:t>
      </w:r>
      <w:r w:rsidR="00022DDF">
        <w:rPr>
          <w:bCs/>
          <w:szCs w:val="20"/>
        </w:rPr>
        <w:t>d</w:t>
      </w:r>
      <w:r w:rsidRPr="00F8591D">
        <w:rPr>
          <w:bCs/>
          <w:szCs w:val="20"/>
        </w:rPr>
        <w:t xml:space="preserve">ržavnem pravobranilstvu, finančna sredstva, premično in nepremično premoženje ter dokumentarno in arhivsko gradivo </w:t>
      </w:r>
      <w:r w:rsidR="00022DDF">
        <w:rPr>
          <w:bCs/>
          <w:szCs w:val="20"/>
        </w:rPr>
        <w:t>d</w:t>
      </w:r>
      <w:r w:rsidRPr="00F8591D">
        <w:rPr>
          <w:bCs/>
          <w:szCs w:val="20"/>
        </w:rPr>
        <w:t>ržavnega pravobranilstva.</w:t>
      </w:r>
      <w:r>
        <w:rPr>
          <w:bCs/>
          <w:szCs w:val="20"/>
        </w:rPr>
        <w:t xml:space="preserve"> </w:t>
      </w:r>
      <w:proofErr w:type="spellStart"/>
      <w:r>
        <w:rPr>
          <w:bCs/>
          <w:szCs w:val="20"/>
        </w:rPr>
        <w:t>ZDOdv</w:t>
      </w:r>
      <w:proofErr w:type="spellEnd"/>
      <w:r>
        <w:rPr>
          <w:bCs/>
          <w:szCs w:val="20"/>
        </w:rPr>
        <w:t xml:space="preserve"> je s</w:t>
      </w:r>
      <w:r w:rsidRPr="00F8591D">
        <w:rPr>
          <w:bCs/>
          <w:szCs w:val="20"/>
        </w:rPr>
        <w:t xml:space="preserve"> prehodno določbo preimenova</w:t>
      </w:r>
      <w:r>
        <w:rPr>
          <w:bCs/>
          <w:szCs w:val="20"/>
        </w:rPr>
        <w:t xml:space="preserve">l izraze </w:t>
      </w:r>
      <w:r w:rsidRPr="00F8591D">
        <w:rPr>
          <w:bCs/>
          <w:szCs w:val="20"/>
        </w:rPr>
        <w:t>»</w:t>
      </w:r>
      <w:r w:rsidR="00022DDF">
        <w:rPr>
          <w:bCs/>
          <w:szCs w:val="20"/>
        </w:rPr>
        <w:t>d</w:t>
      </w:r>
      <w:r w:rsidRPr="00F8591D">
        <w:rPr>
          <w:bCs/>
          <w:szCs w:val="20"/>
        </w:rPr>
        <w:t>ržavn</w:t>
      </w:r>
      <w:r>
        <w:rPr>
          <w:bCs/>
          <w:szCs w:val="20"/>
        </w:rPr>
        <w:t>o</w:t>
      </w:r>
      <w:r w:rsidRPr="00F8591D">
        <w:rPr>
          <w:bCs/>
          <w:szCs w:val="20"/>
        </w:rPr>
        <w:t xml:space="preserve"> pravobranilstv</w:t>
      </w:r>
      <w:r>
        <w:rPr>
          <w:bCs/>
          <w:szCs w:val="20"/>
        </w:rPr>
        <w:t>o</w:t>
      </w:r>
      <w:r w:rsidRPr="00F8591D">
        <w:rPr>
          <w:bCs/>
          <w:szCs w:val="20"/>
        </w:rPr>
        <w:t>«, »generaln</w:t>
      </w:r>
      <w:r>
        <w:rPr>
          <w:bCs/>
          <w:szCs w:val="20"/>
        </w:rPr>
        <w:t>i</w:t>
      </w:r>
      <w:r w:rsidRPr="00F8591D">
        <w:rPr>
          <w:bCs/>
          <w:szCs w:val="20"/>
        </w:rPr>
        <w:t xml:space="preserve"> državn</w:t>
      </w:r>
      <w:r>
        <w:rPr>
          <w:bCs/>
          <w:szCs w:val="20"/>
        </w:rPr>
        <w:t>i</w:t>
      </w:r>
      <w:r w:rsidRPr="00F8591D">
        <w:rPr>
          <w:bCs/>
          <w:szCs w:val="20"/>
        </w:rPr>
        <w:t xml:space="preserve"> pravobranil</w:t>
      </w:r>
      <w:r>
        <w:rPr>
          <w:bCs/>
          <w:szCs w:val="20"/>
        </w:rPr>
        <w:t>ec</w:t>
      </w:r>
      <w:r w:rsidRPr="00F8591D">
        <w:rPr>
          <w:bCs/>
          <w:szCs w:val="20"/>
        </w:rPr>
        <w:t>« ter »državn</w:t>
      </w:r>
      <w:r w:rsidR="00022DDF">
        <w:rPr>
          <w:bCs/>
          <w:szCs w:val="20"/>
        </w:rPr>
        <w:t>i</w:t>
      </w:r>
      <w:r w:rsidRPr="00F8591D">
        <w:rPr>
          <w:bCs/>
          <w:szCs w:val="20"/>
        </w:rPr>
        <w:t xml:space="preserve"> pravobranilc</w:t>
      </w:r>
      <w:r w:rsidR="00022DDF">
        <w:rPr>
          <w:bCs/>
          <w:szCs w:val="20"/>
        </w:rPr>
        <w:t>i</w:t>
      </w:r>
      <w:r w:rsidRPr="00F8591D">
        <w:rPr>
          <w:bCs/>
          <w:szCs w:val="20"/>
        </w:rPr>
        <w:t xml:space="preserve">, </w:t>
      </w:r>
      <w:r>
        <w:rPr>
          <w:bCs/>
          <w:szCs w:val="20"/>
        </w:rPr>
        <w:t xml:space="preserve">in </w:t>
      </w:r>
      <w:r w:rsidRPr="00F8591D">
        <w:rPr>
          <w:bCs/>
          <w:szCs w:val="20"/>
        </w:rPr>
        <w:t>»pomočnik</w:t>
      </w:r>
      <w:r w:rsidR="00022DDF">
        <w:rPr>
          <w:bCs/>
          <w:szCs w:val="20"/>
        </w:rPr>
        <w:t>i</w:t>
      </w:r>
      <w:r w:rsidRPr="00F8591D">
        <w:rPr>
          <w:bCs/>
          <w:szCs w:val="20"/>
        </w:rPr>
        <w:t xml:space="preserve"> državnih pravobranilcev« v drugih zakonih in podzakonskih aktih v državno odvetništvo, generalnega državnega odvetnika ter višje državne odvetnike in državne odvetnike. </w:t>
      </w:r>
    </w:p>
    <w:p w:rsidR="00D92A18" w:rsidRDefault="00D92A18" w:rsidP="00B644CC">
      <w:pPr>
        <w:spacing w:line="288" w:lineRule="auto"/>
        <w:jc w:val="both"/>
        <w:rPr>
          <w:bCs/>
          <w:szCs w:val="20"/>
        </w:rPr>
      </w:pPr>
    </w:p>
    <w:p w:rsidR="00F8591D" w:rsidRDefault="00D92A18" w:rsidP="00B644CC">
      <w:pPr>
        <w:spacing w:line="288" w:lineRule="auto"/>
        <w:jc w:val="both"/>
        <w:rPr>
          <w:bCs/>
          <w:szCs w:val="20"/>
        </w:rPr>
      </w:pPr>
      <w:r>
        <w:rPr>
          <w:szCs w:val="20"/>
        </w:rPr>
        <w:t xml:space="preserve">Ne glede na določbo 100. člena </w:t>
      </w:r>
      <w:proofErr w:type="spellStart"/>
      <w:r>
        <w:rPr>
          <w:szCs w:val="20"/>
        </w:rPr>
        <w:t>ZDOdv</w:t>
      </w:r>
      <w:proofErr w:type="spellEnd"/>
      <w:r>
        <w:rPr>
          <w:szCs w:val="20"/>
        </w:rPr>
        <w:t xml:space="preserve">, ki sicer določa uporabo izrazov v drugih zakonih, da </w:t>
      </w:r>
      <w:r w:rsidRPr="00EC506D">
        <w:rPr>
          <w:szCs w:val="20"/>
        </w:rPr>
        <w:t>izraz »državno pravobranilstvo« ali »pravobranilstvo« v katerem</w:t>
      </w:r>
      <w:r w:rsidR="00022DDF">
        <w:rPr>
          <w:szCs w:val="20"/>
        </w:rPr>
        <w:t xml:space="preserve"> </w:t>
      </w:r>
      <w:r w:rsidRPr="00EC506D">
        <w:rPr>
          <w:szCs w:val="20"/>
        </w:rPr>
        <w:t>koli sklonu pomeni  državno odvetništvo v uporabljenem sklonu</w:t>
      </w:r>
      <w:r>
        <w:rPr>
          <w:szCs w:val="20"/>
        </w:rPr>
        <w:t xml:space="preserve">, se </w:t>
      </w:r>
      <w:r w:rsidR="00022DDF">
        <w:rPr>
          <w:szCs w:val="20"/>
        </w:rPr>
        <w:t xml:space="preserve">ti izrazi </w:t>
      </w:r>
      <w:r>
        <w:rPr>
          <w:szCs w:val="20"/>
        </w:rPr>
        <w:t xml:space="preserve">s </w:t>
      </w:r>
      <w:r>
        <w:rPr>
          <w:bCs/>
          <w:szCs w:val="20"/>
        </w:rPr>
        <w:t>pre</w:t>
      </w:r>
      <w:r w:rsidR="008F77DD">
        <w:rPr>
          <w:bCs/>
          <w:szCs w:val="20"/>
        </w:rPr>
        <w:t>d</w:t>
      </w:r>
      <w:r>
        <w:rPr>
          <w:bCs/>
          <w:szCs w:val="20"/>
        </w:rPr>
        <w:t xml:space="preserve">lagano spremembo  </w:t>
      </w:r>
      <w:r>
        <w:rPr>
          <w:szCs w:val="20"/>
        </w:rPr>
        <w:t xml:space="preserve">določbe ZDT-1 usklajujejo z novo ureditvijo državnega odvetništva. </w:t>
      </w:r>
    </w:p>
    <w:p w:rsidR="00D92A18" w:rsidRDefault="00D92A18" w:rsidP="00B644CC">
      <w:pPr>
        <w:spacing w:line="288" w:lineRule="auto"/>
        <w:jc w:val="both"/>
        <w:rPr>
          <w:b/>
          <w:szCs w:val="20"/>
        </w:rPr>
      </w:pPr>
    </w:p>
    <w:p w:rsidR="00AE2155" w:rsidRPr="007378F8" w:rsidRDefault="00C671C8" w:rsidP="00B644CC">
      <w:pPr>
        <w:spacing w:line="288" w:lineRule="auto"/>
        <w:jc w:val="both"/>
        <w:rPr>
          <w:b/>
          <w:szCs w:val="20"/>
        </w:rPr>
      </w:pPr>
      <w:r>
        <w:rPr>
          <w:b/>
          <w:szCs w:val="20"/>
        </w:rPr>
        <w:t>K 3.</w:t>
      </w:r>
      <w:r w:rsidR="00AE2155" w:rsidRPr="007378F8">
        <w:rPr>
          <w:b/>
          <w:szCs w:val="20"/>
        </w:rPr>
        <w:t xml:space="preserve"> členu</w:t>
      </w:r>
    </w:p>
    <w:p w:rsidR="00AE2155" w:rsidRDefault="00AE2155" w:rsidP="00B644CC">
      <w:pPr>
        <w:spacing w:line="288" w:lineRule="auto"/>
        <w:jc w:val="both"/>
        <w:rPr>
          <w:szCs w:val="20"/>
        </w:rPr>
      </w:pPr>
      <w:r w:rsidRPr="00DB5CCB">
        <w:rPr>
          <w:szCs w:val="20"/>
        </w:rPr>
        <w:t xml:space="preserve">V petem odstavku </w:t>
      </w:r>
      <w:r>
        <w:rPr>
          <w:szCs w:val="20"/>
        </w:rPr>
        <w:t xml:space="preserve">veljavnega 44. člena se predlaga črtanje dolžnosti vodje državnega tožilstva, da na zahtevo ministrstva ali generalnega državnega tožilca posreduje evidenco o opravljanju pripravljenosti in dežurstva. Evidenca obsega ime državnega tožilca, trajanje pripravljenosti oziroma dežurstva, opravljeno dejanje oziroma usmerjanje. Ker vsebuje podatke, ki se nanašajo na izvajanje funkcije pregona in na konkretne kazenske zadeve, določba lahko pomeni poseg v samostojnost državnega tožilca pri opravljanju funkcije pregona, zato se </w:t>
      </w:r>
      <w:r w:rsidRPr="00DB5CCB">
        <w:rPr>
          <w:szCs w:val="20"/>
        </w:rPr>
        <w:t>predlaga</w:t>
      </w:r>
      <w:r>
        <w:rPr>
          <w:szCs w:val="20"/>
        </w:rPr>
        <w:t xml:space="preserve"> njeno</w:t>
      </w:r>
      <w:r w:rsidRPr="00DB5CCB">
        <w:rPr>
          <w:szCs w:val="20"/>
        </w:rPr>
        <w:t xml:space="preserve"> črtanje</w:t>
      </w:r>
      <w:r>
        <w:rPr>
          <w:szCs w:val="20"/>
        </w:rPr>
        <w:t xml:space="preserve">. Tudi nadzorne pristojnosti izvršilne veje oblasti so usmerjene </w:t>
      </w:r>
      <w:r w:rsidR="00022DDF">
        <w:rPr>
          <w:szCs w:val="20"/>
        </w:rPr>
        <w:t>le</w:t>
      </w:r>
      <w:r>
        <w:rPr>
          <w:szCs w:val="20"/>
        </w:rPr>
        <w:t xml:space="preserve"> v </w:t>
      </w:r>
      <w:r w:rsidRPr="00DB5CCB">
        <w:rPr>
          <w:szCs w:val="20"/>
        </w:rPr>
        <w:t>poslovanj</w:t>
      </w:r>
      <w:r>
        <w:rPr>
          <w:szCs w:val="20"/>
        </w:rPr>
        <w:t>e</w:t>
      </w:r>
      <w:r w:rsidRPr="00DB5CCB">
        <w:rPr>
          <w:szCs w:val="20"/>
        </w:rPr>
        <w:t xml:space="preserve"> državnega tožilstva, števil</w:t>
      </w:r>
      <w:r>
        <w:rPr>
          <w:szCs w:val="20"/>
        </w:rPr>
        <w:t>o</w:t>
      </w:r>
      <w:r w:rsidRPr="00DB5CCB">
        <w:rPr>
          <w:szCs w:val="20"/>
        </w:rPr>
        <w:t xml:space="preserve"> državnih tožilcev in proračun, nikakor pa ne v nadzor dela državnih tožilcev in s tem </w:t>
      </w:r>
      <w:r>
        <w:rPr>
          <w:szCs w:val="20"/>
        </w:rPr>
        <w:t xml:space="preserve">v </w:t>
      </w:r>
      <w:r w:rsidRPr="00DB5CCB">
        <w:rPr>
          <w:szCs w:val="20"/>
        </w:rPr>
        <w:t>temeljn</w:t>
      </w:r>
      <w:r>
        <w:rPr>
          <w:szCs w:val="20"/>
        </w:rPr>
        <w:t>o</w:t>
      </w:r>
      <w:r w:rsidRPr="00DB5CCB">
        <w:rPr>
          <w:szCs w:val="20"/>
        </w:rPr>
        <w:t xml:space="preserve"> funkcij</w:t>
      </w:r>
      <w:r>
        <w:rPr>
          <w:szCs w:val="20"/>
        </w:rPr>
        <w:t>o</w:t>
      </w:r>
      <w:r w:rsidRPr="00DB5CCB">
        <w:rPr>
          <w:szCs w:val="20"/>
        </w:rPr>
        <w:t xml:space="preserve"> pregona kaznivih dejanj</w:t>
      </w:r>
      <w:r>
        <w:rPr>
          <w:szCs w:val="20"/>
        </w:rPr>
        <w:t xml:space="preserve">. V okviru </w:t>
      </w:r>
      <w:r w:rsidRPr="00504371">
        <w:rPr>
          <w:szCs w:val="20"/>
        </w:rPr>
        <w:t xml:space="preserve">pravosodne uprave lahko ministrstvo za namene izvrševanja svojih pristojnosti po 158. členu </w:t>
      </w:r>
      <w:r>
        <w:rPr>
          <w:szCs w:val="20"/>
        </w:rPr>
        <w:t xml:space="preserve">ZDT-1 od državnih tožilstev zahteva pojasnila, podatke (tudi o opravljanju dežurne službe), poročila, </w:t>
      </w:r>
      <w:r w:rsidRPr="00741C3C">
        <w:rPr>
          <w:szCs w:val="20"/>
        </w:rPr>
        <w:t xml:space="preserve">v prostorih državnega tožilstva lahko vpogleda v spise ter od državnih tožilstev zahteva izpise iz vpisnikov in drugo dokumentacijo, ki se nanaša na izvrševanje posamezne zadeve ali vrste zadev </w:t>
      </w:r>
      <w:proofErr w:type="spellStart"/>
      <w:r w:rsidRPr="00741C3C">
        <w:rPr>
          <w:szCs w:val="20"/>
        </w:rPr>
        <w:t>državnotožilske</w:t>
      </w:r>
      <w:proofErr w:type="spellEnd"/>
      <w:r w:rsidRPr="00741C3C">
        <w:rPr>
          <w:szCs w:val="20"/>
        </w:rPr>
        <w:t xml:space="preserve"> uprave.</w:t>
      </w:r>
      <w:r>
        <w:rPr>
          <w:szCs w:val="20"/>
        </w:rPr>
        <w:t xml:space="preserve"> Generalni državni tožilec pa lahko navedene podatke zahteva v okviru izvajanja nalog </w:t>
      </w:r>
      <w:proofErr w:type="spellStart"/>
      <w:r>
        <w:rPr>
          <w:szCs w:val="20"/>
        </w:rPr>
        <w:t>državnotožilske</w:t>
      </w:r>
      <w:proofErr w:type="spellEnd"/>
      <w:r>
        <w:rPr>
          <w:szCs w:val="20"/>
        </w:rPr>
        <w:t xml:space="preserve"> uprave.</w:t>
      </w:r>
    </w:p>
    <w:p w:rsidR="00AE2155" w:rsidRDefault="00AE2155" w:rsidP="00B644CC">
      <w:pPr>
        <w:spacing w:line="288" w:lineRule="auto"/>
        <w:jc w:val="both"/>
        <w:rPr>
          <w:szCs w:val="20"/>
        </w:rPr>
      </w:pPr>
    </w:p>
    <w:p w:rsidR="00AE2155" w:rsidRDefault="00AE2155" w:rsidP="00B644CC">
      <w:pPr>
        <w:spacing w:line="288" w:lineRule="auto"/>
        <w:jc w:val="both"/>
        <w:rPr>
          <w:rFonts w:eastAsia="Calibri" w:cs="Arial"/>
          <w:b/>
          <w:szCs w:val="20"/>
        </w:rPr>
      </w:pPr>
      <w:r w:rsidRPr="00741C3C">
        <w:rPr>
          <w:rFonts w:eastAsia="Calibri" w:cs="Arial"/>
          <w:b/>
          <w:szCs w:val="20"/>
        </w:rPr>
        <w:t xml:space="preserve">K </w:t>
      </w:r>
      <w:r w:rsidR="00C671C8">
        <w:rPr>
          <w:rFonts w:eastAsia="Calibri" w:cs="Arial"/>
          <w:b/>
          <w:szCs w:val="20"/>
        </w:rPr>
        <w:t>4</w:t>
      </w:r>
      <w:r w:rsidRPr="00741C3C">
        <w:rPr>
          <w:rFonts w:eastAsia="Calibri" w:cs="Arial"/>
          <w:b/>
          <w:szCs w:val="20"/>
        </w:rPr>
        <w:t>. členu</w:t>
      </w:r>
    </w:p>
    <w:p w:rsidR="00AE2155" w:rsidRDefault="00AE2155" w:rsidP="00B644CC">
      <w:pPr>
        <w:spacing w:line="288" w:lineRule="auto"/>
        <w:jc w:val="both"/>
        <w:rPr>
          <w:rFonts w:eastAsia="Calibri" w:cs="Arial"/>
          <w:szCs w:val="20"/>
        </w:rPr>
      </w:pPr>
      <w:r w:rsidRPr="00D2204A">
        <w:rPr>
          <w:rFonts w:cs="Arial"/>
          <w:szCs w:val="20"/>
        </w:rPr>
        <w:t xml:space="preserve">Pripravljenost oziroma dežurstvo sta instituta, neločljivo povezana z opravljanem </w:t>
      </w:r>
      <w:proofErr w:type="spellStart"/>
      <w:r w:rsidRPr="00D2204A">
        <w:rPr>
          <w:rFonts w:cs="Arial"/>
          <w:szCs w:val="20"/>
        </w:rPr>
        <w:t>državnotožilske</w:t>
      </w:r>
      <w:proofErr w:type="spellEnd"/>
      <w:r w:rsidRPr="00D2204A">
        <w:rPr>
          <w:rFonts w:cs="Arial"/>
          <w:szCs w:val="20"/>
        </w:rPr>
        <w:t xml:space="preserve"> službe,</w:t>
      </w:r>
      <w:r>
        <w:rPr>
          <w:rFonts w:cs="Arial"/>
          <w:szCs w:val="20"/>
        </w:rPr>
        <w:t xml:space="preserve"> </w:t>
      </w:r>
      <w:r w:rsidRPr="00D2204A">
        <w:rPr>
          <w:rFonts w:cs="Arial"/>
          <w:szCs w:val="20"/>
        </w:rPr>
        <w:t xml:space="preserve">saj </w:t>
      </w:r>
      <w:r w:rsidR="00022DDF">
        <w:rPr>
          <w:rFonts w:cs="Arial"/>
          <w:szCs w:val="20"/>
        </w:rPr>
        <w:t>sta</w:t>
      </w:r>
      <w:r w:rsidRPr="00D2204A">
        <w:rPr>
          <w:rFonts w:cs="Arial"/>
          <w:szCs w:val="20"/>
        </w:rPr>
        <w:t xml:space="preserve"> sredstvo za uspešno opravljanje nujnih procesnih dejanj. </w:t>
      </w:r>
      <w:r w:rsidRPr="00D2204A">
        <w:rPr>
          <w:rFonts w:eastAsia="Calibri" w:cs="Arial"/>
          <w:szCs w:val="20"/>
        </w:rPr>
        <w:t>P</w:t>
      </w:r>
      <w:r w:rsidR="00022DDF">
        <w:rPr>
          <w:rFonts w:eastAsia="Calibri" w:cs="Arial"/>
          <w:szCs w:val="20"/>
        </w:rPr>
        <w:t>omena</w:t>
      </w:r>
      <w:r w:rsidRPr="00D2204A">
        <w:rPr>
          <w:rFonts w:eastAsia="Calibri" w:cs="Arial"/>
          <w:szCs w:val="20"/>
        </w:rPr>
        <w:t xml:space="preserve"> pripravljenosti in dežurstva državnih tožilcev </w:t>
      </w:r>
      <w:r>
        <w:rPr>
          <w:rFonts w:eastAsia="Calibri" w:cs="Arial"/>
          <w:szCs w:val="20"/>
        </w:rPr>
        <w:t xml:space="preserve">se </w:t>
      </w:r>
      <w:r w:rsidRPr="00D2204A">
        <w:rPr>
          <w:rFonts w:eastAsia="Calibri" w:cs="Arial"/>
          <w:szCs w:val="20"/>
        </w:rPr>
        <w:t xml:space="preserve">glede dejanskih aktivnosti, ki jih državni tožilec </w:t>
      </w:r>
      <w:r>
        <w:rPr>
          <w:rFonts w:eastAsia="Calibri" w:cs="Arial"/>
          <w:szCs w:val="20"/>
        </w:rPr>
        <w:t>v času pripravljenosti in času dežurstv</w:t>
      </w:r>
      <w:r w:rsidR="00022DDF">
        <w:rPr>
          <w:rFonts w:eastAsia="Calibri" w:cs="Arial"/>
          <w:szCs w:val="20"/>
        </w:rPr>
        <w:t>a</w:t>
      </w:r>
      <w:r>
        <w:rPr>
          <w:rFonts w:eastAsia="Calibri" w:cs="Arial"/>
          <w:szCs w:val="20"/>
        </w:rPr>
        <w:t xml:space="preserve"> opravi, r</w:t>
      </w:r>
      <w:r w:rsidRPr="00D2204A">
        <w:rPr>
          <w:rFonts w:eastAsia="Calibri" w:cs="Arial"/>
          <w:szCs w:val="20"/>
        </w:rPr>
        <w:t>azlikujeta</w:t>
      </w:r>
      <w:r>
        <w:rPr>
          <w:rFonts w:eastAsia="Calibri" w:cs="Arial"/>
          <w:szCs w:val="20"/>
        </w:rPr>
        <w:t xml:space="preserve">. </w:t>
      </w:r>
      <w:r w:rsidRPr="00D2204A">
        <w:rPr>
          <w:rFonts w:eastAsia="Calibri" w:cs="Arial"/>
          <w:szCs w:val="20"/>
        </w:rPr>
        <w:t xml:space="preserve">Ker veljavna ureditev teh aktivnosti izrecno ne </w:t>
      </w:r>
      <w:r w:rsidR="00022DDF">
        <w:rPr>
          <w:rFonts w:eastAsia="Calibri" w:cs="Arial"/>
          <w:szCs w:val="20"/>
        </w:rPr>
        <w:t>opredeli</w:t>
      </w:r>
      <w:r w:rsidRPr="00D2204A">
        <w:rPr>
          <w:rFonts w:eastAsia="Calibri" w:cs="Arial"/>
          <w:szCs w:val="20"/>
        </w:rPr>
        <w:t xml:space="preserve"> se </w:t>
      </w:r>
      <w:r>
        <w:rPr>
          <w:rFonts w:eastAsia="Calibri" w:cs="Arial"/>
          <w:szCs w:val="20"/>
        </w:rPr>
        <w:lastRenderedPageBreak/>
        <w:t xml:space="preserve">predlaga </w:t>
      </w:r>
      <w:r w:rsidRPr="00D2204A">
        <w:rPr>
          <w:rFonts w:eastAsia="Calibri" w:cs="Arial"/>
          <w:szCs w:val="20"/>
        </w:rPr>
        <w:t>jasn</w:t>
      </w:r>
      <w:r>
        <w:rPr>
          <w:rFonts w:eastAsia="Calibri" w:cs="Arial"/>
          <w:szCs w:val="20"/>
        </w:rPr>
        <w:t>a</w:t>
      </w:r>
      <w:r w:rsidRPr="00D2204A">
        <w:rPr>
          <w:rFonts w:eastAsia="Calibri" w:cs="Arial"/>
          <w:szCs w:val="20"/>
        </w:rPr>
        <w:t xml:space="preserve"> razmejit</w:t>
      </w:r>
      <w:r>
        <w:rPr>
          <w:rFonts w:eastAsia="Calibri" w:cs="Arial"/>
          <w:szCs w:val="20"/>
        </w:rPr>
        <w:t>e</w:t>
      </w:r>
      <w:r w:rsidRPr="00D2204A">
        <w:rPr>
          <w:rFonts w:eastAsia="Calibri" w:cs="Arial"/>
          <w:szCs w:val="20"/>
        </w:rPr>
        <w:t xml:space="preserve">v aktivnosti, ki jih državni tožilec opravlja v fazi pripravljenosti in v fazi dežurstva. </w:t>
      </w:r>
      <w:r>
        <w:rPr>
          <w:rFonts w:eastAsia="Calibri" w:cs="Arial"/>
          <w:szCs w:val="20"/>
        </w:rPr>
        <w:t xml:space="preserve">Aktivnosti, ki jih državni tožilci dejansko opravljajo zunaj poslovnega časa državnega tožilstva v dežurni službi, so </w:t>
      </w:r>
      <w:r w:rsidRPr="00A53195">
        <w:rPr>
          <w:rFonts w:eastAsia="Calibri" w:cs="Arial"/>
          <w:szCs w:val="20"/>
        </w:rPr>
        <w:t>sodelovanje s policijo ter drugimi pristojnimi državnimi organi</w:t>
      </w:r>
      <w:r>
        <w:rPr>
          <w:rFonts w:eastAsia="Calibri" w:cs="Arial"/>
          <w:szCs w:val="20"/>
        </w:rPr>
        <w:t xml:space="preserve"> v predkazenskem postopku</w:t>
      </w:r>
      <w:r w:rsidRPr="00A53195">
        <w:rPr>
          <w:rFonts w:eastAsia="Calibri" w:cs="Arial"/>
          <w:szCs w:val="20"/>
        </w:rPr>
        <w:t>, ki obsega medsebojno obveščanje in usmerjanje predkazenskega postopka,</w:t>
      </w:r>
      <w:r>
        <w:rPr>
          <w:rFonts w:eastAsia="Calibri" w:cs="Arial"/>
          <w:szCs w:val="20"/>
        </w:rPr>
        <w:t xml:space="preserve"> </w:t>
      </w:r>
      <w:r w:rsidRPr="00A53195">
        <w:rPr>
          <w:rFonts w:eastAsia="Calibri" w:cs="Arial"/>
          <w:szCs w:val="20"/>
        </w:rPr>
        <w:t>zagot</w:t>
      </w:r>
      <w:r>
        <w:rPr>
          <w:rFonts w:eastAsia="Calibri" w:cs="Arial"/>
          <w:szCs w:val="20"/>
        </w:rPr>
        <w:t>avljanje</w:t>
      </w:r>
      <w:r w:rsidRPr="00A53195">
        <w:rPr>
          <w:rFonts w:eastAsia="Calibri" w:cs="Arial"/>
          <w:szCs w:val="20"/>
        </w:rPr>
        <w:t xml:space="preserve"> udeležbe pri </w:t>
      </w:r>
      <w:r>
        <w:rPr>
          <w:rFonts w:eastAsia="Calibri" w:cs="Arial"/>
          <w:szCs w:val="20"/>
        </w:rPr>
        <w:t xml:space="preserve">nujnih </w:t>
      </w:r>
      <w:r w:rsidRPr="00A53195">
        <w:rPr>
          <w:rFonts w:eastAsia="Calibri" w:cs="Arial"/>
          <w:szCs w:val="20"/>
        </w:rPr>
        <w:t>procesnih dejanjih in drugih opravilih predkazenskega ali kazenskega postopka ter druga nujna dejanja</w:t>
      </w:r>
      <w:r>
        <w:rPr>
          <w:rFonts w:eastAsia="Calibri" w:cs="Arial"/>
          <w:szCs w:val="20"/>
        </w:rPr>
        <w:t xml:space="preserve"> v predkazenskem postopku.</w:t>
      </w:r>
    </w:p>
    <w:p w:rsidR="00AE2155" w:rsidRPr="006E178C" w:rsidRDefault="00AE2155" w:rsidP="00B644CC">
      <w:pPr>
        <w:spacing w:line="288" w:lineRule="auto"/>
        <w:jc w:val="both"/>
        <w:rPr>
          <w:rFonts w:eastAsia="Calibri" w:cs="Arial"/>
          <w:szCs w:val="20"/>
        </w:rPr>
      </w:pPr>
    </w:p>
    <w:p w:rsidR="00AE2155" w:rsidRPr="006E178C" w:rsidRDefault="00AE2155" w:rsidP="00B644CC">
      <w:pPr>
        <w:spacing w:line="288" w:lineRule="auto"/>
        <w:jc w:val="both"/>
        <w:rPr>
          <w:rFonts w:eastAsia="Calibri" w:cs="Arial"/>
          <w:szCs w:val="20"/>
        </w:rPr>
      </w:pPr>
      <w:r>
        <w:rPr>
          <w:rFonts w:eastAsia="Calibri" w:cs="Arial"/>
          <w:szCs w:val="20"/>
        </w:rPr>
        <w:t>Nasprotno pa p</w:t>
      </w:r>
      <w:r w:rsidRPr="006E178C">
        <w:rPr>
          <w:rFonts w:eastAsia="Calibri" w:cs="Arial"/>
          <w:szCs w:val="20"/>
        </w:rPr>
        <w:t xml:space="preserve">ripravljenost pomeni dosegljivost državnega tožilca po telefonu ali z uporabo drugih </w:t>
      </w:r>
      <w:r>
        <w:rPr>
          <w:rFonts w:eastAsia="Calibri" w:cs="Arial"/>
          <w:szCs w:val="20"/>
        </w:rPr>
        <w:t xml:space="preserve">komunikacijskih </w:t>
      </w:r>
      <w:r w:rsidRPr="006E178C">
        <w:rPr>
          <w:rFonts w:eastAsia="Calibri" w:cs="Arial"/>
          <w:szCs w:val="20"/>
        </w:rPr>
        <w:t xml:space="preserve">sredstev za potrebe opravljanja </w:t>
      </w:r>
      <w:r>
        <w:rPr>
          <w:rFonts w:eastAsia="Calibri" w:cs="Arial"/>
          <w:szCs w:val="20"/>
        </w:rPr>
        <w:t>aktivnosti, opredeljen</w:t>
      </w:r>
      <w:r w:rsidR="00022DDF">
        <w:rPr>
          <w:rFonts w:eastAsia="Calibri" w:cs="Arial"/>
          <w:szCs w:val="20"/>
        </w:rPr>
        <w:t>ih</w:t>
      </w:r>
      <w:r>
        <w:rPr>
          <w:rFonts w:eastAsia="Calibri" w:cs="Arial"/>
          <w:szCs w:val="20"/>
        </w:rPr>
        <w:t xml:space="preserve"> v predlaganem </w:t>
      </w:r>
      <w:r w:rsidRPr="006E178C">
        <w:rPr>
          <w:rFonts w:eastAsia="Calibri" w:cs="Arial"/>
          <w:szCs w:val="20"/>
        </w:rPr>
        <w:t>pr</w:t>
      </w:r>
      <w:r>
        <w:rPr>
          <w:rFonts w:eastAsia="Calibri" w:cs="Arial"/>
          <w:szCs w:val="20"/>
        </w:rPr>
        <w:t>vem</w:t>
      </w:r>
      <w:r w:rsidRPr="006E178C">
        <w:rPr>
          <w:rFonts w:eastAsia="Calibri" w:cs="Arial"/>
          <w:szCs w:val="20"/>
        </w:rPr>
        <w:t xml:space="preserve"> </w:t>
      </w:r>
      <w:r w:rsidRPr="009C71F5">
        <w:rPr>
          <w:rFonts w:eastAsia="Calibri" w:cs="Arial"/>
          <w:szCs w:val="20"/>
        </w:rPr>
        <w:t>odstavku</w:t>
      </w:r>
      <w:r w:rsidR="00F32E37" w:rsidRPr="009C71F5">
        <w:rPr>
          <w:rFonts w:eastAsia="Calibri" w:cs="Arial"/>
          <w:szCs w:val="20"/>
        </w:rPr>
        <w:t xml:space="preserve"> </w:t>
      </w:r>
      <w:r w:rsidR="00F32E37" w:rsidRPr="001D21AA">
        <w:rPr>
          <w:rFonts w:eastAsia="Calibri" w:cs="Arial"/>
          <w:szCs w:val="20"/>
        </w:rPr>
        <w:t xml:space="preserve">oziroma prihod na </w:t>
      </w:r>
      <w:r w:rsidR="00F32E37" w:rsidRPr="001D21AA">
        <w:rPr>
          <w:lang w:val="x-none"/>
        </w:rPr>
        <w:t>delovno mesto ali na kraj, kjer je treba opraviti nujno procesno dejanje</w:t>
      </w:r>
      <w:r w:rsidR="00D605A7" w:rsidRPr="001D21AA">
        <w:t>.</w:t>
      </w:r>
      <w:r w:rsidRPr="001D21AA">
        <w:rPr>
          <w:rFonts w:eastAsia="Calibri" w:cs="Arial"/>
          <w:szCs w:val="20"/>
        </w:rPr>
        <w:t xml:space="preserve"> </w:t>
      </w:r>
      <w:r>
        <w:rPr>
          <w:rFonts w:eastAsia="Calibri" w:cs="Arial"/>
          <w:szCs w:val="20"/>
        </w:rPr>
        <w:t xml:space="preserve">Medtem, ko se ure dejanskega opravljanja dela državnega tožilca zunaj poslovnega časa državnega tožilstva štejejo za dežurstvo in v delovni čas, se </w:t>
      </w:r>
      <w:r w:rsidR="00F32E37">
        <w:rPr>
          <w:rFonts w:eastAsia="Calibri" w:cs="Arial"/>
          <w:szCs w:val="20"/>
        </w:rPr>
        <w:t>čas</w:t>
      </w:r>
      <w:r w:rsidRPr="006E178C">
        <w:rPr>
          <w:rFonts w:eastAsia="Calibri" w:cs="Arial"/>
          <w:szCs w:val="20"/>
        </w:rPr>
        <w:t xml:space="preserve"> pripravljenosti ne štejejo v delovni čas.</w:t>
      </w:r>
      <w:r w:rsidR="00F32E37">
        <w:rPr>
          <w:rFonts w:eastAsia="Calibri" w:cs="Arial"/>
          <w:szCs w:val="20"/>
        </w:rPr>
        <w:t xml:space="preserve"> V zvezi obračunom prihoda na </w:t>
      </w:r>
      <w:r w:rsidR="00F32E37">
        <w:rPr>
          <w:lang w:val="x-none"/>
        </w:rPr>
        <w:t>delovno mesto ali na kraj, kjer je treba opraviti nujno procesno dejanje</w:t>
      </w:r>
      <w:r w:rsidR="00F32E37">
        <w:rPr>
          <w:rFonts w:eastAsia="Calibri" w:cs="Arial"/>
          <w:szCs w:val="20"/>
        </w:rPr>
        <w:t xml:space="preserve"> se bo državnemu tožilcu </w:t>
      </w:r>
      <w:r w:rsidR="00F32E37">
        <w:rPr>
          <w:rFonts w:cs="Arial"/>
          <w:color w:val="000000"/>
          <w:szCs w:val="20"/>
          <w:lang w:eastAsia="sl-SI"/>
        </w:rPr>
        <w:t>izplačalo dva diferencirana prejemka, nadomestilo potnih stroškov in dodatek za pripravljenost.</w:t>
      </w:r>
    </w:p>
    <w:p w:rsidR="00F32E37" w:rsidRDefault="00F32E37" w:rsidP="00B644CC">
      <w:pPr>
        <w:spacing w:line="288" w:lineRule="auto"/>
        <w:jc w:val="both"/>
        <w:rPr>
          <w:rFonts w:eastAsia="Calibri" w:cs="Arial"/>
        </w:rPr>
      </w:pPr>
    </w:p>
    <w:p w:rsidR="00AE2155" w:rsidRPr="00F32E37" w:rsidRDefault="00F32E37" w:rsidP="00B644CC">
      <w:pPr>
        <w:spacing w:line="288" w:lineRule="auto"/>
        <w:jc w:val="both"/>
        <w:rPr>
          <w:rFonts w:eastAsia="Calibri" w:cs="Arial"/>
          <w:color w:val="FF0000"/>
          <w:szCs w:val="20"/>
        </w:rPr>
      </w:pPr>
      <w:r w:rsidRPr="006E178C">
        <w:rPr>
          <w:rFonts w:eastAsia="Calibri" w:cs="Arial"/>
        </w:rPr>
        <w:t xml:space="preserve">Izvajanje </w:t>
      </w:r>
      <w:r w:rsidRPr="00685557">
        <w:rPr>
          <w:rFonts w:eastAsia="Calibri" w:cs="Arial"/>
        </w:rPr>
        <w:t>pripravljenosti za delo in</w:t>
      </w:r>
      <w:r w:rsidRPr="006E178C">
        <w:rPr>
          <w:rFonts w:eastAsia="Calibri" w:cs="Arial"/>
        </w:rPr>
        <w:t xml:space="preserve"> dežurstva, </w:t>
      </w:r>
      <w:r w:rsidRPr="001E0D84">
        <w:rPr>
          <w:rFonts w:cs="Arial"/>
          <w:color w:val="000000"/>
        </w:rPr>
        <w:t xml:space="preserve">najdaljši sprejemljivi čas prihoda na delovno mesto ali kraj, kjer se opravlja nujno procesno dejanje, </w:t>
      </w:r>
      <w:r w:rsidRPr="006E178C">
        <w:rPr>
          <w:rFonts w:eastAsia="Calibri" w:cs="Arial"/>
        </w:rPr>
        <w:t>pogoji in način odrejanja se</w:t>
      </w:r>
      <w:r w:rsidR="00545A71">
        <w:rPr>
          <w:rFonts w:eastAsia="Calibri" w:cs="Arial"/>
        </w:rPr>
        <w:t xml:space="preserve"> bodo</w:t>
      </w:r>
      <w:r w:rsidRPr="006E178C">
        <w:rPr>
          <w:rFonts w:eastAsia="Calibri" w:cs="Arial"/>
        </w:rPr>
        <w:t xml:space="preserve"> natančneje določi</w:t>
      </w:r>
      <w:r w:rsidR="00545A71">
        <w:rPr>
          <w:rFonts w:eastAsia="Calibri" w:cs="Arial"/>
        </w:rPr>
        <w:t>li</w:t>
      </w:r>
      <w:r w:rsidRPr="006E178C">
        <w:rPr>
          <w:rFonts w:eastAsia="Calibri" w:cs="Arial"/>
        </w:rPr>
        <w:t xml:space="preserve"> z </w:t>
      </w:r>
      <w:proofErr w:type="spellStart"/>
      <w:r w:rsidRPr="006E178C">
        <w:rPr>
          <w:rFonts w:eastAsia="Calibri" w:cs="Arial"/>
        </w:rPr>
        <w:t>Državnotožilskim</w:t>
      </w:r>
      <w:proofErr w:type="spellEnd"/>
      <w:r w:rsidRPr="006E178C">
        <w:rPr>
          <w:rFonts w:eastAsia="Calibri" w:cs="Arial"/>
        </w:rPr>
        <w:t xml:space="preserve"> redom.</w:t>
      </w:r>
      <w:r>
        <w:rPr>
          <w:rFonts w:eastAsia="Calibri" w:cs="Arial"/>
        </w:rPr>
        <w:t xml:space="preserve"> </w:t>
      </w:r>
      <w:r w:rsidR="009C71F5">
        <w:rPr>
          <w:rFonts w:eastAsia="Calibri" w:cs="Arial"/>
        </w:rPr>
        <w:t>A</w:t>
      </w:r>
      <w:r w:rsidR="004C3C07" w:rsidRPr="00115F14">
        <w:rPr>
          <w:rFonts w:cs="Arial"/>
        </w:rPr>
        <w:t>ktivnosti v času dežurstva in aktivnosti, ki se v času pripravljenosti štejejo za dežurstvo</w:t>
      </w:r>
      <w:r w:rsidR="009C71F5">
        <w:rPr>
          <w:rFonts w:cs="Arial"/>
        </w:rPr>
        <w:t xml:space="preserve">, se morajo </w:t>
      </w:r>
      <w:r w:rsidR="00006231">
        <w:rPr>
          <w:rFonts w:cs="Arial"/>
        </w:rPr>
        <w:t>beleži</w:t>
      </w:r>
      <w:r>
        <w:rPr>
          <w:rFonts w:cs="Arial"/>
        </w:rPr>
        <w:t>ti</w:t>
      </w:r>
      <w:r w:rsidR="004C3C07" w:rsidRPr="00115F14">
        <w:rPr>
          <w:rFonts w:cs="Arial"/>
        </w:rPr>
        <w:t xml:space="preserve"> </w:t>
      </w:r>
      <w:r w:rsidR="004C3C07" w:rsidRPr="00A63720">
        <w:rPr>
          <w:rFonts w:cs="Arial"/>
          <w:szCs w:val="20"/>
        </w:rPr>
        <w:t xml:space="preserve">po minutah oziroma </w:t>
      </w:r>
      <w:r>
        <w:rPr>
          <w:rFonts w:cs="Arial"/>
          <w:szCs w:val="20"/>
        </w:rPr>
        <w:t xml:space="preserve">po </w:t>
      </w:r>
      <w:r w:rsidR="004C3C07" w:rsidRPr="00A63720">
        <w:rPr>
          <w:rFonts w:cs="Arial"/>
          <w:szCs w:val="20"/>
        </w:rPr>
        <w:t>dejanski porabi časa</w:t>
      </w:r>
      <w:r w:rsidR="004C3C07">
        <w:rPr>
          <w:rFonts w:cs="Arial"/>
          <w:szCs w:val="20"/>
        </w:rPr>
        <w:t xml:space="preserve"> </w:t>
      </w:r>
      <w:r w:rsidR="004C3C07" w:rsidRPr="00115F14">
        <w:rPr>
          <w:rFonts w:cs="Arial"/>
        </w:rPr>
        <w:t>in ne pavšalno.</w:t>
      </w:r>
      <w:r w:rsidR="004C3C07">
        <w:rPr>
          <w:rFonts w:cs="Arial"/>
        </w:rPr>
        <w:t xml:space="preserve"> </w:t>
      </w:r>
      <w:r w:rsidR="00AE2155" w:rsidRPr="00554845">
        <w:rPr>
          <w:rFonts w:eastAsia="Calibri" w:cs="Arial"/>
          <w:szCs w:val="20"/>
        </w:rPr>
        <w:t xml:space="preserve">Upoštevaje funkcijo in </w:t>
      </w:r>
      <w:r w:rsidR="00006231">
        <w:rPr>
          <w:rFonts w:eastAsia="Calibri" w:cs="Arial"/>
          <w:szCs w:val="20"/>
        </w:rPr>
        <w:t>vrst ter vsebino</w:t>
      </w:r>
      <w:r w:rsidR="00AE2155" w:rsidRPr="00554845">
        <w:rPr>
          <w:rFonts w:eastAsia="Calibri" w:cs="Arial"/>
          <w:szCs w:val="20"/>
        </w:rPr>
        <w:t xml:space="preserve"> dela, ki </w:t>
      </w:r>
      <w:r w:rsidR="00006231">
        <w:rPr>
          <w:rFonts w:eastAsia="Calibri" w:cs="Arial"/>
          <w:szCs w:val="20"/>
        </w:rPr>
        <w:t>ga</w:t>
      </w:r>
      <w:r w:rsidR="00AE2155" w:rsidRPr="00554845">
        <w:rPr>
          <w:rFonts w:eastAsia="Calibri" w:cs="Arial"/>
          <w:szCs w:val="20"/>
        </w:rPr>
        <w:t xml:space="preserve"> državni tožilec opravlja v času izvajanja dežurne službe, predlagatelj ocenjuje, da pavšalno </w:t>
      </w:r>
      <w:r w:rsidR="00006231">
        <w:rPr>
          <w:rFonts w:eastAsia="Calibri" w:cs="Arial"/>
          <w:szCs w:val="20"/>
        </w:rPr>
        <w:t>beleženje</w:t>
      </w:r>
      <w:r w:rsidR="00AE2155" w:rsidRPr="00554845">
        <w:rPr>
          <w:rFonts w:eastAsia="Calibri" w:cs="Arial"/>
          <w:szCs w:val="20"/>
        </w:rPr>
        <w:t xml:space="preserve"> delovnega časa kot podlaga za obračun dežurstva ni mogoče, saj je treba upoštevati dejansk</w:t>
      </w:r>
      <w:r w:rsidR="00AE2155">
        <w:rPr>
          <w:rFonts w:eastAsia="Calibri" w:cs="Arial"/>
          <w:szCs w:val="20"/>
        </w:rPr>
        <w:t xml:space="preserve">i čas opravljenega dela, kar pomeni </w:t>
      </w:r>
      <w:r w:rsidR="004C3C07">
        <w:rPr>
          <w:rFonts w:eastAsia="Calibri" w:cs="Arial"/>
          <w:szCs w:val="20"/>
        </w:rPr>
        <w:t>po dejanski porabi časa.</w:t>
      </w:r>
    </w:p>
    <w:p w:rsidR="00AE2155" w:rsidRDefault="00AE2155" w:rsidP="00B644CC">
      <w:pPr>
        <w:spacing w:line="288" w:lineRule="auto"/>
        <w:jc w:val="both"/>
        <w:rPr>
          <w:rFonts w:eastAsia="Calibri" w:cs="Arial"/>
          <w:szCs w:val="20"/>
          <w:highlight w:val="yellow"/>
        </w:rPr>
      </w:pPr>
    </w:p>
    <w:p w:rsidR="00AE2155" w:rsidRPr="00BA7993" w:rsidRDefault="00AE2155" w:rsidP="00B644CC">
      <w:pPr>
        <w:spacing w:line="288" w:lineRule="auto"/>
        <w:jc w:val="both"/>
        <w:rPr>
          <w:rFonts w:eastAsia="Calibri" w:cs="Arial"/>
          <w:b/>
          <w:szCs w:val="20"/>
        </w:rPr>
      </w:pPr>
      <w:r w:rsidRPr="00BA7993">
        <w:rPr>
          <w:rFonts w:eastAsia="Calibri" w:cs="Arial"/>
          <w:b/>
          <w:szCs w:val="20"/>
        </w:rPr>
        <w:t xml:space="preserve">K </w:t>
      </w:r>
      <w:r w:rsidR="005979F7">
        <w:rPr>
          <w:rFonts w:eastAsia="Calibri" w:cs="Arial"/>
          <w:b/>
          <w:szCs w:val="20"/>
        </w:rPr>
        <w:t>5</w:t>
      </w:r>
      <w:r w:rsidRPr="00BA7993">
        <w:rPr>
          <w:rFonts w:eastAsia="Calibri" w:cs="Arial"/>
          <w:b/>
          <w:szCs w:val="20"/>
        </w:rPr>
        <w:t>. členu</w:t>
      </w:r>
    </w:p>
    <w:p w:rsidR="00AE2155" w:rsidRDefault="00AE2155" w:rsidP="00B644CC">
      <w:pPr>
        <w:spacing w:line="288" w:lineRule="auto"/>
        <w:jc w:val="both"/>
        <w:rPr>
          <w:rFonts w:eastAsia="Calibri" w:cs="Arial"/>
          <w:szCs w:val="20"/>
        </w:rPr>
      </w:pPr>
      <w:r>
        <w:rPr>
          <w:rFonts w:eastAsia="Calibri" w:cs="Arial"/>
          <w:szCs w:val="20"/>
        </w:rPr>
        <w:t>S predlagano spremembo veljavnega drugega odstavka 46. člena se za izvolitv</w:t>
      </w:r>
      <w:r w:rsidR="00523543">
        <w:rPr>
          <w:rFonts w:eastAsia="Calibri" w:cs="Arial"/>
          <w:szCs w:val="20"/>
        </w:rPr>
        <w:t>e</w:t>
      </w:r>
      <w:r>
        <w:rPr>
          <w:rFonts w:eastAsia="Calibri" w:cs="Arial"/>
          <w:szCs w:val="20"/>
        </w:rPr>
        <w:t xml:space="preserve"> ali imenovanj</w:t>
      </w:r>
      <w:r w:rsidR="00523543">
        <w:rPr>
          <w:rFonts w:eastAsia="Calibri" w:cs="Arial"/>
          <w:szCs w:val="20"/>
        </w:rPr>
        <w:t>a</w:t>
      </w:r>
      <w:r>
        <w:rPr>
          <w:rFonts w:eastAsia="Calibri" w:cs="Arial"/>
          <w:szCs w:val="20"/>
        </w:rPr>
        <w:t xml:space="preserve"> na funkcije, ki jih državni tožilci opravljajo v tujih organih določa smiselna uporaba prvega odstavka, ki določa mirovanje funkcije. Poleg tega se predlaga redakcijski popravek glede napotitve v mednarodne civilne misije ali mednarodne organizacije. Pogoje in postopek napotitve državnega tožilca v civilno misijo ali mednarodno organizacijo namreč določa sistemski zakon, to je Zakon o </w:t>
      </w:r>
      <w:r w:rsidRPr="0097438E">
        <w:rPr>
          <w:rFonts w:eastAsia="Calibri" w:cs="Arial"/>
          <w:szCs w:val="20"/>
        </w:rPr>
        <w:t>napotitvi oseb v mednarodne civilne misije in mednarodne organizacije (Uradni list RS, št. 20/06)</w:t>
      </w:r>
      <w:r>
        <w:rPr>
          <w:rFonts w:eastAsia="Calibri" w:cs="Arial"/>
          <w:szCs w:val="20"/>
        </w:rPr>
        <w:t xml:space="preserve">, medtem ko ZDT-1 ureja le status državnega tožilca v času trajanja napotitve.  </w:t>
      </w:r>
    </w:p>
    <w:p w:rsidR="00AE2155" w:rsidRDefault="00AE2155" w:rsidP="00B644CC">
      <w:pPr>
        <w:spacing w:line="288" w:lineRule="auto"/>
        <w:jc w:val="both"/>
        <w:rPr>
          <w:rFonts w:eastAsia="Calibri" w:cs="Arial"/>
          <w:szCs w:val="20"/>
        </w:rPr>
      </w:pPr>
    </w:p>
    <w:p w:rsidR="00AE2155" w:rsidRPr="0028039B" w:rsidRDefault="00AE2155" w:rsidP="00B644CC">
      <w:pPr>
        <w:spacing w:line="288" w:lineRule="auto"/>
        <w:jc w:val="both"/>
        <w:rPr>
          <w:rFonts w:eastAsia="Calibri" w:cs="Arial"/>
          <w:b/>
          <w:szCs w:val="20"/>
        </w:rPr>
      </w:pPr>
      <w:r w:rsidRPr="0028039B">
        <w:rPr>
          <w:rFonts w:eastAsia="Calibri" w:cs="Arial"/>
          <w:b/>
          <w:szCs w:val="20"/>
        </w:rPr>
        <w:t xml:space="preserve">K </w:t>
      </w:r>
      <w:r w:rsidR="005979F7">
        <w:rPr>
          <w:rFonts w:eastAsia="Calibri" w:cs="Arial"/>
          <w:b/>
          <w:szCs w:val="20"/>
        </w:rPr>
        <w:t>6</w:t>
      </w:r>
      <w:r w:rsidRPr="0028039B">
        <w:rPr>
          <w:rFonts w:eastAsia="Calibri" w:cs="Arial"/>
          <w:b/>
          <w:szCs w:val="20"/>
        </w:rPr>
        <w:t>. členu</w:t>
      </w:r>
    </w:p>
    <w:p w:rsidR="00AE2155" w:rsidRPr="0028039B" w:rsidRDefault="00AE2155" w:rsidP="00B644CC">
      <w:pPr>
        <w:spacing w:line="288" w:lineRule="auto"/>
        <w:jc w:val="both"/>
        <w:rPr>
          <w:rFonts w:eastAsia="Calibri" w:cs="Arial"/>
          <w:szCs w:val="20"/>
        </w:rPr>
      </w:pPr>
      <w:r>
        <w:rPr>
          <w:rFonts w:eastAsia="Calibri" w:cs="Arial"/>
          <w:szCs w:val="20"/>
        </w:rPr>
        <w:t>Predlagana sprememba d</w:t>
      </w:r>
      <w:r w:rsidRPr="0028039B">
        <w:rPr>
          <w:rFonts w:eastAsia="Calibri" w:cs="Arial"/>
          <w:szCs w:val="20"/>
        </w:rPr>
        <w:t>rug</w:t>
      </w:r>
      <w:r>
        <w:rPr>
          <w:rFonts w:eastAsia="Calibri" w:cs="Arial"/>
          <w:szCs w:val="20"/>
        </w:rPr>
        <w:t>ega</w:t>
      </w:r>
      <w:r w:rsidRPr="0028039B">
        <w:rPr>
          <w:rFonts w:eastAsia="Calibri" w:cs="Arial"/>
          <w:szCs w:val="20"/>
        </w:rPr>
        <w:t xml:space="preserve"> odstavk</w:t>
      </w:r>
      <w:r>
        <w:rPr>
          <w:rFonts w:eastAsia="Calibri" w:cs="Arial"/>
          <w:szCs w:val="20"/>
        </w:rPr>
        <w:t>a 50. člena</w:t>
      </w:r>
      <w:r w:rsidR="005979F7">
        <w:rPr>
          <w:rFonts w:eastAsia="Calibri" w:cs="Arial"/>
          <w:szCs w:val="20"/>
        </w:rPr>
        <w:t xml:space="preserve"> </w:t>
      </w:r>
      <w:r>
        <w:rPr>
          <w:rFonts w:eastAsia="Calibri" w:cs="Arial"/>
          <w:szCs w:val="20"/>
        </w:rPr>
        <w:t xml:space="preserve">ZDT-1 </w:t>
      </w:r>
      <w:r w:rsidRPr="0028039B">
        <w:rPr>
          <w:rFonts w:eastAsia="Calibri" w:cs="Arial"/>
          <w:szCs w:val="20"/>
        </w:rPr>
        <w:t xml:space="preserve">je </w:t>
      </w:r>
      <w:r>
        <w:rPr>
          <w:rFonts w:eastAsia="Calibri" w:cs="Arial"/>
          <w:szCs w:val="20"/>
        </w:rPr>
        <w:t xml:space="preserve">redakcijske narave </w:t>
      </w:r>
      <w:r w:rsidRPr="0028039B">
        <w:rPr>
          <w:rFonts w:eastAsia="Calibri" w:cs="Arial"/>
          <w:szCs w:val="20"/>
        </w:rPr>
        <w:t xml:space="preserve">glede na </w:t>
      </w:r>
      <w:r>
        <w:rPr>
          <w:rFonts w:eastAsia="Calibri" w:cs="Arial"/>
          <w:szCs w:val="20"/>
        </w:rPr>
        <w:t xml:space="preserve">novo predlagano </w:t>
      </w:r>
      <w:r w:rsidRPr="0028039B">
        <w:rPr>
          <w:rFonts w:eastAsia="Calibri" w:cs="Arial"/>
          <w:szCs w:val="20"/>
        </w:rPr>
        <w:t>določbo 45. člena</w:t>
      </w:r>
      <w:r>
        <w:rPr>
          <w:rFonts w:eastAsia="Calibri" w:cs="Arial"/>
          <w:szCs w:val="20"/>
        </w:rPr>
        <w:t>.</w:t>
      </w:r>
    </w:p>
    <w:p w:rsidR="00AE2155" w:rsidRPr="0028039B" w:rsidRDefault="00AE2155" w:rsidP="00B644CC">
      <w:pPr>
        <w:spacing w:line="288" w:lineRule="auto"/>
        <w:jc w:val="both"/>
        <w:rPr>
          <w:rFonts w:eastAsia="Calibri" w:cs="Arial"/>
          <w:szCs w:val="20"/>
        </w:rPr>
      </w:pPr>
    </w:p>
    <w:p w:rsidR="00AE2155" w:rsidRPr="007A3AD7" w:rsidRDefault="00AE2155" w:rsidP="00B644CC">
      <w:pPr>
        <w:spacing w:line="288" w:lineRule="auto"/>
        <w:jc w:val="both"/>
        <w:rPr>
          <w:rFonts w:eastAsia="Calibri" w:cs="Arial"/>
          <w:b/>
          <w:szCs w:val="20"/>
        </w:rPr>
      </w:pPr>
      <w:r w:rsidRPr="007A3AD7">
        <w:rPr>
          <w:rFonts w:eastAsia="Calibri" w:cs="Arial"/>
          <w:b/>
          <w:szCs w:val="20"/>
        </w:rPr>
        <w:t xml:space="preserve">K </w:t>
      </w:r>
      <w:r w:rsidR="005979F7">
        <w:rPr>
          <w:rFonts w:eastAsia="Calibri" w:cs="Arial"/>
          <w:b/>
          <w:szCs w:val="20"/>
        </w:rPr>
        <w:t>7</w:t>
      </w:r>
      <w:r w:rsidRPr="007A3AD7">
        <w:rPr>
          <w:rFonts w:eastAsia="Calibri" w:cs="Arial"/>
          <w:b/>
          <w:szCs w:val="20"/>
        </w:rPr>
        <w:t>. členu</w:t>
      </w:r>
    </w:p>
    <w:p w:rsidR="00AE2155" w:rsidRDefault="00AE2155" w:rsidP="00B644CC">
      <w:pPr>
        <w:spacing w:line="288" w:lineRule="auto"/>
        <w:jc w:val="both"/>
        <w:rPr>
          <w:rFonts w:eastAsia="Calibri" w:cs="Arial"/>
          <w:szCs w:val="20"/>
        </w:rPr>
      </w:pPr>
      <w:r w:rsidRPr="00F472DF">
        <w:rPr>
          <w:rFonts w:eastAsia="Calibri" w:cs="Arial"/>
          <w:szCs w:val="20"/>
        </w:rPr>
        <w:t>Veljavna določba 62. člena ZDT-1 določa institut dodelitve državnega tožilca, ko se v organu izkaže potreba po znanju za opravljanje zahtevnejših strokovnih nalog na Vrhovno državno tožilstvo</w:t>
      </w:r>
      <w:r w:rsidR="00523543">
        <w:rPr>
          <w:rFonts w:eastAsia="Calibri" w:cs="Arial"/>
          <w:szCs w:val="20"/>
        </w:rPr>
        <w:t xml:space="preserve"> RS</w:t>
      </w:r>
      <w:r w:rsidRPr="00F472DF">
        <w:rPr>
          <w:rFonts w:eastAsia="Calibri" w:cs="Arial"/>
          <w:szCs w:val="20"/>
        </w:rPr>
        <w:t xml:space="preserve">, strokovno službo </w:t>
      </w:r>
      <w:proofErr w:type="spellStart"/>
      <w:r w:rsidRPr="00F472DF">
        <w:rPr>
          <w:rFonts w:eastAsia="Calibri" w:cs="Arial"/>
          <w:szCs w:val="20"/>
        </w:rPr>
        <w:t>Državnotožilskega</w:t>
      </w:r>
      <w:proofErr w:type="spellEnd"/>
      <w:r w:rsidRPr="00F472DF">
        <w:rPr>
          <w:rFonts w:eastAsia="Calibri" w:cs="Arial"/>
          <w:szCs w:val="20"/>
        </w:rPr>
        <w:t xml:space="preserve"> sveta, za vodenje ali opravo zahtevnejših strokovnih nalog na Nacionalnem preiskovalnem uradu, Komisiji za preprečevanje korupcije ali Uradu </w:t>
      </w:r>
      <w:r w:rsidR="00523543">
        <w:rPr>
          <w:rFonts w:eastAsia="Calibri" w:cs="Arial"/>
          <w:szCs w:val="20"/>
        </w:rPr>
        <w:t xml:space="preserve">RS </w:t>
      </w:r>
      <w:r w:rsidRPr="00F472DF">
        <w:rPr>
          <w:rFonts w:eastAsia="Calibri" w:cs="Arial"/>
          <w:szCs w:val="20"/>
        </w:rPr>
        <w:t xml:space="preserve">za preprečevanje pranja denarja. </w:t>
      </w:r>
      <w:r>
        <w:rPr>
          <w:rFonts w:eastAsia="Calibri" w:cs="Arial"/>
          <w:szCs w:val="20"/>
        </w:rPr>
        <w:t>Šesti odstavek veljavnega 62. člena ZDT-1 določa smiselno uporabo določb tudi za dodelitve državnega tožilca v mednarodne civilne misije ali mednarodne organizacije, pri čemer pa v teh primerih ne gre za dodelitev</w:t>
      </w:r>
      <w:r w:rsidR="008D35C2">
        <w:rPr>
          <w:rFonts w:eastAsia="Calibri" w:cs="Arial"/>
          <w:szCs w:val="20"/>
        </w:rPr>
        <w:t>,</w:t>
      </w:r>
      <w:r>
        <w:rPr>
          <w:rFonts w:eastAsia="Calibri" w:cs="Arial"/>
          <w:szCs w:val="20"/>
        </w:rPr>
        <w:t xml:space="preserve"> temveč napotitev. </w:t>
      </w:r>
    </w:p>
    <w:p w:rsidR="00AE2155" w:rsidRPr="00F472DF" w:rsidRDefault="00AE2155" w:rsidP="00B644CC">
      <w:pPr>
        <w:spacing w:line="288" w:lineRule="auto"/>
        <w:jc w:val="both"/>
        <w:rPr>
          <w:rFonts w:eastAsia="Calibri" w:cs="Arial"/>
          <w:szCs w:val="20"/>
        </w:rPr>
      </w:pPr>
    </w:p>
    <w:p w:rsidR="00AE2155" w:rsidRPr="007A3AD7" w:rsidRDefault="00AE2155" w:rsidP="00B644CC">
      <w:pPr>
        <w:spacing w:line="288" w:lineRule="auto"/>
        <w:jc w:val="both"/>
        <w:rPr>
          <w:rFonts w:eastAsia="Calibri" w:cs="Arial"/>
          <w:b/>
          <w:szCs w:val="20"/>
        </w:rPr>
      </w:pPr>
      <w:r w:rsidRPr="007A3AD7">
        <w:rPr>
          <w:rFonts w:eastAsia="Calibri" w:cs="Arial"/>
          <w:b/>
          <w:szCs w:val="20"/>
        </w:rPr>
        <w:t xml:space="preserve">K </w:t>
      </w:r>
      <w:r w:rsidR="005979F7">
        <w:rPr>
          <w:rFonts w:eastAsia="Calibri" w:cs="Arial"/>
          <w:b/>
          <w:szCs w:val="20"/>
        </w:rPr>
        <w:t>8</w:t>
      </w:r>
      <w:r w:rsidRPr="007A3AD7">
        <w:rPr>
          <w:rFonts w:eastAsia="Calibri" w:cs="Arial"/>
          <w:b/>
          <w:szCs w:val="20"/>
        </w:rPr>
        <w:t>. členu</w:t>
      </w:r>
    </w:p>
    <w:p w:rsidR="00AE2155" w:rsidRPr="007A3AD7" w:rsidRDefault="00AE2155" w:rsidP="00B644CC">
      <w:pPr>
        <w:spacing w:line="288" w:lineRule="auto"/>
        <w:jc w:val="both"/>
        <w:rPr>
          <w:rFonts w:eastAsia="Calibri" w:cs="Arial"/>
          <w:szCs w:val="20"/>
        </w:rPr>
      </w:pPr>
      <w:r w:rsidRPr="007A3AD7">
        <w:rPr>
          <w:rFonts w:eastAsia="Calibri" w:cs="Arial"/>
          <w:szCs w:val="20"/>
        </w:rPr>
        <w:t>V zvezi z napredovanjem državnih tožilcev v primeru dodelitve v organ veljavna ureditev določa, da so varovane vse njegove pravice do napredovanja v skladu s tem zakonom po izteku dodelitve.</w:t>
      </w:r>
      <w:r>
        <w:rPr>
          <w:rFonts w:eastAsia="Calibri" w:cs="Arial"/>
          <w:szCs w:val="20"/>
        </w:rPr>
        <w:t xml:space="preserve"> </w:t>
      </w:r>
      <w:r>
        <w:rPr>
          <w:rFonts w:eastAsia="Calibri" w:cs="Arial"/>
          <w:szCs w:val="20"/>
        </w:rPr>
        <w:lastRenderedPageBreak/>
        <w:t>S predlagano spremembo se po vzoru ureditve</w:t>
      </w:r>
      <w:r w:rsidR="00523543">
        <w:rPr>
          <w:rFonts w:eastAsia="Calibri" w:cs="Arial"/>
          <w:szCs w:val="20"/>
        </w:rPr>
        <w:t>,</w:t>
      </w:r>
      <w:r>
        <w:rPr>
          <w:rFonts w:eastAsia="Calibri" w:cs="Arial"/>
          <w:szCs w:val="20"/>
        </w:rPr>
        <w:t xml:space="preserve"> kot velja za sodnike (71.c člen Zakona o sodniški službi), odpravlja omejitev, po kateri lahko državni tožilec v primeru dodelitve v organ napreduje šele po izteku dodelitve, ureja pa se tudi način izdelave ocene </w:t>
      </w:r>
      <w:proofErr w:type="spellStart"/>
      <w:r>
        <w:rPr>
          <w:rFonts w:eastAsia="Calibri" w:cs="Arial"/>
          <w:szCs w:val="20"/>
        </w:rPr>
        <w:t>državnotožilske</w:t>
      </w:r>
      <w:proofErr w:type="spellEnd"/>
      <w:r>
        <w:rPr>
          <w:rFonts w:eastAsia="Calibri" w:cs="Arial"/>
          <w:szCs w:val="20"/>
        </w:rPr>
        <w:t xml:space="preserve"> službe v času dodelitve.</w:t>
      </w:r>
      <w:r w:rsidR="00042B7F">
        <w:rPr>
          <w:rFonts w:eastAsia="Calibri" w:cs="Arial"/>
          <w:szCs w:val="20"/>
        </w:rPr>
        <w:t xml:space="preserve"> </w:t>
      </w:r>
      <w:r w:rsidR="00042B7F">
        <w:t xml:space="preserve">Kot podlago za izdelavo ocene </w:t>
      </w:r>
      <w:proofErr w:type="spellStart"/>
      <w:r w:rsidR="00042B7F">
        <w:t>državnotožilske</w:t>
      </w:r>
      <w:proofErr w:type="spellEnd"/>
      <w:r w:rsidR="00042B7F">
        <w:t xml:space="preserve"> službe se poleg mnenja o delu državnega tožilca, ki ga izdela predstojnik organa, pri katerem je oziroma je bil državni tožilec dodeljen, kumulativno dodaja tudi poročilo o delu državnega tožilca, ki ga izdela državni tožilec.</w:t>
      </w:r>
    </w:p>
    <w:p w:rsidR="00AE2155" w:rsidRPr="007A3AD7" w:rsidRDefault="00AE2155" w:rsidP="00B644CC">
      <w:pPr>
        <w:spacing w:line="288" w:lineRule="auto"/>
        <w:jc w:val="both"/>
        <w:rPr>
          <w:rFonts w:eastAsia="Calibri" w:cs="Arial"/>
          <w:szCs w:val="20"/>
        </w:rPr>
      </w:pPr>
    </w:p>
    <w:p w:rsidR="00AE2155" w:rsidRPr="00F508A2" w:rsidRDefault="00AE2155" w:rsidP="00B644CC">
      <w:pPr>
        <w:spacing w:line="288" w:lineRule="auto"/>
        <w:jc w:val="both"/>
        <w:rPr>
          <w:rFonts w:eastAsia="Calibri" w:cs="Arial"/>
          <w:b/>
          <w:szCs w:val="20"/>
        </w:rPr>
      </w:pPr>
      <w:r w:rsidRPr="00F508A2">
        <w:rPr>
          <w:rFonts w:eastAsia="Calibri" w:cs="Arial"/>
          <w:b/>
          <w:szCs w:val="20"/>
        </w:rPr>
        <w:t xml:space="preserve">K </w:t>
      </w:r>
      <w:r w:rsidR="00F508A2" w:rsidRPr="00F508A2">
        <w:rPr>
          <w:rFonts w:eastAsia="Calibri" w:cs="Arial"/>
          <w:b/>
          <w:szCs w:val="20"/>
        </w:rPr>
        <w:t>9</w:t>
      </w:r>
      <w:r w:rsidRPr="00F508A2">
        <w:rPr>
          <w:rFonts w:eastAsia="Calibri" w:cs="Arial"/>
          <w:b/>
          <w:szCs w:val="20"/>
        </w:rPr>
        <w:t>. členu</w:t>
      </w:r>
    </w:p>
    <w:p w:rsidR="00AE2155" w:rsidRPr="009B4D00" w:rsidRDefault="00AE2155" w:rsidP="00B644CC">
      <w:pPr>
        <w:spacing w:line="288" w:lineRule="auto"/>
        <w:jc w:val="both"/>
        <w:rPr>
          <w:rFonts w:eastAsia="Calibri" w:cs="Arial"/>
          <w:szCs w:val="20"/>
        </w:rPr>
      </w:pPr>
      <w:r w:rsidRPr="009B4D00">
        <w:rPr>
          <w:rFonts w:eastAsia="Calibri" w:cs="Arial"/>
          <w:szCs w:val="20"/>
        </w:rPr>
        <w:t xml:space="preserve">V predlaganih določbah se veljavna ureditev 8. poglavja z naslovom »Nacionalni predstavnik v </w:t>
      </w:r>
      <w:proofErr w:type="spellStart"/>
      <w:r w:rsidRPr="009B4D00">
        <w:rPr>
          <w:rFonts w:eastAsia="Calibri" w:cs="Arial"/>
          <w:szCs w:val="20"/>
        </w:rPr>
        <w:t>Eurojustu</w:t>
      </w:r>
      <w:proofErr w:type="spellEnd"/>
      <w:r w:rsidRPr="009B4D00">
        <w:rPr>
          <w:rFonts w:eastAsia="Calibri" w:cs="Arial"/>
          <w:szCs w:val="20"/>
        </w:rPr>
        <w:t xml:space="preserve">« usklajuje z določbami Uredbe 2018/1727/EU. V bistvenih rešitvah se ne odstopa od veljavne ureditve. </w:t>
      </w:r>
    </w:p>
    <w:p w:rsidR="00AE2155" w:rsidRPr="009B4D00" w:rsidRDefault="00AE2155" w:rsidP="00B644CC">
      <w:pPr>
        <w:spacing w:line="288" w:lineRule="auto"/>
        <w:jc w:val="both"/>
        <w:rPr>
          <w:rFonts w:eastAsia="Calibri" w:cs="Arial"/>
          <w:szCs w:val="20"/>
        </w:rPr>
      </w:pPr>
    </w:p>
    <w:p w:rsidR="006E6DDF" w:rsidRPr="002F3ADC" w:rsidRDefault="00AE2155" w:rsidP="006E6DDF">
      <w:pPr>
        <w:spacing w:line="288" w:lineRule="auto"/>
        <w:jc w:val="both"/>
        <w:rPr>
          <w:rFonts w:eastAsia="Calibri" w:cs="Arial"/>
          <w:strike/>
          <w:szCs w:val="20"/>
        </w:rPr>
      </w:pPr>
      <w:r w:rsidRPr="009B4D00">
        <w:rPr>
          <w:rFonts w:eastAsia="Calibri" w:cs="Arial"/>
          <w:szCs w:val="20"/>
        </w:rPr>
        <w:t xml:space="preserve">Z novim 67.a členom se </w:t>
      </w:r>
      <w:r w:rsidR="0093366C">
        <w:rPr>
          <w:rFonts w:eastAsia="Calibri" w:cs="Arial"/>
          <w:szCs w:val="20"/>
        </w:rPr>
        <w:t xml:space="preserve">določajo člani </w:t>
      </w:r>
      <w:proofErr w:type="spellStart"/>
      <w:r w:rsidR="0093366C">
        <w:rPr>
          <w:rFonts w:eastAsia="Calibri" w:cs="Arial"/>
          <w:szCs w:val="20"/>
        </w:rPr>
        <w:t>Eurojusta</w:t>
      </w:r>
      <w:proofErr w:type="spellEnd"/>
      <w:r w:rsidR="0093366C">
        <w:rPr>
          <w:rFonts w:eastAsia="Calibri" w:cs="Arial"/>
          <w:szCs w:val="20"/>
        </w:rPr>
        <w:t xml:space="preserve"> iz </w:t>
      </w:r>
      <w:proofErr w:type="spellStart"/>
      <w:r w:rsidR="0093366C">
        <w:rPr>
          <w:rFonts w:eastAsia="Calibri" w:cs="Arial"/>
          <w:szCs w:val="20"/>
        </w:rPr>
        <w:t>Repubilke</w:t>
      </w:r>
      <w:proofErr w:type="spellEnd"/>
      <w:r w:rsidR="0093366C">
        <w:rPr>
          <w:rFonts w:eastAsia="Calibri" w:cs="Arial"/>
          <w:szCs w:val="20"/>
        </w:rPr>
        <w:t xml:space="preserve"> Slovenije. Ker je tretji odstavek </w:t>
      </w:r>
      <w:r w:rsidR="0093366C" w:rsidRPr="009B4D00">
        <w:rPr>
          <w:rFonts w:eastAsia="Calibri" w:cs="Arial"/>
          <w:szCs w:val="20"/>
        </w:rPr>
        <w:t>Uredbe 2018/1727/EU</w:t>
      </w:r>
      <w:r w:rsidR="0093366C">
        <w:rPr>
          <w:rFonts w:eastAsia="Calibri" w:cs="Arial"/>
          <w:szCs w:val="20"/>
        </w:rPr>
        <w:t xml:space="preserve"> diskrecijska določba, po kateri lahko nacionalnemu predstavniku pomagajo poleg namestnika in pomočnika še dodatni namestniki in pomočniki, ki imajo lahko po potrebi in v soglasju s kolegijem svoje stalno delovno mesto na </w:t>
      </w:r>
      <w:proofErr w:type="spellStart"/>
      <w:r w:rsidR="0093366C">
        <w:rPr>
          <w:rFonts w:eastAsia="Calibri" w:cs="Arial"/>
          <w:szCs w:val="20"/>
        </w:rPr>
        <w:t>Eurojustu</w:t>
      </w:r>
      <w:proofErr w:type="spellEnd"/>
      <w:r w:rsidR="0093366C">
        <w:rPr>
          <w:rFonts w:eastAsia="Calibri" w:cs="Arial"/>
          <w:szCs w:val="20"/>
        </w:rPr>
        <w:t>, se s predlagano določbo</w:t>
      </w:r>
      <w:r w:rsidR="00F74131">
        <w:rPr>
          <w:rFonts w:eastAsia="Calibri" w:cs="Arial"/>
          <w:szCs w:val="20"/>
        </w:rPr>
        <w:t xml:space="preserve"> omejuje število imenovanih nacionalnih članov v </w:t>
      </w:r>
      <w:proofErr w:type="spellStart"/>
      <w:r w:rsidR="00F74131">
        <w:rPr>
          <w:rFonts w:eastAsia="Calibri" w:cs="Arial"/>
          <w:szCs w:val="20"/>
        </w:rPr>
        <w:t>Eurojustu</w:t>
      </w:r>
      <w:proofErr w:type="spellEnd"/>
      <w:r w:rsidR="00F74131">
        <w:rPr>
          <w:rFonts w:eastAsia="Calibri" w:cs="Arial"/>
          <w:szCs w:val="20"/>
        </w:rPr>
        <w:t xml:space="preserve"> na nacionalnega predstavnika, njegovega namestnika in pomočnika</w:t>
      </w:r>
      <w:r w:rsidR="00001A56">
        <w:rPr>
          <w:rFonts w:eastAsia="Calibri" w:cs="Arial"/>
          <w:szCs w:val="20"/>
        </w:rPr>
        <w:t xml:space="preserve">. </w:t>
      </w:r>
      <w:bookmarkStart w:id="41" w:name="_Hlk40960998"/>
      <w:r w:rsidR="006E6DDF" w:rsidRPr="004F1D99">
        <w:rPr>
          <w:rFonts w:cs="Arial"/>
        </w:rPr>
        <w:t>Uredb</w:t>
      </w:r>
      <w:r w:rsidR="006E6DDF">
        <w:rPr>
          <w:rFonts w:cs="Arial"/>
        </w:rPr>
        <w:t>a</w:t>
      </w:r>
      <w:r w:rsidR="006E6DDF" w:rsidRPr="004F1D99">
        <w:rPr>
          <w:rFonts w:cs="Arial"/>
        </w:rPr>
        <w:t xml:space="preserve"> </w:t>
      </w:r>
      <w:r w:rsidR="006E6DDF" w:rsidRPr="00115F14">
        <w:rPr>
          <w:rFonts w:eastAsia="Calibri" w:cs="Arial"/>
          <w:szCs w:val="20"/>
        </w:rPr>
        <w:t>2018/1727/EU</w:t>
      </w:r>
      <w:r w:rsidR="006E6DDF">
        <w:rPr>
          <w:rFonts w:eastAsia="Calibri" w:cs="Arial"/>
          <w:szCs w:val="20"/>
        </w:rPr>
        <w:t xml:space="preserve"> omogoča državi članici, da določi delovno mesto namestnika nacionalnega predstavnika ali delovno mesto pomočnika v svoji državi. Iz določbe drugega odstavka 7. člena Uredbe </w:t>
      </w:r>
      <w:r w:rsidR="006E6DDF" w:rsidRPr="00115F14">
        <w:rPr>
          <w:rFonts w:eastAsia="Calibri" w:cs="Arial"/>
          <w:szCs w:val="20"/>
        </w:rPr>
        <w:t>2018/1727/EU</w:t>
      </w:r>
      <w:r w:rsidR="006E6DDF">
        <w:rPr>
          <w:rFonts w:eastAsia="Calibri" w:cs="Arial"/>
          <w:szCs w:val="20"/>
        </w:rPr>
        <w:t xml:space="preserve"> </w:t>
      </w:r>
      <w:r w:rsidR="006E6DDF" w:rsidRPr="004F1D99">
        <w:rPr>
          <w:rFonts w:cs="Arial"/>
        </w:rPr>
        <w:t>izhaja, da gre pri odločitvi</w:t>
      </w:r>
      <w:r w:rsidR="006E6DDF">
        <w:rPr>
          <w:rFonts w:cs="Arial"/>
        </w:rPr>
        <w:t xml:space="preserve"> o prenosu stalnega delovnega mesta namestnika nacionalnega predstavnika oziroma pomočnika </w:t>
      </w:r>
      <w:r w:rsidR="006E6DDF" w:rsidRPr="004F1D99">
        <w:rPr>
          <w:rFonts w:cs="Arial"/>
        </w:rPr>
        <w:t>v svoj</w:t>
      </w:r>
      <w:r w:rsidR="006E6DDF">
        <w:rPr>
          <w:rFonts w:cs="Arial"/>
        </w:rPr>
        <w:t>o</w:t>
      </w:r>
      <w:r w:rsidR="006E6DDF" w:rsidRPr="004F1D99">
        <w:rPr>
          <w:rFonts w:cs="Arial"/>
        </w:rPr>
        <w:t xml:space="preserve"> držav</w:t>
      </w:r>
      <w:r w:rsidR="006E6DDF">
        <w:rPr>
          <w:rFonts w:cs="Arial"/>
        </w:rPr>
        <w:t>o</w:t>
      </w:r>
      <w:r w:rsidR="006E6DDF" w:rsidRPr="004F1D99">
        <w:rPr>
          <w:rFonts w:cs="Arial"/>
        </w:rPr>
        <w:t xml:space="preserve"> članic</w:t>
      </w:r>
      <w:r w:rsidR="006E6DDF">
        <w:rPr>
          <w:rFonts w:cs="Arial"/>
        </w:rPr>
        <w:t>o</w:t>
      </w:r>
      <w:r w:rsidR="006E6DDF" w:rsidRPr="004F1D99">
        <w:rPr>
          <w:rFonts w:cs="Arial"/>
        </w:rPr>
        <w:t xml:space="preserve"> za izjemno</w:t>
      </w:r>
      <w:r w:rsidR="006E6DDF">
        <w:rPr>
          <w:rFonts w:cs="Arial"/>
        </w:rPr>
        <w:t xml:space="preserve"> in</w:t>
      </w:r>
      <w:r w:rsidR="006E6DDF" w:rsidRPr="004F1D99">
        <w:rPr>
          <w:rFonts w:cs="Arial"/>
        </w:rPr>
        <w:t xml:space="preserve"> posebej utemeljeno situacijo. Primerjava s prejšnjo relevantno določbo Sklepa </w:t>
      </w:r>
      <w:r w:rsidR="006E6DDF" w:rsidRPr="00115F14">
        <w:rPr>
          <w:rFonts w:cs="Arial"/>
        </w:rPr>
        <w:t>2002/187/PNZ</w:t>
      </w:r>
      <w:r w:rsidR="006E6DDF" w:rsidRPr="004F1D99">
        <w:rPr>
          <w:rFonts w:cs="Arial"/>
        </w:rPr>
        <w:t xml:space="preserve">, kaže, da se je zakonodajalec namesto prej veljavnega </w:t>
      </w:r>
      <w:r w:rsidR="00523543">
        <w:rPr>
          <w:rFonts w:cs="Arial"/>
        </w:rPr>
        <w:t>načina dela</w:t>
      </w:r>
      <w:r w:rsidR="006E6DDF" w:rsidRPr="004F1D99">
        <w:rPr>
          <w:rFonts w:cs="Arial"/>
        </w:rPr>
        <w:t xml:space="preserve">, ko je bil sedež delovnega mesta za namestnika in pomočnika v Haagu </w:t>
      </w:r>
      <w:r w:rsidR="00523543">
        <w:rPr>
          <w:rFonts w:cs="Arial"/>
        </w:rPr>
        <w:t>le</w:t>
      </w:r>
      <w:r w:rsidR="006E6DDF" w:rsidRPr="004F1D99">
        <w:rPr>
          <w:rFonts w:cs="Arial"/>
        </w:rPr>
        <w:t xml:space="preserve"> možnost (</w:t>
      </w:r>
      <w:r w:rsidR="006E6DDF">
        <w:rPr>
          <w:rFonts w:cs="Arial"/>
        </w:rPr>
        <w:t xml:space="preserve">drugi odstavek </w:t>
      </w:r>
      <w:r w:rsidR="006E6DDF" w:rsidRPr="004F1D99">
        <w:rPr>
          <w:rFonts w:cs="Arial"/>
        </w:rPr>
        <w:t>2</w:t>
      </w:r>
      <w:r w:rsidR="006E6DDF">
        <w:rPr>
          <w:rFonts w:cs="Arial"/>
        </w:rPr>
        <w:t xml:space="preserve">. </w:t>
      </w:r>
      <w:r w:rsidR="006E6DDF" w:rsidRPr="004F1D99">
        <w:rPr>
          <w:rFonts w:cs="Arial"/>
        </w:rPr>
        <w:t>b čl</w:t>
      </w:r>
      <w:r w:rsidR="006E6DDF">
        <w:rPr>
          <w:rFonts w:cs="Arial"/>
        </w:rPr>
        <w:t>ena</w:t>
      </w:r>
      <w:r w:rsidR="006E6DDF" w:rsidRPr="004F1D99">
        <w:rPr>
          <w:rFonts w:cs="Arial"/>
        </w:rPr>
        <w:t xml:space="preserve"> Sklepa </w:t>
      </w:r>
      <w:r w:rsidR="006E6DDF" w:rsidRPr="00115F14">
        <w:rPr>
          <w:rFonts w:cs="Arial"/>
        </w:rPr>
        <w:t>2002/187/PNZ</w:t>
      </w:r>
      <w:r w:rsidR="006E6DDF" w:rsidRPr="004F1D99">
        <w:rPr>
          <w:rFonts w:cs="Arial"/>
        </w:rPr>
        <w:t>)</w:t>
      </w:r>
      <w:r w:rsidR="00523543">
        <w:rPr>
          <w:rFonts w:cs="Arial"/>
        </w:rPr>
        <w:t>,</w:t>
      </w:r>
      <w:r w:rsidR="006E6DDF" w:rsidRPr="004F1D99">
        <w:rPr>
          <w:rFonts w:cs="Arial"/>
        </w:rPr>
        <w:t xml:space="preserve"> odločil za </w:t>
      </w:r>
      <w:r w:rsidR="006E6DDF">
        <w:rPr>
          <w:rFonts w:cs="Arial"/>
        </w:rPr>
        <w:t>ureditev</w:t>
      </w:r>
      <w:r w:rsidR="006E6DDF" w:rsidRPr="004F1D99">
        <w:rPr>
          <w:rFonts w:cs="Arial"/>
        </w:rPr>
        <w:t>, po kater</w:t>
      </w:r>
      <w:r w:rsidR="006E6DDF">
        <w:rPr>
          <w:rFonts w:cs="Arial"/>
        </w:rPr>
        <w:t>i</w:t>
      </w:r>
      <w:r w:rsidR="006E6DDF" w:rsidRPr="004F1D99">
        <w:rPr>
          <w:rFonts w:cs="Arial"/>
        </w:rPr>
        <w:t xml:space="preserve"> je ta sedež delovnega mesta zdaj </w:t>
      </w:r>
      <w:r w:rsidR="006E6DDF">
        <w:rPr>
          <w:rFonts w:cs="Arial"/>
        </w:rPr>
        <w:t xml:space="preserve">primarno in </w:t>
      </w:r>
      <w:r w:rsidR="006E6DDF" w:rsidRPr="004F1D99">
        <w:rPr>
          <w:rFonts w:cs="Arial"/>
        </w:rPr>
        <w:t xml:space="preserve">praviloma (»načeloma«) </w:t>
      </w:r>
      <w:r w:rsidR="006E6DDF">
        <w:rPr>
          <w:rFonts w:cs="Arial"/>
        </w:rPr>
        <w:t xml:space="preserve">določen </w:t>
      </w:r>
      <w:r w:rsidR="006E6DDF" w:rsidRPr="004F1D99">
        <w:rPr>
          <w:rFonts w:cs="Arial"/>
        </w:rPr>
        <w:t>v Haagu. Glede na to, da Uredba</w:t>
      </w:r>
      <w:r w:rsidR="006E6DDF">
        <w:rPr>
          <w:rFonts w:cs="Arial"/>
        </w:rPr>
        <w:t xml:space="preserve"> </w:t>
      </w:r>
      <w:r w:rsidR="006E6DDF" w:rsidRPr="00115F14">
        <w:rPr>
          <w:rFonts w:eastAsia="Calibri" w:cs="Arial"/>
          <w:szCs w:val="20"/>
        </w:rPr>
        <w:t>2018/1727/EU</w:t>
      </w:r>
      <w:r w:rsidR="006E6DDF" w:rsidRPr="004F1D99">
        <w:rPr>
          <w:rFonts w:cs="Arial"/>
        </w:rPr>
        <w:t xml:space="preserve"> vendarle omogoča, da imata namestnik in pomočnik sedež delovnega mesta v državi članici, ter da jima izrecno ne prepoveduje reševanja zadev</w:t>
      </w:r>
      <w:r w:rsidR="00523543">
        <w:rPr>
          <w:rFonts w:cs="Arial"/>
        </w:rPr>
        <w:t xml:space="preserve"> po pravu države članice</w:t>
      </w:r>
      <w:r w:rsidR="006E6DDF" w:rsidRPr="004F1D99">
        <w:rPr>
          <w:rFonts w:cs="Arial"/>
        </w:rPr>
        <w:t xml:space="preserve">, </w:t>
      </w:r>
      <w:r w:rsidR="00523543">
        <w:rPr>
          <w:rFonts w:cs="Arial"/>
        </w:rPr>
        <w:t>sta</w:t>
      </w:r>
      <w:r w:rsidR="006E6DDF" w:rsidRPr="004F1D99">
        <w:rPr>
          <w:rFonts w:cs="Arial"/>
        </w:rPr>
        <w:t xml:space="preserve"> pri odločitvi o sedežu in možnosti reševanja </w:t>
      </w:r>
      <w:r w:rsidR="00523543">
        <w:rPr>
          <w:rFonts w:cs="Arial"/>
        </w:rPr>
        <w:t xml:space="preserve">notranjih </w:t>
      </w:r>
      <w:r w:rsidR="006E6DDF" w:rsidRPr="004F1D99">
        <w:rPr>
          <w:rFonts w:cs="Arial"/>
        </w:rPr>
        <w:t>zadev</w:t>
      </w:r>
      <w:r w:rsidR="00523543">
        <w:rPr>
          <w:rFonts w:cs="Arial"/>
        </w:rPr>
        <w:t xml:space="preserve"> ključna </w:t>
      </w:r>
      <w:r w:rsidR="006E6DDF" w:rsidRPr="004F1D99">
        <w:rPr>
          <w:rFonts w:cs="Arial"/>
        </w:rPr>
        <w:t xml:space="preserve">ocena smotrnosti </w:t>
      </w:r>
      <w:r w:rsidR="006E6DDF">
        <w:rPr>
          <w:rFonts w:cs="Arial"/>
        </w:rPr>
        <w:t xml:space="preserve">prenosa </w:t>
      </w:r>
      <w:r w:rsidR="006E6DDF" w:rsidRPr="004F1D99">
        <w:rPr>
          <w:rFonts w:cs="Arial"/>
        </w:rPr>
        <w:t xml:space="preserve">sedeža delovnega mesta v </w:t>
      </w:r>
      <w:r w:rsidR="006E6DDF">
        <w:rPr>
          <w:rFonts w:cs="Arial"/>
        </w:rPr>
        <w:t>državo članico</w:t>
      </w:r>
      <w:r w:rsidR="006E6DDF" w:rsidRPr="004F1D99">
        <w:rPr>
          <w:rFonts w:cs="Arial"/>
        </w:rPr>
        <w:t xml:space="preserve"> </w:t>
      </w:r>
      <w:r w:rsidR="00523543">
        <w:rPr>
          <w:rFonts w:cs="Arial"/>
        </w:rPr>
        <w:t>(</w:t>
      </w:r>
      <w:r w:rsidR="006E6DDF" w:rsidRPr="004F1D99">
        <w:rPr>
          <w:rFonts w:cs="Arial"/>
        </w:rPr>
        <w:t xml:space="preserve">tudi z vidika samega poteka delovnega procesa znotraj </w:t>
      </w:r>
      <w:proofErr w:type="spellStart"/>
      <w:r w:rsidR="006E6DDF" w:rsidRPr="004F1D99">
        <w:rPr>
          <w:rFonts w:cs="Arial"/>
        </w:rPr>
        <w:t>Eurojusta</w:t>
      </w:r>
      <w:proofErr w:type="spellEnd"/>
      <w:r w:rsidR="00523543">
        <w:rPr>
          <w:rFonts w:cs="Arial"/>
        </w:rPr>
        <w:t>)</w:t>
      </w:r>
      <w:r w:rsidR="006E6DDF" w:rsidRPr="004F1D99">
        <w:rPr>
          <w:rFonts w:cs="Arial"/>
        </w:rPr>
        <w:t xml:space="preserve"> in </w:t>
      </w:r>
      <w:r w:rsidR="00523543">
        <w:rPr>
          <w:rFonts w:cs="Arial"/>
        </w:rPr>
        <w:t xml:space="preserve">pa </w:t>
      </w:r>
      <w:r w:rsidR="006E6DDF" w:rsidRPr="004F1D99">
        <w:rPr>
          <w:rFonts w:cs="Arial"/>
        </w:rPr>
        <w:t xml:space="preserve">ocena dejanske delovne obremenitve namestnika in pomočnika v okviru </w:t>
      </w:r>
      <w:proofErr w:type="spellStart"/>
      <w:r w:rsidR="006E6DDF" w:rsidRPr="00952421">
        <w:rPr>
          <w:rFonts w:cs="Arial"/>
        </w:rPr>
        <w:t>Eurojusta</w:t>
      </w:r>
      <w:proofErr w:type="spellEnd"/>
      <w:r w:rsidR="006E6DDF" w:rsidRPr="00952421">
        <w:rPr>
          <w:rFonts w:cs="Arial"/>
        </w:rPr>
        <w:t>.</w:t>
      </w:r>
      <w:r w:rsidR="006E6DDF" w:rsidRPr="004F1D99">
        <w:rPr>
          <w:rFonts w:cs="Arial"/>
        </w:rPr>
        <w:t xml:space="preserve"> </w:t>
      </w:r>
    </w:p>
    <w:bookmarkEnd w:id="41"/>
    <w:p w:rsidR="006E6DDF" w:rsidRDefault="006E6DDF" w:rsidP="00FC1AFA">
      <w:pPr>
        <w:spacing w:line="288" w:lineRule="auto"/>
        <w:jc w:val="both"/>
        <w:rPr>
          <w:rFonts w:eastAsia="Calibri" w:cs="Arial"/>
          <w:szCs w:val="20"/>
        </w:rPr>
      </w:pPr>
    </w:p>
    <w:p w:rsidR="0093366C" w:rsidRDefault="006E6DDF" w:rsidP="00FC1AFA">
      <w:pPr>
        <w:spacing w:line="288" w:lineRule="auto"/>
        <w:jc w:val="both"/>
        <w:rPr>
          <w:rFonts w:eastAsia="Calibri" w:cs="Arial"/>
          <w:szCs w:val="20"/>
        </w:rPr>
      </w:pPr>
      <w:r>
        <w:rPr>
          <w:rFonts w:eastAsia="Calibri" w:cs="Arial"/>
          <w:szCs w:val="20"/>
        </w:rPr>
        <w:t xml:space="preserve">Dodatnih namestnikov oziroma pomočnikov, kot jih </w:t>
      </w:r>
      <w:r w:rsidR="00523543">
        <w:rPr>
          <w:rFonts w:eastAsia="Calibri" w:cs="Arial"/>
          <w:szCs w:val="20"/>
        </w:rPr>
        <w:t>izbirno (</w:t>
      </w:r>
      <w:r>
        <w:rPr>
          <w:rFonts w:eastAsia="Calibri" w:cs="Arial"/>
          <w:szCs w:val="20"/>
        </w:rPr>
        <w:t>opcijsko</w:t>
      </w:r>
      <w:r w:rsidR="00523543">
        <w:rPr>
          <w:rFonts w:eastAsia="Calibri" w:cs="Arial"/>
          <w:szCs w:val="20"/>
        </w:rPr>
        <w:t>)</w:t>
      </w:r>
      <w:r>
        <w:rPr>
          <w:rFonts w:eastAsia="Calibri" w:cs="Arial"/>
          <w:szCs w:val="20"/>
        </w:rPr>
        <w:t xml:space="preserve"> določa </w:t>
      </w:r>
      <w:r w:rsidR="00F74131">
        <w:rPr>
          <w:rFonts w:eastAsia="Calibri" w:cs="Arial"/>
          <w:szCs w:val="20"/>
        </w:rPr>
        <w:t xml:space="preserve">Uredba </w:t>
      </w:r>
      <w:r w:rsidR="00F74131" w:rsidRPr="009B4D00">
        <w:rPr>
          <w:rFonts w:eastAsia="Calibri" w:cs="Arial"/>
          <w:szCs w:val="20"/>
        </w:rPr>
        <w:t>2018/1727/EU</w:t>
      </w:r>
      <w:r w:rsidR="00F74131">
        <w:rPr>
          <w:rFonts w:eastAsia="Calibri" w:cs="Arial"/>
          <w:szCs w:val="20"/>
        </w:rPr>
        <w:t xml:space="preserve"> Republika Slovenija</w:t>
      </w:r>
      <w:r w:rsidR="00DD3035">
        <w:rPr>
          <w:rFonts w:eastAsia="Calibri" w:cs="Arial"/>
          <w:szCs w:val="20"/>
        </w:rPr>
        <w:t xml:space="preserve">, upoštevaje Letno poročilo o delu </w:t>
      </w:r>
      <w:proofErr w:type="spellStart"/>
      <w:r w:rsidR="00DD3035">
        <w:rPr>
          <w:rFonts w:eastAsia="Calibri" w:cs="Arial"/>
          <w:szCs w:val="20"/>
        </w:rPr>
        <w:t>Eurojusta</w:t>
      </w:r>
      <w:proofErr w:type="spellEnd"/>
      <w:r w:rsidR="00DD3035">
        <w:rPr>
          <w:rFonts w:eastAsia="Calibri" w:cs="Arial"/>
          <w:szCs w:val="20"/>
        </w:rPr>
        <w:t xml:space="preserve"> za leto 2019</w:t>
      </w:r>
      <w:r>
        <w:rPr>
          <w:rFonts w:eastAsia="Calibri" w:cs="Arial"/>
          <w:szCs w:val="20"/>
        </w:rPr>
        <w:t xml:space="preserve"> in</w:t>
      </w:r>
      <w:r w:rsidR="00DD3035">
        <w:rPr>
          <w:rFonts w:eastAsia="Calibri" w:cs="Arial"/>
          <w:szCs w:val="20"/>
        </w:rPr>
        <w:t xml:space="preserve"> po pregledu </w:t>
      </w:r>
      <w:r w:rsidR="00DD3035" w:rsidRPr="00DD3035">
        <w:rPr>
          <w:rFonts w:eastAsia="Calibri" w:cs="Arial"/>
          <w:szCs w:val="20"/>
        </w:rPr>
        <w:t>primerov iz leta 2019</w:t>
      </w:r>
      <w:r>
        <w:rPr>
          <w:rFonts w:eastAsia="Calibri" w:cs="Arial"/>
          <w:szCs w:val="20"/>
        </w:rPr>
        <w:t xml:space="preserve"> (podatki so statistično primerljivi tudi za leto 2018 in 2017)</w:t>
      </w:r>
      <w:r w:rsidR="00DD3035" w:rsidRPr="00DD3035">
        <w:rPr>
          <w:rFonts w:eastAsia="Calibri" w:cs="Arial"/>
          <w:szCs w:val="20"/>
        </w:rPr>
        <w:t>, v katerih so sodelovala nacionalna predstavništva</w:t>
      </w:r>
      <w:r w:rsidR="00523543">
        <w:rPr>
          <w:rFonts w:eastAsia="Calibri" w:cs="Arial"/>
          <w:szCs w:val="20"/>
        </w:rPr>
        <w:t>,</w:t>
      </w:r>
      <w:r w:rsidR="00DD3035">
        <w:rPr>
          <w:rFonts w:eastAsia="Calibri" w:cs="Arial"/>
          <w:szCs w:val="20"/>
        </w:rPr>
        <w:t xml:space="preserve"> ni v takem obsegu (v letu 2019 je bilo 151 primerov, ki jih je začelo nacionalno predstavništvo RS</w:t>
      </w:r>
      <w:r w:rsidR="00523543">
        <w:rPr>
          <w:rFonts w:eastAsia="Calibri" w:cs="Arial"/>
          <w:szCs w:val="20"/>
        </w:rPr>
        <w:t>,</w:t>
      </w:r>
      <w:r w:rsidR="00DD3035">
        <w:rPr>
          <w:rFonts w:eastAsia="Calibri" w:cs="Arial"/>
          <w:szCs w:val="20"/>
        </w:rPr>
        <w:t xml:space="preserve"> in sodelovalo v 80</w:t>
      </w:r>
      <w:r w:rsidR="00F47424">
        <w:rPr>
          <w:rFonts w:eastAsia="Calibri" w:cs="Arial"/>
          <w:szCs w:val="20"/>
        </w:rPr>
        <w:t>.</w:t>
      </w:r>
      <w:r w:rsidR="00DD3035">
        <w:rPr>
          <w:rFonts w:eastAsia="Calibri" w:cs="Arial"/>
          <w:szCs w:val="20"/>
        </w:rPr>
        <w:t xml:space="preserve"> primerih</w:t>
      </w:r>
      <w:r w:rsidR="00FC1AFA">
        <w:rPr>
          <w:rFonts w:eastAsia="Calibri" w:cs="Arial"/>
          <w:szCs w:val="20"/>
        </w:rPr>
        <w:t xml:space="preserve">, </w:t>
      </w:r>
      <w:r w:rsidR="00FC1AFA" w:rsidRPr="00FC1AFA">
        <w:rPr>
          <w:rFonts w:eastAsia="Calibri" w:cs="Arial"/>
          <w:szCs w:val="20"/>
        </w:rPr>
        <w:t>ki jih je začelo predstavništvo</w:t>
      </w:r>
      <w:r w:rsidR="00FC1AFA">
        <w:rPr>
          <w:rFonts w:eastAsia="Calibri" w:cs="Arial"/>
          <w:szCs w:val="20"/>
        </w:rPr>
        <w:t xml:space="preserve"> druge države članice)</w:t>
      </w:r>
      <w:r w:rsidR="00DD3035">
        <w:rPr>
          <w:rFonts w:eastAsia="Calibri" w:cs="Arial"/>
          <w:szCs w:val="20"/>
        </w:rPr>
        <w:t xml:space="preserve">, </w:t>
      </w:r>
      <w:r w:rsidR="00F47424">
        <w:rPr>
          <w:rFonts w:eastAsia="Calibri" w:cs="Arial"/>
          <w:szCs w:val="20"/>
        </w:rPr>
        <w:t>da</w:t>
      </w:r>
      <w:r w:rsidR="00DD3035">
        <w:rPr>
          <w:rFonts w:eastAsia="Calibri" w:cs="Arial"/>
          <w:szCs w:val="20"/>
        </w:rPr>
        <w:t xml:space="preserve"> bi </w:t>
      </w:r>
      <w:r w:rsidR="00F47424">
        <w:rPr>
          <w:rFonts w:eastAsia="Calibri" w:cs="Arial"/>
          <w:szCs w:val="20"/>
        </w:rPr>
        <w:t xml:space="preserve">bila izražena </w:t>
      </w:r>
      <w:r>
        <w:rPr>
          <w:rFonts w:eastAsia="Calibri" w:cs="Arial"/>
          <w:szCs w:val="20"/>
        </w:rPr>
        <w:t>potreb</w:t>
      </w:r>
      <w:r w:rsidR="00F47424">
        <w:rPr>
          <w:rFonts w:eastAsia="Calibri" w:cs="Arial"/>
          <w:szCs w:val="20"/>
        </w:rPr>
        <w:t>a</w:t>
      </w:r>
      <w:r>
        <w:rPr>
          <w:rFonts w:eastAsia="Calibri" w:cs="Arial"/>
          <w:szCs w:val="20"/>
        </w:rPr>
        <w:t xml:space="preserve"> po imenovanju </w:t>
      </w:r>
      <w:r w:rsidR="00DD3035">
        <w:rPr>
          <w:rFonts w:eastAsia="Calibri" w:cs="Arial"/>
          <w:szCs w:val="20"/>
        </w:rPr>
        <w:t>dodatn</w:t>
      </w:r>
      <w:r>
        <w:rPr>
          <w:rFonts w:eastAsia="Calibri" w:cs="Arial"/>
          <w:szCs w:val="20"/>
        </w:rPr>
        <w:t>ih</w:t>
      </w:r>
      <w:r w:rsidR="00DD3035">
        <w:rPr>
          <w:rFonts w:eastAsia="Calibri" w:cs="Arial"/>
          <w:szCs w:val="20"/>
        </w:rPr>
        <w:t xml:space="preserve"> namestnik</w:t>
      </w:r>
      <w:r>
        <w:rPr>
          <w:rFonts w:eastAsia="Calibri" w:cs="Arial"/>
          <w:szCs w:val="20"/>
        </w:rPr>
        <w:t>ov</w:t>
      </w:r>
      <w:r w:rsidR="00DD3035">
        <w:rPr>
          <w:rFonts w:eastAsia="Calibri" w:cs="Arial"/>
          <w:szCs w:val="20"/>
        </w:rPr>
        <w:t xml:space="preserve"> oziroma pomočnik</w:t>
      </w:r>
      <w:r>
        <w:rPr>
          <w:rFonts w:eastAsia="Calibri" w:cs="Arial"/>
          <w:szCs w:val="20"/>
        </w:rPr>
        <w:t xml:space="preserve">ov. </w:t>
      </w:r>
      <w:r w:rsidR="00001A56">
        <w:rPr>
          <w:rFonts w:eastAsia="Calibri" w:cs="Arial"/>
          <w:szCs w:val="20"/>
        </w:rPr>
        <w:t xml:space="preserve"> </w:t>
      </w:r>
    </w:p>
    <w:p w:rsidR="00AE2155" w:rsidRPr="009B4D00" w:rsidRDefault="00AE2155" w:rsidP="00B644CC">
      <w:pPr>
        <w:spacing w:line="288" w:lineRule="auto"/>
        <w:jc w:val="both"/>
        <w:rPr>
          <w:rFonts w:eastAsia="Calibri" w:cs="Arial"/>
          <w:szCs w:val="20"/>
        </w:rPr>
      </w:pPr>
    </w:p>
    <w:p w:rsidR="00AE2155" w:rsidRPr="009B4D00" w:rsidRDefault="00AE2155" w:rsidP="00B644CC">
      <w:pPr>
        <w:spacing w:line="288" w:lineRule="auto"/>
        <w:jc w:val="both"/>
        <w:rPr>
          <w:rFonts w:eastAsia="Calibri" w:cs="Arial"/>
          <w:b/>
          <w:bCs/>
          <w:szCs w:val="20"/>
        </w:rPr>
      </w:pPr>
      <w:r w:rsidRPr="009B4D00">
        <w:rPr>
          <w:rFonts w:eastAsia="Calibri" w:cs="Arial"/>
          <w:b/>
          <w:bCs/>
          <w:szCs w:val="20"/>
        </w:rPr>
        <w:t xml:space="preserve">K </w:t>
      </w:r>
      <w:r w:rsidR="00704F09">
        <w:rPr>
          <w:rFonts w:eastAsia="Calibri" w:cs="Arial"/>
          <w:b/>
          <w:bCs/>
          <w:szCs w:val="20"/>
        </w:rPr>
        <w:t>10</w:t>
      </w:r>
      <w:r w:rsidRPr="009B4D00">
        <w:rPr>
          <w:rFonts w:eastAsia="Calibri" w:cs="Arial"/>
          <w:b/>
          <w:bCs/>
          <w:szCs w:val="20"/>
        </w:rPr>
        <w:t>. členu</w:t>
      </w:r>
    </w:p>
    <w:p w:rsidR="00704F09" w:rsidRDefault="00AE2155" w:rsidP="00B644CC">
      <w:pPr>
        <w:spacing w:line="288" w:lineRule="auto"/>
        <w:jc w:val="both"/>
        <w:rPr>
          <w:rFonts w:eastAsia="Calibri" w:cs="Arial"/>
          <w:szCs w:val="20"/>
        </w:rPr>
      </w:pPr>
      <w:r w:rsidRPr="009B4D00">
        <w:rPr>
          <w:rFonts w:eastAsia="Calibri" w:cs="Arial"/>
          <w:szCs w:val="20"/>
        </w:rPr>
        <w:t xml:space="preserve">Na podlagi 7. člena Uredbe </w:t>
      </w:r>
      <w:r w:rsidRPr="009B4D00">
        <w:t xml:space="preserve">vsaka država članica v skladu s svojim pravnim sistemom v </w:t>
      </w:r>
      <w:proofErr w:type="spellStart"/>
      <w:r w:rsidRPr="009B4D00">
        <w:t>Eurojust</w:t>
      </w:r>
      <w:proofErr w:type="spellEnd"/>
      <w:r w:rsidRPr="009B4D00">
        <w:t xml:space="preserve"> začasno napoti po enega nacionalnega člana</w:t>
      </w:r>
      <w:r w:rsidR="00F47424">
        <w:t>. Ta</w:t>
      </w:r>
      <w:r w:rsidRPr="009B4D00">
        <w:t xml:space="preserve"> ima stalno delovno mesto na sedežu </w:t>
      </w:r>
      <w:proofErr w:type="spellStart"/>
      <w:r w:rsidRPr="009B4D00">
        <w:t>Eurojusta</w:t>
      </w:r>
      <w:proofErr w:type="spellEnd"/>
      <w:r w:rsidRPr="009B4D00">
        <w:t xml:space="preserve">. </w:t>
      </w:r>
      <w:r w:rsidR="00001A56">
        <w:t xml:space="preserve">Po določbi šestega odstavka 7. člena </w:t>
      </w:r>
      <w:r w:rsidR="00001A56" w:rsidRPr="009B4D00">
        <w:rPr>
          <w:rFonts w:eastAsia="Calibri" w:cs="Arial"/>
          <w:szCs w:val="20"/>
        </w:rPr>
        <w:t>Uredbe 2018/1727/EU</w:t>
      </w:r>
      <w:r w:rsidR="00001A56" w:rsidRPr="009B4D00">
        <w:t xml:space="preserve"> </w:t>
      </w:r>
      <w:r w:rsidR="00001A56">
        <w:t>morajo države članice določiti nacionalnega predstavnika in namestnika na podlagi dokazanih ustreznih izkuš</w:t>
      </w:r>
      <w:r w:rsidR="00F47424">
        <w:t>enj</w:t>
      </w:r>
      <w:r w:rsidR="00001A56">
        <w:t xml:space="preserve"> na visoki ravni na področju kazenskih zadev. </w:t>
      </w:r>
      <w:r w:rsidRPr="009B4D00">
        <w:t xml:space="preserve">Z namenom, da se iz Slovenije napoti v </w:t>
      </w:r>
      <w:proofErr w:type="spellStart"/>
      <w:r w:rsidRPr="009B4D00">
        <w:t>Eurojust</w:t>
      </w:r>
      <w:proofErr w:type="spellEnd"/>
      <w:r w:rsidRPr="009B4D00">
        <w:t xml:space="preserve"> strokovno </w:t>
      </w:r>
      <w:r w:rsidR="00F47424">
        <w:t>pristojna</w:t>
      </w:r>
      <w:r w:rsidRPr="009B4D00">
        <w:t xml:space="preserve"> oseba se z novim 68. členom določajo pogoji za imenovanje članov </w:t>
      </w:r>
      <w:proofErr w:type="spellStart"/>
      <w:r w:rsidRPr="009B4D00">
        <w:t>Eurojusta</w:t>
      </w:r>
      <w:proofErr w:type="spellEnd"/>
      <w:r w:rsidRPr="009B4D00">
        <w:t xml:space="preserve">. </w:t>
      </w:r>
      <w:r w:rsidR="0033668C">
        <w:rPr>
          <w:rFonts w:eastAsia="Calibri" w:cs="Arial"/>
          <w:szCs w:val="20"/>
        </w:rPr>
        <w:t xml:space="preserve">Za nacionalnega predstavnika v </w:t>
      </w:r>
      <w:proofErr w:type="spellStart"/>
      <w:r w:rsidR="0033668C">
        <w:rPr>
          <w:rFonts w:eastAsia="Calibri" w:cs="Arial"/>
          <w:szCs w:val="20"/>
        </w:rPr>
        <w:t>Eurojustu</w:t>
      </w:r>
      <w:proofErr w:type="spellEnd"/>
      <w:r w:rsidR="0033668C">
        <w:rPr>
          <w:rFonts w:eastAsia="Calibri" w:cs="Arial"/>
          <w:szCs w:val="20"/>
        </w:rPr>
        <w:t xml:space="preserve"> in njegovega namestnika se bo lahko imenoval vrhovni ali višji državni tožilec ali okrožni državni tožilec, ki izpolnjuje pogoje za imenovanje v naziv višjega državnega tožilca. </w:t>
      </w:r>
      <w:r w:rsidRPr="009B4D00">
        <w:rPr>
          <w:rFonts w:eastAsia="Calibri" w:cs="Arial"/>
          <w:szCs w:val="20"/>
        </w:rPr>
        <w:t xml:space="preserve">Pogoji za imenovanje ostajajo nespremenjeni, določeni v skladu z ustreznim tožilskim </w:t>
      </w:r>
      <w:r w:rsidRPr="009B4D00">
        <w:rPr>
          <w:rFonts w:eastAsia="Calibri" w:cs="Arial"/>
          <w:szCs w:val="20"/>
        </w:rPr>
        <w:lastRenderedPageBreak/>
        <w:t xml:space="preserve">nazivom, ki odseva pridobljeno strokovnost in </w:t>
      </w:r>
      <w:r w:rsidR="0033668C">
        <w:rPr>
          <w:rFonts w:eastAsia="Calibri" w:cs="Arial"/>
          <w:szCs w:val="20"/>
        </w:rPr>
        <w:t xml:space="preserve">delovne </w:t>
      </w:r>
      <w:r w:rsidRPr="009B4D00">
        <w:rPr>
          <w:rFonts w:eastAsia="Calibri" w:cs="Arial"/>
          <w:szCs w:val="20"/>
        </w:rPr>
        <w:t>izkušnje</w:t>
      </w:r>
      <w:r w:rsidR="0033668C">
        <w:rPr>
          <w:rFonts w:eastAsia="Calibri" w:cs="Arial"/>
          <w:szCs w:val="20"/>
        </w:rPr>
        <w:t xml:space="preserve"> na visoki ravni </w:t>
      </w:r>
      <w:r w:rsidR="0033668C">
        <w:t>na področju kazenskih zadev</w:t>
      </w:r>
      <w:r w:rsidRPr="009B4D00">
        <w:rPr>
          <w:rFonts w:eastAsia="Calibri" w:cs="Arial"/>
          <w:szCs w:val="20"/>
        </w:rPr>
        <w:t xml:space="preserve">, vključno z dodatnimi pogoji glede znanja tujega jezika, ki ga bo zahtevala narava dela v </w:t>
      </w:r>
      <w:proofErr w:type="spellStart"/>
      <w:r w:rsidRPr="009B4D00">
        <w:rPr>
          <w:rFonts w:eastAsia="Calibri" w:cs="Arial"/>
          <w:szCs w:val="20"/>
        </w:rPr>
        <w:t>Eurojustu</w:t>
      </w:r>
      <w:proofErr w:type="spellEnd"/>
      <w:r w:rsidRPr="009B4D00">
        <w:rPr>
          <w:rFonts w:eastAsia="Calibri" w:cs="Arial"/>
          <w:szCs w:val="20"/>
        </w:rPr>
        <w:t xml:space="preserve">. </w:t>
      </w:r>
    </w:p>
    <w:p w:rsidR="00F74131" w:rsidRDefault="00F74131" w:rsidP="00B644CC">
      <w:pPr>
        <w:spacing w:line="288" w:lineRule="auto"/>
        <w:jc w:val="both"/>
        <w:rPr>
          <w:rFonts w:eastAsia="Calibri" w:cs="Arial"/>
          <w:szCs w:val="20"/>
        </w:rPr>
      </w:pPr>
    </w:p>
    <w:p w:rsidR="00BD7385" w:rsidRPr="00BD7385" w:rsidRDefault="0033668C" w:rsidP="00BD7385">
      <w:pPr>
        <w:spacing w:line="288" w:lineRule="auto"/>
        <w:jc w:val="both"/>
        <w:rPr>
          <w:rFonts w:eastAsia="Calibri" w:cs="Arial"/>
          <w:szCs w:val="20"/>
        </w:rPr>
      </w:pPr>
      <w:r>
        <w:rPr>
          <w:rFonts w:eastAsia="Calibri" w:cs="Arial"/>
          <w:szCs w:val="20"/>
        </w:rPr>
        <w:t xml:space="preserve">Po četrtem odstavku </w:t>
      </w:r>
      <w:r w:rsidR="00BD7385">
        <w:rPr>
          <w:rFonts w:eastAsia="Calibri" w:cs="Arial"/>
          <w:szCs w:val="20"/>
        </w:rPr>
        <w:t xml:space="preserve">7. člena </w:t>
      </w:r>
      <w:r>
        <w:rPr>
          <w:rFonts w:eastAsia="Calibri" w:cs="Arial"/>
          <w:szCs w:val="20"/>
        </w:rPr>
        <w:t xml:space="preserve">Uredbe </w:t>
      </w:r>
      <w:r w:rsidRPr="009B4D00">
        <w:rPr>
          <w:rFonts w:eastAsia="Calibri" w:cs="Arial"/>
          <w:szCs w:val="20"/>
        </w:rPr>
        <w:t>2018/1727/EU</w:t>
      </w:r>
      <w:r>
        <w:rPr>
          <w:rFonts w:eastAsia="Calibri" w:cs="Arial"/>
          <w:szCs w:val="20"/>
        </w:rPr>
        <w:t xml:space="preserve"> mora</w:t>
      </w:r>
      <w:r w:rsidR="00F47424">
        <w:rPr>
          <w:rFonts w:eastAsia="Calibri" w:cs="Arial"/>
          <w:szCs w:val="20"/>
        </w:rPr>
        <w:t>ta</w:t>
      </w:r>
      <w:r>
        <w:rPr>
          <w:rFonts w:eastAsia="Calibri" w:cs="Arial"/>
          <w:szCs w:val="20"/>
        </w:rPr>
        <w:t xml:space="preserve"> imeti nacionalni predstavnik in njegov namestnik položaj tožilca, sodnika ali predstavnika sodnega organa z enakovrednimi pristojnostmi, kot jih ima tožilec ali sodnik v skladu z</w:t>
      </w:r>
      <w:r w:rsidR="00F47424">
        <w:rPr>
          <w:rFonts w:eastAsia="Calibri" w:cs="Arial"/>
          <w:szCs w:val="20"/>
        </w:rPr>
        <w:t xml:space="preserve"> notranjim</w:t>
      </w:r>
      <w:r>
        <w:rPr>
          <w:rFonts w:eastAsia="Calibri" w:cs="Arial"/>
          <w:szCs w:val="20"/>
        </w:rPr>
        <w:t xml:space="preserve"> pravom</w:t>
      </w:r>
      <w:r w:rsidR="00F47424">
        <w:rPr>
          <w:rFonts w:eastAsia="Calibri" w:cs="Arial"/>
          <w:szCs w:val="20"/>
        </w:rPr>
        <w:t xml:space="preserve"> države članice</w:t>
      </w:r>
      <w:r>
        <w:rPr>
          <w:rFonts w:eastAsia="Calibri" w:cs="Arial"/>
          <w:szCs w:val="20"/>
        </w:rPr>
        <w:t>. Na ta način se z uredbo omogoča širok nabor kandidatov za nacionalnega predstavnika oziroma pomočnika, ob tem pa je treba izhajati iz nacionalnih ureditev organiz</w:t>
      </w:r>
      <w:r w:rsidR="00F47424">
        <w:rPr>
          <w:rFonts w:eastAsia="Calibri" w:cs="Arial"/>
          <w:szCs w:val="20"/>
        </w:rPr>
        <w:t>iranosti</w:t>
      </w:r>
      <w:r>
        <w:rPr>
          <w:rFonts w:eastAsia="Calibri" w:cs="Arial"/>
          <w:szCs w:val="20"/>
        </w:rPr>
        <w:t xml:space="preserve"> pravosodnega sistema.</w:t>
      </w:r>
      <w:r w:rsidR="00264E44">
        <w:rPr>
          <w:rFonts w:eastAsia="Calibri" w:cs="Arial"/>
          <w:szCs w:val="20"/>
        </w:rPr>
        <w:t xml:space="preserve"> Predlagatelj je</w:t>
      </w:r>
      <w:r w:rsidR="00BD7385">
        <w:rPr>
          <w:rFonts w:eastAsia="Calibri" w:cs="Arial"/>
          <w:szCs w:val="20"/>
        </w:rPr>
        <w:t xml:space="preserve"> pri opredelitvi pogojev za imenovanje</w:t>
      </w:r>
      <w:r w:rsidR="00ED6452">
        <w:rPr>
          <w:rFonts w:eastAsia="Calibri" w:cs="Arial"/>
          <w:szCs w:val="20"/>
        </w:rPr>
        <w:t xml:space="preserve">, ki jih omejuje </w:t>
      </w:r>
      <w:r w:rsidR="00F47424">
        <w:rPr>
          <w:rFonts w:eastAsia="Calibri" w:cs="Arial"/>
          <w:szCs w:val="20"/>
        </w:rPr>
        <w:t>le</w:t>
      </w:r>
      <w:r w:rsidR="00ED6452">
        <w:rPr>
          <w:rFonts w:eastAsia="Calibri" w:cs="Arial"/>
          <w:szCs w:val="20"/>
        </w:rPr>
        <w:t xml:space="preserve"> na državne tožilce,</w:t>
      </w:r>
      <w:r w:rsidR="00264E44">
        <w:rPr>
          <w:rFonts w:eastAsia="Calibri" w:cs="Arial"/>
          <w:szCs w:val="20"/>
        </w:rPr>
        <w:t xml:space="preserve"> izhajal iz zgodovinskega vidika ustanovitve </w:t>
      </w:r>
      <w:proofErr w:type="spellStart"/>
      <w:r w:rsidR="00264E44">
        <w:rPr>
          <w:rFonts w:eastAsia="Calibri" w:cs="Arial"/>
          <w:szCs w:val="20"/>
        </w:rPr>
        <w:t>Eurojusta</w:t>
      </w:r>
      <w:proofErr w:type="spellEnd"/>
      <w:r w:rsidR="00264E44">
        <w:rPr>
          <w:rFonts w:eastAsia="Calibri" w:cs="Arial"/>
          <w:szCs w:val="20"/>
        </w:rPr>
        <w:t>, notranje ureditve sistemske organiz</w:t>
      </w:r>
      <w:r w:rsidR="00F47424">
        <w:rPr>
          <w:rFonts w:eastAsia="Calibri" w:cs="Arial"/>
          <w:szCs w:val="20"/>
        </w:rPr>
        <w:t>iranosti</w:t>
      </w:r>
      <w:r w:rsidR="00264E44">
        <w:rPr>
          <w:rFonts w:eastAsia="Calibri" w:cs="Arial"/>
          <w:szCs w:val="20"/>
        </w:rPr>
        <w:t xml:space="preserve"> pravosodja v posameznih državah članicah ter narave dela nacionalnega predstavnika in njegovega namestnika. Do uveljavitve Uredbe </w:t>
      </w:r>
      <w:r w:rsidR="00264E44" w:rsidRPr="009B4D00">
        <w:rPr>
          <w:rFonts w:eastAsia="Calibri" w:cs="Arial"/>
          <w:szCs w:val="20"/>
        </w:rPr>
        <w:t>2018/1727/EU</w:t>
      </w:r>
      <w:r w:rsidR="00264E44">
        <w:rPr>
          <w:rFonts w:eastAsia="Calibri" w:cs="Arial"/>
          <w:szCs w:val="20"/>
        </w:rPr>
        <w:t xml:space="preserve"> je bila </w:t>
      </w:r>
      <w:r w:rsidR="00F47424">
        <w:rPr>
          <w:rFonts w:eastAsia="Calibri" w:cs="Arial"/>
          <w:szCs w:val="20"/>
        </w:rPr>
        <w:t xml:space="preserve">vrsta in vsebina </w:t>
      </w:r>
      <w:r w:rsidR="00264E44">
        <w:rPr>
          <w:rFonts w:eastAsia="Calibri" w:cs="Arial"/>
          <w:szCs w:val="20"/>
        </w:rPr>
        <w:t xml:space="preserve">dela v </w:t>
      </w:r>
      <w:proofErr w:type="spellStart"/>
      <w:r w:rsidR="00264E44">
        <w:rPr>
          <w:rFonts w:eastAsia="Calibri" w:cs="Arial"/>
          <w:szCs w:val="20"/>
        </w:rPr>
        <w:t>Eurojustu</w:t>
      </w:r>
      <w:proofErr w:type="spellEnd"/>
      <w:r w:rsidR="00264E44">
        <w:rPr>
          <w:rFonts w:eastAsia="Calibri" w:cs="Arial"/>
          <w:szCs w:val="20"/>
        </w:rPr>
        <w:t xml:space="preserve"> izrazito tožilska</w:t>
      </w:r>
      <w:r w:rsidR="00B82654">
        <w:rPr>
          <w:rFonts w:eastAsia="Calibri" w:cs="Arial"/>
          <w:szCs w:val="20"/>
        </w:rPr>
        <w:t>, kar odsevajo tudi imenovani predstavniki iz držav članic, ki prihajajo iz</w:t>
      </w:r>
      <w:r w:rsidR="00F47424">
        <w:rPr>
          <w:rFonts w:eastAsia="Calibri" w:cs="Arial"/>
          <w:szCs w:val="20"/>
        </w:rPr>
        <w:t xml:space="preserve"> </w:t>
      </w:r>
      <w:proofErr w:type="spellStart"/>
      <w:r w:rsidR="00F47424">
        <w:rPr>
          <w:rFonts w:eastAsia="Calibri" w:cs="Arial"/>
          <w:szCs w:val="20"/>
        </w:rPr>
        <w:t>državnotožilskih</w:t>
      </w:r>
      <w:proofErr w:type="spellEnd"/>
      <w:r w:rsidR="00B82654">
        <w:rPr>
          <w:rFonts w:eastAsia="Calibri" w:cs="Arial"/>
          <w:szCs w:val="20"/>
        </w:rPr>
        <w:t xml:space="preserve"> vrst. Upoštevaje kazensko procesno ureditev v Republiki Sloveniji</w:t>
      </w:r>
      <w:r w:rsidR="00BD7385">
        <w:rPr>
          <w:rFonts w:eastAsia="Calibri" w:cs="Arial"/>
          <w:szCs w:val="20"/>
        </w:rPr>
        <w:t>,</w:t>
      </w:r>
      <w:r w:rsidR="00B82654">
        <w:rPr>
          <w:rFonts w:eastAsia="Calibri" w:cs="Arial"/>
          <w:szCs w:val="20"/>
        </w:rPr>
        <w:t xml:space="preserve"> vloga preiskovalnega sodnika ni takšn</w:t>
      </w:r>
      <w:r w:rsidR="00F47424">
        <w:rPr>
          <w:rFonts w:eastAsia="Calibri" w:cs="Arial"/>
          <w:szCs w:val="20"/>
        </w:rPr>
        <w:t>a</w:t>
      </w:r>
      <w:r w:rsidR="00B82654">
        <w:rPr>
          <w:rFonts w:eastAsia="Calibri" w:cs="Arial"/>
          <w:szCs w:val="20"/>
        </w:rPr>
        <w:t>, da bi lahko sam brez tožilca izvajal posamezna procesna dejanja. Prav tako</w:t>
      </w:r>
      <w:r w:rsidR="00BD7385">
        <w:rPr>
          <w:rFonts w:eastAsia="Calibri" w:cs="Arial"/>
          <w:szCs w:val="20"/>
        </w:rPr>
        <w:t xml:space="preserve"> je m</w:t>
      </w:r>
      <w:r w:rsidR="00BD7385">
        <w:rPr>
          <w:rFonts w:cs="Arial"/>
          <w:szCs w:val="20"/>
        </w:rPr>
        <w:t xml:space="preserve">ožnost, ki jo </w:t>
      </w:r>
      <w:r w:rsidR="00F47424">
        <w:rPr>
          <w:rFonts w:cs="Arial"/>
          <w:szCs w:val="20"/>
        </w:rPr>
        <w:t xml:space="preserve">omogoča </w:t>
      </w:r>
      <w:r w:rsidR="00BD7385">
        <w:rPr>
          <w:rFonts w:eastAsia="Calibri" w:cs="Arial"/>
          <w:szCs w:val="20"/>
        </w:rPr>
        <w:t xml:space="preserve">Uredba </w:t>
      </w:r>
      <w:r w:rsidR="00BD7385" w:rsidRPr="009B4D00">
        <w:rPr>
          <w:rFonts w:eastAsia="Calibri" w:cs="Arial"/>
          <w:szCs w:val="20"/>
        </w:rPr>
        <w:t>2018/1727/EU</w:t>
      </w:r>
      <w:r w:rsidR="00BD7385">
        <w:rPr>
          <w:rFonts w:cs="Arial"/>
          <w:szCs w:val="20"/>
        </w:rPr>
        <w:t xml:space="preserve"> v zvezi </w:t>
      </w:r>
      <w:r w:rsidR="00F47424">
        <w:rPr>
          <w:rFonts w:cs="Arial"/>
          <w:szCs w:val="20"/>
        </w:rPr>
        <w:t>s</w:t>
      </w:r>
      <w:r w:rsidR="00BD7385">
        <w:rPr>
          <w:rFonts w:cs="Arial"/>
          <w:szCs w:val="20"/>
        </w:rPr>
        <w:t xml:space="preserve"> širokim naborom kandidatov za imenovanje nacionalnega predstavnika oziroma namestnika,</w:t>
      </w:r>
      <w:r w:rsidR="00BD7385" w:rsidRPr="00827A9F">
        <w:rPr>
          <w:rFonts w:cs="Arial"/>
          <w:szCs w:val="20"/>
        </w:rPr>
        <w:t xml:space="preserve"> posledica različnih pravnih sistemov držav članic, ki med drugim dopuščajo </w:t>
      </w:r>
      <w:r w:rsidR="00BD7385">
        <w:rPr>
          <w:rFonts w:cs="Arial"/>
          <w:szCs w:val="20"/>
        </w:rPr>
        <w:t>nezaplet</w:t>
      </w:r>
      <w:r w:rsidR="00BD7385" w:rsidRPr="00827A9F">
        <w:rPr>
          <w:rFonts w:cs="Arial"/>
          <w:szCs w:val="20"/>
        </w:rPr>
        <w:t>ene prehode med pravosodnimi funkcionarji oziroma poklici</w:t>
      </w:r>
      <w:r w:rsidR="00BD7385">
        <w:rPr>
          <w:rFonts w:cs="Arial"/>
          <w:szCs w:val="20"/>
        </w:rPr>
        <w:t xml:space="preserve"> (sistem enotne magistrature)</w:t>
      </w:r>
      <w:r w:rsidR="00BD7385" w:rsidRPr="00827A9F">
        <w:rPr>
          <w:rFonts w:cs="Arial"/>
          <w:szCs w:val="20"/>
        </w:rPr>
        <w:t xml:space="preserve">, kar pa v Republiki Sloveniji ni združljivo z načelom delitve oblasti. </w:t>
      </w:r>
      <w:r w:rsidR="00ED6452">
        <w:rPr>
          <w:rFonts w:cs="Arial"/>
          <w:szCs w:val="20"/>
        </w:rPr>
        <w:t xml:space="preserve">Tudi naloge in pristojnosti, ki jih </w:t>
      </w:r>
      <w:r w:rsidR="00ED6452">
        <w:rPr>
          <w:rFonts w:eastAsia="Calibri" w:cs="Arial"/>
          <w:szCs w:val="20"/>
        </w:rPr>
        <w:t xml:space="preserve">Uredba </w:t>
      </w:r>
      <w:r w:rsidR="00ED6452" w:rsidRPr="009B4D00">
        <w:rPr>
          <w:rFonts w:eastAsia="Calibri" w:cs="Arial"/>
          <w:szCs w:val="20"/>
        </w:rPr>
        <w:t>2018/1727/EU</w:t>
      </w:r>
      <w:r w:rsidR="00ED6452">
        <w:rPr>
          <w:rFonts w:eastAsia="Calibri" w:cs="Arial"/>
          <w:szCs w:val="20"/>
        </w:rPr>
        <w:t xml:space="preserve"> določa oziroma za katera so nacionalni predstavniki v skladu z določbami uredbe pooblaščeni</w:t>
      </w:r>
      <w:r w:rsidR="001B33DD">
        <w:rPr>
          <w:rFonts w:eastAsia="Calibri" w:cs="Arial"/>
          <w:szCs w:val="20"/>
        </w:rPr>
        <w:t>,</w:t>
      </w:r>
      <w:r w:rsidR="00ED6452">
        <w:rPr>
          <w:rFonts w:eastAsia="Calibri" w:cs="Arial"/>
          <w:szCs w:val="20"/>
        </w:rPr>
        <w:t xml:space="preserve"> kaže na </w:t>
      </w:r>
      <w:r w:rsidR="001B33DD">
        <w:rPr>
          <w:rFonts w:eastAsia="Calibri" w:cs="Arial"/>
          <w:szCs w:val="20"/>
        </w:rPr>
        <w:t xml:space="preserve">pristojnost opravljati procesna dejanja upravičenega tožilca, sodelovati s </w:t>
      </w:r>
      <w:r w:rsidR="00F47424">
        <w:rPr>
          <w:rFonts w:eastAsia="Calibri" w:cs="Arial"/>
          <w:szCs w:val="20"/>
        </w:rPr>
        <w:t>P</w:t>
      </w:r>
      <w:r w:rsidR="001B33DD">
        <w:rPr>
          <w:rFonts w:eastAsia="Calibri" w:cs="Arial"/>
          <w:szCs w:val="20"/>
        </w:rPr>
        <w:t>olicijo in drugimi pristojnimi organi v državi članici, tudi z Evropskim javnim tožilstvom. Vse navedeno je predlagatelja vodilo k pripravi predloga novele zakona, ki v tem delu ne odstopa od dosedanje ureditve.</w:t>
      </w:r>
    </w:p>
    <w:p w:rsidR="00D92A18" w:rsidRDefault="00D92A18" w:rsidP="00B644CC">
      <w:pPr>
        <w:spacing w:line="288" w:lineRule="auto"/>
        <w:jc w:val="both"/>
        <w:rPr>
          <w:rFonts w:eastAsia="Calibri" w:cs="Arial"/>
          <w:b/>
          <w:bCs/>
          <w:szCs w:val="20"/>
        </w:rPr>
      </w:pPr>
    </w:p>
    <w:p w:rsidR="00AE2155" w:rsidRPr="009B4D00" w:rsidRDefault="00AE2155" w:rsidP="00B644CC">
      <w:pPr>
        <w:spacing w:line="288" w:lineRule="auto"/>
        <w:jc w:val="both"/>
        <w:rPr>
          <w:rFonts w:eastAsia="Calibri" w:cs="Arial"/>
          <w:b/>
          <w:bCs/>
          <w:szCs w:val="20"/>
        </w:rPr>
      </w:pPr>
      <w:r w:rsidRPr="009B4D00">
        <w:rPr>
          <w:rFonts w:eastAsia="Calibri" w:cs="Arial"/>
          <w:b/>
          <w:bCs/>
          <w:szCs w:val="20"/>
        </w:rPr>
        <w:t>K 1</w:t>
      </w:r>
      <w:r w:rsidR="00704F09">
        <w:rPr>
          <w:rFonts w:eastAsia="Calibri" w:cs="Arial"/>
          <w:b/>
          <w:bCs/>
          <w:szCs w:val="20"/>
        </w:rPr>
        <w:t>1</w:t>
      </w:r>
      <w:r w:rsidRPr="009B4D00">
        <w:rPr>
          <w:rFonts w:eastAsia="Calibri" w:cs="Arial"/>
          <w:b/>
          <w:bCs/>
          <w:szCs w:val="20"/>
        </w:rPr>
        <w:t>. členu</w:t>
      </w:r>
    </w:p>
    <w:p w:rsidR="00AE2155" w:rsidRPr="009B4D00" w:rsidRDefault="00704F09" w:rsidP="00B644CC">
      <w:pPr>
        <w:spacing w:line="288" w:lineRule="auto"/>
        <w:jc w:val="both"/>
      </w:pPr>
      <w:r w:rsidRPr="00115F14">
        <w:rPr>
          <w:rFonts w:cs="Arial"/>
          <w:szCs w:val="20"/>
        </w:rPr>
        <w:t>Z</w:t>
      </w:r>
      <w:r>
        <w:rPr>
          <w:rFonts w:cs="Arial"/>
          <w:szCs w:val="20"/>
        </w:rPr>
        <w:t xml:space="preserve"> </w:t>
      </w:r>
      <w:r w:rsidRPr="00115F14">
        <w:rPr>
          <w:rFonts w:cs="Arial"/>
          <w:szCs w:val="20"/>
        </w:rPr>
        <w:t>Uredbo 2017/1939/EU</w:t>
      </w:r>
      <w:r>
        <w:rPr>
          <w:rFonts w:cs="Arial"/>
          <w:szCs w:val="20"/>
        </w:rPr>
        <w:t xml:space="preserve"> </w:t>
      </w:r>
      <w:r w:rsidRPr="00115F14">
        <w:rPr>
          <w:rFonts w:cs="Arial"/>
          <w:szCs w:val="20"/>
        </w:rPr>
        <w:t>se mandat nacionalnega predstavnika</w:t>
      </w:r>
      <w:r>
        <w:rPr>
          <w:rFonts w:cs="Arial"/>
          <w:szCs w:val="20"/>
        </w:rPr>
        <w:t xml:space="preserve">, </w:t>
      </w:r>
      <w:r w:rsidRPr="00115F14">
        <w:rPr>
          <w:rFonts w:cs="Arial"/>
          <w:szCs w:val="20"/>
        </w:rPr>
        <w:t>njegovega namestnika</w:t>
      </w:r>
      <w:r>
        <w:rPr>
          <w:rFonts w:cs="Arial"/>
          <w:szCs w:val="20"/>
        </w:rPr>
        <w:t xml:space="preserve"> in pomočnika</w:t>
      </w:r>
      <w:r w:rsidRPr="00115F14">
        <w:rPr>
          <w:rFonts w:cs="Arial"/>
          <w:szCs w:val="20"/>
        </w:rPr>
        <w:t xml:space="preserve"> podaljšuje na pet let z možnostjo enkratnega podaljšanja</w:t>
      </w:r>
      <w:r>
        <w:rPr>
          <w:rFonts w:cs="Arial"/>
          <w:szCs w:val="20"/>
        </w:rPr>
        <w:t>,</w:t>
      </w:r>
      <w:r w:rsidRPr="00115F14">
        <w:rPr>
          <w:rFonts w:cs="Arial"/>
          <w:szCs w:val="20"/>
        </w:rPr>
        <w:t xml:space="preserve"> zato se </w:t>
      </w:r>
      <w:r>
        <w:rPr>
          <w:rFonts w:eastAsia="Calibri" w:cs="Arial"/>
          <w:szCs w:val="20"/>
        </w:rPr>
        <w:t>s</w:t>
      </w:r>
      <w:r w:rsidRPr="009B4D00">
        <w:rPr>
          <w:rFonts w:eastAsia="Calibri" w:cs="Arial"/>
          <w:szCs w:val="20"/>
        </w:rPr>
        <w:t xml:space="preserve"> predlogom novega 69. člena</w:t>
      </w:r>
      <w:r w:rsidR="00AE2155" w:rsidRPr="009B4D00">
        <w:rPr>
          <w:rFonts w:eastAsia="Calibri" w:cs="Arial"/>
          <w:szCs w:val="20"/>
        </w:rPr>
        <w:t xml:space="preserve"> doba imenovanja </w:t>
      </w:r>
      <w:r>
        <w:rPr>
          <w:rFonts w:eastAsia="Calibri" w:cs="Arial"/>
          <w:szCs w:val="20"/>
        </w:rPr>
        <w:t xml:space="preserve">podaljša </w:t>
      </w:r>
      <w:r w:rsidR="00F47424">
        <w:rPr>
          <w:rFonts w:eastAsia="Calibri" w:cs="Arial"/>
          <w:szCs w:val="20"/>
        </w:rPr>
        <w:t>s</w:t>
      </w:r>
      <w:r>
        <w:rPr>
          <w:rFonts w:eastAsia="Calibri" w:cs="Arial"/>
          <w:szCs w:val="20"/>
        </w:rPr>
        <w:t xml:space="preserve"> štirih na pet let.</w:t>
      </w:r>
      <w:r w:rsidR="00B10F76">
        <w:rPr>
          <w:rFonts w:eastAsia="Calibri" w:cs="Arial"/>
          <w:szCs w:val="20"/>
        </w:rPr>
        <w:t xml:space="preserve"> Ker sta v skladu z Uredbo </w:t>
      </w:r>
      <w:r w:rsidR="00B10F76" w:rsidRPr="00115F14">
        <w:rPr>
          <w:rFonts w:cs="Arial"/>
          <w:szCs w:val="20"/>
        </w:rPr>
        <w:t>2017/1939/EU</w:t>
      </w:r>
      <w:r w:rsidR="00B10F76">
        <w:rPr>
          <w:rFonts w:eastAsia="Calibri" w:cs="Arial"/>
          <w:szCs w:val="20"/>
        </w:rPr>
        <w:t xml:space="preserve"> do enkratnega ponovnega imenovanja upravičena </w:t>
      </w:r>
      <w:r w:rsidR="00F47424">
        <w:rPr>
          <w:rFonts w:eastAsia="Calibri" w:cs="Arial"/>
          <w:szCs w:val="20"/>
        </w:rPr>
        <w:t>le</w:t>
      </w:r>
      <w:r w:rsidR="00B10F76">
        <w:rPr>
          <w:rFonts w:eastAsia="Calibri" w:cs="Arial"/>
          <w:szCs w:val="20"/>
        </w:rPr>
        <w:t xml:space="preserve"> nacionalni predstavnik in njegov namestnik</w:t>
      </w:r>
      <w:r w:rsidR="00F47424">
        <w:rPr>
          <w:rFonts w:eastAsia="Calibri" w:cs="Arial"/>
          <w:szCs w:val="20"/>
        </w:rPr>
        <w:t>,</w:t>
      </w:r>
      <w:r>
        <w:rPr>
          <w:rFonts w:eastAsia="Calibri" w:cs="Arial"/>
          <w:szCs w:val="20"/>
        </w:rPr>
        <w:t xml:space="preserve"> </w:t>
      </w:r>
      <w:r w:rsidR="00B10F76">
        <w:rPr>
          <w:rFonts w:eastAsia="Calibri" w:cs="Arial"/>
          <w:szCs w:val="20"/>
        </w:rPr>
        <w:t xml:space="preserve">se </w:t>
      </w:r>
      <w:r>
        <w:rPr>
          <w:rFonts w:eastAsia="Calibri" w:cs="Arial"/>
          <w:szCs w:val="20"/>
        </w:rPr>
        <w:t>ohranja</w:t>
      </w:r>
      <w:r w:rsidR="00B10F76">
        <w:rPr>
          <w:rFonts w:eastAsia="Calibri" w:cs="Arial"/>
          <w:szCs w:val="20"/>
        </w:rPr>
        <w:t xml:space="preserve"> </w:t>
      </w:r>
      <w:r>
        <w:rPr>
          <w:rFonts w:eastAsia="Calibri" w:cs="Arial"/>
          <w:szCs w:val="20"/>
        </w:rPr>
        <w:t>ureditev, po kateri bosta nacionalni predstavnik in njegov namestnik lahko še enkrat ponovno imenovana.</w:t>
      </w:r>
    </w:p>
    <w:p w:rsidR="00AE2155" w:rsidRPr="00A44B41" w:rsidRDefault="00AE2155" w:rsidP="00B644CC">
      <w:pPr>
        <w:spacing w:line="288" w:lineRule="auto"/>
        <w:jc w:val="both"/>
        <w:rPr>
          <w:rFonts w:eastAsia="Calibri" w:cs="Arial"/>
          <w:szCs w:val="20"/>
        </w:rPr>
      </w:pPr>
    </w:p>
    <w:p w:rsidR="00D2336C" w:rsidRDefault="00B10F76" w:rsidP="00B644CC">
      <w:pPr>
        <w:spacing w:line="288" w:lineRule="auto"/>
        <w:jc w:val="both"/>
        <w:rPr>
          <w:rFonts w:eastAsia="Calibri" w:cs="Arial"/>
          <w:b/>
          <w:szCs w:val="20"/>
        </w:rPr>
      </w:pPr>
      <w:r>
        <w:rPr>
          <w:rFonts w:eastAsia="Calibri" w:cs="Arial"/>
          <w:b/>
          <w:szCs w:val="20"/>
        </w:rPr>
        <w:t>K 12. členu</w:t>
      </w:r>
    </w:p>
    <w:p w:rsidR="00B10F76" w:rsidRDefault="00B10F76" w:rsidP="00B10F76">
      <w:pPr>
        <w:spacing w:line="288" w:lineRule="auto"/>
        <w:jc w:val="both"/>
        <w:rPr>
          <w:rFonts w:eastAsia="Calibri" w:cs="Arial"/>
          <w:szCs w:val="20"/>
        </w:rPr>
      </w:pPr>
      <w:r w:rsidRPr="009B4D00">
        <w:rPr>
          <w:rFonts w:eastAsia="Calibri" w:cs="Arial"/>
          <w:szCs w:val="20"/>
        </w:rPr>
        <w:t>S predlogom novega 69.</w:t>
      </w:r>
      <w:r>
        <w:rPr>
          <w:rFonts w:eastAsia="Calibri" w:cs="Arial"/>
          <w:szCs w:val="20"/>
        </w:rPr>
        <w:t xml:space="preserve">a in 69.b </w:t>
      </w:r>
      <w:r w:rsidRPr="009B4D00">
        <w:rPr>
          <w:rFonts w:eastAsia="Calibri" w:cs="Arial"/>
          <w:szCs w:val="20"/>
        </w:rPr>
        <w:t xml:space="preserve">člena se </w:t>
      </w:r>
      <w:r w:rsidR="00F47424">
        <w:rPr>
          <w:rFonts w:eastAsia="Calibri" w:cs="Arial"/>
          <w:szCs w:val="20"/>
        </w:rPr>
        <w:t>izrecno določa</w:t>
      </w:r>
      <w:r w:rsidRPr="009B4D00">
        <w:rPr>
          <w:rFonts w:eastAsia="Calibri" w:cs="Arial"/>
          <w:szCs w:val="20"/>
        </w:rPr>
        <w:t xml:space="preserve"> postopek imenovanja nacionalnega predstavnika, njegovega namestnika in pomočnika</w:t>
      </w:r>
      <w:r w:rsidRPr="00704F09">
        <w:rPr>
          <w:rFonts w:eastAsia="Calibri" w:cs="Arial"/>
          <w:szCs w:val="20"/>
        </w:rPr>
        <w:t xml:space="preserve"> </w:t>
      </w:r>
      <w:r>
        <w:rPr>
          <w:rFonts w:eastAsia="Calibri" w:cs="Arial"/>
          <w:szCs w:val="20"/>
        </w:rPr>
        <w:t>ter</w:t>
      </w:r>
      <w:r w:rsidRPr="009B4D00">
        <w:rPr>
          <w:rFonts w:eastAsia="Calibri" w:cs="Arial"/>
          <w:szCs w:val="20"/>
        </w:rPr>
        <w:t xml:space="preserve"> poenotijo pravice imenovanih državnih tožilcev za predstavnike v </w:t>
      </w:r>
      <w:proofErr w:type="spellStart"/>
      <w:r w:rsidRPr="009B4D00">
        <w:rPr>
          <w:rFonts w:eastAsia="Calibri" w:cs="Arial"/>
          <w:szCs w:val="20"/>
        </w:rPr>
        <w:t>Eurojustu</w:t>
      </w:r>
      <w:proofErr w:type="spellEnd"/>
      <w:r w:rsidRPr="009B4D00">
        <w:rPr>
          <w:rFonts w:eastAsia="Calibri" w:cs="Arial"/>
          <w:szCs w:val="20"/>
        </w:rPr>
        <w:t xml:space="preserve"> s pravicami, ki jih veljana ureditev določa za evropskega tožilca. Navedeno </w:t>
      </w:r>
      <w:r w:rsidR="00F47424">
        <w:rPr>
          <w:rFonts w:eastAsia="Calibri" w:cs="Arial"/>
          <w:szCs w:val="20"/>
        </w:rPr>
        <w:t>upošteva</w:t>
      </w:r>
      <w:r w:rsidRPr="009B4D00">
        <w:rPr>
          <w:rFonts w:eastAsia="Calibri" w:cs="Arial"/>
          <w:szCs w:val="20"/>
        </w:rPr>
        <w:t xml:space="preserve"> načel</w:t>
      </w:r>
      <w:r w:rsidR="00F47424">
        <w:rPr>
          <w:rFonts w:eastAsia="Calibri" w:cs="Arial"/>
          <w:szCs w:val="20"/>
        </w:rPr>
        <w:t>o</w:t>
      </w:r>
      <w:r w:rsidRPr="009B4D00">
        <w:rPr>
          <w:rFonts w:eastAsia="Calibri" w:cs="Arial"/>
          <w:szCs w:val="20"/>
        </w:rPr>
        <w:t xml:space="preserve"> enake obravnave vsebinsko podobnih oziroma enakih pravnih položajev državnih tožilcev</w:t>
      </w:r>
      <w:r w:rsidR="00F47424">
        <w:rPr>
          <w:rFonts w:eastAsia="Calibri" w:cs="Arial"/>
          <w:szCs w:val="20"/>
        </w:rPr>
        <w:t>,</w:t>
      </w:r>
      <w:r w:rsidRPr="009B4D00">
        <w:rPr>
          <w:rFonts w:eastAsia="Calibri" w:cs="Arial"/>
          <w:szCs w:val="20"/>
        </w:rPr>
        <w:t xml:space="preserve"> imenovanih v organe EU, ki sodelujejo z drugimi predstavniki držav članic z namenom učinkovitejšega sodelovanja </w:t>
      </w:r>
      <w:r w:rsidR="00F47424">
        <w:rPr>
          <w:rFonts w:eastAsia="Calibri" w:cs="Arial"/>
          <w:szCs w:val="20"/>
        </w:rPr>
        <w:t xml:space="preserve">s pristojnimi </w:t>
      </w:r>
      <w:r w:rsidRPr="009B4D00">
        <w:rPr>
          <w:rFonts w:eastAsia="Calibri" w:cs="Arial"/>
          <w:szCs w:val="20"/>
        </w:rPr>
        <w:t>organ</w:t>
      </w:r>
      <w:r w:rsidR="00F47424">
        <w:rPr>
          <w:rFonts w:eastAsia="Calibri" w:cs="Arial"/>
          <w:szCs w:val="20"/>
        </w:rPr>
        <w:t>i</w:t>
      </w:r>
      <w:r w:rsidRPr="009B4D00">
        <w:rPr>
          <w:rFonts w:eastAsia="Calibri" w:cs="Arial"/>
          <w:szCs w:val="20"/>
        </w:rPr>
        <w:t xml:space="preserve"> za preiskave oziroma pregon storilcev taksativno naštetih čezmejnih kaznivih dejanj. </w:t>
      </w:r>
    </w:p>
    <w:p w:rsidR="00B10F76" w:rsidRDefault="00B10F76" w:rsidP="00B10F76">
      <w:pPr>
        <w:spacing w:line="288" w:lineRule="auto"/>
        <w:jc w:val="both"/>
        <w:rPr>
          <w:rFonts w:eastAsia="Calibri" w:cs="Arial"/>
          <w:szCs w:val="20"/>
        </w:rPr>
      </w:pPr>
    </w:p>
    <w:p w:rsidR="00E8274E" w:rsidRPr="009B4D00" w:rsidRDefault="00E8274E" w:rsidP="00E8274E">
      <w:pPr>
        <w:spacing w:line="288" w:lineRule="auto"/>
        <w:jc w:val="both"/>
        <w:rPr>
          <w:rFonts w:eastAsia="Calibri" w:cs="Arial"/>
          <w:szCs w:val="20"/>
        </w:rPr>
      </w:pPr>
      <w:r w:rsidRPr="00E8274E">
        <w:rPr>
          <w:rFonts w:cs="Arial"/>
          <w:szCs w:val="20"/>
        </w:rPr>
        <w:t xml:space="preserve">Z vidika pristojnosti in razmerij med nosilci </w:t>
      </w:r>
      <w:proofErr w:type="spellStart"/>
      <w:r w:rsidRPr="00E8274E">
        <w:rPr>
          <w:rFonts w:cs="Arial"/>
          <w:szCs w:val="20"/>
        </w:rPr>
        <w:t>državnotožilske</w:t>
      </w:r>
      <w:proofErr w:type="spellEnd"/>
      <w:r w:rsidRPr="00E8274E">
        <w:rPr>
          <w:rFonts w:cs="Arial"/>
          <w:szCs w:val="20"/>
        </w:rPr>
        <w:t xml:space="preserve"> uprave se s predlogom zakona ohranja struktura odločanja, ki jo pozna veljavna ureditev. </w:t>
      </w:r>
      <w:r w:rsidRPr="00E8274E">
        <w:rPr>
          <w:rFonts w:eastAsia="Calibri" w:cs="Arial"/>
          <w:szCs w:val="20"/>
        </w:rPr>
        <w:t xml:space="preserve">Nacionalnega predstavnika in njegovega namestnika bo imenovala Vlada Republike Slovenije na predlog </w:t>
      </w:r>
      <w:proofErr w:type="spellStart"/>
      <w:r w:rsidRPr="00E8274E">
        <w:rPr>
          <w:rFonts w:eastAsia="Calibri" w:cs="Arial"/>
          <w:szCs w:val="20"/>
        </w:rPr>
        <w:t>Državnotožilskega</w:t>
      </w:r>
      <w:proofErr w:type="spellEnd"/>
      <w:r w:rsidRPr="00E8274E">
        <w:rPr>
          <w:rFonts w:eastAsia="Calibri" w:cs="Arial"/>
          <w:szCs w:val="20"/>
        </w:rPr>
        <w:t xml:space="preserve"> sveta po predhodnem mnenju generalnega državnega tožilca. Pomočnika nacionalnega predstavnika pa bo imenoval </w:t>
      </w:r>
      <w:proofErr w:type="spellStart"/>
      <w:r w:rsidRPr="00E8274E">
        <w:rPr>
          <w:rFonts w:eastAsia="Calibri" w:cs="Arial"/>
          <w:szCs w:val="20"/>
        </w:rPr>
        <w:t>Državnotožilski</w:t>
      </w:r>
      <w:proofErr w:type="spellEnd"/>
      <w:r w:rsidRPr="00E8274E">
        <w:rPr>
          <w:rFonts w:eastAsia="Calibri" w:cs="Arial"/>
          <w:szCs w:val="20"/>
        </w:rPr>
        <w:t xml:space="preserve"> svet na predlog generalnega državnega tožilca po predhodnem mnenju nacionalnega predstavnika. S predlaganimi spremembami se krepi </w:t>
      </w:r>
      <w:r w:rsidRPr="00E8274E">
        <w:t xml:space="preserve">vloga generalnega državnega tožilca pri odločanju o predstavnikih državnega tožilstva, ki delujejo v sklopu </w:t>
      </w:r>
      <w:proofErr w:type="spellStart"/>
      <w:r w:rsidRPr="00E8274E">
        <w:t>Eurojusta</w:t>
      </w:r>
      <w:proofErr w:type="spellEnd"/>
      <w:r w:rsidRPr="00E8274E">
        <w:t xml:space="preserve">. </w:t>
      </w:r>
    </w:p>
    <w:p w:rsidR="00B10F76" w:rsidRDefault="00B10F76" w:rsidP="00B10F76">
      <w:pPr>
        <w:spacing w:line="288" w:lineRule="auto"/>
        <w:jc w:val="both"/>
        <w:rPr>
          <w:rFonts w:eastAsia="Calibri" w:cs="Arial"/>
          <w:szCs w:val="20"/>
        </w:rPr>
      </w:pPr>
    </w:p>
    <w:p w:rsidR="00B10F76" w:rsidRPr="009B4D00" w:rsidRDefault="00B10F76" w:rsidP="00B10F76">
      <w:pPr>
        <w:spacing w:line="288" w:lineRule="auto"/>
        <w:jc w:val="both"/>
        <w:rPr>
          <w:rFonts w:eastAsia="Calibri" w:cs="Arial"/>
          <w:szCs w:val="20"/>
        </w:rPr>
      </w:pPr>
      <w:r w:rsidRPr="009B4D00">
        <w:rPr>
          <w:rFonts w:eastAsia="Calibri" w:cs="Arial"/>
          <w:szCs w:val="20"/>
        </w:rPr>
        <w:t xml:space="preserve">Po dosedanji ureditvi so se za postopek imenovanja predstavnikov v </w:t>
      </w:r>
      <w:proofErr w:type="spellStart"/>
      <w:r w:rsidRPr="009B4D00">
        <w:rPr>
          <w:rFonts w:eastAsia="Calibri" w:cs="Arial"/>
          <w:szCs w:val="20"/>
        </w:rPr>
        <w:t>Eurojustu</w:t>
      </w:r>
      <w:proofErr w:type="spellEnd"/>
      <w:r w:rsidRPr="009B4D00">
        <w:rPr>
          <w:rFonts w:eastAsia="Calibri" w:cs="Arial"/>
          <w:szCs w:val="20"/>
        </w:rPr>
        <w:t xml:space="preserve"> smiselno uporabljale določbe zakona o dodelitvi državnega tožilca v organ (62. člen ZDT-1). Ker o dodelitvi državnega tožilca v organ odloča </w:t>
      </w:r>
      <w:proofErr w:type="spellStart"/>
      <w:r w:rsidRPr="009B4D00">
        <w:rPr>
          <w:rFonts w:eastAsia="Calibri" w:cs="Arial"/>
          <w:szCs w:val="20"/>
        </w:rPr>
        <w:t>Državnotožilski</w:t>
      </w:r>
      <w:proofErr w:type="spellEnd"/>
      <w:r w:rsidRPr="009B4D00">
        <w:rPr>
          <w:rFonts w:eastAsia="Calibri" w:cs="Arial"/>
          <w:szCs w:val="20"/>
        </w:rPr>
        <w:t xml:space="preserve"> svet, po predlagani ureditvi pa bo nacionalnega predstavnika in njegovega namestnika imenovala Vlada Republike Slovenije, se s predlogom zakona odpravlja sistemska nedoslednost ter ob tem upošteva rešitev, ki jo je uvedel veljavni 71.č člen veljavnega ZDT-1. </w:t>
      </w:r>
    </w:p>
    <w:p w:rsidR="00B10F76" w:rsidRPr="009B4D00" w:rsidRDefault="00B10F76" w:rsidP="00B10F76">
      <w:pPr>
        <w:spacing w:line="288" w:lineRule="auto"/>
        <w:jc w:val="both"/>
        <w:rPr>
          <w:rFonts w:eastAsia="Calibri" w:cs="Arial"/>
          <w:szCs w:val="20"/>
        </w:rPr>
      </w:pPr>
    </w:p>
    <w:p w:rsidR="00B10F76" w:rsidRPr="009B4D00" w:rsidRDefault="00B10F76" w:rsidP="00B10F76">
      <w:pPr>
        <w:spacing w:line="288" w:lineRule="auto"/>
        <w:jc w:val="both"/>
        <w:rPr>
          <w:rFonts w:cs="Arial"/>
          <w:szCs w:val="20"/>
        </w:rPr>
      </w:pPr>
      <w:r w:rsidRPr="009B4D00">
        <w:t xml:space="preserve">Tako bo Ministrstvo za pravosodje po prejemu </w:t>
      </w:r>
      <w:r w:rsidRPr="009B4D00">
        <w:rPr>
          <w:rFonts w:eastAsia="Calibri" w:cs="Arial"/>
          <w:szCs w:val="20"/>
        </w:rPr>
        <w:t>predloga generalnega državnega tožilca</w:t>
      </w:r>
      <w:r w:rsidRPr="009B4D00">
        <w:rPr>
          <w:rFonts w:cs="Arial"/>
          <w:szCs w:val="20"/>
        </w:rPr>
        <w:t xml:space="preserve"> </w:t>
      </w:r>
      <w:r w:rsidRPr="009B4D00">
        <w:t xml:space="preserve">v Uradnem listu Republike Slovenije </w:t>
      </w:r>
      <w:r w:rsidRPr="009B4D00">
        <w:rPr>
          <w:rFonts w:cs="Arial"/>
          <w:szCs w:val="20"/>
        </w:rPr>
        <w:t>objavilo</w:t>
      </w:r>
      <w:r w:rsidRPr="009B4D00">
        <w:t xml:space="preserve"> poziv </w:t>
      </w:r>
      <w:r w:rsidRPr="009B4D00">
        <w:rPr>
          <w:rFonts w:eastAsia="Calibri" w:cs="Arial"/>
          <w:szCs w:val="20"/>
        </w:rPr>
        <w:t>k prijavam za imenovanje nacionalnega predstavnika</w:t>
      </w:r>
      <w:r>
        <w:rPr>
          <w:rFonts w:eastAsia="Calibri" w:cs="Arial"/>
          <w:szCs w:val="20"/>
        </w:rPr>
        <w:t xml:space="preserve">, </w:t>
      </w:r>
      <w:r w:rsidRPr="009B4D00">
        <w:rPr>
          <w:rFonts w:eastAsia="Calibri" w:cs="Arial"/>
          <w:szCs w:val="20"/>
        </w:rPr>
        <w:t>njegovega namestnika</w:t>
      </w:r>
      <w:r>
        <w:rPr>
          <w:rFonts w:eastAsia="Calibri" w:cs="Arial"/>
          <w:szCs w:val="20"/>
        </w:rPr>
        <w:t xml:space="preserve"> in pomočnika</w:t>
      </w:r>
      <w:r w:rsidRPr="009B4D00">
        <w:rPr>
          <w:rFonts w:eastAsia="Calibri" w:cs="Arial"/>
          <w:szCs w:val="20"/>
        </w:rPr>
        <w:t>.</w:t>
      </w:r>
      <w:r w:rsidRPr="009B4D00">
        <w:rPr>
          <w:rFonts w:cs="Arial"/>
          <w:szCs w:val="20"/>
        </w:rPr>
        <w:t xml:space="preserve"> V petih dneh po izteku pozivnega roka bo ministrstvo vse prijave, ki jih ni zavrglo</w:t>
      </w:r>
      <w:r w:rsidR="002A64EF">
        <w:rPr>
          <w:rFonts w:cs="Arial"/>
          <w:szCs w:val="20"/>
        </w:rPr>
        <w:t>,</w:t>
      </w:r>
      <w:r w:rsidRPr="009B4D00">
        <w:rPr>
          <w:rFonts w:cs="Arial"/>
          <w:szCs w:val="20"/>
        </w:rPr>
        <w:t xml:space="preserve"> pos</w:t>
      </w:r>
      <w:r w:rsidR="002A64EF">
        <w:rPr>
          <w:rFonts w:cs="Arial"/>
          <w:szCs w:val="20"/>
        </w:rPr>
        <w:t>lalo v nadaljnjo obravnavo</w:t>
      </w:r>
      <w:r w:rsidRPr="009B4D00">
        <w:rPr>
          <w:rFonts w:cs="Arial"/>
          <w:szCs w:val="20"/>
        </w:rPr>
        <w:t xml:space="preserve"> </w:t>
      </w:r>
      <w:proofErr w:type="spellStart"/>
      <w:r w:rsidRPr="009B4D00">
        <w:rPr>
          <w:rFonts w:cs="Arial"/>
          <w:szCs w:val="20"/>
        </w:rPr>
        <w:t>Državnotožilskemu</w:t>
      </w:r>
      <w:proofErr w:type="spellEnd"/>
      <w:r w:rsidRPr="009B4D00">
        <w:rPr>
          <w:rFonts w:cs="Arial"/>
          <w:szCs w:val="20"/>
        </w:rPr>
        <w:t xml:space="preserve"> svetu.</w:t>
      </w:r>
    </w:p>
    <w:p w:rsidR="00B10F76" w:rsidRPr="009B4D00" w:rsidRDefault="00B10F76" w:rsidP="00B10F76">
      <w:pPr>
        <w:spacing w:line="288" w:lineRule="auto"/>
        <w:jc w:val="both"/>
        <w:rPr>
          <w:rFonts w:cs="Arial"/>
          <w:szCs w:val="20"/>
        </w:rPr>
      </w:pPr>
    </w:p>
    <w:p w:rsidR="00B10F76" w:rsidRPr="009B4D00" w:rsidRDefault="00B10F76" w:rsidP="00B10F76">
      <w:pPr>
        <w:spacing w:line="288" w:lineRule="auto"/>
        <w:jc w:val="both"/>
        <w:rPr>
          <w:rFonts w:eastAsia="Calibri" w:cs="Arial"/>
          <w:szCs w:val="20"/>
        </w:rPr>
      </w:pPr>
      <w:proofErr w:type="spellStart"/>
      <w:r w:rsidRPr="00FC73C9">
        <w:rPr>
          <w:rFonts w:eastAsia="Calibri" w:cs="Arial"/>
          <w:szCs w:val="20"/>
        </w:rPr>
        <w:t>Državnotožilski</w:t>
      </w:r>
      <w:proofErr w:type="spellEnd"/>
      <w:r w:rsidRPr="00FC73C9">
        <w:rPr>
          <w:rFonts w:eastAsia="Calibri" w:cs="Arial"/>
          <w:szCs w:val="20"/>
        </w:rPr>
        <w:t xml:space="preserve"> svet</w:t>
      </w:r>
      <w:r w:rsidRPr="009B4D00">
        <w:rPr>
          <w:rFonts w:eastAsia="Calibri" w:cs="Arial"/>
          <w:szCs w:val="20"/>
        </w:rPr>
        <w:t xml:space="preserve"> se</w:t>
      </w:r>
      <w:r>
        <w:rPr>
          <w:rFonts w:eastAsia="Calibri" w:cs="Arial"/>
          <w:szCs w:val="20"/>
        </w:rPr>
        <w:t xml:space="preserve"> bo </w:t>
      </w:r>
      <w:r w:rsidR="00E8274E">
        <w:rPr>
          <w:rFonts w:eastAsia="Calibri" w:cs="Arial"/>
          <w:szCs w:val="20"/>
        </w:rPr>
        <w:t xml:space="preserve">po novi določbi 69.a člena </w:t>
      </w:r>
      <w:r>
        <w:rPr>
          <w:rFonts w:eastAsia="Calibri" w:cs="Arial"/>
          <w:szCs w:val="20"/>
        </w:rPr>
        <w:t>v postopku imenovanja nacionalnega predstavnika in njegovega namestnika</w:t>
      </w:r>
      <w:r w:rsidR="00E8274E">
        <w:rPr>
          <w:rFonts w:eastAsia="Calibri" w:cs="Arial"/>
          <w:szCs w:val="20"/>
        </w:rPr>
        <w:t>,</w:t>
      </w:r>
      <w:r w:rsidRPr="009B4D00">
        <w:rPr>
          <w:rFonts w:eastAsia="Calibri" w:cs="Arial"/>
          <w:szCs w:val="20"/>
        </w:rPr>
        <w:t xml:space="preserve"> po pridobitvi mnenja generalnega državnega tožilca</w:t>
      </w:r>
      <w:r>
        <w:rPr>
          <w:rFonts w:eastAsia="Calibri" w:cs="Arial"/>
          <w:szCs w:val="20"/>
        </w:rPr>
        <w:t xml:space="preserve"> </w:t>
      </w:r>
      <w:r w:rsidRPr="009B4D00">
        <w:rPr>
          <w:rFonts w:eastAsia="Calibri" w:cs="Arial"/>
          <w:szCs w:val="20"/>
        </w:rPr>
        <w:t>do prijavljenih kandidatov</w:t>
      </w:r>
      <w:r w:rsidR="00E8274E">
        <w:rPr>
          <w:rFonts w:eastAsia="Calibri" w:cs="Arial"/>
          <w:szCs w:val="20"/>
        </w:rPr>
        <w:t>,</w:t>
      </w:r>
      <w:r w:rsidRPr="009B4D00">
        <w:rPr>
          <w:rFonts w:eastAsia="Calibri" w:cs="Arial"/>
          <w:szCs w:val="20"/>
        </w:rPr>
        <w:t xml:space="preserve"> opredelil in oblikoval predlog za imenovanje ter o tem obvestil prijavljene kandidate in predlog posredoval Vladi Republike Slovenije. Vloga </w:t>
      </w:r>
      <w:proofErr w:type="spellStart"/>
      <w:r w:rsidRPr="009B4D00">
        <w:rPr>
          <w:rFonts w:eastAsia="Calibri" w:cs="Arial"/>
          <w:szCs w:val="20"/>
        </w:rPr>
        <w:t>Državnotožilskega</w:t>
      </w:r>
      <w:proofErr w:type="spellEnd"/>
      <w:r w:rsidRPr="009B4D00">
        <w:rPr>
          <w:rFonts w:eastAsia="Calibri" w:cs="Arial"/>
          <w:szCs w:val="20"/>
        </w:rPr>
        <w:t xml:space="preserve"> sveta pri oblikovanju predloga za imenovanje je v primerjavi z vlogo, ki jo ima pri oblikovanju liste kandidatov, ki izpolnjujejo pogoje za imenovanje za evropskega tožilca</w:t>
      </w:r>
      <w:r w:rsidR="00783E26">
        <w:rPr>
          <w:rFonts w:eastAsia="Calibri" w:cs="Arial"/>
          <w:szCs w:val="20"/>
        </w:rPr>
        <w:t>,</w:t>
      </w:r>
      <w:r w:rsidRPr="009B4D00">
        <w:rPr>
          <w:rFonts w:eastAsia="Calibri" w:cs="Arial"/>
          <w:szCs w:val="20"/>
        </w:rPr>
        <w:t xml:space="preserve"> drugačna podobna vlogi, ki jo ima v postopku imenovanja državnih tožilcev oziroma v postopku imenovanja vodij okrožnih državnih tožilstev. </w:t>
      </w:r>
      <w:proofErr w:type="spellStart"/>
      <w:r w:rsidRPr="009B4D00">
        <w:rPr>
          <w:rFonts w:eastAsia="Calibri" w:cs="Arial"/>
          <w:szCs w:val="20"/>
        </w:rPr>
        <w:t>Državnotožilski</w:t>
      </w:r>
      <w:proofErr w:type="spellEnd"/>
      <w:r w:rsidRPr="009B4D00">
        <w:rPr>
          <w:rFonts w:eastAsia="Calibri" w:cs="Arial"/>
          <w:szCs w:val="20"/>
        </w:rPr>
        <w:t xml:space="preserve"> svet se bo kot garant samostojnosti državnih tožilcev po pridobitvi mnenja generalnega državnega tožilca do vseh prijav opredelil </w:t>
      </w:r>
      <w:r w:rsidR="00783E26">
        <w:rPr>
          <w:rFonts w:eastAsia="Calibri" w:cs="Arial"/>
          <w:szCs w:val="20"/>
        </w:rPr>
        <w:t>ter</w:t>
      </w:r>
      <w:r w:rsidRPr="009B4D00">
        <w:rPr>
          <w:rFonts w:eastAsia="Calibri" w:cs="Arial"/>
          <w:szCs w:val="20"/>
        </w:rPr>
        <w:t xml:space="preserve"> oblikoval predlog za imenovanje nacionalnega predstavnika in njegovega namestnika, ki ga bo posredoval Vladi </w:t>
      </w:r>
      <w:r w:rsidR="00E8274E">
        <w:rPr>
          <w:rFonts w:eastAsia="Calibri" w:cs="Arial"/>
          <w:szCs w:val="20"/>
        </w:rPr>
        <w:t>R</w:t>
      </w:r>
      <w:r w:rsidRPr="009B4D00">
        <w:rPr>
          <w:rFonts w:eastAsia="Calibri" w:cs="Arial"/>
          <w:szCs w:val="20"/>
        </w:rPr>
        <w:t>epublike Slovenije</w:t>
      </w:r>
      <w:r w:rsidR="00783E26">
        <w:rPr>
          <w:rFonts w:eastAsia="Calibri" w:cs="Arial"/>
          <w:szCs w:val="20"/>
        </w:rPr>
        <w:t>,</w:t>
      </w:r>
      <w:r w:rsidRPr="009B4D00">
        <w:rPr>
          <w:rFonts w:eastAsia="Calibri" w:cs="Arial"/>
          <w:szCs w:val="20"/>
        </w:rPr>
        <w:t xml:space="preserve"> ter o tem obvesti</w:t>
      </w:r>
      <w:r w:rsidR="00783E26">
        <w:rPr>
          <w:rFonts w:eastAsia="Calibri" w:cs="Arial"/>
          <w:szCs w:val="20"/>
        </w:rPr>
        <w:t>l</w:t>
      </w:r>
      <w:r w:rsidRPr="009B4D00">
        <w:rPr>
          <w:rFonts w:eastAsia="Calibri" w:cs="Arial"/>
          <w:szCs w:val="20"/>
        </w:rPr>
        <w:t xml:space="preserve"> prijavljene kandidate. </w:t>
      </w:r>
    </w:p>
    <w:p w:rsidR="00B10F76" w:rsidRPr="009B4D00" w:rsidRDefault="00B10F76" w:rsidP="00B10F76">
      <w:pPr>
        <w:spacing w:line="288" w:lineRule="auto"/>
        <w:jc w:val="both"/>
        <w:rPr>
          <w:rFonts w:eastAsia="Calibri" w:cs="Arial"/>
          <w:szCs w:val="20"/>
        </w:rPr>
      </w:pPr>
    </w:p>
    <w:p w:rsidR="00B10F76" w:rsidRPr="009B4D00" w:rsidRDefault="00B10F76" w:rsidP="00B10F76">
      <w:pPr>
        <w:spacing w:line="288" w:lineRule="auto"/>
        <w:jc w:val="both"/>
        <w:rPr>
          <w:rFonts w:eastAsia="Calibri" w:cs="Arial"/>
          <w:szCs w:val="20"/>
        </w:rPr>
      </w:pPr>
      <w:r w:rsidRPr="009B4D00">
        <w:rPr>
          <w:rFonts w:eastAsia="Calibri" w:cs="Arial"/>
          <w:szCs w:val="20"/>
        </w:rPr>
        <w:t>Vlada Republike Slovenije bo vročila in objavila odločbo o imenovanju nacionalnega predstavnika in njegovega namestnika po določbi 34. člena tega zakona.</w:t>
      </w:r>
      <w:r w:rsidR="00E8274E">
        <w:rPr>
          <w:rFonts w:eastAsia="Calibri" w:cs="Arial"/>
          <w:szCs w:val="20"/>
        </w:rPr>
        <w:t xml:space="preserve"> </w:t>
      </w:r>
      <w:r w:rsidRPr="009B4D00">
        <w:rPr>
          <w:rFonts w:eastAsia="Calibri" w:cs="Arial"/>
          <w:szCs w:val="20"/>
        </w:rPr>
        <w:t>Za postopek z nepopolnimi prijavami in prijavami vloženimi po izteku pozivnega roka se smiselno uporablja določba 71.č člena tega zakona. Po tej določbi se bodo prijave, vložene po izteku pozivnega roka, in prijave, ki niso popolne</w:t>
      </w:r>
      <w:r w:rsidR="00783E26">
        <w:rPr>
          <w:rFonts w:eastAsia="Calibri" w:cs="Arial"/>
          <w:szCs w:val="20"/>
        </w:rPr>
        <w:t>,</w:t>
      </w:r>
      <w:r w:rsidRPr="009B4D00">
        <w:rPr>
          <w:rFonts w:eastAsia="Calibri" w:cs="Arial"/>
          <w:szCs w:val="20"/>
        </w:rPr>
        <w:t xml:space="preserve"> zavrgle po določbah zakona, ki ureja splošni upravni postopek. Zoper sklep o zavrženju je dovoljeno v osmih dneh od njegove vročitve sprožiti upravni spor. Pristojno sodišče bo moralo o tožbi odločiti v tridesetih dneh od njene vložitve.</w:t>
      </w:r>
    </w:p>
    <w:p w:rsidR="00B10F76" w:rsidRPr="009B4D00" w:rsidRDefault="00B10F76" w:rsidP="00B10F76">
      <w:pPr>
        <w:spacing w:line="288" w:lineRule="auto"/>
        <w:jc w:val="both"/>
        <w:rPr>
          <w:rFonts w:eastAsia="Calibri" w:cs="Arial"/>
          <w:szCs w:val="20"/>
        </w:rPr>
      </w:pPr>
    </w:p>
    <w:p w:rsidR="00146A02" w:rsidRPr="009B4D00" w:rsidRDefault="00E8274E" w:rsidP="00146A02">
      <w:pPr>
        <w:spacing w:line="288" w:lineRule="auto"/>
        <w:jc w:val="both"/>
        <w:rPr>
          <w:rFonts w:eastAsia="Calibri" w:cs="Arial"/>
          <w:szCs w:val="20"/>
        </w:rPr>
      </w:pPr>
      <w:r>
        <w:rPr>
          <w:rFonts w:eastAsia="Calibri" w:cs="Arial"/>
          <w:szCs w:val="20"/>
        </w:rPr>
        <w:t xml:space="preserve">V novem 69.b členu pa se ureja postopek imenovanja pomočnika nacionalnega predstavnika. Pomočnika nacionalnega predstavnika bo tako imenoval </w:t>
      </w:r>
      <w:proofErr w:type="spellStart"/>
      <w:r>
        <w:rPr>
          <w:rFonts w:eastAsia="Calibri" w:cs="Arial"/>
          <w:szCs w:val="20"/>
        </w:rPr>
        <w:t>Državnotož</w:t>
      </w:r>
      <w:r w:rsidR="00783E26">
        <w:rPr>
          <w:rFonts w:eastAsia="Calibri" w:cs="Arial"/>
          <w:szCs w:val="20"/>
        </w:rPr>
        <w:t>i</w:t>
      </w:r>
      <w:r>
        <w:rPr>
          <w:rFonts w:eastAsia="Calibri" w:cs="Arial"/>
          <w:szCs w:val="20"/>
        </w:rPr>
        <w:t>lski</w:t>
      </w:r>
      <w:proofErr w:type="spellEnd"/>
      <w:r>
        <w:rPr>
          <w:rFonts w:eastAsia="Calibri" w:cs="Arial"/>
          <w:szCs w:val="20"/>
        </w:rPr>
        <w:t xml:space="preserve"> svet na predlog generalnega državnega tožilca, po predhodnem mnenju nacionalnega predstavnika.</w:t>
      </w:r>
      <w:r w:rsidR="00146A02">
        <w:rPr>
          <w:rFonts w:eastAsia="Calibri" w:cs="Arial"/>
          <w:szCs w:val="20"/>
        </w:rPr>
        <w:t xml:space="preserve"> </w:t>
      </w:r>
      <w:r w:rsidR="00146A02" w:rsidRPr="00E8274E">
        <w:t>Tako se pravic</w:t>
      </w:r>
      <w:r w:rsidR="00783E26">
        <w:t>a</w:t>
      </w:r>
      <w:r w:rsidR="00146A02" w:rsidRPr="00E8274E">
        <w:t>, da predlaga pomočnika nacionalnega predstavnika, namesto nacionalnemu predstavniku, kot je to določeno v veljavni ureditvi, prepušča generalnemu državnemu tožilcu, nacionalni predstavnik pa je v postop</w:t>
      </w:r>
      <w:r w:rsidR="00783E26">
        <w:t>ku</w:t>
      </w:r>
      <w:r w:rsidR="00146A02" w:rsidRPr="00E8274E">
        <w:t xml:space="preserve"> </w:t>
      </w:r>
      <w:r w:rsidR="00783E26">
        <w:t>udeležen</w:t>
      </w:r>
      <w:r w:rsidR="00146A02" w:rsidRPr="00E8274E">
        <w:t xml:space="preserve"> s podajo mnenja.</w:t>
      </w:r>
    </w:p>
    <w:p w:rsidR="00146A02" w:rsidRDefault="00146A02" w:rsidP="00B10F76">
      <w:pPr>
        <w:spacing w:line="288" w:lineRule="auto"/>
        <w:jc w:val="both"/>
        <w:rPr>
          <w:rFonts w:eastAsia="Calibri" w:cs="Arial"/>
          <w:szCs w:val="20"/>
        </w:rPr>
      </w:pPr>
    </w:p>
    <w:p w:rsidR="00146A02" w:rsidRDefault="00146A02" w:rsidP="00B10F76">
      <w:pPr>
        <w:spacing w:line="288" w:lineRule="auto"/>
        <w:jc w:val="both"/>
        <w:rPr>
          <w:rFonts w:eastAsia="Calibri" w:cs="Arial"/>
          <w:szCs w:val="20"/>
        </w:rPr>
      </w:pPr>
      <w:r>
        <w:rPr>
          <w:rFonts w:eastAsia="Calibri" w:cs="Arial"/>
          <w:szCs w:val="20"/>
        </w:rPr>
        <w:t>Za postopek s pozivom k prijavam, za ravnanje z nepopolnimi prijavami ter prijavami</w:t>
      </w:r>
      <w:r w:rsidR="00783E26">
        <w:rPr>
          <w:rFonts w:eastAsia="Calibri" w:cs="Arial"/>
          <w:szCs w:val="20"/>
        </w:rPr>
        <w:t>,</w:t>
      </w:r>
      <w:r>
        <w:rPr>
          <w:rFonts w:eastAsia="Calibri" w:cs="Arial"/>
          <w:szCs w:val="20"/>
        </w:rPr>
        <w:t xml:space="preserve"> vloženimi po izteku pozivnega roka</w:t>
      </w:r>
      <w:r w:rsidR="00783E26">
        <w:rPr>
          <w:rFonts w:eastAsia="Calibri" w:cs="Arial"/>
          <w:szCs w:val="20"/>
        </w:rPr>
        <w:t>,</w:t>
      </w:r>
      <w:r>
        <w:rPr>
          <w:rFonts w:eastAsia="Calibri" w:cs="Arial"/>
          <w:szCs w:val="20"/>
        </w:rPr>
        <w:t xml:space="preserve"> in za vročitev odločbe o imenovanju pomočnika nacionalnega predstavnika predlog zakona uvaja enako rešitev kot velja za imenovanje nacionalnega predstavnika oziroma njegovega namestnika.</w:t>
      </w:r>
    </w:p>
    <w:p w:rsidR="00146A02" w:rsidRDefault="00146A02" w:rsidP="00B10F76">
      <w:pPr>
        <w:spacing w:line="288" w:lineRule="auto"/>
        <w:jc w:val="both"/>
        <w:rPr>
          <w:rFonts w:eastAsia="Calibri" w:cs="Arial"/>
          <w:szCs w:val="20"/>
        </w:rPr>
      </w:pPr>
    </w:p>
    <w:p w:rsidR="00B10F76" w:rsidRDefault="00B10F76" w:rsidP="00B10F76">
      <w:pPr>
        <w:spacing w:line="288" w:lineRule="auto"/>
        <w:jc w:val="both"/>
        <w:rPr>
          <w:rFonts w:eastAsia="Calibri" w:cs="Arial"/>
          <w:szCs w:val="20"/>
        </w:rPr>
      </w:pPr>
      <w:r w:rsidRPr="009B4D00">
        <w:rPr>
          <w:rFonts w:eastAsia="Calibri" w:cs="Arial"/>
          <w:szCs w:val="20"/>
        </w:rPr>
        <w:t xml:space="preserve">Poleg navedenega se s predlogom zakona </w:t>
      </w:r>
      <w:r w:rsidR="00783E26">
        <w:rPr>
          <w:rFonts w:eastAsia="Calibri" w:cs="Arial"/>
          <w:szCs w:val="20"/>
        </w:rPr>
        <w:t xml:space="preserve">upošteva </w:t>
      </w:r>
      <w:r w:rsidRPr="009B4D00">
        <w:rPr>
          <w:rFonts w:eastAsia="Calibri" w:cs="Arial"/>
          <w:szCs w:val="20"/>
        </w:rPr>
        <w:t>določb</w:t>
      </w:r>
      <w:r w:rsidR="00783E26">
        <w:rPr>
          <w:rFonts w:eastAsia="Calibri" w:cs="Arial"/>
          <w:szCs w:val="20"/>
        </w:rPr>
        <w:t>a</w:t>
      </w:r>
      <w:r w:rsidRPr="009B4D00">
        <w:rPr>
          <w:rFonts w:eastAsia="Calibri" w:cs="Arial"/>
          <w:szCs w:val="20"/>
        </w:rPr>
        <w:t xml:space="preserve"> 7. člena Uredbe 2018/1727/EU, po kateri se lahko mandat nacionalnega predstavnika in njegovega namestnika enkrat podaljša</w:t>
      </w:r>
      <w:r w:rsidR="00146A02">
        <w:rPr>
          <w:rFonts w:eastAsia="Calibri" w:cs="Arial"/>
          <w:szCs w:val="20"/>
        </w:rPr>
        <w:t xml:space="preserve"> po postopku imenovanja nacionalnega predstavnika in njegovega namestnika.</w:t>
      </w:r>
    </w:p>
    <w:p w:rsidR="00FD5A74" w:rsidRDefault="00FD5A74" w:rsidP="00B10F76">
      <w:pPr>
        <w:spacing w:line="288" w:lineRule="auto"/>
        <w:jc w:val="both"/>
        <w:rPr>
          <w:rFonts w:eastAsia="Calibri" w:cs="Arial"/>
          <w:szCs w:val="20"/>
        </w:rPr>
      </w:pPr>
    </w:p>
    <w:p w:rsidR="009109A5" w:rsidRPr="00AA3EE7" w:rsidRDefault="00FD5A74" w:rsidP="00AA3EE7">
      <w:pPr>
        <w:spacing w:line="288" w:lineRule="auto"/>
        <w:jc w:val="both"/>
        <w:rPr>
          <w:rFonts w:eastAsia="Calibri" w:cs="Arial"/>
          <w:szCs w:val="20"/>
        </w:rPr>
      </w:pPr>
      <w:r>
        <w:rPr>
          <w:rFonts w:eastAsia="Calibri" w:cs="Arial"/>
          <w:szCs w:val="20"/>
        </w:rPr>
        <w:lastRenderedPageBreak/>
        <w:t>S predlogom zakona se</w:t>
      </w:r>
      <w:r w:rsidR="009109A5">
        <w:rPr>
          <w:rFonts w:eastAsia="Calibri" w:cs="Arial"/>
          <w:szCs w:val="20"/>
        </w:rPr>
        <w:t xml:space="preserve"> z novo določbo 69.c člena</w:t>
      </w:r>
      <w:r>
        <w:rPr>
          <w:rFonts w:eastAsia="Calibri" w:cs="Arial"/>
          <w:szCs w:val="20"/>
        </w:rPr>
        <w:t xml:space="preserve"> </w:t>
      </w:r>
      <w:r w:rsidR="009109A5">
        <w:rPr>
          <w:rFonts w:eastAsia="Calibri" w:cs="Arial"/>
          <w:szCs w:val="20"/>
        </w:rPr>
        <w:t xml:space="preserve">sistemsko ureja možnost prenehanja članstva v </w:t>
      </w:r>
      <w:proofErr w:type="spellStart"/>
      <w:r w:rsidR="009109A5">
        <w:rPr>
          <w:rFonts w:eastAsia="Calibri" w:cs="Arial"/>
          <w:szCs w:val="20"/>
        </w:rPr>
        <w:t>Eurojustu</w:t>
      </w:r>
      <w:proofErr w:type="spellEnd"/>
      <w:r w:rsidR="009109A5">
        <w:rPr>
          <w:rFonts w:eastAsia="Calibri" w:cs="Arial"/>
          <w:szCs w:val="20"/>
        </w:rPr>
        <w:t xml:space="preserve"> pred potekom dobe imenovanja</w:t>
      </w:r>
      <w:r w:rsidR="006E6DDF">
        <w:rPr>
          <w:rFonts w:eastAsia="Calibri" w:cs="Arial"/>
          <w:szCs w:val="20"/>
        </w:rPr>
        <w:t>, ki v veljavni ureditvi ni bila urejena</w:t>
      </w:r>
      <w:r w:rsidR="009109A5">
        <w:rPr>
          <w:rFonts w:eastAsia="Calibri" w:cs="Arial"/>
          <w:szCs w:val="20"/>
        </w:rPr>
        <w:t xml:space="preserve">. Določa se predčasno prenehanje mandata nacionalnega predstavnika, namestnika in pomočnika iz </w:t>
      </w:r>
      <w:r w:rsidR="00AA3EE7">
        <w:rPr>
          <w:rFonts w:eastAsia="Calibri" w:cs="Arial"/>
          <w:szCs w:val="20"/>
        </w:rPr>
        <w:t xml:space="preserve">naslednjih </w:t>
      </w:r>
      <w:r w:rsidR="009109A5">
        <w:rPr>
          <w:rFonts w:eastAsia="Calibri" w:cs="Arial"/>
          <w:szCs w:val="20"/>
        </w:rPr>
        <w:t>razlog</w:t>
      </w:r>
      <w:r w:rsidR="00AA3EE7">
        <w:rPr>
          <w:rFonts w:eastAsia="Calibri" w:cs="Arial"/>
          <w:szCs w:val="20"/>
        </w:rPr>
        <w:t xml:space="preserve">ov: zaradi </w:t>
      </w:r>
      <w:r w:rsidR="009109A5" w:rsidRPr="00C15754">
        <w:rPr>
          <w:rFonts w:eastAsia="Calibri" w:cs="Arial"/>
          <w:szCs w:val="20"/>
        </w:rPr>
        <w:t>prenehanj</w:t>
      </w:r>
      <w:r w:rsidR="009109A5">
        <w:rPr>
          <w:rFonts w:eastAsia="Calibri" w:cs="Arial"/>
          <w:szCs w:val="20"/>
        </w:rPr>
        <w:t xml:space="preserve">a </w:t>
      </w:r>
      <w:proofErr w:type="spellStart"/>
      <w:r w:rsidR="009109A5" w:rsidRPr="00C15754">
        <w:rPr>
          <w:rFonts w:eastAsia="Calibri" w:cs="Arial"/>
          <w:szCs w:val="20"/>
        </w:rPr>
        <w:t>državnotožilske</w:t>
      </w:r>
      <w:proofErr w:type="spellEnd"/>
      <w:r w:rsidR="009109A5" w:rsidRPr="00C15754">
        <w:rPr>
          <w:rFonts w:eastAsia="Calibri" w:cs="Arial"/>
          <w:szCs w:val="20"/>
        </w:rPr>
        <w:t xml:space="preserve"> funkcije ali razrešitv</w:t>
      </w:r>
      <w:r w:rsidR="009109A5">
        <w:rPr>
          <w:rFonts w:eastAsia="Calibri" w:cs="Arial"/>
          <w:szCs w:val="20"/>
        </w:rPr>
        <w:t>e</w:t>
      </w:r>
      <w:r w:rsidR="009109A5" w:rsidRPr="00C15754">
        <w:rPr>
          <w:rFonts w:eastAsia="Calibri" w:cs="Arial"/>
          <w:szCs w:val="20"/>
        </w:rPr>
        <w:t xml:space="preserve"> državnega tožilca</w:t>
      </w:r>
      <w:r w:rsidR="00AA3EE7">
        <w:rPr>
          <w:rFonts w:eastAsia="Calibri" w:cs="Arial"/>
          <w:szCs w:val="20"/>
        </w:rPr>
        <w:t>;</w:t>
      </w:r>
      <w:r w:rsidR="009109A5">
        <w:rPr>
          <w:rFonts w:eastAsia="Calibri" w:cs="Arial"/>
          <w:szCs w:val="20"/>
        </w:rPr>
        <w:t xml:space="preserve"> </w:t>
      </w:r>
      <w:r w:rsidR="00AA3EE7">
        <w:rPr>
          <w:rFonts w:eastAsia="Calibri" w:cs="Arial"/>
          <w:szCs w:val="20"/>
        </w:rPr>
        <w:t>izrečene disciplinske sankcije za hujše disciplinske kršitve</w:t>
      </w:r>
      <w:r w:rsidR="009109A5">
        <w:rPr>
          <w:rFonts w:eastAsia="Calibri" w:cs="Arial"/>
          <w:szCs w:val="20"/>
        </w:rPr>
        <w:t xml:space="preserve"> </w:t>
      </w:r>
      <w:r w:rsidR="00AA3EE7">
        <w:rPr>
          <w:rFonts w:eastAsia="Calibri" w:cs="Arial"/>
          <w:szCs w:val="20"/>
        </w:rPr>
        <w:t xml:space="preserve">ali zaradi odstopa, na podlagi svoje lastne prošnje. </w:t>
      </w:r>
      <w:r w:rsidR="009109A5">
        <w:rPr>
          <w:rFonts w:cs="Arial"/>
        </w:rPr>
        <w:t xml:space="preserve">O prenehanju članstva pred potekom mandata </w:t>
      </w:r>
      <w:r w:rsidR="009109A5">
        <w:rPr>
          <w:rFonts w:eastAsia="Calibri" w:cs="Arial"/>
        </w:rPr>
        <w:t>n</w:t>
      </w:r>
      <w:r w:rsidR="009109A5" w:rsidRPr="00C15754">
        <w:rPr>
          <w:rFonts w:eastAsia="Calibri" w:cs="Arial"/>
          <w:szCs w:val="20"/>
        </w:rPr>
        <w:t xml:space="preserve">acionalnemu predstavniku, njegovemu namestniku in pomočniku </w:t>
      </w:r>
      <w:r w:rsidR="00AA3EE7">
        <w:rPr>
          <w:rFonts w:eastAsia="Calibri" w:cs="Arial"/>
          <w:szCs w:val="20"/>
        </w:rPr>
        <w:t xml:space="preserve">bo </w:t>
      </w:r>
      <w:r w:rsidR="009109A5">
        <w:rPr>
          <w:rFonts w:cs="Arial"/>
        </w:rPr>
        <w:t>organ</w:t>
      </w:r>
      <w:r w:rsidR="00783E26">
        <w:rPr>
          <w:rFonts w:cs="Arial"/>
        </w:rPr>
        <w:t>,</w:t>
      </w:r>
      <w:r w:rsidR="009109A5">
        <w:rPr>
          <w:rFonts w:cs="Arial"/>
        </w:rPr>
        <w:t xml:space="preserve"> pristojen za imenovanje</w:t>
      </w:r>
      <w:r w:rsidR="00783E26">
        <w:rPr>
          <w:rFonts w:cs="Arial"/>
        </w:rPr>
        <w:t>,</w:t>
      </w:r>
      <w:r w:rsidR="009109A5">
        <w:rPr>
          <w:rFonts w:cs="Arial"/>
        </w:rPr>
        <w:t xml:space="preserve"> izda</w:t>
      </w:r>
      <w:r w:rsidR="00AA3EE7">
        <w:rPr>
          <w:rFonts w:cs="Arial"/>
        </w:rPr>
        <w:t>l</w:t>
      </w:r>
      <w:r w:rsidR="009109A5">
        <w:rPr>
          <w:rFonts w:cs="Arial"/>
        </w:rPr>
        <w:t xml:space="preserve"> ugotovitveno odločbo.</w:t>
      </w:r>
      <w:r w:rsidR="00AA3EE7">
        <w:rPr>
          <w:rFonts w:cs="Arial"/>
        </w:rPr>
        <w:t xml:space="preserve"> V primeru prenehanja mandata nacionalnemu predstavniku bo po sedmem odstavku 7. člena Uredbe </w:t>
      </w:r>
      <w:r w:rsidR="00AA3EE7" w:rsidRPr="009B4D00">
        <w:rPr>
          <w:rFonts w:eastAsia="Calibri" w:cs="Arial"/>
          <w:szCs w:val="20"/>
        </w:rPr>
        <w:t>2018/1727/EU</w:t>
      </w:r>
      <w:r w:rsidR="00AA3EE7">
        <w:rPr>
          <w:rFonts w:eastAsia="Calibri" w:cs="Arial"/>
          <w:szCs w:val="20"/>
        </w:rPr>
        <w:t xml:space="preserve"> namestnik </w:t>
      </w:r>
      <w:r w:rsidR="003547C9">
        <w:rPr>
          <w:rFonts w:eastAsia="Calibri" w:cs="Arial"/>
          <w:szCs w:val="20"/>
        </w:rPr>
        <w:t xml:space="preserve">ali pomočnik lahko </w:t>
      </w:r>
      <w:r w:rsidR="00AA3EE7">
        <w:rPr>
          <w:rFonts w:eastAsia="Calibri" w:cs="Arial"/>
          <w:szCs w:val="20"/>
        </w:rPr>
        <w:t xml:space="preserve">deloval v imenu nacionalnega predstavnika in ga nadomeščal do imenovanja novega. </w:t>
      </w:r>
    </w:p>
    <w:p w:rsidR="00B10F76" w:rsidRDefault="00B10F76" w:rsidP="00B644CC">
      <w:pPr>
        <w:spacing w:line="288" w:lineRule="auto"/>
        <w:jc w:val="both"/>
        <w:rPr>
          <w:rFonts w:eastAsia="Calibri" w:cs="Arial"/>
          <w:b/>
          <w:szCs w:val="20"/>
        </w:rPr>
      </w:pPr>
    </w:p>
    <w:p w:rsidR="00AE2155" w:rsidRPr="009B4D00" w:rsidRDefault="00AE2155" w:rsidP="00B644CC">
      <w:pPr>
        <w:spacing w:line="288" w:lineRule="auto"/>
        <w:jc w:val="both"/>
        <w:rPr>
          <w:rFonts w:eastAsia="Calibri" w:cs="Arial"/>
          <w:b/>
          <w:szCs w:val="20"/>
        </w:rPr>
      </w:pPr>
      <w:r w:rsidRPr="009B4D00">
        <w:rPr>
          <w:rFonts w:eastAsia="Calibri" w:cs="Arial"/>
          <w:b/>
          <w:szCs w:val="20"/>
        </w:rPr>
        <w:t>K 1</w:t>
      </w:r>
      <w:r w:rsidR="00146A02">
        <w:rPr>
          <w:rFonts w:eastAsia="Calibri" w:cs="Arial"/>
          <w:b/>
          <w:szCs w:val="20"/>
        </w:rPr>
        <w:t>3</w:t>
      </w:r>
      <w:r w:rsidRPr="009B4D00">
        <w:rPr>
          <w:rFonts w:eastAsia="Calibri" w:cs="Arial"/>
          <w:b/>
          <w:szCs w:val="20"/>
        </w:rPr>
        <w:t>. členu</w:t>
      </w:r>
    </w:p>
    <w:p w:rsidR="00AE2155" w:rsidRPr="009B4D00" w:rsidRDefault="00AE2155" w:rsidP="00B644CC">
      <w:pPr>
        <w:spacing w:line="288" w:lineRule="auto"/>
        <w:jc w:val="both"/>
        <w:rPr>
          <w:rFonts w:cs="Arial"/>
          <w:szCs w:val="20"/>
        </w:rPr>
      </w:pPr>
      <w:r w:rsidRPr="009B4D00">
        <w:rPr>
          <w:rFonts w:cs="Arial"/>
          <w:szCs w:val="20"/>
        </w:rPr>
        <w:t xml:space="preserve">S predlagano določbo se </w:t>
      </w:r>
      <w:r w:rsidR="00F206A2">
        <w:rPr>
          <w:rFonts w:cs="Arial"/>
          <w:szCs w:val="20"/>
        </w:rPr>
        <w:t>upošteva</w:t>
      </w:r>
      <w:r w:rsidRPr="009B4D00">
        <w:rPr>
          <w:rFonts w:cs="Arial"/>
          <w:szCs w:val="20"/>
        </w:rPr>
        <w:t xml:space="preserve"> uredit</w:t>
      </w:r>
      <w:r w:rsidR="00F206A2">
        <w:rPr>
          <w:rFonts w:cs="Arial"/>
          <w:szCs w:val="20"/>
        </w:rPr>
        <w:t>ev</w:t>
      </w:r>
      <w:r w:rsidRPr="009B4D00">
        <w:rPr>
          <w:rFonts w:cs="Arial"/>
          <w:szCs w:val="20"/>
        </w:rPr>
        <w:t xml:space="preserve">, ki jo je glede pravic in dolžnosti državnega tožilca, ki je imenovan za nacionalnega predstavnika v </w:t>
      </w:r>
      <w:proofErr w:type="spellStart"/>
      <w:r w:rsidRPr="009B4D00">
        <w:rPr>
          <w:rFonts w:cs="Arial"/>
          <w:szCs w:val="20"/>
        </w:rPr>
        <w:t>Eurojustu</w:t>
      </w:r>
      <w:proofErr w:type="spellEnd"/>
      <w:r w:rsidRPr="009B4D00">
        <w:rPr>
          <w:rFonts w:cs="Arial"/>
          <w:szCs w:val="20"/>
        </w:rPr>
        <w:t>, novela ZDT-1C določila za evropskega tožilca. Državnemu tožilcu</w:t>
      </w:r>
      <w:r w:rsidR="00F206A2">
        <w:rPr>
          <w:rFonts w:cs="Arial"/>
          <w:szCs w:val="20"/>
        </w:rPr>
        <w:t>,</w:t>
      </w:r>
      <w:r w:rsidRPr="009B4D00">
        <w:rPr>
          <w:rFonts w:cs="Arial"/>
          <w:szCs w:val="20"/>
        </w:rPr>
        <w:t xml:space="preserve"> imenovanemu za nacionalnega predstavnika v </w:t>
      </w:r>
      <w:proofErr w:type="spellStart"/>
      <w:r w:rsidRPr="009B4D00">
        <w:rPr>
          <w:rFonts w:cs="Arial"/>
          <w:szCs w:val="20"/>
        </w:rPr>
        <w:t>Eurojustu</w:t>
      </w:r>
      <w:proofErr w:type="spellEnd"/>
      <w:r w:rsidRPr="009B4D00">
        <w:rPr>
          <w:rFonts w:cs="Arial"/>
          <w:szCs w:val="20"/>
        </w:rPr>
        <w:t>, enako kot to velja za evropskega tožilca, funkcija pregona ne bo mirovala, saj mora imeti  možnost (čeprav  bo  to veljalo le izjemoma)</w:t>
      </w:r>
      <w:r w:rsidR="00F206A2">
        <w:rPr>
          <w:rFonts w:cs="Arial"/>
          <w:szCs w:val="20"/>
        </w:rPr>
        <w:t xml:space="preserve"> izvajanja</w:t>
      </w:r>
      <w:r w:rsidRPr="009B4D00">
        <w:rPr>
          <w:rFonts w:cs="Arial"/>
          <w:szCs w:val="20"/>
        </w:rPr>
        <w:t xml:space="preserve"> procesnih dejanj pred pristojnimi sodišči. Zato mu bodo z imenovanjem za nacionalnega predstavnika v </w:t>
      </w:r>
      <w:proofErr w:type="spellStart"/>
      <w:r w:rsidRPr="009B4D00">
        <w:rPr>
          <w:rFonts w:cs="Arial"/>
          <w:szCs w:val="20"/>
        </w:rPr>
        <w:t>Eurojustu</w:t>
      </w:r>
      <w:proofErr w:type="spellEnd"/>
      <w:r w:rsidRPr="009B4D00">
        <w:rPr>
          <w:rFonts w:cs="Arial"/>
          <w:szCs w:val="20"/>
        </w:rPr>
        <w:t xml:space="preserve"> mirovale le pravice in obveznosti iz </w:t>
      </w:r>
      <w:proofErr w:type="spellStart"/>
      <w:r w:rsidRPr="009B4D00">
        <w:rPr>
          <w:rFonts w:cs="Arial"/>
          <w:szCs w:val="20"/>
        </w:rPr>
        <w:t>državnotožilske</w:t>
      </w:r>
      <w:proofErr w:type="spellEnd"/>
      <w:r w:rsidRPr="009B4D00">
        <w:rPr>
          <w:rFonts w:cs="Arial"/>
          <w:szCs w:val="20"/>
        </w:rPr>
        <w:t xml:space="preserve"> službe po ZDT-1, razen pravice do napredovanja. Državni tožilec bo z imenovanjem za nacionalnega predstavnika v </w:t>
      </w:r>
      <w:proofErr w:type="spellStart"/>
      <w:r w:rsidRPr="009B4D00">
        <w:rPr>
          <w:rFonts w:cs="Arial"/>
          <w:szCs w:val="20"/>
        </w:rPr>
        <w:t>Eurojustu</w:t>
      </w:r>
      <w:proofErr w:type="spellEnd"/>
      <w:r w:rsidRPr="009B4D00">
        <w:rPr>
          <w:rFonts w:cs="Arial"/>
          <w:szCs w:val="20"/>
        </w:rPr>
        <w:t xml:space="preserve"> obdržal pravico uporablja</w:t>
      </w:r>
      <w:r w:rsidR="00F206A2">
        <w:rPr>
          <w:rFonts w:cs="Arial"/>
          <w:szCs w:val="20"/>
        </w:rPr>
        <w:t xml:space="preserve">nja </w:t>
      </w:r>
      <w:r w:rsidRPr="009B4D00">
        <w:rPr>
          <w:rFonts w:cs="Arial"/>
          <w:szCs w:val="20"/>
        </w:rPr>
        <w:t>doseže</w:t>
      </w:r>
      <w:r w:rsidR="00F206A2">
        <w:rPr>
          <w:rFonts w:cs="Arial"/>
          <w:szCs w:val="20"/>
        </w:rPr>
        <w:t>nega</w:t>
      </w:r>
      <w:r w:rsidRPr="009B4D00">
        <w:rPr>
          <w:rFonts w:cs="Arial"/>
          <w:szCs w:val="20"/>
        </w:rPr>
        <w:t xml:space="preserve"> naziv</w:t>
      </w:r>
      <w:r w:rsidR="00F206A2">
        <w:rPr>
          <w:rFonts w:cs="Arial"/>
          <w:szCs w:val="20"/>
        </w:rPr>
        <w:t>a</w:t>
      </w:r>
      <w:r w:rsidRPr="009B4D00">
        <w:rPr>
          <w:rFonts w:cs="Arial"/>
          <w:szCs w:val="20"/>
        </w:rPr>
        <w:t>.</w:t>
      </w:r>
    </w:p>
    <w:p w:rsidR="00AE2155" w:rsidRPr="009B4D00" w:rsidRDefault="00AE2155" w:rsidP="00B644CC">
      <w:pPr>
        <w:spacing w:line="288" w:lineRule="auto"/>
        <w:jc w:val="both"/>
        <w:rPr>
          <w:rFonts w:cs="Arial"/>
          <w:szCs w:val="20"/>
        </w:rPr>
      </w:pPr>
    </w:p>
    <w:p w:rsidR="00AE2155" w:rsidRPr="00E01576" w:rsidRDefault="00AE2155" w:rsidP="00B644CC">
      <w:pPr>
        <w:spacing w:line="288" w:lineRule="auto"/>
        <w:jc w:val="both"/>
        <w:rPr>
          <w:rFonts w:eastAsia="Calibri" w:cs="Arial"/>
          <w:szCs w:val="20"/>
          <w:shd w:val="clear" w:color="auto" w:fill="FFFFFF"/>
        </w:rPr>
      </w:pPr>
      <w:r w:rsidRPr="009B4D00">
        <w:t xml:space="preserve">Predlog zakona ne posega v pravico do napredovanja državnega tožilca, ki je bil imenovan za </w:t>
      </w:r>
      <w:r w:rsidRPr="009B4D00">
        <w:rPr>
          <w:rFonts w:cs="Arial"/>
          <w:szCs w:val="20"/>
        </w:rPr>
        <w:t xml:space="preserve">nacionalnega predstavnika v </w:t>
      </w:r>
      <w:proofErr w:type="spellStart"/>
      <w:r w:rsidRPr="009B4D00">
        <w:rPr>
          <w:rFonts w:cs="Arial"/>
          <w:szCs w:val="20"/>
        </w:rPr>
        <w:t>Eurojustu</w:t>
      </w:r>
      <w:proofErr w:type="spellEnd"/>
      <w:r w:rsidRPr="009B4D00">
        <w:t>. Na podlagi predlagane ureditve bo državni tožilec</w:t>
      </w:r>
      <w:r w:rsidR="00F206A2">
        <w:t>,</w:t>
      </w:r>
      <w:r w:rsidRPr="009B4D00">
        <w:t xml:space="preserve"> imenovan za </w:t>
      </w:r>
      <w:r w:rsidRPr="009B4D00">
        <w:rPr>
          <w:rFonts w:cs="Arial"/>
          <w:szCs w:val="20"/>
        </w:rPr>
        <w:t xml:space="preserve">nacionalnega predstavnika v </w:t>
      </w:r>
      <w:proofErr w:type="spellStart"/>
      <w:r w:rsidRPr="009B4D00">
        <w:rPr>
          <w:rFonts w:cs="Arial"/>
          <w:szCs w:val="20"/>
        </w:rPr>
        <w:t>Eurojustu</w:t>
      </w:r>
      <w:proofErr w:type="spellEnd"/>
      <w:r w:rsidRPr="009B4D00">
        <w:t xml:space="preserve">, </w:t>
      </w:r>
      <w:r w:rsidR="00E01576" w:rsidRPr="00E01576">
        <w:t xml:space="preserve">obdržal </w:t>
      </w:r>
      <w:r w:rsidRPr="00E01576">
        <w:t>pravico do napredovanja</w:t>
      </w:r>
      <w:r w:rsidR="00E01576" w:rsidRPr="00E01576">
        <w:t>.</w:t>
      </w:r>
      <w:r w:rsidR="00F508A2">
        <w:t xml:space="preserve"> Enako kot pri dodelitvi v organ se </w:t>
      </w:r>
      <w:r w:rsidR="00F508A2">
        <w:rPr>
          <w:rFonts w:eastAsia="Calibri" w:cs="Arial"/>
          <w:szCs w:val="20"/>
        </w:rPr>
        <w:t>odpravlja omejitev, po kateri lahko državni tožilec v primeru imenovanja za nacionalnega predstavnika napreduje šele po izteku dodelitve</w:t>
      </w:r>
      <w:r w:rsidR="00146A02">
        <w:rPr>
          <w:rFonts w:eastAsia="Calibri" w:cs="Arial"/>
          <w:szCs w:val="20"/>
        </w:rPr>
        <w:t>.</w:t>
      </w:r>
      <w:r w:rsidR="00E01576" w:rsidRPr="00E01576">
        <w:t xml:space="preserve"> </w:t>
      </w:r>
      <w:r w:rsidR="00E01576" w:rsidRPr="006E178C">
        <w:rPr>
          <w:rFonts w:eastAsia="Calibri" w:cs="Arial"/>
          <w:szCs w:val="20"/>
          <w:shd w:val="clear" w:color="auto" w:fill="FFFFFF"/>
        </w:rPr>
        <w:t xml:space="preserve">Pri oceni </w:t>
      </w:r>
      <w:proofErr w:type="spellStart"/>
      <w:r w:rsidR="00E01576" w:rsidRPr="006E178C">
        <w:rPr>
          <w:rFonts w:eastAsia="Calibri" w:cs="Arial"/>
          <w:szCs w:val="20"/>
          <w:shd w:val="clear" w:color="auto" w:fill="FFFFFF"/>
        </w:rPr>
        <w:t>državnotožilske</w:t>
      </w:r>
      <w:proofErr w:type="spellEnd"/>
      <w:r w:rsidR="00E01576" w:rsidRPr="006E178C">
        <w:rPr>
          <w:rFonts w:eastAsia="Calibri" w:cs="Arial"/>
          <w:szCs w:val="20"/>
          <w:shd w:val="clear" w:color="auto" w:fill="FFFFFF"/>
        </w:rPr>
        <w:t xml:space="preserve"> službe za čas </w:t>
      </w:r>
      <w:r w:rsidR="00E01576">
        <w:rPr>
          <w:rFonts w:eastAsia="Calibri" w:cs="Arial"/>
          <w:szCs w:val="20"/>
          <w:shd w:val="clear" w:color="auto" w:fill="FFFFFF"/>
        </w:rPr>
        <w:t>imenovanja za nacionalnega predstavnika</w:t>
      </w:r>
      <w:r w:rsidR="00E01576" w:rsidRPr="006E178C">
        <w:rPr>
          <w:rFonts w:eastAsia="Calibri" w:cs="Arial"/>
          <w:szCs w:val="20"/>
          <w:shd w:val="clear" w:color="auto" w:fill="FFFFFF"/>
        </w:rPr>
        <w:t xml:space="preserve"> se </w:t>
      </w:r>
      <w:r w:rsidR="00E01576">
        <w:rPr>
          <w:rFonts w:eastAsia="Calibri" w:cs="Arial"/>
          <w:szCs w:val="20"/>
          <w:shd w:val="clear" w:color="auto" w:fill="FFFFFF"/>
        </w:rPr>
        <w:t>bo</w:t>
      </w:r>
      <w:r w:rsidR="00F206A2">
        <w:rPr>
          <w:rFonts w:eastAsia="Calibri" w:cs="Arial"/>
          <w:szCs w:val="20"/>
          <w:shd w:val="clear" w:color="auto" w:fill="FFFFFF"/>
        </w:rPr>
        <w:t>sta</w:t>
      </w:r>
      <w:r w:rsidR="00F508A2">
        <w:rPr>
          <w:rFonts w:eastAsia="Calibri" w:cs="Arial"/>
          <w:szCs w:val="20"/>
          <w:shd w:val="clear" w:color="auto" w:fill="FFFFFF"/>
        </w:rPr>
        <w:t xml:space="preserve"> po vzoru izdelave ocene </w:t>
      </w:r>
      <w:proofErr w:type="spellStart"/>
      <w:r w:rsidR="00F508A2">
        <w:rPr>
          <w:rFonts w:eastAsia="Calibri" w:cs="Arial"/>
          <w:szCs w:val="20"/>
          <w:shd w:val="clear" w:color="auto" w:fill="FFFFFF"/>
        </w:rPr>
        <w:t>državnotožilske</w:t>
      </w:r>
      <w:proofErr w:type="spellEnd"/>
      <w:r w:rsidR="00F508A2">
        <w:rPr>
          <w:rFonts w:eastAsia="Calibri" w:cs="Arial"/>
          <w:szCs w:val="20"/>
          <w:shd w:val="clear" w:color="auto" w:fill="FFFFFF"/>
        </w:rPr>
        <w:t xml:space="preserve"> službe v primeru dodelitve v organ</w:t>
      </w:r>
      <w:r w:rsidR="00E01576">
        <w:rPr>
          <w:rFonts w:eastAsia="Calibri" w:cs="Arial"/>
          <w:szCs w:val="20"/>
          <w:shd w:val="clear" w:color="auto" w:fill="FFFFFF"/>
        </w:rPr>
        <w:t xml:space="preserve"> </w:t>
      </w:r>
      <w:r w:rsidR="00E01576" w:rsidRPr="006E178C">
        <w:rPr>
          <w:rFonts w:eastAsia="Calibri" w:cs="Arial"/>
          <w:szCs w:val="20"/>
          <w:shd w:val="clear" w:color="auto" w:fill="FFFFFF"/>
        </w:rPr>
        <w:t>upoštev</w:t>
      </w:r>
      <w:r w:rsidR="00E01576">
        <w:rPr>
          <w:rFonts w:eastAsia="Calibri" w:cs="Arial"/>
          <w:szCs w:val="20"/>
          <w:shd w:val="clear" w:color="auto" w:fill="FFFFFF"/>
        </w:rPr>
        <w:t>al</w:t>
      </w:r>
      <w:r w:rsidR="00F206A2">
        <w:rPr>
          <w:rFonts w:eastAsia="Calibri" w:cs="Arial"/>
          <w:szCs w:val="20"/>
          <w:shd w:val="clear" w:color="auto" w:fill="FFFFFF"/>
        </w:rPr>
        <w:t>a</w:t>
      </w:r>
      <w:r w:rsidR="00E01576" w:rsidRPr="006E178C">
        <w:rPr>
          <w:rFonts w:eastAsia="Calibri" w:cs="Arial"/>
          <w:szCs w:val="20"/>
          <w:shd w:val="clear" w:color="auto" w:fill="FFFFFF"/>
        </w:rPr>
        <w:t xml:space="preserve"> </w:t>
      </w:r>
      <w:r w:rsidR="00F508A2">
        <w:rPr>
          <w:rFonts w:eastAsia="Calibri" w:cs="Arial"/>
          <w:szCs w:val="20"/>
          <w:shd w:val="clear" w:color="auto" w:fill="FFFFFF"/>
        </w:rPr>
        <w:t>poročilo o delu, ki ga izdela državni tožilec</w:t>
      </w:r>
      <w:r w:rsidR="00F206A2">
        <w:rPr>
          <w:rFonts w:eastAsia="Calibri" w:cs="Arial"/>
          <w:szCs w:val="20"/>
          <w:shd w:val="clear" w:color="auto" w:fill="FFFFFF"/>
        </w:rPr>
        <w:t>,</w:t>
      </w:r>
      <w:r w:rsidR="00F508A2">
        <w:rPr>
          <w:rFonts w:eastAsia="Calibri" w:cs="Arial"/>
          <w:szCs w:val="20"/>
          <w:shd w:val="clear" w:color="auto" w:fill="FFFFFF"/>
        </w:rPr>
        <w:t xml:space="preserve"> </w:t>
      </w:r>
      <w:r w:rsidR="00CD485B">
        <w:rPr>
          <w:rFonts w:eastAsia="Calibri" w:cs="Arial"/>
          <w:szCs w:val="20"/>
          <w:shd w:val="clear" w:color="auto" w:fill="FFFFFF"/>
        </w:rPr>
        <w:t>in</w:t>
      </w:r>
      <w:r w:rsidR="00F508A2">
        <w:rPr>
          <w:rFonts w:eastAsia="Calibri" w:cs="Arial"/>
          <w:szCs w:val="20"/>
          <w:shd w:val="clear" w:color="auto" w:fill="FFFFFF"/>
        </w:rPr>
        <w:t xml:space="preserve"> </w:t>
      </w:r>
      <w:r w:rsidR="00E01576" w:rsidRPr="006E178C">
        <w:rPr>
          <w:rFonts w:eastAsia="Calibri" w:cs="Arial"/>
          <w:szCs w:val="20"/>
          <w:shd w:val="clear" w:color="auto" w:fill="FFFFFF"/>
        </w:rPr>
        <w:t xml:space="preserve">mnenje o delu državnega tožilca, ki ga za namene ocene </w:t>
      </w:r>
      <w:proofErr w:type="spellStart"/>
      <w:r w:rsidR="00E01576" w:rsidRPr="006E178C">
        <w:rPr>
          <w:rFonts w:eastAsia="Calibri" w:cs="Arial"/>
          <w:szCs w:val="20"/>
          <w:shd w:val="clear" w:color="auto" w:fill="FFFFFF"/>
        </w:rPr>
        <w:t>državnotožilske</w:t>
      </w:r>
      <w:proofErr w:type="spellEnd"/>
      <w:r w:rsidR="00E01576" w:rsidRPr="006E178C">
        <w:rPr>
          <w:rFonts w:eastAsia="Calibri" w:cs="Arial"/>
          <w:szCs w:val="20"/>
          <w:shd w:val="clear" w:color="auto" w:fill="FFFFFF"/>
        </w:rPr>
        <w:t xml:space="preserve"> službe izdela predstojnik </w:t>
      </w:r>
      <w:proofErr w:type="spellStart"/>
      <w:r w:rsidR="00E01576">
        <w:rPr>
          <w:rFonts w:eastAsia="Calibri" w:cs="Arial"/>
          <w:szCs w:val="20"/>
          <w:shd w:val="clear" w:color="auto" w:fill="FFFFFF"/>
        </w:rPr>
        <w:t>Eurojusta</w:t>
      </w:r>
      <w:proofErr w:type="spellEnd"/>
      <w:r w:rsidR="00E01576">
        <w:rPr>
          <w:rFonts w:eastAsia="Calibri" w:cs="Arial"/>
          <w:szCs w:val="20"/>
          <w:shd w:val="clear" w:color="auto" w:fill="FFFFFF"/>
        </w:rPr>
        <w:t xml:space="preserve">. </w:t>
      </w:r>
      <w:r w:rsidR="00D15384">
        <w:rPr>
          <w:rFonts w:eastAsia="Calibri" w:cs="Arial"/>
          <w:szCs w:val="20"/>
          <w:shd w:val="clear" w:color="auto" w:fill="FFFFFF"/>
        </w:rPr>
        <w:t>Tako bo d</w:t>
      </w:r>
      <w:r w:rsidRPr="009B4D00">
        <w:t xml:space="preserve">ržavni tožilec za namen izdelave ocene </w:t>
      </w:r>
      <w:r w:rsidR="00E01576">
        <w:t xml:space="preserve">moral </w:t>
      </w:r>
      <w:r w:rsidRPr="009B4D00">
        <w:t xml:space="preserve">predložiti </w:t>
      </w:r>
      <w:proofErr w:type="spellStart"/>
      <w:r w:rsidRPr="009B4D00">
        <w:t>Državnotožilskemu</w:t>
      </w:r>
      <w:proofErr w:type="spellEnd"/>
      <w:r w:rsidRPr="009B4D00">
        <w:t xml:space="preserve"> svetu poročilo o delu v </w:t>
      </w:r>
      <w:proofErr w:type="spellStart"/>
      <w:r w:rsidRPr="009B4D00">
        <w:t>Eurojustu</w:t>
      </w:r>
      <w:proofErr w:type="spellEnd"/>
      <w:r w:rsidR="00F508A2">
        <w:t xml:space="preserve"> i</w:t>
      </w:r>
      <w:r w:rsidR="00CD485B">
        <w:t>n</w:t>
      </w:r>
      <w:r w:rsidR="00F508A2">
        <w:t xml:space="preserve"> pa mnenje predstojnika </w:t>
      </w:r>
      <w:proofErr w:type="spellStart"/>
      <w:r w:rsidR="00F508A2">
        <w:t>Eurojusta</w:t>
      </w:r>
      <w:proofErr w:type="spellEnd"/>
      <w:r w:rsidR="00D15384">
        <w:t>.</w:t>
      </w:r>
    </w:p>
    <w:p w:rsidR="00AE2155" w:rsidRPr="009B4D00" w:rsidRDefault="00AE2155" w:rsidP="00B644CC">
      <w:pPr>
        <w:spacing w:line="288" w:lineRule="auto"/>
        <w:jc w:val="both"/>
        <w:rPr>
          <w:rFonts w:eastAsia="Calibri" w:cs="Arial"/>
          <w:szCs w:val="20"/>
        </w:rPr>
      </w:pPr>
    </w:p>
    <w:p w:rsidR="00D2336C" w:rsidRDefault="00AE2155" w:rsidP="00B644CC">
      <w:pPr>
        <w:spacing w:line="288" w:lineRule="auto"/>
        <w:jc w:val="both"/>
        <w:rPr>
          <w:rFonts w:eastAsia="Calibri" w:cs="Arial"/>
          <w:strike/>
          <w:szCs w:val="20"/>
        </w:rPr>
      </w:pPr>
      <w:r w:rsidRPr="009B4D00">
        <w:rPr>
          <w:rFonts w:eastAsia="Calibri" w:cs="Arial"/>
          <w:szCs w:val="20"/>
        </w:rPr>
        <w:t xml:space="preserve">Enako kot do </w:t>
      </w:r>
      <w:r w:rsidR="00F206A2">
        <w:rPr>
          <w:rFonts w:eastAsia="Calibri" w:cs="Arial"/>
          <w:szCs w:val="20"/>
        </w:rPr>
        <w:t>zdaj</w:t>
      </w:r>
      <w:r w:rsidRPr="009B4D00">
        <w:rPr>
          <w:rFonts w:eastAsia="Calibri" w:cs="Arial"/>
          <w:szCs w:val="20"/>
        </w:rPr>
        <w:t xml:space="preserve"> bo nacionalni predstavnik opravljal funkcijo državnega tožilca s pooblastili, ki jih ima kot član </w:t>
      </w:r>
      <w:proofErr w:type="spellStart"/>
      <w:r w:rsidRPr="009B4D00">
        <w:rPr>
          <w:rFonts w:eastAsia="Calibri" w:cs="Arial"/>
          <w:szCs w:val="20"/>
        </w:rPr>
        <w:t>Eurojusta</w:t>
      </w:r>
      <w:proofErr w:type="spellEnd"/>
      <w:r w:rsidRPr="009B4D00">
        <w:rPr>
          <w:rFonts w:eastAsia="Calibri" w:cs="Arial"/>
          <w:szCs w:val="20"/>
        </w:rPr>
        <w:t xml:space="preserve"> iz Republike Slovenije, v skladu s predpisi, ki urejajo delovanje </w:t>
      </w:r>
      <w:proofErr w:type="spellStart"/>
      <w:r w:rsidRPr="009B4D00">
        <w:rPr>
          <w:rFonts w:eastAsia="Calibri" w:cs="Arial"/>
          <w:szCs w:val="20"/>
        </w:rPr>
        <w:t>Eurojusta</w:t>
      </w:r>
      <w:proofErr w:type="spellEnd"/>
      <w:r w:rsidRPr="009B4D00">
        <w:rPr>
          <w:rFonts w:eastAsia="Calibri" w:cs="Arial"/>
          <w:szCs w:val="20"/>
        </w:rPr>
        <w:t>, pa tudi v skladu s tem zakonom. Veljavna ureditev, ki določa plačo in pooblastila nacionalnega predstavnika, njegovega namestnika in pomočnika</w:t>
      </w:r>
      <w:r w:rsidR="00F206A2">
        <w:rPr>
          <w:rFonts w:eastAsia="Calibri" w:cs="Arial"/>
          <w:szCs w:val="20"/>
        </w:rPr>
        <w:t>,</w:t>
      </w:r>
      <w:r w:rsidRPr="009B4D00">
        <w:rPr>
          <w:rFonts w:eastAsia="Calibri" w:cs="Arial"/>
          <w:szCs w:val="20"/>
        </w:rPr>
        <w:t xml:space="preserve"> ostane nespremenjena</w:t>
      </w:r>
      <w:r w:rsidR="002F3ADC">
        <w:rPr>
          <w:rFonts w:eastAsia="Calibri" w:cs="Arial"/>
          <w:szCs w:val="20"/>
        </w:rPr>
        <w:t>.</w:t>
      </w:r>
      <w:r w:rsidR="00D2336C">
        <w:rPr>
          <w:rFonts w:eastAsia="Calibri" w:cs="Arial"/>
          <w:szCs w:val="20"/>
        </w:rPr>
        <w:t xml:space="preserve"> </w:t>
      </w:r>
      <w:r w:rsidR="00613494">
        <w:rPr>
          <w:rFonts w:eastAsia="Calibri" w:cs="Arial"/>
          <w:szCs w:val="20"/>
        </w:rPr>
        <w:t xml:space="preserve">S predlogom zakona se peti odstavek veljavne ureditve </w:t>
      </w:r>
      <w:proofErr w:type="spellStart"/>
      <w:r w:rsidR="00613494">
        <w:rPr>
          <w:rFonts w:eastAsia="Calibri" w:cs="Arial"/>
          <w:szCs w:val="20"/>
        </w:rPr>
        <w:t>nomotehnično</w:t>
      </w:r>
      <w:proofErr w:type="spellEnd"/>
      <w:r w:rsidR="00613494">
        <w:rPr>
          <w:rFonts w:eastAsia="Calibri" w:cs="Arial"/>
          <w:szCs w:val="20"/>
        </w:rPr>
        <w:t xml:space="preserve"> </w:t>
      </w:r>
      <w:r w:rsidR="00601948">
        <w:rPr>
          <w:rFonts w:eastAsia="Calibri" w:cs="Arial"/>
          <w:szCs w:val="20"/>
        </w:rPr>
        <w:t xml:space="preserve">ustrezneje zapiše ter poenoti že sprejeta terminologija. </w:t>
      </w:r>
    </w:p>
    <w:p w:rsidR="00AE2155" w:rsidRDefault="00AE2155" w:rsidP="00B644CC">
      <w:pPr>
        <w:spacing w:line="288" w:lineRule="auto"/>
        <w:jc w:val="both"/>
        <w:rPr>
          <w:rFonts w:eastAsia="Calibri" w:cs="Arial"/>
          <w:b/>
          <w:szCs w:val="20"/>
        </w:rPr>
      </w:pPr>
    </w:p>
    <w:p w:rsidR="00BC7D49" w:rsidRDefault="00BC7D49" w:rsidP="00B644CC">
      <w:pPr>
        <w:spacing w:line="288" w:lineRule="auto"/>
        <w:jc w:val="both"/>
        <w:rPr>
          <w:rFonts w:eastAsia="Calibri" w:cs="Arial"/>
          <w:b/>
          <w:szCs w:val="20"/>
        </w:rPr>
      </w:pPr>
      <w:r>
        <w:rPr>
          <w:rFonts w:eastAsia="Calibri" w:cs="Arial"/>
          <w:b/>
          <w:szCs w:val="20"/>
        </w:rPr>
        <w:t>K 14. členu</w:t>
      </w:r>
    </w:p>
    <w:p w:rsidR="00BC7D49" w:rsidRDefault="00BC7D49" w:rsidP="00BC7D49">
      <w:pPr>
        <w:spacing w:line="288" w:lineRule="auto"/>
        <w:jc w:val="both"/>
        <w:rPr>
          <w:rFonts w:eastAsia="Calibri" w:cs="Arial"/>
          <w:szCs w:val="20"/>
        </w:rPr>
      </w:pPr>
      <w:r>
        <w:rPr>
          <w:rFonts w:eastAsia="Calibri" w:cs="Arial"/>
          <w:bCs/>
          <w:szCs w:val="20"/>
        </w:rPr>
        <w:t>S predlagano določbo se enako</w:t>
      </w:r>
      <w:r w:rsidR="00F206A2">
        <w:rPr>
          <w:rFonts w:eastAsia="Calibri" w:cs="Arial"/>
          <w:bCs/>
          <w:szCs w:val="20"/>
        </w:rPr>
        <w:t>,</w:t>
      </w:r>
      <w:r>
        <w:rPr>
          <w:rFonts w:eastAsia="Calibri" w:cs="Arial"/>
          <w:bCs/>
          <w:szCs w:val="20"/>
        </w:rPr>
        <w:t xml:space="preserve"> kot se v </w:t>
      </w:r>
      <w:r w:rsidRPr="007A3AD7">
        <w:rPr>
          <w:rFonts w:eastAsia="Calibri" w:cs="Arial"/>
          <w:szCs w:val="20"/>
        </w:rPr>
        <w:t>zvezi z napredovanjem državnih tožilcev v primeru dodelitve v organ</w:t>
      </w:r>
      <w:r>
        <w:rPr>
          <w:rFonts w:eastAsia="Calibri" w:cs="Arial"/>
          <w:szCs w:val="20"/>
        </w:rPr>
        <w:t xml:space="preserve"> in imenovanj</w:t>
      </w:r>
      <w:r w:rsidR="00F206A2">
        <w:rPr>
          <w:rFonts w:eastAsia="Calibri" w:cs="Arial"/>
          <w:szCs w:val="20"/>
        </w:rPr>
        <w:t>em</w:t>
      </w:r>
      <w:r>
        <w:rPr>
          <w:rFonts w:eastAsia="Calibri" w:cs="Arial"/>
          <w:szCs w:val="20"/>
        </w:rPr>
        <w:t xml:space="preserve"> v </w:t>
      </w:r>
      <w:proofErr w:type="spellStart"/>
      <w:r>
        <w:rPr>
          <w:rFonts w:eastAsia="Calibri" w:cs="Arial"/>
          <w:szCs w:val="20"/>
        </w:rPr>
        <w:t>Eurojust</w:t>
      </w:r>
      <w:proofErr w:type="spellEnd"/>
      <w:r w:rsidRPr="007A3AD7">
        <w:rPr>
          <w:rFonts w:eastAsia="Calibri" w:cs="Arial"/>
          <w:szCs w:val="20"/>
        </w:rPr>
        <w:t xml:space="preserve">, </w:t>
      </w:r>
      <w:r>
        <w:rPr>
          <w:rFonts w:eastAsia="Calibri" w:cs="Arial"/>
          <w:szCs w:val="20"/>
        </w:rPr>
        <w:t>po vzoru ureditve</w:t>
      </w:r>
      <w:r w:rsidR="00F206A2">
        <w:rPr>
          <w:rFonts w:eastAsia="Calibri" w:cs="Arial"/>
          <w:szCs w:val="20"/>
        </w:rPr>
        <w:t>,</w:t>
      </w:r>
      <w:r>
        <w:rPr>
          <w:rFonts w:eastAsia="Calibri" w:cs="Arial"/>
          <w:szCs w:val="20"/>
        </w:rPr>
        <w:t xml:space="preserve"> kot velja za sodnike (71.c člen Zakona o sodniški službi), odpravlja omejitev, po kateri lahko državni tožilec v primeru imenovanja za časa imenovanja za evropskega tožilca napreduje šele po izteku dodelitve. </w:t>
      </w:r>
    </w:p>
    <w:p w:rsidR="00BC7D49" w:rsidRDefault="00BC7D49" w:rsidP="00BC7D49">
      <w:pPr>
        <w:spacing w:line="288" w:lineRule="auto"/>
        <w:jc w:val="both"/>
        <w:rPr>
          <w:rFonts w:eastAsia="Calibri" w:cs="Arial"/>
          <w:szCs w:val="20"/>
        </w:rPr>
      </w:pPr>
    </w:p>
    <w:p w:rsidR="00BC7D49" w:rsidRDefault="00BC7D49" w:rsidP="00BC7D49">
      <w:pPr>
        <w:spacing w:line="288" w:lineRule="auto"/>
        <w:jc w:val="both"/>
        <w:rPr>
          <w:rFonts w:eastAsia="Calibri" w:cs="Arial"/>
          <w:szCs w:val="20"/>
        </w:rPr>
      </w:pPr>
      <w:r>
        <w:rPr>
          <w:rFonts w:eastAsia="Calibri" w:cs="Arial"/>
          <w:szCs w:val="20"/>
        </w:rPr>
        <w:t>Državnim tožilcem je tako pri dodelitvi v organ</w:t>
      </w:r>
      <w:r w:rsidR="00F206A2">
        <w:rPr>
          <w:rFonts w:eastAsia="Calibri" w:cs="Arial"/>
          <w:szCs w:val="20"/>
        </w:rPr>
        <w:t xml:space="preserve"> ter </w:t>
      </w:r>
      <w:r>
        <w:rPr>
          <w:rFonts w:eastAsia="Calibri" w:cs="Arial"/>
          <w:szCs w:val="20"/>
        </w:rPr>
        <w:t xml:space="preserve">tudi pri imenovanju za člane </w:t>
      </w:r>
      <w:proofErr w:type="spellStart"/>
      <w:r>
        <w:rPr>
          <w:rFonts w:eastAsia="Calibri" w:cs="Arial"/>
          <w:szCs w:val="20"/>
        </w:rPr>
        <w:t>Eurojust</w:t>
      </w:r>
      <w:proofErr w:type="spellEnd"/>
      <w:r>
        <w:rPr>
          <w:rFonts w:eastAsia="Calibri" w:cs="Arial"/>
          <w:szCs w:val="20"/>
        </w:rPr>
        <w:t xml:space="preserve"> kot pri imenovanju za evropskega tožilca </w:t>
      </w:r>
      <w:r w:rsidRPr="00BC7D49">
        <w:rPr>
          <w:rFonts w:eastAsia="Calibri" w:cs="Arial"/>
          <w:szCs w:val="20"/>
        </w:rPr>
        <w:t>zagotovljena pravica do napredovanja, in sicer tudi v času, ko je</w:t>
      </w:r>
      <w:r>
        <w:rPr>
          <w:rFonts w:eastAsia="Calibri" w:cs="Arial"/>
          <w:szCs w:val="20"/>
        </w:rPr>
        <w:t xml:space="preserve"> državni tožilec</w:t>
      </w:r>
      <w:r w:rsidRPr="00BC7D49">
        <w:rPr>
          <w:rFonts w:eastAsia="Calibri" w:cs="Arial"/>
          <w:szCs w:val="20"/>
        </w:rPr>
        <w:t xml:space="preserve"> začasno dodeljen na delo v drug organ</w:t>
      </w:r>
      <w:r>
        <w:rPr>
          <w:rFonts w:eastAsia="Calibri" w:cs="Arial"/>
          <w:szCs w:val="20"/>
        </w:rPr>
        <w:t xml:space="preserve"> oziroma imenovan v organ EU</w:t>
      </w:r>
      <w:r w:rsidRPr="00BC7D49">
        <w:rPr>
          <w:rFonts w:eastAsia="Calibri" w:cs="Arial"/>
          <w:szCs w:val="20"/>
        </w:rPr>
        <w:t xml:space="preserve">. </w:t>
      </w:r>
      <w:r>
        <w:rPr>
          <w:rFonts w:eastAsia="Calibri" w:cs="Arial"/>
          <w:szCs w:val="20"/>
        </w:rPr>
        <w:t>V teh primerih</w:t>
      </w:r>
      <w:r w:rsidRPr="00BC7D49">
        <w:rPr>
          <w:rFonts w:eastAsia="Calibri" w:cs="Arial"/>
          <w:szCs w:val="20"/>
        </w:rPr>
        <w:t xml:space="preserve"> </w:t>
      </w:r>
      <w:r>
        <w:rPr>
          <w:rFonts w:eastAsia="Calibri" w:cs="Arial"/>
          <w:szCs w:val="20"/>
        </w:rPr>
        <w:t>državnemu tožilcu</w:t>
      </w:r>
      <w:r w:rsidRPr="00BC7D49">
        <w:rPr>
          <w:rFonts w:eastAsia="Calibri" w:cs="Arial"/>
          <w:szCs w:val="20"/>
        </w:rPr>
        <w:t xml:space="preserve"> pripada najmanj takšna</w:t>
      </w:r>
      <w:r>
        <w:rPr>
          <w:rFonts w:eastAsia="Calibri" w:cs="Arial"/>
          <w:szCs w:val="20"/>
        </w:rPr>
        <w:t xml:space="preserve"> </w:t>
      </w:r>
      <w:r w:rsidRPr="00BC7D49">
        <w:rPr>
          <w:rFonts w:eastAsia="Calibri" w:cs="Arial"/>
          <w:szCs w:val="20"/>
        </w:rPr>
        <w:t xml:space="preserve">plača, kot bi jo prejemal, če bi opravljal </w:t>
      </w:r>
      <w:proofErr w:type="spellStart"/>
      <w:r>
        <w:rPr>
          <w:rFonts w:eastAsia="Calibri" w:cs="Arial"/>
          <w:szCs w:val="20"/>
        </w:rPr>
        <w:lastRenderedPageBreak/>
        <w:t>državnotožilsko</w:t>
      </w:r>
      <w:proofErr w:type="spellEnd"/>
      <w:r w:rsidRPr="00BC7D49">
        <w:rPr>
          <w:rFonts w:eastAsia="Calibri" w:cs="Arial"/>
          <w:szCs w:val="20"/>
        </w:rPr>
        <w:t xml:space="preserve"> službo, varovane pa so tudi vse njegove</w:t>
      </w:r>
      <w:r w:rsidR="00C662D9">
        <w:rPr>
          <w:rFonts w:eastAsia="Calibri" w:cs="Arial"/>
          <w:szCs w:val="20"/>
        </w:rPr>
        <w:t xml:space="preserve"> </w:t>
      </w:r>
      <w:r w:rsidRPr="00BC7D49">
        <w:rPr>
          <w:rFonts w:eastAsia="Calibri" w:cs="Arial"/>
          <w:szCs w:val="20"/>
        </w:rPr>
        <w:t xml:space="preserve">pravice do napredovanja. </w:t>
      </w:r>
      <w:proofErr w:type="spellStart"/>
      <w:r w:rsidR="00C662D9">
        <w:rPr>
          <w:rFonts w:eastAsia="Calibri" w:cs="Arial"/>
          <w:szCs w:val="20"/>
        </w:rPr>
        <w:t>Državnotožilsko</w:t>
      </w:r>
      <w:proofErr w:type="spellEnd"/>
      <w:r w:rsidR="00C662D9">
        <w:rPr>
          <w:rFonts w:eastAsia="Calibri" w:cs="Arial"/>
          <w:szCs w:val="20"/>
        </w:rPr>
        <w:t xml:space="preserve"> napredovanje je </w:t>
      </w:r>
      <w:r w:rsidRPr="00BC7D49">
        <w:rPr>
          <w:rFonts w:eastAsia="Calibri" w:cs="Arial"/>
          <w:szCs w:val="20"/>
        </w:rPr>
        <w:t xml:space="preserve">neločljivo povezano z oceno </w:t>
      </w:r>
      <w:proofErr w:type="spellStart"/>
      <w:r w:rsidR="00C662D9">
        <w:rPr>
          <w:rFonts w:eastAsia="Calibri" w:cs="Arial"/>
          <w:szCs w:val="20"/>
        </w:rPr>
        <w:t>državnotožilske</w:t>
      </w:r>
      <w:proofErr w:type="spellEnd"/>
      <w:r w:rsidRPr="00BC7D49">
        <w:rPr>
          <w:rFonts w:eastAsia="Calibri" w:cs="Arial"/>
          <w:szCs w:val="20"/>
        </w:rPr>
        <w:t xml:space="preserve"> službe, s katero se ugotavlja, ali </w:t>
      </w:r>
      <w:r w:rsidR="00C662D9">
        <w:rPr>
          <w:rFonts w:eastAsia="Calibri" w:cs="Arial"/>
          <w:szCs w:val="20"/>
        </w:rPr>
        <w:t>državni tožilec</w:t>
      </w:r>
      <w:r w:rsidRPr="00BC7D49">
        <w:rPr>
          <w:rFonts w:eastAsia="Calibri" w:cs="Arial"/>
          <w:szCs w:val="20"/>
        </w:rPr>
        <w:t xml:space="preserve"> izpolnjuje pogoje</w:t>
      </w:r>
      <w:r w:rsidR="00C662D9">
        <w:rPr>
          <w:rFonts w:eastAsia="Calibri" w:cs="Arial"/>
          <w:szCs w:val="20"/>
        </w:rPr>
        <w:t xml:space="preserve"> </w:t>
      </w:r>
      <w:r w:rsidRPr="00BC7D49">
        <w:rPr>
          <w:rFonts w:eastAsia="Calibri" w:cs="Arial"/>
          <w:szCs w:val="20"/>
        </w:rPr>
        <w:t>za napredovanje in kakšne</w:t>
      </w:r>
      <w:r w:rsidR="00F206A2">
        <w:rPr>
          <w:rFonts w:eastAsia="Calibri" w:cs="Arial"/>
          <w:szCs w:val="20"/>
        </w:rPr>
        <w:t xml:space="preserve"> </w:t>
      </w:r>
      <w:r w:rsidRPr="00BC7D49">
        <w:rPr>
          <w:rFonts w:eastAsia="Calibri" w:cs="Arial"/>
          <w:szCs w:val="20"/>
        </w:rPr>
        <w:t xml:space="preserve">vrste. </w:t>
      </w:r>
      <w:r w:rsidR="00F206A2">
        <w:rPr>
          <w:rFonts w:eastAsia="Calibri" w:cs="Arial"/>
          <w:szCs w:val="20"/>
        </w:rPr>
        <w:t>D</w:t>
      </w:r>
      <w:r w:rsidRPr="00BC7D49">
        <w:rPr>
          <w:rFonts w:eastAsia="Calibri" w:cs="Arial"/>
          <w:szCs w:val="20"/>
        </w:rPr>
        <w:t xml:space="preserve">a se torej dodeljenim </w:t>
      </w:r>
      <w:r w:rsidR="00C662D9">
        <w:rPr>
          <w:rFonts w:eastAsia="Calibri" w:cs="Arial"/>
          <w:szCs w:val="20"/>
        </w:rPr>
        <w:t>državnim tožilcem v drug</w:t>
      </w:r>
      <w:r w:rsidR="00CD485B">
        <w:rPr>
          <w:rFonts w:eastAsia="Calibri" w:cs="Arial"/>
          <w:szCs w:val="20"/>
        </w:rPr>
        <w:t xml:space="preserve"> </w:t>
      </w:r>
      <w:r w:rsidR="00C662D9">
        <w:rPr>
          <w:rFonts w:eastAsia="Calibri" w:cs="Arial"/>
          <w:szCs w:val="20"/>
        </w:rPr>
        <w:t>organ oziroma imenovanim v organe EU</w:t>
      </w:r>
      <w:r w:rsidRPr="00BC7D49">
        <w:rPr>
          <w:rFonts w:eastAsia="Calibri" w:cs="Arial"/>
          <w:szCs w:val="20"/>
        </w:rPr>
        <w:t xml:space="preserve"> zagotovi pravica do</w:t>
      </w:r>
      <w:r w:rsidR="00C662D9">
        <w:rPr>
          <w:rFonts w:eastAsia="Calibri" w:cs="Arial"/>
          <w:szCs w:val="20"/>
        </w:rPr>
        <w:t xml:space="preserve"> </w:t>
      </w:r>
      <w:r w:rsidRPr="00BC7D49">
        <w:rPr>
          <w:rFonts w:eastAsia="Calibri" w:cs="Arial"/>
          <w:szCs w:val="20"/>
        </w:rPr>
        <w:t>napredovanja tudi v času dodelitve, morajo biti ocenjeni</w:t>
      </w:r>
      <w:r w:rsidR="00C662D9">
        <w:rPr>
          <w:rFonts w:eastAsia="Calibri" w:cs="Arial"/>
          <w:szCs w:val="20"/>
        </w:rPr>
        <w:t>.</w:t>
      </w:r>
    </w:p>
    <w:p w:rsidR="00C662D9" w:rsidRDefault="00C662D9" w:rsidP="00BC7D49">
      <w:pPr>
        <w:spacing w:line="288" w:lineRule="auto"/>
        <w:jc w:val="both"/>
        <w:rPr>
          <w:rFonts w:eastAsia="Calibri" w:cs="Arial"/>
          <w:szCs w:val="20"/>
        </w:rPr>
      </w:pPr>
    </w:p>
    <w:p w:rsidR="00C662D9" w:rsidRDefault="00C662D9" w:rsidP="00C662D9">
      <w:pPr>
        <w:spacing w:line="288" w:lineRule="auto"/>
        <w:jc w:val="both"/>
        <w:rPr>
          <w:rFonts w:eastAsia="Calibri" w:cs="Arial"/>
          <w:szCs w:val="20"/>
        </w:rPr>
      </w:pPr>
      <w:r>
        <w:rPr>
          <w:rFonts w:eastAsia="Calibri" w:cs="Arial"/>
          <w:szCs w:val="20"/>
        </w:rPr>
        <w:t xml:space="preserve">Pri ocenjevanju </w:t>
      </w:r>
      <w:r w:rsidRPr="00C662D9">
        <w:rPr>
          <w:rFonts w:eastAsia="Calibri" w:cs="Arial"/>
          <w:szCs w:val="20"/>
        </w:rPr>
        <w:t>dodeljenih</w:t>
      </w:r>
      <w:r>
        <w:rPr>
          <w:rFonts w:eastAsia="Calibri" w:cs="Arial"/>
          <w:szCs w:val="20"/>
        </w:rPr>
        <w:t xml:space="preserve"> oziroma imenovanih državnih tožilcev je treba izhajati</w:t>
      </w:r>
      <w:r w:rsidRPr="00C662D9">
        <w:rPr>
          <w:rFonts w:eastAsia="Calibri" w:cs="Arial"/>
          <w:szCs w:val="20"/>
        </w:rPr>
        <w:t xml:space="preserve"> iz okoliščine, da dodeljeni </w:t>
      </w:r>
      <w:r>
        <w:rPr>
          <w:rFonts w:eastAsia="Calibri" w:cs="Arial"/>
          <w:szCs w:val="20"/>
        </w:rPr>
        <w:t xml:space="preserve">državni tožilci </w:t>
      </w:r>
      <w:r w:rsidRPr="00C662D9">
        <w:rPr>
          <w:rFonts w:eastAsia="Calibri" w:cs="Arial"/>
          <w:szCs w:val="20"/>
        </w:rPr>
        <w:t xml:space="preserve">ne opravljajo </w:t>
      </w:r>
      <w:r w:rsidR="008E115A">
        <w:rPr>
          <w:rFonts w:eastAsia="Calibri" w:cs="Arial"/>
          <w:szCs w:val="20"/>
        </w:rPr>
        <w:t xml:space="preserve">stroge </w:t>
      </w:r>
      <w:proofErr w:type="spellStart"/>
      <w:r>
        <w:rPr>
          <w:rFonts w:eastAsia="Calibri" w:cs="Arial"/>
          <w:szCs w:val="20"/>
        </w:rPr>
        <w:t>državnotožilske</w:t>
      </w:r>
      <w:proofErr w:type="spellEnd"/>
      <w:r w:rsidRPr="00C662D9">
        <w:rPr>
          <w:rFonts w:eastAsia="Calibri" w:cs="Arial"/>
          <w:szCs w:val="20"/>
        </w:rPr>
        <w:t xml:space="preserve"> funkcije in ne rešujejo zadev, zato </w:t>
      </w:r>
      <w:r w:rsidR="008E115A">
        <w:rPr>
          <w:rFonts w:eastAsia="Calibri" w:cs="Arial"/>
          <w:szCs w:val="20"/>
        </w:rPr>
        <w:t xml:space="preserve">se zastavlja vprašanje ustreznosti </w:t>
      </w:r>
      <w:r w:rsidRPr="00C662D9">
        <w:rPr>
          <w:rFonts w:eastAsia="Calibri" w:cs="Arial"/>
          <w:szCs w:val="20"/>
        </w:rPr>
        <w:t>ocenjevanj</w:t>
      </w:r>
      <w:r w:rsidR="00A470E5">
        <w:rPr>
          <w:rFonts w:eastAsia="Calibri" w:cs="Arial"/>
          <w:szCs w:val="20"/>
        </w:rPr>
        <w:t>a</w:t>
      </w:r>
      <w:r w:rsidRPr="00C662D9">
        <w:rPr>
          <w:rFonts w:eastAsia="Calibri" w:cs="Arial"/>
          <w:szCs w:val="20"/>
        </w:rPr>
        <w:t xml:space="preserve"> njihovega dela</w:t>
      </w:r>
      <w:r w:rsidR="008E115A">
        <w:rPr>
          <w:rFonts w:eastAsia="Calibri" w:cs="Arial"/>
          <w:szCs w:val="20"/>
        </w:rPr>
        <w:t xml:space="preserve"> </w:t>
      </w:r>
      <w:r w:rsidRPr="00C662D9">
        <w:rPr>
          <w:rFonts w:eastAsia="Calibri" w:cs="Arial"/>
          <w:szCs w:val="20"/>
        </w:rPr>
        <w:t>po kriterijih, ki jih določa</w:t>
      </w:r>
      <w:r w:rsidR="008E115A">
        <w:rPr>
          <w:rFonts w:eastAsia="Calibri" w:cs="Arial"/>
          <w:szCs w:val="20"/>
        </w:rPr>
        <w:t xml:space="preserve">jo Merila </w:t>
      </w:r>
      <w:r w:rsidRPr="00C662D9">
        <w:rPr>
          <w:rFonts w:eastAsia="Calibri" w:cs="Arial"/>
          <w:szCs w:val="20"/>
        </w:rPr>
        <w:t xml:space="preserve"> </w:t>
      </w:r>
      <w:r w:rsidR="008E115A" w:rsidRPr="00C662D9">
        <w:rPr>
          <w:rFonts w:eastAsia="Calibri" w:cs="Arial"/>
          <w:szCs w:val="20"/>
        </w:rPr>
        <w:t xml:space="preserve">za kakovost dela </w:t>
      </w:r>
      <w:r w:rsidR="008E115A">
        <w:t xml:space="preserve">državnih tožilcev </w:t>
      </w:r>
      <w:r w:rsidR="008E115A" w:rsidRPr="00C662D9">
        <w:rPr>
          <w:rFonts w:eastAsia="Calibri" w:cs="Arial"/>
          <w:szCs w:val="20"/>
        </w:rPr>
        <w:t xml:space="preserve">za oceno </w:t>
      </w:r>
      <w:proofErr w:type="spellStart"/>
      <w:r w:rsidR="008E115A">
        <w:rPr>
          <w:rFonts w:eastAsia="Calibri" w:cs="Arial"/>
          <w:szCs w:val="20"/>
        </w:rPr>
        <w:t>državnotožilske</w:t>
      </w:r>
      <w:proofErr w:type="spellEnd"/>
      <w:r w:rsidR="008E115A" w:rsidRPr="00C662D9">
        <w:rPr>
          <w:rFonts w:eastAsia="Calibri" w:cs="Arial"/>
          <w:szCs w:val="20"/>
        </w:rPr>
        <w:t xml:space="preserve"> službe</w:t>
      </w:r>
      <w:r w:rsidR="008E115A">
        <w:rPr>
          <w:rFonts w:eastAsia="Calibri" w:cs="Arial"/>
          <w:szCs w:val="20"/>
        </w:rPr>
        <w:t>.</w:t>
      </w:r>
      <w:r w:rsidRPr="00C662D9">
        <w:rPr>
          <w:rFonts w:eastAsia="Calibri" w:cs="Arial"/>
          <w:szCs w:val="20"/>
        </w:rPr>
        <w:t xml:space="preserve"> Pri tem se </w:t>
      </w:r>
      <w:r>
        <w:rPr>
          <w:rFonts w:eastAsia="Calibri" w:cs="Arial"/>
          <w:szCs w:val="20"/>
        </w:rPr>
        <w:t xml:space="preserve">bo </w:t>
      </w:r>
      <w:r w:rsidRPr="00C662D9">
        <w:rPr>
          <w:rFonts w:eastAsia="Calibri" w:cs="Arial"/>
          <w:szCs w:val="20"/>
        </w:rPr>
        <w:t xml:space="preserve">pri oceni </w:t>
      </w:r>
      <w:proofErr w:type="spellStart"/>
      <w:r>
        <w:rPr>
          <w:rFonts w:eastAsia="Calibri" w:cs="Arial"/>
          <w:szCs w:val="20"/>
        </w:rPr>
        <w:t>državnotožilske</w:t>
      </w:r>
      <w:proofErr w:type="spellEnd"/>
      <w:r w:rsidRPr="00C662D9">
        <w:rPr>
          <w:rFonts w:eastAsia="Calibri" w:cs="Arial"/>
          <w:szCs w:val="20"/>
        </w:rPr>
        <w:t xml:space="preserve"> službe za čas dodelitve upošteva</w:t>
      </w:r>
      <w:r>
        <w:rPr>
          <w:rFonts w:eastAsia="Calibri" w:cs="Arial"/>
          <w:szCs w:val="20"/>
        </w:rPr>
        <w:t>lo</w:t>
      </w:r>
      <w:r w:rsidRPr="00C662D9">
        <w:rPr>
          <w:rFonts w:eastAsia="Calibri" w:cs="Arial"/>
          <w:szCs w:val="20"/>
        </w:rPr>
        <w:t xml:space="preserve"> mnenje o delu </w:t>
      </w:r>
      <w:r>
        <w:rPr>
          <w:rFonts w:eastAsia="Calibri" w:cs="Arial"/>
          <w:szCs w:val="20"/>
        </w:rPr>
        <w:t>državnega tožilc</w:t>
      </w:r>
      <w:r w:rsidRPr="00C662D9">
        <w:rPr>
          <w:rFonts w:eastAsia="Calibri" w:cs="Arial"/>
          <w:szCs w:val="20"/>
        </w:rPr>
        <w:t>a, ki ga za namene</w:t>
      </w:r>
      <w:r>
        <w:rPr>
          <w:rFonts w:eastAsia="Calibri" w:cs="Arial"/>
          <w:szCs w:val="20"/>
        </w:rPr>
        <w:t xml:space="preserve"> </w:t>
      </w:r>
      <w:r w:rsidRPr="00C662D9">
        <w:rPr>
          <w:rFonts w:eastAsia="Calibri" w:cs="Arial"/>
          <w:szCs w:val="20"/>
        </w:rPr>
        <w:t xml:space="preserve">ocene </w:t>
      </w:r>
      <w:proofErr w:type="spellStart"/>
      <w:r>
        <w:rPr>
          <w:rFonts w:eastAsia="Calibri" w:cs="Arial"/>
          <w:szCs w:val="20"/>
        </w:rPr>
        <w:t>državnotožilske</w:t>
      </w:r>
      <w:proofErr w:type="spellEnd"/>
      <w:r w:rsidRPr="00C662D9">
        <w:rPr>
          <w:rFonts w:eastAsia="Calibri" w:cs="Arial"/>
          <w:szCs w:val="20"/>
        </w:rPr>
        <w:t xml:space="preserve"> službe izdela predstojnik organa, pri katerem je oz</w:t>
      </w:r>
      <w:r w:rsidR="00F206A2">
        <w:rPr>
          <w:rFonts w:eastAsia="Calibri" w:cs="Arial"/>
          <w:szCs w:val="20"/>
        </w:rPr>
        <w:t>iroma</w:t>
      </w:r>
      <w:r w:rsidRPr="00C662D9">
        <w:rPr>
          <w:rFonts w:eastAsia="Calibri" w:cs="Arial"/>
          <w:szCs w:val="20"/>
        </w:rPr>
        <w:t xml:space="preserve"> je bil</w:t>
      </w:r>
      <w:r>
        <w:rPr>
          <w:rFonts w:eastAsia="Calibri" w:cs="Arial"/>
          <w:szCs w:val="20"/>
        </w:rPr>
        <w:t xml:space="preserve"> državni tožilec</w:t>
      </w:r>
      <w:r w:rsidRPr="00C662D9">
        <w:rPr>
          <w:rFonts w:eastAsia="Calibri" w:cs="Arial"/>
          <w:szCs w:val="20"/>
        </w:rPr>
        <w:t xml:space="preserve"> dodeljen</w:t>
      </w:r>
      <w:r w:rsidR="00A470E5">
        <w:rPr>
          <w:rFonts w:eastAsia="Calibri" w:cs="Arial"/>
          <w:szCs w:val="20"/>
        </w:rPr>
        <w:t>. E</w:t>
      </w:r>
      <w:r w:rsidR="00CD485B">
        <w:rPr>
          <w:rFonts w:eastAsia="Calibri" w:cs="Arial"/>
          <w:szCs w:val="20"/>
        </w:rPr>
        <w:t xml:space="preserve">nako </w:t>
      </w:r>
      <w:r w:rsidR="00A470E5">
        <w:rPr>
          <w:rFonts w:eastAsia="Calibri" w:cs="Arial"/>
          <w:szCs w:val="20"/>
        </w:rPr>
        <w:t>se bo</w:t>
      </w:r>
      <w:r w:rsidR="00F206A2">
        <w:rPr>
          <w:rFonts w:eastAsia="Calibri" w:cs="Arial"/>
          <w:szCs w:val="20"/>
        </w:rPr>
        <w:t>sta ob</w:t>
      </w:r>
      <w:r>
        <w:rPr>
          <w:rFonts w:eastAsia="Calibri" w:cs="Arial"/>
          <w:szCs w:val="20"/>
        </w:rPr>
        <w:t xml:space="preserve"> imenovanj</w:t>
      </w:r>
      <w:r w:rsidR="00F206A2">
        <w:rPr>
          <w:rFonts w:eastAsia="Calibri" w:cs="Arial"/>
          <w:szCs w:val="20"/>
        </w:rPr>
        <w:t>u</w:t>
      </w:r>
      <w:r w:rsidR="00A470E5">
        <w:rPr>
          <w:rFonts w:eastAsia="Calibri" w:cs="Arial"/>
          <w:szCs w:val="20"/>
        </w:rPr>
        <w:t xml:space="preserve"> državnega tožilca</w:t>
      </w:r>
      <w:r>
        <w:rPr>
          <w:rFonts w:eastAsia="Calibri" w:cs="Arial"/>
          <w:szCs w:val="20"/>
        </w:rPr>
        <w:t xml:space="preserve"> za člana </w:t>
      </w:r>
      <w:proofErr w:type="spellStart"/>
      <w:r>
        <w:rPr>
          <w:rFonts w:eastAsia="Calibri" w:cs="Arial"/>
          <w:szCs w:val="20"/>
        </w:rPr>
        <w:t>Eurojusta</w:t>
      </w:r>
      <w:proofErr w:type="spellEnd"/>
      <w:r w:rsidR="00A470E5">
        <w:rPr>
          <w:rFonts w:eastAsia="Calibri" w:cs="Arial"/>
          <w:szCs w:val="20"/>
        </w:rPr>
        <w:t xml:space="preserve"> </w:t>
      </w:r>
      <w:r w:rsidR="00CD485B">
        <w:rPr>
          <w:rFonts w:eastAsia="Calibri" w:cs="Arial"/>
          <w:szCs w:val="20"/>
        </w:rPr>
        <w:t xml:space="preserve">pri oceni </w:t>
      </w:r>
      <w:proofErr w:type="spellStart"/>
      <w:r w:rsidR="00CD485B">
        <w:rPr>
          <w:rFonts w:eastAsia="Calibri" w:cs="Arial"/>
          <w:szCs w:val="20"/>
        </w:rPr>
        <w:t>državnotožilske</w:t>
      </w:r>
      <w:proofErr w:type="spellEnd"/>
      <w:r w:rsidR="00CD485B">
        <w:rPr>
          <w:rFonts w:eastAsia="Calibri" w:cs="Arial"/>
          <w:szCs w:val="20"/>
        </w:rPr>
        <w:t xml:space="preserve"> službe upošteval</w:t>
      </w:r>
      <w:r w:rsidR="00F206A2">
        <w:rPr>
          <w:rFonts w:eastAsia="Calibri" w:cs="Arial"/>
          <w:szCs w:val="20"/>
        </w:rPr>
        <w:t>a</w:t>
      </w:r>
      <w:r>
        <w:rPr>
          <w:rFonts w:eastAsia="Calibri" w:cs="Arial"/>
          <w:szCs w:val="20"/>
        </w:rPr>
        <w:t xml:space="preserve"> tudi poročilo o delu</w:t>
      </w:r>
      <w:r w:rsidR="00CD485B">
        <w:rPr>
          <w:rFonts w:eastAsia="Calibri" w:cs="Arial"/>
          <w:szCs w:val="20"/>
        </w:rPr>
        <w:t xml:space="preserve">, ki ga za namene ocene </w:t>
      </w:r>
      <w:proofErr w:type="spellStart"/>
      <w:r w:rsidR="00CD485B">
        <w:rPr>
          <w:rFonts w:eastAsia="Calibri" w:cs="Arial"/>
          <w:szCs w:val="20"/>
        </w:rPr>
        <w:t>državnotožilske</w:t>
      </w:r>
      <w:proofErr w:type="spellEnd"/>
      <w:r w:rsidR="00CD485B">
        <w:rPr>
          <w:rFonts w:eastAsia="Calibri" w:cs="Arial"/>
          <w:szCs w:val="20"/>
        </w:rPr>
        <w:t xml:space="preserve"> službe izdela državni tožilec</w:t>
      </w:r>
      <w:r w:rsidR="00F206A2">
        <w:rPr>
          <w:rFonts w:eastAsia="Calibri" w:cs="Arial"/>
          <w:szCs w:val="20"/>
        </w:rPr>
        <w:t>,</w:t>
      </w:r>
      <w:r w:rsidR="00024BA7">
        <w:rPr>
          <w:rFonts w:eastAsia="Calibri" w:cs="Arial"/>
          <w:szCs w:val="20"/>
        </w:rPr>
        <w:t xml:space="preserve"> in mnenje o delu, </w:t>
      </w:r>
      <w:r w:rsidR="00024BA7" w:rsidRPr="00A470E5">
        <w:rPr>
          <w:rFonts w:eastAsia="Calibri" w:cs="Arial"/>
          <w:szCs w:val="20"/>
          <w:shd w:val="clear" w:color="auto" w:fill="FFFFFF"/>
        </w:rPr>
        <w:t xml:space="preserve">ki ga za namene ocene </w:t>
      </w:r>
      <w:proofErr w:type="spellStart"/>
      <w:r w:rsidR="00024BA7" w:rsidRPr="00A470E5">
        <w:rPr>
          <w:rFonts w:eastAsia="Calibri" w:cs="Arial"/>
          <w:szCs w:val="20"/>
          <w:shd w:val="clear" w:color="auto" w:fill="FFFFFF"/>
        </w:rPr>
        <w:t>državnotožilske</w:t>
      </w:r>
      <w:proofErr w:type="spellEnd"/>
      <w:r w:rsidR="00024BA7" w:rsidRPr="00A470E5">
        <w:rPr>
          <w:rFonts w:eastAsia="Calibri" w:cs="Arial"/>
          <w:szCs w:val="20"/>
          <w:shd w:val="clear" w:color="auto" w:fill="FFFFFF"/>
        </w:rPr>
        <w:t xml:space="preserve"> službe izdela predstojnik </w:t>
      </w:r>
      <w:proofErr w:type="spellStart"/>
      <w:r w:rsidR="00024BA7" w:rsidRPr="00A470E5">
        <w:rPr>
          <w:rFonts w:eastAsia="Calibri" w:cs="Arial"/>
          <w:szCs w:val="20"/>
          <w:shd w:val="clear" w:color="auto" w:fill="FFFFFF"/>
        </w:rPr>
        <w:t>E</w:t>
      </w:r>
      <w:r w:rsidR="00024BA7">
        <w:rPr>
          <w:rFonts w:eastAsia="Calibri" w:cs="Arial"/>
          <w:szCs w:val="20"/>
          <w:shd w:val="clear" w:color="auto" w:fill="FFFFFF"/>
        </w:rPr>
        <w:t>urojusta</w:t>
      </w:r>
      <w:proofErr w:type="spellEnd"/>
      <w:r>
        <w:rPr>
          <w:rFonts w:eastAsia="Calibri" w:cs="Arial"/>
          <w:szCs w:val="20"/>
        </w:rPr>
        <w:t xml:space="preserve">. </w:t>
      </w:r>
      <w:r w:rsidR="00024BA7">
        <w:rPr>
          <w:rFonts w:eastAsia="Calibri" w:cs="Arial"/>
          <w:szCs w:val="20"/>
        </w:rPr>
        <w:t xml:space="preserve">S predlogom zakona pa se določa tudi podlaga za oceno </w:t>
      </w:r>
      <w:proofErr w:type="spellStart"/>
      <w:r w:rsidR="00024BA7">
        <w:rPr>
          <w:rFonts w:eastAsia="Calibri" w:cs="Arial"/>
          <w:szCs w:val="20"/>
        </w:rPr>
        <w:t>državnotožilske</w:t>
      </w:r>
      <w:proofErr w:type="spellEnd"/>
      <w:r w:rsidR="00024BA7">
        <w:rPr>
          <w:rFonts w:eastAsia="Calibri" w:cs="Arial"/>
          <w:szCs w:val="20"/>
        </w:rPr>
        <w:t xml:space="preserve"> službe za državnega tožilca</w:t>
      </w:r>
      <w:r w:rsidR="00F206A2">
        <w:rPr>
          <w:rFonts w:eastAsia="Calibri" w:cs="Arial"/>
          <w:szCs w:val="20"/>
        </w:rPr>
        <w:t xml:space="preserve"> </w:t>
      </w:r>
      <w:r w:rsidR="00024BA7">
        <w:rPr>
          <w:rFonts w:eastAsia="Calibri" w:cs="Arial"/>
          <w:szCs w:val="20"/>
        </w:rPr>
        <w:t>imenovan</w:t>
      </w:r>
      <w:r w:rsidR="00F206A2">
        <w:rPr>
          <w:rFonts w:eastAsia="Calibri" w:cs="Arial"/>
          <w:szCs w:val="20"/>
        </w:rPr>
        <w:t>ega</w:t>
      </w:r>
      <w:r w:rsidR="00024BA7">
        <w:rPr>
          <w:rFonts w:eastAsia="Calibri" w:cs="Arial"/>
          <w:szCs w:val="20"/>
        </w:rPr>
        <w:t xml:space="preserve"> za </w:t>
      </w:r>
      <w:r w:rsidR="008E115A">
        <w:rPr>
          <w:rFonts w:eastAsia="Calibri" w:cs="Arial"/>
          <w:szCs w:val="20"/>
        </w:rPr>
        <w:t>evropskega tožilca</w:t>
      </w:r>
      <w:r w:rsidR="00A470E5">
        <w:rPr>
          <w:rFonts w:eastAsia="Calibri" w:cs="Arial"/>
          <w:szCs w:val="20"/>
        </w:rPr>
        <w:t xml:space="preserve"> in</w:t>
      </w:r>
      <w:r w:rsidR="00024BA7">
        <w:rPr>
          <w:rFonts w:eastAsia="Calibri" w:cs="Arial"/>
          <w:szCs w:val="20"/>
        </w:rPr>
        <w:t xml:space="preserve"> državnega tožilca</w:t>
      </w:r>
      <w:r w:rsidR="00F206A2">
        <w:rPr>
          <w:rFonts w:eastAsia="Calibri" w:cs="Arial"/>
          <w:szCs w:val="20"/>
        </w:rPr>
        <w:t xml:space="preserve">, </w:t>
      </w:r>
      <w:r w:rsidR="00024BA7">
        <w:rPr>
          <w:rFonts w:eastAsia="Calibri" w:cs="Arial"/>
          <w:szCs w:val="20"/>
        </w:rPr>
        <w:t>imenovan</w:t>
      </w:r>
      <w:r w:rsidR="00F206A2">
        <w:rPr>
          <w:rFonts w:eastAsia="Calibri" w:cs="Arial"/>
          <w:szCs w:val="20"/>
        </w:rPr>
        <w:t>ega</w:t>
      </w:r>
      <w:r w:rsidR="00A470E5">
        <w:rPr>
          <w:rFonts w:eastAsia="Calibri" w:cs="Arial"/>
          <w:szCs w:val="20"/>
        </w:rPr>
        <w:t xml:space="preserve"> </w:t>
      </w:r>
      <w:r w:rsidR="00024BA7">
        <w:rPr>
          <w:rFonts w:eastAsia="Calibri" w:cs="Arial"/>
          <w:szCs w:val="20"/>
        </w:rPr>
        <w:t xml:space="preserve">za </w:t>
      </w:r>
      <w:r w:rsidR="00A470E5">
        <w:rPr>
          <w:rFonts w:eastAsia="Calibri" w:cs="Arial"/>
          <w:szCs w:val="20"/>
        </w:rPr>
        <w:t>evropskega delegiranega tožilca</w:t>
      </w:r>
      <w:r w:rsidR="008E115A">
        <w:rPr>
          <w:rFonts w:eastAsia="Calibri" w:cs="Arial"/>
          <w:szCs w:val="20"/>
        </w:rPr>
        <w:t xml:space="preserve">. </w:t>
      </w:r>
      <w:r w:rsidRPr="00C662D9">
        <w:rPr>
          <w:rFonts w:eastAsia="Calibri" w:cs="Arial"/>
          <w:szCs w:val="20"/>
        </w:rPr>
        <w:t>Ta</w:t>
      </w:r>
      <w:r>
        <w:rPr>
          <w:rFonts w:eastAsia="Calibri" w:cs="Arial"/>
          <w:szCs w:val="20"/>
        </w:rPr>
        <w:t xml:space="preserve"> </w:t>
      </w:r>
      <w:r w:rsidRPr="00C662D9">
        <w:rPr>
          <w:rFonts w:eastAsia="Calibri" w:cs="Arial"/>
          <w:szCs w:val="20"/>
        </w:rPr>
        <w:t xml:space="preserve">postopek </w:t>
      </w:r>
      <w:r>
        <w:rPr>
          <w:rFonts w:eastAsia="Calibri" w:cs="Arial"/>
          <w:szCs w:val="20"/>
        </w:rPr>
        <w:t xml:space="preserve">morajo </w:t>
      </w:r>
      <w:r w:rsidRPr="00C662D9">
        <w:rPr>
          <w:rFonts w:eastAsia="Calibri" w:cs="Arial"/>
          <w:szCs w:val="20"/>
        </w:rPr>
        <w:t xml:space="preserve">Merila za kakovost dela </w:t>
      </w:r>
      <w:r>
        <w:t xml:space="preserve">državnih tožilcev </w:t>
      </w:r>
      <w:r w:rsidRPr="00C662D9">
        <w:rPr>
          <w:rFonts w:eastAsia="Calibri" w:cs="Arial"/>
          <w:szCs w:val="20"/>
        </w:rPr>
        <w:t xml:space="preserve">za oceno </w:t>
      </w:r>
      <w:proofErr w:type="spellStart"/>
      <w:r>
        <w:rPr>
          <w:rFonts w:eastAsia="Calibri" w:cs="Arial"/>
          <w:szCs w:val="20"/>
        </w:rPr>
        <w:t>državnotožilske</w:t>
      </w:r>
      <w:proofErr w:type="spellEnd"/>
      <w:r w:rsidRPr="00C662D9">
        <w:rPr>
          <w:rFonts w:eastAsia="Calibri" w:cs="Arial"/>
          <w:szCs w:val="20"/>
        </w:rPr>
        <w:t xml:space="preserve"> službe še dodatno </w:t>
      </w:r>
      <w:r w:rsidR="00F206A2">
        <w:rPr>
          <w:rFonts w:eastAsia="Calibri" w:cs="Arial"/>
          <w:szCs w:val="20"/>
        </w:rPr>
        <w:t>podrobneje razdelati</w:t>
      </w:r>
      <w:r>
        <w:rPr>
          <w:rFonts w:eastAsia="Calibri" w:cs="Arial"/>
          <w:szCs w:val="20"/>
        </w:rPr>
        <w:t>.</w:t>
      </w:r>
    </w:p>
    <w:p w:rsidR="00A470E5" w:rsidRDefault="00A470E5" w:rsidP="00C662D9">
      <w:pPr>
        <w:spacing w:line="288" w:lineRule="auto"/>
        <w:jc w:val="both"/>
        <w:rPr>
          <w:rFonts w:eastAsia="Calibri" w:cs="Arial"/>
          <w:szCs w:val="20"/>
        </w:rPr>
      </w:pPr>
    </w:p>
    <w:p w:rsidR="00A470E5" w:rsidRDefault="00024BA7" w:rsidP="00C662D9">
      <w:pPr>
        <w:spacing w:line="288" w:lineRule="auto"/>
        <w:jc w:val="both"/>
        <w:rPr>
          <w:rFonts w:eastAsia="Calibri" w:cs="Arial"/>
          <w:szCs w:val="20"/>
        </w:rPr>
      </w:pPr>
      <w:r>
        <w:rPr>
          <w:rFonts w:eastAsia="Calibri" w:cs="Arial"/>
          <w:szCs w:val="20"/>
        </w:rPr>
        <w:t>Z</w:t>
      </w:r>
      <w:r w:rsidR="00A470E5">
        <w:rPr>
          <w:rFonts w:eastAsia="Calibri" w:cs="Arial"/>
          <w:szCs w:val="20"/>
        </w:rPr>
        <w:t xml:space="preserve">aradi poenotenja primerljivih položajev pri izdelavi ocene </w:t>
      </w:r>
      <w:proofErr w:type="spellStart"/>
      <w:r w:rsidR="00A470E5">
        <w:rPr>
          <w:rFonts w:eastAsia="Calibri" w:cs="Arial"/>
          <w:szCs w:val="20"/>
        </w:rPr>
        <w:t>državnotožilske</w:t>
      </w:r>
      <w:proofErr w:type="spellEnd"/>
      <w:r w:rsidR="00A470E5">
        <w:rPr>
          <w:rFonts w:eastAsia="Calibri" w:cs="Arial"/>
          <w:szCs w:val="20"/>
        </w:rPr>
        <w:t xml:space="preserve"> službe </w:t>
      </w:r>
      <w:r>
        <w:rPr>
          <w:rFonts w:eastAsia="Calibri" w:cs="Arial"/>
          <w:szCs w:val="20"/>
        </w:rPr>
        <w:t xml:space="preserve">se s predlogom zakona drugi odstavek 71.b člena dopolni in doda nov četrti odstavek, ki določata </w:t>
      </w:r>
      <w:r w:rsidR="00A470E5">
        <w:rPr>
          <w:rFonts w:eastAsia="Calibri" w:cs="Arial"/>
          <w:szCs w:val="20"/>
        </w:rPr>
        <w:t>podla</w:t>
      </w:r>
      <w:r>
        <w:rPr>
          <w:rFonts w:eastAsia="Calibri" w:cs="Arial"/>
          <w:szCs w:val="20"/>
        </w:rPr>
        <w:t>go</w:t>
      </w:r>
      <w:r w:rsidR="00A470E5">
        <w:rPr>
          <w:rFonts w:eastAsia="Calibri" w:cs="Arial"/>
          <w:szCs w:val="20"/>
        </w:rPr>
        <w:t xml:space="preserve"> za oceno </w:t>
      </w:r>
      <w:proofErr w:type="spellStart"/>
      <w:r w:rsidR="00A470E5">
        <w:rPr>
          <w:rFonts w:eastAsia="Calibri" w:cs="Arial"/>
          <w:szCs w:val="20"/>
        </w:rPr>
        <w:t>državnotožilske</w:t>
      </w:r>
      <w:proofErr w:type="spellEnd"/>
      <w:r w:rsidR="00A470E5">
        <w:rPr>
          <w:rFonts w:eastAsia="Calibri" w:cs="Arial"/>
          <w:szCs w:val="20"/>
        </w:rPr>
        <w:t xml:space="preserve"> službe </w:t>
      </w:r>
      <w:r>
        <w:rPr>
          <w:rFonts w:eastAsia="Calibri" w:cs="Arial"/>
          <w:szCs w:val="20"/>
        </w:rPr>
        <w:t xml:space="preserve">za evropskega tožilca in </w:t>
      </w:r>
      <w:r w:rsidR="00A470E5">
        <w:rPr>
          <w:rFonts w:eastAsia="Calibri" w:cs="Arial"/>
          <w:szCs w:val="20"/>
        </w:rPr>
        <w:t>evropskega delegiranega tožilca</w:t>
      </w:r>
      <w:r w:rsidR="00F206A2">
        <w:rPr>
          <w:rFonts w:eastAsia="Calibri" w:cs="Arial"/>
          <w:szCs w:val="20"/>
        </w:rPr>
        <w:t>,</w:t>
      </w:r>
      <w:r w:rsidR="00A470E5">
        <w:rPr>
          <w:rFonts w:eastAsia="Calibri" w:cs="Arial"/>
          <w:szCs w:val="20"/>
        </w:rPr>
        <w:t xml:space="preserve"> in sicer za tisti del nalog, ki jih bo</w:t>
      </w:r>
      <w:r>
        <w:rPr>
          <w:rFonts w:eastAsia="Calibri" w:cs="Arial"/>
          <w:szCs w:val="20"/>
        </w:rPr>
        <w:t>sta</w:t>
      </w:r>
      <w:r w:rsidR="00A470E5">
        <w:rPr>
          <w:rFonts w:eastAsia="Calibri" w:cs="Arial"/>
          <w:szCs w:val="20"/>
        </w:rPr>
        <w:t xml:space="preserve"> opravljal</w:t>
      </w:r>
      <w:r>
        <w:rPr>
          <w:rFonts w:eastAsia="Calibri" w:cs="Arial"/>
          <w:szCs w:val="20"/>
        </w:rPr>
        <w:t>a</w:t>
      </w:r>
      <w:r w:rsidR="00A470E5">
        <w:rPr>
          <w:rFonts w:eastAsia="Calibri" w:cs="Arial"/>
          <w:szCs w:val="20"/>
        </w:rPr>
        <w:t xml:space="preserve"> iz pristojnosti EJT.</w:t>
      </w:r>
    </w:p>
    <w:p w:rsidR="00024BA7" w:rsidRDefault="00024BA7" w:rsidP="00C662D9">
      <w:pPr>
        <w:spacing w:line="288" w:lineRule="auto"/>
        <w:jc w:val="both"/>
        <w:rPr>
          <w:rFonts w:eastAsia="Calibri" w:cs="Arial"/>
          <w:szCs w:val="20"/>
        </w:rPr>
      </w:pPr>
    </w:p>
    <w:p w:rsidR="00BC7D49" w:rsidRDefault="00BC7D49" w:rsidP="00B644CC">
      <w:pPr>
        <w:spacing w:line="288" w:lineRule="auto"/>
        <w:jc w:val="both"/>
        <w:rPr>
          <w:rFonts w:eastAsia="Calibri" w:cs="Arial"/>
          <w:b/>
          <w:szCs w:val="20"/>
        </w:rPr>
      </w:pPr>
      <w:r>
        <w:rPr>
          <w:rFonts w:eastAsia="Calibri" w:cs="Arial"/>
          <w:b/>
          <w:szCs w:val="20"/>
        </w:rPr>
        <w:t>K 15. členu</w:t>
      </w:r>
    </w:p>
    <w:p w:rsidR="008E115A" w:rsidRPr="008E115A" w:rsidRDefault="008E115A" w:rsidP="00B644CC">
      <w:pPr>
        <w:spacing w:line="288" w:lineRule="auto"/>
        <w:jc w:val="both"/>
        <w:rPr>
          <w:rFonts w:eastAsia="Calibri" w:cs="Arial"/>
          <w:bCs/>
          <w:szCs w:val="20"/>
        </w:rPr>
      </w:pPr>
      <w:r w:rsidRPr="008E115A">
        <w:rPr>
          <w:rFonts w:eastAsia="Calibri" w:cs="Arial"/>
          <w:bCs/>
          <w:szCs w:val="20"/>
        </w:rPr>
        <w:t xml:space="preserve">S predlagano določbo se redakcijsko </w:t>
      </w:r>
      <w:r>
        <w:rPr>
          <w:rFonts w:eastAsia="Calibri" w:cs="Arial"/>
          <w:bCs/>
          <w:szCs w:val="20"/>
        </w:rPr>
        <w:t>popravlja</w:t>
      </w:r>
      <w:r w:rsidRPr="008E115A">
        <w:rPr>
          <w:rFonts w:eastAsia="Calibri" w:cs="Arial"/>
          <w:bCs/>
          <w:szCs w:val="20"/>
        </w:rPr>
        <w:t xml:space="preserve"> poimenovanje </w:t>
      </w:r>
      <w:r>
        <w:rPr>
          <w:bCs/>
          <w:szCs w:val="20"/>
        </w:rPr>
        <w:t xml:space="preserve">izraza za </w:t>
      </w:r>
      <w:r w:rsidRPr="00F8591D">
        <w:rPr>
          <w:bCs/>
          <w:szCs w:val="20"/>
        </w:rPr>
        <w:t>»pravobranilstv</w:t>
      </w:r>
      <w:r>
        <w:rPr>
          <w:bCs/>
          <w:szCs w:val="20"/>
        </w:rPr>
        <w:t>o</w:t>
      </w:r>
      <w:r w:rsidRPr="00F8591D">
        <w:rPr>
          <w:bCs/>
          <w:szCs w:val="20"/>
        </w:rPr>
        <w:t xml:space="preserve">«, v </w:t>
      </w:r>
      <w:r>
        <w:rPr>
          <w:bCs/>
          <w:szCs w:val="20"/>
        </w:rPr>
        <w:t>»</w:t>
      </w:r>
      <w:r w:rsidRPr="00F8591D">
        <w:rPr>
          <w:bCs/>
          <w:szCs w:val="20"/>
        </w:rPr>
        <w:t>odvetništvo</w:t>
      </w:r>
      <w:r>
        <w:rPr>
          <w:bCs/>
          <w:szCs w:val="20"/>
        </w:rPr>
        <w:t xml:space="preserve">«. Enako kot pri obrazložitvi </w:t>
      </w:r>
      <w:r w:rsidR="00A419B3">
        <w:rPr>
          <w:bCs/>
          <w:szCs w:val="20"/>
        </w:rPr>
        <w:t>k</w:t>
      </w:r>
      <w:r>
        <w:rPr>
          <w:bCs/>
          <w:szCs w:val="20"/>
        </w:rPr>
        <w:t xml:space="preserve"> 2. členu se </w:t>
      </w:r>
      <w:r w:rsidR="00F206A2">
        <w:rPr>
          <w:bCs/>
          <w:szCs w:val="20"/>
        </w:rPr>
        <w:t>upošteva</w:t>
      </w:r>
      <w:r>
        <w:rPr>
          <w:bCs/>
          <w:szCs w:val="20"/>
        </w:rPr>
        <w:t xml:space="preserve"> prehodn</w:t>
      </w:r>
      <w:r w:rsidR="00F206A2">
        <w:rPr>
          <w:bCs/>
          <w:szCs w:val="20"/>
        </w:rPr>
        <w:t>a</w:t>
      </w:r>
      <w:r>
        <w:rPr>
          <w:bCs/>
          <w:szCs w:val="20"/>
        </w:rPr>
        <w:t xml:space="preserve"> določb</w:t>
      </w:r>
      <w:r w:rsidR="00F206A2">
        <w:rPr>
          <w:bCs/>
          <w:szCs w:val="20"/>
        </w:rPr>
        <w:t>a</w:t>
      </w:r>
      <w:r>
        <w:rPr>
          <w:bCs/>
          <w:szCs w:val="20"/>
        </w:rPr>
        <w:t xml:space="preserve"> 100. člena </w:t>
      </w:r>
      <w:proofErr w:type="spellStart"/>
      <w:r>
        <w:rPr>
          <w:bCs/>
          <w:szCs w:val="20"/>
        </w:rPr>
        <w:t>ZDOdv</w:t>
      </w:r>
      <w:proofErr w:type="spellEnd"/>
      <w:r>
        <w:rPr>
          <w:bCs/>
          <w:szCs w:val="20"/>
        </w:rPr>
        <w:t>.</w:t>
      </w:r>
    </w:p>
    <w:p w:rsidR="00BC7D49" w:rsidRDefault="00BC7D49" w:rsidP="00B644CC">
      <w:pPr>
        <w:spacing w:line="288" w:lineRule="auto"/>
        <w:jc w:val="both"/>
        <w:rPr>
          <w:rFonts w:eastAsia="Calibri" w:cs="Arial"/>
          <w:b/>
          <w:szCs w:val="20"/>
        </w:rPr>
      </w:pPr>
    </w:p>
    <w:p w:rsidR="00BC7D49" w:rsidRDefault="00BC7D49" w:rsidP="00B644CC">
      <w:pPr>
        <w:spacing w:line="288" w:lineRule="auto"/>
        <w:jc w:val="both"/>
        <w:rPr>
          <w:rFonts w:eastAsia="Calibri" w:cs="Arial"/>
          <w:b/>
          <w:szCs w:val="20"/>
        </w:rPr>
      </w:pPr>
      <w:r>
        <w:rPr>
          <w:rFonts w:eastAsia="Calibri" w:cs="Arial"/>
          <w:b/>
          <w:szCs w:val="20"/>
        </w:rPr>
        <w:t>K 16. členu</w:t>
      </w:r>
    </w:p>
    <w:p w:rsidR="008E115A" w:rsidRPr="0028039B" w:rsidRDefault="008E115A" w:rsidP="008E115A">
      <w:pPr>
        <w:spacing w:line="288" w:lineRule="auto"/>
        <w:jc w:val="both"/>
        <w:rPr>
          <w:rFonts w:eastAsia="Calibri" w:cs="Arial"/>
          <w:szCs w:val="20"/>
        </w:rPr>
      </w:pPr>
      <w:r>
        <w:rPr>
          <w:rFonts w:eastAsia="Calibri" w:cs="Arial"/>
          <w:szCs w:val="20"/>
        </w:rPr>
        <w:t xml:space="preserve">Predlagana sprememba črtanja šestnajste alineje prvega odstavka 102. člena </w:t>
      </w:r>
      <w:r w:rsidRPr="0028039B">
        <w:rPr>
          <w:rFonts w:eastAsia="Calibri" w:cs="Arial"/>
          <w:szCs w:val="20"/>
        </w:rPr>
        <w:t xml:space="preserve">je </w:t>
      </w:r>
      <w:r>
        <w:rPr>
          <w:rFonts w:eastAsia="Calibri" w:cs="Arial"/>
          <w:szCs w:val="20"/>
        </w:rPr>
        <w:t xml:space="preserve">redakcijske narave </w:t>
      </w:r>
      <w:r w:rsidRPr="0028039B">
        <w:rPr>
          <w:rFonts w:eastAsia="Calibri" w:cs="Arial"/>
          <w:szCs w:val="20"/>
        </w:rPr>
        <w:t xml:space="preserve">glede na </w:t>
      </w:r>
      <w:r>
        <w:rPr>
          <w:rFonts w:eastAsia="Calibri" w:cs="Arial"/>
          <w:szCs w:val="20"/>
        </w:rPr>
        <w:t xml:space="preserve">novo predlagano </w:t>
      </w:r>
      <w:r w:rsidRPr="0028039B">
        <w:rPr>
          <w:rFonts w:eastAsia="Calibri" w:cs="Arial"/>
          <w:szCs w:val="20"/>
        </w:rPr>
        <w:t xml:space="preserve">določbo </w:t>
      </w:r>
      <w:r>
        <w:rPr>
          <w:rFonts w:eastAsia="Calibri" w:cs="Arial"/>
          <w:szCs w:val="20"/>
        </w:rPr>
        <w:t>203</w:t>
      </w:r>
      <w:r w:rsidRPr="0028039B">
        <w:rPr>
          <w:rFonts w:eastAsia="Calibri" w:cs="Arial"/>
          <w:szCs w:val="20"/>
        </w:rPr>
        <w:t>.</w:t>
      </w:r>
      <w:r>
        <w:rPr>
          <w:rFonts w:eastAsia="Calibri" w:cs="Arial"/>
          <w:szCs w:val="20"/>
        </w:rPr>
        <w:t>a</w:t>
      </w:r>
      <w:r w:rsidRPr="0028039B">
        <w:rPr>
          <w:rFonts w:eastAsia="Calibri" w:cs="Arial"/>
          <w:szCs w:val="20"/>
        </w:rPr>
        <w:t xml:space="preserve"> člena</w:t>
      </w:r>
      <w:r>
        <w:rPr>
          <w:rFonts w:eastAsia="Calibri" w:cs="Arial"/>
          <w:szCs w:val="20"/>
        </w:rPr>
        <w:t>.</w:t>
      </w:r>
    </w:p>
    <w:p w:rsidR="00BC7D49" w:rsidRDefault="00BC7D49" w:rsidP="00B644CC">
      <w:pPr>
        <w:spacing w:line="288" w:lineRule="auto"/>
        <w:jc w:val="both"/>
        <w:rPr>
          <w:rFonts w:eastAsia="Calibri" w:cs="Arial"/>
          <w:b/>
          <w:szCs w:val="20"/>
        </w:rPr>
      </w:pPr>
    </w:p>
    <w:p w:rsidR="00AE2155" w:rsidRPr="00385201" w:rsidRDefault="00AE2155" w:rsidP="00B644CC">
      <w:pPr>
        <w:spacing w:line="288" w:lineRule="auto"/>
        <w:jc w:val="both"/>
        <w:rPr>
          <w:rFonts w:eastAsia="Calibri" w:cs="Arial"/>
          <w:b/>
          <w:szCs w:val="20"/>
        </w:rPr>
      </w:pPr>
      <w:r w:rsidRPr="00385201">
        <w:rPr>
          <w:rFonts w:eastAsia="Calibri" w:cs="Arial"/>
          <w:b/>
          <w:szCs w:val="20"/>
        </w:rPr>
        <w:t>K 1</w:t>
      </w:r>
      <w:r w:rsidR="00BC7D49">
        <w:rPr>
          <w:rFonts w:eastAsia="Calibri" w:cs="Arial"/>
          <w:b/>
          <w:szCs w:val="20"/>
        </w:rPr>
        <w:t>7</w:t>
      </w:r>
      <w:r w:rsidRPr="00385201">
        <w:rPr>
          <w:rFonts w:eastAsia="Calibri" w:cs="Arial"/>
          <w:b/>
          <w:szCs w:val="20"/>
        </w:rPr>
        <w:t>. členu</w:t>
      </w:r>
    </w:p>
    <w:p w:rsidR="00AE2155" w:rsidRDefault="00AE2155" w:rsidP="00B644CC">
      <w:pPr>
        <w:spacing w:line="288" w:lineRule="auto"/>
        <w:jc w:val="both"/>
        <w:rPr>
          <w:rFonts w:eastAsia="Calibri" w:cs="Arial"/>
          <w:szCs w:val="20"/>
        </w:rPr>
      </w:pPr>
      <w:r>
        <w:rPr>
          <w:rFonts w:eastAsia="Calibri" w:cs="Arial"/>
          <w:szCs w:val="20"/>
        </w:rPr>
        <w:t xml:space="preserve">S predlagano spremembo tretjega odstavka 124. člena se ureja primer, ko ima okrožno državno tožilstvo, pri katerem je določeno najmanj </w:t>
      </w:r>
      <w:r w:rsidR="00665575">
        <w:rPr>
          <w:rFonts w:eastAsia="Calibri" w:cs="Arial"/>
          <w:szCs w:val="20"/>
        </w:rPr>
        <w:t>petdeset</w:t>
      </w:r>
      <w:r>
        <w:rPr>
          <w:rFonts w:eastAsia="Calibri" w:cs="Arial"/>
          <w:szCs w:val="20"/>
        </w:rPr>
        <w:t xml:space="preserve"> </w:t>
      </w:r>
      <w:proofErr w:type="spellStart"/>
      <w:r>
        <w:rPr>
          <w:rFonts w:eastAsia="Calibri" w:cs="Arial"/>
          <w:szCs w:val="20"/>
        </w:rPr>
        <w:t>državnotožilskih</w:t>
      </w:r>
      <w:proofErr w:type="spellEnd"/>
      <w:r>
        <w:rPr>
          <w:rFonts w:eastAsia="Calibri" w:cs="Arial"/>
          <w:szCs w:val="20"/>
        </w:rPr>
        <w:t xml:space="preserve"> mest, dva namestnika vodje. Vodja okrožnega državnega tožilstva enega od namestnikov pooblasti za nadomeščanje,</w:t>
      </w:r>
      <w:r w:rsidR="00F206A2">
        <w:rPr>
          <w:rFonts w:eastAsia="Calibri" w:cs="Arial"/>
          <w:szCs w:val="20"/>
        </w:rPr>
        <w:t xml:space="preserve"> </w:t>
      </w:r>
      <w:r>
        <w:rPr>
          <w:rFonts w:eastAsia="Calibri" w:cs="Arial"/>
          <w:szCs w:val="20"/>
        </w:rPr>
        <w:t xml:space="preserve">če pooblastila ni, velja zakonska ureditev, po kateri vodjo nadomešča namestnik, ki dalj časa opravlja </w:t>
      </w:r>
      <w:proofErr w:type="spellStart"/>
      <w:r>
        <w:rPr>
          <w:rFonts w:eastAsia="Calibri" w:cs="Arial"/>
          <w:szCs w:val="20"/>
        </w:rPr>
        <w:t>državnotožilsko</w:t>
      </w:r>
      <w:proofErr w:type="spellEnd"/>
      <w:r w:rsidR="00F206A2">
        <w:rPr>
          <w:rFonts w:eastAsia="Calibri" w:cs="Arial"/>
          <w:szCs w:val="20"/>
        </w:rPr>
        <w:t xml:space="preserve"> </w:t>
      </w:r>
      <w:r>
        <w:rPr>
          <w:rFonts w:eastAsia="Calibri" w:cs="Arial"/>
          <w:szCs w:val="20"/>
        </w:rPr>
        <w:t xml:space="preserve">službo. Predlagana ureditev </w:t>
      </w:r>
      <w:r w:rsidR="00F206A2">
        <w:rPr>
          <w:rFonts w:eastAsia="Calibri" w:cs="Arial"/>
          <w:szCs w:val="20"/>
        </w:rPr>
        <w:t>upošteva</w:t>
      </w:r>
      <w:r>
        <w:rPr>
          <w:rFonts w:eastAsia="Calibri" w:cs="Arial"/>
          <w:szCs w:val="20"/>
        </w:rPr>
        <w:t xml:space="preserve"> uredit</w:t>
      </w:r>
      <w:r w:rsidR="00F206A2">
        <w:rPr>
          <w:rFonts w:eastAsia="Calibri" w:cs="Arial"/>
          <w:szCs w:val="20"/>
        </w:rPr>
        <w:t>ev</w:t>
      </w:r>
      <w:r>
        <w:rPr>
          <w:rFonts w:eastAsia="Calibri" w:cs="Arial"/>
          <w:szCs w:val="20"/>
        </w:rPr>
        <w:t>, ki velja za sodišča. Peti odstavek 61. člena Zakona o sodiščih (Uradni list RS, št.</w:t>
      </w:r>
      <w:r w:rsidRPr="00AD4505">
        <w:rPr>
          <w:rFonts w:eastAsia="Calibri" w:cs="Arial"/>
          <w:szCs w:val="20"/>
        </w:rPr>
        <w:t xml:space="preserve">94/07 – uradno prečiščeno besedilo, 45/08, 96/09, 86/10 – </w:t>
      </w:r>
      <w:proofErr w:type="spellStart"/>
      <w:r w:rsidRPr="00AD4505">
        <w:rPr>
          <w:rFonts w:eastAsia="Calibri" w:cs="Arial"/>
          <w:szCs w:val="20"/>
        </w:rPr>
        <w:t>ZJNepS</w:t>
      </w:r>
      <w:proofErr w:type="spellEnd"/>
      <w:r w:rsidRPr="00AD4505">
        <w:rPr>
          <w:rFonts w:eastAsia="Calibri" w:cs="Arial"/>
          <w:szCs w:val="20"/>
        </w:rPr>
        <w:t xml:space="preserve">, 33/11, 75/12 – ZSPDSLS-A, 63/13, 17/15, 23/17 – </w:t>
      </w:r>
      <w:proofErr w:type="spellStart"/>
      <w:r w:rsidRPr="00AD4505">
        <w:rPr>
          <w:rFonts w:eastAsia="Calibri" w:cs="Arial"/>
          <w:szCs w:val="20"/>
        </w:rPr>
        <w:t>ZSSve</w:t>
      </w:r>
      <w:proofErr w:type="spellEnd"/>
      <w:r w:rsidRPr="00AD4505">
        <w:rPr>
          <w:rFonts w:eastAsia="Calibri" w:cs="Arial"/>
          <w:szCs w:val="20"/>
        </w:rPr>
        <w:t>, 22/18 – ZSICT in 16/19 – ZNP-1)</w:t>
      </w:r>
      <w:r>
        <w:rPr>
          <w:rFonts w:eastAsia="Calibri" w:cs="Arial"/>
          <w:szCs w:val="20"/>
        </w:rPr>
        <w:t xml:space="preserve"> določa, da </w:t>
      </w:r>
      <w:r w:rsidR="00F206A2">
        <w:rPr>
          <w:rFonts w:eastAsia="Calibri" w:cs="Arial"/>
          <w:szCs w:val="20"/>
        </w:rPr>
        <w:t>kadar</w:t>
      </w:r>
      <w:r>
        <w:rPr>
          <w:rFonts w:eastAsia="Calibri" w:cs="Arial"/>
          <w:szCs w:val="20"/>
        </w:rPr>
        <w:t xml:space="preserve"> ima sodišče dva podpredsednika, predsednik sodišča za nadomeščanje pooblasti podpredsednika</w:t>
      </w:r>
      <w:r w:rsidR="00F206A2">
        <w:rPr>
          <w:rFonts w:eastAsia="Calibri" w:cs="Arial"/>
          <w:szCs w:val="20"/>
        </w:rPr>
        <w:t>,</w:t>
      </w:r>
      <w:r>
        <w:rPr>
          <w:rFonts w:eastAsia="Calibri" w:cs="Arial"/>
          <w:szCs w:val="20"/>
        </w:rPr>
        <w:t xml:space="preserve"> oziroma če pooblastila ni, predsednika nadomešča podpredsednik sodišča, ki dalj časa opravlja sodniško funkcijo.   </w:t>
      </w:r>
    </w:p>
    <w:p w:rsidR="00AE2155" w:rsidRDefault="00AE2155" w:rsidP="00B644CC">
      <w:pPr>
        <w:spacing w:line="288" w:lineRule="auto"/>
        <w:jc w:val="both"/>
        <w:rPr>
          <w:rFonts w:eastAsia="Calibri" w:cs="Arial"/>
          <w:szCs w:val="20"/>
        </w:rPr>
      </w:pPr>
    </w:p>
    <w:p w:rsidR="00AE2155" w:rsidRDefault="00F206A2" w:rsidP="00B644CC">
      <w:pPr>
        <w:spacing w:line="288" w:lineRule="auto"/>
        <w:jc w:val="both"/>
        <w:rPr>
          <w:rFonts w:eastAsia="Calibri" w:cs="Arial"/>
          <w:szCs w:val="20"/>
        </w:rPr>
      </w:pPr>
      <w:r>
        <w:rPr>
          <w:rFonts w:eastAsia="Calibri" w:cs="Arial"/>
          <w:szCs w:val="20"/>
        </w:rPr>
        <w:t>Čeprav</w:t>
      </w:r>
      <w:r w:rsidR="00AE2155">
        <w:rPr>
          <w:rFonts w:eastAsia="Calibri" w:cs="Arial"/>
          <w:szCs w:val="20"/>
        </w:rPr>
        <w:t xml:space="preserve"> iz prve točke prvega odstavka 126. člena ZDT-1 </w:t>
      </w:r>
      <w:r>
        <w:rPr>
          <w:rFonts w:eastAsia="Calibri" w:cs="Arial"/>
          <w:szCs w:val="20"/>
        </w:rPr>
        <w:t xml:space="preserve">lahko </w:t>
      </w:r>
      <w:r w:rsidR="00AE2155">
        <w:rPr>
          <w:rFonts w:eastAsia="Calibri" w:cs="Arial"/>
          <w:szCs w:val="20"/>
        </w:rPr>
        <w:t>sklepa</w:t>
      </w:r>
      <w:r>
        <w:rPr>
          <w:rFonts w:eastAsia="Calibri" w:cs="Arial"/>
          <w:szCs w:val="20"/>
        </w:rPr>
        <w:t>mo</w:t>
      </w:r>
      <w:r w:rsidR="00AE2155">
        <w:rPr>
          <w:rFonts w:eastAsia="Calibri" w:cs="Arial"/>
          <w:szCs w:val="20"/>
        </w:rPr>
        <w:t xml:space="preserve">, da je usposabljanje obvezno tudi za namestnika vodje </w:t>
      </w:r>
      <w:r w:rsidR="00A419B3">
        <w:rPr>
          <w:rFonts w:eastAsia="Calibri" w:cs="Arial"/>
          <w:szCs w:val="20"/>
        </w:rPr>
        <w:t>o</w:t>
      </w:r>
      <w:r w:rsidR="00AE2155">
        <w:rPr>
          <w:rFonts w:eastAsia="Calibri" w:cs="Arial"/>
          <w:szCs w:val="20"/>
        </w:rPr>
        <w:t>krožnega državnega tožilstva, se zaradi jasnosti urejanja te</w:t>
      </w:r>
      <w:r>
        <w:rPr>
          <w:rFonts w:eastAsia="Calibri" w:cs="Arial"/>
          <w:szCs w:val="20"/>
        </w:rPr>
        <w:t>h</w:t>
      </w:r>
      <w:r w:rsidR="00AE2155">
        <w:rPr>
          <w:rFonts w:eastAsia="Calibri" w:cs="Arial"/>
          <w:szCs w:val="20"/>
        </w:rPr>
        <w:t xml:space="preserve"> </w:t>
      </w:r>
      <w:r>
        <w:rPr>
          <w:rFonts w:eastAsia="Calibri" w:cs="Arial"/>
          <w:szCs w:val="20"/>
        </w:rPr>
        <w:t>vsebin</w:t>
      </w:r>
      <w:r w:rsidR="00AE2155">
        <w:rPr>
          <w:rFonts w:eastAsia="Calibri" w:cs="Arial"/>
          <w:szCs w:val="20"/>
        </w:rPr>
        <w:t xml:space="preserve"> predlaga dopolnitev tudi glede usposabljanja namestnika. </w:t>
      </w:r>
    </w:p>
    <w:p w:rsidR="00AE2155" w:rsidRDefault="00AE2155" w:rsidP="00B644CC">
      <w:pPr>
        <w:spacing w:line="288" w:lineRule="auto"/>
        <w:jc w:val="both"/>
        <w:rPr>
          <w:rFonts w:eastAsia="Calibri" w:cs="Arial"/>
          <w:szCs w:val="20"/>
        </w:rPr>
      </w:pPr>
    </w:p>
    <w:p w:rsidR="00AE2155" w:rsidRPr="00385201" w:rsidRDefault="00AE2155" w:rsidP="00B644CC">
      <w:pPr>
        <w:spacing w:line="288" w:lineRule="auto"/>
        <w:jc w:val="both"/>
        <w:rPr>
          <w:rFonts w:eastAsia="Calibri" w:cs="Arial"/>
          <w:b/>
          <w:szCs w:val="20"/>
        </w:rPr>
      </w:pPr>
      <w:r w:rsidRPr="00385201">
        <w:rPr>
          <w:rFonts w:eastAsia="Calibri" w:cs="Arial"/>
          <w:b/>
          <w:szCs w:val="20"/>
        </w:rPr>
        <w:t>K 1</w:t>
      </w:r>
      <w:r w:rsidR="00665575">
        <w:rPr>
          <w:rFonts w:eastAsia="Calibri" w:cs="Arial"/>
          <w:b/>
          <w:szCs w:val="20"/>
        </w:rPr>
        <w:t>8</w:t>
      </w:r>
      <w:r w:rsidRPr="00385201">
        <w:rPr>
          <w:rFonts w:eastAsia="Calibri" w:cs="Arial"/>
          <w:b/>
          <w:szCs w:val="20"/>
        </w:rPr>
        <w:t>. členu</w:t>
      </w:r>
    </w:p>
    <w:p w:rsidR="00AE2155" w:rsidRPr="000E09C5" w:rsidRDefault="00AE2155" w:rsidP="00B644CC">
      <w:pPr>
        <w:spacing w:line="288" w:lineRule="auto"/>
        <w:jc w:val="both"/>
        <w:rPr>
          <w:rFonts w:eastAsia="Calibri" w:cs="Arial"/>
          <w:szCs w:val="20"/>
        </w:rPr>
      </w:pPr>
      <w:r w:rsidRPr="000E09C5">
        <w:rPr>
          <w:rFonts w:eastAsia="Calibri" w:cs="Arial"/>
          <w:szCs w:val="20"/>
        </w:rPr>
        <w:t xml:space="preserve">V postopkih imenovanj nastopajo različni organi oziroma imajo ti v postopkih različne pristojnosti. Tako je za imenovanje namestnika generalnega državnega tožilca pristojna vlada, ki ga imenuje na podlagi obrazloženega predloga generalnega državnega tožilca RS po predhodnem mnenju </w:t>
      </w:r>
      <w:proofErr w:type="spellStart"/>
      <w:r w:rsidRPr="000E09C5">
        <w:rPr>
          <w:rFonts w:eastAsia="Calibri" w:cs="Arial"/>
          <w:szCs w:val="20"/>
        </w:rPr>
        <w:t>Državnotožilskega</w:t>
      </w:r>
      <w:proofErr w:type="spellEnd"/>
      <w:r w:rsidRPr="000E09C5">
        <w:rPr>
          <w:rFonts w:eastAsia="Calibri" w:cs="Arial"/>
          <w:szCs w:val="20"/>
        </w:rPr>
        <w:t xml:space="preserve"> sveta, za imenovanje namestnika vodje okrožnega državnega tožilca pa je na obrazložen predlog vodje in po predhodnem mnenju generalnega državnega tožilca pristojen </w:t>
      </w:r>
      <w:proofErr w:type="spellStart"/>
      <w:r w:rsidRPr="000E09C5">
        <w:rPr>
          <w:rFonts w:eastAsia="Calibri" w:cs="Arial"/>
          <w:szCs w:val="20"/>
        </w:rPr>
        <w:t>Državnotožilski</w:t>
      </w:r>
      <w:proofErr w:type="spellEnd"/>
      <w:r w:rsidRPr="000E09C5">
        <w:rPr>
          <w:rFonts w:eastAsia="Calibri" w:cs="Arial"/>
          <w:szCs w:val="20"/>
        </w:rPr>
        <w:t xml:space="preserve"> svet. Glede na navedene pristojnosti generalnega državnega tožilca, </w:t>
      </w:r>
      <w:proofErr w:type="spellStart"/>
      <w:r w:rsidRPr="000E09C5">
        <w:rPr>
          <w:rFonts w:eastAsia="Calibri" w:cs="Arial"/>
          <w:szCs w:val="20"/>
        </w:rPr>
        <w:t>Državnotožilskega</w:t>
      </w:r>
      <w:proofErr w:type="spellEnd"/>
      <w:r w:rsidRPr="000E09C5">
        <w:rPr>
          <w:rFonts w:eastAsia="Calibri" w:cs="Arial"/>
          <w:szCs w:val="20"/>
        </w:rPr>
        <w:t xml:space="preserve"> sveta in vlade v postopku imenovanja namestnika generalnega državnega tožilca in namestnika vodje okrožnega državnega tožilstva je sklicevanje na smiselno uporabo določb zakona, ki se nanašaj</w:t>
      </w:r>
      <w:r w:rsidR="00F206A2">
        <w:rPr>
          <w:rFonts w:eastAsia="Calibri" w:cs="Arial"/>
          <w:szCs w:val="20"/>
        </w:rPr>
        <w:t>o</w:t>
      </w:r>
      <w:r w:rsidRPr="000E09C5">
        <w:rPr>
          <w:rFonts w:eastAsia="Calibri" w:cs="Arial"/>
          <w:szCs w:val="20"/>
        </w:rPr>
        <w:t xml:space="preserve"> na razrešitev generalnega državnega tožilca oziroma vodje državnega tožilstva</w:t>
      </w:r>
      <w:r w:rsidR="00F206A2">
        <w:rPr>
          <w:rFonts w:eastAsia="Calibri" w:cs="Arial"/>
          <w:szCs w:val="20"/>
        </w:rPr>
        <w:t>,</w:t>
      </w:r>
      <w:r w:rsidRPr="000E09C5">
        <w:rPr>
          <w:rFonts w:eastAsia="Calibri" w:cs="Arial"/>
          <w:szCs w:val="20"/>
        </w:rPr>
        <w:t xml:space="preserve"> neustrezna. O razrešitvi generalnega državnega tožilca namreč odloča Državni zbor na predlog </w:t>
      </w:r>
      <w:proofErr w:type="spellStart"/>
      <w:r w:rsidRPr="000E09C5">
        <w:rPr>
          <w:rFonts w:eastAsia="Calibri" w:cs="Arial"/>
          <w:szCs w:val="20"/>
        </w:rPr>
        <w:t>Državnotožilskega</w:t>
      </w:r>
      <w:proofErr w:type="spellEnd"/>
      <w:r w:rsidRPr="000E09C5">
        <w:rPr>
          <w:rFonts w:eastAsia="Calibri" w:cs="Arial"/>
          <w:szCs w:val="20"/>
        </w:rPr>
        <w:t xml:space="preserve"> sveta, o razrešitvi vodje okrožnega državnega tožilstva pa </w:t>
      </w:r>
      <w:proofErr w:type="spellStart"/>
      <w:r w:rsidRPr="000E09C5">
        <w:rPr>
          <w:rFonts w:eastAsia="Calibri" w:cs="Arial"/>
          <w:szCs w:val="20"/>
        </w:rPr>
        <w:t>Državnotožilski</w:t>
      </w:r>
      <w:proofErr w:type="spellEnd"/>
      <w:r w:rsidRPr="000E09C5">
        <w:rPr>
          <w:rFonts w:eastAsia="Calibri" w:cs="Arial"/>
          <w:szCs w:val="20"/>
        </w:rPr>
        <w:t xml:space="preserve"> svet na predlog ministra.  </w:t>
      </w:r>
    </w:p>
    <w:p w:rsidR="00AE2155" w:rsidRPr="000E09C5" w:rsidRDefault="00AE2155" w:rsidP="00B644CC">
      <w:pPr>
        <w:spacing w:line="288" w:lineRule="auto"/>
        <w:jc w:val="both"/>
        <w:rPr>
          <w:rFonts w:eastAsia="Calibri" w:cs="Arial"/>
          <w:szCs w:val="20"/>
        </w:rPr>
      </w:pPr>
    </w:p>
    <w:p w:rsidR="00AE2155" w:rsidRPr="000E2C9A" w:rsidRDefault="00AE2155" w:rsidP="00B644CC">
      <w:pPr>
        <w:spacing w:line="288" w:lineRule="auto"/>
        <w:jc w:val="both"/>
        <w:rPr>
          <w:rFonts w:eastAsia="Calibri" w:cs="Arial"/>
          <w:color w:val="00B050"/>
          <w:szCs w:val="20"/>
        </w:rPr>
      </w:pPr>
      <w:r w:rsidRPr="000E09C5">
        <w:rPr>
          <w:rFonts w:eastAsia="Calibri" w:cs="Arial"/>
          <w:szCs w:val="20"/>
        </w:rPr>
        <w:t xml:space="preserve">S predlagano določbo se </w:t>
      </w:r>
      <w:r w:rsidR="00B414E2">
        <w:rPr>
          <w:rFonts w:eastAsia="Calibri" w:cs="Arial"/>
          <w:szCs w:val="20"/>
        </w:rPr>
        <w:t xml:space="preserve">upošteva </w:t>
      </w:r>
      <w:r w:rsidRPr="000E09C5">
        <w:rPr>
          <w:rFonts w:eastAsia="Calibri" w:cs="Arial"/>
          <w:szCs w:val="20"/>
        </w:rPr>
        <w:t>načel</w:t>
      </w:r>
      <w:r w:rsidR="00B414E2">
        <w:rPr>
          <w:rFonts w:eastAsia="Calibri" w:cs="Arial"/>
          <w:szCs w:val="20"/>
        </w:rPr>
        <w:t>o</w:t>
      </w:r>
      <w:r w:rsidRPr="000E09C5">
        <w:rPr>
          <w:rFonts w:eastAsia="Calibri" w:cs="Arial"/>
          <w:szCs w:val="20"/>
        </w:rPr>
        <w:t>, da o imenovanju in razrešitvi odloča isti organ, zato se celovito določa pristojnost za primer razrešitve namestnika generalnega državnega tožilca in namestnika vodje okrožnega državnega tožilstva</w:t>
      </w:r>
      <w:r w:rsidR="00B414E2">
        <w:rPr>
          <w:rFonts w:eastAsia="Calibri" w:cs="Arial"/>
          <w:szCs w:val="20"/>
        </w:rPr>
        <w:t>,</w:t>
      </w:r>
    </w:p>
    <w:p w:rsidR="00EC749E" w:rsidRDefault="00EC749E" w:rsidP="00B644CC">
      <w:pPr>
        <w:spacing w:line="288" w:lineRule="auto"/>
        <w:jc w:val="both"/>
        <w:rPr>
          <w:rFonts w:eastAsia="Calibri" w:cs="Arial"/>
          <w:b/>
          <w:szCs w:val="20"/>
        </w:rPr>
      </w:pPr>
    </w:p>
    <w:p w:rsidR="00AE2155" w:rsidRPr="00930071" w:rsidRDefault="00AE2155" w:rsidP="00B644CC">
      <w:pPr>
        <w:spacing w:line="288" w:lineRule="auto"/>
        <w:jc w:val="both"/>
        <w:rPr>
          <w:rFonts w:eastAsia="Calibri" w:cs="Arial"/>
          <w:b/>
          <w:szCs w:val="20"/>
        </w:rPr>
      </w:pPr>
      <w:r w:rsidRPr="00930071">
        <w:rPr>
          <w:rFonts w:eastAsia="Calibri" w:cs="Arial"/>
          <w:b/>
          <w:szCs w:val="20"/>
        </w:rPr>
        <w:t>K 1</w:t>
      </w:r>
      <w:r w:rsidR="00665575">
        <w:rPr>
          <w:rFonts w:eastAsia="Calibri" w:cs="Arial"/>
          <w:b/>
          <w:szCs w:val="20"/>
        </w:rPr>
        <w:t>9</w:t>
      </w:r>
      <w:r w:rsidRPr="00930071">
        <w:rPr>
          <w:rFonts w:eastAsia="Calibri" w:cs="Arial"/>
          <w:b/>
          <w:szCs w:val="20"/>
        </w:rPr>
        <w:t>. členu</w:t>
      </w:r>
    </w:p>
    <w:p w:rsidR="00AE2155" w:rsidRDefault="00AE2155" w:rsidP="00B644CC">
      <w:pPr>
        <w:spacing w:line="288" w:lineRule="auto"/>
        <w:jc w:val="both"/>
        <w:rPr>
          <w:rFonts w:eastAsia="Calibri" w:cs="Arial"/>
          <w:szCs w:val="20"/>
        </w:rPr>
      </w:pPr>
      <w:r>
        <w:rPr>
          <w:rFonts w:eastAsia="Calibri" w:cs="Arial"/>
          <w:szCs w:val="20"/>
        </w:rPr>
        <w:t>Predlagana sprememba je redakcijsk</w:t>
      </w:r>
      <w:r w:rsidR="00B414E2">
        <w:rPr>
          <w:rFonts w:eastAsia="Calibri" w:cs="Arial"/>
          <w:szCs w:val="20"/>
        </w:rPr>
        <w:t>a</w:t>
      </w:r>
      <w:r>
        <w:rPr>
          <w:rFonts w:eastAsia="Calibri" w:cs="Arial"/>
          <w:szCs w:val="20"/>
        </w:rPr>
        <w:t xml:space="preserve">. Po vzoru predlagane ureditve v 133. členu </w:t>
      </w:r>
      <w:r w:rsidR="00B414E2">
        <w:rPr>
          <w:rFonts w:eastAsia="Calibri" w:cs="Arial"/>
          <w:szCs w:val="20"/>
        </w:rPr>
        <w:t xml:space="preserve">se </w:t>
      </w:r>
      <w:r>
        <w:rPr>
          <w:rFonts w:eastAsia="Calibri" w:cs="Arial"/>
          <w:szCs w:val="20"/>
        </w:rPr>
        <w:t>pri sodelovanju na kolegiju državnega tožilstva na prvem mestu navaja direktor šele nato strokovni sodelavec.</w:t>
      </w:r>
    </w:p>
    <w:p w:rsidR="00AE2155" w:rsidRDefault="00AE2155" w:rsidP="00B644CC">
      <w:pPr>
        <w:spacing w:line="288" w:lineRule="auto"/>
        <w:jc w:val="both"/>
        <w:rPr>
          <w:rFonts w:eastAsia="Calibri" w:cs="Arial"/>
          <w:szCs w:val="20"/>
        </w:rPr>
      </w:pPr>
    </w:p>
    <w:p w:rsidR="00AE2155" w:rsidRPr="004170ED" w:rsidRDefault="00AE2155" w:rsidP="00B644CC">
      <w:pPr>
        <w:spacing w:line="288" w:lineRule="auto"/>
        <w:jc w:val="both"/>
        <w:rPr>
          <w:rFonts w:eastAsia="Calibri" w:cs="Arial"/>
          <w:b/>
          <w:szCs w:val="20"/>
        </w:rPr>
      </w:pPr>
      <w:r w:rsidRPr="004170ED">
        <w:rPr>
          <w:rFonts w:eastAsia="Calibri" w:cs="Arial"/>
          <w:b/>
          <w:szCs w:val="20"/>
        </w:rPr>
        <w:t xml:space="preserve">K </w:t>
      </w:r>
      <w:r w:rsidR="00665575">
        <w:rPr>
          <w:rFonts w:eastAsia="Calibri" w:cs="Arial"/>
          <w:b/>
          <w:szCs w:val="20"/>
        </w:rPr>
        <w:t>20</w:t>
      </w:r>
      <w:r w:rsidRPr="004170ED">
        <w:rPr>
          <w:rFonts w:eastAsia="Calibri" w:cs="Arial"/>
          <w:b/>
          <w:szCs w:val="20"/>
        </w:rPr>
        <w:t>. členu</w:t>
      </w:r>
    </w:p>
    <w:p w:rsidR="00AE2155" w:rsidRDefault="00AE2155" w:rsidP="00B644CC">
      <w:pPr>
        <w:spacing w:line="288" w:lineRule="auto"/>
        <w:jc w:val="both"/>
        <w:rPr>
          <w:rFonts w:eastAsia="Arial Unicode MS"/>
          <w:color w:val="000000"/>
          <w:u w:color="000000"/>
          <w:bdr w:val="nil"/>
          <w:lang w:eastAsia="sl-SI"/>
        </w:rPr>
      </w:pPr>
      <w:r>
        <w:rPr>
          <w:rFonts w:eastAsia="Calibri" w:cs="Arial"/>
          <w:szCs w:val="20"/>
        </w:rPr>
        <w:t>S predlagano dopolnitvijo se po vzoru ureditve</w:t>
      </w:r>
      <w:r w:rsidR="00B414E2">
        <w:rPr>
          <w:rFonts w:eastAsia="Calibri" w:cs="Arial"/>
          <w:szCs w:val="20"/>
        </w:rPr>
        <w:t>,</w:t>
      </w:r>
      <w:r>
        <w:rPr>
          <w:rFonts w:eastAsia="Calibri" w:cs="Arial"/>
          <w:szCs w:val="20"/>
        </w:rPr>
        <w:t xml:space="preserve"> kot velja za kolegij državnega tožilstva (132. člen</w:t>
      </w:r>
      <w:r w:rsidR="00665575">
        <w:rPr>
          <w:rFonts w:eastAsia="Calibri" w:cs="Arial"/>
          <w:szCs w:val="20"/>
        </w:rPr>
        <w:t xml:space="preserve"> ZDT-1</w:t>
      </w:r>
      <w:r>
        <w:rPr>
          <w:rFonts w:eastAsia="Calibri" w:cs="Arial"/>
          <w:szCs w:val="20"/>
        </w:rPr>
        <w:t>)</w:t>
      </w:r>
      <w:r w:rsidR="00B414E2">
        <w:rPr>
          <w:rFonts w:eastAsia="Calibri" w:cs="Arial"/>
          <w:szCs w:val="20"/>
        </w:rPr>
        <w:t>,</w:t>
      </w:r>
      <w:r>
        <w:rPr>
          <w:rFonts w:eastAsia="Calibri" w:cs="Arial"/>
          <w:szCs w:val="20"/>
        </w:rPr>
        <w:t xml:space="preserve"> določa možnost udeležbe generalnega direktorja na razširjenem kolegiju V</w:t>
      </w:r>
      <w:r w:rsidR="00665575">
        <w:rPr>
          <w:rFonts w:eastAsia="Calibri" w:cs="Arial"/>
          <w:szCs w:val="20"/>
        </w:rPr>
        <w:t>rhovnega državnega tožilstva</w:t>
      </w:r>
      <w:r w:rsidR="00B414E2">
        <w:rPr>
          <w:rFonts w:eastAsia="Calibri" w:cs="Arial"/>
          <w:szCs w:val="20"/>
        </w:rPr>
        <w:t xml:space="preserve"> RS</w:t>
      </w:r>
      <w:r>
        <w:rPr>
          <w:rFonts w:eastAsia="Calibri" w:cs="Arial"/>
          <w:szCs w:val="20"/>
        </w:rPr>
        <w:t xml:space="preserve"> zlasti upoštevaje vsebino, ki se na tem kolegiju obravnava. </w:t>
      </w:r>
      <w:r w:rsidRPr="0028190A">
        <w:rPr>
          <w:rFonts w:eastAsia="Arial Unicode MS"/>
          <w:color w:val="000000"/>
          <w:u w:color="000000"/>
          <w:bdr w:val="nil"/>
          <w:lang w:eastAsia="sl-SI"/>
        </w:rPr>
        <w:t xml:space="preserve">Glede na to, da razširjeni kolegij </w:t>
      </w:r>
      <w:r w:rsidR="00665575">
        <w:rPr>
          <w:rFonts w:eastAsia="Calibri" w:cs="Arial"/>
          <w:szCs w:val="20"/>
        </w:rPr>
        <w:t xml:space="preserve">Vrhovnega državnega tožilstva </w:t>
      </w:r>
      <w:r w:rsidRPr="0028190A">
        <w:rPr>
          <w:rFonts w:eastAsia="Arial Unicode MS"/>
          <w:color w:val="000000"/>
          <w:u w:color="000000"/>
          <w:bdr w:val="nil"/>
          <w:lang w:eastAsia="sl-SI"/>
        </w:rPr>
        <w:t>daje mnenje o predlogih splošnih navodil, ki se lahko</w:t>
      </w:r>
      <w:r>
        <w:rPr>
          <w:rFonts w:eastAsia="Arial Unicode MS"/>
          <w:color w:val="000000"/>
          <w:u w:color="000000"/>
          <w:bdr w:val="nil"/>
          <w:lang w:eastAsia="sl-SI"/>
        </w:rPr>
        <w:t xml:space="preserve"> nanašajo </w:t>
      </w:r>
      <w:r w:rsidRPr="0028190A">
        <w:rPr>
          <w:rFonts w:eastAsia="Arial Unicode MS"/>
          <w:color w:val="000000"/>
          <w:u w:color="000000"/>
          <w:bdr w:val="nil"/>
          <w:lang w:eastAsia="sl-SI"/>
        </w:rPr>
        <w:t xml:space="preserve">tudi </w:t>
      </w:r>
      <w:r>
        <w:rPr>
          <w:rFonts w:eastAsia="Arial Unicode MS"/>
          <w:color w:val="000000"/>
          <w:u w:color="000000"/>
          <w:bdr w:val="nil"/>
          <w:lang w:eastAsia="sl-SI"/>
        </w:rPr>
        <w:t xml:space="preserve">na zadeve </w:t>
      </w:r>
      <w:proofErr w:type="spellStart"/>
      <w:r w:rsidRPr="0028190A">
        <w:rPr>
          <w:rFonts w:eastAsia="Arial Unicode MS"/>
          <w:color w:val="000000"/>
          <w:u w:color="000000"/>
          <w:bdr w:val="nil"/>
          <w:lang w:eastAsia="sl-SI"/>
        </w:rPr>
        <w:t>državnotožilske</w:t>
      </w:r>
      <w:proofErr w:type="spellEnd"/>
      <w:r w:rsidRPr="0028190A">
        <w:rPr>
          <w:rFonts w:eastAsia="Arial Unicode MS"/>
          <w:color w:val="000000"/>
          <w:u w:color="000000"/>
          <w:bdr w:val="nil"/>
          <w:lang w:eastAsia="sl-SI"/>
        </w:rPr>
        <w:t xml:space="preserve"> uprave, </w:t>
      </w:r>
      <w:r>
        <w:rPr>
          <w:rFonts w:eastAsia="Arial Unicode MS"/>
          <w:color w:val="000000"/>
          <w:u w:color="000000"/>
          <w:bdr w:val="nil"/>
          <w:lang w:eastAsia="sl-SI"/>
        </w:rPr>
        <w:t xml:space="preserve">se s predlagano določbo določa možnost </w:t>
      </w:r>
      <w:r w:rsidRPr="0028190A">
        <w:rPr>
          <w:rFonts w:eastAsia="Arial Unicode MS"/>
          <w:color w:val="000000"/>
          <w:u w:color="000000"/>
          <w:bdr w:val="nil"/>
          <w:lang w:eastAsia="sl-SI"/>
        </w:rPr>
        <w:t>sodelovanja generalnega direktorja po predhodni odločitvi generalnega državnega tožilca RS</w:t>
      </w:r>
      <w:r>
        <w:rPr>
          <w:rFonts w:eastAsia="Arial Unicode MS"/>
          <w:color w:val="000000"/>
          <w:u w:color="000000"/>
          <w:bdr w:val="nil"/>
          <w:lang w:eastAsia="sl-SI"/>
        </w:rPr>
        <w:t>.</w:t>
      </w:r>
    </w:p>
    <w:p w:rsidR="00AE2155" w:rsidRPr="006E178C" w:rsidRDefault="00AE2155" w:rsidP="00B644CC">
      <w:pPr>
        <w:spacing w:line="288" w:lineRule="auto"/>
        <w:jc w:val="both"/>
        <w:rPr>
          <w:rFonts w:eastAsia="Calibri" w:cs="Arial"/>
          <w:szCs w:val="20"/>
        </w:rPr>
      </w:pPr>
    </w:p>
    <w:p w:rsidR="00AE2155" w:rsidRPr="00DF33B2" w:rsidRDefault="00AE2155" w:rsidP="00B644CC">
      <w:pPr>
        <w:spacing w:line="288" w:lineRule="auto"/>
        <w:jc w:val="both"/>
        <w:rPr>
          <w:b/>
          <w:szCs w:val="20"/>
        </w:rPr>
      </w:pPr>
      <w:r w:rsidRPr="00DF33B2">
        <w:rPr>
          <w:b/>
          <w:szCs w:val="20"/>
        </w:rPr>
        <w:t xml:space="preserve">K </w:t>
      </w:r>
      <w:r w:rsidR="00665575">
        <w:rPr>
          <w:b/>
          <w:szCs w:val="20"/>
        </w:rPr>
        <w:t>21</w:t>
      </w:r>
      <w:r w:rsidRPr="00DF33B2">
        <w:rPr>
          <w:b/>
          <w:szCs w:val="20"/>
        </w:rPr>
        <w:t>. členu</w:t>
      </w:r>
    </w:p>
    <w:p w:rsidR="00AE2155" w:rsidRPr="00E032C9" w:rsidRDefault="00665575" w:rsidP="00B644CC">
      <w:pPr>
        <w:spacing w:line="288" w:lineRule="auto"/>
        <w:jc w:val="both"/>
        <w:rPr>
          <w:rFonts w:cs="Arial"/>
          <w:szCs w:val="20"/>
          <w:lang w:eastAsia="ar-SA"/>
        </w:rPr>
      </w:pPr>
      <w:r>
        <w:rPr>
          <w:rFonts w:cs="Arial"/>
          <w:szCs w:val="20"/>
          <w:lang w:eastAsia="ar-SA"/>
        </w:rPr>
        <w:t xml:space="preserve">S predlagano novo določbo 137.a člena se </w:t>
      </w:r>
      <w:r w:rsidR="00AE2155" w:rsidRPr="00E032C9">
        <w:rPr>
          <w:rFonts w:cs="Arial"/>
          <w:szCs w:val="20"/>
          <w:lang w:eastAsia="ar-SA"/>
        </w:rPr>
        <w:t>določa zakonsk</w:t>
      </w:r>
      <w:r>
        <w:rPr>
          <w:rFonts w:cs="Arial"/>
          <w:szCs w:val="20"/>
          <w:lang w:eastAsia="ar-SA"/>
        </w:rPr>
        <w:t>a</w:t>
      </w:r>
      <w:r w:rsidR="00AE2155" w:rsidRPr="00E032C9">
        <w:rPr>
          <w:rFonts w:cs="Arial"/>
          <w:szCs w:val="20"/>
          <w:lang w:eastAsia="ar-SA"/>
        </w:rPr>
        <w:t xml:space="preserve"> podlag</w:t>
      </w:r>
      <w:r>
        <w:rPr>
          <w:rFonts w:cs="Arial"/>
          <w:szCs w:val="20"/>
          <w:lang w:eastAsia="ar-SA"/>
        </w:rPr>
        <w:t>a</w:t>
      </w:r>
      <w:r w:rsidR="00AE2155" w:rsidRPr="00E032C9">
        <w:rPr>
          <w:rFonts w:cs="Arial"/>
          <w:szCs w:val="20"/>
          <w:lang w:eastAsia="ar-SA"/>
        </w:rPr>
        <w:t xml:space="preserve"> za sodelovanje </w:t>
      </w:r>
      <w:proofErr w:type="spellStart"/>
      <w:r w:rsidR="00AE2155">
        <w:rPr>
          <w:rFonts w:cs="Arial"/>
          <w:szCs w:val="20"/>
          <w:lang w:eastAsia="ar-SA"/>
        </w:rPr>
        <w:t>državnotožilskega</w:t>
      </w:r>
      <w:proofErr w:type="spellEnd"/>
      <w:r>
        <w:rPr>
          <w:rFonts w:cs="Arial"/>
          <w:szCs w:val="20"/>
          <w:lang w:eastAsia="ar-SA"/>
        </w:rPr>
        <w:t xml:space="preserve"> </w:t>
      </w:r>
      <w:r w:rsidR="00AE2155" w:rsidRPr="00E032C9">
        <w:rPr>
          <w:rFonts w:cs="Arial"/>
          <w:szCs w:val="20"/>
          <w:lang w:eastAsia="ar-SA"/>
        </w:rPr>
        <w:t>osebja pri opravljanju nujnih procesnih dejanj</w:t>
      </w:r>
      <w:r w:rsidR="00AE2155">
        <w:rPr>
          <w:rFonts w:cs="Arial"/>
          <w:szCs w:val="20"/>
          <w:lang w:eastAsia="ar-SA"/>
        </w:rPr>
        <w:t xml:space="preserve"> (aktivnostih, ki se predlagajo z novim prvim odstavkom 45. člena ZDT-1)</w:t>
      </w:r>
      <w:r w:rsidR="00AE2155" w:rsidRPr="00E032C9">
        <w:rPr>
          <w:rFonts w:cs="Arial"/>
          <w:szCs w:val="20"/>
          <w:lang w:eastAsia="ar-SA"/>
        </w:rPr>
        <w:t xml:space="preserve"> in ustrezno plačilo za opravljeno delo z navezavo na Zakon o sistemu plač v javnem sektorju</w:t>
      </w:r>
      <w:r w:rsidR="00AE2155">
        <w:rPr>
          <w:rFonts w:cs="Arial"/>
          <w:szCs w:val="20"/>
          <w:lang w:eastAsia="ar-SA"/>
        </w:rPr>
        <w:t xml:space="preserve"> (ZSPJS)</w:t>
      </w:r>
      <w:r w:rsidR="00AE2155" w:rsidRPr="00E032C9">
        <w:rPr>
          <w:rFonts w:cs="Arial"/>
          <w:szCs w:val="20"/>
          <w:lang w:eastAsia="ar-SA"/>
        </w:rPr>
        <w:t xml:space="preserve">. </w:t>
      </w:r>
      <w:proofErr w:type="spellStart"/>
      <w:r w:rsidR="00AE2155">
        <w:rPr>
          <w:rFonts w:cs="Arial"/>
          <w:szCs w:val="20"/>
          <w:lang w:eastAsia="ar-SA"/>
        </w:rPr>
        <w:t>Državnotožilsko</w:t>
      </w:r>
      <w:proofErr w:type="spellEnd"/>
      <w:r>
        <w:rPr>
          <w:rFonts w:cs="Arial"/>
          <w:szCs w:val="20"/>
          <w:lang w:eastAsia="ar-SA"/>
        </w:rPr>
        <w:t xml:space="preserve"> </w:t>
      </w:r>
      <w:r w:rsidR="00AE2155" w:rsidRPr="00E032C9">
        <w:rPr>
          <w:rFonts w:cs="Arial"/>
          <w:szCs w:val="20"/>
          <w:lang w:eastAsia="ar-SA"/>
        </w:rPr>
        <w:t xml:space="preserve">osebje zaradi sodelovanja pri opravljanju nujnih procesnih dejanj izven delovnega časa opravlja delo v manj ugodnem delovnem času, pri čemer je treba razlikovati efektivno delo, ko se delo dejansko izvaja, in čas pripravljenosti. Določa se, da se </w:t>
      </w:r>
      <w:proofErr w:type="spellStart"/>
      <w:r w:rsidR="00AE2155">
        <w:rPr>
          <w:rFonts w:cs="Arial"/>
          <w:szCs w:val="20"/>
          <w:lang w:eastAsia="ar-SA"/>
        </w:rPr>
        <w:t>državnotožilskemu</w:t>
      </w:r>
      <w:proofErr w:type="spellEnd"/>
      <w:r>
        <w:rPr>
          <w:rFonts w:cs="Arial"/>
          <w:szCs w:val="20"/>
          <w:lang w:eastAsia="ar-SA"/>
        </w:rPr>
        <w:t xml:space="preserve"> </w:t>
      </w:r>
      <w:r w:rsidR="00AE2155" w:rsidRPr="00E032C9">
        <w:rPr>
          <w:rFonts w:cs="Arial"/>
          <w:szCs w:val="20"/>
          <w:lang w:eastAsia="ar-SA"/>
        </w:rPr>
        <w:t xml:space="preserve">osebju, ki sodeluje pri opravljanju nujnih procesnih dejanj izven delovnega časa, lahko odredi opravljanje dela v manj ugodnem delovnem času. Kot delo v manj ugodnem delovnem času se šteje </w:t>
      </w:r>
      <w:r w:rsidR="00350BE5">
        <w:rPr>
          <w:rFonts w:cs="Arial"/>
          <w:szCs w:val="20"/>
          <w:lang w:eastAsia="ar-SA"/>
        </w:rPr>
        <w:t>izmensko delo</w:t>
      </w:r>
      <w:r w:rsidR="00AE2155" w:rsidRPr="00E032C9">
        <w:rPr>
          <w:rFonts w:cs="Arial"/>
          <w:szCs w:val="20"/>
          <w:lang w:eastAsia="ar-SA"/>
        </w:rPr>
        <w:t xml:space="preserve">, delo v neenakomerno razporejenem delovnem času, delo prek polnega delovnega časa </w:t>
      </w:r>
      <w:r w:rsidR="00B414E2">
        <w:rPr>
          <w:rFonts w:cs="Arial"/>
          <w:szCs w:val="20"/>
          <w:lang w:eastAsia="ar-SA"/>
        </w:rPr>
        <w:t>ter</w:t>
      </w:r>
      <w:r w:rsidR="00AE2155" w:rsidRPr="00E032C9">
        <w:rPr>
          <w:rFonts w:cs="Arial"/>
          <w:szCs w:val="20"/>
          <w:lang w:eastAsia="ar-SA"/>
        </w:rPr>
        <w:t xml:space="preserve"> delo ponoči, ob nedeljah, praznikih in na dan, ki je z zakonom določen kot dela prost dan. </w:t>
      </w:r>
    </w:p>
    <w:p w:rsidR="00AE2155" w:rsidRPr="00E032C9" w:rsidRDefault="00AE2155" w:rsidP="00B644CC">
      <w:pPr>
        <w:spacing w:line="288" w:lineRule="auto"/>
        <w:rPr>
          <w:rFonts w:cs="Arial"/>
          <w:szCs w:val="20"/>
          <w:lang w:eastAsia="ar-SA"/>
        </w:rPr>
      </w:pPr>
    </w:p>
    <w:p w:rsidR="00AE2155" w:rsidRDefault="00AE2155" w:rsidP="00B644CC">
      <w:pPr>
        <w:tabs>
          <w:tab w:val="left" w:pos="1701"/>
        </w:tabs>
        <w:spacing w:line="288" w:lineRule="auto"/>
        <w:jc w:val="both"/>
        <w:rPr>
          <w:rFonts w:cs="Arial"/>
          <w:szCs w:val="20"/>
          <w:lang w:eastAsia="sl-SI"/>
        </w:rPr>
      </w:pPr>
      <w:r w:rsidRPr="00E032C9">
        <w:rPr>
          <w:rFonts w:cs="Arial"/>
          <w:szCs w:val="20"/>
          <w:lang w:eastAsia="sl-SI"/>
        </w:rPr>
        <w:t>Pripravljenost za delo je pose</w:t>
      </w:r>
      <w:r w:rsidR="00665575">
        <w:rPr>
          <w:rFonts w:cs="Arial"/>
          <w:szCs w:val="20"/>
          <w:lang w:eastAsia="sl-SI"/>
        </w:rPr>
        <w:t>ben delovni pogoj kot</w:t>
      </w:r>
      <w:r w:rsidRPr="00E032C9">
        <w:rPr>
          <w:rFonts w:cs="Arial"/>
          <w:szCs w:val="20"/>
          <w:lang w:eastAsia="sl-SI"/>
        </w:rPr>
        <w:t xml:space="preserve"> oblika dela in je vezana na </w:t>
      </w:r>
      <w:r w:rsidR="00B414E2">
        <w:rPr>
          <w:rFonts w:cs="Arial"/>
          <w:szCs w:val="20"/>
          <w:lang w:eastAsia="sl-SI"/>
        </w:rPr>
        <w:t>vrsto in vsebino ter organiziranost</w:t>
      </w:r>
      <w:r w:rsidRPr="00E032C9">
        <w:rPr>
          <w:rFonts w:cs="Arial"/>
          <w:szCs w:val="20"/>
          <w:lang w:eastAsia="sl-SI"/>
        </w:rPr>
        <w:t xml:space="preserve"> dela na </w:t>
      </w:r>
      <w:r>
        <w:rPr>
          <w:rFonts w:cs="Arial"/>
          <w:szCs w:val="20"/>
          <w:lang w:eastAsia="sl-SI"/>
        </w:rPr>
        <w:t>državnih tožilstvih</w:t>
      </w:r>
      <w:r w:rsidRPr="00E032C9">
        <w:rPr>
          <w:rFonts w:cs="Arial"/>
          <w:szCs w:val="20"/>
          <w:lang w:eastAsia="sl-SI"/>
        </w:rPr>
        <w:t xml:space="preserve">, kar utemeljuje tudi različno plačilo v primerjavi z rednim delom, ki ga </w:t>
      </w:r>
      <w:proofErr w:type="spellStart"/>
      <w:r>
        <w:rPr>
          <w:rFonts w:cs="Arial"/>
          <w:szCs w:val="20"/>
          <w:lang w:eastAsia="sl-SI"/>
        </w:rPr>
        <w:t>državnotožilsko</w:t>
      </w:r>
      <w:proofErr w:type="spellEnd"/>
      <w:r w:rsidRPr="00E032C9">
        <w:rPr>
          <w:rFonts w:cs="Arial"/>
          <w:szCs w:val="20"/>
          <w:lang w:eastAsia="sl-SI"/>
        </w:rPr>
        <w:t xml:space="preserve"> osebje opravlja v okviru svojih rednih delovnih zadolžitev. V času pripravljenosti mora biti </w:t>
      </w:r>
      <w:proofErr w:type="spellStart"/>
      <w:r>
        <w:rPr>
          <w:rFonts w:cs="Arial"/>
          <w:szCs w:val="20"/>
          <w:lang w:eastAsia="sl-SI"/>
        </w:rPr>
        <w:t>državnotožilsko</w:t>
      </w:r>
      <w:proofErr w:type="spellEnd"/>
      <w:r>
        <w:rPr>
          <w:rFonts w:cs="Arial"/>
          <w:szCs w:val="20"/>
          <w:lang w:eastAsia="sl-SI"/>
        </w:rPr>
        <w:t xml:space="preserve"> os</w:t>
      </w:r>
      <w:r w:rsidRPr="00E032C9">
        <w:rPr>
          <w:rFonts w:cs="Arial"/>
          <w:szCs w:val="20"/>
          <w:lang w:eastAsia="sl-SI"/>
        </w:rPr>
        <w:t xml:space="preserve">ebje dosegljivo po telefonu ali drugih komunikacijskih sredstvih za potrebe prihoda na delovno mesto ali kraj, kjer se opravlja nujno procesno dejanje. </w:t>
      </w:r>
      <w:proofErr w:type="spellStart"/>
      <w:r>
        <w:rPr>
          <w:rFonts w:cs="Arial"/>
          <w:szCs w:val="20"/>
          <w:lang w:eastAsia="sl-SI"/>
        </w:rPr>
        <w:lastRenderedPageBreak/>
        <w:t>Državnotožilsko</w:t>
      </w:r>
      <w:proofErr w:type="spellEnd"/>
      <w:r w:rsidR="00665575">
        <w:rPr>
          <w:rFonts w:cs="Arial"/>
          <w:szCs w:val="20"/>
          <w:lang w:eastAsia="sl-SI"/>
        </w:rPr>
        <w:t xml:space="preserve"> </w:t>
      </w:r>
      <w:r w:rsidRPr="00E032C9">
        <w:rPr>
          <w:rFonts w:cs="Arial"/>
          <w:szCs w:val="20"/>
          <w:lang w:eastAsia="sl-SI"/>
        </w:rPr>
        <w:t>osebje je v času pripravljenosti v vsakem trenutku na razpolago delodajalcu, da ga pozove na opravljanje obveznosti, zaradi česar je njegova pravica do odmora in počitka v tem času bistveno okrnjena. Čas pripravljenosti se ne šteje v delovni čas.</w:t>
      </w:r>
    </w:p>
    <w:p w:rsidR="00AE2155" w:rsidRDefault="00AE2155" w:rsidP="00B644CC">
      <w:pPr>
        <w:tabs>
          <w:tab w:val="left" w:pos="1701"/>
        </w:tabs>
        <w:spacing w:line="288" w:lineRule="auto"/>
        <w:jc w:val="both"/>
        <w:rPr>
          <w:rFonts w:cs="Arial"/>
          <w:szCs w:val="20"/>
          <w:lang w:eastAsia="sl-SI"/>
        </w:rPr>
      </w:pPr>
    </w:p>
    <w:p w:rsidR="00AE2155" w:rsidRDefault="00AE2155" w:rsidP="00B644CC">
      <w:pPr>
        <w:pStyle w:val="datumtevilka"/>
        <w:spacing w:line="288" w:lineRule="auto"/>
        <w:jc w:val="both"/>
        <w:rPr>
          <w:rFonts w:cs="Arial"/>
        </w:rPr>
      </w:pPr>
      <w:r w:rsidRPr="00E032C9">
        <w:rPr>
          <w:rFonts w:cs="Arial"/>
        </w:rPr>
        <w:t>ZSPJS v tretjem odstavku 32. člena opredeljuje dodatek za stalno pripravljenost, ki pa je v KPJS razdel</w:t>
      </w:r>
      <w:r w:rsidR="00B414E2">
        <w:rPr>
          <w:rFonts w:cs="Arial"/>
        </w:rPr>
        <w:t xml:space="preserve">jen </w:t>
      </w:r>
      <w:r w:rsidRPr="00E032C9">
        <w:rPr>
          <w:rFonts w:cs="Arial"/>
        </w:rPr>
        <w:t xml:space="preserve">na dodatek za pripravljenost in dodatek za stalno pripravljenost. </w:t>
      </w:r>
      <w:r>
        <w:rPr>
          <w:rFonts w:cs="Arial"/>
        </w:rPr>
        <w:t xml:space="preserve">Kadar je </w:t>
      </w:r>
      <w:proofErr w:type="spellStart"/>
      <w:r>
        <w:rPr>
          <w:rFonts w:cs="Arial"/>
        </w:rPr>
        <w:t>državnotožilsko</w:t>
      </w:r>
      <w:proofErr w:type="spellEnd"/>
      <w:r>
        <w:rPr>
          <w:rFonts w:cs="Arial"/>
        </w:rPr>
        <w:t xml:space="preserve"> osebje v pripravljenosti zaradi sodelovanja pri opravljanju nujnih procesnih dejanj, </w:t>
      </w:r>
      <w:r w:rsidR="00B414E2">
        <w:rPr>
          <w:rFonts w:cs="Arial"/>
        </w:rPr>
        <w:t xml:space="preserve">mu </w:t>
      </w:r>
      <w:r>
        <w:rPr>
          <w:rFonts w:cs="Arial"/>
        </w:rPr>
        <w:t>pripada dodatek za pripravljenost, ki se obračuna v višini 20% urne postavke plače (prvi odstavek 46. člena KPJS). Razlikovanje med pripravljenostjo in stalno pripravljenostjo je bilo uveljavljeno leta 2017 z Aneksom št. 9 h Kolektivni pogodbi za javni sektor.</w:t>
      </w:r>
    </w:p>
    <w:p w:rsidR="00AE2155" w:rsidRDefault="00AE2155" w:rsidP="00B644CC">
      <w:pPr>
        <w:spacing w:line="288" w:lineRule="auto"/>
        <w:jc w:val="both"/>
        <w:rPr>
          <w:rFonts w:cs="Arial"/>
          <w:szCs w:val="20"/>
        </w:rPr>
      </w:pPr>
    </w:p>
    <w:p w:rsidR="00D605A7" w:rsidRPr="00D605A7" w:rsidRDefault="00AE2155" w:rsidP="00D605A7">
      <w:pPr>
        <w:spacing w:line="288" w:lineRule="auto"/>
        <w:jc w:val="both"/>
        <w:rPr>
          <w:rFonts w:cs="Arial"/>
          <w:color w:val="FF0000"/>
          <w:szCs w:val="20"/>
        </w:rPr>
      </w:pPr>
      <w:r>
        <w:rPr>
          <w:rFonts w:cs="Arial"/>
          <w:szCs w:val="20"/>
        </w:rPr>
        <w:t>K</w:t>
      </w:r>
      <w:r w:rsidRPr="00210151">
        <w:rPr>
          <w:rFonts w:cs="Arial"/>
          <w:szCs w:val="20"/>
        </w:rPr>
        <w:t xml:space="preserve">o mora </w:t>
      </w:r>
      <w:proofErr w:type="spellStart"/>
      <w:r>
        <w:rPr>
          <w:rFonts w:cs="Arial"/>
          <w:szCs w:val="20"/>
        </w:rPr>
        <w:t>državnotožilsko</w:t>
      </w:r>
      <w:proofErr w:type="spellEnd"/>
      <w:r>
        <w:rPr>
          <w:rFonts w:cs="Arial"/>
          <w:szCs w:val="20"/>
        </w:rPr>
        <w:t xml:space="preserve"> osebje </w:t>
      </w:r>
      <w:r w:rsidRPr="00210151">
        <w:rPr>
          <w:rFonts w:cs="Arial"/>
          <w:szCs w:val="20"/>
        </w:rPr>
        <w:t xml:space="preserve">v času odrejene pripravljenosti opravljati delo, se čas odrejene pripravljenosti prekine, čas </w:t>
      </w:r>
      <w:r>
        <w:rPr>
          <w:rFonts w:cs="Arial"/>
          <w:szCs w:val="20"/>
        </w:rPr>
        <w:t xml:space="preserve">dejanskega </w:t>
      </w:r>
      <w:r w:rsidRPr="00210151">
        <w:rPr>
          <w:rFonts w:cs="Arial"/>
          <w:szCs w:val="20"/>
        </w:rPr>
        <w:t xml:space="preserve">opravljanja dela pa se šteje v delovni čas, za katerega </w:t>
      </w:r>
      <w:r>
        <w:rPr>
          <w:rFonts w:cs="Arial"/>
          <w:szCs w:val="20"/>
        </w:rPr>
        <w:t>se prejme</w:t>
      </w:r>
      <w:r w:rsidRPr="00210151">
        <w:rPr>
          <w:rFonts w:cs="Arial"/>
          <w:szCs w:val="20"/>
        </w:rPr>
        <w:t xml:space="preserve"> tudi ustrezno plačilo</w:t>
      </w:r>
      <w:r>
        <w:rPr>
          <w:rFonts w:cs="Arial"/>
          <w:szCs w:val="20"/>
        </w:rPr>
        <w:t xml:space="preserve">. Višina dodatka je odvisna od časa, v katerem se delo opravlja, vedno pa gre za delo v manj ugodnem delovnem času. </w:t>
      </w:r>
      <w:proofErr w:type="spellStart"/>
      <w:r>
        <w:rPr>
          <w:rFonts w:cs="Arial"/>
          <w:szCs w:val="20"/>
        </w:rPr>
        <w:t>Državnotožilskemu</w:t>
      </w:r>
      <w:proofErr w:type="spellEnd"/>
      <w:r>
        <w:rPr>
          <w:rFonts w:cs="Arial"/>
          <w:szCs w:val="20"/>
        </w:rPr>
        <w:t xml:space="preserve"> osebju pripada</w:t>
      </w:r>
      <w:r w:rsidR="00665575">
        <w:rPr>
          <w:rFonts w:cs="Arial"/>
          <w:szCs w:val="20"/>
        </w:rPr>
        <w:t xml:space="preserve"> </w:t>
      </w:r>
      <w:r>
        <w:rPr>
          <w:rFonts w:cs="Arial"/>
          <w:szCs w:val="20"/>
        </w:rPr>
        <w:t xml:space="preserve">dodatek, če gre za </w:t>
      </w:r>
      <w:r w:rsidR="00D605A7">
        <w:rPr>
          <w:rFonts w:cs="Arial"/>
          <w:szCs w:val="20"/>
        </w:rPr>
        <w:t xml:space="preserve">izmensko delo, </w:t>
      </w:r>
      <w:r>
        <w:rPr>
          <w:rFonts w:cs="Arial"/>
          <w:szCs w:val="20"/>
        </w:rPr>
        <w:t xml:space="preserve">delo v neenakomerno razporejenem delovnem času, delo prek polnega delovnega časa in delo ponoči, ob nedeljah, praznikih in na dan, ki je z zakonom določen kot dela prost dan. ZSPJS glede višine dodatkov napotuje na </w:t>
      </w:r>
      <w:r w:rsidR="00B414E2">
        <w:rPr>
          <w:rFonts w:cs="Arial"/>
          <w:szCs w:val="20"/>
        </w:rPr>
        <w:t>KPJS</w:t>
      </w:r>
      <w:r>
        <w:rPr>
          <w:rFonts w:cs="Arial"/>
          <w:szCs w:val="20"/>
        </w:rPr>
        <w:t>, ki v določbah od 44. do 46. člena opredeljuje odstotek dodatka od urne postavke osnovne plače javnega uslužbenca.</w:t>
      </w:r>
      <w:r w:rsidR="00D605A7">
        <w:rPr>
          <w:rFonts w:cs="Arial"/>
          <w:szCs w:val="20"/>
        </w:rPr>
        <w:t xml:space="preserve"> </w:t>
      </w:r>
    </w:p>
    <w:p w:rsidR="005D5FE1" w:rsidRDefault="005D5FE1" w:rsidP="00B644CC">
      <w:pPr>
        <w:suppressAutoHyphens/>
        <w:spacing w:line="288" w:lineRule="auto"/>
        <w:jc w:val="both"/>
        <w:rPr>
          <w:rFonts w:ascii="Times New Roman" w:hAnsi="Times New Roman" w:cs="Arial"/>
          <w:sz w:val="24"/>
          <w:szCs w:val="20"/>
          <w:lang w:eastAsia="ar-SA"/>
        </w:rPr>
      </w:pPr>
    </w:p>
    <w:p w:rsidR="00AE2155" w:rsidRPr="005D5FE1" w:rsidRDefault="005D5FE1" w:rsidP="00B644CC">
      <w:pPr>
        <w:suppressAutoHyphens/>
        <w:spacing w:line="288" w:lineRule="auto"/>
        <w:jc w:val="both"/>
        <w:rPr>
          <w:rFonts w:cs="Arial"/>
          <w:b/>
          <w:bCs/>
          <w:szCs w:val="20"/>
          <w:lang w:eastAsia="ar-SA"/>
        </w:rPr>
      </w:pPr>
      <w:r w:rsidRPr="005D5FE1">
        <w:rPr>
          <w:rFonts w:cs="Arial"/>
          <w:b/>
          <w:bCs/>
          <w:szCs w:val="20"/>
          <w:lang w:eastAsia="ar-SA"/>
        </w:rPr>
        <w:t xml:space="preserve">K 22. členu </w:t>
      </w:r>
    </w:p>
    <w:p w:rsidR="005D5FE1" w:rsidRDefault="005D5FE1" w:rsidP="005D5FE1">
      <w:pPr>
        <w:spacing w:line="288" w:lineRule="auto"/>
        <w:jc w:val="both"/>
        <w:rPr>
          <w:rFonts w:eastAsia="Calibri" w:cs="Arial"/>
          <w:szCs w:val="20"/>
          <w:highlight w:val="green"/>
        </w:rPr>
      </w:pPr>
      <w:r w:rsidRPr="00C825C3">
        <w:rPr>
          <w:rFonts w:eastAsia="Calibri" w:cs="Arial"/>
          <w:szCs w:val="20"/>
        </w:rPr>
        <w:t xml:space="preserve">Predlagana sprememba </w:t>
      </w:r>
      <w:r w:rsidRPr="00785F2E">
        <w:t xml:space="preserve">v drugi alineji, </w:t>
      </w:r>
      <w:r w:rsidR="001963C8">
        <w:t>drugega odstavka</w:t>
      </w:r>
      <w:r w:rsidRPr="00785F2E">
        <w:t xml:space="preserve"> 138. člen</w:t>
      </w:r>
      <w:r>
        <w:t>a,</w:t>
      </w:r>
      <w:r w:rsidRPr="00785F2E">
        <w:t xml:space="preserve"> v drugem odstavku</w:t>
      </w:r>
      <w:r>
        <w:t xml:space="preserve"> </w:t>
      </w:r>
      <w:r w:rsidRPr="00785F2E">
        <w:t>147. člen</w:t>
      </w:r>
      <w:r>
        <w:t>a</w:t>
      </w:r>
      <w:r w:rsidRPr="00785F2E">
        <w:t>, v drugi alineji</w:t>
      </w:r>
      <w:r w:rsidRPr="005D5FE1">
        <w:t xml:space="preserve"> </w:t>
      </w:r>
      <w:r w:rsidR="001963C8">
        <w:t>prvega odstavka</w:t>
      </w:r>
      <w:r>
        <w:t xml:space="preserve"> </w:t>
      </w:r>
      <w:r w:rsidRPr="00785F2E">
        <w:t>149. člen</w:t>
      </w:r>
      <w:r>
        <w:t>a</w:t>
      </w:r>
      <w:r w:rsidRPr="00785F2E">
        <w:t>, v tretji alineji</w:t>
      </w:r>
      <w:r w:rsidRPr="005D5FE1">
        <w:t xml:space="preserve"> </w:t>
      </w:r>
      <w:r w:rsidR="001963C8">
        <w:t>tretjega odstavka</w:t>
      </w:r>
      <w:r w:rsidRPr="00785F2E">
        <w:t xml:space="preserve"> 150. člen</w:t>
      </w:r>
      <w:r>
        <w:t>a</w:t>
      </w:r>
      <w:r w:rsidRPr="00785F2E">
        <w:t>, v osmi alineji</w:t>
      </w:r>
      <w:r w:rsidRPr="005D5FE1">
        <w:t xml:space="preserve"> </w:t>
      </w:r>
      <w:r w:rsidR="001963C8">
        <w:t>drugega odstavka</w:t>
      </w:r>
      <w:r>
        <w:t xml:space="preserve"> </w:t>
      </w:r>
      <w:r w:rsidRPr="00785F2E">
        <w:t>151. člen</w:t>
      </w:r>
      <w:r>
        <w:t>a</w:t>
      </w:r>
      <w:r w:rsidR="006E6DDF">
        <w:t xml:space="preserve"> in </w:t>
      </w:r>
      <w:r w:rsidRPr="00785F2E">
        <w:t xml:space="preserve">v prvi alineji </w:t>
      </w:r>
      <w:r w:rsidR="001963C8">
        <w:t>prvega odstavka</w:t>
      </w:r>
      <w:r w:rsidRPr="00785F2E">
        <w:t xml:space="preserve"> 158. člen</w:t>
      </w:r>
      <w:r>
        <w:t>a</w:t>
      </w:r>
      <w:r w:rsidR="00FD6BFD">
        <w:t xml:space="preserve"> </w:t>
      </w:r>
      <w:r>
        <w:rPr>
          <w:rFonts w:eastAsia="Calibri" w:cs="Arial"/>
          <w:szCs w:val="20"/>
        </w:rPr>
        <w:t>ZDT-1</w:t>
      </w:r>
      <w:r w:rsidRPr="00C825C3">
        <w:rPr>
          <w:rFonts w:eastAsia="Calibri" w:cs="Arial"/>
          <w:szCs w:val="20"/>
        </w:rPr>
        <w:t xml:space="preserve"> je redakcijsk</w:t>
      </w:r>
      <w:r w:rsidR="00B414E2">
        <w:rPr>
          <w:rFonts w:eastAsia="Calibri" w:cs="Arial"/>
          <w:szCs w:val="20"/>
        </w:rPr>
        <w:t>a</w:t>
      </w:r>
      <w:r w:rsidRPr="00C825C3">
        <w:rPr>
          <w:rFonts w:eastAsia="Calibri" w:cs="Arial"/>
          <w:szCs w:val="20"/>
        </w:rPr>
        <w:t>, saj se za javne uslužbence državnih tožilstev skladno z določbo 11. člena ZDT-1 uporablja izraz »</w:t>
      </w:r>
      <w:proofErr w:type="spellStart"/>
      <w:r w:rsidRPr="00C825C3">
        <w:rPr>
          <w:rFonts w:eastAsia="Calibri" w:cs="Arial"/>
          <w:szCs w:val="20"/>
        </w:rPr>
        <w:t>državnotožilsko</w:t>
      </w:r>
      <w:proofErr w:type="spellEnd"/>
      <w:r w:rsidRPr="00C825C3">
        <w:rPr>
          <w:rFonts w:eastAsia="Calibri" w:cs="Arial"/>
          <w:szCs w:val="20"/>
        </w:rPr>
        <w:t xml:space="preserve"> osebje«.</w:t>
      </w:r>
    </w:p>
    <w:p w:rsidR="005D5FE1" w:rsidRPr="00E032C9" w:rsidRDefault="005D5FE1" w:rsidP="00B644CC">
      <w:pPr>
        <w:suppressAutoHyphens/>
        <w:spacing w:line="288" w:lineRule="auto"/>
        <w:jc w:val="both"/>
        <w:rPr>
          <w:rFonts w:ascii="Times New Roman" w:hAnsi="Times New Roman" w:cs="Arial"/>
          <w:sz w:val="24"/>
          <w:szCs w:val="20"/>
          <w:lang w:eastAsia="ar-SA"/>
        </w:rPr>
      </w:pPr>
    </w:p>
    <w:p w:rsidR="00AE2155" w:rsidRDefault="00AE2155" w:rsidP="00B644CC">
      <w:pPr>
        <w:spacing w:line="288" w:lineRule="auto"/>
        <w:jc w:val="both"/>
        <w:rPr>
          <w:b/>
          <w:szCs w:val="20"/>
        </w:rPr>
      </w:pPr>
      <w:r>
        <w:rPr>
          <w:b/>
          <w:szCs w:val="20"/>
        </w:rPr>
        <w:t xml:space="preserve">K </w:t>
      </w:r>
      <w:r w:rsidR="00665575">
        <w:rPr>
          <w:b/>
          <w:szCs w:val="20"/>
        </w:rPr>
        <w:t>2</w:t>
      </w:r>
      <w:r w:rsidR="00FD6BFD">
        <w:rPr>
          <w:b/>
          <w:szCs w:val="20"/>
        </w:rPr>
        <w:t>3</w:t>
      </w:r>
      <w:r>
        <w:rPr>
          <w:b/>
          <w:szCs w:val="20"/>
        </w:rPr>
        <w:t xml:space="preserve">. členu </w:t>
      </w:r>
    </w:p>
    <w:p w:rsidR="00AE2155" w:rsidRDefault="00AE2155" w:rsidP="00B644CC">
      <w:pPr>
        <w:spacing w:line="288" w:lineRule="auto"/>
        <w:jc w:val="both"/>
        <w:rPr>
          <w:szCs w:val="20"/>
        </w:rPr>
      </w:pPr>
      <w:r>
        <w:rPr>
          <w:szCs w:val="20"/>
        </w:rPr>
        <w:t xml:space="preserve">S predlagano spremembo </w:t>
      </w:r>
      <w:r w:rsidR="005D5FE1">
        <w:rPr>
          <w:szCs w:val="20"/>
        </w:rPr>
        <w:t xml:space="preserve">142. člena </w:t>
      </w:r>
      <w:r>
        <w:rPr>
          <w:szCs w:val="20"/>
        </w:rPr>
        <w:t xml:space="preserve">se odpravlja nedoslednost letnega razporeda v delu, ki določa, da vodja državnega tožilstva z letnim razporedom določi tudi razpored dežurstva in čas izrabe letnih dopustov. </w:t>
      </w:r>
    </w:p>
    <w:p w:rsidR="00AE2155" w:rsidRDefault="00AE2155" w:rsidP="00B644CC">
      <w:pPr>
        <w:spacing w:line="288" w:lineRule="auto"/>
        <w:jc w:val="both"/>
        <w:rPr>
          <w:szCs w:val="20"/>
        </w:rPr>
      </w:pPr>
    </w:p>
    <w:p w:rsidR="00AE2155" w:rsidRPr="006A6EA0" w:rsidRDefault="00AE2155" w:rsidP="00B644CC">
      <w:pPr>
        <w:spacing w:line="288" w:lineRule="auto"/>
        <w:jc w:val="both"/>
        <w:rPr>
          <w:szCs w:val="20"/>
        </w:rPr>
      </w:pPr>
      <w:r>
        <w:rPr>
          <w:szCs w:val="20"/>
        </w:rPr>
        <w:t xml:space="preserve">Izvajanje dežurstva, pogoje in način odrejanja določa </w:t>
      </w:r>
      <w:proofErr w:type="spellStart"/>
      <w:r>
        <w:rPr>
          <w:szCs w:val="20"/>
        </w:rPr>
        <w:t>Državnotožilski</w:t>
      </w:r>
      <w:proofErr w:type="spellEnd"/>
      <w:r>
        <w:rPr>
          <w:szCs w:val="20"/>
        </w:rPr>
        <w:t xml:space="preserve"> red. Tako v skladu s prvim odstavkom 76. člena </w:t>
      </w:r>
      <w:proofErr w:type="spellStart"/>
      <w:r>
        <w:rPr>
          <w:szCs w:val="20"/>
        </w:rPr>
        <w:t>Državnotožilskega</w:t>
      </w:r>
      <w:proofErr w:type="spellEnd"/>
      <w:r>
        <w:rPr>
          <w:szCs w:val="20"/>
        </w:rPr>
        <w:t xml:space="preserve"> reda vodja državnega tožilstva izda razpored dežurstva za vsak mesec najmanj sedem dni, v času sodnih počitnic pa 14 dni</w:t>
      </w:r>
      <w:r w:rsidR="00B414E2">
        <w:rPr>
          <w:szCs w:val="20"/>
        </w:rPr>
        <w:t>,</w:t>
      </w:r>
      <w:r>
        <w:rPr>
          <w:szCs w:val="20"/>
        </w:rPr>
        <w:t xml:space="preserve"> pred začetkom tega obdobja. </w:t>
      </w:r>
      <w:r w:rsidRPr="006A6EA0">
        <w:rPr>
          <w:szCs w:val="20"/>
        </w:rPr>
        <w:t xml:space="preserve">V letnem razporedu se lahko določijo le izhodišča in okvirni način odrejanja razporeda dežurstev </w:t>
      </w:r>
      <w:r w:rsidR="00B414E2">
        <w:rPr>
          <w:szCs w:val="20"/>
        </w:rPr>
        <w:t>ter</w:t>
      </w:r>
      <w:r w:rsidRPr="006A6EA0">
        <w:rPr>
          <w:szCs w:val="20"/>
        </w:rPr>
        <w:t xml:space="preserve"> časa izrabe letnih dopustov.</w:t>
      </w:r>
    </w:p>
    <w:p w:rsidR="00AE2155" w:rsidRDefault="00AE2155" w:rsidP="00B644CC">
      <w:pPr>
        <w:spacing w:line="288" w:lineRule="auto"/>
        <w:jc w:val="both"/>
        <w:rPr>
          <w:b/>
          <w:szCs w:val="20"/>
        </w:rPr>
      </w:pPr>
    </w:p>
    <w:p w:rsidR="005D5FE1" w:rsidRDefault="005D5FE1" w:rsidP="005D5FE1">
      <w:pPr>
        <w:spacing w:line="288" w:lineRule="auto"/>
        <w:jc w:val="both"/>
        <w:rPr>
          <w:rFonts w:cs="Arial"/>
          <w:szCs w:val="20"/>
        </w:rPr>
      </w:pPr>
      <w:r w:rsidRPr="00796EB1">
        <w:rPr>
          <w:rFonts w:cs="Arial"/>
          <w:b/>
          <w:bCs/>
          <w:szCs w:val="20"/>
        </w:rPr>
        <w:t>K 2</w:t>
      </w:r>
      <w:r w:rsidR="00FD6BFD">
        <w:rPr>
          <w:rFonts w:cs="Arial"/>
          <w:b/>
          <w:bCs/>
          <w:szCs w:val="20"/>
        </w:rPr>
        <w:t>4</w:t>
      </w:r>
      <w:r w:rsidRPr="00796EB1">
        <w:rPr>
          <w:rFonts w:cs="Arial"/>
          <w:b/>
          <w:bCs/>
          <w:szCs w:val="20"/>
        </w:rPr>
        <w:t>. členu</w:t>
      </w:r>
      <w:r>
        <w:rPr>
          <w:rFonts w:cs="Arial"/>
          <w:szCs w:val="20"/>
        </w:rPr>
        <w:t xml:space="preserve"> </w:t>
      </w:r>
    </w:p>
    <w:p w:rsidR="00613494" w:rsidRPr="00497F1C" w:rsidRDefault="00613494" w:rsidP="00613494">
      <w:pPr>
        <w:spacing w:line="288" w:lineRule="auto"/>
        <w:jc w:val="both"/>
        <w:rPr>
          <w:rFonts w:eastAsia="Calibri" w:cs="Arial"/>
          <w:szCs w:val="20"/>
          <w:lang w:eastAsia="sl-SI"/>
        </w:rPr>
      </w:pPr>
      <w:bookmarkStart w:id="42" w:name="_Hlk43217030"/>
      <w:r w:rsidRPr="00497F1C">
        <w:rPr>
          <w:rFonts w:eastAsia="Calibri" w:cs="Arial"/>
          <w:szCs w:val="20"/>
          <w:lang w:eastAsia="sl-SI"/>
        </w:rPr>
        <w:t xml:space="preserve">Določba 169. člena ZDT-1 je ob sprejemu ZDT-1 (2011) uvedla novost, ki dotlej v zakonu ni bila poznana. Gre za določitev načinov zagotavljanja učinkovitosti in enotnosti pregona. Z določbo 169. člena se je v povezavi z določbo o prevzemu zadeve (170. člen ZDT-1) uredilo postopanje vodje državnega tožilstva v zadevah, v katerih si bo vodja pridržal predhodno seznanitev z odločitvijo državnega tožilca. Vodja državnega tožilstva naj bi tako najprej (tj. vnaprej) določil vrsto zadev in način obveščanja o zadevah, v katerih mu morajo državni tožilci pred odločitvijo predložiti na vpogled osnutek svojega akta zaradi zagotavljanja enotnosti pregona. Z novim ZDT-1 je bila namreč poudarjena vloga vodje tožilstva, ki je sicer ohranil vlogo organizacijskega in izvedbenega usklajevanja in zagotavljanja enotnosti pregona, vendar pa je zakon njegovo vlogo odločanja v posameznih zadevah omejil. Ohranil je institut prevzema zadeve oziroma evokacijo, ki upravičuje, </w:t>
      </w:r>
      <w:r w:rsidRPr="00497F1C">
        <w:rPr>
          <w:rFonts w:eastAsia="Calibri" w:cs="Arial"/>
          <w:szCs w:val="20"/>
          <w:lang w:eastAsia="sl-SI"/>
        </w:rPr>
        <w:lastRenderedPageBreak/>
        <w:t xml:space="preserve">da vodja poleg strokovnega usmerjanja izenačuje funkcijo pregona z neposrednim posegom, vendar ob večjem zagotovilu naknadnega preizkusa pravilnosti odločitve na podlagi zahteve državnega tožilca, ki mu je bila zadeva odvzeta. Izvajanje določbe 169. člena ZDT-1 v praksi je pokazalo, da navedena določba pri večini državnih tožilstev ni bila razumljena na način, kot je bila ob sprejemu ZDT-1 oblikovana. </w:t>
      </w:r>
    </w:p>
    <w:p w:rsidR="00613494" w:rsidRPr="00497F1C" w:rsidRDefault="00613494" w:rsidP="00613494">
      <w:pPr>
        <w:spacing w:line="288" w:lineRule="auto"/>
        <w:jc w:val="both"/>
        <w:rPr>
          <w:rFonts w:eastAsia="Calibri" w:cs="Arial"/>
          <w:szCs w:val="20"/>
          <w:lang w:eastAsia="sl-SI"/>
        </w:rPr>
      </w:pPr>
    </w:p>
    <w:p w:rsidR="00613494" w:rsidRPr="00497F1C" w:rsidRDefault="00613494" w:rsidP="00613494">
      <w:pPr>
        <w:spacing w:line="288" w:lineRule="auto"/>
        <w:jc w:val="both"/>
        <w:rPr>
          <w:rFonts w:eastAsia="Calibri" w:cs="Arial"/>
          <w:szCs w:val="20"/>
          <w:lang w:eastAsia="sl-SI"/>
        </w:rPr>
      </w:pPr>
      <w:r w:rsidRPr="00497F1C">
        <w:rPr>
          <w:rFonts w:eastAsia="Calibri" w:cs="Arial"/>
          <w:szCs w:val="20"/>
          <w:lang w:eastAsia="sl-SI"/>
        </w:rPr>
        <w:t>Svojo odločitev, da ne bo začel kazenskega pregona, državni tožilec izrazi z zavrženjem kazenske ovadbe, pri čemer so v prvem odstavku 161. člen</w:t>
      </w:r>
      <w:r w:rsidR="00B414E2">
        <w:rPr>
          <w:rFonts w:eastAsia="Calibri" w:cs="Arial"/>
          <w:szCs w:val="20"/>
          <w:lang w:eastAsia="sl-SI"/>
        </w:rPr>
        <w:t>a</w:t>
      </w:r>
      <w:r w:rsidRPr="00497F1C">
        <w:rPr>
          <w:rFonts w:eastAsia="Calibri" w:cs="Arial"/>
          <w:szCs w:val="20"/>
          <w:lang w:eastAsia="sl-SI"/>
        </w:rPr>
        <w:t xml:space="preserve"> Zakona o kazenskem postopku navedeni materialnopravni in procesnopravni razlogi, zaradi katerih sme državni tožilec zavreči ovadbo. Takšna odločitev državnega tožilca ima za posledico praviloma zaključek predkazenskega postopka in torej pomembno vpliva na politiko pregona že v njeni najbolj zgodnji fazi. Zaradi navedenega je temu institutu poleg kazensko procesne ureditve dodatna pozornost namenjena tudi v osrednjem strateškem dokumentu generalnega državnega tožilca</w:t>
      </w:r>
      <w:r w:rsidR="00B414E2">
        <w:rPr>
          <w:rFonts w:eastAsia="Calibri" w:cs="Arial"/>
          <w:szCs w:val="20"/>
          <w:lang w:eastAsia="sl-SI"/>
        </w:rPr>
        <w:t xml:space="preserve"> </w:t>
      </w:r>
      <w:r w:rsidRPr="00497F1C">
        <w:rPr>
          <w:rFonts w:eastAsia="Calibri" w:cs="Arial"/>
          <w:szCs w:val="20"/>
          <w:lang w:eastAsia="sl-SI"/>
        </w:rPr>
        <w:t>Politika pregona državnega tožilstva Republike Slovenije</w:t>
      </w:r>
      <w:r w:rsidR="00B414E2">
        <w:rPr>
          <w:rFonts w:eastAsia="Calibri" w:cs="Arial"/>
          <w:szCs w:val="20"/>
          <w:lang w:eastAsia="sl-SI"/>
        </w:rPr>
        <w:t>.</w:t>
      </w:r>
      <w:r w:rsidRPr="00497F1C">
        <w:rPr>
          <w:rStyle w:val="Sprotnaopomba-sklic"/>
          <w:rFonts w:eastAsia="Calibri" w:cs="Arial"/>
          <w:szCs w:val="20"/>
          <w:lang w:eastAsia="sl-SI"/>
        </w:rPr>
        <w:footnoteReference w:id="31"/>
      </w:r>
      <w:r w:rsidRPr="00497F1C">
        <w:rPr>
          <w:rFonts w:eastAsia="Calibri" w:cs="Arial"/>
          <w:szCs w:val="20"/>
          <w:lang w:eastAsia="sl-SI"/>
        </w:rPr>
        <w:t xml:space="preserve"> Nadalje iz statističnih podatkov Skupnega poročila o delu državnih tožilstev za leto 2019</w:t>
      </w:r>
      <w:r w:rsidRPr="00497F1C">
        <w:rPr>
          <w:rStyle w:val="Sprotnaopomba-sklic"/>
          <w:rFonts w:eastAsia="Calibri" w:cs="Arial"/>
          <w:szCs w:val="20"/>
          <w:lang w:eastAsia="sl-SI"/>
        </w:rPr>
        <w:footnoteReference w:id="32"/>
      </w:r>
      <w:r w:rsidRPr="00497F1C">
        <w:rPr>
          <w:rFonts w:eastAsia="Calibri" w:cs="Arial"/>
          <w:szCs w:val="20"/>
          <w:lang w:eastAsia="sl-SI"/>
        </w:rPr>
        <w:t xml:space="preserve"> izhaja, da največji delež (61</w:t>
      </w:r>
      <w:r w:rsidR="00B414E2">
        <w:rPr>
          <w:rFonts w:eastAsia="Calibri" w:cs="Arial"/>
          <w:szCs w:val="20"/>
          <w:lang w:eastAsia="sl-SI"/>
        </w:rPr>
        <w:t xml:space="preserve"> </w:t>
      </w:r>
      <w:r w:rsidRPr="00497F1C">
        <w:rPr>
          <w:rFonts w:eastAsia="Calibri" w:cs="Arial"/>
          <w:szCs w:val="20"/>
          <w:lang w:eastAsia="sl-SI"/>
        </w:rPr>
        <w:t>%) od skupno 16.554 zavrženih ovadb zoper polnoletne storilce predstavlja zavrženje iz drugih razlogov, kar so zlasti zavrženja v primerih, v katerih niso podane dokazno</w:t>
      </w:r>
      <w:r w:rsidR="009539C1">
        <w:rPr>
          <w:rFonts w:eastAsia="Calibri" w:cs="Arial"/>
          <w:szCs w:val="20"/>
          <w:lang w:eastAsia="sl-SI"/>
        </w:rPr>
        <w:t>-</w:t>
      </w:r>
      <w:r w:rsidRPr="00497F1C">
        <w:rPr>
          <w:rFonts w:eastAsia="Calibri" w:cs="Arial"/>
          <w:szCs w:val="20"/>
          <w:lang w:eastAsia="sl-SI"/>
        </w:rPr>
        <w:t>pravne (dejanske) in materialnopravne predpostavke za pregon.</w:t>
      </w:r>
    </w:p>
    <w:p w:rsidR="00613494" w:rsidRPr="00497F1C" w:rsidRDefault="00613494" w:rsidP="00613494">
      <w:pPr>
        <w:spacing w:line="288" w:lineRule="auto"/>
        <w:jc w:val="both"/>
        <w:rPr>
          <w:rFonts w:eastAsia="Calibri" w:cs="Arial"/>
          <w:szCs w:val="20"/>
          <w:lang w:eastAsia="sl-SI"/>
        </w:rPr>
      </w:pPr>
    </w:p>
    <w:p w:rsidR="00A419B3" w:rsidRPr="00497F1C" w:rsidRDefault="00613494" w:rsidP="00A419B3">
      <w:pPr>
        <w:spacing w:line="288" w:lineRule="auto"/>
        <w:jc w:val="both"/>
        <w:rPr>
          <w:rFonts w:eastAsia="Calibri" w:cs="Arial"/>
          <w:szCs w:val="20"/>
          <w:lang w:eastAsia="sl-SI"/>
        </w:rPr>
      </w:pPr>
      <w:r w:rsidRPr="00497F1C">
        <w:rPr>
          <w:rFonts w:eastAsia="Calibri" w:cs="Arial"/>
          <w:szCs w:val="20"/>
          <w:lang w:eastAsia="sl-SI"/>
        </w:rPr>
        <w:t>Upoštevaje vsebino in pomen odločitve državnega tožilca o zavrženju ovadbe</w:t>
      </w:r>
      <w:r w:rsidR="00806A01">
        <w:rPr>
          <w:rFonts w:eastAsia="Calibri" w:cs="Arial"/>
          <w:szCs w:val="20"/>
          <w:lang w:eastAsia="sl-SI"/>
        </w:rPr>
        <w:t xml:space="preserve"> v težjih zadevah </w:t>
      </w:r>
      <w:r w:rsidRPr="00497F1C">
        <w:rPr>
          <w:rFonts w:eastAsia="Calibri" w:cs="Arial"/>
          <w:szCs w:val="20"/>
          <w:lang w:eastAsia="sl-SI"/>
        </w:rPr>
        <w:t xml:space="preserve">se z namenom zagotovitve dodatnih orodij in vzvodov vodjem državnih tožilstev pri zagotavljanju enotnosti pregona ter širše krepitvi ugleda pravosodja v javnosti, predlaga predhodna predložitev osnutka akta o zavrženju ovadbe v sopodpis vodji državnega tožilstva ne le v zadevah posebnega pomena kot to izhaja iz veljavne določbe 90. člena </w:t>
      </w:r>
      <w:proofErr w:type="spellStart"/>
      <w:r w:rsidRPr="00497F1C">
        <w:rPr>
          <w:rFonts w:eastAsia="Calibri" w:cs="Arial"/>
          <w:szCs w:val="20"/>
          <w:lang w:eastAsia="sl-SI"/>
        </w:rPr>
        <w:t>Državnotožilskega</w:t>
      </w:r>
      <w:proofErr w:type="spellEnd"/>
      <w:r w:rsidRPr="00497F1C">
        <w:rPr>
          <w:rFonts w:eastAsia="Calibri" w:cs="Arial"/>
          <w:szCs w:val="20"/>
          <w:lang w:eastAsia="sl-SI"/>
        </w:rPr>
        <w:t xml:space="preserve"> reda, temveč tudi v primerih zavrženja ovadb za kazniva dejanja, za katera je v Kazenskem zakoniku predpisana kazen zapora več kot tri</w:t>
      </w:r>
      <w:r w:rsidR="00806A01">
        <w:rPr>
          <w:rFonts w:eastAsia="Calibri" w:cs="Arial"/>
          <w:szCs w:val="20"/>
          <w:lang w:eastAsia="sl-SI"/>
        </w:rPr>
        <w:t xml:space="preserve"> oziroma osem let</w:t>
      </w:r>
      <w:r w:rsidRPr="00497F1C">
        <w:rPr>
          <w:rFonts w:eastAsia="Calibri" w:cs="Arial"/>
          <w:szCs w:val="20"/>
          <w:lang w:eastAsia="sl-SI"/>
        </w:rPr>
        <w:t>.</w:t>
      </w:r>
      <w:r w:rsidR="00FD5779">
        <w:rPr>
          <w:rFonts w:eastAsia="Calibri" w:cs="Arial"/>
          <w:szCs w:val="20"/>
          <w:lang w:eastAsia="sl-SI"/>
        </w:rPr>
        <w:t xml:space="preserve"> </w:t>
      </w:r>
      <w:r w:rsidR="00FD5779" w:rsidRPr="00A419B3">
        <w:rPr>
          <w:rFonts w:eastAsia="Calibri" w:cs="Arial"/>
          <w:szCs w:val="20"/>
          <w:lang w:eastAsia="sl-SI"/>
        </w:rPr>
        <w:t xml:space="preserve">V teh primerih bo državni tožilec akt o zavrženju ovadbe izdal šele potem, ko bo vodja državnega tožilstva s podpisom na osnutku in v internem opomniku označil, da je osnutek oziroma odredbo pregledal in ji ne nasprotuje. </w:t>
      </w:r>
      <w:r w:rsidR="00821193" w:rsidRPr="00A419B3">
        <w:rPr>
          <w:rFonts w:eastAsia="Calibri" w:cs="Arial"/>
          <w:szCs w:val="20"/>
          <w:lang w:eastAsia="sl-SI"/>
        </w:rPr>
        <w:t xml:space="preserve">Na podpis vodje na osnutku akta in v internem opomniku bo moral paziti tudi </w:t>
      </w:r>
      <w:proofErr w:type="spellStart"/>
      <w:r w:rsidR="00821193" w:rsidRPr="00A419B3">
        <w:rPr>
          <w:rFonts w:eastAsia="Calibri" w:cs="Arial"/>
          <w:szCs w:val="20"/>
          <w:lang w:eastAsia="sl-SI"/>
        </w:rPr>
        <w:t>vpisničar</w:t>
      </w:r>
      <w:proofErr w:type="spellEnd"/>
      <w:r w:rsidR="00A419B3">
        <w:rPr>
          <w:rFonts w:eastAsia="Calibri" w:cs="Arial"/>
          <w:szCs w:val="20"/>
          <w:lang w:eastAsia="sl-SI"/>
        </w:rPr>
        <w:t>,</w:t>
      </w:r>
      <w:r w:rsidR="00821193" w:rsidRPr="00A419B3">
        <w:rPr>
          <w:rFonts w:eastAsia="Calibri" w:cs="Arial"/>
          <w:szCs w:val="20"/>
          <w:lang w:eastAsia="sl-SI"/>
        </w:rPr>
        <w:t xml:space="preserve"> preden bo odpremil akt o zavrženju ovadbe. </w:t>
      </w:r>
      <w:r w:rsidRPr="00A419B3">
        <w:rPr>
          <w:rFonts w:eastAsia="Calibri" w:cs="Arial"/>
          <w:szCs w:val="20"/>
          <w:lang w:eastAsia="sl-SI"/>
        </w:rPr>
        <w:t>Predlagan institut je usmerjen k poenotenju poslovanja državnega tožilstva in ohranja vlogo vodje</w:t>
      </w:r>
      <w:r w:rsidRPr="00497F1C">
        <w:rPr>
          <w:rFonts w:eastAsia="Calibri" w:cs="Arial"/>
          <w:szCs w:val="20"/>
          <w:lang w:eastAsia="sl-SI"/>
        </w:rPr>
        <w:t xml:space="preserve"> tožilstva pri organizacijskem in operativnem usklajevanju ter zagotavljanju enotnosti pregona. Zaradi ohranjanja zaupanja v pravo je </w:t>
      </w:r>
      <w:r w:rsidR="00B414E2">
        <w:rPr>
          <w:rFonts w:eastAsia="Calibri" w:cs="Arial"/>
          <w:szCs w:val="20"/>
          <w:lang w:eastAsia="sl-SI"/>
        </w:rPr>
        <w:t>treba</w:t>
      </w:r>
      <w:r w:rsidRPr="00497F1C">
        <w:rPr>
          <w:rFonts w:eastAsia="Calibri" w:cs="Arial"/>
          <w:szCs w:val="20"/>
          <w:lang w:eastAsia="sl-SI"/>
        </w:rPr>
        <w:t xml:space="preserve"> </w:t>
      </w:r>
      <w:r w:rsidR="00B414E2">
        <w:rPr>
          <w:rFonts w:eastAsia="Calibri" w:cs="Arial"/>
          <w:szCs w:val="20"/>
          <w:lang w:eastAsia="sl-SI"/>
        </w:rPr>
        <w:t xml:space="preserve">upoštevati </w:t>
      </w:r>
      <w:r w:rsidRPr="00497F1C">
        <w:rPr>
          <w:rFonts w:eastAsia="Calibri" w:cs="Arial"/>
          <w:szCs w:val="20"/>
          <w:lang w:eastAsia="sl-SI"/>
        </w:rPr>
        <w:t>predvidljivost in zanesljivost pri enotnem izvajanju pregona</w:t>
      </w:r>
      <w:r w:rsidR="00B414E2">
        <w:rPr>
          <w:rFonts w:eastAsia="Calibri" w:cs="Arial"/>
          <w:szCs w:val="20"/>
          <w:lang w:eastAsia="sl-SI"/>
        </w:rPr>
        <w:t xml:space="preserve"> </w:t>
      </w:r>
      <w:r w:rsidRPr="00497F1C">
        <w:rPr>
          <w:rFonts w:eastAsia="Calibri" w:cs="Arial"/>
          <w:szCs w:val="20"/>
          <w:lang w:eastAsia="sl-SI"/>
        </w:rPr>
        <w:t xml:space="preserve">v skladu z zakonom in enako v bistveno podobnih primerih. Če se vodja državnega tožilstva ne bo strinjal z odločitvijo državnega tožilca, ker bo ta odstopala od uveljavljene politike pregona, bo lahko </w:t>
      </w:r>
      <w:r w:rsidR="00B414E2">
        <w:rPr>
          <w:rFonts w:eastAsia="Calibri" w:cs="Arial"/>
          <w:szCs w:val="20"/>
          <w:lang w:eastAsia="sl-SI"/>
        </w:rPr>
        <w:t>ravnal</w:t>
      </w:r>
      <w:r w:rsidRPr="00497F1C">
        <w:rPr>
          <w:rFonts w:eastAsia="Calibri" w:cs="Arial"/>
          <w:szCs w:val="20"/>
          <w:lang w:eastAsia="sl-SI"/>
        </w:rPr>
        <w:t xml:space="preserve"> le po določbah tega zakona, ki veljajo za prevzem zadeve. </w:t>
      </w:r>
      <w:r w:rsidR="00A419B3" w:rsidRPr="00497F1C">
        <w:rPr>
          <w:rFonts w:eastAsia="Calibri" w:cs="Arial"/>
          <w:szCs w:val="20"/>
          <w:lang w:eastAsia="sl-SI"/>
        </w:rPr>
        <w:t xml:space="preserve">Na ta način se daje vodji vzvod </w:t>
      </w:r>
      <w:r w:rsidR="00A419B3">
        <w:rPr>
          <w:rFonts w:eastAsia="Calibri" w:cs="Arial"/>
          <w:szCs w:val="20"/>
          <w:lang w:eastAsia="sl-SI"/>
        </w:rPr>
        <w:t xml:space="preserve">(obligatornega) </w:t>
      </w:r>
      <w:proofErr w:type="spellStart"/>
      <w:r w:rsidR="00A419B3">
        <w:rPr>
          <w:rFonts w:eastAsia="Calibri" w:cs="Arial"/>
          <w:szCs w:val="20"/>
          <w:lang w:eastAsia="sl-SI"/>
        </w:rPr>
        <w:t>instančnega</w:t>
      </w:r>
      <w:proofErr w:type="spellEnd"/>
      <w:r w:rsidR="00A419B3">
        <w:rPr>
          <w:rFonts w:eastAsia="Calibri" w:cs="Arial"/>
          <w:szCs w:val="20"/>
          <w:lang w:eastAsia="sl-SI"/>
        </w:rPr>
        <w:t xml:space="preserve"> </w:t>
      </w:r>
      <w:r w:rsidR="00A419B3" w:rsidRPr="00497F1C">
        <w:rPr>
          <w:rFonts w:eastAsia="Calibri" w:cs="Arial"/>
          <w:szCs w:val="20"/>
          <w:lang w:eastAsia="sl-SI"/>
        </w:rPr>
        <w:t>nadzora nad zakonitostjo</w:t>
      </w:r>
      <w:r w:rsidR="00A419B3">
        <w:rPr>
          <w:rFonts w:eastAsia="Calibri" w:cs="Arial"/>
          <w:szCs w:val="20"/>
          <w:lang w:eastAsia="sl-SI"/>
        </w:rPr>
        <w:t xml:space="preserve"> in</w:t>
      </w:r>
      <w:r w:rsidR="00A419B3" w:rsidRPr="00497F1C">
        <w:rPr>
          <w:rFonts w:eastAsia="Calibri" w:cs="Arial"/>
          <w:szCs w:val="20"/>
          <w:lang w:eastAsia="sl-SI"/>
        </w:rPr>
        <w:t xml:space="preserve"> strokovno pravilnostjo dela državnega tožilca</w:t>
      </w:r>
      <w:r w:rsidR="00A419B3">
        <w:rPr>
          <w:rFonts w:eastAsia="Calibri" w:cs="Arial"/>
          <w:szCs w:val="20"/>
          <w:lang w:eastAsia="sl-SI"/>
        </w:rPr>
        <w:t xml:space="preserve"> v primerih zavrženj ovadb za kazniva dejanja, za katera je v zakonu predpisana kazen zapora več kot tri leta</w:t>
      </w:r>
      <w:r w:rsidR="00A419B3" w:rsidRPr="00497F1C">
        <w:rPr>
          <w:rFonts w:eastAsia="Calibri" w:cs="Arial"/>
          <w:szCs w:val="20"/>
          <w:lang w:eastAsia="sl-SI"/>
        </w:rPr>
        <w:t>.</w:t>
      </w:r>
    </w:p>
    <w:p w:rsidR="00A419B3" w:rsidRPr="00497F1C" w:rsidRDefault="00A419B3" w:rsidP="00A419B3">
      <w:pPr>
        <w:spacing w:line="288" w:lineRule="auto"/>
        <w:jc w:val="both"/>
        <w:rPr>
          <w:rFonts w:eastAsia="Calibri" w:cs="Arial"/>
          <w:szCs w:val="20"/>
          <w:lang w:eastAsia="sl-SI"/>
        </w:rPr>
      </w:pPr>
    </w:p>
    <w:p w:rsidR="00613494" w:rsidRDefault="00613494" w:rsidP="00613494">
      <w:pPr>
        <w:spacing w:line="288" w:lineRule="auto"/>
        <w:jc w:val="both"/>
        <w:rPr>
          <w:rFonts w:eastAsia="Calibri" w:cs="Arial"/>
          <w:szCs w:val="20"/>
          <w:lang w:eastAsia="sl-SI"/>
        </w:rPr>
      </w:pPr>
      <w:r w:rsidRPr="00497F1C">
        <w:rPr>
          <w:rFonts w:eastAsia="Calibri" w:cs="Arial"/>
          <w:szCs w:val="20"/>
          <w:lang w:eastAsia="sl-SI"/>
        </w:rPr>
        <w:t>S predlagano ureditvijo, ki ureja sopodpis vodje državnega tožilstva (v primerih zavrženja ovadb za kazniva dejanja, za katera je v Kazenskem zakoniku predpisana kazen zapora več kot osem let, po predhodni pridobitvi mnenja dveh državnih tožilcev državnega tožilstva</w:t>
      </w:r>
      <w:r w:rsidR="00A419B3">
        <w:rPr>
          <w:rFonts w:eastAsia="Calibri" w:cs="Arial"/>
          <w:szCs w:val="20"/>
          <w:lang w:eastAsia="sl-SI"/>
        </w:rPr>
        <w:t>,</w:t>
      </w:r>
      <w:r w:rsidRPr="00497F1C">
        <w:rPr>
          <w:rFonts w:eastAsia="Calibri" w:cs="Arial"/>
          <w:szCs w:val="20"/>
          <w:lang w:eastAsia="sl-SI"/>
        </w:rPr>
        <w:t xml:space="preserve"> na katerem se zadeva obravnava, upoštevaje </w:t>
      </w:r>
      <w:r w:rsidR="00B414E2">
        <w:rPr>
          <w:rFonts w:eastAsia="Calibri" w:cs="Arial"/>
          <w:szCs w:val="20"/>
          <w:lang w:eastAsia="sl-SI"/>
        </w:rPr>
        <w:t>posebnosti</w:t>
      </w:r>
      <w:r w:rsidRPr="00497F1C">
        <w:rPr>
          <w:rFonts w:eastAsia="Calibri" w:cs="Arial"/>
          <w:szCs w:val="20"/>
          <w:lang w:eastAsia="sl-SI"/>
        </w:rPr>
        <w:t xml:space="preserve"> </w:t>
      </w:r>
      <w:r w:rsidR="00B414E2">
        <w:rPr>
          <w:rFonts w:eastAsia="Calibri" w:cs="Arial"/>
          <w:szCs w:val="20"/>
          <w:lang w:eastAsia="sl-SI"/>
        </w:rPr>
        <w:t>o</w:t>
      </w:r>
      <w:r w:rsidRPr="00497F1C">
        <w:rPr>
          <w:rFonts w:eastAsia="Calibri" w:cs="Arial"/>
          <w:szCs w:val="20"/>
          <w:lang w:eastAsia="sl-SI"/>
        </w:rPr>
        <w:t>rganiz</w:t>
      </w:r>
      <w:r w:rsidR="00B414E2">
        <w:rPr>
          <w:rFonts w:eastAsia="Calibri" w:cs="Arial"/>
          <w:szCs w:val="20"/>
          <w:lang w:eastAsia="sl-SI"/>
        </w:rPr>
        <w:t>iranja</w:t>
      </w:r>
      <w:r w:rsidRPr="00497F1C">
        <w:rPr>
          <w:rFonts w:eastAsia="Calibri" w:cs="Arial"/>
          <w:szCs w:val="20"/>
          <w:lang w:eastAsia="sl-SI"/>
        </w:rPr>
        <w:t xml:space="preserve"> posameznega državnega tožilstva), se nadgrajujejo tudi že sprejete rešitve v Zakonu o spremembah in dopolnitvah Zakona o kazenskem postopku (ZKP-N), saj se vnaša dodatna varovalka, ki preprečuje neutemeljeno oziroma prezgodnje zavrženje ovadb in omogoča bolj kakovostne utemeljene odločitve državnega tožilca,</w:t>
      </w:r>
      <w:r w:rsidR="00F150E5">
        <w:rPr>
          <w:rFonts w:eastAsia="Calibri" w:cs="Arial"/>
          <w:szCs w:val="20"/>
          <w:lang w:eastAsia="sl-SI"/>
        </w:rPr>
        <w:t xml:space="preserve"> kadar </w:t>
      </w:r>
      <w:r w:rsidRPr="00497F1C">
        <w:rPr>
          <w:rFonts w:eastAsia="Calibri" w:cs="Arial"/>
          <w:szCs w:val="20"/>
          <w:lang w:eastAsia="sl-SI"/>
        </w:rPr>
        <w:t>je glede na višino predpisane kazni še posebej izražen javni interes za nadaljevanje pregona.</w:t>
      </w:r>
    </w:p>
    <w:bookmarkEnd w:id="42"/>
    <w:p w:rsidR="00BC0DA5" w:rsidRDefault="00BC0DA5" w:rsidP="00BC0DA5">
      <w:pPr>
        <w:spacing w:line="288" w:lineRule="auto"/>
        <w:jc w:val="both"/>
        <w:rPr>
          <w:rFonts w:eastAsia="Calibri" w:cs="Arial"/>
          <w:szCs w:val="20"/>
          <w:lang w:eastAsia="sl-SI"/>
        </w:rPr>
      </w:pPr>
    </w:p>
    <w:p w:rsidR="00AE2155" w:rsidRDefault="00AE2155" w:rsidP="00B644CC">
      <w:pPr>
        <w:spacing w:line="288" w:lineRule="auto"/>
        <w:jc w:val="both"/>
        <w:rPr>
          <w:b/>
          <w:szCs w:val="20"/>
        </w:rPr>
      </w:pPr>
      <w:r>
        <w:rPr>
          <w:b/>
          <w:szCs w:val="20"/>
        </w:rPr>
        <w:t xml:space="preserve">K </w:t>
      </w:r>
      <w:r w:rsidR="005D5FE1">
        <w:rPr>
          <w:b/>
          <w:szCs w:val="20"/>
        </w:rPr>
        <w:t>2</w:t>
      </w:r>
      <w:r w:rsidR="00FD6BFD">
        <w:rPr>
          <w:b/>
          <w:szCs w:val="20"/>
        </w:rPr>
        <w:t>5</w:t>
      </w:r>
      <w:r>
        <w:rPr>
          <w:b/>
          <w:szCs w:val="20"/>
        </w:rPr>
        <w:t>. členu</w:t>
      </w:r>
    </w:p>
    <w:p w:rsidR="001963C8" w:rsidRDefault="00FD6BFD" w:rsidP="001963C8">
      <w:pPr>
        <w:spacing w:line="288" w:lineRule="auto"/>
        <w:jc w:val="both"/>
        <w:rPr>
          <w:rFonts w:eastAsia="Calibri" w:cs="Arial"/>
          <w:szCs w:val="20"/>
          <w:highlight w:val="green"/>
        </w:rPr>
      </w:pPr>
      <w:r>
        <w:rPr>
          <w:rFonts w:eastAsia="Calibri" w:cs="Arial"/>
          <w:szCs w:val="20"/>
        </w:rPr>
        <w:t>S predlagano določbo se v petem odstavku 173. člena z</w:t>
      </w:r>
      <w:r w:rsidR="00AE2155" w:rsidRPr="00AE5BFA">
        <w:rPr>
          <w:rFonts w:eastAsia="Calibri" w:cs="Arial"/>
          <w:szCs w:val="20"/>
        </w:rPr>
        <w:t>a p</w:t>
      </w:r>
      <w:r w:rsidR="00F150E5">
        <w:rPr>
          <w:rFonts w:eastAsia="Calibri" w:cs="Arial"/>
          <w:szCs w:val="20"/>
        </w:rPr>
        <w:t xml:space="preserve">odajanje </w:t>
      </w:r>
      <w:r w:rsidR="00AE2155" w:rsidRPr="00AE5BFA">
        <w:rPr>
          <w:rFonts w:eastAsia="Calibri" w:cs="Arial"/>
          <w:szCs w:val="20"/>
        </w:rPr>
        <w:t xml:space="preserve">pojasnil oziroma vložitev ugovora v </w:t>
      </w:r>
      <w:r w:rsidR="00AE2155">
        <w:rPr>
          <w:rFonts w:eastAsia="Calibri" w:cs="Arial"/>
          <w:szCs w:val="20"/>
        </w:rPr>
        <w:t xml:space="preserve">fazi oprave </w:t>
      </w:r>
      <w:r w:rsidR="00AE2155" w:rsidRPr="00AE5BFA">
        <w:rPr>
          <w:rFonts w:eastAsia="Calibri" w:cs="Arial"/>
          <w:szCs w:val="20"/>
        </w:rPr>
        <w:t>strokovne</w:t>
      </w:r>
      <w:r w:rsidR="00AE2155">
        <w:rPr>
          <w:rFonts w:eastAsia="Calibri" w:cs="Arial"/>
          <w:szCs w:val="20"/>
        </w:rPr>
        <w:t xml:space="preserve">ga </w:t>
      </w:r>
      <w:r w:rsidR="00AE2155" w:rsidRPr="00AE5BFA">
        <w:rPr>
          <w:rFonts w:eastAsia="Calibri" w:cs="Arial"/>
          <w:szCs w:val="20"/>
        </w:rPr>
        <w:t>nadzor</w:t>
      </w:r>
      <w:r w:rsidR="00AE2155">
        <w:rPr>
          <w:rFonts w:eastAsia="Calibri" w:cs="Arial"/>
          <w:szCs w:val="20"/>
        </w:rPr>
        <w:t>a nad delom okrožnih državnih tožilstev</w:t>
      </w:r>
      <w:r w:rsidR="00AE2155" w:rsidRPr="00AE5BFA">
        <w:rPr>
          <w:rFonts w:eastAsia="Calibri" w:cs="Arial"/>
          <w:szCs w:val="20"/>
        </w:rPr>
        <w:t xml:space="preserve"> predlaga krajšanje roka na osem dni</w:t>
      </w:r>
      <w:r w:rsidR="001963C8">
        <w:rPr>
          <w:rFonts w:eastAsia="Calibri" w:cs="Arial"/>
          <w:szCs w:val="20"/>
        </w:rPr>
        <w:t xml:space="preserve"> ter redakcijsko nadomešča izraz </w:t>
      </w:r>
      <w:r w:rsidR="001963C8" w:rsidRPr="00C825C3">
        <w:rPr>
          <w:rFonts w:eastAsia="Calibri" w:cs="Arial"/>
          <w:szCs w:val="20"/>
        </w:rPr>
        <w:t>za javne uslužbence državnih tožilstev</w:t>
      </w:r>
      <w:r w:rsidR="001963C8">
        <w:rPr>
          <w:rFonts w:eastAsia="Calibri" w:cs="Arial"/>
          <w:szCs w:val="20"/>
        </w:rPr>
        <w:t xml:space="preserve">, za katere je uveljavljen izraz </w:t>
      </w:r>
      <w:r w:rsidR="001963C8" w:rsidRPr="00C825C3">
        <w:rPr>
          <w:rFonts w:eastAsia="Calibri" w:cs="Arial"/>
          <w:szCs w:val="20"/>
        </w:rPr>
        <w:t>skladno z določbo 11. člena ZDT-1 »</w:t>
      </w:r>
      <w:proofErr w:type="spellStart"/>
      <w:r w:rsidR="001963C8" w:rsidRPr="00C825C3">
        <w:rPr>
          <w:rFonts w:eastAsia="Calibri" w:cs="Arial"/>
          <w:szCs w:val="20"/>
        </w:rPr>
        <w:t>državnotožilsko</w:t>
      </w:r>
      <w:proofErr w:type="spellEnd"/>
      <w:r w:rsidR="001963C8" w:rsidRPr="00C825C3">
        <w:rPr>
          <w:rFonts w:eastAsia="Calibri" w:cs="Arial"/>
          <w:szCs w:val="20"/>
        </w:rPr>
        <w:t xml:space="preserve"> osebje«.</w:t>
      </w:r>
    </w:p>
    <w:p w:rsidR="00AE2155" w:rsidRPr="006E178C" w:rsidRDefault="00AE2155" w:rsidP="00B644CC">
      <w:pPr>
        <w:spacing w:line="288" w:lineRule="auto"/>
        <w:jc w:val="both"/>
        <w:rPr>
          <w:rFonts w:eastAsia="Calibri" w:cs="Arial"/>
          <w:szCs w:val="20"/>
        </w:rPr>
      </w:pPr>
    </w:p>
    <w:p w:rsidR="00613494" w:rsidRDefault="00AE2155" w:rsidP="00B644CC">
      <w:pPr>
        <w:spacing w:line="288" w:lineRule="auto"/>
        <w:jc w:val="both"/>
        <w:rPr>
          <w:b/>
          <w:szCs w:val="20"/>
        </w:rPr>
      </w:pPr>
      <w:r>
        <w:rPr>
          <w:b/>
          <w:szCs w:val="20"/>
        </w:rPr>
        <w:t xml:space="preserve">K </w:t>
      </w:r>
      <w:r w:rsidR="00FD6BFD">
        <w:rPr>
          <w:b/>
          <w:szCs w:val="20"/>
        </w:rPr>
        <w:t>26</w:t>
      </w:r>
      <w:r>
        <w:rPr>
          <w:b/>
          <w:szCs w:val="20"/>
        </w:rPr>
        <w:t>. členu</w:t>
      </w:r>
    </w:p>
    <w:p w:rsidR="00AE2155" w:rsidRPr="00613494" w:rsidRDefault="00AE2155" w:rsidP="00B644CC">
      <w:pPr>
        <w:spacing w:line="288" w:lineRule="auto"/>
        <w:jc w:val="both"/>
        <w:rPr>
          <w:b/>
          <w:szCs w:val="20"/>
        </w:rPr>
      </w:pPr>
      <w:r w:rsidRPr="00155219">
        <w:rPr>
          <w:szCs w:val="20"/>
        </w:rPr>
        <w:t>S predlagano ureditvijo se poimenovanje Oddelka za preiskovanje in pregon uradnih oseb s posebnimi pooblastili (v nadaljnjem besedilu: Posebni oddelek) usklajuje s poimenovanje</w:t>
      </w:r>
      <w:r w:rsidR="00A419B3">
        <w:rPr>
          <w:szCs w:val="20"/>
        </w:rPr>
        <w:t>m</w:t>
      </w:r>
      <w:r w:rsidRPr="00155219">
        <w:rPr>
          <w:szCs w:val="20"/>
        </w:rPr>
        <w:t xml:space="preserve"> kot izhaja iz 3. poglavja </w:t>
      </w:r>
      <w:r w:rsidR="00A419B3">
        <w:rPr>
          <w:szCs w:val="20"/>
        </w:rPr>
        <w:t xml:space="preserve">5. dela </w:t>
      </w:r>
      <w:r w:rsidRPr="00155219">
        <w:rPr>
          <w:szCs w:val="20"/>
        </w:rPr>
        <w:t xml:space="preserve">veljavnega zakona, ki ureja delovanje Posebnega oddelka. </w:t>
      </w:r>
    </w:p>
    <w:p w:rsidR="00AE2155" w:rsidRDefault="00AE2155" w:rsidP="00B644CC">
      <w:pPr>
        <w:spacing w:line="288" w:lineRule="auto"/>
        <w:jc w:val="both"/>
        <w:rPr>
          <w:b/>
          <w:szCs w:val="20"/>
        </w:rPr>
      </w:pPr>
    </w:p>
    <w:p w:rsidR="00AE2155" w:rsidRDefault="00AE2155" w:rsidP="00B644CC">
      <w:pPr>
        <w:spacing w:line="288" w:lineRule="auto"/>
        <w:jc w:val="both"/>
        <w:rPr>
          <w:b/>
          <w:szCs w:val="20"/>
        </w:rPr>
      </w:pPr>
      <w:bookmarkStart w:id="43" w:name="_Hlk42251119"/>
      <w:r>
        <w:rPr>
          <w:b/>
          <w:szCs w:val="20"/>
        </w:rPr>
        <w:t>K 2</w:t>
      </w:r>
      <w:r w:rsidR="00FD6BFD">
        <w:rPr>
          <w:b/>
          <w:szCs w:val="20"/>
        </w:rPr>
        <w:t>7</w:t>
      </w:r>
      <w:r>
        <w:rPr>
          <w:b/>
          <w:szCs w:val="20"/>
        </w:rPr>
        <w:t>. členu</w:t>
      </w:r>
    </w:p>
    <w:p w:rsidR="00DE75D4" w:rsidRDefault="00DE75D4" w:rsidP="00DE75D4">
      <w:pPr>
        <w:spacing w:line="288" w:lineRule="auto"/>
        <w:jc w:val="both"/>
        <w:rPr>
          <w:szCs w:val="20"/>
        </w:rPr>
      </w:pPr>
      <w:r w:rsidRPr="00353C37">
        <w:rPr>
          <w:szCs w:val="20"/>
        </w:rPr>
        <w:t xml:space="preserve">S predlagano spremembo prvega in drugega odstavka se urejajo </w:t>
      </w:r>
      <w:r w:rsidR="00F150E5">
        <w:rPr>
          <w:szCs w:val="20"/>
        </w:rPr>
        <w:t>okoliščine</w:t>
      </w:r>
      <w:r w:rsidRPr="00353C37">
        <w:rPr>
          <w:szCs w:val="20"/>
        </w:rPr>
        <w:t xml:space="preserve"> v praksi, ko je vrhovni državni tožilec </w:t>
      </w:r>
      <w:r>
        <w:rPr>
          <w:szCs w:val="20"/>
        </w:rPr>
        <w:t xml:space="preserve">imenovan ali </w:t>
      </w:r>
      <w:r w:rsidRPr="00353C37">
        <w:rPr>
          <w:szCs w:val="20"/>
        </w:rPr>
        <w:t>dodeljen na S</w:t>
      </w:r>
      <w:r>
        <w:rPr>
          <w:szCs w:val="20"/>
        </w:rPr>
        <w:t>pecializirano državno tožilstvo</w:t>
      </w:r>
      <w:r w:rsidR="00F150E5">
        <w:rPr>
          <w:szCs w:val="20"/>
        </w:rPr>
        <w:t xml:space="preserve"> Republike Slovenije</w:t>
      </w:r>
      <w:r>
        <w:rPr>
          <w:szCs w:val="20"/>
        </w:rPr>
        <w:t xml:space="preserve"> (</w:t>
      </w:r>
      <w:r w:rsidR="00F150E5">
        <w:rPr>
          <w:szCs w:val="20"/>
        </w:rPr>
        <w:t xml:space="preserve">v nadaljnjem besedilu: </w:t>
      </w:r>
      <w:r>
        <w:rPr>
          <w:szCs w:val="20"/>
        </w:rPr>
        <w:t xml:space="preserve">SDT). </w:t>
      </w:r>
    </w:p>
    <w:p w:rsidR="00DE75D4" w:rsidRDefault="00DE75D4" w:rsidP="00DE75D4">
      <w:pPr>
        <w:spacing w:line="288" w:lineRule="auto"/>
        <w:jc w:val="both"/>
        <w:rPr>
          <w:szCs w:val="20"/>
        </w:rPr>
      </w:pPr>
    </w:p>
    <w:p w:rsidR="00FC0F01" w:rsidRDefault="00DE75D4" w:rsidP="00FC0F01">
      <w:pPr>
        <w:spacing w:line="288" w:lineRule="auto"/>
        <w:jc w:val="both"/>
        <w:rPr>
          <w:szCs w:val="20"/>
        </w:rPr>
      </w:pPr>
      <w:r>
        <w:rPr>
          <w:szCs w:val="20"/>
        </w:rPr>
        <w:t xml:space="preserve">Veljavni četrti odstavek določa višino plačnega razreda državnega tožilca, ki je imenovan na SDT. Ker do situacije, ki jo določa drugi stavek četrtega odstavka 169. člena ZDT-1 ne more priti, se predlaga črtanje tega stavka. Plača višjega državnega tožilca namreč pripada dodeljenemu okrajnemu državnemu tožilcu, pri čemer je ta funkcija v skladu s </w:t>
      </w:r>
      <w:r w:rsidR="00F150E5">
        <w:rPr>
          <w:szCs w:val="20"/>
        </w:rPr>
        <w:t>p</w:t>
      </w:r>
      <w:r>
        <w:rPr>
          <w:szCs w:val="20"/>
        </w:rPr>
        <w:t>rilogo 3 ZSPJS uvrščena v 47</w:t>
      </w:r>
      <w:r w:rsidR="00F150E5">
        <w:rPr>
          <w:rFonts w:cs="Arial"/>
          <w:szCs w:val="20"/>
        </w:rPr>
        <w:t>−</w:t>
      </w:r>
      <w:r>
        <w:rPr>
          <w:szCs w:val="20"/>
        </w:rPr>
        <w:t>51 plačni razred, funkcija višjega državnega tožilca pa v 55</w:t>
      </w:r>
      <w:r w:rsidR="00F150E5">
        <w:rPr>
          <w:rFonts w:cs="Arial"/>
          <w:szCs w:val="20"/>
        </w:rPr>
        <w:t>−</w:t>
      </w:r>
      <w:r>
        <w:rPr>
          <w:szCs w:val="20"/>
        </w:rPr>
        <w:t xml:space="preserve">57 plačni razred. </w:t>
      </w:r>
      <w:bookmarkEnd w:id="43"/>
    </w:p>
    <w:p w:rsidR="00FC0F01" w:rsidRDefault="00FC0F01" w:rsidP="00B644CC">
      <w:pPr>
        <w:spacing w:line="288" w:lineRule="auto"/>
        <w:jc w:val="both"/>
        <w:rPr>
          <w:b/>
          <w:szCs w:val="20"/>
        </w:rPr>
      </w:pPr>
    </w:p>
    <w:p w:rsidR="00AE2155" w:rsidRDefault="00AE2155" w:rsidP="00B644CC">
      <w:pPr>
        <w:spacing w:line="288" w:lineRule="auto"/>
        <w:jc w:val="both"/>
        <w:rPr>
          <w:b/>
          <w:szCs w:val="20"/>
        </w:rPr>
      </w:pPr>
      <w:r>
        <w:rPr>
          <w:b/>
          <w:szCs w:val="20"/>
        </w:rPr>
        <w:t>K 2</w:t>
      </w:r>
      <w:r w:rsidR="00FD6BFD">
        <w:rPr>
          <w:b/>
          <w:szCs w:val="20"/>
        </w:rPr>
        <w:t>8</w:t>
      </w:r>
      <w:r>
        <w:rPr>
          <w:b/>
          <w:szCs w:val="20"/>
        </w:rPr>
        <w:t xml:space="preserve">. členu </w:t>
      </w:r>
    </w:p>
    <w:p w:rsidR="00AE2155" w:rsidRPr="00DC70A4" w:rsidRDefault="00F150E5" w:rsidP="00B644CC">
      <w:pPr>
        <w:spacing w:line="288" w:lineRule="auto"/>
        <w:jc w:val="both"/>
        <w:rPr>
          <w:szCs w:val="20"/>
        </w:rPr>
      </w:pPr>
      <w:bookmarkStart w:id="44" w:name="_Hlk41034250"/>
      <w:r>
        <w:rPr>
          <w:szCs w:val="20"/>
        </w:rPr>
        <w:t xml:space="preserve">Ob </w:t>
      </w:r>
      <w:r w:rsidR="00AE2155" w:rsidRPr="00DC70A4">
        <w:rPr>
          <w:szCs w:val="20"/>
        </w:rPr>
        <w:t>razlogu hitrejšega reševanja obsežnih in strokovno najzahtevnejših zadev se predlaga sprememba 198. člena z dodano možnostjo, da vodja SDT generalnemu državnemu tožilcu po potrebi dodatno pojasni razloge za dodelitev zadeve krajevno pristojnemu okrožnemu državnemu tožilstvu</w:t>
      </w:r>
      <w:bookmarkEnd w:id="44"/>
      <w:r w:rsidR="00AE2155" w:rsidRPr="00DC70A4">
        <w:rPr>
          <w:szCs w:val="20"/>
        </w:rPr>
        <w:t xml:space="preserve">. </w:t>
      </w:r>
    </w:p>
    <w:p w:rsidR="00AE2155" w:rsidRPr="00DC70A4" w:rsidRDefault="00AE2155" w:rsidP="00B644CC">
      <w:pPr>
        <w:spacing w:line="288" w:lineRule="auto"/>
        <w:jc w:val="both"/>
        <w:rPr>
          <w:szCs w:val="20"/>
        </w:rPr>
      </w:pPr>
    </w:p>
    <w:p w:rsidR="00AE2155" w:rsidRDefault="00AE2155" w:rsidP="00B644CC">
      <w:pPr>
        <w:spacing w:line="288" w:lineRule="auto"/>
        <w:jc w:val="both"/>
        <w:rPr>
          <w:szCs w:val="20"/>
        </w:rPr>
      </w:pPr>
      <w:r w:rsidRPr="00DC70A4">
        <w:rPr>
          <w:szCs w:val="20"/>
        </w:rPr>
        <w:t>Če se vodja krajevno pristojnega okrožnega državnega tožilstva ne strinja z dodelitvijo, lahko ta predlaga, da o utemeljenosti predloga odloči generalni državni tožilec. V tem primeru pa bo vodja SDT lahko še dodatno pojasnil razloge za dodelitev.</w:t>
      </w:r>
    </w:p>
    <w:p w:rsidR="004C2482" w:rsidRDefault="004C2482" w:rsidP="00B644CC">
      <w:pPr>
        <w:spacing w:line="288" w:lineRule="auto"/>
        <w:jc w:val="both"/>
        <w:rPr>
          <w:szCs w:val="20"/>
        </w:rPr>
      </w:pPr>
    </w:p>
    <w:p w:rsidR="004C2482" w:rsidRPr="00DC70A4" w:rsidRDefault="004C2482" w:rsidP="00B644CC">
      <w:pPr>
        <w:spacing w:line="288" w:lineRule="auto"/>
        <w:jc w:val="both"/>
        <w:rPr>
          <w:szCs w:val="20"/>
        </w:rPr>
      </w:pPr>
      <w:r>
        <w:rPr>
          <w:szCs w:val="20"/>
        </w:rPr>
        <w:t>N</w:t>
      </w:r>
      <w:r w:rsidRPr="004C2482">
        <w:rPr>
          <w:szCs w:val="20"/>
        </w:rPr>
        <w:t>a podlagi opredelitve kaznivih dejanj, ki škodijo finančnim interesom EU</w:t>
      </w:r>
      <w:r w:rsidR="00F150E5">
        <w:rPr>
          <w:szCs w:val="20"/>
        </w:rPr>
        <w:t xml:space="preserve"> </w:t>
      </w:r>
      <w:r>
        <w:rPr>
          <w:szCs w:val="20"/>
        </w:rPr>
        <w:t xml:space="preserve">so </w:t>
      </w:r>
      <w:r w:rsidRPr="004C2482">
        <w:rPr>
          <w:szCs w:val="20"/>
        </w:rPr>
        <w:t xml:space="preserve">kataloško opredeljena tudi druga kazniva dejanja, ki škodijo finančnim interesom EU po </w:t>
      </w:r>
      <w:r w:rsidRPr="00456B1F">
        <w:rPr>
          <w:rFonts w:cs="Arial"/>
          <w:szCs w:val="20"/>
        </w:rPr>
        <w:t>Direktiv</w:t>
      </w:r>
      <w:r>
        <w:rPr>
          <w:rFonts w:cs="Arial"/>
          <w:szCs w:val="20"/>
        </w:rPr>
        <w:t>i</w:t>
      </w:r>
      <w:r w:rsidRPr="00456B1F">
        <w:rPr>
          <w:rFonts w:cs="Arial"/>
          <w:szCs w:val="20"/>
        </w:rPr>
        <w:t xml:space="preserve"> (EU) 2017/1371 Evropskega parlamenta in Sveta z dne 5. julija 2017 o boju proti goljufijam, ki škodijo finančnim interesom Unije, z uporabo kazenskega prava</w:t>
      </w:r>
      <w:r>
        <w:rPr>
          <w:rFonts w:cs="Arial"/>
          <w:szCs w:val="20"/>
        </w:rPr>
        <w:t xml:space="preserve"> (v nadaljevanju: direktiva</w:t>
      </w:r>
      <w:r w:rsidR="00F150E5" w:rsidRPr="00F150E5">
        <w:rPr>
          <w:rFonts w:cs="Arial"/>
          <w:szCs w:val="20"/>
        </w:rPr>
        <w:t xml:space="preserve"> </w:t>
      </w:r>
      <w:r w:rsidR="00F150E5">
        <w:rPr>
          <w:rFonts w:cs="Arial"/>
          <w:szCs w:val="20"/>
        </w:rPr>
        <w:t>PIF</w:t>
      </w:r>
      <w:r>
        <w:rPr>
          <w:rFonts w:cs="Arial"/>
          <w:szCs w:val="20"/>
        </w:rPr>
        <w:t xml:space="preserve">), </w:t>
      </w:r>
      <w:r w:rsidRPr="004C2482">
        <w:rPr>
          <w:szCs w:val="20"/>
        </w:rPr>
        <w:t xml:space="preserve">vendar ne gre za kazniva dejanja skladno s pogoji iz 22. in 25. člena Uredbe EJT. Glede na navedeno bo SDT RS po petem odstavku 192. člena ZDT-1 (do prevzema pristojnosti EJT in po odstopu zadeve </w:t>
      </w:r>
      <w:r w:rsidR="00F150E5">
        <w:rPr>
          <w:szCs w:val="20"/>
        </w:rPr>
        <w:t>ter</w:t>
      </w:r>
      <w:r w:rsidRPr="004C2482">
        <w:rPr>
          <w:szCs w:val="20"/>
        </w:rPr>
        <w:t xml:space="preserve"> prenosu pristojnosti na </w:t>
      </w:r>
      <w:r w:rsidR="00F150E5">
        <w:rPr>
          <w:szCs w:val="20"/>
        </w:rPr>
        <w:t xml:space="preserve">pristojne </w:t>
      </w:r>
      <w:r w:rsidRPr="004C2482">
        <w:rPr>
          <w:szCs w:val="20"/>
        </w:rPr>
        <w:t>organe v RS) pristojno tudi za pregon kataloških kaznivih dejanj,</w:t>
      </w:r>
      <w:r>
        <w:rPr>
          <w:szCs w:val="20"/>
        </w:rPr>
        <w:t xml:space="preserve"> </w:t>
      </w:r>
      <w:r w:rsidRPr="004C2482">
        <w:rPr>
          <w:szCs w:val="20"/>
        </w:rPr>
        <w:t>po direktivi</w:t>
      </w:r>
      <w:r w:rsidR="00F150E5" w:rsidRPr="00F150E5">
        <w:rPr>
          <w:szCs w:val="20"/>
        </w:rPr>
        <w:t xml:space="preserve"> </w:t>
      </w:r>
      <w:r w:rsidR="00F150E5" w:rsidRPr="004C2482">
        <w:rPr>
          <w:szCs w:val="20"/>
        </w:rPr>
        <w:t>PIF</w:t>
      </w:r>
      <w:r w:rsidRPr="004C2482">
        <w:rPr>
          <w:szCs w:val="20"/>
        </w:rPr>
        <w:t>.</w:t>
      </w:r>
    </w:p>
    <w:p w:rsidR="00AE2155" w:rsidRDefault="00AE2155" w:rsidP="00B644CC">
      <w:pPr>
        <w:spacing w:line="288" w:lineRule="auto"/>
        <w:jc w:val="both"/>
        <w:rPr>
          <w:szCs w:val="20"/>
        </w:rPr>
      </w:pPr>
    </w:p>
    <w:p w:rsidR="00F4086C" w:rsidRDefault="004C2482" w:rsidP="004C2482">
      <w:pPr>
        <w:spacing w:line="288" w:lineRule="auto"/>
        <w:jc w:val="both"/>
        <w:rPr>
          <w:szCs w:val="20"/>
        </w:rPr>
      </w:pPr>
      <w:r>
        <w:rPr>
          <w:szCs w:val="20"/>
        </w:rPr>
        <w:t>S</w:t>
      </w:r>
      <w:r w:rsidRPr="004C2482">
        <w:rPr>
          <w:szCs w:val="20"/>
        </w:rPr>
        <w:t xml:space="preserve"> predlagano dopolnitvijo drugega odstavka 198. člena ZDT-1 </w:t>
      </w:r>
      <w:r>
        <w:rPr>
          <w:szCs w:val="20"/>
        </w:rPr>
        <w:t xml:space="preserve">se veljavna ureditev dopolnjuje v delu, ki se nanaša na obveščanje in sicer </w:t>
      </w:r>
      <w:r w:rsidRPr="004C2482">
        <w:rPr>
          <w:szCs w:val="20"/>
        </w:rPr>
        <w:t>tako, da morata vodja krajevno pristojnega okrožnega državnega tožilstva oziroma vodja pristojne uprave oziroma enote Policije nemudoma obvestiti vodjo SDT (tudi) o zadevah, glede katerih je podana pristojnost SDT po petem odstavku 192. člena ZDT-1.</w:t>
      </w:r>
      <w:r>
        <w:rPr>
          <w:szCs w:val="20"/>
        </w:rPr>
        <w:t xml:space="preserve"> </w:t>
      </w:r>
      <w:r w:rsidRPr="004C2482">
        <w:rPr>
          <w:szCs w:val="20"/>
        </w:rPr>
        <w:t>Upoštevaje drugo alinejo petega odstavka 192. člena ZDT-1 je SDT pristojno tudi za pregon storilcev kaznivih dejanj v zadevah, ki jih bo EJT odstopil</w:t>
      </w:r>
      <w:r w:rsidR="00F4086C">
        <w:rPr>
          <w:szCs w:val="20"/>
        </w:rPr>
        <w:t>o</w:t>
      </w:r>
      <w:r w:rsidRPr="004C2482">
        <w:rPr>
          <w:szCs w:val="20"/>
        </w:rPr>
        <w:t xml:space="preserve"> (in prenes</w:t>
      </w:r>
      <w:r w:rsidR="00F4086C">
        <w:rPr>
          <w:szCs w:val="20"/>
        </w:rPr>
        <w:t xml:space="preserve">lo </w:t>
      </w:r>
      <w:r w:rsidRPr="004C2482">
        <w:rPr>
          <w:szCs w:val="20"/>
        </w:rPr>
        <w:t xml:space="preserve">pristojnost) na SDT (v skladu s 34. členom Uredbe EJT). Glede na navedeno </w:t>
      </w:r>
      <w:r>
        <w:rPr>
          <w:szCs w:val="20"/>
        </w:rPr>
        <w:t xml:space="preserve">se </w:t>
      </w:r>
      <w:r w:rsidR="00F4086C">
        <w:rPr>
          <w:szCs w:val="20"/>
        </w:rPr>
        <w:t xml:space="preserve">s predlogom zakona evropskemu delegiranemu </w:t>
      </w:r>
      <w:r w:rsidR="00F4086C">
        <w:rPr>
          <w:szCs w:val="20"/>
        </w:rPr>
        <w:lastRenderedPageBreak/>
        <w:t xml:space="preserve">tožilcu nalaga dolžnost, da </w:t>
      </w:r>
      <w:r w:rsidR="00F4086C" w:rsidRPr="004C2482">
        <w:rPr>
          <w:szCs w:val="20"/>
        </w:rPr>
        <w:t xml:space="preserve">nemudoma obvestil vodjo SDT o zadevah, glede katerih je podana pristojnost SDT po </w:t>
      </w:r>
      <w:r w:rsidR="00F4086C">
        <w:rPr>
          <w:szCs w:val="20"/>
        </w:rPr>
        <w:t xml:space="preserve">drugi alineji </w:t>
      </w:r>
      <w:r w:rsidR="00F4086C" w:rsidRPr="004C2482">
        <w:rPr>
          <w:szCs w:val="20"/>
        </w:rPr>
        <w:t>pete</w:t>
      </w:r>
      <w:r w:rsidR="00F4086C">
        <w:rPr>
          <w:szCs w:val="20"/>
        </w:rPr>
        <w:t>ga</w:t>
      </w:r>
      <w:r w:rsidR="00F4086C" w:rsidRPr="004C2482">
        <w:rPr>
          <w:szCs w:val="20"/>
        </w:rPr>
        <w:t xml:space="preserve"> odstavk</w:t>
      </w:r>
      <w:r w:rsidR="00F4086C">
        <w:rPr>
          <w:szCs w:val="20"/>
        </w:rPr>
        <w:t>a</w:t>
      </w:r>
      <w:r w:rsidR="00F4086C" w:rsidRPr="004C2482">
        <w:rPr>
          <w:szCs w:val="20"/>
        </w:rPr>
        <w:t xml:space="preserve"> 192. člena</w:t>
      </w:r>
      <w:r w:rsidR="00F4086C">
        <w:rPr>
          <w:szCs w:val="20"/>
        </w:rPr>
        <w:t xml:space="preserve"> ZDT-1</w:t>
      </w:r>
      <w:r w:rsidR="00F4086C" w:rsidRPr="004C2482">
        <w:rPr>
          <w:szCs w:val="20"/>
        </w:rPr>
        <w:t>.</w:t>
      </w:r>
    </w:p>
    <w:p w:rsidR="00F4086C" w:rsidRDefault="00F4086C" w:rsidP="004C2482">
      <w:pPr>
        <w:spacing w:line="288" w:lineRule="auto"/>
        <w:jc w:val="both"/>
        <w:rPr>
          <w:szCs w:val="20"/>
        </w:rPr>
      </w:pPr>
    </w:p>
    <w:p w:rsidR="00AE2155" w:rsidRPr="00DC70A4" w:rsidRDefault="00AE2155" w:rsidP="00B644CC">
      <w:pPr>
        <w:spacing w:line="288" w:lineRule="auto"/>
        <w:jc w:val="both"/>
        <w:rPr>
          <w:szCs w:val="20"/>
        </w:rPr>
      </w:pPr>
      <w:r w:rsidRPr="00DC70A4">
        <w:rPr>
          <w:szCs w:val="20"/>
        </w:rPr>
        <w:t>S črtanjem šestega odstavka se redakcijsko popravlja situacij</w:t>
      </w:r>
      <w:r w:rsidR="00F150E5">
        <w:rPr>
          <w:szCs w:val="20"/>
        </w:rPr>
        <w:t>a</w:t>
      </w:r>
      <w:r w:rsidRPr="00DC70A4">
        <w:rPr>
          <w:szCs w:val="20"/>
        </w:rPr>
        <w:t>, do katere v praksi dejansko ne more priti, saj je SDT izključno pristoj</w:t>
      </w:r>
      <w:r w:rsidR="00F150E5">
        <w:rPr>
          <w:szCs w:val="20"/>
        </w:rPr>
        <w:t>no</w:t>
      </w:r>
      <w:r w:rsidRPr="00DC70A4">
        <w:rPr>
          <w:szCs w:val="20"/>
        </w:rPr>
        <w:t xml:space="preserve"> za vlaganje tožb in zastopanj</w:t>
      </w:r>
      <w:r w:rsidR="00F150E5">
        <w:rPr>
          <w:szCs w:val="20"/>
        </w:rPr>
        <w:t>e</w:t>
      </w:r>
      <w:r w:rsidRPr="00DC70A4">
        <w:rPr>
          <w:szCs w:val="20"/>
        </w:rPr>
        <w:t xml:space="preserve"> v postopku za odvzem premoženja nezakonitega izvora ali v zvezi z njim, zato se morajo </w:t>
      </w:r>
      <w:r>
        <w:rPr>
          <w:szCs w:val="20"/>
        </w:rPr>
        <w:t xml:space="preserve">okrožna državna tožilstva </w:t>
      </w:r>
      <w:r w:rsidRPr="00DC70A4">
        <w:rPr>
          <w:szCs w:val="20"/>
        </w:rPr>
        <w:t>izreči za nepristojn</w:t>
      </w:r>
      <w:r w:rsidR="00F150E5">
        <w:rPr>
          <w:szCs w:val="20"/>
        </w:rPr>
        <w:t>a</w:t>
      </w:r>
      <w:r w:rsidRPr="00DC70A4">
        <w:rPr>
          <w:szCs w:val="20"/>
        </w:rPr>
        <w:t xml:space="preserve">. </w:t>
      </w:r>
    </w:p>
    <w:p w:rsidR="00AE2155" w:rsidRDefault="00AE2155" w:rsidP="00B644CC">
      <w:pPr>
        <w:spacing w:line="288" w:lineRule="auto"/>
        <w:jc w:val="both"/>
        <w:rPr>
          <w:b/>
          <w:szCs w:val="20"/>
        </w:rPr>
      </w:pPr>
    </w:p>
    <w:p w:rsidR="00AE2155" w:rsidRDefault="00AE2155" w:rsidP="00B644CC">
      <w:pPr>
        <w:spacing w:line="288" w:lineRule="auto"/>
        <w:jc w:val="both"/>
        <w:rPr>
          <w:b/>
          <w:szCs w:val="20"/>
        </w:rPr>
      </w:pPr>
      <w:r>
        <w:rPr>
          <w:b/>
          <w:szCs w:val="20"/>
        </w:rPr>
        <w:t>K 2</w:t>
      </w:r>
      <w:r w:rsidR="00FD6BFD">
        <w:rPr>
          <w:b/>
          <w:szCs w:val="20"/>
        </w:rPr>
        <w:t>9</w:t>
      </w:r>
      <w:r>
        <w:rPr>
          <w:b/>
          <w:szCs w:val="20"/>
        </w:rPr>
        <w:t>. členu</w:t>
      </w:r>
    </w:p>
    <w:p w:rsidR="00AE2155" w:rsidRDefault="00AE2155" w:rsidP="00B644CC">
      <w:pPr>
        <w:spacing w:line="288" w:lineRule="auto"/>
        <w:jc w:val="both"/>
        <w:rPr>
          <w:szCs w:val="20"/>
        </w:rPr>
      </w:pPr>
      <w:r w:rsidRPr="00F53C43">
        <w:rPr>
          <w:szCs w:val="20"/>
        </w:rPr>
        <w:t>Z dnem začetka delovanja Državnega odvetništva Republike Slovenije v skladu z Zakonom o državnem odvetništvu</w:t>
      </w:r>
      <w:r>
        <w:rPr>
          <w:szCs w:val="20"/>
        </w:rPr>
        <w:t xml:space="preserve"> (Uradni list RS, št.23/17; </w:t>
      </w:r>
      <w:proofErr w:type="spellStart"/>
      <w:r>
        <w:rPr>
          <w:szCs w:val="20"/>
        </w:rPr>
        <w:t>ZDOdv</w:t>
      </w:r>
      <w:proofErr w:type="spellEnd"/>
      <w:r>
        <w:rPr>
          <w:szCs w:val="20"/>
        </w:rPr>
        <w:t>)</w:t>
      </w:r>
      <w:r w:rsidRPr="00F53C43">
        <w:rPr>
          <w:szCs w:val="20"/>
        </w:rPr>
        <w:t>je z prenehalo</w:t>
      </w:r>
      <w:r w:rsidR="00F150E5">
        <w:rPr>
          <w:szCs w:val="20"/>
        </w:rPr>
        <w:t xml:space="preserve"> delovati</w:t>
      </w:r>
      <w:r w:rsidRPr="00F53C43">
        <w:rPr>
          <w:szCs w:val="20"/>
        </w:rPr>
        <w:t xml:space="preserve"> Državno pravobranilstvo Republike Slovenije. </w:t>
      </w:r>
      <w:r>
        <w:rPr>
          <w:szCs w:val="20"/>
        </w:rPr>
        <w:t xml:space="preserve">Naloge državnega odvetništva opravljajo </w:t>
      </w:r>
      <w:r w:rsidRPr="00F53C43">
        <w:rPr>
          <w:szCs w:val="20"/>
        </w:rPr>
        <w:t>višji državni odvetnik</w:t>
      </w:r>
      <w:r>
        <w:rPr>
          <w:szCs w:val="20"/>
        </w:rPr>
        <w:t>i</w:t>
      </w:r>
      <w:r w:rsidRPr="00F53C43">
        <w:rPr>
          <w:szCs w:val="20"/>
        </w:rPr>
        <w:t>, državni odvetnik</w:t>
      </w:r>
      <w:r>
        <w:rPr>
          <w:szCs w:val="20"/>
        </w:rPr>
        <w:t>i</w:t>
      </w:r>
      <w:r w:rsidRPr="00F53C43">
        <w:rPr>
          <w:szCs w:val="20"/>
        </w:rPr>
        <w:t xml:space="preserve"> in kandidat</w:t>
      </w:r>
      <w:r>
        <w:rPr>
          <w:szCs w:val="20"/>
        </w:rPr>
        <w:t>i</w:t>
      </w:r>
      <w:r w:rsidRPr="00F53C43">
        <w:rPr>
          <w:szCs w:val="20"/>
        </w:rPr>
        <w:t xml:space="preserve"> za državnega odvetnika</w:t>
      </w:r>
      <w:r>
        <w:rPr>
          <w:szCs w:val="20"/>
        </w:rPr>
        <w:t xml:space="preserve">. </w:t>
      </w:r>
      <w:r w:rsidRPr="005F3F3F">
        <w:rPr>
          <w:szCs w:val="20"/>
        </w:rPr>
        <w:t>Za sklenitev, trajanje in prenehanje delovnega razmerja državnih odvetnikov in kandidatov za državne odvetnike ter za njihove pravice in dolžnosti iz delovnega razmerja se uporabljajo predpisi, ki urejajo delovna razmerja in sistem javnih uslužbencev</w:t>
      </w:r>
      <w:r>
        <w:rPr>
          <w:szCs w:val="20"/>
        </w:rPr>
        <w:t>. Ker gre za javne uslužbence, je d</w:t>
      </w:r>
      <w:r w:rsidRPr="005D0ECA">
        <w:rPr>
          <w:szCs w:val="20"/>
        </w:rPr>
        <w:t xml:space="preserve">ržavni odvetnik </w:t>
      </w:r>
      <w:r>
        <w:rPr>
          <w:szCs w:val="20"/>
        </w:rPr>
        <w:t>lahko z</w:t>
      </w:r>
      <w:r w:rsidRPr="005D0ECA">
        <w:rPr>
          <w:szCs w:val="20"/>
        </w:rPr>
        <w:t>a opravljanje zahtevnejših strokovnih nalog napoten na delo v drug državni organ</w:t>
      </w:r>
      <w:r>
        <w:rPr>
          <w:szCs w:val="20"/>
        </w:rPr>
        <w:t xml:space="preserve"> (74. člen </w:t>
      </w:r>
      <w:proofErr w:type="spellStart"/>
      <w:r>
        <w:rPr>
          <w:szCs w:val="20"/>
        </w:rPr>
        <w:t>ZDOdv</w:t>
      </w:r>
      <w:proofErr w:type="spellEnd"/>
      <w:r>
        <w:rPr>
          <w:szCs w:val="20"/>
        </w:rPr>
        <w:t xml:space="preserve">). </w:t>
      </w:r>
    </w:p>
    <w:p w:rsidR="00AE2155" w:rsidRDefault="00AE2155" w:rsidP="00B644CC">
      <w:pPr>
        <w:spacing w:line="288" w:lineRule="auto"/>
        <w:jc w:val="both"/>
        <w:rPr>
          <w:szCs w:val="20"/>
        </w:rPr>
      </w:pPr>
    </w:p>
    <w:p w:rsidR="00AE2155" w:rsidRPr="00F53C43" w:rsidRDefault="00AE2155" w:rsidP="00B644CC">
      <w:pPr>
        <w:spacing w:line="288" w:lineRule="auto"/>
        <w:jc w:val="both"/>
        <w:rPr>
          <w:szCs w:val="20"/>
        </w:rPr>
      </w:pPr>
      <w:r>
        <w:rPr>
          <w:szCs w:val="20"/>
        </w:rPr>
        <w:t xml:space="preserve">Ne glede na določbo 100. člena </w:t>
      </w:r>
      <w:proofErr w:type="spellStart"/>
      <w:r>
        <w:rPr>
          <w:szCs w:val="20"/>
        </w:rPr>
        <w:t>ZDOdv</w:t>
      </w:r>
      <w:proofErr w:type="spellEnd"/>
      <w:r>
        <w:rPr>
          <w:szCs w:val="20"/>
        </w:rPr>
        <w:t xml:space="preserve">, ki sicer določa uporabo izrazov v drugih zakonih, da </w:t>
      </w:r>
      <w:r w:rsidRPr="00EC506D">
        <w:rPr>
          <w:szCs w:val="20"/>
        </w:rPr>
        <w:t>izraz »državno pravobranilstvo« ali »pravobranilstvo« v katerem</w:t>
      </w:r>
      <w:r w:rsidR="00F150E5">
        <w:rPr>
          <w:szCs w:val="20"/>
        </w:rPr>
        <w:t xml:space="preserve"> </w:t>
      </w:r>
      <w:r w:rsidRPr="00EC506D">
        <w:rPr>
          <w:szCs w:val="20"/>
        </w:rPr>
        <w:t>koli sklonu pomeni državno odvetništvo v uporabljenem sklonu</w:t>
      </w:r>
      <w:r>
        <w:rPr>
          <w:szCs w:val="20"/>
        </w:rPr>
        <w:t xml:space="preserve">, je treba določbe ZDT-1 uskladiti z novo ureditvijo državnega odvetništva in črtati določbe tretjega do šestega odstavka 203.a člena ZDT-1, ki določajo dodelitev državnih pravobranilcev v Civilno finančni oddelek. Sistem javnih uslužbencev namreč ne ureja dodelitve temveč napotitev na delo v drug državni organ. </w:t>
      </w:r>
    </w:p>
    <w:p w:rsidR="00AE2155" w:rsidRDefault="00AE2155" w:rsidP="00B644CC">
      <w:pPr>
        <w:spacing w:line="288" w:lineRule="auto"/>
        <w:jc w:val="both"/>
        <w:rPr>
          <w:b/>
          <w:szCs w:val="20"/>
        </w:rPr>
      </w:pPr>
    </w:p>
    <w:p w:rsidR="00AE2155" w:rsidRPr="00DB5CCB" w:rsidRDefault="00AE2155" w:rsidP="00B644CC">
      <w:pPr>
        <w:spacing w:line="288" w:lineRule="auto"/>
        <w:jc w:val="both"/>
        <w:rPr>
          <w:b/>
          <w:szCs w:val="20"/>
        </w:rPr>
      </w:pPr>
      <w:r w:rsidRPr="00DB5CCB">
        <w:rPr>
          <w:b/>
          <w:szCs w:val="20"/>
        </w:rPr>
        <w:t xml:space="preserve">K </w:t>
      </w:r>
      <w:r w:rsidR="00FD6BFD">
        <w:rPr>
          <w:b/>
          <w:szCs w:val="20"/>
        </w:rPr>
        <w:t>30</w:t>
      </w:r>
      <w:r w:rsidRPr="00DB5CCB">
        <w:rPr>
          <w:b/>
          <w:szCs w:val="20"/>
        </w:rPr>
        <w:t>. členu</w:t>
      </w:r>
    </w:p>
    <w:p w:rsidR="00AE2155" w:rsidRDefault="00AE2155" w:rsidP="00B644CC">
      <w:pPr>
        <w:spacing w:line="288" w:lineRule="auto"/>
        <w:jc w:val="both"/>
        <w:rPr>
          <w:rFonts w:cs="Arial"/>
          <w:szCs w:val="20"/>
        </w:rPr>
      </w:pPr>
      <w:r>
        <w:rPr>
          <w:rFonts w:cs="Arial"/>
          <w:szCs w:val="20"/>
        </w:rPr>
        <w:t xml:space="preserve">Strokovno informacijski center je notranja organizacijska enota Vrhovnega državnega tožilstva RS in kot taka nima lastnega proračuna. Sredstva za delo Strokovno informacijskega centra se tako kot za </w:t>
      </w:r>
      <w:r w:rsidR="00F150E5">
        <w:rPr>
          <w:rFonts w:cs="Arial"/>
          <w:szCs w:val="20"/>
        </w:rPr>
        <w:t>pre</w:t>
      </w:r>
      <w:r>
        <w:rPr>
          <w:rFonts w:cs="Arial"/>
          <w:szCs w:val="20"/>
        </w:rPr>
        <w:t>ostale notranje organizacijske enote zagotavlja</w:t>
      </w:r>
      <w:r w:rsidR="00F150E5">
        <w:rPr>
          <w:rFonts w:cs="Arial"/>
          <w:szCs w:val="20"/>
        </w:rPr>
        <w:t>jo</w:t>
      </w:r>
      <w:r>
        <w:rPr>
          <w:rFonts w:cs="Arial"/>
          <w:szCs w:val="20"/>
        </w:rPr>
        <w:t xml:space="preserve"> v proračunu Vrhovnega državnega tožilstva RS, </w:t>
      </w:r>
      <w:r w:rsidR="00F150E5">
        <w:rPr>
          <w:rFonts w:cs="Arial"/>
          <w:szCs w:val="20"/>
        </w:rPr>
        <w:t>temu</w:t>
      </w:r>
      <w:r>
        <w:rPr>
          <w:rFonts w:cs="Arial"/>
          <w:szCs w:val="20"/>
        </w:rPr>
        <w:t xml:space="preserve"> pa v okviru proračuna Republike Slovenije (glej tudi 14. člen ZDT-1). Glede na navedeno se predlaga črtanje četrtega odstavka</w:t>
      </w:r>
      <w:r w:rsidR="001963C8">
        <w:rPr>
          <w:rFonts w:cs="Arial"/>
          <w:szCs w:val="20"/>
        </w:rPr>
        <w:t xml:space="preserve">. V tretjem odstavku se </w:t>
      </w:r>
      <w:r w:rsidR="001963C8">
        <w:rPr>
          <w:rFonts w:eastAsia="Calibri" w:cs="Arial"/>
          <w:szCs w:val="20"/>
        </w:rPr>
        <w:t xml:space="preserve">redakcijsko nadomešča izraz </w:t>
      </w:r>
      <w:r w:rsidR="001963C8" w:rsidRPr="00C825C3">
        <w:rPr>
          <w:rFonts w:eastAsia="Calibri" w:cs="Arial"/>
          <w:szCs w:val="20"/>
        </w:rPr>
        <w:t>za javne uslužbence državnih tožilstev</w:t>
      </w:r>
      <w:r w:rsidR="001963C8">
        <w:rPr>
          <w:rFonts w:eastAsia="Calibri" w:cs="Arial"/>
          <w:szCs w:val="20"/>
        </w:rPr>
        <w:t xml:space="preserve">, za katere je uveljavljen izraz </w:t>
      </w:r>
      <w:r w:rsidR="001963C8" w:rsidRPr="00C825C3">
        <w:rPr>
          <w:rFonts w:eastAsia="Calibri" w:cs="Arial"/>
          <w:szCs w:val="20"/>
        </w:rPr>
        <w:t>skladno z določbo 11. člena ZDT-1 »</w:t>
      </w:r>
      <w:proofErr w:type="spellStart"/>
      <w:r w:rsidR="001963C8" w:rsidRPr="00C825C3">
        <w:rPr>
          <w:rFonts w:eastAsia="Calibri" w:cs="Arial"/>
          <w:szCs w:val="20"/>
        </w:rPr>
        <w:t>državnotožilsko</w:t>
      </w:r>
      <w:proofErr w:type="spellEnd"/>
      <w:r w:rsidR="001963C8" w:rsidRPr="00C825C3">
        <w:rPr>
          <w:rFonts w:eastAsia="Calibri" w:cs="Arial"/>
          <w:szCs w:val="20"/>
        </w:rPr>
        <w:t xml:space="preserve"> osebje«.</w:t>
      </w:r>
    </w:p>
    <w:p w:rsidR="00AE2155" w:rsidRDefault="00AE2155" w:rsidP="00B644CC">
      <w:pPr>
        <w:spacing w:line="288" w:lineRule="auto"/>
        <w:jc w:val="both"/>
        <w:rPr>
          <w:rFonts w:cs="Arial"/>
          <w:szCs w:val="20"/>
        </w:rPr>
      </w:pPr>
    </w:p>
    <w:p w:rsidR="00AE2155" w:rsidRPr="001A1B8C" w:rsidRDefault="00AE2155" w:rsidP="00B644CC">
      <w:pPr>
        <w:spacing w:line="288" w:lineRule="auto"/>
        <w:jc w:val="both"/>
        <w:rPr>
          <w:rFonts w:cs="Arial"/>
          <w:b/>
          <w:szCs w:val="20"/>
        </w:rPr>
      </w:pPr>
      <w:r w:rsidRPr="001A1B8C">
        <w:rPr>
          <w:rFonts w:cs="Arial"/>
          <w:b/>
          <w:szCs w:val="20"/>
        </w:rPr>
        <w:t xml:space="preserve">K </w:t>
      </w:r>
      <w:r w:rsidR="00FD6BFD">
        <w:rPr>
          <w:rFonts w:cs="Arial"/>
          <w:b/>
          <w:szCs w:val="20"/>
        </w:rPr>
        <w:t>31</w:t>
      </w:r>
      <w:r w:rsidRPr="001A1B8C">
        <w:rPr>
          <w:rFonts w:cs="Arial"/>
          <w:b/>
          <w:szCs w:val="20"/>
        </w:rPr>
        <w:t>. členu</w:t>
      </w:r>
    </w:p>
    <w:p w:rsidR="00AE2155" w:rsidRDefault="00AE2155" w:rsidP="00B644CC">
      <w:pPr>
        <w:autoSpaceDE w:val="0"/>
        <w:autoSpaceDN w:val="0"/>
        <w:adjustRightInd w:val="0"/>
        <w:spacing w:line="288" w:lineRule="auto"/>
        <w:jc w:val="both"/>
        <w:rPr>
          <w:rFonts w:cs="Arial"/>
          <w:szCs w:val="20"/>
          <w:shd w:val="clear" w:color="auto" w:fill="FFFFFF"/>
        </w:rPr>
      </w:pPr>
      <w:r w:rsidRPr="00155219">
        <w:rPr>
          <w:rFonts w:cs="Arial"/>
          <w:szCs w:val="20"/>
        </w:rPr>
        <w:t xml:space="preserve">Ker se z Uredbo </w:t>
      </w:r>
      <w:r w:rsidRPr="00155219">
        <w:rPr>
          <w:rFonts w:eastAsia="Calibri" w:cs="Arial"/>
          <w:szCs w:val="20"/>
        </w:rPr>
        <w:t xml:space="preserve">2018/1727/EU določa tudi </w:t>
      </w:r>
      <w:r w:rsidR="00F150E5">
        <w:rPr>
          <w:rFonts w:cs="Arial"/>
          <w:szCs w:val="20"/>
        </w:rPr>
        <w:t>n</w:t>
      </w:r>
      <w:r w:rsidRPr="00155219">
        <w:rPr>
          <w:rFonts w:cs="Arial"/>
          <w:szCs w:val="20"/>
        </w:rPr>
        <w:t xml:space="preserve">acionalni sistem za usklajevanje dejavnosti </w:t>
      </w:r>
      <w:proofErr w:type="spellStart"/>
      <w:r w:rsidRPr="00155219">
        <w:rPr>
          <w:rFonts w:cs="Arial"/>
          <w:szCs w:val="20"/>
        </w:rPr>
        <w:t>Eurojusta</w:t>
      </w:r>
      <w:proofErr w:type="spellEnd"/>
      <w:r w:rsidRPr="00155219">
        <w:rPr>
          <w:rFonts w:cs="Arial"/>
          <w:szCs w:val="20"/>
        </w:rPr>
        <w:t xml:space="preserve">, ki v svojem bistvu ne odstopa od uveljavljene ureditve v ZDT-1, vendar pa določa nekoliko drugačno sestavo, se določa šestmesečno obdobje za njegovo uskladitev </w:t>
      </w:r>
      <w:r w:rsidRPr="00155219">
        <w:rPr>
          <w:rFonts w:cs="Arial"/>
          <w:szCs w:val="20"/>
          <w:shd w:val="clear" w:color="auto" w:fill="FFFFFF"/>
        </w:rPr>
        <w:t>z Uredbo 2018/1727/EU.</w:t>
      </w:r>
    </w:p>
    <w:p w:rsidR="001C7A64" w:rsidRPr="00155219" w:rsidRDefault="001C7A64" w:rsidP="00B644CC">
      <w:pPr>
        <w:autoSpaceDE w:val="0"/>
        <w:autoSpaceDN w:val="0"/>
        <w:adjustRightInd w:val="0"/>
        <w:spacing w:line="288" w:lineRule="auto"/>
        <w:jc w:val="both"/>
        <w:rPr>
          <w:rFonts w:cs="Arial"/>
          <w:szCs w:val="20"/>
        </w:rPr>
      </w:pPr>
    </w:p>
    <w:p w:rsidR="001C7A64" w:rsidRPr="00155219" w:rsidRDefault="001C7A64" w:rsidP="001C7A64">
      <w:pPr>
        <w:spacing w:line="288" w:lineRule="auto"/>
        <w:jc w:val="both"/>
        <w:rPr>
          <w:rFonts w:cs="Arial"/>
          <w:szCs w:val="20"/>
        </w:rPr>
      </w:pPr>
      <w:r w:rsidRPr="00155219">
        <w:rPr>
          <w:rFonts w:cs="Arial"/>
          <w:szCs w:val="20"/>
        </w:rPr>
        <w:t>Letne razporede</w:t>
      </w:r>
      <w:r>
        <w:rPr>
          <w:rFonts w:cs="Arial"/>
          <w:szCs w:val="20"/>
        </w:rPr>
        <w:t xml:space="preserve"> bodo</w:t>
      </w:r>
      <w:r w:rsidRPr="00155219">
        <w:rPr>
          <w:rFonts w:cs="Arial"/>
          <w:szCs w:val="20"/>
        </w:rPr>
        <w:t xml:space="preserve"> posamezna državna tožilstva uskladi</w:t>
      </w:r>
      <w:r>
        <w:rPr>
          <w:rFonts w:cs="Arial"/>
          <w:szCs w:val="20"/>
        </w:rPr>
        <w:t>la</w:t>
      </w:r>
      <w:r w:rsidRPr="00155219">
        <w:rPr>
          <w:rFonts w:cs="Arial"/>
          <w:szCs w:val="20"/>
        </w:rPr>
        <w:t xml:space="preserve"> ob prvi </w:t>
      </w:r>
      <w:r>
        <w:rPr>
          <w:rFonts w:cs="Arial"/>
          <w:szCs w:val="20"/>
        </w:rPr>
        <w:t xml:space="preserve">njihovi </w:t>
      </w:r>
      <w:r w:rsidRPr="00155219">
        <w:rPr>
          <w:rFonts w:cs="Arial"/>
          <w:szCs w:val="20"/>
        </w:rPr>
        <w:t>spremembi oziroma ob pripravi letnih razporedov za naslednje koledarsko leto.</w:t>
      </w:r>
    </w:p>
    <w:p w:rsidR="00AE2155" w:rsidRPr="00155219" w:rsidRDefault="00AE2155" w:rsidP="00B644CC">
      <w:pPr>
        <w:spacing w:line="288" w:lineRule="auto"/>
        <w:jc w:val="both"/>
        <w:rPr>
          <w:rFonts w:cs="Arial"/>
          <w:b/>
          <w:szCs w:val="20"/>
        </w:rPr>
      </w:pPr>
    </w:p>
    <w:p w:rsidR="00AE2155" w:rsidRPr="00155219" w:rsidRDefault="00AE2155" w:rsidP="00B644CC">
      <w:pPr>
        <w:spacing w:line="288" w:lineRule="auto"/>
        <w:jc w:val="both"/>
        <w:rPr>
          <w:rFonts w:cs="Arial"/>
          <w:b/>
          <w:szCs w:val="20"/>
        </w:rPr>
      </w:pPr>
      <w:r w:rsidRPr="00155219">
        <w:rPr>
          <w:rFonts w:cs="Arial"/>
          <w:b/>
          <w:szCs w:val="20"/>
        </w:rPr>
        <w:t xml:space="preserve">K </w:t>
      </w:r>
      <w:r w:rsidR="00FD6BFD">
        <w:rPr>
          <w:rFonts w:cs="Arial"/>
          <w:b/>
          <w:szCs w:val="20"/>
        </w:rPr>
        <w:t>32</w:t>
      </w:r>
      <w:r w:rsidRPr="00155219">
        <w:rPr>
          <w:rFonts w:cs="Arial"/>
          <w:b/>
          <w:szCs w:val="20"/>
        </w:rPr>
        <w:t>. členu</w:t>
      </w:r>
    </w:p>
    <w:p w:rsidR="00AE2155" w:rsidRDefault="00AE2155" w:rsidP="00B644CC">
      <w:pPr>
        <w:spacing w:line="288" w:lineRule="auto"/>
        <w:jc w:val="both"/>
        <w:rPr>
          <w:rFonts w:cs="Arial"/>
          <w:szCs w:val="20"/>
        </w:rPr>
      </w:pPr>
      <w:r w:rsidRPr="00155219">
        <w:rPr>
          <w:rFonts w:cs="Arial"/>
          <w:szCs w:val="20"/>
        </w:rPr>
        <w:t>Postopki imenovanja, ki so se začeli pred začetkom uporabe tega zakona, se nadaljujejo in dokončajo po dosedanjih predpisih.</w:t>
      </w:r>
    </w:p>
    <w:p w:rsidR="00AE2155" w:rsidRPr="00155219" w:rsidRDefault="00AE2155" w:rsidP="00B644CC">
      <w:pPr>
        <w:spacing w:line="288" w:lineRule="auto"/>
        <w:jc w:val="both"/>
        <w:rPr>
          <w:rFonts w:cs="Arial"/>
          <w:szCs w:val="20"/>
        </w:rPr>
      </w:pPr>
    </w:p>
    <w:p w:rsidR="00AE2155" w:rsidRDefault="00AE2155" w:rsidP="00B644CC">
      <w:pPr>
        <w:spacing w:line="288" w:lineRule="auto"/>
        <w:jc w:val="both"/>
        <w:rPr>
          <w:rFonts w:cs="Arial"/>
          <w:b/>
          <w:szCs w:val="20"/>
        </w:rPr>
      </w:pPr>
      <w:r>
        <w:rPr>
          <w:rFonts w:cs="Arial"/>
          <w:b/>
          <w:szCs w:val="20"/>
        </w:rPr>
        <w:t xml:space="preserve">K </w:t>
      </w:r>
      <w:r w:rsidR="00FD6BFD">
        <w:rPr>
          <w:rFonts w:cs="Arial"/>
          <w:b/>
          <w:szCs w:val="20"/>
        </w:rPr>
        <w:t>33</w:t>
      </w:r>
      <w:r>
        <w:rPr>
          <w:rFonts w:cs="Arial"/>
          <w:b/>
          <w:szCs w:val="20"/>
        </w:rPr>
        <w:t>. členu</w:t>
      </w:r>
    </w:p>
    <w:p w:rsidR="00AE2155" w:rsidRPr="00445279" w:rsidRDefault="00AE2155" w:rsidP="00B644CC">
      <w:pPr>
        <w:spacing w:line="288" w:lineRule="auto"/>
        <w:jc w:val="both"/>
        <w:rPr>
          <w:rFonts w:cs="Arial"/>
          <w:szCs w:val="20"/>
        </w:rPr>
      </w:pPr>
      <w:r w:rsidRPr="00445279">
        <w:rPr>
          <w:rFonts w:cs="Arial"/>
          <w:szCs w:val="20"/>
        </w:rPr>
        <w:t xml:space="preserve">Določa se </w:t>
      </w:r>
      <w:r>
        <w:rPr>
          <w:rFonts w:cs="Arial"/>
          <w:szCs w:val="20"/>
        </w:rPr>
        <w:t xml:space="preserve">splošni </w:t>
      </w:r>
      <w:r w:rsidRPr="00445279">
        <w:rPr>
          <w:rFonts w:cs="Arial"/>
          <w:szCs w:val="20"/>
        </w:rPr>
        <w:t>petnajst</w:t>
      </w:r>
      <w:r>
        <w:rPr>
          <w:rFonts w:cs="Arial"/>
          <w:szCs w:val="20"/>
        </w:rPr>
        <w:t>d</w:t>
      </w:r>
      <w:r w:rsidRPr="00445279">
        <w:rPr>
          <w:rFonts w:cs="Arial"/>
          <w:szCs w:val="20"/>
        </w:rPr>
        <w:t>nevni rok za uveljavitev zakona.</w:t>
      </w:r>
    </w:p>
    <w:p w:rsidR="00AE2155" w:rsidRPr="001A1B8C" w:rsidRDefault="00AE2155" w:rsidP="00B644CC">
      <w:pPr>
        <w:spacing w:line="288" w:lineRule="auto"/>
        <w:jc w:val="both"/>
        <w:rPr>
          <w:rFonts w:cs="Arial"/>
          <w:b/>
          <w:szCs w:val="20"/>
        </w:rPr>
      </w:pPr>
    </w:p>
    <w:p w:rsidR="00AE2155" w:rsidRPr="00B46B94" w:rsidRDefault="00AE2155" w:rsidP="00B644CC">
      <w:pPr>
        <w:rPr>
          <w:rFonts w:cs="Arial"/>
          <w:b/>
          <w:szCs w:val="20"/>
        </w:rPr>
      </w:pPr>
      <w:r>
        <w:rPr>
          <w:rFonts w:cs="Arial"/>
          <w:b/>
          <w:szCs w:val="20"/>
        </w:rPr>
        <w:br w:type="page"/>
      </w:r>
      <w:r w:rsidRPr="00B46B94">
        <w:rPr>
          <w:rFonts w:cs="Arial"/>
          <w:b/>
          <w:szCs w:val="20"/>
        </w:rPr>
        <w:lastRenderedPageBreak/>
        <w:t>IV. BESEDILO ČLENOV, KI SE SPREMINJAJO</w:t>
      </w:r>
    </w:p>
    <w:p w:rsidR="00AE2155" w:rsidRDefault="00AE2155" w:rsidP="00B644CC">
      <w:pPr>
        <w:spacing w:line="288" w:lineRule="auto"/>
        <w:jc w:val="both"/>
        <w:rPr>
          <w:szCs w:val="20"/>
        </w:rPr>
      </w:pPr>
    </w:p>
    <w:p w:rsidR="00AE2155" w:rsidRPr="00B04D02" w:rsidRDefault="00AE2155" w:rsidP="00B644CC">
      <w:pPr>
        <w:spacing w:line="288" w:lineRule="auto"/>
        <w:jc w:val="center"/>
        <w:rPr>
          <w:szCs w:val="20"/>
        </w:rPr>
      </w:pPr>
      <w:r w:rsidRPr="00B04D02">
        <w:rPr>
          <w:szCs w:val="20"/>
        </w:rPr>
        <w:t>1.a člen</w:t>
      </w:r>
    </w:p>
    <w:p w:rsidR="00AE2155" w:rsidRPr="00B04D02" w:rsidRDefault="00AE2155" w:rsidP="00B644CC">
      <w:pPr>
        <w:spacing w:line="288" w:lineRule="auto"/>
        <w:jc w:val="center"/>
        <w:rPr>
          <w:szCs w:val="20"/>
        </w:rPr>
      </w:pPr>
      <w:r w:rsidRPr="00B04D02">
        <w:rPr>
          <w:szCs w:val="20"/>
        </w:rPr>
        <w:t>(izvajanje pravnih aktov Evropske unije)</w:t>
      </w:r>
    </w:p>
    <w:p w:rsidR="00AE2155" w:rsidRPr="00B04D02" w:rsidRDefault="00AE2155" w:rsidP="00B644CC">
      <w:pPr>
        <w:spacing w:line="288" w:lineRule="auto"/>
        <w:jc w:val="both"/>
        <w:rPr>
          <w:szCs w:val="20"/>
        </w:rPr>
      </w:pPr>
    </w:p>
    <w:p w:rsidR="00AE2155" w:rsidRPr="00B04D02" w:rsidRDefault="00AE2155" w:rsidP="00B644CC">
      <w:pPr>
        <w:spacing w:line="288" w:lineRule="auto"/>
        <w:jc w:val="both"/>
        <w:rPr>
          <w:szCs w:val="20"/>
        </w:rPr>
      </w:pPr>
      <w:r w:rsidRPr="00B04D02">
        <w:rPr>
          <w:szCs w:val="20"/>
        </w:rPr>
        <w:t>Ta zakon določa postopek in pogoje za imenovanje nacionalnega predstavnika, njegovega namestnika in pomočnika v Uradu za evropsko pravosodno sodelovanje ter kandidacijski postopek in pogoje za uvrstitev na listo kandidatov za imenovanje evropskega tožilca in evropskih delegiranih tožilcev v Evropskem javnem tožilstvu ter zagotavlja izvajanje drugih določb:</w:t>
      </w:r>
    </w:p>
    <w:p w:rsidR="00AE2155" w:rsidRPr="00B04D02" w:rsidRDefault="00AE2155" w:rsidP="00B644CC">
      <w:pPr>
        <w:spacing w:line="288" w:lineRule="auto"/>
        <w:jc w:val="both"/>
        <w:rPr>
          <w:szCs w:val="20"/>
        </w:rPr>
      </w:pPr>
    </w:p>
    <w:p w:rsidR="00AE2155" w:rsidRPr="00B04D02" w:rsidRDefault="00AE2155" w:rsidP="00B644CC">
      <w:pPr>
        <w:spacing w:line="288" w:lineRule="auto"/>
        <w:jc w:val="both"/>
        <w:rPr>
          <w:szCs w:val="20"/>
        </w:rPr>
      </w:pPr>
      <w:r w:rsidRPr="00B04D02">
        <w:rPr>
          <w:szCs w:val="20"/>
        </w:rPr>
        <w:t xml:space="preserve">1.Sklepa Sveta 2002/187/PNZ o ustanovitvi </w:t>
      </w:r>
      <w:proofErr w:type="spellStart"/>
      <w:r w:rsidRPr="00B04D02">
        <w:rPr>
          <w:szCs w:val="20"/>
        </w:rPr>
        <w:t>Eurojusta</w:t>
      </w:r>
      <w:proofErr w:type="spellEnd"/>
      <w:r w:rsidRPr="00B04D02">
        <w:rPr>
          <w:szCs w:val="20"/>
        </w:rPr>
        <w:t xml:space="preserve"> za okrepitev boja proti težjim oblikam kriminala (UL L št. 63 z dne 6. 3. 2002, str. 1),</w:t>
      </w:r>
    </w:p>
    <w:p w:rsidR="00AE2155" w:rsidRPr="00B04D02" w:rsidRDefault="00AE2155" w:rsidP="00B644CC">
      <w:pPr>
        <w:spacing w:line="288" w:lineRule="auto"/>
        <w:jc w:val="both"/>
        <w:rPr>
          <w:szCs w:val="20"/>
        </w:rPr>
      </w:pPr>
    </w:p>
    <w:p w:rsidR="00AE2155" w:rsidRPr="00B04D02" w:rsidRDefault="00AE2155" w:rsidP="00B644CC">
      <w:pPr>
        <w:spacing w:line="288" w:lineRule="auto"/>
        <w:jc w:val="both"/>
        <w:rPr>
          <w:szCs w:val="20"/>
        </w:rPr>
      </w:pPr>
      <w:r w:rsidRPr="00B04D02">
        <w:rPr>
          <w:szCs w:val="20"/>
        </w:rPr>
        <w:t xml:space="preserve">2.Sklepa Sveta 2009/426/PNZ z dne 16. decembra 2008 o okrepitvi </w:t>
      </w:r>
      <w:proofErr w:type="spellStart"/>
      <w:r w:rsidRPr="00B04D02">
        <w:rPr>
          <w:szCs w:val="20"/>
        </w:rPr>
        <w:t>Eurojusta</w:t>
      </w:r>
      <w:proofErr w:type="spellEnd"/>
      <w:r w:rsidRPr="00B04D02">
        <w:rPr>
          <w:szCs w:val="20"/>
        </w:rPr>
        <w:t xml:space="preserve"> in spremembi Sklepa 2002/187/PNZ o ustanovitvi </w:t>
      </w:r>
      <w:proofErr w:type="spellStart"/>
      <w:r w:rsidRPr="00B04D02">
        <w:rPr>
          <w:szCs w:val="20"/>
        </w:rPr>
        <w:t>Eurojusta</w:t>
      </w:r>
      <w:proofErr w:type="spellEnd"/>
      <w:r w:rsidRPr="00B04D02">
        <w:rPr>
          <w:szCs w:val="20"/>
        </w:rPr>
        <w:t xml:space="preserve"> za okrepitev boja proti težjim oblikam kriminala (UL L št. 138 z dne 4. 6. 2009, str. 14) in</w:t>
      </w:r>
    </w:p>
    <w:p w:rsidR="00AE2155" w:rsidRPr="00B04D02" w:rsidRDefault="00AE2155" w:rsidP="00B644CC">
      <w:pPr>
        <w:spacing w:line="288" w:lineRule="auto"/>
        <w:jc w:val="both"/>
        <w:rPr>
          <w:szCs w:val="20"/>
        </w:rPr>
      </w:pPr>
    </w:p>
    <w:p w:rsidR="00AE2155" w:rsidRPr="00B04D02" w:rsidRDefault="00AE2155" w:rsidP="00B644CC">
      <w:pPr>
        <w:spacing w:line="288" w:lineRule="auto"/>
        <w:jc w:val="both"/>
        <w:rPr>
          <w:szCs w:val="20"/>
        </w:rPr>
      </w:pPr>
      <w:r w:rsidRPr="00B04D02">
        <w:rPr>
          <w:szCs w:val="20"/>
        </w:rPr>
        <w:t>3.Uredbe Sveta (EU) 2017/1939 z dne 12. oktobra 2017 o izvajanju okrepljenega sodelovanja v zvezi z ustanovitvijo Evropskega javnega tožilstva (UL L št. 283 z dne 31. 10. 2017, str. 1; v nadaljnjem besedilu: Uredba 2017/1939/EU).</w:t>
      </w:r>
    </w:p>
    <w:p w:rsidR="00AE2155" w:rsidRDefault="00AE2155" w:rsidP="00B644CC">
      <w:pPr>
        <w:spacing w:line="288" w:lineRule="auto"/>
        <w:rPr>
          <w:b/>
          <w:bCs/>
          <w:szCs w:val="20"/>
        </w:rPr>
      </w:pPr>
    </w:p>
    <w:p w:rsidR="00AE2155" w:rsidRPr="00155219" w:rsidRDefault="00AE2155" w:rsidP="00B644CC">
      <w:pPr>
        <w:spacing w:line="288" w:lineRule="auto"/>
        <w:jc w:val="center"/>
        <w:rPr>
          <w:szCs w:val="20"/>
        </w:rPr>
      </w:pPr>
      <w:r w:rsidRPr="00155219">
        <w:rPr>
          <w:szCs w:val="20"/>
        </w:rPr>
        <w:t>30. člen</w:t>
      </w:r>
    </w:p>
    <w:p w:rsidR="00AE2155" w:rsidRPr="00155219" w:rsidRDefault="00AE2155" w:rsidP="00B644CC">
      <w:pPr>
        <w:spacing w:line="288" w:lineRule="auto"/>
        <w:jc w:val="center"/>
        <w:rPr>
          <w:szCs w:val="20"/>
        </w:rPr>
      </w:pPr>
      <w:r w:rsidRPr="00155219">
        <w:rPr>
          <w:szCs w:val="20"/>
        </w:rPr>
        <w:t>(razpisno gradivo)</w:t>
      </w:r>
    </w:p>
    <w:p w:rsidR="00AE2155" w:rsidRPr="00155219" w:rsidRDefault="00AE2155" w:rsidP="00B644CC">
      <w:pPr>
        <w:spacing w:line="288" w:lineRule="auto"/>
        <w:rPr>
          <w:szCs w:val="20"/>
        </w:rPr>
      </w:pPr>
    </w:p>
    <w:p w:rsidR="00AE2155" w:rsidRPr="00155219" w:rsidRDefault="00AE2155" w:rsidP="00B644CC">
      <w:pPr>
        <w:spacing w:line="288" w:lineRule="auto"/>
        <w:rPr>
          <w:szCs w:val="20"/>
        </w:rPr>
      </w:pPr>
      <w:r w:rsidRPr="00155219">
        <w:rPr>
          <w:szCs w:val="20"/>
        </w:rPr>
        <w:t>(1) Ministrstvo najpozneje v petih dneh od prejema podatkov iz naslednjega odstavka pošlje vodji državnega tožilstva, pri katerem je razpisano prosto mesto, vse prijave, ki jih ni zavrglo (razpisno gradivo).</w:t>
      </w:r>
    </w:p>
    <w:p w:rsidR="00AE2155" w:rsidRPr="00155219" w:rsidRDefault="00AE2155" w:rsidP="00B644CC">
      <w:pPr>
        <w:spacing w:line="288" w:lineRule="auto"/>
        <w:rPr>
          <w:szCs w:val="20"/>
        </w:rPr>
      </w:pPr>
    </w:p>
    <w:p w:rsidR="00AE2155" w:rsidRPr="00155219" w:rsidRDefault="00AE2155" w:rsidP="00B644CC">
      <w:pPr>
        <w:spacing w:line="288" w:lineRule="auto"/>
        <w:rPr>
          <w:szCs w:val="20"/>
        </w:rPr>
      </w:pPr>
      <w:r w:rsidRPr="00155219">
        <w:rPr>
          <w:szCs w:val="20"/>
        </w:rPr>
        <w:t>(2) Prijavam kandidatov ministrstvo priloži te podatke o usposabljanju, delu, ocenah službe, priznanjih ali morebitnih pravnomočno izrečenih disciplinskih sankcijah kandidatov:</w:t>
      </w:r>
    </w:p>
    <w:p w:rsidR="00AE2155" w:rsidRPr="00155219" w:rsidRDefault="00AE2155" w:rsidP="00B644CC">
      <w:pPr>
        <w:spacing w:line="288" w:lineRule="auto"/>
        <w:rPr>
          <w:szCs w:val="20"/>
        </w:rPr>
      </w:pPr>
    </w:p>
    <w:p w:rsidR="00AE2155" w:rsidRPr="00545590" w:rsidRDefault="00AE2155" w:rsidP="006C7B49">
      <w:pPr>
        <w:pStyle w:val="Odstavekseznama"/>
        <w:numPr>
          <w:ilvl w:val="0"/>
          <w:numId w:val="19"/>
        </w:numPr>
        <w:spacing w:line="288" w:lineRule="auto"/>
        <w:ind w:left="142" w:hanging="142"/>
        <w:rPr>
          <w:szCs w:val="20"/>
        </w:rPr>
      </w:pPr>
      <w:r w:rsidRPr="00545590">
        <w:rPr>
          <w:szCs w:val="20"/>
        </w:rPr>
        <w:t>pripravništvu, če je bilo opravljeno v pravosodju;</w:t>
      </w:r>
    </w:p>
    <w:p w:rsidR="00AE2155" w:rsidRPr="00545590" w:rsidRDefault="00AE2155" w:rsidP="006C7B49">
      <w:pPr>
        <w:pStyle w:val="Odstavekseznama"/>
        <w:numPr>
          <w:ilvl w:val="0"/>
          <w:numId w:val="19"/>
        </w:numPr>
        <w:spacing w:line="288" w:lineRule="auto"/>
        <w:ind w:left="142" w:hanging="142"/>
        <w:rPr>
          <w:szCs w:val="20"/>
        </w:rPr>
      </w:pPr>
      <w:r w:rsidRPr="00545590">
        <w:rPr>
          <w:szCs w:val="20"/>
        </w:rPr>
        <w:t>pravniškem državnem izpitu;</w:t>
      </w:r>
    </w:p>
    <w:p w:rsidR="00AE2155" w:rsidRPr="00545590" w:rsidRDefault="00AE2155" w:rsidP="006C7B49">
      <w:pPr>
        <w:pStyle w:val="Odstavekseznama"/>
        <w:numPr>
          <w:ilvl w:val="0"/>
          <w:numId w:val="19"/>
        </w:numPr>
        <w:spacing w:line="288" w:lineRule="auto"/>
        <w:ind w:left="142" w:hanging="142"/>
        <w:rPr>
          <w:szCs w:val="20"/>
        </w:rPr>
      </w:pPr>
      <w:r w:rsidRPr="00545590">
        <w:rPr>
          <w:szCs w:val="20"/>
        </w:rPr>
        <w:t>iz osebne evidence in osebnega spisa kandidatov, ki so že opravljali službo ali delo na državnem tožilstvu, sodišču ali državnem pravobranilstvu;</w:t>
      </w:r>
    </w:p>
    <w:p w:rsidR="00AE2155" w:rsidRPr="00545590" w:rsidRDefault="00AE2155" w:rsidP="006C7B49">
      <w:pPr>
        <w:pStyle w:val="Odstavekseznama"/>
        <w:numPr>
          <w:ilvl w:val="0"/>
          <w:numId w:val="19"/>
        </w:numPr>
        <w:spacing w:line="288" w:lineRule="auto"/>
        <w:ind w:left="142" w:hanging="142"/>
        <w:rPr>
          <w:szCs w:val="20"/>
        </w:rPr>
      </w:pPr>
      <w:r w:rsidRPr="00545590">
        <w:rPr>
          <w:szCs w:val="20"/>
        </w:rPr>
        <w:t>za kandidata, ki je opravljal poklic odvetnika, notarja, izvršitelja ali stečajnega upravitelja oziroma za kandidata, ki je bil javni uslužbenec, podatke, navedene v prejšnjih alinejah, iz evidenc, ki se vodijo pri pristojnih organih.</w:t>
      </w:r>
    </w:p>
    <w:p w:rsidR="00AE2155" w:rsidRPr="00155219" w:rsidRDefault="00AE2155" w:rsidP="00B644CC">
      <w:pPr>
        <w:spacing w:line="288" w:lineRule="auto"/>
        <w:rPr>
          <w:szCs w:val="20"/>
        </w:rPr>
      </w:pPr>
    </w:p>
    <w:p w:rsidR="00AE2155" w:rsidRPr="00155219" w:rsidRDefault="00AE2155" w:rsidP="00B644CC">
      <w:pPr>
        <w:spacing w:line="288" w:lineRule="auto"/>
        <w:rPr>
          <w:szCs w:val="20"/>
        </w:rPr>
      </w:pPr>
      <w:r w:rsidRPr="00155219">
        <w:rPr>
          <w:szCs w:val="20"/>
        </w:rPr>
        <w:t>(3) Državni organi, organi samoupravnih lokalnih skupnosti in nosilci javnih pooblastil morajo na zahtevo ministrstva brezplačno predložiti podatke o kandidatih iz prejšnjega odstavka, če z njimi razpolagajo.</w:t>
      </w:r>
    </w:p>
    <w:p w:rsidR="00AE2155" w:rsidRPr="00155219" w:rsidRDefault="00AE2155" w:rsidP="00B644CC">
      <w:pPr>
        <w:spacing w:line="288" w:lineRule="auto"/>
        <w:rPr>
          <w:szCs w:val="20"/>
        </w:rPr>
      </w:pPr>
    </w:p>
    <w:p w:rsidR="00AE2155" w:rsidRPr="00155219" w:rsidRDefault="00AE2155" w:rsidP="00B644CC">
      <w:pPr>
        <w:spacing w:line="288" w:lineRule="auto"/>
        <w:rPr>
          <w:szCs w:val="20"/>
        </w:rPr>
      </w:pPr>
      <w:r w:rsidRPr="00155219">
        <w:rPr>
          <w:szCs w:val="20"/>
        </w:rPr>
        <w:t>(4) Podatke, ki jih ni mogoče pridobiti na način iz prejšnjih odstavkov, predloži kandidat sam najpozneje v 15 dneh od prejema poziva ministrstva.</w:t>
      </w:r>
    </w:p>
    <w:p w:rsidR="00AE2155" w:rsidRPr="00155219" w:rsidRDefault="00AE2155" w:rsidP="00B644CC">
      <w:pPr>
        <w:spacing w:line="288" w:lineRule="auto"/>
        <w:rPr>
          <w:szCs w:val="20"/>
        </w:rPr>
      </w:pPr>
    </w:p>
    <w:p w:rsidR="00AE2155" w:rsidRDefault="00AE2155" w:rsidP="00B644CC">
      <w:pPr>
        <w:spacing w:line="288" w:lineRule="auto"/>
        <w:rPr>
          <w:szCs w:val="20"/>
        </w:rPr>
      </w:pPr>
      <w:r w:rsidRPr="00155219">
        <w:rPr>
          <w:szCs w:val="20"/>
        </w:rPr>
        <w:t>(5) Ministrstvo pridobi podatke iz prejšnjih odstavkov za namene oblikovanja mnenja o ustreznosti kandidatov za razpisano mesto.</w:t>
      </w:r>
    </w:p>
    <w:p w:rsidR="00AE2155" w:rsidRPr="00155219" w:rsidRDefault="00AE2155" w:rsidP="00B644CC">
      <w:pPr>
        <w:spacing w:line="288" w:lineRule="auto"/>
        <w:rPr>
          <w:szCs w:val="20"/>
        </w:rPr>
      </w:pPr>
    </w:p>
    <w:p w:rsidR="00AE2155" w:rsidRPr="00155219" w:rsidRDefault="00AE2155" w:rsidP="00B644CC">
      <w:pPr>
        <w:spacing w:line="288" w:lineRule="auto"/>
        <w:jc w:val="center"/>
        <w:rPr>
          <w:szCs w:val="20"/>
        </w:rPr>
      </w:pPr>
      <w:r w:rsidRPr="00155219">
        <w:rPr>
          <w:szCs w:val="20"/>
        </w:rPr>
        <w:lastRenderedPageBreak/>
        <w:t>44. člen</w:t>
      </w:r>
    </w:p>
    <w:p w:rsidR="00AE2155" w:rsidRPr="00155219" w:rsidRDefault="00AE2155" w:rsidP="00B644CC">
      <w:pPr>
        <w:spacing w:line="288" w:lineRule="auto"/>
        <w:jc w:val="center"/>
        <w:rPr>
          <w:szCs w:val="20"/>
        </w:rPr>
      </w:pPr>
      <w:r w:rsidRPr="00155219">
        <w:rPr>
          <w:szCs w:val="20"/>
        </w:rPr>
        <w:t>(opravljanje in evidenca službe)</w:t>
      </w:r>
    </w:p>
    <w:p w:rsidR="00AE2155" w:rsidRPr="00155219" w:rsidRDefault="00AE2155" w:rsidP="00B644CC">
      <w:pPr>
        <w:spacing w:line="288" w:lineRule="auto"/>
        <w:jc w:val="both"/>
        <w:rPr>
          <w:szCs w:val="20"/>
        </w:rPr>
      </w:pPr>
    </w:p>
    <w:p w:rsidR="00AE2155" w:rsidRPr="00155219" w:rsidRDefault="00AE2155" w:rsidP="00B644CC">
      <w:pPr>
        <w:spacing w:line="288" w:lineRule="auto"/>
        <w:jc w:val="both"/>
        <w:rPr>
          <w:szCs w:val="20"/>
        </w:rPr>
      </w:pPr>
      <w:r w:rsidRPr="00155219">
        <w:rPr>
          <w:szCs w:val="20"/>
        </w:rPr>
        <w:t xml:space="preserve">(1) Državni tožilci opravljajo </w:t>
      </w:r>
      <w:proofErr w:type="spellStart"/>
      <w:r w:rsidRPr="00155219">
        <w:rPr>
          <w:szCs w:val="20"/>
        </w:rPr>
        <w:t>državnotožilsko</w:t>
      </w:r>
      <w:proofErr w:type="spellEnd"/>
      <w:r w:rsidRPr="00155219">
        <w:rPr>
          <w:szCs w:val="20"/>
        </w:rPr>
        <w:t xml:space="preserve"> službo v poslovnem času državnega tožilstva, določenem v </w:t>
      </w:r>
      <w:proofErr w:type="spellStart"/>
      <w:r w:rsidRPr="00155219">
        <w:rPr>
          <w:szCs w:val="20"/>
        </w:rPr>
        <w:t>Državnotožilskem</w:t>
      </w:r>
      <w:proofErr w:type="spellEnd"/>
      <w:r w:rsidRPr="00155219">
        <w:rPr>
          <w:szCs w:val="20"/>
        </w:rPr>
        <w:t xml:space="preserve"> redu, v dežurstvu in pripravljenosti.</w:t>
      </w:r>
    </w:p>
    <w:p w:rsidR="00AE2155" w:rsidRPr="00155219" w:rsidRDefault="00AE2155" w:rsidP="00B644CC">
      <w:pPr>
        <w:spacing w:line="288" w:lineRule="auto"/>
        <w:jc w:val="both"/>
        <w:rPr>
          <w:szCs w:val="20"/>
        </w:rPr>
      </w:pPr>
    </w:p>
    <w:p w:rsidR="00AE2155" w:rsidRPr="00155219" w:rsidRDefault="00AE2155" w:rsidP="00B644CC">
      <w:pPr>
        <w:spacing w:line="288" w:lineRule="auto"/>
        <w:jc w:val="both"/>
        <w:rPr>
          <w:szCs w:val="20"/>
        </w:rPr>
      </w:pPr>
      <w:r w:rsidRPr="00155219">
        <w:rPr>
          <w:szCs w:val="20"/>
        </w:rPr>
        <w:t xml:space="preserve">(2) V izjemnih primerih lahko državni tožilec pisno soglaša, da bo opravljanje </w:t>
      </w:r>
      <w:proofErr w:type="spellStart"/>
      <w:r w:rsidRPr="00155219">
        <w:rPr>
          <w:szCs w:val="20"/>
        </w:rPr>
        <w:t>državnotožilske</w:t>
      </w:r>
      <w:proofErr w:type="spellEnd"/>
      <w:r w:rsidRPr="00155219">
        <w:rPr>
          <w:szCs w:val="20"/>
        </w:rPr>
        <w:t xml:space="preserve"> službe preseglo omejitve, ki izhajajo iz pravice do dnevnega in tedenskega počitka.</w:t>
      </w:r>
    </w:p>
    <w:p w:rsidR="00AE2155" w:rsidRPr="00155219" w:rsidRDefault="00AE2155" w:rsidP="00B644CC">
      <w:pPr>
        <w:spacing w:line="288" w:lineRule="auto"/>
        <w:jc w:val="both"/>
        <w:rPr>
          <w:szCs w:val="20"/>
        </w:rPr>
      </w:pPr>
    </w:p>
    <w:p w:rsidR="00AE2155" w:rsidRPr="00155219" w:rsidRDefault="00AE2155" w:rsidP="00B644CC">
      <w:pPr>
        <w:spacing w:line="288" w:lineRule="auto"/>
        <w:jc w:val="both"/>
        <w:rPr>
          <w:szCs w:val="20"/>
        </w:rPr>
      </w:pPr>
      <w:r w:rsidRPr="00155219">
        <w:rPr>
          <w:szCs w:val="20"/>
        </w:rPr>
        <w:t>(3) Državno tožilstvo vodi posebno evidenco o opravljanju pripravljenosti in dežurstva ter evidenco delovnega časa državnih tožilcev, ki so dali soglasje po prejšnjem odstavku.</w:t>
      </w:r>
    </w:p>
    <w:p w:rsidR="00AE2155" w:rsidRPr="00155219" w:rsidRDefault="00AE2155" w:rsidP="00B644CC">
      <w:pPr>
        <w:spacing w:line="288" w:lineRule="auto"/>
        <w:jc w:val="both"/>
        <w:rPr>
          <w:szCs w:val="20"/>
        </w:rPr>
      </w:pPr>
    </w:p>
    <w:p w:rsidR="00AE2155" w:rsidRPr="00155219" w:rsidRDefault="00AE2155" w:rsidP="00B644CC">
      <w:pPr>
        <w:spacing w:line="288" w:lineRule="auto"/>
        <w:jc w:val="both"/>
        <w:rPr>
          <w:szCs w:val="20"/>
        </w:rPr>
      </w:pPr>
      <w:r w:rsidRPr="00155219">
        <w:rPr>
          <w:szCs w:val="20"/>
        </w:rPr>
        <w:t>(4) Evidenca o opravljanju pripravljenosti in dežurstva vsebuje osebno ime državnega tožilca, trajanje pripravljenosti oziroma dežurstva, opravljeno dejanje oziroma usmerjanje. Evidenca delovnega časa državnih tožilcev, ki so dali soglasje, vsebuje osebno ime državnega tožilca in vsebino soglasja.</w:t>
      </w:r>
    </w:p>
    <w:p w:rsidR="00AE2155" w:rsidRPr="00155219" w:rsidRDefault="00AE2155" w:rsidP="00B644CC">
      <w:pPr>
        <w:spacing w:line="288" w:lineRule="auto"/>
        <w:jc w:val="both"/>
        <w:rPr>
          <w:szCs w:val="20"/>
        </w:rPr>
      </w:pPr>
    </w:p>
    <w:p w:rsidR="00AE2155" w:rsidRDefault="00AE2155" w:rsidP="00B644CC">
      <w:pPr>
        <w:spacing w:line="288" w:lineRule="auto"/>
        <w:jc w:val="both"/>
        <w:rPr>
          <w:b/>
          <w:bCs/>
          <w:szCs w:val="20"/>
        </w:rPr>
      </w:pPr>
      <w:r w:rsidRPr="00155219">
        <w:rPr>
          <w:szCs w:val="20"/>
        </w:rPr>
        <w:t>(5) Vodja državnega tožilstva mora evidenco na podlagi zahteve predložiti generalnemu državnemu tožilcu ali ministrstvu.</w:t>
      </w:r>
    </w:p>
    <w:p w:rsidR="00AE2155" w:rsidRDefault="00AE2155" w:rsidP="00B644CC">
      <w:pPr>
        <w:spacing w:line="288" w:lineRule="auto"/>
        <w:jc w:val="both"/>
        <w:rPr>
          <w:bCs/>
          <w:szCs w:val="20"/>
        </w:rPr>
      </w:pPr>
    </w:p>
    <w:p w:rsidR="00AE2155" w:rsidRPr="00155219" w:rsidRDefault="00AE2155" w:rsidP="00B644CC">
      <w:pPr>
        <w:spacing w:line="288" w:lineRule="auto"/>
        <w:jc w:val="center"/>
        <w:rPr>
          <w:bCs/>
          <w:szCs w:val="20"/>
        </w:rPr>
      </w:pPr>
      <w:r w:rsidRPr="00155219">
        <w:rPr>
          <w:bCs/>
          <w:szCs w:val="20"/>
        </w:rPr>
        <w:t>45. člen</w:t>
      </w:r>
    </w:p>
    <w:p w:rsidR="00AE2155" w:rsidRPr="00155219" w:rsidRDefault="00AE2155" w:rsidP="00B644CC">
      <w:pPr>
        <w:spacing w:line="288" w:lineRule="auto"/>
        <w:jc w:val="center"/>
        <w:rPr>
          <w:bCs/>
          <w:szCs w:val="20"/>
        </w:rPr>
      </w:pPr>
      <w:r w:rsidRPr="00155219">
        <w:rPr>
          <w:bCs/>
          <w:szCs w:val="20"/>
        </w:rPr>
        <w:t>(pripravljenost in dežurstvo)</w:t>
      </w:r>
    </w:p>
    <w:p w:rsidR="00AE2155" w:rsidRPr="00155219" w:rsidRDefault="00AE2155" w:rsidP="00B644CC">
      <w:pPr>
        <w:spacing w:line="288" w:lineRule="auto"/>
        <w:jc w:val="both"/>
        <w:rPr>
          <w:bCs/>
          <w:szCs w:val="20"/>
        </w:rPr>
      </w:pPr>
    </w:p>
    <w:p w:rsidR="00AE2155" w:rsidRPr="00155219" w:rsidRDefault="00AE2155" w:rsidP="00B644CC">
      <w:pPr>
        <w:spacing w:line="288" w:lineRule="auto"/>
        <w:jc w:val="both"/>
        <w:rPr>
          <w:bCs/>
          <w:szCs w:val="20"/>
        </w:rPr>
      </w:pPr>
      <w:r w:rsidRPr="00155219">
        <w:rPr>
          <w:bCs/>
          <w:szCs w:val="20"/>
        </w:rPr>
        <w:t>(1) S pripravljenostjo in dežurstvom se zunaj poslovnega časa državnega tožilstva zagotavlja opravljanje nujnih procesnih dejanj, določenih v zakonu, ter usmerjanje policije in drugih pristojnih organov v predkazenskem postopku (usmerjanje).</w:t>
      </w:r>
    </w:p>
    <w:p w:rsidR="00AE2155" w:rsidRPr="00155219" w:rsidRDefault="00AE2155" w:rsidP="00B644CC">
      <w:pPr>
        <w:spacing w:line="288" w:lineRule="auto"/>
        <w:jc w:val="both"/>
        <w:rPr>
          <w:bCs/>
          <w:szCs w:val="20"/>
        </w:rPr>
      </w:pPr>
    </w:p>
    <w:p w:rsidR="00AE2155" w:rsidRPr="00155219" w:rsidRDefault="00AE2155" w:rsidP="00B644CC">
      <w:pPr>
        <w:spacing w:line="288" w:lineRule="auto"/>
        <w:jc w:val="both"/>
        <w:rPr>
          <w:bCs/>
          <w:szCs w:val="20"/>
        </w:rPr>
      </w:pPr>
      <w:r w:rsidRPr="00155219">
        <w:rPr>
          <w:bCs/>
          <w:szCs w:val="20"/>
        </w:rPr>
        <w:t>(2) Pripravljenost pomeni dosegljivost državnega tožilca po telefonu ali z uporabo drugih sredstev za potrebe opravljanja nujnih procesnih dejanj oziroma usmerjanja. Ure pripravljenosti se ne štejejo v delovni čas.</w:t>
      </w:r>
    </w:p>
    <w:p w:rsidR="00AE2155" w:rsidRPr="00155219" w:rsidRDefault="00AE2155" w:rsidP="00B644CC">
      <w:pPr>
        <w:spacing w:line="288" w:lineRule="auto"/>
        <w:jc w:val="both"/>
        <w:rPr>
          <w:bCs/>
          <w:szCs w:val="20"/>
        </w:rPr>
      </w:pPr>
    </w:p>
    <w:p w:rsidR="00AE2155" w:rsidRPr="00155219" w:rsidRDefault="00AE2155" w:rsidP="00B644CC">
      <w:pPr>
        <w:spacing w:line="288" w:lineRule="auto"/>
        <w:jc w:val="both"/>
        <w:rPr>
          <w:bCs/>
          <w:szCs w:val="20"/>
        </w:rPr>
      </w:pPr>
      <w:r w:rsidRPr="00155219">
        <w:rPr>
          <w:bCs/>
          <w:szCs w:val="20"/>
        </w:rPr>
        <w:t>(3) V času dežurstva državni tožilec opravlja nujna procesna dejanja oziroma usmerjanje na delovnem mestu ali na drugem kraju, kjer je to potrebno. Ure dežurstva se štejejo v delovni čas.</w:t>
      </w:r>
    </w:p>
    <w:p w:rsidR="00AE2155" w:rsidRPr="00155219" w:rsidRDefault="00AE2155" w:rsidP="00B644CC">
      <w:pPr>
        <w:spacing w:line="288" w:lineRule="auto"/>
        <w:jc w:val="both"/>
        <w:rPr>
          <w:bCs/>
          <w:szCs w:val="20"/>
        </w:rPr>
      </w:pPr>
    </w:p>
    <w:p w:rsidR="00AE2155" w:rsidRPr="00155219" w:rsidRDefault="00AE2155" w:rsidP="00B644CC">
      <w:pPr>
        <w:spacing w:line="288" w:lineRule="auto"/>
        <w:jc w:val="both"/>
        <w:rPr>
          <w:bCs/>
          <w:szCs w:val="20"/>
        </w:rPr>
      </w:pPr>
      <w:r w:rsidRPr="00155219">
        <w:rPr>
          <w:bCs/>
          <w:szCs w:val="20"/>
        </w:rPr>
        <w:t>(4) Vodja državnega tožilstva lahko zaradi njihove pogostosti odredi opravljanje nujnih procesnih dejanj oziroma usmerjanje izključno z dežurstvom. Načrt opravljanja dežurstva mora predhodno odobriti generalni državni tožilec na podlagi obrazloženega pisnega predloga vodje državnega tožilstva in o tem obvestiti ministrstvo.</w:t>
      </w:r>
    </w:p>
    <w:p w:rsidR="00AE2155" w:rsidRPr="00155219" w:rsidRDefault="00AE2155" w:rsidP="00B644CC">
      <w:pPr>
        <w:spacing w:line="288" w:lineRule="auto"/>
        <w:jc w:val="both"/>
        <w:rPr>
          <w:bCs/>
          <w:szCs w:val="20"/>
        </w:rPr>
      </w:pPr>
    </w:p>
    <w:p w:rsidR="00AE2155" w:rsidRPr="00155219" w:rsidRDefault="00AE2155" w:rsidP="00B644CC">
      <w:pPr>
        <w:spacing w:line="288" w:lineRule="auto"/>
        <w:jc w:val="both"/>
        <w:rPr>
          <w:bCs/>
          <w:szCs w:val="20"/>
        </w:rPr>
      </w:pPr>
      <w:r w:rsidRPr="00155219">
        <w:rPr>
          <w:bCs/>
          <w:szCs w:val="20"/>
        </w:rPr>
        <w:t>(5) Ko državni tožilec v času dežurstva ne opravlja nujnih procesnih dejanj, mora biti dosegljiv na delovnem mestu.</w:t>
      </w:r>
    </w:p>
    <w:p w:rsidR="00AE2155" w:rsidRPr="00155219" w:rsidRDefault="00AE2155" w:rsidP="00B644CC">
      <w:pPr>
        <w:spacing w:line="288" w:lineRule="auto"/>
        <w:jc w:val="both"/>
        <w:rPr>
          <w:bCs/>
          <w:szCs w:val="20"/>
        </w:rPr>
      </w:pPr>
    </w:p>
    <w:p w:rsidR="00AE2155" w:rsidRPr="00155219" w:rsidRDefault="00AE2155" w:rsidP="00B644CC">
      <w:pPr>
        <w:spacing w:line="288" w:lineRule="auto"/>
        <w:jc w:val="both"/>
        <w:rPr>
          <w:bCs/>
          <w:szCs w:val="20"/>
        </w:rPr>
      </w:pPr>
      <w:r w:rsidRPr="00155219">
        <w:rPr>
          <w:bCs/>
          <w:szCs w:val="20"/>
        </w:rPr>
        <w:t xml:space="preserve">(6) Izvajanje pripravljenosti in dežurstva, pogoji in način odrejanja se natančneje določijo z </w:t>
      </w:r>
      <w:proofErr w:type="spellStart"/>
      <w:r w:rsidRPr="00155219">
        <w:rPr>
          <w:bCs/>
          <w:szCs w:val="20"/>
        </w:rPr>
        <w:t>Državnotožilskim</w:t>
      </w:r>
      <w:proofErr w:type="spellEnd"/>
      <w:r w:rsidRPr="00155219">
        <w:rPr>
          <w:bCs/>
          <w:szCs w:val="20"/>
        </w:rPr>
        <w:t xml:space="preserve"> redom.</w:t>
      </w:r>
    </w:p>
    <w:p w:rsidR="00AE2155" w:rsidRPr="00155219" w:rsidRDefault="00AE2155" w:rsidP="00B644CC">
      <w:pPr>
        <w:spacing w:line="288" w:lineRule="auto"/>
        <w:jc w:val="both"/>
        <w:rPr>
          <w:bCs/>
          <w:szCs w:val="20"/>
        </w:rPr>
      </w:pPr>
    </w:p>
    <w:p w:rsidR="00AE2155" w:rsidRPr="00155219" w:rsidRDefault="00AE2155" w:rsidP="00B644CC">
      <w:pPr>
        <w:spacing w:line="288" w:lineRule="auto"/>
        <w:jc w:val="center"/>
        <w:rPr>
          <w:bCs/>
          <w:szCs w:val="20"/>
        </w:rPr>
      </w:pPr>
      <w:r w:rsidRPr="00155219">
        <w:rPr>
          <w:bCs/>
          <w:szCs w:val="20"/>
        </w:rPr>
        <w:t>46. člen</w:t>
      </w:r>
    </w:p>
    <w:p w:rsidR="00AE2155" w:rsidRPr="00155219" w:rsidRDefault="00AE2155" w:rsidP="00B644CC">
      <w:pPr>
        <w:spacing w:line="288" w:lineRule="auto"/>
        <w:jc w:val="center"/>
        <w:rPr>
          <w:bCs/>
          <w:szCs w:val="20"/>
        </w:rPr>
      </w:pPr>
      <w:r w:rsidRPr="00155219">
        <w:rPr>
          <w:bCs/>
          <w:szCs w:val="20"/>
        </w:rPr>
        <w:t>(mirovanje funkcije)</w:t>
      </w:r>
    </w:p>
    <w:p w:rsidR="00AE2155" w:rsidRPr="00155219" w:rsidRDefault="00AE2155" w:rsidP="00B644CC">
      <w:pPr>
        <w:spacing w:line="288" w:lineRule="auto"/>
        <w:jc w:val="both"/>
        <w:rPr>
          <w:bCs/>
          <w:szCs w:val="20"/>
        </w:rPr>
      </w:pPr>
    </w:p>
    <w:p w:rsidR="00AE2155" w:rsidRPr="00155219" w:rsidRDefault="00AE2155" w:rsidP="00B644CC">
      <w:pPr>
        <w:spacing w:line="288" w:lineRule="auto"/>
        <w:jc w:val="both"/>
        <w:rPr>
          <w:bCs/>
          <w:szCs w:val="20"/>
        </w:rPr>
      </w:pPr>
      <w:r w:rsidRPr="00155219">
        <w:rPr>
          <w:bCs/>
          <w:szCs w:val="20"/>
        </w:rPr>
        <w:t xml:space="preserve">(1) Če je državni tožilec izvoljen za predsednika republike, poslanca Državnega zbora Republike Slovenije, sodnika ustavnega sodišča, sodnika mednarodnega sodišča ali na drugo mednarodno </w:t>
      </w:r>
      <w:r w:rsidRPr="00155219">
        <w:rPr>
          <w:bCs/>
          <w:szCs w:val="20"/>
        </w:rPr>
        <w:lastRenderedPageBreak/>
        <w:t xml:space="preserve">pravosodno funkcijo, predsednika Vlade Republike Slovenije, varuha človekovih pravic oziroma njegovega namestnika, imenovan na ministrsko funkcijo ali funkcijo državnega sekretarja, predsednika ali namestnika predsednika komisije za preprečevanje korupcije, mu </w:t>
      </w:r>
      <w:proofErr w:type="spellStart"/>
      <w:r w:rsidRPr="00155219">
        <w:rPr>
          <w:bCs/>
          <w:szCs w:val="20"/>
        </w:rPr>
        <w:t>državnotožilska</w:t>
      </w:r>
      <w:proofErr w:type="spellEnd"/>
      <w:r w:rsidRPr="00155219">
        <w:rPr>
          <w:bCs/>
          <w:szCs w:val="20"/>
        </w:rPr>
        <w:t xml:space="preserve"> funkcija ter vse pravice in dolžnosti iz </w:t>
      </w:r>
      <w:proofErr w:type="spellStart"/>
      <w:r w:rsidRPr="00155219">
        <w:rPr>
          <w:bCs/>
          <w:szCs w:val="20"/>
        </w:rPr>
        <w:t>državnotožilske</w:t>
      </w:r>
      <w:proofErr w:type="spellEnd"/>
      <w:r w:rsidRPr="00155219">
        <w:rPr>
          <w:bCs/>
          <w:szCs w:val="20"/>
        </w:rPr>
        <w:t xml:space="preserve"> službe mirujejo.</w:t>
      </w:r>
    </w:p>
    <w:p w:rsidR="00AE2155" w:rsidRPr="00155219" w:rsidRDefault="00AE2155" w:rsidP="00B644CC">
      <w:pPr>
        <w:spacing w:line="288" w:lineRule="auto"/>
        <w:jc w:val="both"/>
        <w:rPr>
          <w:bCs/>
          <w:szCs w:val="20"/>
        </w:rPr>
      </w:pPr>
    </w:p>
    <w:p w:rsidR="00AE2155" w:rsidRDefault="00AE2155" w:rsidP="00B644CC">
      <w:pPr>
        <w:spacing w:line="288" w:lineRule="auto"/>
        <w:jc w:val="both"/>
        <w:rPr>
          <w:bCs/>
          <w:szCs w:val="20"/>
        </w:rPr>
      </w:pPr>
      <w:r w:rsidRPr="00155219">
        <w:rPr>
          <w:bCs/>
          <w:szCs w:val="20"/>
        </w:rPr>
        <w:t>(2) Določba prejšnjega odstavka se uporablja tudi, če je državni tožilec izvoljen za poslanca evropskega parlamenta ali evropskega varuha človekovih pravic ali imenovan za člana Evropske komisije ali mednarodne civilne misije ali imenovan za evropskega glavnega tožilca.</w:t>
      </w:r>
    </w:p>
    <w:p w:rsidR="00AE2155" w:rsidRDefault="00AE2155" w:rsidP="00B644CC">
      <w:pPr>
        <w:spacing w:line="288" w:lineRule="auto"/>
        <w:jc w:val="both"/>
        <w:rPr>
          <w:szCs w:val="20"/>
        </w:rPr>
      </w:pPr>
    </w:p>
    <w:p w:rsidR="00AE2155" w:rsidRPr="00CC2432" w:rsidRDefault="00AE2155" w:rsidP="00B644CC">
      <w:pPr>
        <w:spacing w:line="288" w:lineRule="auto"/>
        <w:jc w:val="center"/>
        <w:rPr>
          <w:szCs w:val="20"/>
        </w:rPr>
      </w:pPr>
      <w:r w:rsidRPr="00CC2432">
        <w:rPr>
          <w:szCs w:val="20"/>
        </w:rPr>
        <w:t>50. člen</w:t>
      </w:r>
    </w:p>
    <w:p w:rsidR="00AE2155" w:rsidRPr="00CC2432" w:rsidRDefault="00AE2155" w:rsidP="00B644CC">
      <w:pPr>
        <w:spacing w:line="288" w:lineRule="auto"/>
        <w:jc w:val="center"/>
        <w:rPr>
          <w:szCs w:val="20"/>
        </w:rPr>
      </w:pPr>
      <w:r w:rsidRPr="00CC2432">
        <w:rPr>
          <w:szCs w:val="20"/>
        </w:rPr>
        <w:t>(dodatek za pripravljenost in delo prek polnega delovnega časa)</w:t>
      </w:r>
    </w:p>
    <w:p w:rsidR="00AE2155" w:rsidRPr="00CC2432" w:rsidRDefault="00AE2155" w:rsidP="00B644CC">
      <w:pPr>
        <w:spacing w:line="288" w:lineRule="auto"/>
        <w:jc w:val="both"/>
        <w:rPr>
          <w:szCs w:val="20"/>
        </w:rPr>
      </w:pPr>
    </w:p>
    <w:p w:rsidR="00AE2155" w:rsidRPr="00CC2432" w:rsidRDefault="00AE2155" w:rsidP="00B644CC">
      <w:pPr>
        <w:spacing w:line="288" w:lineRule="auto"/>
        <w:jc w:val="both"/>
        <w:rPr>
          <w:szCs w:val="20"/>
        </w:rPr>
      </w:pPr>
      <w:r w:rsidRPr="00CC2432">
        <w:rPr>
          <w:szCs w:val="20"/>
        </w:rPr>
        <w:t>(1) Za ure pripravljenosti pripada državnemu tožilcu dodatek za pripravljenost v višini, kakršno določa zakon, ki ureja sistem plač v javnem sektorju.</w:t>
      </w:r>
    </w:p>
    <w:p w:rsidR="00AE2155" w:rsidRPr="00CC2432" w:rsidRDefault="00AE2155" w:rsidP="00B644CC">
      <w:pPr>
        <w:spacing w:line="288" w:lineRule="auto"/>
        <w:jc w:val="both"/>
        <w:rPr>
          <w:szCs w:val="20"/>
        </w:rPr>
      </w:pPr>
    </w:p>
    <w:p w:rsidR="00AE2155" w:rsidRPr="00CC2432" w:rsidRDefault="00AE2155" w:rsidP="00B644CC">
      <w:pPr>
        <w:spacing w:line="288" w:lineRule="auto"/>
        <w:jc w:val="both"/>
        <w:rPr>
          <w:szCs w:val="20"/>
        </w:rPr>
      </w:pPr>
      <w:r w:rsidRPr="00CC2432">
        <w:rPr>
          <w:szCs w:val="20"/>
        </w:rPr>
        <w:t>(2) Če državni tožilec med pripravljenostjo prevzame opravljanje nujnih procesnih dejanj oziroma usmerjanje, se ta čas evidentira in vrednoti kot ure med dežurstvom.</w:t>
      </w:r>
    </w:p>
    <w:p w:rsidR="00AE2155" w:rsidRPr="00CC2432" w:rsidRDefault="00AE2155" w:rsidP="00B644CC">
      <w:pPr>
        <w:spacing w:line="288" w:lineRule="auto"/>
        <w:jc w:val="both"/>
        <w:rPr>
          <w:szCs w:val="20"/>
        </w:rPr>
      </w:pPr>
    </w:p>
    <w:p w:rsidR="00AE2155" w:rsidRDefault="00AE2155" w:rsidP="00B644CC">
      <w:pPr>
        <w:spacing w:line="288" w:lineRule="auto"/>
        <w:jc w:val="both"/>
        <w:rPr>
          <w:szCs w:val="20"/>
        </w:rPr>
      </w:pPr>
      <w:r w:rsidRPr="00CC2432">
        <w:rPr>
          <w:szCs w:val="20"/>
        </w:rPr>
        <w:t>(3) Za ure dežurstva, ki presegajo polni delovni čas, pripada državnemu tožilcu dodatek za delo prek polnega delovnega časa v skladu z zakonom, ki ureja sistem plač v javnem sektorju.</w:t>
      </w:r>
    </w:p>
    <w:p w:rsidR="00AE2155" w:rsidRDefault="00AE2155" w:rsidP="00B644CC">
      <w:pPr>
        <w:spacing w:line="288" w:lineRule="auto"/>
        <w:jc w:val="both"/>
        <w:rPr>
          <w:szCs w:val="20"/>
        </w:rPr>
      </w:pPr>
    </w:p>
    <w:p w:rsidR="00AE2155" w:rsidRPr="00293E99" w:rsidRDefault="00AE2155" w:rsidP="00B644CC">
      <w:pPr>
        <w:spacing w:line="288" w:lineRule="auto"/>
        <w:jc w:val="center"/>
        <w:rPr>
          <w:szCs w:val="20"/>
        </w:rPr>
      </w:pPr>
      <w:r w:rsidRPr="00293E99">
        <w:rPr>
          <w:szCs w:val="20"/>
        </w:rPr>
        <w:t>62. člen</w:t>
      </w:r>
    </w:p>
    <w:p w:rsidR="00AE2155" w:rsidRPr="00293E99" w:rsidRDefault="00AE2155" w:rsidP="00B644CC">
      <w:pPr>
        <w:spacing w:line="288" w:lineRule="auto"/>
        <w:jc w:val="center"/>
        <w:rPr>
          <w:szCs w:val="20"/>
        </w:rPr>
      </w:pPr>
      <w:r w:rsidRPr="00293E99">
        <w:rPr>
          <w:szCs w:val="20"/>
        </w:rPr>
        <w:t>(dodelitev v organ)</w:t>
      </w:r>
    </w:p>
    <w:p w:rsidR="00AE2155" w:rsidRPr="00293E99" w:rsidRDefault="00AE2155" w:rsidP="00B644CC">
      <w:pPr>
        <w:spacing w:line="288" w:lineRule="auto"/>
        <w:jc w:val="both"/>
        <w:rPr>
          <w:szCs w:val="20"/>
        </w:rPr>
      </w:pPr>
    </w:p>
    <w:p w:rsidR="00AE2155" w:rsidRPr="00293E99" w:rsidRDefault="00AE2155" w:rsidP="00B644CC">
      <w:pPr>
        <w:spacing w:line="288" w:lineRule="auto"/>
        <w:jc w:val="both"/>
        <w:rPr>
          <w:szCs w:val="20"/>
        </w:rPr>
      </w:pPr>
      <w:r w:rsidRPr="00293E99">
        <w:rPr>
          <w:szCs w:val="20"/>
        </w:rPr>
        <w:t xml:space="preserve">(1) Državni tožilec je lahko dodeljen za opravljanje zahtevnejših strokovnih nalog ali za opravljanje nalog generalnega direktorja na Vrhovno državno tožilstvo Republike Slovenije (v nadaljnjem besedilu: Vrhovno državno tožilstvo), ter za opravljanje zahtevnejših strokovnih nalog v strokovno službo </w:t>
      </w:r>
      <w:proofErr w:type="spellStart"/>
      <w:r w:rsidRPr="00293E99">
        <w:rPr>
          <w:szCs w:val="20"/>
        </w:rPr>
        <w:t>Državnotožilskega</w:t>
      </w:r>
      <w:proofErr w:type="spellEnd"/>
      <w:r w:rsidRPr="00293E99">
        <w:rPr>
          <w:szCs w:val="20"/>
        </w:rPr>
        <w:t xml:space="preserve"> sveta in v ministrstvo.</w:t>
      </w:r>
    </w:p>
    <w:p w:rsidR="00AE2155" w:rsidRPr="00293E99" w:rsidRDefault="00AE2155" w:rsidP="00B644CC">
      <w:pPr>
        <w:spacing w:line="288" w:lineRule="auto"/>
        <w:jc w:val="both"/>
        <w:rPr>
          <w:szCs w:val="20"/>
        </w:rPr>
      </w:pPr>
    </w:p>
    <w:p w:rsidR="00AE2155" w:rsidRPr="00293E99" w:rsidRDefault="00AE2155" w:rsidP="00B644CC">
      <w:pPr>
        <w:spacing w:line="288" w:lineRule="auto"/>
        <w:jc w:val="both"/>
        <w:rPr>
          <w:szCs w:val="20"/>
        </w:rPr>
      </w:pPr>
      <w:r w:rsidRPr="00293E99">
        <w:rPr>
          <w:szCs w:val="20"/>
        </w:rPr>
        <w:t>(2) Državni tožilec je lahko dodeljen za vodenje Nacionalnega preiskovalnega urada ali za opravljanje zahtevnejših strokovnih nalog v tem uradu, v Komisiji za preprečevanje korupcije ali v Uradu za preprečevanje pranja denarja.</w:t>
      </w:r>
    </w:p>
    <w:p w:rsidR="00AE2155" w:rsidRPr="00293E99" w:rsidRDefault="00AE2155" w:rsidP="00B644CC">
      <w:pPr>
        <w:spacing w:line="288" w:lineRule="auto"/>
        <w:jc w:val="both"/>
        <w:rPr>
          <w:szCs w:val="20"/>
        </w:rPr>
      </w:pPr>
    </w:p>
    <w:p w:rsidR="00AE2155" w:rsidRPr="00293E99" w:rsidRDefault="00AE2155" w:rsidP="00B644CC">
      <w:pPr>
        <w:spacing w:line="288" w:lineRule="auto"/>
        <w:jc w:val="both"/>
        <w:rPr>
          <w:szCs w:val="20"/>
        </w:rPr>
      </w:pPr>
      <w:r w:rsidRPr="00293E99">
        <w:rPr>
          <w:szCs w:val="20"/>
        </w:rPr>
        <w:t>(3) Poziv k prijavam za dodelitev in predvideni čas dodelitve objavi ministrstvo v 15 dneh od prejema predloga predstojnika organa iz prvega in drugega odstavka tega člena.</w:t>
      </w:r>
    </w:p>
    <w:p w:rsidR="00AE2155" w:rsidRPr="00293E99" w:rsidRDefault="00AE2155" w:rsidP="00B644CC">
      <w:pPr>
        <w:spacing w:line="288" w:lineRule="auto"/>
        <w:jc w:val="both"/>
        <w:rPr>
          <w:szCs w:val="20"/>
        </w:rPr>
      </w:pPr>
    </w:p>
    <w:p w:rsidR="00AE2155" w:rsidRPr="00293E99" w:rsidRDefault="00AE2155" w:rsidP="00B644CC">
      <w:pPr>
        <w:spacing w:line="288" w:lineRule="auto"/>
        <w:jc w:val="both"/>
        <w:rPr>
          <w:szCs w:val="20"/>
        </w:rPr>
      </w:pPr>
      <w:r w:rsidRPr="00293E99">
        <w:rPr>
          <w:szCs w:val="20"/>
        </w:rPr>
        <w:t xml:space="preserve">(4) O dodelitvi odloča </w:t>
      </w:r>
      <w:proofErr w:type="spellStart"/>
      <w:r w:rsidRPr="00293E99">
        <w:rPr>
          <w:szCs w:val="20"/>
        </w:rPr>
        <w:t>Državnotožilski</w:t>
      </w:r>
      <w:proofErr w:type="spellEnd"/>
      <w:r w:rsidRPr="00293E99">
        <w:rPr>
          <w:szCs w:val="20"/>
        </w:rPr>
        <w:t xml:space="preserve"> svet na predlog predstojnika organa, ki mu bo državni tožilec dodeljen. </w:t>
      </w:r>
      <w:proofErr w:type="spellStart"/>
      <w:r w:rsidRPr="00293E99">
        <w:rPr>
          <w:szCs w:val="20"/>
        </w:rPr>
        <w:t>Državnotožilski</w:t>
      </w:r>
      <w:proofErr w:type="spellEnd"/>
      <w:r w:rsidRPr="00293E99">
        <w:rPr>
          <w:szCs w:val="20"/>
        </w:rPr>
        <w:t xml:space="preserve"> svet pred odločitvijo pridobi pisno soglasje državnega tožilca in mnenje vodje državnega tožilstva, na katerem opravlja </w:t>
      </w:r>
      <w:proofErr w:type="spellStart"/>
      <w:r w:rsidRPr="00293E99">
        <w:rPr>
          <w:szCs w:val="20"/>
        </w:rPr>
        <w:t>državnotožilsko</w:t>
      </w:r>
      <w:proofErr w:type="spellEnd"/>
      <w:r w:rsidRPr="00293E99">
        <w:rPr>
          <w:szCs w:val="20"/>
        </w:rPr>
        <w:t xml:space="preserve"> službo. Prijava državnega tožilca na poziv k prijavam za dodelitev šteje za pisno soglasje.</w:t>
      </w:r>
    </w:p>
    <w:p w:rsidR="00AE2155" w:rsidRPr="00293E99" w:rsidRDefault="00AE2155" w:rsidP="00B644CC">
      <w:pPr>
        <w:spacing w:line="288" w:lineRule="auto"/>
        <w:jc w:val="both"/>
        <w:rPr>
          <w:szCs w:val="20"/>
        </w:rPr>
      </w:pPr>
    </w:p>
    <w:p w:rsidR="00AE2155" w:rsidRPr="00293E99" w:rsidRDefault="00AE2155" w:rsidP="00B644CC">
      <w:pPr>
        <w:spacing w:line="288" w:lineRule="auto"/>
        <w:jc w:val="both"/>
        <w:rPr>
          <w:szCs w:val="20"/>
        </w:rPr>
      </w:pPr>
      <w:r w:rsidRPr="00293E99">
        <w:rPr>
          <w:szCs w:val="20"/>
        </w:rPr>
        <w:t>(5) Dodelitev po tem členu lahko, glede na potrebe, traja največ tri leta, s soglasjem državnega tožilca pa se lahko enkrat podaljša za največ tri leta.</w:t>
      </w:r>
    </w:p>
    <w:p w:rsidR="00AE2155" w:rsidRPr="00293E99" w:rsidRDefault="00AE2155" w:rsidP="00B644CC">
      <w:pPr>
        <w:spacing w:line="288" w:lineRule="auto"/>
        <w:jc w:val="both"/>
        <w:rPr>
          <w:szCs w:val="20"/>
        </w:rPr>
      </w:pPr>
    </w:p>
    <w:p w:rsidR="00AE2155" w:rsidRDefault="00AE2155" w:rsidP="00B644CC">
      <w:pPr>
        <w:spacing w:line="288" w:lineRule="auto"/>
        <w:jc w:val="both"/>
        <w:rPr>
          <w:szCs w:val="20"/>
        </w:rPr>
      </w:pPr>
      <w:r w:rsidRPr="00293E99">
        <w:rPr>
          <w:szCs w:val="20"/>
        </w:rPr>
        <w:t xml:space="preserve">(6) Če s tem ali drugim zakonom ni določeno drugače, se s smiselno uporabo tega člena ureja tudi dodelitev državnega tožilca za opravljanje </w:t>
      </w:r>
      <w:proofErr w:type="spellStart"/>
      <w:r w:rsidRPr="00293E99">
        <w:rPr>
          <w:szCs w:val="20"/>
        </w:rPr>
        <w:t>državnotožilske</w:t>
      </w:r>
      <w:proofErr w:type="spellEnd"/>
      <w:r w:rsidRPr="00293E99">
        <w:rPr>
          <w:szCs w:val="20"/>
        </w:rPr>
        <w:t xml:space="preserve"> službe ali strokovnih nalog v mednarodnih civilnih misijah in mednarodnih organizacijah, kamor jih na podlagi povabila ali razpisa mednarodne organizacije napoti državni ali drug organ za določen čas.</w:t>
      </w:r>
    </w:p>
    <w:p w:rsidR="00AE2155" w:rsidRDefault="00AE2155" w:rsidP="00B644CC">
      <w:pPr>
        <w:spacing w:line="288" w:lineRule="auto"/>
        <w:jc w:val="both"/>
        <w:rPr>
          <w:szCs w:val="20"/>
        </w:rPr>
      </w:pPr>
    </w:p>
    <w:p w:rsidR="00AE2155" w:rsidRDefault="00AE2155" w:rsidP="00B644CC">
      <w:pPr>
        <w:spacing w:line="288" w:lineRule="auto"/>
        <w:jc w:val="center"/>
        <w:rPr>
          <w:szCs w:val="20"/>
        </w:rPr>
      </w:pPr>
    </w:p>
    <w:p w:rsidR="00AE2155" w:rsidRPr="00293E99" w:rsidRDefault="00AE2155" w:rsidP="00B644CC">
      <w:pPr>
        <w:spacing w:line="288" w:lineRule="auto"/>
        <w:jc w:val="center"/>
        <w:rPr>
          <w:szCs w:val="20"/>
        </w:rPr>
      </w:pPr>
      <w:r w:rsidRPr="00293E99">
        <w:rPr>
          <w:szCs w:val="20"/>
        </w:rPr>
        <w:lastRenderedPageBreak/>
        <w:t>65. člen</w:t>
      </w:r>
    </w:p>
    <w:p w:rsidR="00AE2155" w:rsidRPr="00293E99" w:rsidRDefault="00AE2155" w:rsidP="00B644CC">
      <w:pPr>
        <w:spacing w:line="288" w:lineRule="auto"/>
        <w:jc w:val="center"/>
        <w:rPr>
          <w:szCs w:val="20"/>
        </w:rPr>
      </w:pPr>
      <w:r w:rsidRPr="00293E99">
        <w:rPr>
          <w:szCs w:val="20"/>
        </w:rPr>
        <w:t>(pravice pri dodelitvi v organ)</w:t>
      </w:r>
    </w:p>
    <w:p w:rsidR="00AE2155" w:rsidRPr="00293E99" w:rsidRDefault="00AE2155" w:rsidP="00B644CC">
      <w:pPr>
        <w:spacing w:line="288" w:lineRule="auto"/>
        <w:jc w:val="both"/>
        <w:rPr>
          <w:szCs w:val="20"/>
        </w:rPr>
      </w:pPr>
    </w:p>
    <w:p w:rsidR="00AE2155" w:rsidRPr="00293E99" w:rsidRDefault="00AE2155" w:rsidP="00B644CC">
      <w:pPr>
        <w:spacing w:line="288" w:lineRule="auto"/>
        <w:jc w:val="both"/>
        <w:rPr>
          <w:szCs w:val="20"/>
        </w:rPr>
      </w:pPr>
      <w:r w:rsidRPr="00293E99">
        <w:rPr>
          <w:szCs w:val="20"/>
        </w:rPr>
        <w:t xml:space="preserve">(1) Državni tožilec, ki je dodeljen v organ, obdrži pravico uporabljati </w:t>
      </w:r>
      <w:proofErr w:type="spellStart"/>
      <w:r w:rsidRPr="00293E99">
        <w:rPr>
          <w:szCs w:val="20"/>
        </w:rPr>
        <w:t>državnotožilski</w:t>
      </w:r>
      <w:proofErr w:type="spellEnd"/>
      <w:r w:rsidRPr="00293E99">
        <w:rPr>
          <w:szCs w:val="20"/>
        </w:rPr>
        <w:t xml:space="preserve"> naziv in položaj, vendar ne more hkrati opravljati </w:t>
      </w:r>
      <w:proofErr w:type="spellStart"/>
      <w:r w:rsidRPr="00293E99">
        <w:rPr>
          <w:szCs w:val="20"/>
        </w:rPr>
        <w:t>državnotožilske</w:t>
      </w:r>
      <w:proofErr w:type="spellEnd"/>
      <w:r w:rsidRPr="00293E99">
        <w:rPr>
          <w:szCs w:val="20"/>
        </w:rPr>
        <w:t xml:space="preserve"> službe in mu obveznosti iz nje mirujejo. Med dodelitvijo lahko kandidira in je imenovan za vodjo državnega tožilstva, namestnika vodje državnega tožilstva ali na druga vodstvena mesta na državnem tožilstvu pod pogoji in po postopku, ki jih določa ta zakon.</w:t>
      </w:r>
    </w:p>
    <w:p w:rsidR="00AE2155" w:rsidRPr="00293E99" w:rsidRDefault="00AE2155" w:rsidP="00B644CC">
      <w:pPr>
        <w:spacing w:line="288" w:lineRule="auto"/>
        <w:jc w:val="both"/>
        <w:rPr>
          <w:szCs w:val="20"/>
        </w:rPr>
      </w:pPr>
    </w:p>
    <w:p w:rsidR="00AE2155" w:rsidRPr="00293E99" w:rsidRDefault="00AE2155" w:rsidP="00B644CC">
      <w:pPr>
        <w:spacing w:line="288" w:lineRule="auto"/>
        <w:jc w:val="both"/>
        <w:rPr>
          <w:szCs w:val="20"/>
        </w:rPr>
      </w:pPr>
      <w:r w:rsidRPr="00293E99">
        <w:rPr>
          <w:szCs w:val="20"/>
        </w:rPr>
        <w:t xml:space="preserve">(2) Državnemu tožilcu iz prejšnjega odstavka tega člena pripada najmanj takšna plača, kakršno bi prejemal, če bi opravljal </w:t>
      </w:r>
      <w:proofErr w:type="spellStart"/>
      <w:r w:rsidRPr="00293E99">
        <w:rPr>
          <w:szCs w:val="20"/>
        </w:rPr>
        <w:t>državnotožilsko</w:t>
      </w:r>
      <w:proofErr w:type="spellEnd"/>
      <w:r w:rsidRPr="00293E99">
        <w:rPr>
          <w:szCs w:val="20"/>
        </w:rPr>
        <w:t xml:space="preserve"> službo, varovane pa so tudi vse njegove pravice do napredovanja v skladu s tem zakonom po izteku dodelitve.</w:t>
      </w:r>
    </w:p>
    <w:p w:rsidR="00AE2155" w:rsidRPr="00293E99" w:rsidRDefault="00AE2155" w:rsidP="00B644CC">
      <w:pPr>
        <w:spacing w:line="288" w:lineRule="auto"/>
        <w:jc w:val="both"/>
        <w:rPr>
          <w:szCs w:val="20"/>
        </w:rPr>
      </w:pPr>
    </w:p>
    <w:p w:rsidR="00AE2155" w:rsidRPr="00293E99" w:rsidRDefault="00AE2155" w:rsidP="00B644CC">
      <w:pPr>
        <w:spacing w:line="288" w:lineRule="auto"/>
        <w:jc w:val="both"/>
        <w:rPr>
          <w:szCs w:val="20"/>
        </w:rPr>
      </w:pPr>
      <w:r w:rsidRPr="00293E99">
        <w:rPr>
          <w:szCs w:val="20"/>
        </w:rPr>
        <w:t>(3) Državni tožilec iz prvega odstavka ima na podlagi dodelitve pravico do dodatkov, določenih z zakonom ali drugimi predpisi.</w:t>
      </w:r>
    </w:p>
    <w:p w:rsidR="00AE2155" w:rsidRPr="00293E99" w:rsidRDefault="00AE2155" w:rsidP="00B644CC">
      <w:pPr>
        <w:spacing w:line="288" w:lineRule="auto"/>
        <w:jc w:val="both"/>
        <w:rPr>
          <w:szCs w:val="20"/>
        </w:rPr>
      </w:pPr>
    </w:p>
    <w:p w:rsidR="00AE2155" w:rsidRDefault="00AE2155" w:rsidP="00B644CC">
      <w:pPr>
        <w:spacing w:line="288" w:lineRule="auto"/>
        <w:jc w:val="both"/>
        <w:rPr>
          <w:szCs w:val="20"/>
        </w:rPr>
      </w:pPr>
      <w:r w:rsidRPr="00293E99">
        <w:rPr>
          <w:szCs w:val="20"/>
        </w:rPr>
        <w:t>(4) Vodja državnega tožilstva, predstojnik organa in dodeljeni državni tožilec sklenejo pisni sporazum o načinu povračila plače, nadomestila plače in drugih osebnih prejemkov ter povračil dodeljenega državnega tožilca iz prejšnjega odstavka, pa tudi o uresničevanju drugih pravic in izpolnjevanju obveznosti v zvezi z dodelitvijo.</w:t>
      </w:r>
    </w:p>
    <w:p w:rsidR="00AE2155" w:rsidRDefault="00AE2155" w:rsidP="00B644CC">
      <w:pPr>
        <w:spacing w:line="288" w:lineRule="auto"/>
        <w:jc w:val="both"/>
        <w:rPr>
          <w:szCs w:val="20"/>
        </w:rPr>
      </w:pPr>
    </w:p>
    <w:p w:rsidR="00AE2155" w:rsidRPr="00293E99" w:rsidRDefault="00AE2155" w:rsidP="00B644CC">
      <w:pPr>
        <w:spacing w:line="288" w:lineRule="auto"/>
        <w:jc w:val="center"/>
        <w:rPr>
          <w:szCs w:val="20"/>
        </w:rPr>
      </w:pPr>
      <w:r w:rsidRPr="00293E99">
        <w:rPr>
          <w:szCs w:val="20"/>
        </w:rPr>
        <w:t>8. oddelek</w:t>
      </w:r>
    </w:p>
    <w:p w:rsidR="00AE2155" w:rsidRPr="00293E99" w:rsidRDefault="00AE2155" w:rsidP="00B644CC">
      <w:pPr>
        <w:spacing w:line="288" w:lineRule="auto"/>
        <w:jc w:val="center"/>
        <w:rPr>
          <w:szCs w:val="20"/>
        </w:rPr>
      </w:pPr>
      <w:r w:rsidRPr="00293E99">
        <w:rPr>
          <w:szCs w:val="20"/>
        </w:rPr>
        <w:t xml:space="preserve">Nacionalni predstavnik v </w:t>
      </w:r>
      <w:proofErr w:type="spellStart"/>
      <w:r w:rsidRPr="00293E99">
        <w:rPr>
          <w:szCs w:val="20"/>
        </w:rPr>
        <w:t>Eurojustu</w:t>
      </w:r>
      <w:proofErr w:type="spellEnd"/>
    </w:p>
    <w:p w:rsidR="00AE2155" w:rsidRPr="00293E99" w:rsidRDefault="00AE2155" w:rsidP="00B644CC">
      <w:pPr>
        <w:spacing w:line="288" w:lineRule="auto"/>
        <w:jc w:val="center"/>
        <w:rPr>
          <w:szCs w:val="20"/>
        </w:rPr>
      </w:pPr>
    </w:p>
    <w:p w:rsidR="00AE2155" w:rsidRPr="00293E99" w:rsidRDefault="00AE2155" w:rsidP="00B644CC">
      <w:pPr>
        <w:spacing w:line="288" w:lineRule="auto"/>
        <w:jc w:val="center"/>
        <w:rPr>
          <w:szCs w:val="20"/>
        </w:rPr>
      </w:pPr>
      <w:r w:rsidRPr="00293E99">
        <w:rPr>
          <w:szCs w:val="20"/>
        </w:rPr>
        <w:t>68. člen</w:t>
      </w:r>
    </w:p>
    <w:p w:rsidR="00AE2155" w:rsidRPr="00293E99" w:rsidRDefault="00AE2155" w:rsidP="00B644CC">
      <w:pPr>
        <w:spacing w:line="288" w:lineRule="auto"/>
        <w:jc w:val="center"/>
        <w:rPr>
          <w:szCs w:val="20"/>
        </w:rPr>
      </w:pPr>
      <w:r w:rsidRPr="00293E99">
        <w:rPr>
          <w:szCs w:val="20"/>
        </w:rPr>
        <w:t>(pogoji in postopek za imenovanje)</w:t>
      </w:r>
    </w:p>
    <w:p w:rsidR="00AE2155" w:rsidRPr="00293E99" w:rsidRDefault="00AE2155" w:rsidP="00B644CC">
      <w:pPr>
        <w:spacing w:line="288" w:lineRule="auto"/>
        <w:jc w:val="both"/>
        <w:rPr>
          <w:szCs w:val="20"/>
        </w:rPr>
      </w:pPr>
    </w:p>
    <w:p w:rsidR="00AE2155" w:rsidRPr="00293E99" w:rsidRDefault="00AE2155" w:rsidP="00B644CC">
      <w:pPr>
        <w:spacing w:line="288" w:lineRule="auto"/>
        <w:jc w:val="both"/>
        <w:rPr>
          <w:szCs w:val="20"/>
        </w:rPr>
      </w:pPr>
      <w:r w:rsidRPr="00293E99">
        <w:rPr>
          <w:szCs w:val="20"/>
        </w:rPr>
        <w:t xml:space="preserve">(1) Za nacionalnega predstavnika v Uradu za evropsko pravosodno sodelovanje (v nadaljnjem besedilu: </w:t>
      </w:r>
      <w:proofErr w:type="spellStart"/>
      <w:r w:rsidRPr="00293E99">
        <w:rPr>
          <w:szCs w:val="20"/>
        </w:rPr>
        <w:t>Eurojust</w:t>
      </w:r>
      <w:proofErr w:type="spellEnd"/>
      <w:r w:rsidRPr="00293E99">
        <w:rPr>
          <w:szCs w:val="20"/>
        </w:rPr>
        <w:t xml:space="preserve">) in njegovega namestnika se lahko imenuje vrhovni ali višji državni tožilec ali okrožni državni tožilec, ki izpolnjuje pogoje za imenovanje v višjega državnega tožilca in izkaže z javno priznanim preizkusom potrjeno višjo raven znanja najmanj enega uradnega jezika Evropske unije, ki je delovni jezik v </w:t>
      </w:r>
      <w:proofErr w:type="spellStart"/>
      <w:r w:rsidRPr="00293E99">
        <w:rPr>
          <w:szCs w:val="20"/>
        </w:rPr>
        <w:t>Eurojustu</w:t>
      </w:r>
      <w:proofErr w:type="spellEnd"/>
      <w:r w:rsidRPr="00293E99">
        <w:rPr>
          <w:szCs w:val="20"/>
        </w:rPr>
        <w:t>. Okrožni državni tožilec iz prejšnjega stavka z imenovanjem pridobi naziv višjega državnega tožilca.</w:t>
      </w:r>
    </w:p>
    <w:p w:rsidR="00AE2155" w:rsidRPr="00293E99" w:rsidRDefault="00AE2155" w:rsidP="00B644CC">
      <w:pPr>
        <w:spacing w:line="288" w:lineRule="auto"/>
        <w:jc w:val="both"/>
        <w:rPr>
          <w:szCs w:val="20"/>
        </w:rPr>
      </w:pPr>
    </w:p>
    <w:p w:rsidR="00AE2155" w:rsidRPr="00293E99" w:rsidRDefault="00AE2155" w:rsidP="00B644CC">
      <w:pPr>
        <w:spacing w:line="288" w:lineRule="auto"/>
        <w:jc w:val="both"/>
        <w:rPr>
          <w:szCs w:val="20"/>
        </w:rPr>
      </w:pPr>
      <w:r w:rsidRPr="00293E99">
        <w:rPr>
          <w:szCs w:val="20"/>
        </w:rPr>
        <w:t xml:space="preserve">(2) Za pomočnika nacionalnega predstavnika je lahko imenovan okrožni državni tožilec ali okrajni državni tožilec, ki izpolnjuje pogoje za imenovanje v okrožnega državnega tožilca in izkaže z javno priznanim preizkusom potrjeno višjo raven znanja najmanj enega uradnega jezika Evropske unije, ki je delovni jezik v </w:t>
      </w:r>
      <w:proofErr w:type="spellStart"/>
      <w:r w:rsidRPr="00293E99">
        <w:rPr>
          <w:szCs w:val="20"/>
        </w:rPr>
        <w:t>Eurojustu</w:t>
      </w:r>
      <w:proofErr w:type="spellEnd"/>
      <w:r w:rsidRPr="00293E99">
        <w:rPr>
          <w:szCs w:val="20"/>
        </w:rPr>
        <w:t>. Okrajni državni tožilec iz prejšnjega stavka z imenovanjem pridobi naziv okrožnega državnega tožilca.</w:t>
      </w:r>
    </w:p>
    <w:p w:rsidR="00AE2155" w:rsidRPr="00293E99" w:rsidRDefault="00AE2155" w:rsidP="00B644CC">
      <w:pPr>
        <w:spacing w:line="288" w:lineRule="auto"/>
        <w:jc w:val="both"/>
        <w:rPr>
          <w:szCs w:val="20"/>
        </w:rPr>
      </w:pPr>
    </w:p>
    <w:p w:rsidR="00AE2155" w:rsidRPr="00293E99" w:rsidRDefault="00AE2155" w:rsidP="00B644CC">
      <w:pPr>
        <w:spacing w:line="288" w:lineRule="auto"/>
        <w:jc w:val="both"/>
        <w:rPr>
          <w:szCs w:val="20"/>
        </w:rPr>
      </w:pPr>
      <w:r w:rsidRPr="00293E99">
        <w:rPr>
          <w:szCs w:val="20"/>
        </w:rPr>
        <w:t>(3) Za postopek imenovanja se smiselno uporabljajo določbe tega zakona o dodelitvi državnega tožilca v organ.</w:t>
      </w:r>
    </w:p>
    <w:p w:rsidR="00AE2155" w:rsidRPr="00293E99" w:rsidRDefault="00AE2155" w:rsidP="00B644CC">
      <w:pPr>
        <w:spacing w:line="288" w:lineRule="auto"/>
        <w:jc w:val="both"/>
        <w:rPr>
          <w:szCs w:val="20"/>
        </w:rPr>
      </w:pPr>
    </w:p>
    <w:p w:rsidR="00AE2155" w:rsidRPr="00293E99" w:rsidRDefault="00AE2155" w:rsidP="00B644CC">
      <w:pPr>
        <w:spacing w:line="288" w:lineRule="auto"/>
        <w:jc w:val="both"/>
        <w:rPr>
          <w:szCs w:val="20"/>
        </w:rPr>
      </w:pPr>
      <w:r w:rsidRPr="00293E99">
        <w:rPr>
          <w:szCs w:val="20"/>
        </w:rPr>
        <w:t xml:space="preserve">(4) Nacionalnega predstavnika in njegovega namestnika imenuje Vlada Republike Slovenije na predlog </w:t>
      </w:r>
      <w:proofErr w:type="spellStart"/>
      <w:r w:rsidRPr="00293E99">
        <w:rPr>
          <w:szCs w:val="20"/>
        </w:rPr>
        <w:t>Državnotožilskega</w:t>
      </w:r>
      <w:proofErr w:type="spellEnd"/>
      <w:r w:rsidRPr="00293E99">
        <w:rPr>
          <w:szCs w:val="20"/>
        </w:rPr>
        <w:t xml:space="preserve"> sveta. Pomočnika nacionalnega predstavnika imenuje </w:t>
      </w:r>
      <w:proofErr w:type="spellStart"/>
      <w:r w:rsidRPr="00293E99">
        <w:rPr>
          <w:szCs w:val="20"/>
        </w:rPr>
        <w:t>Državnotožilski</w:t>
      </w:r>
      <w:proofErr w:type="spellEnd"/>
      <w:r w:rsidRPr="00293E99">
        <w:rPr>
          <w:szCs w:val="20"/>
        </w:rPr>
        <w:t xml:space="preserve"> svet na predlog nacionalnega predstavnika.</w:t>
      </w:r>
    </w:p>
    <w:p w:rsidR="00AE2155" w:rsidRPr="00293E99" w:rsidRDefault="00AE2155" w:rsidP="00B644CC">
      <w:pPr>
        <w:spacing w:line="288" w:lineRule="auto"/>
        <w:jc w:val="both"/>
        <w:rPr>
          <w:szCs w:val="20"/>
        </w:rPr>
      </w:pPr>
    </w:p>
    <w:p w:rsidR="00AE2155" w:rsidRPr="00293E99" w:rsidRDefault="00AE2155" w:rsidP="00B644CC">
      <w:pPr>
        <w:spacing w:line="288" w:lineRule="auto"/>
        <w:jc w:val="center"/>
        <w:rPr>
          <w:szCs w:val="20"/>
        </w:rPr>
      </w:pPr>
      <w:r w:rsidRPr="00293E99">
        <w:rPr>
          <w:szCs w:val="20"/>
        </w:rPr>
        <w:t>69. člen</w:t>
      </w:r>
    </w:p>
    <w:p w:rsidR="00AE2155" w:rsidRPr="00293E99" w:rsidRDefault="00AE2155" w:rsidP="00B644CC">
      <w:pPr>
        <w:spacing w:line="288" w:lineRule="auto"/>
        <w:jc w:val="center"/>
        <w:rPr>
          <w:szCs w:val="20"/>
        </w:rPr>
      </w:pPr>
      <w:r w:rsidRPr="00293E99">
        <w:rPr>
          <w:szCs w:val="20"/>
        </w:rPr>
        <w:t>(doba imenovanja)</w:t>
      </w:r>
    </w:p>
    <w:p w:rsidR="00AE2155" w:rsidRPr="00293E99" w:rsidRDefault="00AE2155" w:rsidP="00B644CC">
      <w:pPr>
        <w:spacing w:line="288" w:lineRule="auto"/>
        <w:jc w:val="both"/>
        <w:rPr>
          <w:szCs w:val="20"/>
        </w:rPr>
      </w:pPr>
    </w:p>
    <w:p w:rsidR="00AE2155" w:rsidRPr="00293E99" w:rsidRDefault="00AE2155" w:rsidP="00B644CC">
      <w:pPr>
        <w:spacing w:line="288" w:lineRule="auto"/>
        <w:jc w:val="both"/>
        <w:rPr>
          <w:szCs w:val="20"/>
        </w:rPr>
      </w:pPr>
      <w:r w:rsidRPr="00293E99">
        <w:rPr>
          <w:szCs w:val="20"/>
        </w:rPr>
        <w:lastRenderedPageBreak/>
        <w:t xml:space="preserve">(1) Nacionalni predstavnik, namestnik in pomočnik nacionalnega predstavnika za izvajanje pooblastil in strokovnih nalog </w:t>
      </w:r>
      <w:proofErr w:type="spellStart"/>
      <w:r w:rsidRPr="00293E99">
        <w:rPr>
          <w:szCs w:val="20"/>
        </w:rPr>
        <w:t>Eurojusta</w:t>
      </w:r>
      <w:proofErr w:type="spellEnd"/>
      <w:r w:rsidRPr="00293E99">
        <w:rPr>
          <w:szCs w:val="20"/>
        </w:rPr>
        <w:t xml:space="preserve"> se imenujejo za štiri leta ter so po poteku navedene dobe lahko ponovno imenovani.</w:t>
      </w:r>
    </w:p>
    <w:p w:rsidR="00AE2155" w:rsidRPr="00293E99" w:rsidRDefault="00AE2155" w:rsidP="00B644CC">
      <w:pPr>
        <w:spacing w:line="288" w:lineRule="auto"/>
        <w:jc w:val="both"/>
        <w:rPr>
          <w:szCs w:val="20"/>
        </w:rPr>
      </w:pPr>
    </w:p>
    <w:p w:rsidR="00AE2155" w:rsidRPr="00293E99" w:rsidRDefault="00AE2155" w:rsidP="00B644CC">
      <w:pPr>
        <w:spacing w:line="288" w:lineRule="auto"/>
        <w:jc w:val="both"/>
        <w:rPr>
          <w:szCs w:val="20"/>
        </w:rPr>
      </w:pPr>
      <w:r w:rsidRPr="00293E99">
        <w:rPr>
          <w:szCs w:val="20"/>
        </w:rPr>
        <w:t xml:space="preserve">(2) Odpoklic (predčasno prenehanje izvajanja pooblastil in strokovnih nalog </w:t>
      </w:r>
      <w:proofErr w:type="spellStart"/>
      <w:r w:rsidRPr="00293E99">
        <w:rPr>
          <w:szCs w:val="20"/>
        </w:rPr>
        <w:t>Eurojusta</w:t>
      </w:r>
      <w:proofErr w:type="spellEnd"/>
      <w:r w:rsidRPr="00293E99">
        <w:rPr>
          <w:szCs w:val="20"/>
        </w:rPr>
        <w:t xml:space="preserve">) nacionalnega predstavnika pred potekom dobe, za katero je imenovan, je mogoč samo pod pogoji, ki jih določajo sklepi Sveta Evropske unije o vzpostavitvi in delovanju </w:t>
      </w:r>
      <w:proofErr w:type="spellStart"/>
      <w:r w:rsidRPr="00293E99">
        <w:rPr>
          <w:szCs w:val="20"/>
        </w:rPr>
        <w:t>Eurojusta</w:t>
      </w:r>
      <w:proofErr w:type="spellEnd"/>
      <w:r w:rsidRPr="00293E99">
        <w:rPr>
          <w:szCs w:val="20"/>
        </w:rPr>
        <w:t>.</w:t>
      </w:r>
    </w:p>
    <w:p w:rsidR="00AE2155" w:rsidRPr="00293E99" w:rsidRDefault="00AE2155" w:rsidP="00B644CC">
      <w:pPr>
        <w:spacing w:line="288" w:lineRule="auto"/>
        <w:jc w:val="both"/>
        <w:rPr>
          <w:szCs w:val="20"/>
        </w:rPr>
      </w:pPr>
    </w:p>
    <w:p w:rsidR="00AE2155" w:rsidRPr="00293E99" w:rsidRDefault="00AE2155" w:rsidP="00B644CC">
      <w:pPr>
        <w:spacing w:line="288" w:lineRule="auto"/>
        <w:jc w:val="center"/>
        <w:rPr>
          <w:szCs w:val="20"/>
        </w:rPr>
      </w:pPr>
      <w:r w:rsidRPr="00293E99">
        <w:rPr>
          <w:szCs w:val="20"/>
        </w:rPr>
        <w:t>70. člen</w:t>
      </w:r>
    </w:p>
    <w:p w:rsidR="00AE2155" w:rsidRPr="00293E99" w:rsidRDefault="00AE2155" w:rsidP="00B644CC">
      <w:pPr>
        <w:spacing w:line="288" w:lineRule="auto"/>
        <w:jc w:val="center"/>
        <w:rPr>
          <w:szCs w:val="20"/>
        </w:rPr>
      </w:pPr>
      <w:r w:rsidRPr="00293E99">
        <w:rPr>
          <w:szCs w:val="20"/>
        </w:rPr>
        <w:t>(pooblastila in pravice)</w:t>
      </w:r>
    </w:p>
    <w:p w:rsidR="00AE2155" w:rsidRPr="00293E99" w:rsidRDefault="00AE2155" w:rsidP="00B644CC">
      <w:pPr>
        <w:spacing w:line="288" w:lineRule="auto"/>
        <w:jc w:val="both"/>
        <w:rPr>
          <w:szCs w:val="20"/>
        </w:rPr>
      </w:pPr>
    </w:p>
    <w:p w:rsidR="00AE2155" w:rsidRPr="00293E99" w:rsidRDefault="00AE2155" w:rsidP="00B644CC">
      <w:pPr>
        <w:spacing w:line="288" w:lineRule="auto"/>
        <w:jc w:val="both"/>
        <w:rPr>
          <w:szCs w:val="20"/>
        </w:rPr>
      </w:pPr>
      <w:r w:rsidRPr="00293E99">
        <w:rPr>
          <w:szCs w:val="20"/>
        </w:rPr>
        <w:t>(1) Nacionalni predstavnik je v obsegu, ki je potreben za opravljanje njegove funkcije, pristojen usmerjati odkrivanje storilcev kaznivih dejanj ter opravljati druga procesna dajanja upravičenega tožilca v predkazenskem in kazenskem postopku pred okrajnimi, okrožnimi in višjimi sodišči na celotnem ozemlju Republike Slovenije. Če je to potrebno zaradi učinkovitega postopanja, lahko generalnemu državnemu tožilcu predlaga izdajo odredbe o prevzemu zadeve, ki je že dodeljena v obravnavo drugemu državnemu tožilcu.</w:t>
      </w:r>
    </w:p>
    <w:p w:rsidR="00AE2155" w:rsidRPr="00293E99" w:rsidRDefault="00AE2155" w:rsidP="00B644CC">
      <w:pPr>
        <w:spacing w:line="288" w:lineRule="auto"/>
        <w:jc w:val="both"/>
        <w:rPr>
          <w:szCs w:val="20"/>
        </w:rPr>
      </w:pPr>
    </w:p>
    <w:p w:rsidR="00AE2155" w:rsidRPr="00293E99" w:rsidRDefault="00AE2155" w:rsidP="00B644CC">
      <w:pPr>
        <w:spacing w:line="288" w:lineRule="auto"/>
        <w:jc w:val="both"/>
        <w:rPr>
          <w:szCs w:val="20"/>
        </w:rPr>
      </w:pPr>
      <w:r w:rsidRPr="00293E99">
        <w:rPr>
          <w:szCs w:val="20"/>
        </w:rPr>
        <w:t xml:space="preserve">(2) Namestnik in pomočnik nacionalnega predstavnika v </w:t>
      </w:r>
      <w:proofErr w:type="spellStart"/>
      <w:r w:rsidRPr="00293E99">
        <w:rPr>
          <w:szCs w:val="20"/>
        </w:rPr>
        <w:t>Eurojustu</w:t>
      </w:r>
      <w:proofErr w:type="spellEnd"/>
      <w:r w:rsidRPr="00293E99">
        <w:rPr>
          <w:szCs w:val="20"/>
        </w:rPr>
        <w:t xml:space="preserve"> imata pooblastila, ki jih v skladu s predpisi, ki urejajo delo v </w:t>
      </w:r>
      <w:proofErr w:type="spellStart"/>
      <w:r w:rsidRPr="00293E99">
        <w:rPr>
          <w:szCs w:val="20"/>
        </w:rPr>
        <w:t>Eurojustu</w:t>
      </w:r>
      <w:proofErr w:type="spellEnd"/>
      <w:r w:rsidRPr="00293E99">
        <w:rPr>
          <w:szCs w:val="20"/>
        </w:rPr>
        <w:t>, nanju prenese nacionalni predstavnik.</w:t>
      </w:r>
    </w:p>
    <w:p w:rsidR="00AE2155" w:rsidRPr="00293E99" w:rsidRDefault="00AE2155" w:rsidP="00B644CC">
      <w:pPr>
        <w:spacing w:line="288" w:lineRule="auto"/>
        <w:jc w:val="both"/>
        <w:rPr>
          <w:szCs w:val="20"/>
        </w:rPr>
      </w:pPr>
    </w:p>
    <w:p w:rsidR="00AE2155" w:rsidRPr="00293E99" w:rsidRDefault="00AE2155" w:rsidP="00B644CC">
      <w:pPr>
        <w:spacing w:line="288" w:lineRule="auto"/>
        <w:jc w:val="both"/>
        <w:rPr>
          <w:szCs w:val="20"/>
        </w:rPr>
      </w:pPr>
      <w:r w:rsidRPr="00293E99">
        <w:rPr>
          <w:szCs w:val="20"/>
        </w:rPr>
        <w:t xml:space="preserve">(3) Državnemu tožilcu z imenovanjem za nacionalnega predstavnika v </w:t>
      </w:r>
      <w:proofErr w:type="spellStart"/>
      <w:r w:rsidRPr="00293E99">
        <w:rPr>
          <w:szCs w:val="20"/>
        </w:rPr>
        <w:t>Eurojustu</w:t>
      </w:r>
      <w:proofErr w:type="spellEnd"/>
      <w:r w:rsidRPr="00293E99">
        <w:rPr>
          <w:szCs w:val="20"/>
        </w:rPr>
        <w:t xml:space="preserve"> pravice in obveznosti po tem zakonu mirujejo, varovane so vse njegove pravice do napredovanja v skladu s tem zakonom po izteku imenovanja in obdrži pravico uporabljati doseženi naziv ter opravljati funkcijo državnega tožilca s pooblastili, ki jih ima član </w:t>
      </w:r>
      <w:proofErr w:type="spellStart"/>
      <w:r w:rsidRPr="00293E99">
        <w:rPr>
          <w:szCs w:val="20"/>
        </w:rPr>
        <w:t>Eurojusta</w:t>
      </w:r>
      <w:proofErr w:type="spellEnd"/>
      <w:r w:rsidRPr="00293E99">
        <w:rPr>
          <w:szCs w:val="20"/>
        </w:rPr>
        <w:t xml:space="preserve"> iz Republike Slovenije, v skladu z zakonom, ki ureja sodelovanje z </w:t>
      </w:r>
      <w:proofErr w:type="spellStart"/>
      <w:r w:rsidRPr="00293E99">
        <w:rPr>
          <w:szCs w:val="20"/>
        </w:rPr>
        <w:t>Eurojustom</w:t>
      </w:r>
      <w:proofErr w:type="spellEnd"/>
      <w:r w:rsidRPr="00293E99">
        <w:rPr>
          <w:szCs w:val="20"/>
        </w:rPr>
        <w:t xml:space="preserve">, v skladu s sklepi Sveta Evropske unije o vzpostavitvi in delovanju </w:t>
      </w:r>
      <w:proofErr w:type="spellStart"/>
      <w:r w:rsidRPr="00293E99">
        <w:rPr>
          <w:szCs w:val="20"/>
        </w:rPr>
        <w:t>Eurojusta</w:t>
      </w:r>
      <w:proofErr w:type="spellEnd"/>
      <w:r w:rsidRPr="00293E99">
        <w:rPr>
          <w:szCs w:val="20"/>
        </w:rPr>
        <w:t>, pa tudi v skladu s tem zakonom.</w:t>
      </w:r>
    </w:p>
    <w:p w:rsidR="00AE2155" w:rsidRPr="00293E99" w:rsidRDefault="00AE2155" w:rsidP="00B644CC">
      <w:pPr>
        <w:spacing w:line="288" w:lineRule="auto"/>
        <w:jc w:val="both"/>
        <w:rPr>
          <w:szCs w:val="20"/>
        </w:rPr>
      </w:pPr>
    </w:p>
    <w:p w:rsidR="00AE2155" w:rsidRPr="00293E99" w:rsidRDefault="00AE2155" w:rsidP="00B644CC">
      <w:pPr>
        <w:spacing w:line="288" w:lineRule="auto"/>
        <w:jc w:val="both"/>
        <w:rPr>
          <w:szCs w:val="20"/>
        </w:rPr>
      </w:pPr>
      <w:r w:rsidRPr="00293E99">
        <w:rPr>
          <w:szCs w:val="20"/>
        </w:rPr>
        <w:t xml:space="preserve">(4) Namestnik in pomočnik nacionalnega predstavnika v </w:t>
      </w:r>
      <w:proofErr w:type="spellStart"/>
      <w:r w:rsidRPr="00293E99">
        <w:rPr>
          <w:szCs w:val="20"/>
        </w:rPr>
        <w:t>Eurojustu</w:t>
      </w:r>
      <w:proofErr w:type="spellEnd"/>
      <w:r w:rsidRPr="00293E99">
        <w:rPr>
          <w:szCs w:val="20"/>
        </w:rPr>
        <w:t xml:space="preserve"> imata pravice iz prejšnjega odstavka, lahko pa med imenovanjem na podlagi odredbe generalnega državnega tožilca ter v skladu s pravili </w:t>
      </w:r>
      <w:proofErr w:type="spellStart"/>
      <w:r w:rsidRPr="00293E99">
        <w:rPr>
          <w:szCs w:val="20"/>
        </w:rPr>
        <w:t>Eurojusta</w:t>
      </w:r>
      <w:proofErr w:type="spellEnd"/>
      <w:r w:rsidRPr="00293E99">
        <w:rPr>
          <w:szCs w:val="20"/>
        </w:rPr>
        <w:t xml:space="preserve"> opravljata naloge na državnem tožilstvu v Republiki Sloveniji ali na sedežu </w:t>
      </w:r>
      <w:proofErr w:type="spellStart"/>
      <w:r w:rsidRPr="00293E99">
        <w:rPr>
          <w:szCs w:val="20"/>
        </w:rPr>
        <w:t>Eurojusta</w:t>
      </w:r>
      <w:proofErr w:type="spellEnd"/>
      <w:r w:rsidRPr="00293E99">
        <w:rPr>
          <w:szCs w:val="20"/>
        </w:rPr>
        <w:t>.</w:t>
      </w:r>
    </w:p>
    <w:p w:rsidR="00AE2155" w:rsidRPr="00293E99" w:rsidRDefault="00AE2155" w:rsidP="00B644CC">
      <w:pPr>
        <w:spacing w:line="288" w:lineRule="auto"/>
        <w:jc w:val="both"/>
        <w:rPr>
          <w:szCs w:val="20"/>
        </w:rPr>
      </w:pPr>
    </w:p>
    <w:p w:rsidR="00AE2155" w:rsidRDefault="00AE2155" w:rsidP="00B644CC">
      <w:pPr>
        <w:spacing w:line="288" w:lineRule="auto"/>
        <w:jc w:val="both"/>
        <w:rPr>
          <w:szCs w:val="20"/>
        </w:rPr>
      </w:pPr>
      <w:r w:rsidRPr="00293E99">
        <w:rPr>
          <w:szCs w:val="20"/>
        </w:rPr>
        <w:t xml:space="preserve">(5) Plačo nacionalnega predstavnika v </w:t>
      </w:r>
      <w:proofErr w:type="spellStart"/>
      <w:r w:rsidRPr="00293E99">
        <w:rPr>
          <w:szCs w:val="20"/>
        </w:rPr>
        <w:t>Eurojustu</w:t>
      </w:r>
      <w:proofErr w:type="spellEnd"/>
      <w:r w:rsidRPr="00293E99">
        <w:rPr>
          <w:szCs w:val="20"/>
        </w:rPr>
        <w:t xml:space="preserve">, namestnika in pomočnika nacionalnega predstavnika uredi vlada z uredbo na način, kot jo ureja zakon, ki ureja plače v javnem sektorju za funkcionarje, ki so napoteni na delo v tujino ter jim v skladu z zakonom v času napotitve funkcija miruje. Namestniku in pomočniku nacionalnega predstavnika pripada plača v skladu s prejšnjim stavkom, kadar opravljata naloge v tujini. Ne glede na prvi stavek tega odstavka nacionalnemu predstavniku v </w:t>
      </w:r>
      <w:proofErr w:type="spellStart"/>
      <w:r w:rsidRPr="00293E99">
        <w:rPr>
          <w:szCs w:val="20"/>
        </w:rPr>
        <w:t>Eurojustu</w:t>
      </w:r>
      <w:proofErr w:type="spellEnd"/>
      <w:r w:rsidRPr="00293E99">
        <w:rPr>
          <w:szCs w:val="20"/>
        </w:rPr>
        <w:t xml:space="preserve">, namestniku in pomočniku nacionalnega predstavnika pripada najmanj takšna plača, kakršno bi prejemal, če bi opravljal </w:t>
      </w:r>
      <w:proofErr w:type="spellStart"/>
      <w:r w:rsidRPr="00293E99">
        <w:rPr>
          <w:szCs w:val="20"/>
        </w:rPr>
        <w:t>državnotožilsko</w:t>
      </w:r>
      <w:proofErr w:type="spellEnd"/>
      <w:r w:rsidRPr="00293E99">
        <w:rPr>
          <w:szCs w:val="20"/>
        </w:rPr>
        <w:t xml:space="preserve"> službo, če je ta plača višja od plače, določene v prvem stavku.</w:t>
      </w:r>
    </w:p>
    <w:p w:rsidR="00AE2155" w:rsidRDefault="00AE2155" w:rsidP="00B644CC">
      <w:pPr>
        <w:spacing w:line="288" w:lineRule="auto"/>
        <w:jc w:val="both"/>
        <w:rPr>
          <w:szCs w:val="20"/>
        </w:rPr>
      </w:pPr>
    </w:p>
    <w:p w:rsidR="00B644CC" w:rsidRPr="00B644CC" w:rsidRDefault="00B644CC" w:rsidP="00B644CC">
      <w:pPr>
        <w:spacing w:line="288" w:lineRule="auto"/>
        <w:jc w:val="center"/>
        <w:rPr>
          <w:szCs w:val="20"/>
        </w:rPr>
      </w:pPr>
      <w:r w:rsidRPr="00B644CC">
        <w:rPr>
          <w:szCs w:val="20"/>
        </w:rPr>
        <w:t>71.b člen</w:t>
      </w:r>
    </w:p>
    <w:p w:rsidR="00B644CC" w:rsidRPr="00B644CC" w:rsidRDefault="00B644CC" w:rsidP="00B644CC">
      <w:pPr>
        <w:spacing w:line="288" w:lineRule="auto"/>
        <w:jc w:val="center"/>
        <w:rPr>
          <w:szCs w:val="20"/>
        </w:rPr>
      </w:pPr>
      <w:r w:rsidRPr="00B644CC">
        <w:rPr>
          <w:szCs w:val="20"/>
        </w:rPr>
        <w:t>(položaj in pravice)</w:t>
      </w:r>
    </w:p>
    <w:p w:rsidR="00B644CC" w:rsidRPr="00B644CC" w:rsidRDefault="00B644CC" w:rsidP="00B644CC">
      <w:pPr>
        <w:spacing w:line="288" w:lineRule="auto"/>
        <w:jc w:val="both"/>
        <w:rPr>
          <w:szCs w:val="20"/>
        </w:rPr>
      </w:pPr>
    </w:p>
    <w:p w:rsidR="00B644CC" w:rsidRPr="00B644CC" w:rsidRDefault="00B644CC" w:rsidP="00B644CC">
      <w:pPr>
        <w:spacing w:line="288" w:lineRule="auto"/>
        <w:jc w:val="both"/>
        <w:rPr>
          <w:szCs w:val="20"/>
        </w:rPr>
      </w:pPr>
      <w:r w:rsidRPr="00B644CC">
        <w:rPr>
          <w:szCs w:val="20"/>
        </w:rPr>
        <w:t>(1) Evropski tožilec in evropski delegirani tožilec opravljata funkcijo pregona v skladu z zakonom, ki ureja kazenski postopek, in Uredbo 2017/1939/EU.</w:t>
      </w:r>
    </w:p>
    <w:p w:rsidR="00B644CC" w:rsidRPr="00B644CC" w:rsidRDefault="00B644CC" w:rsidP="00B644CC">
      <w:pPr>
        <w:spacing w:line="288" w:lineRule="auto"/>
        <w:jc w:val="both"/>
        <w:rPr>
          <w:szCs w:val="20"/>
        </w:rPr>
      </w:pPr>
    </w:p>
    <w:p w:rsidR="00B644CC" w:rsidRPr="00B644CC" w:rsidRDefault="00B644CC" w:rsidP="00B644CC">
      <w:pPr>
        <w:spacing w:line="288" w:lineRule="auto"/>
        <w:jc w:val="both"/>
        <w:rPr>
          <w:szCs w:val="20"/>
        </w:rPr>
      </w:pPr>
      <w:r w:rsidRPr="00B644CC">
        <w:rPr>
          <w:szCs w:val="20"/>
        </w:rPr>
        <w:t xml:space="preserve">(2) Državnemu tožilcu z imenovanjem za evropskega tožilca mirujejo pravice in dolžnosti iz </w:t>
      </w:r>
      <w:proofErr w:type="spellStart"/>
      <w:r w:rsidRPr="00B644CC">
        <w:rPr>
          <w:szCs w:val="20"/>
        </w:rPr>
        <w:t>državnotožilske</w:t>
      </w:r>
      <w:proofErr w:type="spellEnd"/>
      <w:r w:rsidRPr="00B644CC">
        <w:rPr>
          <w:szCs w:val="20"/>
        </w:rPr>
        <w:t xml:space="preserve"> službe, razen </w:t>
      </w:r>
      <w:proofErr w:type="spellStart"/>
      <w:r w:rsidRPr="00B644CC">
        <w:rPr>
          <w:szCs w:val="20"/>
        </w:rPr>
        <w:t>državnotožilska</w:t>
      </w:r>
      <w:proofErr w:type="spellEnd"/>
      <w:r w:rsidRPr="00B644CC">
        <w:rPr>
          <w:szCs w:val="20"/>
        </w:rPr>
        <w:t xml:space="preserve"> funkcija, varovane so vse njegove pravice do </w:t>
      </w:r>
      <w:r w:rsidRPr="00B644CC">
        <w:rPr>
          <w:szCs w:val="20"/>
        </w:rPr>
        <w:lastRenderedPageBreak/>
        <w:t>napredovanja v skladu s tem zakonom po izteku imenovanja. Državni tožilec obdrži pravico uporabljati doseženi naziv.</w:t>
      </w:r>
    </w:p>
    <w:p w:rsidR="00B644CC" w:rsidRPr="00B644CC" w:rsidRDefault="00B644CC" w:rsidP="00B644CC">
      <w:pPr>
        <w:spacing w:line="288" w:lineRule="auto"/>
        <w:jc w:val="both"/>
        <w:rPr>
          <w:szCs w:val="20"/>
        </w:rPr>
      </w:pPr>
    </w:p>
    <w:p w:rsidR="00B644CC" w:rsidRPr="00B644CC" w:rsidRDefault="00B644CC" w:rsidP="00B644CC">
      <w:pPr>
        <w:spacing w:line="288" w:lineRule="auto"/>
        <w:jc w:val="both"/>
        <w:rPr>
          <w:szCs w:val="20"/>
        </w:rPr>
      </w:pPr>
      <w:r w:rsidRPr="00B644CC">
        <w:rPr>
          <w:szCs w:val="20"/>
        </w:rPr>
        <w:t xml:space="preserve">(3) Z imenovanjem za evropskega delegiranega tožilca je državni tožilec za čas mandata dodeljen na Specializirano državno tožilstvo Republike Slovenije in opravlja delo v zadevah iz pristojnosti Evropskega javnega tožilstva (v nadaljnjem besedilu: EJT). </w:t>
      </w:r>
      <w:proofErr w:type="spellStart"/>
      <w:r w:rsidRPr="00B644CC">
        <w:rPr>
          <w:szCs w:val="20"/>
        </w:rPr>
        <w:t>Državnotožilsko</w:t>
      </w:r>
      <w:proofErr w:type="spellEnd"/>
      <w:r w:rsidRPr="00B644CC">
        <w:rPr>
          <w:szCs w:val="20"/>
        </w:rPr>
        <w:t xml:space="preserve"> službo iz pristojnosti Specializiranega državnega tožilstva Republike Slovenije lahko opravlja, če in kolikor to ne preprečuje izpolnjevanja njegovih obveznosti, ki jih ima na podlagi Uredbe 2017/1939/EU.</w:t>
      </w:r>
    </w:p>
    <w:p w:rsidR="00B644CC" w:rsidRPr="00B644CC" w:rsidRDefault="00B644CC" w:rsidP="00B644CC">
      <w:pPr>
        <w:spacing w:line="288" w:lineRule="auto"/>
        <w:jc w:val="both"/>
        <w:rPr>
          <w:szCs w:val="20"/>
        </w:rPr>
      </w:pPr>
    </w:p>
    <w:p w:rsidR="00B644CC" w:rsidRPr="00B644CC" w:rsidRDefault="00B644CC" w:rsidP="00B644CC">
      <w:pPr>
        <w:spacing w:line="288" w:lineRule="auto"/>
        <w:jc w:val="both"/>
        <w:rPr>
          <w:szCs w:val="20"/>
        </w:rPr>
      </w:pPr>
      <w:r w:rsidRPr="00B644CC">
        <w:rPr>
          <w:szCs w:val="20"/>
        </w:rPr>
        <w:t>(4) Evropskemu delegiranemu tožilcu z imenovanjem pripada plača, kot jo določa drugi odstavek 196. člena tega zakona v sorazmernem delu glede na opravljeno delo v zadevah iz pristojnosti Specializiranega državnega tožilstva Republike Slovenije.</w:t>
      </w:r>
    </w:p>
    <w:p w:rsidR="00B644CC" w:rsidRPr="00B644CC" w:rsidRDefault="00B644CC" w:rsidP="00B644CC">
      <w:pPr>
        <w:spacing w:line="288" w:lineRule="auto"/>
        <w:jc w:val="both"/>
        <w:rPr>
          <w:szCs w:val="20"/>
        </w:rPr>
      </w:pPr>
    </w:p>
    <w:p w:rsidR="00B644CC" w:rsidRPr="00B644CC" w:rsidRDefault="00B644CC" w:rsidP="00B644CC">
      <w:pPr>
        <w:spacing w:line="288" w:lineRule="auto"/>
        <w:jc w:val="both"/>
        <w:rPr>
          <w:szCs w:val="20"/>
        </w:rPr>
      </w:pPr>
      <w:r w:rsidRPr="00B644CC">
        <w:rPr>
          <w:szCs w:val="20"/>
        </w:rPr>
        <w:t>(5) Če skupni prejemki evropskega delegiranega tožilca za opravljeno delo v zadevah iz pristojnosti EJT in iz pristojnosti Specializiranega državnega tožilstva Republike Slovenije ne dosegajo plače iz drugega odstavka 196. člena tega zakona, mu pripada plačilo v višini razlike, ki se izplača v breme proračuna Republike Slovenije.</w:t>
      </w:r>
    </w:p>
    <w:p w:rsidR="00B644CC" w:rsidRPr="00B644CC" w:rsidRDefault="00B644CC" w:rsidP="00B644CC">
      <w:pPr>
        <w:spacing w:line="288" w:lineRule="auto"/>
        <w:jc w:val="both"/>
        <w:rPr>
          <w:szCs w:val="20"/>
        </w:rPr>
      </w:pPr>
    </w:p>
    <w:p w:rsidR="00B644CC" w:rsidRPr="00B644CC" w:rsidRDefault="00B644CC" w:rsidP="00B644CC">
      <w:pPr>
        <w:spacing w:line="288" w:lineRule="auto"/>
        <w:jc w:val="both"/>
        <w:rPr>
          <w:szCs w:val="20"/>
        </w:rPr>
      </w:pPr>
      <w:r w:rsidRPr="00B644CC">
        <w:rPr>
          <w:szCs w:val="20"/>
        </w:rPr>
        <w:t>(6) Podatke, potrebne za izračun razlike iz prejšnjega odstavka, mora evropski delegirani tožilec mesečno sporočati pristojni službi Specializiranega državnega tožilstva Republike Slovenije.</w:t>
      </w:r>
    </w:p>
    <w:p w:rsidR="00B644CC" w:rsidRPr="00B644CC" w:rsidRDefault="00B644CC" w:rsidP="00B644CC">
      <w:pPr>
        <w:spacing w:line="288" w:lineRule="auto"/>
        <w:jc w:val="both"/>
        <w:rPr>
          <w:szCs w:val="20"/>
        </w:rPr>
      </w:pPr>
    </w:p>
    <w:p w:rsidR="00B644CC" w:rsidRPr="00B644CC" w:rsidRDefault="00B644CC" w:rsidP="00B644CC">
      <w:pPr>
        <w:spacing w:line="288" w:lineRule="auto"/>
        <w:jc w:val="both"/>
        <w:rPr>
          <w:szCs w:val="20"/>
        </w:rPr>
      </w:pPr>
      <w:r w:rsidRPr="00B644CC">
        <w:rPr>
          <w:szCs w:val="20"/>
        </w:rPr>
        <w:t>(7) Za čas, v katerem evropski delegirani tožilec rešuje zadeve iz pristojnosti Specializiranega državnega tožilstva Republike Slovenije, se šteje čas, v katerem opravlja delo v zadevah iz pristojnosti tega državnega tožilstva. Čas se evidentira v delovnih dneh.</w:t>
      </w:r>
    </w:p>
    <w:p w:rsidR="00B644CC" w:rsidRPr="00B644CC" w:rsidRDefault="00B644CC" w:rsidP="00B644CC">
      <w:pPr>
        <w:spacing w:line="288" w:lineRule="auto"/>
        <w:jc w:val="both"/>
        <w:rPr>
          <w:szCs w:val="20"/>
        </w:rPr>
      </w:pPr>
    </w:p>
    <w:p w:rsidR="00B644CC" w:rsidRDefault="00B644CC" w:rsidP="00B644CC">
      <w:pPr>
        <w:spacing w:line="288" w:lineRule="auto"/>
        <w:jc w:val="both"/>
        <w:rPr>
          <w:szCs w:val="20"/>
        </w:rPr>
      </w:pPr>
      <w:r w:rsidRPr="00B644CC">
        <w:rPr>
          <w:szCs w:val="20"/>
        </w:rPr>
        <w:t>(8) Evidenco, ki je podlaga za obračun časa iz prejšnjega odstavka in za izračun plače iz petega odstavka tega člena, vodi Specializirano državno tožilstvo Republike Slovenije.</w:t>
      </w:r>
    </w:p>
    <w:p w:rsidR="00B644CC" w:rsidRDefault="00B644CC" w:rsidP="00B644CC">
      <w:pPr>
        <w:spacing w:line="288" w:lineRule="auto"/>
        <w:jc w:val="both"/>
        <w:rPr>
          <w:szCs w:val="20"/>
        </w:rPr>
      </w:pPr>
    </w:p>
    <w:p w:rsidR="00AE2155" w:rsidRPr="00545590" w:rsidRDefault="00AE2155" w:rsidP="00B644CC">
      <w:pPr>
        <w:spacing w:line="288" w:lineRule="auto"/>
        <w:jc w:val="center"/>
        <w:rPr>
          <w:szCs w:val="20"/>
        </w:rPr>
      </w:pPr>
      <w:r w:rsidRPr="00545590">
        <w:rPr>
          <w:szCs w:val="20"/>
        </w:rPr>
        <w:t>77. člen</w:t>
      </w:r>
    </w:p>
    <w:p w:rsidR="00AE2155" w:rsidRPr="00545590" w:rsidRDefault="00AE2155" w:rsidP="00B644CC">
      <w:pPr>
        <w:spacing w:line="288" w:lineRule="auto"/>
        <w:jc w:val="center"/>
        <w:rPr>
          <w:szCs w:val="20"/>
        </w:rPr>
      </w:pPr>
      <w:r w:rsidRPr="00545590">
        <w:rPr>
          <w:szCs w:val="20"/>
        </w:rPr>
        <w:t>(osebna evidenca državnih tožilcev)</w:t>
      </w:r>
    </w:p>
    <w:p w:rsidR="00AE2155" w:rsidRPr="00545590" w:rsidRDefault="00AE2155" w:rsidP="00B644CC">
      <w:pPr>
        <w:spacing w:line="288" w:lineRule="auto"/>
        <w:jc w:val="both"/>
        <w:rPr>
          <w:szCs w:val="20"/>
        </w:rPr>
      </w:pPr>
    </w:p>
    <w:p w:rsidR="00AE2155" w:rsidRPr="00545590" w:rsidRDefault="00AE2155" w:rsidP="00B644CC">
      <w:pPr>
        <w:spacing w:line="288" w:lineRule="auto"/>
        <w:jc w:val="both"/>
        <w:rPr>
          <w:szCs w:val="20"/>
        </w:rPr>
      </w:pPr>
      <w:r w:rsidRPr="00545590">
        <w:rPr>
          <w:szCs w:val="20"/>
        </w:rPr>
        <w:t xml:space="preserve">(1) Za urejanja položaja, pravic, dolžnosti in odgovornosti državnih tožilcev ter omogočanje opravljanja zadev pravosodne in </w:t>
      </w:r>
      <w:proofErr w:type="spellStart"/>
      <w:r w:rsidRPr="00545590">
        <w:rPr>
          <w:szCs w:val="20"/>
        </w:rPr>
        <w:t>državnotožilske</w:t>
      </w:r>
      <w:proofErr w:type="spellEnd"/>
      <w:r w:rsidRPr="00545590">
        <w:rPr>
          <w:szCs w:val="20"/>
        </w:rPr>
        <w:t xml:space="preserve"> uprave, ministrstvo upravlja osebno evidenco državnih tožilcev ter obdeluje podatke v njej.</w:t>
      </w:r>
    </w:p>
    <w:p w:rsidR="00AE2155" w:rsidRPr="00545590" w:rsidRDefault="00AE2155" w:rsidP="00B644CC">
      <w:pPr>
        <w:spacing w:line="288" w:lineRule="auto"/>
        <w:jc w:val="both"/>
        <w:rPr>
          <w:szCs w:val="20"/>
        </w:rPr>
      </w:pPr>
    </w:p>
    <w:p w:rsidR="00AE2155" w:rsidRPr="00545590" w:rsidRDefault="00AE2155" w:rsidP="00B644CC">
      <w:pPr>
        <w:spacing w:line="288" w:lineRule="auto"/>
        <w:jc w:val="both"/>
        <w:rPr>
          <w:szCs w:val="20"/>
        </w:rPr>
      </w:pPr>
      <w:r w:rsidRPr="00545590">
        <w:rPr>
          <w:szCs w:val="20"/>
        </w:rPr>
        <w:t xml:space="preserve">(2) Ministrstvo lahko za opravljanje nalog pravosodne uprave in nadzora nad pravilnostjo vpisanih podatkov, ki jih vsebuje osebna evidenca, v slednjo </w:t>
      </w:r>
      <w:proofErr w:type="spellStart"/>
      <w:r w:rsidRPr="00545590">
        <w:rPr>
          <w:szCs w:val="20"/>
        </w:rPr>
        <w:t>vpogleduje</w:t>
      </w:r>
      <w:proofErr w:type="spellEnd"/>
      <w:r w:rsidRPr="00545590">
        <w:rPr>
          <w:szCs w:val="20"/>
        </w:rPr>
        <w:t xml:space="preserve"> ter podatke izpiše, kopira, prepiše ali jih v skladu z zakonitimi pristojnostmi posreduje drugim organom oziroma uporabi v drugih postopkih.</w:t>
      </w:r>
    </w:p>
    <w:p w:rsidR="00AE2155" w:rsidRPr="00545590" w:rsidRDefault="00AE2155" w:rsidP="00B644CC">
      <w:pPr>
        <w:spacing w:line="288" w:lineRule="auto"/>
        <w:jc w:val="both"/>
        <w:rPr>
          <w:szCs w:val="20"/>
        </w:rPr>
      </w:pPr>
    </w:p>
    <w:p w:rsidR="00AE2155" w:rsidRPr="00545590" w:rsidRDefault="00AE2155" w:rsidP="00B644CC">
      <w:pPr>
        <w:spacing w:line="288" w:lineRule="auto"/>
        <w:jc w:val="both"/>
        <w:rPr>
          <w:szCs w:val="20"/>
        </w:rPr>
      </w:pPr>
      <w:r w:rsidRPr="00545590">
        <w:rPr>
          <w:szCs w:val="20"/>
        </w:rPr>
        <w:t>(3) Osebna evidenca se lahko upravlja z uporabo informacijske tehnologije.</w:t>
      </w:r>
    </w:p>
    <w:p w:rsidR="00AE2155" w:rsidRPr="00545590" w:rsidRDefault="00AE2155" w:rsidP="00B644CC">
      <w:pPr>
        <w:spacing w:line="288" w:lineRule="auto"/>
        <w:jc w:val="both"/>
        <w:rPr>
          <w:szCs w:val="20"/>
        </w:rPr>
      </w:pPr>
    </w:p>
    <w:p w:rsidR="00AE2155" w:rsidRPr="00545590" w:rsidRDefault="00AE2155" w:rsidP="00B644CC">
      <w:pPr>
        <w:spacing w:line="288" w:lineRule="auto"/>
        <w:jc w:val="both"/>
        <w:rPr>
          <w:szCs w:val="20"/>
        </w:rPr>
      </w:pPr>
      <w:r w:rsidRPr="00545590">
        <w:rPr>
          <w:szCs w:val="20"/>
        </w:rPr>
        <w:t>(4) V osebni evidenci se obdelujejo naslednji osebni in drugi podatki:</w:t>
      </w:r>
    </w:p>
    <w:p w:rsidR="00AE2155" w:rsidRPr="00545590" w:rsidRDefault="00AE2155" w:rsidP="00B644CC">
      <w:pPr>
        <w:spacing w:line="288" w:lineRule="auto"/>
        <w:jc w:val="both"/>
        <w:rPr>
          <w:szCs w:val="20"/>
        </w:rPr>
      </w:pPr>
    </w:p>
    <w:p w:rsidR="00AE2155" w:rsidRPr="00545590" w:rsidRDefault="00AE2155" w:rsidP="006C7B49">
      <w:pPr>
        <w:pStyle w:val="Odstavekseznama"/>
        <w:numPr>
          <w:ilvl w:val="0"/>
          <w:numId w:val="20"/>
        </w:numPr>
        <w:spacing w:line="288" w:lineRule="auto"/>
        <w:ind w:left="284" w:hanging="284"/>
        <w:jc w:val="both"/>
        <w:rPr>
          <w:szCs w:val="20"/>
        </w:rPr>
      </w:pPr>
      <w:r w:rsidRPr="00545590">
        <w:rPr>
          <w:szCs w:val="20"/>
        </w:rPr>
        <w:t>ime in priimek, datum rojstva, EMŠO, stalno prebivališče, šolanje, izobraževanje in znanje tujih jezikov;</w:t>
      </w:r>
    </w:p>
    <w:p w:rsidR="00AE2155" w:rsidRPr="00545590" w:rsidRDefault="00AE2155" w:rsidP="006C7B49">
      <w:pPr>
        <w:pStyle w:val="Odstavekseznama"/>
        <w:numPr>
          <w:ilvl w:val="0"/>
          <w:numId w:val="20"/>
        </w:numPr>
        <w:spacing w:line="288" w:lineRule="auto"/>
        <w:ind w:left="284" w:hanging="284"/>
        <w:jc w:val="both"/>
        <w:rPr>
          <w:szCs w:val="20"/>
        </w:rPr>
      </w:pPr>
      <w:r w:rsidRPr="00545590">
        <w:rPr>
          <w:szCs w:val="20"/>
        </w:rPr>
        <w:t>odločbe o imenovanju državnega tožilca;</w:t>
      </w:r>
    </w:p>
    <w:p w:rsidR="00AE2155" w:rsidRPr="00545590" w:rsidRDefault="00AE2155" w:rsidP="006C7B49">
      <w:pPr>
        <w:pStyle w:val="Odstavekseznama"/>
        <w:numPr>
          <w:ilvl w:val="0"/>
          <w:numId w:val="20"/>
        </w:numPr>
        <w:spacing w:line="288" w:lineRule="auto"/>
        <w:ind w:left="284" w:hanging="284"/>
        <w:jc w:val="both"/>
        <w:rPr>
          <w:szCs w:val="20"/>
        </w:rPr>
      </w:pPr>
      <w:r w:rsidRPr="00545590">
        <w:rPr>
          <w:szCs w:val="20"/>
        </w:rPr>
        <w:t>podatki o uspešnosti v času študija;</w:t>
      </w:r>
    </w:p>
    <w:p w:rsidR="00AE2155" w:rsidRPr="00545590" w:rsidRDefault="00AE2155" w:rsidP="006C7B49">
      <w:pPr>
        <w:pStyle w:val="Odstavekseznama"/>
        <w:numPr>
          <w:ilvl w:val="0"/>
          <w:numId w:val="20"/>
        </w:numPr>
        <w:spacing w:line="288" w:lineRule="auto"/>
        <w:ind w:left="284" w:hanging="284"/>
        <w:jc w:val="both"/>
        <w:rPr>
          <w:szCs w:val="20"/>
        </w:rPr>
      </w:pPr>
      <w:r w:rsidRPr="00545590">
        <w:rPr>
          <w:szCs w:val="20"/>
        </w:rPr>
        <w:t>podatki o pripravništvu;</w:t>
      </w:r>
    </w:p>
    <w:p w:rsidR="00AE2155" w:rsidRPr="00545590" w:rsidRDefault="00AE2155" w:rsidP="006C7B49">
      <w:pPr>
        <w:pStyle w:val="Odstavekseznama"/>
        <w:numPr>
          <w:ilvl w:val="0"/>
          <w:numId w:val="20"/>
        </w:numPr>
        <w:spacing w:line="288" w:lineRule="auto"/>
        <w:ind w:left="284" w:hanging="284"/>
        <w:jc w:val="both"/>
        <w:rPr>
          <w:szCs w:val="20"/>
        </w:rPr>
      </w:pPr>
      <w:r w:rsidRPr="00545590">
        <w:rPr>
          <w:szCs w:val="20"/>
        </w:rPr>
        <w:t xml:space="preserve">ocene </w:t>
      </w:r>
      <w:proofErr w:type="spellStart"/>
      <w:r w:rsidRPr="00545590">
        <w:rPr>
          <w:szCs w:val="20"/>
        </w:rPr>
        <w:t>državnotožilske</w:t>
      </w:r>
      <w:proofErr w:type="spellEnd"/>
      <w:r w:rsidRPr="00545590">
        <w:rPr>
          <w:szCs w:val="20"/>
        </w:rPr>
        <w:t xml:space="preserve"> službe in podatki o učinkovitosti </w:t>
      </w:r>
      <w:proofErr w:type="spellStart"/>
      <w:r w:rsidRPr="00545590">
        <w:rPr>
          <w:szCs w:val="20"/>
        </w:rPr>
        <w:t>državnotožilskega</w:t>
      </w:r>
      <w:proofErr w:type="spellEnd"/>
      <w:r w:rsidRPr="00545590">
        <w:rPr>
          <w:szCs w:val="20"/>
        </w:rPr>
        <w:t xml:space="preserve"> dela;</w:t>
      </w:r>
    </w:p>
    <w:p w:rsidR="00AE2155" w:rsidRPr="00545590" w:rsidRDefault="00AE2155" w:rsidP="006C7B49">
      <w:pPr>
        <w:pStyle w:val="Odstavekseznama"/>
        <w:numPr>
          <w:ilvl w:val="0"/>
          <w:numId w:val="20"/>
        </w:numPr>
        <w:spacing w:line="288" w:lineRule="auto"/>
        <w:ind w:left="284" w:hanging="284"/>
        <w:jc w:val="both"/>
        <w:rPr>
          <w:szCs w:val="20"/>
        </w:rPr>
      </w:pPr>
      <w:r w:rsidRPr="00545590">
        <w:rPr>
          <w:szCs w:val="20"/>
        </w:rPr>
        <w:lastRenderedPageBreak/>
        <w:t>evidenco napredovanj;</w:t>
      </w:r>
    </w:p>
    <w:p w:rsidR="00AE2155" w:rsidRPr="00545590" w:rsidRDefault="00AE2155" w:rsidP="006C7B49">
      <w:pPr>
        <w:pStyle w:val="Odstavekseznama"/>
        <w:numPr>
          <w:ilvl w:val="0"/>
          <w:numId w:val="20"/>
        </w:numPr>
        <w:spacing w:line="288" w:lineRule="auto"/>
        <w:ind w:left="284" w:hanging="284"/>
        <w:jc w:val="both"/>
        <w:rPr>
          <w:szCs w:val="20"/>
        </w:rPr>
      </w:pPr>
      <w:r w:rsidRPr="00545590">
        <w:rPr>
          <w:szCs w:val="20"/>
        </w:rPr>
        <w:t>odločitve disciplinskih organov;</w:t>
      </w:r>
    </w:p>
    <w:p w:rsidR="00AE2155" w:rsidRPr="00545590" w:rsidRDefault="00AE2155" w:rsidP="006C7B49">
      <w:pPr>
        <w:pStyle w:val="Odstavekseznama"/>
        <w:numPr>
          <w:ilvl w:val="0"/>
          <w:numId w:val="20"/>
        </w:numPr>
        <w:spacing w:line="288" w:lineRule="auto"/>
        <w:ind w:left="284" w:hanging="284"/>
        <w:jc w:val="both"/>
        <w:rPr>
          <w:szCs w:val="20"/>
        </w:rPr>
      </w:pPr>
      <w:r w:rsidRPr="00545590">
        <w:rPr>
          <w:szCs w:val="20"/>
        </w:rPr>
        <w:t>podatki o vloženih nadzorstvenih pritožbah in rokovnih predlogih državnega tožilca pred sodiščem;</w:t>
      </w:r>
    </w:p>
    <w:p w:rsidR="00AE2155" w:rsidRPr="00545590" w:rsidRDefault="00AE2155" w:rsidP="006C7B49">
      <w:pPr>
        <w:pStyle w:val="Odstavekseznama"/>
        <w:numPr>
          <w:ilvl w:val="0"/>
          <w:numId w:val="20"/>
        </w:numPr>
        <w:spacing w:line="288" w:lineRule="auto"/>
        <w:ind w:left="284" w:hanging="284"/>
        <w:jc w:val="both"/>
        <w:rPr>
          <w:szCs w:val="20"/>
        </w:rPr>
      </w:pPr>
      <w:r w:rsidRPr="00545590">
        <w:rPr>
          <w:szCs w:val="20"/>
        </w:rPr>
        <w:t>podatke o nadzorstvenih pritožbah po določbah tega zakona, ki niso bile očitno neutemeljene ter o ukrepih v zvezi z njimi;</w:t>
      </w:r>
    </w:p>
    <w:p w:rsidR="00AE2155" w:rsidRPr="00545590" w:rsidRDefault="00AE2155" w:rsidP="006C7B49">
      <w:pPr>
        <w:pStyle w:val="Odstavekseznama"/>
        <w:numPr>
          <w:ilvl w:val="0"/>
          <w:numId w:val="20"/>
        </w:numPr>
        <w:spacing w:line="288" w:lineRule="auto"/>
        <w:ind w:left="284" w:hanging="284"/>
        <w:jc w:val="both"/>
        <w:rPr>
          <w:szCs w:val="20"/>
        </w:rPr>
      </w:pPr>
      <w:r w:rsidRPr="00545590">
        <w:rPr>
          <w:szCs w:val="20"/>
        </w:rPr>
        <w:t>podatke o zadevah, ki jih je reševal oziroma jih rešuje državni tožilec, v katerih je Evropsko sodišče za človekove pravice dokončno odločilo, da je do kršitve pravice ali svoboščine stranke prišlo zaradi postopanja državnega tožilca, ali je zaradi take kršitve bila sklenjena poravnava v postopku pred navedenim sodiščem.</w:t>
      </w:r>
    </w:p>
    <w:p w:rsidR="00AE2155" w:rsidRPr="00545590" w:rsidRDefault="00AE2155" w:rsidP="00B644CC">
      <w:pPr>
        <w:spacing w:line="288" w:lineRule="auto"/>
        <w:jc w:val="both"/>
        <w:rPr>
          <w:szCs w:val="20"/>
        </w:rPr>
      </w:pPr>
    </w:p>
    <w:p w:rsidR="00AE2155" w:rsidRPr="00545590" w:rsidRDefault="00AE2155" w:rsidP="00B644CC">
      <w:pPr>
        <w:spacing w:line="288" w:lineRule="auto"/>
        <w:jc w:val="both"/>
        <w:rPr>
          <w:szCs w:val="20"/>
        </w:rPr>
      </w:pPr>
      <w:r w:rsidRPr="00545590">
        <w:rPr>
          <w:szCs w:val="20"/>
        </w:rPr>
        <w:t xml:space="preserve">(5) Podatki iz osebne evidence so tajni, razen podatkov iz 2. in 6. točke prejšnjega odstavka. Organi, ki so pristojni sprejemati odločitve, glede katerih se po določbi prejšnjega odstavka vodi osebna evidenca in organi, ki upravljajo zbirke osebnih podatkov oziroma evidence, ki vsebujejo te podatke, morajo podatke brezplačno posredovati ministrstvu, če podatki niso javno dostopni. Vodje državnih tožilstev morajo ministrstvu dvakrat letno posredovati podatke o obsegu </w:t>
      </w:r>
      <w:proofErr w:type="spellStart"/>
      <w:r w:rsidRPr="00545590">
        <w:rPr>
          <w:szCs w:val="20"/>
        </w:rPr>
        <w:t>državnotožilskega</w:t>
      </w:r>
      <w:proofErr w:type="spellEnd"/>
      <w:r w:rsidRPr="00545590">
        <w:rPr>
          <w:szCs w:val="20"/>
        </w:rPr>
        <w:t xml:space="preserve"> dela, ki jih ministrstvo lahko uporablja za izvajanje nalog pravosodne uprave, ki jih določa zakon. Državno pravobranilstvo posreduje ministrstvu podatke iz 10. točke prejšnjega odstavka.</w:t>
      </w:r>
    </w:p>
    <w:p w:rsidR="00AE2155" w:rsidRPr="00545590" w:rsidRDefault="00AE2155" w:rsidP="00B644CC">
      <w:pPr>
        <w:spacing w:line="288" w:lineRule="auto"/>
        <w:jc w:val="both"/>
        <w:rPr>
          <w:szCs w:val="20"/>
        </w:rPr>
      </w:pPr>
    </w:p>
    <w:p w:rsidR="00AE2155" w:rsidRPr="00545590" w:rsidRDefault="00AE2155" w:rsidP="00B644CC">
      <w:pPr>
        <w:spacing w:line="288" w:lineRule="auto"/>
        <w:jc w:val="both"/>
        <w:rPr>
          <w:szCs w:val="20"/>
        </w:rPr>
      </w:pPr>
      <w:r w:rsidRPr="00545590">
        <w:rPr>
          <w:szCs w:val="20"/>
        </w:rPr>
        <w:t xml:space="preserve">(6) Podatki iz osebne evidence se lahko uporabijo le za izvajanje tega zakona, zlasti glede urejanja položaja, pravic, dolžnosti in odgovornosti državnih tožilcev ter opravljanja zadev pravosodne in </w:t>
      </w:r>
      <w:proofErr w:type="spellStart"/>
      <w:r w:rsidRPr="00545590">
        <w:rPr>
          <w:szCs w:val="20"/>
        </w:rPr>
        <w:t>državnotožilske</w:t>
      </w:r>
      <w:proofErr w:type="spellEnd"/>
      <w:r w:rsidRPr="00545590">
        <w:rPr>
          <w:szCs w:val="20"/>
        </w:rPr>
        <w:t xml:space="preserve"> uprave.</w:t>
      </w:r>
    </w:p>
    <w:p w:rsidR="00AE2155" w:rsidRPr="00545590" w:rsidRDefault="00AE2155" w:rsidP="00B644CC">
      <w:pPr>
        <w:spacing w:line="288" w:lineRule="auto"/>
        <w:jc w:val="both"/>
        <w:rPr>
          <w:szCs w:val="20"/>
        </w:rPr>
      </w:pPr>
    </w:p>
    <w:p w:rsidR="00AE2155" w:rsidRPr="00545590" w:rsidRDefault="00AE2155" w:rsidP="00B644CC">
      <w:pPr>
        <w:spacing w:line="288" w:lineRule="auto"/>
        <w:jc w:val="both"/>
        <w:rPr>
          <w:szCs w:val="20"/>
        </w:rPr>
      </w:pPr>
      <w:r w:rsidRPr="00545590">
        <w:rPr>
          <w:szCs w:val="20"/>
        </w:rPr>
        <w:t xml:space="preserve">(7) Pravico do brezplačnega vpogleda v podatke osebne evidence ima državni tožilec, na katerega se podatki nanašajo, </w:t>
      </w:r>
      <w:proofErr w:type="spellStart"/>
      <w:r w:rsidRPr="00545590">
        <w:rPr>
          <w:szCs w:val="20"/>
        </w:rPr>
        <w:t>Državnotožilski</w:t>
      </w:r>
      <w:proofErr w:type="spellEnd"/>
      <w:r w:rsidRPr="00545590">
        <w:rPr>
          <w:szCs w:val="20"/>
        </w:rPr>
        <w:t xml:space="preserve"> svet, disciplinsko sodišče, disciplinski tožilec in vodja državnega tožilstva, zaradi izvajanja pooblastil po tem zakonu. Podatki iz 1., 5. in 7. točke prvega odstavka se pošiljajo in vračajo v zapečateni pisemski ovojnici z oznako »zaupno«.</w:t>
      </w:r>
    </w:p>
    <w:p w:rsidR="00AE2155" w:rsidRPr="00545590" w:rsidRDefault="00AE2155" w:rsidP="00B644CC">
      <w:pPr>
        <w:spacing w:line="288" w:lineRule="auto"/>
        <w:jc w:val="both"/>
        <w:rPr>
          <w:szCs w:val="20"/>
        </w:rPr>
      </w:pPr>
    </w:p>
    <w:p w:rsidR="00AE2155" w:rsidRDefault="00AE2155" w:rsidP="00B644CC">
      <w:pPr>
        <w:spacing w:line="288" w:lineRule="auto"/>
        <w:jc w:val="both"/>
        <w:rPr>
          <w:szCs w:val="20"/>
        </w:rPr>
      </w:pPr>
      <w:r w:rsidRPr="00545590">
        <w:rPr>
          <w:szCs w:val="20"/>
        </w:rPr>
        <w:t>(8) Podatki iz osebne evidence se hranijo še deset let po prenehanju službenega razmerja državnega tožilca. Po poteku teh rokov se podatki arhivirajo v skladu s predpisi, ki urejajo arhivsko gradivo in arhive.</w:t>
      </w:r>
    </w:p>
    <w:p w:rsidR="00AE2155" w:rsidRDefault="00AE2155" w:rsidP="00B644CC">
      <w:pPr>
        <w:spacing w:line="288" w:lineRule="auto"/>
        <w:jc w:val="both"/>
        <w:rPr>
          <w:szCs w:val="20"/>
        </w:rPr>
      </w:pPr>
    </w:p>
    <w:p w:rsidR="00AE2155" w:rsidRDefault="00AE2155" w:rsidP="00B644CC">
      <w:pPr>
        <w:spacing w:line="288" w:lineRule="auto"/>
        <w:jc w:val="both"/>
        <w:rPr>
          <w:szCs w:val="20"/>
        </w:rPr>
      </w:pPr>
    </w:p>
    <w:p w:rsidR="00AE2155" w:rsidRDefault="00AE2155" w:rsidP="00B644CC">
      <w:pPr>
        <w:spacing w:line="288" w:lineRule="auto"/>
        <w:jc w:val="both"/>
        <w:rPr>
          <w:szCs w:val="20"/>
        </w:rPr>
      </w:pPr>
    </w:p>
    <w:p w:rsidR="00AE2155" w:rsidRPr="00545590" w:rsidRDefault="00AE2155" w:rsidP="00B644CC">
      <w:pPr>
        <w:spacing w:line="288" w:lineRule="auto"/>
        <w:jc w:val="center"/>
        <w:rPr>
          <w:szCs w:val="20"/>
        </w:rPr>
      </w:pPr>
      <w:r w:rsidRPr="00545590">
        <w:rPr>
          <w:szCs w:val="20"/>
        </w:rPr>
        <w:t>102. člen</w:t>
      </w:r>
    </w:p>
    <w:p w:rsidR="00AE2155" w:rsidRPr="00545590" w:rsidRDefault="00AE2155" w:rsidP="00B644CC">
      <w:pPr>
        <w:spacing w:line="288" w:lineRule="auto"/>
        <w:jc w:val="center"/>
        <w:rPr>
          <w:szCs w:val="20"/>
        </w:rPr>
      </w:pPr>
      <w:r w:rsidRPr="00545590">
        <w:rPr>
          <w:szCs w:val="20"/>
        </w:rPr>
        <w:t xml:space="preserve">(pristojnosti </w:t>
      </w:r>
      <w:proofErr w:type="spellStart"/>
      <w:r w:rsidRPr="00545590">
        <w:rPr>
          <w:szCs w:val="20"/>
        </w:rPr>
        <w:t>Državnotožilskega</w:t>
      </w:r>
      <w:proofErr w:type="spellEnd"/>
      <w:r w:rsidRPr="00545590">
        <w:rPr>
          <w:szCs w:val="20"/>
        </w:rPr>
        <w:t xml:space="preserve"> sveta)</w:t>
      </w:r>
    </w:p>
    <w:p w:rsidR="00AE2155" w:rsidRPr="00545590" w:rsidRDefault="00AE2155" w:rsidP="00B644CC">
      <w:pPr>
        <w:spacing w:line="288" w:lineRule="auto"/>
        <w:jc w:val="both"/>
        <w:rPr>
          <w:szCs w:val="20"/>
        </w:rPr>
      </w:pPr>
    </w:p>
    <w:p w:rsidR="00AE2155" w:rsidRPr="00545590" w:rsidRDefault="00AE2155" w:rsidP="00B644CC">
      <w:pPr>
        <w:spacing w:line="288" w:lineRule="auto"/>
        <w:jc w:val="both"/>
        <w:rPr>
          <w:szCs w:val="20"/>
        </w:rPr>
      </w:pPr>
      <w:r w:rsidRPr="00545590">
        <w:rPr>
          <w:szCs w:val="20"/>
        </w:rPr>
        <w:t xml:space="preserve">(1) </w:t>
      </w:r>
      <w:proofErr w:type="spellStart"/>
      <w:r w:rsidRPr="00545590">
        <w:rPr>
          <w:szCs w:val="20"/>
        </w:rPr>
        <w:t>Državnotožilski</w:t>
      </w:r>
      <w:proofErr w:type="spellEnd"/>
      <w:r w:rsidRPr="00545590">
        <w:rPr>
          <w:szCs w:val="20"/>
        </w:rPr>
        <w:t xml:space="preserve"> svet ima te pristojnosti:</w:t>
      </w:r>
    </w:p>
    <w:p w:rsidR="00AE2155" w:rsidRPr="00545590" w:rsidRDefault="00AE2155" w:rsidP="00B644CC">
      <w:pPr>
        <w:spacing w:line="288" w:lineRule="auto"/>
        <w:jc w:val="both"/>
        <w:rPr>
          <w:szCs w:val="20"/>
        </w:rPr>
      </w:pPr>
    </w:p>
    <w:p w:rsidR="00AE2155" w:rsidRPr="00545590" w:rsidRDefault="00AE2155" w:rsidP="006C7B49">
      <w:pPr>
        <w:pStyle w:val="Odstavekseznama"/>
        <w:numPr>
          <w:ilvl w:val="0"/>
          <w:numId w:val="21"/>
        </w:numPr>
        <w:spacing w:line="288" w:lineRule="auto"/>
        <w:ind w:left="284"/>
        <w:jc w:val="both"/>
        <w:rPr>
          <w:szCs w:val="20"/>
        </w:rPr>
      </w:pPr>
      <w:r w:rsidRPr="00545590">
        <w:rPr>
          <w:szCs w:val="20"/>
        </w:rPr>
        <w:t>daje mnenje k politiki pregona državnega tožilstva;</w:t>
      </w:r>
    </w:p>
    <w:p w:rsidR="00AE2155" w:rsidRPr="00545590" w:rsidRDefault="00AE2155" w:rsidP="006C7B49">
      <w:pPr>
        <w:pStyle w:val="Odstavekseznama"/>
        <w:numPr>
          <w:ilvl w:val="0"/>
          <w:numId w:val="21"/>
        </w:numPr>
        <w:spacing w:line="288" w:lineRule="auto"/>
        <w:ind w:left="284"/>
        <w:jc w:val="both"/>
        <w:rPr>
          <w:szCs w:val="20"/>
        </w:rPr>
      </w:pPr>
      <w:r w:rsidRPr="00545590">
        <w:rPr>
          <w:szCs w:val="20"/>
        </w:rPr>
        <w:t>daje pobude za sprejetje ali spremembo splošnih navodil;</w:t>
      </w:r>
    </w:p>
    <w:p w:rsidR="00AE2155" w:rsidRPr="00545590" w:rsidRDefault="00AE2155" w:rsidP="006C7B49">
      <w:pPr>
        <w:pStyle w:val="Odstavekseznama"/>
        <w:numPr>
          <w:ilvl w:val="0"/>
          <w:numId w:val="21"/>
        </w:numPr>
        <w:spacing w:line="288" w:lineRule="auto"/>
        <w:ind w:left="284"/>
        <w:jc w:val="both"/>
        <w:rPr>
          <w:szCs w:val="20"/>
        </w:rPr>
      </w:pPr>
      <w:r w:rsidRPr="00545590">
        <w:rPr>
          <w:szCs w:val="20"/>
        </w:rPr>
        <w:t>podaja mnenja o predlogih za imenovanje državnih tožilcev;</w:t>
      </w:r>
    </w:p>
    <w:p w:rsidR="00AE2155" w:rsidRPr="00545590" w:rsidRDefault="00AE2155" w:rsidP="006C7B49">
      <w:pPr>
        <w:pStyle w:val="Odstavekseznama"/>
        <w:numPr>
          <w:ilvl w:val="0"/>
          <w:numId w:val="21"/>
        </w:numPr>
        <w:spacing w:line="288" w:lineRule="auto"/>
        <w:ind w:left="284"/>
        <w:jc w:val="both"/>
        <w:rPr>
          <w:szCs w:val="20"/>
        </w:rPr>
      </w:pPr>
      <w:r w:rsidRPr="00545590">
        <w:rPr>
          <w:szCs w:val="20"/>
        </w:rPr>
        <w:t xml:space="preserve">izdeluje ocene </w:t>
      </w:r>
      <w:proofErr w:type="spellStart"/>
      <w:r w:rsidRPr="00545590">
        <w:rPr>
          <w:szCs w:val="20"/>
        </w:rPr>
        <w:t>državnotožilske</w:t>
      </w:r>
      <w:proofErr w:type="spellEnd"/>
      <w:r w:rsidRPr="00545590">
        <w:rPr>
          <w:szCs w:val="20"/>
        </w:rPr>
        <w:t xml:space="preserve"> službe in odloča o napredovanju državnih tožilcev v skladu s tem zakonom;</w:t>
      </w:r>
    </w:p>
    <w:p w:rsidR="00AE2155" w:rsidRPr="00545590" w:rsidRDefault="00AE2155" w:rsidP="006C7B49">
      <w:pPr>
        <w:pStyle w:val="Odstavekseznama"/>
        <w:numPr>
          <w:ilvl w:val="0"/>
          <w:numId w:val="21"/>
        </w:numPr>
        <w:spacing w:line="288" w:lineRule="auto"/>
        <w:ind w:left="284"/>
        <w:jc w:val="both"/>
        <w:rPr>
          <w:szCs w:val="20"/>
        </w:rPr>
      </w:pPr>
      <w:r w:rsidRPr="00545590">
        <w:rPr>
          <w:szCs w:val="20"/>
        </w:rPr>
        <w:t>podaja predlog za imenovanje generalnega državnega tožilca in mnenje k imenovanju njegovega namestnika ter imenuje vodje okrožnih državnih tožilstev in njihove namestnike;</w:t>
      </w:r>
    </w:p>
    <w:p w:rsidR="00AE2155" w:rsidRPr="00545590" w:rsidRDefault="00AE2155" w:rsidP="006C7B49">
      <w:pPr>
        <w:pStyle w:val="Odstavekseznama"/>
        <w:numPr>
          <w:ilvl w:val="0"/>
          <w:numId w:val="21"/>
        </w:numPr>
        <w:spacing w:line="288" w:lineRule="auto"/>
        <w:ind w:left="284"/>
        <w:jc w:val="both"/>
        <w:rPr>
          <w:szCs w:val="20"/>
        </w:rPr>
      </w:pPr>
      <w:r w:rsidRPr="00545590">
        <w:rPr>
          <w:szCs w:val="20"/>
        </w:rPr>
        <w:t>odloča o premestitvah in dodelitvah državnih tožilcev v skladu s tem zakonom;</w:t>
      </w:r>
    </w:p>
    <w:p w:rsidR="00AE2155" w:rsidRPr="00545590" w:rsidRDefault="00AE2155" w:rsidP="006C7B49">
      <w:pPr>
        <w:pStyle w:val="Odstavekseznama"/>
        <w:numPr>
          <w:ilvl w:val="0"/>
          <w:numId w:val="21"/>
        </w:numPr>
        <w:spacing w:line="288" w:lineRule="auto"/>
        <w:ind w:left="284"/>
        <w:jc w:val="both"/>
        <w:rPr>
          <w:szCs w:val="20"/>
        </w:rPr>
      </w:pPr>
      <w:r w:rsidRPr="00545590">
        <w:rPr>
          <w:szCs w:val="20"/>
        </w:rPr>
        <w:lastRenderedPageBreak/>
        <w:t>odloča o nezdružljivosti funkcije državnega tožilca;</w:t>
      </w:r>
    </w:p>
    <w:p w:rsidR="00AE2155" w:rsidRPr="00545590" w:rsidRDefault="00AE2155" w:rsidP="006C7B49">
      <w:pPr>
        <w:pStyle w:val="Odstavekseznama"/>
        <w:numPr>
          <w:ilvl w:val="0"/>
          <w:numId w:val="21"/>
        </w:numPr>
        <w:spacing w:line="288" w:lineRule="auto"/>
        <w:ind w:left="284"/>
        <w:jc w:val="both"/>
        <w:rPr>
          <w:szCs w:val="20"/>
        </w:rPr>
      </w:pPr>
      <w:r w:rsidRPr="00545590">
        <w:rPr>
          <w:szCs w:val="20"/>
        </w:rPr>
        <w:t>daje mnenje k predlogu skupnega finančnega načrta za državna tožilstva in mnenje Državnemu zboru Republike Slovenije o zakonih, ki urejajo položaj, pravice in dolžnosti državnih tožilcev;</w:t>
      </w:r>
    </w:p>
    <w:p w:rsidR="00AE2155" w:rsidRPr="00545590" w:rsidRDefault="00AE2155" w:rsidP="006C7B49">
      <w:pPr>
        <w:pStyle w:val="Odstavekseznama"/>
        <w:numPr>
          <w:ilvl w:val="0"/>
          <w:numId w:val="21"/>
        </w:numPr>
        <w:spacing w:line="288" w:lineRule="auto"/>
        <w:ind w:left="284"/>
        <w:jc w:val="both"/>
        <w:rPr>
          <w:szCs w:val="20"/>
        </w:rPr>
      </w:pPr>
      <w:r w:rsidRPr="00545590">
        <w:rPr>
          <w:szCs w:val="20"/>
        </w:rPr>
        <w:t xml:space="preserve">sprejme merila za kakovost dela državnih tožilcev za oceno </w:t>
      </w:r>
      <w:proofErr w:type="spellStart"/>
      <w:r w:rsidRPr="00545590">
        <w:rPr>
          <w:szCs w:val="20"/>
        </w:rPr>
        <w:t>državnotožilske</w:t>
      </w:r>
      <w:proofErr w:type="spellEnd"/>
      <w:r w:rsidRPr="00545590">
        <w:rPr>
          <w:szCs w:val="20"/>
        </w:rPr>
        <w:t xml:space="preserve"> službe in merila za uspešnost pregona državnih tožilstev;</w:t>
      </w:r>
    </w:p>
    <w:p w:rsidR="00AE2155" w:rsidRPr="00545590" w:rsidRDefault="00AE2155" w:rsidP="006C7B49">
      <w:pPr>
        <w:pStyle w:val="Odstavekseznama"/>
        <w:numPr>
          <w:ilvl w:val="0"/>
          <w:numId w:val="21"/>
        </w:numPr>
        <w:spacing w:line="288" w:lineRule="auto"/>
        <w:ind w:left="284"/>
        <w:jc w:val="both"/>
        <w:rPr>
          <w:szCs w:val="20"/>
        </w:rPr>
      </w:pPr>
      <w:r w:rsidRPr="00545590">
        <w:rPr>
          <w:szCs w:val="20"/>
        </w:rPr>
        <w:t>daje mnenje k številu mest državnih tožilcev na državnih tožilstvih;</w:t>
      </w:r>
    </w:p>
    <w:p w:rsidR="00AE2155" w:rsidRPr="00545590" w:rsidRDefault="00AE2155" w:rsidP="006C7B49">
      <w:pPr>
        <w:pStyle w:val="Odstavekseznama"/>
        <w:numPr>
          <w:ilvl w:val="0"/>
          <w:numId w:val="21"/>
        </w:numPr>
        <w:spacing w:line="288" w:lineRule="auto"/>
        <w:ind w:left="284"/>
        <w:jc w:val="both"/>
        <w:rPr>
          <w:szCs w:val="20"/>
        </w:rPr>
      </w:pPr>
      <w:r w:rsidRPr="00545590">
        <w:rPr>
          <w:szCs w:val="20"/>
        </w:rPr>
        <w:t>daje mnenje k skupnemu letnemu poročilu o delu državnih tožilstev;</w:t>
      </w:r>
    </w:p>
    <w:p w:rsidR="00AE2155" w:rsidRPr="00545590" w:rsidRDefault="00AE2155" w:rsidP="006C7B49">
      <w:pPr>
        <w:pStyle w:val="Odstavekseznama"/>
        <w:numPr>
          <w:ilvl w:val="0"/>
          <w:numId w:val="21"/>
        </w:numPr>
        <w:spacing w:line="288" w:lineRule="auto"/>
        <w:ind w:left="284"/>
        <w:jc w:val="both"/>
        <w:rPr>
          <w:szCs w:val="20"/>
        </w:rPr>
      </w:pPr>
      <w:r w:rsidRPr="00545590">
        <w:rPr>
          <w:szCs w:val="20"/>
        </w:rPr>
        <w:t>daje mnenje o izvedbi pravosodnega nadzora;</w:t>
      </w:r>
    </w:p>
    <w:p w:rsidR="00AE2155" w:rsidRPr="00545590" w:rsidRDefault="00AE2155" w:rsidP="006C7B49">
      <w:pPr>
        <w:pStyle w:val="Odstavekseznama"/>
        <w:numPr>
          <w:ilvl w:val="0"/>
          <w:numId w:val="21"/>
        </w:numPr>
        <w:spacing w:line="288" w:lineRule="auto"/>
        <w:ind w:left="284"/>
        <w:jc w:val="both"/>
        <w:rPr>
          <w:szCs w:val="20"/>
        </w:rPr>
      </w:pPr>
      <w:r w:rsidRPr="00545590">
        <w:rPr>
          <w:szCs w:val="20"/>
        </w:rPr>
        <w:t>predlaga ali zahteva odpravo kršitve oziroma odpravi kršitev, s katero je bila prizadeta samostojnost državnega tožilca, in po potrebi objavi svojo ugotovitev;</w:t>
      </w:r>
    </w:p>
    <w:p w:rsidR="00AE2155" w:rsidRPr="00545590" w:rsidRDefault="00AE2155" w:rsidP="006C7B49">
      <w:pPr>
        <w:pStyle w:val="Odstavekseznama"/>
        <w:numPr>
          <w:ilvl w:val="0"/>
          <w:numId w:val="21"/>
        </w:numPr>
        <w:spacing w:line="288" w:lineRule="auto"/>
        <w:ind w:left="284"/>
        <w:jc w:val="both"/>
        <w:rPr>
          <w:szCs w:val="20"/>
        </w:rPr>
      </w:pPr>
      <w:r w:rsidRPr="00545590">
        <w:rPr>
          <w:szCs w:val="20"/>
        </w:rPr>
        <w:t>imenuje in razrešuje disciplinske organe po tem zakonu;</w:t>
      </w:r>
    </w:p>
    <w:p w:rsidR="00AE2155" w:rsidRPr="00545590" w:rsidRDefault="00AE2155" w:rsidP="006C7B49">
      <w:pPr>
        <w:pStyle w:val="Odstavekseznama"/>
        <w:numPr>
          <w:ilvl w:val="0"/>
          <w:numId w:val="21"/>
        </w:numPr>
        <w:spacing w:line="288" w:lineRule="auto"/>
        <w:ind w:left="284"/>
        <w:jc w:val="both"/>
        <w:rPr>
          <w:szCs w:val="20"/>
        </w:rPr>
      </w:pPr>
      <w:r w:rsidRPr="00545590">
        <w:rPr>
          <w:szCs w:val="20"/>
        </w:rPr>
        <w:t>sprejme merila in metode za preizkus strokovne usposobljenosti in drugih sposobnosti kandidatov;</w:t>
      </w:r>
    </w:p>
    <w:p w:rsidR="00AE2155" w:rsidRPr="00545590" w:rsidRDefault="00AE2155" w:rsidP="006C7B49">
      <w:pPr>
        <w:pStyle w:val="Odstavekseznama"/>
        <w:numPr>
          <w:ilvl w:val="0"/>
          <w:numId w:val="21"/>
        </w:numPr>
        <w:spacing w:line="288" w:lineRule="auto"/>
        <w:ind w:left="284"/>
        <w:jc w:val="both"/>
        <w:rPr>
          <w:szCs w:val="20"/>
        </w:rPr>
      </w:pPr>
      <w:r w:rsidRPr="00545590">
        <w:rPr>
          <w:szCs w:val="20"/>
        </w:rPr>
        <w:t>na predlog vodje Specializiranega državnega tožilstva Republike Slovenije odloča o predlogu za dodelitev državnega pravobranilca za opravljanje zahtevnejših strokovnih del na Specializirano državno tožilstvo Republike Slovenije;</w:t>
      </w:r>
    </w:p>
    <w:p w:rsidR="00AE2155" w:rsidRPr="00545590" w:rsidRDefault="00AE2155" w:rsidP="006C7B49">
      <w:pPr>
        <w:pStyle w:val="Odstavekseznama"/>
        <w:numPr>
          <w:ilvl w:val="0"/>
          <w:numId w:val="21"/>
        </w:numPr>
        <w:spacing w:line="288" w:lineRule="auto"/>
        <w:ind w:left="284"/>
        <w:jc w:val="both"/>
        <w:rPr>
          <w:szCs w:val="20"/>
        </w:rPr>
      </w:pPr>
      <w:r w:rsidRPr="00545590">
        <w:rPr>
          <w:szCs w:val="20"/>
        </w:rPr>
        <w:t xml:space="preserve">sprejme Kodeks </w:t>
      </w:r>
      <w:proofErr w:type="spellStart"/>
      <w:r w:rsidRPr="00545590">
        <w:rPr>
          <w:szCs w:val="20"/>
        </w:rPr>
        <w:t>državnotožilske</w:t>
      </w:r>
      <w:proofErr w:type="spellEnd"/>
      <w:r w:rsidRPr="00545590">
        <w:rPr>
          <w:szCs w:val="20"/>
        </w:rPr>
        <w:t xml:space="preserve"> etike;</w:t>
      </w:r>
    </w:p>
    <w:p w:rsidR="00AE2155" w:rsidRPr="00545590" w:rsidRDefault="00AE2155" w:rsidP="006C7B49">
      <w:pPr>
        <w:pStyle w:val="Odstavekseznama"/>
        <w:numPr>
          <w:ilvl w:val="0"/>
          <w:numId w:val="21"/>
        </w:numPr>
        <w:spacing w:line="288" w:lineRule="auto"/>
        <w:ind w:left="284"/>
        <w:jc w:val="both"/>
        <w:rPr>
          <w:szCs w:val="20"/>
        </w:rPr>
      </w:pPr>
      <w:r w:rsidRPr="00545590">
        <w:rPr>
          <w:szCs w:val="20"/>
        </w:rPr>
        <w:t>imenuje Komisijo za etiko in integriteto;</w:t>
      </w:r>
    </w:p>
    <w:p w:rsidR="00AE2155" w:rsidRPr="00545590" w:rsidRDefault="00AE2155" w:rsidP="006C7B49">
      <w:pPr>
        <w:pStyle w:val="Odstavekseznama"/>
        <w:numPr>
          <w:ilvl w:val="0"/>
          <w:numId w:val="21"/>
        </w:numPr>
        <w:spacing w:line="288" w:lineRule="auto"/>
        <w:ind w:left="284"/>
        <w:jc w:val="both"/>
        <w:rPr>
          <w:szCs w:val="20"/>
        </w:rPr>
      </w:pPr>
      <w:r w:rsidRPr="00545590">
        <w:rPr>
          <w:szCs w:val="20"/>
        </w:rPr>
        <w:t>daje soglasje k politiki zaznavanja in obvladovanja korupcijskih tveganj ter izpostavljenosti državnih tožilstev in spremlja njeno uresničevanje;</w:t>
      </w:r>
    </w:p>
    <w:p w:rsidR="00AE2155" w:rsidRPr="00545590" w:rsidRDefault="00AE2155" w:rsidP="006C7B49">
      <w:pPr>
        <w:pStyle w:val="Odstavekseznama"/>
        <w:numPr>
          <w:ilvl w:val="0"/>
          <w:numId w:val="21"/>
        </w:numPr>
        <w:spacing w:line="288" w:lineRule="auto"/>
        <w:ind w:left="284"/>
        <w:jc w:val="both"/>
        <w:rPr>
          <w:szCs w:val="20"/>
        </w:rPr>
      </w:pPr>
      <w:r w:rsidRPr="00545590">
        <w:rPr>
          <w:szCs w:val="20"/>
        </w:rPr>
        <w:t>predlaga spremembe ali dopolnitve politike zaznavanja in obvladovanja korupcijskih tveganj ter izpostavljenosti državnih tožilstev.</w:t>
      </w:r>
    </w:p>
    <w:p w:rsidR="00AE2155" w:rsidRPr="00545590" w:rsidRDefault="00AE2155" w:rsidP="006C7B49">
      <w:pPr>
        <w:pStyle w:val="Odstavekseznama"/>
        <w:numPr>
          <w:ilvl w:val="0"/>
          <w:numId w:val="21"/>
        </w:numPr>
        <w:spacing w:line="288" w:lineRule="auto"/>
        <w:ind w:left="284"/>
        <w:jc w:val="both"/>
        <w:rPr>
          <w:szCs w:val="20"/>
        </w:rPr>
      </w:pPr>
      <w:r w:rsidRPr="00545590">
        <w:rPr>
          <w:szCs w:val="20"/>
        </w:rPr>
        <w:t>odloča o drugih zadevah, če zakon tako določa.</w:t>
      </w:r>
    </w:p>
    <w:p w:rsidR="00AE2155" w:rsidRPr="00545590" w:rsidRDefault="00AE2155" w:rsidP="00B644CC">
      <w:pPr>
        <w:spacing w:line="288" w:lineRule="auto"/>
        <w:jc w:val="both"/>
        <w:rPr>
          <w:szCs w:val="20"/>
        </w:rPr>
      </w:pPr>
    </w:p>
    <w:p w:rsidR="00AE2155" w:rsidRDefault="00AE2155" w:rsidP="00B644CC">
      <w:pPr>
        <w:spacing w:line="288" w:lineRule="auto"/>
        <w:jc w:val="both"/>
        <w:rPr>
          <w:szCs w:val="20"/>
        </w:rPr>
      </w:pPr>
      <w:r w:rsidRPr="00545590">
        <w:rPr>
          <w:szCs w:val="20"/>
        </w:rPr>
        <w:t xml:space="preserve">(2) Podatke, ki se nanašajo na posameznika, </w:t>
      </w:r>
      <w:proofErr w:type="spellStart"/>
      <w:r w:rsidRPr="00545590">
        <w:rPr>
          <w:szCs w:val="20"/>
        </w:rPr>
        <w:t>Državnotožilski</w:t>
      </w:r>
      <w:proofErr w:type="spellEnd"/>
      <w:r w:rsidRPr="00545590">
        <w:rPr>
          <w:szCs w:val="20"/>
        </w:rPr>
        <w:t xml:space="preserve"> svet hrani 15 let po dnevu prenehanja funkcije oziroma razrešitve, nato se arhivirajo v skladu z zakonom, ki ureja arhivska gradiva in arhive</w:t>
      </w:r>
    </w:p>
    <w:p w:rsidR="00AE2155" w:rsidRPr="00F06469" w:rsidRDefault="00AE2155" w:rsidP="00B644CC">
      <w:pPr>
        <w:spacing w:line="288" w:lineRule="auto"/>
        <w:jc w:val="center"/>
        <w:rPr>
          <w:szCs w:val="20"/>
        </w:rPr>
      </w:pPr>
      <w:r w:rsidRPr="00F06469">
        <w:rPr>
          <w:szCs w:val="20"/>
        </w:rPr>
        <w:t>124. člen</w:t>
      </w:r>
    </w:p>
    <w:p w:rsidR="00AE2155" w:rsidRPr="00F06469" w:rsidRDefault="00AE2155" w:rsidP="00B644CC">
      <w:pPr>
        <w:spacing w:line="288" w:lineRule="auto"/>
        <w:jc w:val="center"/>
        <w:rPr>
          <w:szCs w:val="20"/>
        </w:rPr>
      </w:pPr>
      <w:r w:rsidRPr="00F06469">
        <w:rPr>
          <w:szCs w:val="20"/>
        </w:rPr>
        <w:t>(namestnik vodje okrožnega državnega tožilstva)</w:t>
      </w:r>
    </w:p>
    <w:p w:rsidR="00AE2155" w:rsidRPr="00F06469" w:rsidRDefault="00AE2155" w:rsidP="00B644CC">
      <w:pPr>
        <w:spacing w:line="288" w:lineRule="auto"/>
        <w:jc w:val="both"/>
        <w:rPr>
          <w:szCs w:val="20"/>
        </w:rPr>
      </w:pPr>
    </w:p>
    <w:p w:rsidR="00AE2155" w:rsidRPr="00F06469" w:rsidRDefault="00AE2155" w:rsidP="00B644CC">
      <w:pPr>
        <w:spacing w:line="288" w:lineRule="auto"/>
        <w:jc w:val="both"/>
        <w:rPr>
          <w:szCs w:val="20"/>
        </w:rPr>
      </w:pPr>
      <w:r w:rsidRPr="00F06469">
        <w:rPr>
          <w:szCs w:val="20"/>
        </w:rPr>
        <w:t xml:space="preserve">(1) Vodja okrožnega državnega tožilstva ima namestnika, ki ga na obrazložen predlog vodje, po predhodnem mnenju generalnega državnega tožilca, imenuje </w:t>
      </w:r>
      <w:proofErr w:type="spellStart"/>
      <w:r w:rsidRPr="00F06469">
        <w:rPr>
          <w:szCs w:val="20"/>
        </w:rPr>
        <w:t>Državnotožilski</w:t>
      </w:r>
      <w:proofErr w:type="spellEnd"/>
      <w:r w:rsidRPr="00F06469">
        <w:rPr>
          <w:szCs w:val="20"/>
        </w:rPr>
        <w:t xml:space="preserve"> svet za šest let z možnostjo ponovnega imenovanja.</w:t>
      </w:r>
    </w:p>
    <w:p w:rsidR="00AE2155" w:rsidRPr="00F06469" w:rsidRDefault="00AE2155" w:rsidP="00B644CC">
      <w:pPr>
        <w:spacing w:line="288" w:lineRule="auto"/>
        <w:jc w:val="both"/>
        <w:rPr>
          <w:szCs w:val="20"/>
        </w:rPr>
      </w:pPr>
    </w:p>
    <w:p w:rsidR="00AE2155" w:rsidRPr="00F06469" w:rsidRDefault="00AE2155" w:rsidP="00B644CC">
      <w:pPr>
        <w:spacing w:line="288" w:lineRule="auto"/>
        <w:jc w:val="both"/>
        <w:rPr>
          <w:szCs w:val="20"/>
        </w:rPr>
      </w:pPr>
      <w:r w:rsidRPr="00F06469">
        <w:rPr>
          <w:szCs w:val="20"/>
        </w:rPr>
        <w:t xml:space="preserve">(2) Namestnik vodje državnega tožilstva opravlja funkcije in naloge iz pristojnosti vodje državnega tožilstva, če je ta odsoten ali zadržan, v drugih primerih pa na podlagi in v okviru pooblastila, ki ga za obravnavanje posameznih zadev </w:t>
      </w:r>
      <w:proofErr w:type="spellStart"/>
      <w:r w:rsidRPr="00F06469">
        <w:rPr>
          <w:szCs w:val="20"/>
        </w:rPr>
        <w:t>državnotožilske</w:t>
      </w:r>
      <w:proofErr w:type="spellEnd"/>
      <w:r w:rsidRPr="00F06469">
        <w:rPr>
          <w:szCs w:val="20"/>
        </w:rPr>
        <w:t xml:space="preserve"> uprave lahko izda vodja okrožnega državnega tožilstva.</w:t>
      </w:r>
    </w:p>
    <w:p w:rsidR="00AE2155" w:rsidRPr="00F06469" w:rsidRDefault="00AE2155" w:rsidP="00B644CC">
      <w:pPr>
        <w:spacing w:line="288" w:lineRule="auto"/>
        <w:jc w:val="both"/>
        <w:rPr>
          <w:szCs w:val="20"/>
        </w:rPr>
      </w:pPr>
    </w:p>
    <w:p w:rsidR="00AE2155" w:rsidRPr="00F06469" w:rsidRDefault="00AE2155" w:rsidP="00B644CC">
      <w:pPr>
        <w:spacing w:line="288" w:lineRule="auto"/>
        <w:jc w:val="both"/>
        <w:rPr>
          <w:szCs w:val="20"/>
        </w:rPr>
      </w:pPr>
      <w:r w:rsidRPr="00F06469">
        <w:rPr>
          <w:szCs w:val="20"/>
        </w:rPr>
        <w:t xml:space="preserve">(3) Okrožno državno tožilstvo, pri katerem je določeno najmanj 50 </w:t>
      </w:r>
      <w:proofErr w:type="spellStart"/>
      <w:r w:rsidRPr="00F06469">
        <w:rPr>
          <w:szCs w:val="20"/>
        </w:rPr>
        <w:t>državnotožilskih</w:t>
      </w:r>
      <w:proofErr w:type="spellEnd"/>
      <w:r w:rsidRPr="00F06469">
        <w:rPr>
          <w:szCs w:val="20"/>
        </w:rPr>
        <w:t xml:space="preserve"> mest, ima lahko dva namestnika vodje okrožnega državnega tožilstva.</w:t>
      </w:r>
    </w:p>
    <w:p w:rsidR="00AE2155" w:rsidRPr="00F06469" w:rsidRDefault="00AE2155" w:rsidP="00B644CC">
      <w:pPr>
        <w:spacing w:line="288" w:lineRule="auto"/>
        <w:jc w:val="both"/>
        <w:rPr>
          <w:szCs w:val="20"/>
        </w:rPr>
      </w:pPr>
    </w:p>
    <w:p w:rsidR="00AE2155" w:rsidRPr="00F06469" w:rsidRDefault="00AE2155" w:rsidP="00B644CC">
      <w:pPr>
        <w:spacing w:line="288" w:lineRule="auto"/>
        <w:jc w:val="both"/>
        <w:rPr>
          <w:szCs w:val="20"/>
        </w:rPr>
      </w:pPr>
      <w:r w:rsidRPr="00F06469">
        <w:rPr>
          <w:szCs w:val="20"/>
        </w:rPr>
        <w:t>(4) Za namestnika vodje okrožnega državnega tožilstva je lahko imenovan državni tožilec, ki izpolnjuje pogoje za višjega državnega tožilca. Državni tožilec, ki ni imel naziva višji državni tožilec, ga pridobi z imenovanjem.</w:t>
      </w:r>
    </w:p>
    <w:p w:rsidR="00AE2155" w:rsidRPr="00F06469" w:rsidRDefault="00AE2155" w:rsidP="00B644CC">
      <w:pPr>
        <w:spacing w:line="288" w:lineRule="auto"/>
        <w:jc w:val="both"/>
        <w:rPr>
          <w:szCs w:val="20"/>
        </w:rPr>
      </w:pPr>
    </w:p>
    <w:p w:rsidR="00AE2155" w:rsidRDefault="00AE2155" w:rsidP="00B644CC">
      <w:pPr>
        <w:spacing w:line="288" w:lineRule="auto"/>
        <w:jc w:val="both"/>
        <w:rPr>
          <w:szCs w:val="20"/>
        </w:rPr>
      </w:pPr>
      <w:r w:rsidRPr="00F06469">
        <w:rPr>
          <w:szCs w:val="20"/>
        </w:rPr>
        <w:lastRenderedPageBreak/>
        <w:t>(5) V preostalem se za imenovanje namestnika vodje državnega tožilstva uporabljajo določbe tega zakona o vodji državnega tožilstva.</w:t>
      </w:r>
    </w:p>
    <w:p w:rsidR="00AE2155" w:rsidRDefault="00AE2155" w:rsidP="00B644CC">
      <w:pPr>
        <w:spacing w:line="288" w:lineRule="auto"/>
        <w:jc w:val="both"/>
        <w:rPr>
          <w:szCs w:val="20"/>
        </w:rPr>
      </w:pPr>
    </w:p>
    <w:p w:rsidR="00AE2155" w:rsidRPr="00F06469" w:rsidRDefault="00AE2155" w:rsidP="00B644CC">
      <w:pPr>
        <w:spacing w:line="288" w:lineRule="auto"/>
        <w:jc w:val="center"/>
        <w:rPr>
          <w:szCs w:val="20"/>
        </w:rPr>
      </w:pPr>
      <w:r w:rsidRPr="00F06469">
        <w:rPr>
          <w:szCs w:val="20"/>
        </w:rPr>
        <w:t>129. člen</w:t>
      </w:r>
    </w:p>
    <w:p w:rsidR="00AE2155" w:rsidRPr="00F06469" w:rsidRDefault="00AE2155" w:rsidP="00B644CC">
      <w:pPr>
        <w:spacing w:line="288" w:lineRule="auto"/>
        <w:jc w:val="center"/>
        <w:rPr>
          <w:szCs w:val="20"/>
        </w:rPr>
      </w:pPr>
      <w:r w:rsidRPr="00F06469">
        <w:rPr>
          <w:szCs w:val="20"/>
        </w:rPr>
        <w:t>(razrešitev funkcije namestnika)</w:t>
      </w:r>
    </w:p>
    <w:p w:rsidR="00AE2155" w:rsidRPr="00F06469" w:rsidRDefault="00AE2155" w:rsidP="00B644CC">
      <w:pPr>
        <w:spacing w:line="288" w:lineRule="auto"/>
        <w:jc w:val="both"/>
        <w:rPr>
          <w:szCs w:val="20"/>
        </w:rPr>
      </w:pPr>
    </w:p>
    <w:p w:rsidR="00AE2155" w:rsidRPr="00F06469" w:rsidRDefault="00AE2155" w:rsidP="00B644CC">
      <w:pPr>
        <w:spacing w:line="288" w:lineRule="auto"/>
        <w:jc w:val="both"/>
        <w:rPr>
          <w:szCs w:val="20"/>
        </w:rPr>
      </w:pPr>
      <w:r w:rsidRPr="00F06469">
        <w:rPr>
          <w:szCs w:val="20"/>
        </w:rPr>
        <w:t>(1) Za razrešitev funkcije namestnika generalnega državnega tožilca se smiselno uporabljajo določbe tega zakona, ki urejajo razrešitev generalnega državnega tožilca.</w:t>
      </w:r>
    </w:p>
    <w:p w:rsidR="00AE2155" w:rsidRPr="00F06469" w:rsidRDefault="00AE2155" w:rsidP="00B644CC">
      <w:pPr>
        <w:spacing w:line="288" w:lineRule="auto"/>
        <w:jc w:val="both"/>
        <w:rPr>
          <w:szCs w:val="20"/>
        </w:rPr>
      </w:pPr>
    </w:p>
    <w:p w:rsidR="00AE2155" w:rsidRDefault="00AE2155" w:rsidP="00B644CC">
      <w:pPr>
        <w:spacing w:line="288" w:lineRule="auto"/>
        <w:jc w:val="both"/>
        <w:rPr>
          <w:szCs w:val="20"/>
        </w:rPr>
      </w:pPr>
      <w:r w:rsidRPr="00F06469">
        <w:rPr>
          <w:szCs w:val="20"/>
        </w:rPr>
        <w:t>(2) Za razrešitev funkcije namestnika vodje okrožnega državnega tožilstva se smiselno uporabljajo določbe tega zakona, ki urejajo razrešitev vodje okrožnega državnega tožilstva.</w:t>
      </w:r>
    </w:p>
    <w:p w:rsidR="00AE2155" w:rsidRDefault="00AE2155" w:rsidP="00B644CC">
      <w:pPr>
        <w:spacing w:line="288" w:lineRule="auto"/>
        <w:jc w:val="center"/>
        <w:rPr>
          <w:szCs w:val="20"/>
        </w:rPr>
      </w:pPr>
    </w:p>
    <w:p w:rsidR="00AE2155" w:rsidRPr="00F06469" w:rsidRDefault="00AE2155" w:rsidP="00B644CC">
      <w:pPr>
        <w:spacing w:line="288" w:lineRule="auto"/>
        <w:jc w:val="center"/>
        <w:rPr>
          <w:szCs w:val="20"/>
        </w:rPr>
      </w:pPr>
      <w:r w:rsidRPr="00F06469">
        <w:rPr>
          <w:szCs w:val="20"/>
        </w:rPr>
        <w:t>132. člen</w:t>
      </w:r>
    </w:p>
    <w:p w:rsidR="00AE2155" w:rsidRPr="00F06469" w:rsidRDefault="00AE2155" w:rsidP="00B644CC">
      <w:pPr>
        <w:spacing w:line="288" w:lineRule="auto"/>
        <w:jc w:val="center"/>
        <w:rPr>
          <w:szCs w:val="20"/>
        </w:rPr>
      </w:pPr>
      <w:r w:rsidRPr="00F06469">
        <w:rPr>
          <w:szCs w:val="20"/>
        </w:rPr>
        <w:t>(kolegij državnega tožilstva)</w:t>
      </w:r>
    </w:p>
    <w:p w:rsidR="00AE2155" w:rsidRPr="00F06469" w:rsidRDefault="00AE2155" w:rsidP="00B644CC">
      <w:pPr>
        <w:spacing w:line="288" w:lineRule="auto"/>
        <w:jc w:val="both"/>
        <w:rPr>
          <w:szCs w:val="20"/>
        </w:rPr>
      </w:pPr>
    </w:p>
    <w:p w:rsidR="00AE2155" w:rsidRPr="00F06469" w:rsidRDefault="00AE2155" w:rsidP="00B644CC">
      <w:pPr>
        <w:spacing w:line="288" w:lineRule="auto"/>
        <w:jc w:val="both"/>
        <w:rPr>
          <w:szCs w:val="20"/>
        </w:rPr>
      </w:pPr>
      <w:r w:rsidRPr="00F06469">
        <w:rPr>
          <w:szCs w:val="20"/>
        </w:rPr>
        <w:t xml:space="preserve">(1) Člani kolegija posameznega državnega tožilstva so vodja državnega tožilstva in vsi državni tožilci, ki opravljajo </w:t>
      </w:r>
      <w:proofErr w:type="spellStart"/>
      <w:r w:rsidRPr="00F06469">
        <w:rPr>
          <w:szCs w:val="20"/>
        </w:rPr>
        <w:t>državnotožilsko</w:t>
      </w:r>
      <w:proofErr w:type="spellEnd"/>
      <w:r w:rsidRPr="00F06469">
        <w:rPr>
          <w:szCs w:val="20"/>
        </w:rPr>
        <w:t xml:space="preserve"> službo na tem državnem tožilstvu. Pri delu kolegija lahko sodelujejo strokovni sodelavci in direktor, če tako odloči vodja državnega tožilstva.</w:t>
      </w:r>
    </w:p>
    <w:p w:rsidR="00AE2155" w:rsidRPr="00F06469" w:rsidRDefault="00AE2155" w:rsidP="00B644CC">
      <w:pPr>
        <w:spacing w:line="288" w:lineRule="auto"/>
        <w:jc w:val="both"/>
        <w:rPr>
          <w:szCs w:val="20"/>
        </w:rPr>
      </w:pPr>
    </w:p>
    <w:p w:rsidR="00AE2155" w:rsidRPr="00F06469" w:rsidRDefault="00AE2155" w:rsidP="00B644CC">
      <w:pPr>
        <w:spacing w:line="288" w:lineRule="auto"/>
        <w:jc w:val="both"/>
        <w:rPr>
          <w:szCs w:val="20"/>
        </w:rPr>
      </w:pPr>
      <w:r w:rsidRPr="00F06469">
        <w:rPr>
          <w:szCs w:val="20"/>
        </w:rPr>
        <w:t>(2) Kolegij državnega tožilstva:</w:t>
      </w:r>
    </w:p>
    <w:p w:rsidR="00AE2155" w:rsidRPr="00F06469" w:rsidRDefault="00AE2155" w:rsidP="00B644CC">
      <w:pPr>
        <w:spacing w:line="288" w:lineRule="auto"/>
        <w:jc w:val="both"/>
        <w:rPr>
          <w:szCs w:val="20"/>
        </w:rPr>
      </w:pPr>
    </w:p>
    <w:p w:rsidR="00AE2155" w:rsidRPr="00F06469" w:rsidRDefault="00AE2155" w:rsidP="00B644CC">
      <w:pPr>
        <w:spacing w:line="288" w:lineRule="auto"/>
        <w:jc w:val="both"/>
        <w:rPr>
          <w:szCs w:val="20"/>
        </w:rPr>
      </w:pPr>
      <w:r w:rsidRPr="00F06469">
        <w:rPr>
          <w:szCs w:val="20"/>
        </w:rPr>
        <w:t>-       (črtana);</w:t>
      </w:r>
    </w:p>
    <w:p w:rsidR="00AE2155" w:rsidRPr="00F06469" w:rsidRDefault="00AE2155" w:rsidP="00B644CC">
      <w:pPr>
        <w:spacing w:line="288" w:lineRule="auto"/>
        <w:jc w:val="both"/>
        <w:rPr>
          <w:szCs w:val="20"/>
        </w:rPr>
      </w:pPr>
      <w:r w:rsidRPr="00F06469">
        <w:rPr>
          <w:szCs w:val="20"/>
        </w:rPr>
        <w:t>-       daje predhodno mnenje o predlogu splošnih navodil;</w:t>
      </w:r>
    </w:p>
    <w:p w:rsidR="00AE2155" w:rsidRPr="00F06469" w:rsidRDefault="00AE2155" w:rsidP="00B644CC">
      <w:pPr>
        <w:spacing w:line="288" w:lineRule="auto"/>
        <w:jc w:val="both"/>
        <w:rPr>
          <w:szCs w:val="20"/>
        </w:rPr>
      </w:pPr>
      <w:r w:rsidRPr="00F06469">
        <w:rPr>
          <w:szCs w:val="20"/>
        </w:rPr>
        <w:t>-       daje predhodno mnenje o predlogu letnega razporeda dela državnih tožilcev;</w:t>
      </w:r>
    </w:p>
    <w:p w:rsidR="00AE2155" w:rsidRPr="00F06469" w:rsidRDefault="00AE2155" w:rsidP="00B644CC">
      <w:pPr>
        <w:spacing w:line="288" w:lineRule="auto"/>
        <w:jc w:val="both"/>
        <w:rPr>
          <w:szCs w:val="20"/>
        </w:rPr>
      </w:pPr>
      <w:r w:rsidRPr="00F06469">
        <w:rPr>
          <w:szCs w:val="20"/>
        </w:rPr>
        <w:t xml:space="preserve">-       obravnava pomembnejša vprašanja </w:t>
      </w:r>
      <w:proofErr w:type="spellStart"/>
      <w:r w:rsidRPr="00F06469">
        <w:rPr>
          <w:szCs w:val="20"/>
        </w:rPr>
        <w:t>državnotožilske</w:t>
      </w:r>
      <w:proofErr w:type="spellEnd"/>
      <w:r w:rsidRPr="00F06469">
        <w:rPr>
          <w:szCs w:val="20"/>
        </w:rPr>
        <w:t xml:space="preserve"> prakse;</w:t>
      </w:r>
    </w:p>
    <w:p w:rsidR="00AE2155" w:rsidRPr="00F06469" w:rsidRDefault="00AE2155" w:rsidP="00B644CC">
      <w:pPr>
        <w:spacing w:line="288" w:lineRule="auto"/>
        <w:jc w:val="both"/>
        <w:rPr>
          <w:szCs w:val="20"/>
        </w:rPr>
      </w:pPr>
      <w:r w:rsidRPr="00F06469">
        <w:rPr>
          <w:szCs w:val="20"/>
        </w:rPr>
        <w:t xml:space="preserve">-       na predlog vodje obravnava vprašanja </w:t>
      </w:r>
      <w:proofErr w:type="spellStart"/>
      <w:r w:rsidRPr="00F06469">
        <w:rPr>
          <w:szCs w:val="20"/>
        </w:rPr>
        <w:t>državnotožilske</w:t>
      </w:r>
      <w:proofErr w:type="spellEnd"/>
      <w:r w:rsidRPr="00F06469">
        <w:rPr>
          <w:szCs w:val="20"/>
        </w:rPr>
        <w:t xml:space="preserve"> uprave, ki so splošne narave;</w:t>
      </w:r>
    </w:p>
    <w:p w:rsidR="00AE2155" w:rsidRPr="00F06469" w:rsidRDefault="00AE2155" w:rsidP="00B644CC">
      <w:pPr>
        <w:spacing w:line="288" w:lineRule="auto"/>
        <w:jc w:val="both"/>
        <w:rPr>
          <w:szCs w:val="20"/>
        </w:rPr>
      </w:pPr>
      <w:r w:rsidRPr="00F06469">
        <w:rPr>
          <w:szCs w:val="20"/>
        </w:rPr>
        <w:t xml:space="preserve">-       obravnava druge zadeve, določene s tem zakonom ali </w:t>
      </w:r>
      <w:proofErr w:type="spellStart"/>
      <w:r w:rsidRPr="00F06469">
        <w:rPr>
          <w:szCs w:val="20"/>
        </w:rPr>
        <w:t>Državnotožilskim</w:t>
      </w:r>
      <w:proofErr w:type="spellEnd"/>
      <w:r w:rsidRPr="00F06469">
        <w:rPr>
          <w:szCs w:val="20"/>
        </w:rPr>
        <w:t xml:space="preserve"> redom.</w:t>
      </w:r>
    </w:p>
    <w:p w:rsidR="00AE2155" w:rsidRPr="00F06469" w:rsidRDefault="00AE2155" w:rsidP="00B644CC">
      <w:pPr>
        <w:spacing w:line="288" w:lineRule="auto"/>
        <w:jc w:val="both"/>
        <w:rPr>
          <w:szCs w:val="20"/>
        </w:rPr>
      </w:pPr>
    </w:p>
    <w:p w:rsidR="00AE2155" w:rsidRPr="00F06469" w:rsidRDefault="00AE2155" w:rsidP="00B644CC">
      <w:pPr>
        <w:spacing w:line="288" w:lineRule="auto"/>
        <w:jc w:val="both"/>
        <w:rPr>
          <w:szCs w:val="20"/>
        </w:rPr>
      </w:pPr>
      <w:r w:rsidRPr="00F06469">
        <w:rPr>
          <w:szCs w:val="20"/>
        </w:rPr>
        <w:t>(3) Vodja državnega tožilstva sestavo kolegija oziroma način kolegijskega dela za obravnavanje drugih vprašanj določi v skladu z njihovo naravo.</w:t>
      </w:r>
    </w:p>
    <w:p w:rsidR="00AE2155" w:rsidRPr="00F06469" w:rsidRDefault="00AE2155" w:rsidP="00B644CC">
      <w:pPr>
        <w:spacing w:line="288" w:lineRule="auto"/>
        <w:jc w:val="both"/>
        <w:rPr>
          <w:szCs w:val="20"/>
        </w:rPr>
      </w:pPr>
    </w:p>
    <w:p w:rsidR="00AE2155" w:rsidRPr="00F06469" w:rsidRDefault="00AE2155" w:rsidP="00B644CC">
      <w:pPr>
        <w:spacing w:line="288" w:lineRule="auto"/>
        <w:jc w:val="center"/>
        <w:rPr>
          <w:szCs w:val="20"/>
        </w:rPr>
      </w:pPr>
      <w:r w:rsidRPr="00F06469">
        <w:rPr>
          <w:szCs w:val="20"/>
        </w:rPr>
        <w:t>133. člen</w:t>
      </w:r>
    </w:p>
    <w:p w:rsidR="00AE2155" w:rsidRPr="00F06469" w:rsidRDefault="00AE2155" w:rsidP="00B644CC">
      <w:pPr>
        <w:spacing w:line="288" w:lineRule="auto"/>
        <w:jc w:val="center"/>
        <w:rPr>
          <w:szCs w:val="20"/>
        </w:rPr>
      </w:pPr>
      <w:r w:rsidRPr="00F06469">
        <w:rPr>
          <w:szCs w:val="20"/>
        </w:rPr>
        <w:t>(razširjeni kolegij Vrhovnega državnega tožilstva)</w:t>
      </w:r>
    </w:p>
    <w:p w:rsidR="00AE2155" w:rsidRPr="00F06469" w:rsidRDefault="00AE2155" w:rsidP="00B644CC">
      <w:pPr>
        <w:spacing w:line="288" w:lineRule="auto"/>
        <w:jc w:val="center"/>
        <w:rPr>
          <w:szCs w:val="20"/>
        </w:rPr>
      </w:pPr>
    </w:p>
    <w:p w:rsidR="00AE2155" w:rsidRPr="00F06469" w:rsidRDefault="00AE2155" w:rsidP="00B644CC">
      <w:pPr>
        <w:spacing w:line="288" w:lineRule="auto"/>
        <w:jc w:val="both"/>
        <w:rPr>
          <w:szCs w:val="20"/>
        </w:rPr>
      </w:pPr>
      <w:r w:rsidRPr="00F06469">
        <w:rPr>
          <w:szCs w:val="20"/>
        </w:rPr>
        <w:t xml:space="preserve">(1) Člani razširjenega kolegija Vrhovnega državnega tožilstva so vsi državni tožilci, ki opravljajo </w:t>
      </w:r>
      <w:proofErr w:type="spellStart"/>
      <w:r w:rsidRPr="00F06469">
        <w:rPr>
          <w:szCs w:val="20"/>
        </w:rPr>
        <w:t>državnotožilsko</w:t>
      </w:r>
      <w:proofErr w:type="spellEnd"/>
      <w:r w:rsidRPr="00F06469">
        <w:rPr>
          <w:szCs w:val="20"/>
        </w:rPr>
        <w:t xml:space="preserve"> službo na tem državnem tožilstvu, in vodje okrožnih državnih tožilstev.</w:t>
      </w:r>
    </w:p>
    <w:p w:rsidR="00AE2155" w:rsidRPr="00F06469" w:rsidRDefault="00AE2155" w:rsidP="00B644CC">
      <w:pPr>
        <w:spacing w:line="288" w:lineRule="auto"/>
        <w:jc w:val="both"/>
        <w:rPr>
          <w:szCs w:val="20"/>
        </w:rPr>
      </w:pPr>
    </w:p>
    <w:p w:rsidR="00AE2155" w:rsidRPr="00F06469" w:rsidRDefault="00AE2155" w:rsidP="00B644CC">
      <w:pPr>
        <w:spacing w:line="288" w:lineRule="auto"/>
        <w:jc w:val="both"/>
        <w:rPr>
          <w:szCs w:val="20"/>
        </w:rPr>
      </w:pPr>
      <w:r w:rsidRPr="00F06469">
        <w:rPr>
          <w:szCs w:val="20"/>
        </w:rPr>
        <w:t>(2) Pri delu razširjenega kolegija lahko sodelujejo strokovni sodelavci, če tako odloči generalni državni tožilec.</w:t>
      </w:r>
    </w:p>
    <w:p w:rsidR="00AE2155" w:rsidRPr="00F06469" w:rsidRDefault="00AE2155" w:rsidP="00B644CC">
      <w:pPr>
        <w:spacing w:line="288" w:lineRule="auto"/>
        <w:jc w:val="both"/>
        <w:rPr>
          <w:szCs w:val="20"/>
        </w:rPr>
      </w:pPr>
    </w:p>
    <w:p w:rsidR="00AE2155" w:rsidRPr="00F06469" w:rsidRDefault="00AE2155" w:rsidP="00B644CC">
      <w:pPr>
        <w:spacing w:line="288" w:lineRule="auto"/>
        <w:jc w:val="both"/>
        <w:rPr>
          <w:szCs w:val="20"/>
        </w:rPr>
      </w:pPr>
      <w:r w:rsidRPr="00F06469">
        <w:rPr>
          <w:szCs w:val="20"/>
        </w:rPr>
        <w:t>(3) Razširjeni kolegij Vrhovnega državnega tožilstva:</w:t>
      </w:r>
    </w:p>
    <w:p w:rsidR="00AE2155" w:rsidRPr="00F06469" w:rsidRDefault="00AE2155" w:rsidP="00B644CC">
      <w:pPr>
        <w:spacing w:line="288" w:lineRule="auto"/>
        <w:jc w:val="both"/>
        <w:rPr>
          <w:szCs w:val="20"/>
        </w:rPr>
      </w:pPr>
    </w:p>
    <w:p w:rsidR="00AE2155" w:rsidRPr="00F06469" w:rsidRDefault="00AE2155" w:rsidP="00B644CC">
      <w:pPr>
        <w:spacing w:line="288" w:lineRule="auto"/>
        <w:jc w:val="both"/>
        <w:rPr>
          <w:szCs w:val="20"/>
        </w:rPr>
      </w:pPr>
      <w:r w:rsidRPr="00F06469">
        <w:rPr>
          <w:szCs w:val="20"/>
        </w:rPr>
        <w:t>-       sprejema načelna stališča o vprašanjih, ki so pomembna za enotno uporabo zakonov;</w:t>
      </w:r>
    </w:p>
    <w:p w:rsidR="00AE2155" w:rsidRPr="00F06469" w:rsidRDefault="00AE2155" w:rsidP="00B644CC">
      <w:pPr>
        <w:spacing w:line="288" w:lineRule="auto"/>
        <w:jc w:val="both"/>
        <w:rPr>
          <w:szCs w:val="20"/>
        </w:rPr>
      </w:pPr>
      <w:r w:rsidRPr="00F06469">
        <w:rPr>
          <w:szCs w:val="20"/>
        </w:rPr>
        <w:t xml:space="preserve">-       sprejema pravna mnenja o vprašanjih </w:t>
      </w:r>
      <w:proofErr w:type="spellStart"/>
      <w:r w:rsidRPr="00F06469">
        <w:rPr>
          <w:szCs w:val="20"/>
        </w:rPr>
        <w:t>državnotožilske</w:t>
      </w:r>
      <w:proofErr w:type="spellEnd"/>
      <w:r w:rsidRPr="00F06469">
        <w:rPr>
          <w:szCs w:val="20"/>
        </w:rPr>
        <w:t xml:space="preserve"> prakse;</w:t>
      </w:r>
    </w:p>
    <w:p w:rsidR="00AE2155" w:rsidRPr="00F06469" w:rsidRDefault="00AE2155" w:rsidP="00B644CC">
      <w:pPr>
        <w:spacing w:line="288" w:lineRule="auto"/>
        <w:jc w:val="both"/>
        <w:rPr>
          <w:szCs w:val="20"/>
        </w:rPr>
      </w:pPr>
      <w:r w:rsidRPr="00F06469">
        <w:rPr>
          <w:szCs w:val="20"/>
        </w:rPr>
        <w:t>-       daje mnenje o predlogih zakonov in podzakonskih aktov;</w:t>
      </w:r>
    </w:p>
    <w:p w:rsidR="00AE2155" w:rsidRPr="00F06469" w:rsidRDefault="00AE2155" w:rsidP="00B644CC">
      <w:pPr>
        <w:spacing w:line="288" w:lineRule="auto"/>
        <w:jc w:val="both"/>
        <w:rPr>
          <w:szCs w:val="20"/>
        </w:rPr>
      </w:pPr>
      <w:r w:rsidRPr="00F06469">
        <w:rPr>
          <w:szCs w:val="20"/>
        </w:rPr>
        <w:t>-       daje mnenje o predlogih splošnih navodil;</w:t>
      </w:r>
    </w:p>
    <w:p w:rsidR="00AE2155" w:rsidRPr="00F06469" w:rsidRDefault="00AE2155" w:rsidP="00B644CC">
      <w:pPr>
        <w:spacing w:line="288" w:lineRule="auto"/>
        <w:jc w:val="both"/>
        <w:rPr>
          <w:szCs w:val="20"/>
        </w:rPr>
      </w:pPr>
      <w:r w:rsidRPr="00F06469">
        <w:rPr>
          <w:szCs w:val="20"/>
        </w:rPr>
        <w:t xml:space="preserve">-       določa način spremljanja in evidentiranja </w:t>
      </w:r>
      <w:proofErr w:type="spellStart"/>
      <w:r w:rsidRPr="00F06469">
        <w:rPr>
          <w:szCs w:val="20"/>
        </w:rPr>
        <w:t>državnotožilske</w:t>
      </w:r>
      <w:proofErr w:type="spellEnd"/>
      <w:r w:rsidRPr="00F06469">
        <w:rPr>
          <w:szCs w:val="20"/>
        </w:rPr>
        <w:t xml:space="preserve"> prakse na državnih tožilstvih;</w:t>
      </w:r>
    </w:p>
    <w:p w:rsidR="00AE2155" w:rsidRPr="00F06469" w:rsidRDefault="00AE2155" w:rsidP="00B644CC">
      <w:pPr>
        <w:spacing w:line="288" w:lineRule="auto"/>
        <w:jc w:val="both"/>
        <w:rPr>
          <w:szCs w:val="20"/>
        </w:rPr>
      </w:pPr>
      <w:r w:rsidRPr="00F06469">
        <w:rPr>
          <w:szCs w:val="20"/>
        </w:rPr>
        <w:t xml:space="preserve">-       opravlja druge zadeve na podlagi zakona ali </w:t>
      </w:r>
      <w:proofErr w:type="spellStart"/>
      <w:r w:rsidRPr="00F06469">
        <w:rPr>
          <w:szCs w:val="20"/>
        </w:rPr>
        <w:t>Državnotožilskega</w:t>
      </w:r>
      <w:proofErr w:type="spellEnd"/>
      <w:r w:rsidRPr="00F06469">
        <w:rPr>
          <w:szCs w:val="20"/>
        </w:rPr>
        <w:t xml:space="preserve"> reda.</w:t>
      </w:r>
    </w:p>
    <w:p w:rsidR="00AE2155" w:rsidRPr="00F06469" w:rsidRDefault="00AE2155" w:rsidP="00B644CC">
      <w:pPr>
        <w:spacing w:line="288" w:lineRule="auto"/>
        <w:jc w:val="both"/>
        <w:rPr>
          <w:szCs w:val="20"/>
        </w:rPr>
      </w:pPr>
    </w:p>
    <w:p w:rsidR="00AE2155" w:rsidRPr="00F06469" w:rsidRDefault="00AE2155" w:rsidP="00B644CC">
      <w:pPr>
        <w:spacing w:line="288" w:lineRule="auto"/>
        <w:jc w:val="both"/>
        <w:rPr>
          <w:szCs w:val="20"/>
        </w:rPr>
      </w:pPr>
      <w:r w:rsidRPr="00F06469">
        <w:rPr>
          <w:szCs w:val="20"/>
        </w:rPr>
        <w:lastRenderedPageBreak/>
        <w:t>(4) Na podlagi sprejetih načelnih stališč ali pravnih mnenj morajo generalni državni tožilec in vodje okrožnih državnih tožilstev preučiti potrebo po izdaji splošnih navodil.</w:t>
      </w:r>
    </w:p>
    <w:p w:rsidR="00AE2155" w:rsidRPr="00F06469" w:rsidRDefault="00AE2155" w:rsidP="00B644CC">
      <w:pPr>
        <w:spacing w:line="288" w:lineRule="auto"/>
        <w:jc w:val="both"/>
        <w:rPr>
          <w:szCs w:val="20"/>
        </w:rPr>
      </w:pPr>
    </w:p>
    <w:p w:rsidR="00AE2155" w:rsidRDefault="00AE2155" w:rsidP="00B644CC">
      <w:pPr>
        <w:spacing w:line="288" w:lineRule="auto"/>
        <w:jc w:val="both"/>
        <w:rPr>
          <w:szCs w:val="20"/>
        </w:rPr>
      </w:pPr>
      <w:r w:rsidRPr="00F06469">
        <w:rPr>
          <w:szCs w:val="20"/>
        </w:rPr>
        <w:t>(5) Razširjeni kolegij Vrhovnega državnega tožilstva sklepa, če je navzoča več kakor polovica članov kolegija.</w:t>
      </w:r>
    </w:p>
    <w:p w:rsidR="000069B6" w:rsidRDefault="000069B6" w:rsidP="00B644CC">
      <w:pPr>
        <w:spacing w:line="288" w:lineRule="auto"/>
        <w:jc w:val="both"/>
        <w:rPr>
          <w:szCs w:val="20"/>
        </w:rPr>
      </w:pPr>
    </w:p>
    <w:p w:rsidR="000069B6" w:rsidRPr="000069B6" w:rsidRDefault="000069B6" w:rsidP="000069B6">
      <w:pPr>
        <w:spacing w:line="288" w:lineRule="auto"/>
        <w:jc w:val="center"/>
        <w:rPr>
          <w:szCs w:val="20"/>
        </w:rPr>
      </w:pPr>
      <w:r w:rsidRPr="000069B6">
        <w:rPr>
          <w:szCs w:val="20"/>
        </w:rPr>
        <w:t>138. člen</w:t>
      </w:r>
    </w:p>
    <w:p w:rsidR="000069B6" w:rsidRPr="000069B6" w:rsidRDefault="000069B6" w:rsidP="000069B6">
      <w:pPr>
        <w:spacing w:line="288" w:lineRule="auto"/>
        <w:jc w:val="center"/>
        <w:rPr>
          <w:szCs w:val="20"/>
        </w:rPr>
      </w:pPr>
      <w:r w:rsidRPr="000069B6">
        <w:rPr>
          <w:szCs w:val="20"/>
        </w:rPr>
        <w:t>(direktor državnega tožilstva)</w:t>
      </w:r>
    </w:p>
    <w:p w:rsidR="000069B6" w:rsidRPr="000069B6" w:rsidRDefault="000069B6" w:rsidP="000069B6">
      <w:pPr>
        <w:spacing w:line="288" w:lineRule="auto"/>
        <w:jc w:val="both"/>
        <w:rPr>
          <w:szCs w:val="20"/>
        </w:rPr>
      </w:pPr>
    </w:p>
    <w:p w:rsidR="000069B6" w:rsidRPr="000069B6" w:rsidRDefault="000069B6" w:rsidP="000069B6">
      <w:pPr>
        <w:spacing w:line="288" w:lineRule="auto"/>
        <w:jc w:val="both"/>
        <w:rPr>
          <w:szCs w:val="20"/>
        </w:rPr>
      </w:pPr>
      <w:r w:rsidRPr="000069B6">
        <w:rPr>
          <w:szCs w:val="20"/>
        </w:rPr>
        <w:t xml:space="preserve">(1) Določene naloge </w:t>
      </w:r>
      <w:proofErr w:type="spellStart"/>
      <w:r w:rsidRPr="000069B6">
        <w:rPr>
          <w:szCs w:val="20"/>
        </w:rPr>
        <w:t>državnotožilske</w:t>
      </w:r>
      <w:proofErr w:type="spellEnd"/>
      <w:r w:rsidRPr="000069B6">
        <w:rPr>
          <w:szCs w:val="20"/>
        </w:rPr>
        <w:t xml:space="preserve"> uprave lahko samostojno opravljajo direktorji, imenovani za eno ali več okrožnih državnih tožilstev.</w:t>
      </w:r>
    </w:p>
    <w:p w:rsidR="000069B6" w:rsidRPr="000069B6" w:rsidRDefault="000069B6" w:rsidP="000069B6">
      <w:pPr>
        <w:spacing w:line="288" w:lineRule="auto"/>
        <w:jc w:val="both"/>
        <w:rPr>
          <w:szCs w:val="20"/>
        </w:rPr>
      </w:pPr>
    </w:p>
    <w:p w:rsidR="000069B6" w:rsidRPr="000069B6" w:rsidRDefault="000069B6" w:rsidP="000069B6">
      <w:pPr>
        <w:spacing w:line="288" w:lineRule="auto"/>
        <w:jc w:val="both"/>
        <w:rPr>
          <w:szCs w:val="20"/>
        </w:rPr>
      </w:pPr>
      <w:r w:rsidRPr="000069B6">
        <w:rPr>
          <w:szCs w:val="20"/>
        </w:rPr>
        <w:t xml:space="preserve">(2) Direktor samostojno opravlja naloge </w:t>
      </w:r>
      <w:proofErr w:type="spellStart"/>
      <w:r w:rsidRPr="000069B6">
        <w:rPr>
          <w:szCs w:val="20"/>
        </w:rPr>
        <w:t>državnotožilske</w:t>
      </w:r>
      <w:proofErr w:type="spellEnd"/>
      <w:r w:rsidRPr="000069B6">
        <w:rPr>
          <w:szCs w:val="20"/>
        </w:rPr>
        <w:t xml:space="preserve"> uprave, ki se nanašajo na:</w:t>
      </w:r>
    </w:p>
    <w:p w:rsidR="000069B6" w:rsidRPr="000069B6" w:rsidRDefault="000069B6" w:rsidP="000069B6">
      <w:pPr>
        <w:spacing w:line="288" w:lineRule="auto"/>
        <w:jc w:val="both"/>
        <w:rPr>
          <w:szCs w:val="20"/>
        </w:rPr>
      </w:pPr>
    </w:p>
    <w:p w:rsidR="000069B6" w:rsidRPr="000069B6" w:rsidRDefault="000069B6" w:rsidP="000069B6">
      <w:pPr>
        <w:pStyle w:val="Odstavekseznama"/>
        <w:numPr>
          <w:ilvl w:val="0"/>
          <w:numId w:val="21"/>
        </w:numPr>
        <w:spacing w:line="288" w:lineRule="auto"/>
        <w:ind w:left="360"/>
        <w:jc w:val="both"/>
        <w:rPr>
          <w:szCs w:val="20"/>
        </w:rPr>
      </w:pPr>
      <w:r w:rsidRPr="000069B6">
        <w:rPr>
          <w:szCs w:val="20"/>
        </w:rPr>
        <w:t xml:space="preserve">kadrovsko poslovanje </w:t>
      </w:r>
      <w:proofErr w:type="spellStart"/>
      <w:r w:rsidRPr="000069B6">
        <w:rPr>
          <w:szCs w:val="20"/>
        </w:rPr>
        <w:t>državnotožilskega</w:t>
      </w:r>
      <w:proofErr w:type="spellEnd"/>
      <w:r w:rsidRPr="000069B6">
        <w:rPr>
          <w:szCs w:val="20"/>
        </w:rPr>
        <w:t xml:space="preserve"> osebja ter izvajanje predpisov o varnosti in zdravju pri delu;</w:t>
      </w:r>
    </w:p>
    <w:p w:rsidR="000069B6" w:rsidRPr="000069B6" w:rsidRDefault="000069B6" w:rsidP="000069B6">
      <w:pPr>
        <w:pStyle w:val="Odstavekseznama"/>
        <w:numPr>
          <w:ilvl w:val="0"/>
          <w:numId w:val="21"/>
        </w:numPr>
        <w:spacing w:line="288" w:lineRule="auto"/>
        <w:ind w:left="360"/>
        <w:jc w:val="both"/>
        <w:rPr>
          <w:szCs w:val="20"/>
        </w:rPr>
      </w:pPr>
      <w:r w:rsidRPr="000069B6">
        <w:rPr>
          <w:szCs w:val="20"/>
        </w:rPr>
        <w:t>odločanje o pravicah, obveznostih in odgovornostih tožilskega osebja;</w:t>
      </w:r>
    </w:p>
    <w:p w:rsidR="000069B6" w:rsidRPr="000069B6" w:rsidRDefault="000069B6" w:rsidP="000069B6">
      <w:pPr>
        <w:pStyle w:val="Odstavekseznama"/>
        <w:numPr>
          <w:ilvl w:val="0"/>
          <w:numId w:val="21"/>
        </w:numPr>
        <w:spacing w:line="288" w:lineRule="auto"/>
        <w:ind w:left="360"/>
        <w:jc w:val="both"/>
        <w:rPr>
          <w:szCs w:val="20"/>
        </w:rPr>
      </w:pPr>
      <w:r w:rsidRPr="000069B6">
        <w:rPr>
          <w:szCs w:val="20"/>
        </w:rPr>
        <w:t>finančno, računovodsko in materialno poslovanje ter vodenje postopkov javnih naročil.</w:t>
      </w:r>
    </w:p>
    <w:p w:rsidR="000069B6" w:rsidRPr="000069B6" w:rsidRDefault="000069B6" w:rsidP="000069B6">
      <w:pPr>
        <w:spacing w:line="288" w:lineRule="auto"/>
        <w:jc w:val="both"/>
        <w:rPr>
          <w:szCs w:val="20"/>
        </w:rPr>
      </w:pPr>
    </w:p>
    <w:p w:rsidR="000069B6" w:rsidRPr="000069B6" w:rsidRDefault="000069B6" w:rsidP="000069B6">
      <w:pPr>
        <w:spacing w:line="288" w:lineRule="auto"/>
        <w:jc w:val="both"/>
        <w:rPr>
          <w:szCs w:val="20"/>
        </w:rPr>
      </w:pPr>
      <w:r w:rsidRPr="000069B6">
        <w:rPr>
          <w:szCs w:val="20"/>
        </w:rPr>
        <w:t xml:space="preserve">(3) Na podlagi pooblastila vodje okrožnega državnega tožilstva direktor lahko samostojno opravlja naloge </w:t>
      </w:r>
      <w:proofErr w:type="spellStart"/>
      <w:r w:rsidRPr="000069B6">
        <w:rPr>
          <w:szCs w:val="20"/>
        </w:rPr>
        <w:t>državnotožilske</w:t>
      </w:r>
      <w:proofErr w:type="spellEnd"/>
      <w:r w:rsidRPr="000069B6">
        <w:rPr>
          <w:szCs w:val="20"/>
        </w:rPr>
        <w:t xml:space="preserve"> uprave, ki se nanašajo na:</w:t>
      </w:r>
    </w:p>
    <w:p w:rsidR="000069B6" w:rsidRPr="000069B6" w:rsidRDefault="000069B6" w:rsidP="000069B6">
      <w:pPr>
        <w:spacing w:line="288" w:lineRule="auto"/>
        <w:jc w:val="both"/>
        <w:rPr>
          <w:szCs w:val="20"/>
        </w:rPr>
      </w:pPr>
    </w:p>
    <w:p w:rsidR="000069B6" w:rsidRPr="000069B6" w:rsidRDefault="000069B6" w:rsidP="000069B6">
      <w:pPr>
        <w:pStyle w:val="Odstavekseznama"/>
        <w:numPr>
          <w:ilvl w:val="0"/>
          <w:numId w:val="21"/>
        </w:numPr>
        <w:spacing w:line="288" w:lineRule="auto"/>
        <w:ind w:left="360"/>
        <w:jc w:val="both"/>
        <w:rPr>
          <w:szCs w:val="20"/>
        </w:rPr>
      </w:pPr>
      <w:r w:rsidRPr="000069B6">
        <w:rPr>
          <w:szCs w:val="20"/>
        </w:rPr>
        <w:t>vpisovanje, evidentiranje in statistično spremljanje zadev;</w:t>
      </w:r>
    </w:p>
    <w:p w:rsidR="000069B6" w:rsidRPr="000069B6" w:rsidRDefault="000069B6" w:rsidP="000069B6">
      <w:pPr>
        <w:pStyle w:val="Odstavekseznama"/>
        <w:numPr>
          <w:ilvl w:val="0"/>
          <w:numId w:val="21"/>
        </w:numPr>
        <w:spacing w:line="288" w:lineRule="auto"/>
        <w:ind w:left="360"/>
        <w:jc w:val="both"/>
        <w:rPr>
          <w:szCs w:val="20"/>
        </w:rPr>
      </w:pPr>
      <w:r w:rsidRPr="000069B6">
        <w:rPr>
          <w:szCs w:val="20"/>
        </w:rPr>
        <w:t>pisarniško in tehnično poslovanje;</w:t>
      </w:r>
    </w:p>
    <w:p w:rsidR="000069B6" w:rsidRPr="000069B6" w:rsidRDefault="000069B6" w:rsidP="000069B6">
      <w:pPr>
        <w:pStyle w:val="Odstavekseznama"/>
        <w:numPr>
          <w:ilvl w:val="0"/>
          <w:numId w:val="21"/>
        </w:numPr>
        <w:spacing w:line="288" w:lineRule="auto"/>
        <w:ind w:left="360"/>
        <w:jc w:val="both"/>
        <w:rPr>
          <w:szCs w:val="20"/>
        </w:rPr>
      </w:pPr>
      <w:r w:rsidRPr="000069B6">
        <w:rPr>
          <w:szCs w:val="20"/>
        </w:rPr>
        <w:t>dejavnosti, povezane s stvarnim premoženjem, ki ga ima državno tožilstvo neposredno v uporabi;</w:t>
      </w:r>
    </w:p>
    <w:p w:rsidR="000069B6" w:rsidRPr="000069B6" w:rsidRDefault="000069B6" w:rsidP="000069B6">
      <w:pPr>
        <w:pStyle w:val="Odstavekseznama"/>
        <w:numPr>
          <w:ilvl w:val="0"/>
          <w:numId w:val="21"/>
        </w:numPr>
        <w:spacing w:line="288" w:lineRule="auto"/>
        <w:ind w:left="360"/>
        <w:jc w:val="both"/>
        <w:rPr>
          <w:szCs w:val="20"/>
        </w:rPr>
      </w:pPr>
      <w:r w:rsidRPr="000069B6">
        <w:rPr>
          <w:szCs w:val="20"/>
        </w:rPr>
        <w:t>skrb in ukrepe za varnost oseb, dokumentacije in premoženja na državnem tožilstvu in</w:t>
      </w:r>
    </w:p>
    <w:p w:rsidR="00AE2155" w:rsidRPr="000069B6" w:rsidRDefault="000069B6" w:rsidP="000069B6">
      <w:pPr>
        <w:pStyle w:val="Odstavekseznama"/>
        <w:numPr>
          <w:ilvl w:val="0"/>
          <w:numId w:val="21"/>
        </w:numPr>
        <w:spacing w:line="288" w:lineRule="auto"/>
        <w:ind w:left="360"/>
        <w:jc w:val="both"/>
        <w:rPr>
          <w:szCs w:val="20"/>
        </w:rPr>
      </w:pPr>
      <w:r w:rsidRPr="000069B6">
        <w:rPr>
          <w:szCs w:val="20"/>
        </w:rPr>
        <w:t xml:space="preserve">druge naloge </w:t>
      </w:r>
      <w:proofErr w:type="spellStart"/>
      <w:r w:rsidRPr="000069B6">
        <w:rPr>
          <w:szCs w:val="20"/>
        </w:rPr>
        <w:t>državnotožilske</w:t>
      </w:r>
      <w:proofErr w:type="spellEnd"/>
      <w:r w:rsidRPr="000069B6">
        <w:rPr>
          <w:szCs w:val="20"/>
        </w:rPr>
        <w:t xml:space="preserve"> uprave, razen tistih, ki se nanašajo na opravljanje </w:t>
      </w:r>
      <w:proofErr w:type="spellStart"/>
      <w:r w:rsidRPr="000069B6">
        <w:rPr>
          <w:szCs w:val="20"/>
        </w:rPr>
        <w:t>državnotožilske</w:t>
      </w:r>
      <w:proofErr w:type="spellEnd"/>
      <w:r w:rsidRPr="000069B6">
        <w:rPr>
          <w:szCs w:val="20"/>
        </w:rPr>
        <w:t xml:space="preserve"> službe.</w:t>
      </w:r>
    </w:p>
    <w:p w:rsidR="00AE2155" w:rsidRPr="00193853" w:rsidRDefault="00AE2155" w:rsidP="00B644CC">
      <w:pPr>
        <w:spacing w:line="288" w:lineRule="auto"/>
        <w:jc w:val="center"/>
        <w:rPr>
          <w:szCs w:val="20"/>
        </w:rPr>
      </w:pPr>
      <w:r w:rsidRPr="00193853">
        <w:rPr>
          <w:szCs w:val="20"/>
        </w:rPr>
        <w:t>142. člen</w:t>
      </w:r>
    </w:p>
    <w:p w:rsidR="00AE2155" w:rsidRPr="00193853" w:rsidRDefault="00AE2155" w:rsidP="00B644CC">
      <w:pPr>
        <w:spacing w:line="288" w:lineRule="auto"/>
        <w:jc w:val="center"/>
        <w:rPr>
          <w:szCs w:val="20"/>
        </w:rPr>
      </w:pPr>
      <w:r w:rsidRPr="00193853">
        <w:rPr>
          <w:szCs w:val="20"/>
        </w:rPr>
        <w:t>(letni razpored)</w:t>
      </w:r>
    </w:p>
    <w:p w:rsidR="00AE2155" w:rsidRPr="00193853" w:rsidRDefault="00AE2155" w:rsidP="00B644CC">
      <w:pPr>
        <w:spacing w:line="288" w:lineRule="auto"/>
        <w:jc w:val="both"/>
        <w:rPr>
          <w:szCs w:val="20"/>
        </w:rPr>
      </w:pPr>
    </w:p>
    <w:p w:rsidR="00AE2155" w:rsidRPr="00193853" w:rsidRDefault="00AE2155" w:rsidP="00B644CC">
      <w:pPr>
        <w:spacing w:line="288" w:lineRule="auto"/>
        <w:jc w:val="both"/>
        <w:rPr>
          <w:szCs w:val="20"/>
        </w:rPr>
      </w:pPr>
      <w:r w:rsidRPr="00193853">
        <w:rPr>
          <w:szCs w:val="20"/>
        </w:rPr>
        <w:t>(1) Vodja državnega tožilstva z letnim razporedom dela določi razporeditev državnih tožilcev v oddelke oziroma notranje organizacijske enote, njihovo pravno področje dela, vodje oddelkov oziroma notranjih organizacijskih enot, nadomeščanje, razpored dežurstev in čas izrabe letnih dopustov.</w:t>
      </w:r>
    </w:p>
    <w:p w:rsidR="00AE2155" w:rsidRPr="00193853" w:rsidRDefault="00AE2155" w:rsidP="00B644CC">
      <w:pPr>
        <w:spacing w:line="288" w:lineRule="auto"/>
        <w:jc w:val="both"/>
        <w:rPr>
          <w:szCs w:val="20"/>
        </w:rPr>
      </w:pPr>
    </w:p>
    <w:p w:rsidR="00AE2155" w:rsidRPr="00193853" w:rsidRDefault="00AE2155" w:rsidP="00B644CC">
      <w:pPr>
        <w:spacing w:line="288" w:lineRule="auto"/>
        <w:jc w:val="both"/>
        <w:rPr>
          <w:szCs w:val="20"/>
        </w:rPr>
      </w:pPr>
      <w:r w:rsidRPr="00193853">
        <w:rPr>
          <w:szCs w:val="20"/>
        </w:rPr>
        <w:t>(2) Letni razpored dela mora vsebovati poimensko navedbo vseh državnih tožilcev, ki se jim zadeve dodeljujejo v delo, ne glede na njihov naziv, položaj ali vodstveno funkcijo.</w:t>
      </w:r>
    </w:p>
    <w:p w:rsidR="00AE2155" w:rsidRPr="00193853" w:rsidRDefault="00AE2155" w:rsidP="00B644CC">
      <w:pPr>
        <w:spacing w:line="288" w:lineRule="auto"/>
        <w:jc w:val="both"/>
        <w:rPr>
          <w:szCs w:val="20"/>
        </w:rPr>
      </w:pPr>
    </w:p>
    <w:p w:rsidR="00AE2155" w:rsidRPr="00193853" w:rsidRDefault="00AE2155" w:rsidP="00B644CC">
      <w:pPr>
        <w:spacing w:line="288" w:lineRule="auto"/>
        <w:jc w:val="both"/>
        <w:rPr>
          <w:szCs w:val="20"/>
        </w:rPr>
      </w:pPr>
      <w:r w:rsidRPr="00193853">
        <w:rPr>
          <w:szCs w:val="20"/>
        </w:rPr>
        <w:t xml:space="preserve">(3) Zoper razporeditev na določeno pravno področje dela lahko razporejeni državni tožilec v treh dneh po objavi letnega razporeda na oglasni deski državnega tožilstva napove pritožbo vodji državnega tožilstva, ki določa letni razpored, ta pa mora v nadaljnjih treh dneh obrazložiti svojo odločitev. Državni tožilec lahko v osmih dneh od prejema obrazložitve vloži pritožbo, ki ne zadrži izvršitve. O pritožbi v 30 dneh odloči </w:t>
      </w:r>
      <w:proofErr w:type="spellStart"/>
      <w:r w:rsidRPr="00193853">
        <w:rPr>
          <w:szCs w:val="20"/>
        </w:rPr>
        <w:t>Državnotožilski</w:t>
      </w:r>
      <w:proofErr w:type="spellEnd"/>
      <w:r w:rsidRPr="00193853">
        <w:rPr>
          <w:szCs w:val="20"/>
        </w:rPr>
        <w:t xml:space="preserve"> svet po predhodnem mnenju generalnega državnega tožilca.</w:t>
      </w:r>
    </w:p>
    <w:p w:rsidR="00AE2155" w:rsidRPr="00193853" w:rsidRDefault="00AE2155" w:rsidP="00B644CC">
      <w:pPr>
        <w:spacing w:line="288" w:lineRule="auto"/>
        <w:jc w:val="both"/>
        <w:rPr>
          <w:szCs w:val="20"/>
        </w:rPr>
      </w:pPr>
    </w:p>
    <w:p w:rsidR="00AE2155" w:rsidRDefault="00AE2155" w:rsidP="00B644CC">
      <w:pPr>
        <w:spacing w:line="288" w:lineRule="auto"/>
        <w:jc w:val="both"/>
        <w:rPr>
          <w:szCs w:val="20"/>
        </w:rPr>
      </w:pPr>
      <w:r w:rsidRPr="00193853">
        <w:rPr>
          <w:szCs w:val="20"/>
        </w:rPr>
        <w:lastRenderedPageBreak/>
        <w:t>(4) Letni razpored mora biti določen in objavljen najpozneje do 15. decembra za naslednje koledarsko leto.</w:t>
      </w:r>
    </w:p>
    <w:p w:rsidR="000069B6" w:rsidRDefault="000069B6" w:rsidP="000069B6">
      <w:pPr>
        <w:spacing w:line="288" w:lineRule="auto"/>
        <w:jc w:val="both"/>
        <w:rPr>
          <w:szCs w:val="20"/>
        </w:rPr>
      </w:pPr>
    </w:p>
    <w:p w:rsidR="000069B6" w:rsidRPr="000069B6" w:rsidRDefault="000069B6" w:rsidP="000069B6">
      <w:pPr>
        <w:spacing w:line="288" w:lineRule="auto"/>
        <w:jc w:val="center"/>
        <w:rPr>
          <w:szCs w:val="20"/>
        </w:rPr>
      </w:pPr>
      <w:r w:rsidRPr="000069B6">
        <w:rPr>
          <w:szCs w:val="20"/>
        </w:rPr>
        <w:t>147. člen</w:t>
      </w:r>
    </w:p>
    <w:p w:rsidR="000069B6" w:rsidRPr="000069B6" w:rsidRDefault="000069B6" w:rsidP="000069B6">
      <w:pPr>
        <w:spacing w:line="288" w:lineRule="auto"/>
        <w:jc w:val="center"/>
        <w:rPr>
          <w:szCs w:val="20"/>
        </w:rPr>
      </w:pPr>
      <w:r w:rsidRPr="000069B6">
        <w:rPr>
          <w:szCs w:val="20"/>
        </w:rPr>
        <w:t>(vsebina programa)</w:t>
      </w:r>
    </w:p>
    <w:p w:rsidR="000069B6" w:rsidRPr="000069B6" w:rsidRDefault="000069B6" w:rsidP="000069B6">
      <w:pPr>
        <w:spacing w:line="288" w:lineRule="auto"/>
        <w:jc w:val="both"/>
        <w:rPr>
          <w:szCs w:val="20"/>
        </w:rPr>
      </w:pPr>
    </w:p>
    <w:p w:rsidR="000069B6" w:rsidRPr="000069B6" w:rsidRDefault="000069B6" w:rsidP="000069B6">
      <w:pPr>
        <w:spacing w:line="288" w:lineRule="auto"/>
        <w:jc w:val="both"/>
        <w:rPr>
          <w:szCs w:val="20"/>
        </w:rPr>
      </w:pPr>
      <w:r w:rsidRPr="000069B6">
        <w:rPr>
          <w:szCs w:val="20"/>
        </w:rPr>
        <w:t xml:space="preserve">(1) Z letnim programom dela se predvidijo pričakovani </w:t>
      </w:r>
      <w:proofErr w:type="spellStart"/>
      <w:r w:rsidRPr="000069B6">
        <w:rPr>
          <w:szCs w:val="20"/>
        </w:rPr>
        <w:t>pripad</w:t>
      </w:r>
      <w:proofErr w:type="spellEnd"/>
      <w:r w:rsidRPr="000069B6">
        <w:rPr>
          <w:szCs w:val="20"/>
        </w:rPr>
        <w:t xml:space="preserve"> zadev, obseg rešenih zadev, časovna merila za tipična procesna dejanja, časovna merila reševanja zadev ter kazalce učinkovitosti, uspešnosti in gospodarnosti.</w:t>
      </w:r>
    </w:p>
    <w:p w:rsidR="000069B6" w:rsidRPr="000069B6" w:rsidRDefault="000069B6" w:rsidP="000069B6">
      <w:pPr>
        <w:spacing w:line="288" w:lineRule="auto"/>
        <w:jc w:val="both"/>
        <w:rPr>
          <w:szCs w:val="20"/>
        </w:rPr>
      </w:pPr>
    </w:p>
    <w:p w:rsidR="000069B6" w:rsidRPr="000069B6" w:rsidRDefault="000069B6" w:rsidP="000069B6">
      <w:pPr>
        <w:spacing w:line="288" w:lineRule="auto"/>
        <w:jc w:val="both"/>
        <w:rPr>
          <w:szCs w:val="20"/>
        </w:rPr>
      </w:pPr>
      <w:r w:rsidRPr="000069B6">
        <w:rPr>
          <w:szCs w:val="20"/>
        </w:rPr>
        <w:t>(2) Učinkovitost se izkaže tako, da se število načrtovanih rešenih zadev deli s številom državnih tožilcev in številom tožilskega osebja; uspešnost tako, da se načrtovani čas trajanja reševanja tožilskih zadev izrazi v mesecih od časa pripada do rešitve zadeve in gospodarnost tako, da se znesek proračunskih sredstev za delo tožilstva deli s številom načrtovanih rešenih zadev.</w:t>
      </w:r>
    </w:p>
    <w:p w:rsidR="000069B6" w:rsidRPr="000069B6" w:rsidRDefault="000069B6" w:rsidP="000069B6">
      <w:pPr>
        <w:spacing w:line="288" w:lineRule="auto"/>
        <w:jc w:val="both"/>
        <w:rPr>
          <w:szCs w:val="20"/>
        </w:rPr>
      </w:pPr>
    </w:p>
    <w:p w:rsidR="000069B6" w:rsidRPr="000069B6" w:rsidRDefault="000069B6" w:rsidP="000069B6">
      <w:pPr>
        <w:spacing w:line="288" w:lineRule="auto"/>
        <w:jc w:val="both"/>
        <w:rPr>
          <w:szCs w:val="20"/>
        </w:rPr>
      </w:pPr>
      <w:r w:rsidRPr="000069B6">
        <w:rPr>
          <w:szCs w:val="20"/>
        </w:rPr>
        <w:t>(3) Z letnim programom dela se natančneje določi izvajanje politike pregona.</w:t>
      </w:r>
    </w:p>
    <w:p w:rsidR="000069B6" w:rsidRPr="000069B6" w:rsidRDefault="000069B6" w:rsidP="000069B6">
      <w:pPr>
        <w:spacing w:line="288" w:lineRule="auto"/>
        <w:jc w:val="both"/>
        <w:rPr>
          <w:szCs w:val="20"/>
        </w:rPr>
      </w:pPr>
    </w:p>
    <w:p w:rsidR="000069B6" w:rsidRPr="000069B6" w:rsidRDefault="000069B6" w:rsidP="000069B6">
      <w:pPr>
        <w:spacing w:line="288" w:lineRule="auto"/>
        <w:jc w:val="both"/>
        <w:rPr>
          <w:szCs w:val="20"/>
        </w:rPr>
      </w:pPr>
      <w:r w:rsidRPr="000069B6">
        <w:rPr>
          <w:szCs w:val="20"/>
        </w:rPr>
        <w:t>(4) Letni program dela je sestavni del obrazložitve finančnega načrta državnega tožilstva.</w:t>
      </w:r>
    </w:p>
    <w:p w:rsidR="000069B6" w:rsidRPr="000069B6" w:rsidRDefault="000069B6" w:rsidP="000069B6">
      <w:pPr>
        <w:spacing w:line="288" w:lineRule="auto"/>
        <w:jc w:val="both"/>
        <w:rPr>
          <w:szCs w:val="20"/>
        </w:rPr>
      </w:pPr>
    </w:p>
    <w:p w:rsidR="000069B6" w:rsidRDefault="000069B6" w:rsidP="000069B6">
      <w:pPr>
        <w:spacing w:line="288" w:lineRule="auto"/>
        <w:jc w:val="both"/>
        <w:rPr>
          <w:szCs w:val="20"/>
        </w:rPr>
      </w:pPr>
      <w:r w:rsidRPr="000069B6">
        <w:rPr>
          <w:szCs w:val="20"/>
        </w:rPr>
        <w:t>(5) Obliko in navodilo za pripravo letnega programa dela s podzakonskim predpisom predpiše minister.</w:t>
      </w:r>
    </w:p>
    <w:p w:rsidR="00D92A18" w:rsidRDefault="00D92A18" w:rsidP="00B644CC">
      <w:pPr>
        <w:spacing w:line="288" w:lineRule="auto"/>
        <w:jc w:val="both"/>
        <w:rPr>
          <w:szCs w:val="20"/>
        </w:rPr>
      </w:pPr>
    </w:p>
    <w:p w:rsidR="000069B6" w:rsidRPr="000069B6" w:rsidRDefault="000069B6" w:rsidP="000069B6">
      <w:pPr>
        <w:spacing w:line="288" w:lineRule="auto"/>
        <w:jc w:val="center"/>
        <w:rPr>
          <w:szCs w:val="20"/>
        </w:rPr>
      </w:pPr>
      <w:r w:rsidRPr="000069B6">
        <w:rPr>
          <w:szCs w:val="20"/>
        </w:rPr>
        <w:t>149. člen</w:t>
      </w:r>
    </w:p>
    <w:p w:rsidR="000069B6" w:rsidRPr="000069B6" w:rsidRDefault="000069B6" w:rsidP="000069B6">
      <w:pPr>
        <w:spacing w:line="288" w:lineRule="auto"/>
        <w:jc w:val="center"/>
        <w:rPr>
          <w:szCs w:val="20"/>
        </w:rPr>
      </w:pPr>
      <w:r w:rsidRPr="000069B6">
        <w:rPr>
          <w:szCs w:val="20"/>
        </w:rPr>
        <w:t>(vsebina letnega poročila)</w:t>
      </w:r>
    </w:p>
    <w:p w:rsidR="000069B6" w:rsidRPr="000069B6" w:rsidRDefault="000069B6" w:rsidP="000069B6">
      <w:pPr>
        <w:spacing w:line="288" w:lineRule="auto"/>
        <w:jc w:val="both"/>
        <w:rPr>
          <w:szCs w:val="20"/>
        </w:rPr>
      </w:pPr>
    </w:p>
    <w:p w:rsidR="000069B6" w:rsidRPr="000069B6" w:rsidRDefault="000069B6" w:rsidP="000069B6">
      <w:pPr>
        <w:spacing w:line="288" w:lineRule="auto"/>
        <w:jc w:val="both"/>
        <w:rPr>
          <w:szCs w:val="20"/>
        </w:rPr>
      </w:pPr>
      <w:r w:rsidRPr="000069B6">
        <w:rPr>
          <w:szCs w:val="20"/>
        </w:rPr>
        <w:t>(1) Letna poročila o poslovanju državnega tožilstva vsebujejo:</w:t>
      </w:r>
    </w:p>
    <w:p w:rsidR="000069B6" w:rsidRPr="000069B6" w:rsidRDefault="000069B6" w:rsidP="000069B6">
      <w:pPr>
        <w:spacing w:line="288" w:lineRule="auto"/>
        <w:jc w:val="both"/>
        <w:rPr>
          <w:szCs w:val="20"/>
        </w:rPr>
      </w:pPr>
    </w:p>
    <w:p w:rsidR="000069B6" w:rsidRPr="000069B6" w:rsidRDefault="000069B6" w:rsidP="000069B6">
      <w:pPr>
        <w:spacing w:line="288" w:lineRule="auto"/>
        <w:jc w:val="both"/>
        <w:rPr>
          <w:szCs w:val="20"/>
        </w:rPr>
      </w:pPr>
      <w:r w:rsidRPr="000069B6">
        <w:rPr>
          <w:szCs w:val="20"/>
        </w:rPr>
        <w:t>1.     navedbo podatkov o organizaciji državnega tožilstva:</w:t>
      </w:r>
    </w:p>
    <w:p w:rsidR="000069B6" w:rsidRPr="000069B6" w:rsidRDefault="000069B6" w:rsidP="000069B6">
      <w:pPr>
        <w:spacing w:line="288" w:lineRule="auto"/>
        <w:jc w:val="both"/>
        <w:rPr>
          <w:szCs w:val="20"/>
        </w:rPr>
      </w:pPr>
    </w:p>
    <w:p w:rsidR="000069B6" w:rsidRPr="000069B6" w:rsidRDefault="000069B6" w:rsidP="000069B6">
      <w:pPr>
        <w:pStyle w:val="Odstavekseznama"/>
        <w:numPr>
          <w:ilvl w:val="0"/>
          <w:numId w:val="21"/>
        </w:numPr>
        <w:spacing w:line="288" w:lineRule="auto"/>
        <w:ind w:left="426" w:hanging="426"/>
        <w:jc w:val="both"/>
        <w:rPr>
          <w:szCs w:val="20"/>
        </w:rPr>
      </w:pPr>
      <w:r w:rsidRPr="000069B6">
        <w:rPr>
          <w:szCs w:val="20"/>
        </w:rPr>
        <w:t xml:space="preserve">podatek o številu državnih tožilcev, ki so dejansko opravljali </w:t>
      </w:r>
      <w:proofErr w:type="spellStart"/>
      <w:r w:rsidRPr="000069B6">
        <w:rPr>
          <w:szCs w:val="20"/>
        </w:rPr>
        <w:t>državnotožilsko</w:t>
      </w:r>
      <w:proofErr w:type="spellEnd"/>
      <w:r w:rsidRPr="000069B6">
        <w:rPr>
          <w:szCs w:val="20"/>
        </w:rPr>
        <w:t xml:space="preserve"> službo v preteklem letu;</w:t>
      </w:r>
    </w:p>
    <w:p w:rsidR="000069B6" w:rsidRPr="000069B6" w:rsidRDefault="000069B6" w:rsidP="000069B6">
      <w:pPr>
        <w:pStyle w:val="Odstavekseznama"/>
        <w:numPr>
          <w:ilvl w:val="0"/>
          <w:numId w:val="21"/>
        </w:numPr>
        <w:spacing w:line="288" w:lineRule="auto"/>
        <w:ind w:left="426" w:hanging="426"/>
        <w:jc w:val="both"/>
        <w:rPr>
          <w:szCs w:val="20"/>
        </w:rPr>
      </w:pPr>
      <w:r w:rsidRPr="000069B6">
        <w:rPr>
          <w:szCs w:val="20"/>
        </w:rPr>
        <w:t>podatek o številu tožilskega osebja, ki so dejansko opravljali delo v preteklem letu;</w:t>
      </w:r>
    </w:p>
    <w:p w:rsidR="000069B6" w:rsidRPr="000069B6" w:rsidRDefault="000069B6" w:rsidP="000069B6">
      <w:pPr>
        <w:spacing w:line="288" w:lineRule="auto"/>
        <w:jc w:val="both"/>
        <w:rPr>
          <w:szCs w:val="20"/>
        </w:rPr>
      </w:pPr>
    </w:p>
    <w:p w:rsidR="000069B6" w:rsidRPr="000069B6" w:rsidRDefault="000069B6" w:rsidP="000069B6">
      <w:pPr>
        <w:spacing w:line="288" w:lineRule="auto"/>
        <w:jc w:val="both"/>
        <w:rPr>
          <w:szCs w:val="20"/>
        </w:rPr>
      </w:pPr>
      <w:r w:rsidRPr="000069B6">
        <w:rPr>
          <w:szCs w:val="20"/>
        </w:rPr>
        <w:t>2.     navedbo naslednjih podatkov:</w:t>
      </w:r>
    </w:p>
    <w:p w:rsidR="000069B6" w:rsidRPr="000069B6" w:rsidRDefault="000069B6" w:rsidP="000069B6">
      <w:pPr>
        <w:spacing w:line="288" w:lineRule="auto"/>
        <w:jc w:val="both"/>
        <w:rPr>
          <w:szCs w:val="20"/>
        </w:rPr>
      </w:pPr>
    </w:p>
    <w:p w:rsidR="000069B6" w:rsidRPr="000069B6" w:rsidRDefault="000069B6" w:rsidP="000069B6">
      <w:pPr>
        <w:pStyle w:val="Odstavekseznama"/>
        <w:numPr>
          <w:ilvl w:val="0"/>
          <w:numId w:val="21"/>
        </w:numPr>
        <w:spacing w:line="288" w:lineRule="auto"/>
        <w:ind w:left="426" w:hanging="426"/>
        <w:jc w:val="both"/>
        <w:rPr>
          <w:szCs w:val="20"/>
        </w:rPr>
      </w:pPr>
      <w:r w:rsidRPr="000069B6">
        <w:rPr>
          <w:szCs w:val="20"/>
        </w:rPr>
        <w:t>podatek o številu prenesenih nerešenih zadev iz prejšnjih let;</w:t>
      </w:r>
    </w:p>
    <w:p w:rsidR="000069B6" w:rsidRPr="000069B6" w:rsidRDefault="000069B6" w:rsidP="000069B6">
      <w:pPr>
        <w:pStyle w:val="Odstavekseznama"/>
        <w:numPr>
          <w:ilvl w:val="0"/>
          <w:numId w:val="21"/>
        </w:numPr>
        <w:spacing w:line="288" w:lineRule="auto"/>
        <w:ind w:left="426" w:hanging="426"/>
        <w:jc w:val="both"/>
        <w:rPr>
          <w:szCs w:val="20"/>
        </w:rPr>
      </w:pPr>
      <w:r w:rsidRPr="000069B6">
        <w:rPr>
          <w:szCs w:val="20"/>
        </w:rPr>
        <w:t xml:space="preserve">podatek o številu zadev, ki predstavljajo letni </w:t>
      </w:r>
      <w:proofErr w:type="spellStart"/>
      <w:r w:rsidRPr="000069B6">
        <w:rPr>
          <w:szCs w:val="20"/>
        </w:rPr>
        <w:t>pripad</w:t>
      </w:r>
      <w:proofErr w:type="spellEnd"/>
      <w:r w:rsidRPr="000069B6">
        <w:rPr>
          <w:szCs w:val="20"/>
        </w:rPr>
        <w:t>;</w:t>
      </w:r>
    </w:p>
    <w:p w:rsidR="000069B6" w:rsidRPr="000069B6" w:rsidRDefault="000069B6" w:rsidP="000069B6">
      <w:pPr>
        <w:pStyle w:val="Odstavekseznama"/>
        <w:numPr>
          <w:ilvl w:val="0"/>
          <w:numId w:val="21"/>
        </w:numPr>
        <w:spacing w:line="288" w:lineRule="auto"/>
        <w:ind w:left="426" w:hanging="426"/>
        <w:jc w:val="both"/>
        <w:rPr>
          <w:szCs w:val="20"/>
        </w:rPr>
      </w:pPr>
      <w:r w:rsidRPr="000069B6">
        <w:rPr>
          <w:szCs w:val="20"/>
        </w:rPr>
        <w:t>podatek o skupnem številu zadev v delu;</w:t>
      </w:r>
    </w:p>
    <w:p w:rsidR="000069B6" w:rsidRPr="000069B6" w:rsidRDefault="000069B6" w:rsidP="000069B6">
      <w:pPr>
        <w:pStyle w:val="Odstavekseznama"/>
        <w:numPr>
          <w:ilvl w:val="0"/>
          <w:numId w:val="21"/>
        </w:numPr>
        <w:spacing w:line="288" w:lineRule="auto"/>
        <w:ind w:left="426" w:hanging="426"/>
        <w:jc w:val="both"/>
        <w:rPr>
          <w:szCs w:val="20"/>
        </w:rPr>
      </w:pPr>
      <w:r w:rsidRPr="000069B6">
        <w:rPr>
          <w:szCs w:val="20"/>
        </w:rPr>
        <w:t>podatek o številu rešenih zadev in načinu rešitve;</w:t>
      </w:r>
    </w:p>
    <w:p w:rsidR="000069B6" w:rsidRPr="000069B6" w:rsidRDefault="000069B6" w:rsidP="000069B6">
      <w:pPr>
        <w:pStyle w:val="Odstavekseznama"/>
        <w:numPr>
          <w:ilvl w:val="0"/>
          <w:numId w:val="21"/>
        </w:numPr>
        <w:spacing w:line="288" w:lineRule="auto"/>
        <w:ind w:left="426" w:hanging="426"/>
        <w:jc w:val="both"/>
        <w:rPr>
          <w:szCs w:val="20"/>
        </w:rPr>
      </w:pPr>
      <w:r w:rsidRPr="000069B6">
        <w:rPr>
          <w:szCs w:val="20"/>
        </w:rPr>
        <w:t>podatek o številu nerešenih zadev;</w:t>
      </w:r>
    </w:p>
    <w:p w:rsidR="000069B6" w:rsidRPr="000069B6" w:rsidRDefault="000069B6" w:rsidP="000069B6">
      <w:pPr>
        <w:pStyle w:val="Odstavekseznama"/>
        <w:numPr>
          <w:ilvl w:val="0"/>
          <w:numId w:val="21"/>
        </w:numPr>
        <w:spacing w:line="288" w:lineRule="auto"/>
        <w:ind w:left="426" w:hanging="426"/>
        <w:jc w:val="both"/>
        <w:rPr>
          <w:szCs w:val="20"/>
        </w:rPr>
      </w:pPr>
      <w:r w:rsidRPr="000069B6">
        <w:rPr>
          <w:szCs w:val="20"/>
        </w:rPr>
        <w:t>podatke o udeležbi državnih tožilcev na narokih in obravnavah;</w:t>
      </w:r>
    </w:p>
    <w:p w:rsidR="000069B6" w:rsidRPr="000069B6" w:rsidRDefault="000069B6" w:rsidP="000069B6">
      <w:pPr>
        <w:pStyle w:val="Odstavekseznama"/>
        <w:numPr>
          <w:ilvl w:val="0"/>
          <w:numId w:val="21"/>
        </w:numPr>
        <w:spacing w:line="288" w:lineRule="auto"/>
        <w:ind w:left="426" w:hanging="426"/>
        <w:jc w:val="both"/>
        <w:rPr>
          <w:szCs w:val="20"/>
        </w:rPr>
      </w:pPr>
      <w:r w:rsidRPr="000069B6">
        <w:rPr>
          <w:szCs w:val="20"/>
        </w:rPr>
        <w:t>podatke o opravljenih procesnih dejanjih in vloženih predlogih, ki niso zajeti med rešenimi zadevami;</w:t>
      </w:r>
    </w:p>
    <w:p w:rsidR="000069B6" w:rsidRPr="000069B6" w:rsidRDefault="000069B6" w:rsidP="000069B6">
      <w:pPr>
        <w:pStyle w:val="Odstavekseznama"/>
        <w:numPr>
          <w:ilvl w:val="0"/>
          <w:numId w:val="21"/>
        </w:numPr>
        <w:spacing w:line="288" w:lineRule="auto"/>
        <w:ind w:left="426" w:hanging="426"/>
        <w:jc w:val="both"/>
        <w:rPr>
          <w:szCs w:val="20"/>
        </w:rPr>
      </w:pPr>
      <w:r w:rsidRPr="000069B6">
        <w:rPr>
          <w:szCs w:val="20"/>
        </w:rPr>
        <w:t>podatke o izidu obtoževanja po vrsti odločitve in izrečeni kazenski sankciji;</w:t>
      </w:r>
    </w:p>
    <w:p w:rsidR="000069B6" w:rsidRPr="000069B6" w:rsidRDefault="000069B6" w:rsidP="000069B6">
      <w:pPr>
        <w:pStyle w:val="Odstavekseznama"/>
        <w:numPr>
          <w:ilvl w:val="0"/>
          <w:numId w:val="21"/>
        </w:numPr>
        <w:spacing w:line="288" w:lineRule="auto"/>
        <w:ind w:left="426" w:hanging="426"/>
        <w:jc w:val="both"/>
        <w:rPr>
          <w:szCs w:val="20"/>
        </w:rPr>
      </w:pPr>
      <w:r w:rsidRPr="000069B6">
        <w:rPr>
          <w:szCs w:val="20"/>
        </w:rPr>
        <w:t>število zadev, v katerih je bilo vloženo pravno sredstvo, in odločitev o pravnem sredstvu;</w:t>
      </w:r>
    </w:p>
    <w:p w:rsidR="000069B6" w:rsidRPr="000069B6" w:rsidRDefault="000069B6" w:rsidP="000069B6">
      <w:pPr>
        <w:pStyle w:val="Odstavekseznama"/>
        <w:numPr>
          <w:ilvl w:val="0"/>
          <w:numId w:val="21"/>
        </w:numPr>
        <w:spacing w:line="288" w:lineRule="auto"/>
        <w:ind w:left="426" w:hanging="426"/>
        <w:jc w:val="both"/>
        <w:rPr>
          <w:szCs w:val="20"/>
        </w:rPr>
      </w:pPr>
      <w:r w:rsidRPr="000069B6">
        <w:rPr>
          <w:szCs w:val="20"/>
        </w:rPr>
        <w:t>podatke o številu dni prisotnosti državnega tožilca na delovnem mestu;</w:t>
      </w:r>
    </w:p>
    <w:p w:rsidR="000069B6" w:rsidRPr="000069B6" w:rsidRDefault="000069B6" w:rsidP="000069B6">
      <w:pPr>
        <w:pStyle w:val="Odstavekseznama"/>
        <w:numPr>
          <w:ilvl w:val="0"/>
          <w:numId w:val="21"/>
        </w:numPr>
        <w:spacing w:line="288" w:lineRule="auto"/>
        <w:ind w:left="426" w:hanging="426"/>
        <w:jc w:val="both"/>
        <w:rPr>
          <w:szCs w:val="20"/>
        </w:rPr>
      </w:pPr>
      <w:r w:rsidRPr="000069B6">
        <w:rPr>
          <w:szCs w:val="20"/>
        </w:rPr>
        <w:t>druge podatke, ki pripomorejo k določitvi njegove učinkovitosti;</w:t>
      </w:r>
    </w:p>
    <w:p w:rsidR="000069B6" w:rsidRPr="000069B6" w:rsidRDefault="000069B6" w:rsidP="000069B6">
      <w:pPr>
        <w:pStyle w:val="Odstavekseznama"/>
        <w:numPr>
          <w:ilvl w:val="0"/>
          <w:numId w:val="21"/>
        </w:numPr>
        <w:spacing w:line="288" w:lineRule="auto"/>
        <w:ind w:left="426" w:hanging="426"/>
        <w:jc w:val="both"/>
        <w:rPr>
          <w:szCs w:val="20"/>
        </w:rPr>
      </w:pPr>
      <w:r w:rsidRPr="000069B6">
        <w:rPr>
          <w:szCs w:val="20"/>
        </w:rPr>
        <w:lastRenderedPageBreak/>
        <w:t>podatek o številu zadev, ki niso bile rešene v predvidenem času;</w:t>
      </w:r>
    </w:p>
    <w:p w:rsidR="000069B6" w:rsidRPr="000069B6" w:rsidRDefault="000069B6" w:rsidP="000069B6">
      <w:pPr>
        <w:pStyle w:val="Odstavekseznama"/>
        <w:numPr>
          <w:ilvl w:val="0"/>
          <w:numId w:val="21"/>
        </w:numPr>
        <w:spacing w:line="288" w:lineRule="auto"/>
        <w:ind w:left="426" w:hanging="426"/>
        <w:jc w:val="both"/>
        <w:rPr>
          <w:szCs w:val="20"/>
        </w:rPr>
      </w:pPr>
      <w:r w:rsidRPr="000069B6">
        <w:rPr>
          <w:szCs w:val="20"/>
        </w:rPr>
        <w:t>vse zgoraj navedene podatke za vsakega posameznega državnega tožilca;</w:t>
      </w:r>
    </w:p>
    <w:p w:rsidR="000069B6" w:rsidRPr="000069B6" w:rsidRDefault="000069B6" w:rsidP="000069B6">
      <w:pPr>
        <w:pStyle w:val="Odstavekseznama"/>
        <w:numPr>
          <w:ilvl w:val="0"/>
          <w:numId w:val="21"/>
        </w:numPr>
        <w:spacing w:line="288" w:lineRule="auto"/>
        <w:ind w:left="426" w:hanging="426"/>
        <w:jc w:val="both"/>
        <w:rPr>
          <w:szCs w:val="20"/>
        </w:rPr>
      </w:pPr>
      <w:r w:rsidRPr="000069B6">
        <w:rPr>
          <w:szCs w:val="20"/>
        </w:rPr>
        <w:t>dejanski čas trajanja postopkov;</w:t>
      </w:r>
    </w:p>
    <w:p w:rsidR="000069B6" w:rsidRPr="000069B6" w:rsidRDefault="000069B6" w:rsidP="000069B6">
      <w:pPr>
        <w:spacing w:line="288" w:lineRule="auto"/>
        <w:jc w:val="both"/>
        <w:rPr>
          <w:szCs w:val="20"/>
        </w:rPr>
      </w:pPr>
      <w:r w:rsidRPr="000069B6">
        <w:rPr>
          <w:szCs w:val="20"/>
        </w:rPr>
        <w:t>-  podatke o številu zadev, v katerih je prišlo do odveze nadaljnjega dela in prevzema zadeve;</w:t>
      </w:r>
    </w:p>
    <w:p w:rsidR="000069B6" w:rsidRPr="000069B6" w:rsidRDefault="000069B6" w:rsidP="000069B6">
      <w:pPr>
        <w:spacing w:line="288" w:lineRule="auto"/>
        <w:jc w:val="both"/>
        <w:rPr>
          <w:szCs w:val="20"/>
        </w:rPr>
      </w:pPr>
    </w:p>
    <w:p w:rsidR="000069B6" w:rsidRPr="000069B6" w:rsidRDefault="000069B6" w:rsidP="000069B6">
      <w:pPr>
        <w:spacing w:line="288" w:lineRule="auto"/>
        <w:jc w:val="both"/>
        <w:rPr>
          <w:szCs w:val="20"/>
        </w:rPr>
      </w:pPr>
      <w:r w:rsidRPr="000069B6">
        <w:rPr>
          <w:szCs w:val="20"/>
        </w:rPr>
        <w:t>3.     primerjavo med podatki o številu in načinu rešitve ter dejanskem času trajanja postopkov za vse državne tožilce za zadeve iste vrste;</w:t>
      </w:r>
    </w:p>
    <w:p w:rsidR="000069B6" w:rsidRPr="000069B6" w:rsidRDefault="000069B6" w:rsidP="000069B6">
      <w:pPr>
        <w:spacing w:line="288" w:lineRule="auto"/>
        <w:jc w:val="both"/>
        <w:rPr>
          <w:szCs w:val="20"/>
        </w:rPr>
      </w:pPr>
    </w:p>
    <w:p w:rsidR="000069B6" w:rsidRPr="000069B6" w:rsidRDefault="000069B6" w:rsidP="000069B6">
      <w:pPr>
        <w:spacing w:line="288" w:lineRule="auto"/>
        <w:jc w:val="both"/>
        <w:rPr>
          <w:szCs w:val="20"/>
        </w:rPr>
      </w:pPr>
      <w:r w:rsidRPr="000069B6">
        <w:rPr>
          <w:szCs w:val="20"/>
        </w:rPr>
        <w:t>4.     analizo vzrokov za morebitne razlike glede primerjave deležev iz prejšnje točke;</w:t>
      </w:r>
    </w:p>
    <w:p w:rsidR="000069B6" w:rsidRPr="000069B6" w:rsidRDefault="000069B6" w:rsidP="000069B6">
      <w:pPr>
        <w:spacing w:line="288" w:lineRule="auto"/>
        <w:jc w:val="both"/>
        <w:rPr>
          <w:szCs w:val="20"/>
        </w:rPr>
      </w:pPr>
    </w:p>
    <w:p w:rsidR="000069B6" w:rsidRPr="000069B6" w:rsidRDefault="000069B6" w:rsidP="000069B6">
      <w:pPr>
        <w:spacing w:line="288" w:lineRule="auto"/>
        <w:jc w:val="both"/>
        <w:rPr>
          <w:szCs w:val="20"/>
        </w:rPr>
      </w:pPr>
      <w:r w:rsidRPr="000069B6">
        <w:rPr>
          <w:szCs w:val="20"/>
        </w:rPr>
        <w:t>5.     oceno doseganja ciljev iz sprejetega letnega programa dela za preteklo leto in oceno izvajanja politike pregona za posamezna področja ter glede na sprejeta merila za kakovost dela državnih tožilcev in uspešnost pregona državnih tožilcev.</w:t>
      </w:r>
    </w:p>
    <w:p w:rsidR="000069B6" w:rsidRPr="000069B6" w:rsidRDefault="000069B6" w:rsidP="000069B6">
      <w:pPr>
        <w:spacing w:line="288" w:lineRule="auto"/>
        <w:jc w:val="both"/>
        <w:rPr>
          <w:szCs w:val="20"/>
        </w:rPr>
      </w:pPr>
    </w:p>
    <w:p w:rsidR="000069B6" w:rsidRPr="000069B6" w:rsidRDefault="000069B6" w:rsidP="000069B6">
      <w:pPr>
        <w:spacing w:line="288" w:lineRule="auto"/>
        <w:jc w:val="both"/>
        <w:rPr>
          <w:szCs w:val="20"/>
        </w:rPr>
      </w:pPr>
      <w:r w:rsidRPr="000069B6">
        <w:rPr>
          <w:szCs w:val="20"/>
        </w:rPr>
        <w:t>(2) Letno poročilo o poslovanju posameznega državnega tožilstva pripravi vodja državnega tožilstva.</w:t>
      </w:r>
    </w:p>
    <w:p w:rsidR="000069B6" w:rsidRPr="000069B6" w:rsidRDefault="000069B6" w:rsidP="000069B6">
      <w:pPr>
        <w:spacing w:line="288" w:lineRule="auto"/>
        <w:jc w:val="both"/>
        <w:rPr>
          <w:szCs w:val="20"/>
        </w:rPr>
      </w:pPr>
    </w:p>
    <w:p w:rsidR="000069B6" w:rsidRDefault="000069B6" w:rsidP="000069B6">
      <w:pPr>
        <w:spacing w:line="288" w:lineRule="auto"/>
        <w:jc w:val="both"/>
        <w:rPr>
          <w:szCs w:val="20"/>
        </w:rPr>
      </w:pPr>
      <w:r w:rsidRPr="000069B6">
        <w:rPr>
          <w:szCs w:val="20"/>
        </w:rPr>
        <w:t>(3) Podrobnejšo obliko letnega poročila o poslovanju državnega tožilstva predpiše s podzakonskim aktom minister.</w:t>
      </w:r>
    </w:p>
    <w:p w:rsidR="000069B6" w:rsidRDefault="000069B6" w:rsidP="000069B6">
      <w:pPr>
        <w:spacing w:line="288" w:lineRule="auto"/>
        <w:jc w:val="both"/>
        <w:rPr>
          <w:szCs w:val="20"/>
        </w:rPr>
      </w:pPr>
    </w:p>
    <w:p w:rsidR="000069B6" w:rsidRPr="000069B6" w:rsidRDefault="000069B6" w:rsidP="000069B6">
      <w:pPr>
        <w:spacing w:line="288" w:lineRule="auto"/>
        <w:jc w:val="center"/>
        <w:rPr>
          <w:szCs w:val="20"/>
        </w:rPr>
      </w:pPr>
      <w:r w:rsidRPr="000069B6">
        <w:rPr>
          <w:szCs w:val="20"/>
        </w:rPr>
        <w:t>150. člen</w:t>
      </w:r>
    </w:p>
    <w:p w:rsidR="000069B6" w:rsidRPr="000069B6" w:rsidRDefault="000069B6" w:rsidP="000069B6">
      <w:pPr>
        <w:spacing w:line="288" w:lineRule="auto"/>
        <w:jc w:val="center"/>
        <w:rPr>
          <w:szCs w:val="20"/>
        </w:rPr>
      </w:pPr>
      <w:r w:rsidRPr="000069B6">
        <w:rPr>
          <w:szCs w:val="20"/>
        </w:rPr>
        <w:t>(skupno letno poročilo)</w:t>
      </w:r>
    </w:p>
    <w:p w:rsidR="000069B6" w:rsidRPr="000069B6" w:rsidRDefault="000069B6" w:rsidP="000069B6">
      <w:pPr>
        <w:spacing w:line="288" w:lineRule="auto"/>
        <w:jc w:val="both"/>
        <w:rPr>
          <w:szCs w:val="20"/>
        </w:rPr>
      </w:pPr>
    </w:p>
    <w:p w:rsidR="000069B6" w:rsidRPr="000069B6" w:rsidRDefault="000069B6" w:rsidP="000069B6">
      <w:pPr>
        <w:spacing w:line="288" w:lineRule="auto"/>
        <w:jc w:val="both"/>
        <w:rPr>
          <w:szCs w:val="20"/>
        </w:rPr>
      </w:pPr>
      <w:r w:rsidRPr="000069B6">
        <w:rPr>
          <w:szCs w:val="20"/>
        </w:rPr>
        <w:t xml:space="preserve">(1) Generalni državni tožilec pripravi skupno letno poročilo o delu državnih tožilstev za preteklo leto ter ga do 15. aprila pošlje ministru, Državnemu zboru Republike Slovenije in </w:t>
      </w:r>
      <w:proofErr w:type="spellStart"/>
      <w:r w:rsidRPr="000069B6">
        <w:rPr>
          <w:szCs w:val="20"/>
        </w:rPr>
        <w:t>Državnotožilskemu</w:t>
      </w:r>
      <w:proofErr w:type="spellEnd"/>
      <w:r w:rsidRPr="000069B6">
        <w:rPr>
          <w:szCs w:val="20"/>
        </w:rPr>
        <w:t xml:space="preserve"> svetu.</w:t>
      </w:r>
    </w:p>
    <w:p w:rsidR="000069B6" w:rsidRPr="000069B6" w:rsidRDefault="000069B6" w:rsidP="000069B6">
      <w:pPr>
        <w:spacing w:line="288" w:lineRule="auto"/>
        <w:jc w:val="both"/>
        <w:rPr>
          <w:szCs w:val="20"/>
        </w:rPr>
      </w:pPr>
    </w:p>
    <w:p w:rsidR="000069B6" w:rsidRPr="000069B6" w:rsidRDefault="000069B6" w:rsidP="000069B6">
      <w:pPr>
        <w:spacing w:line="288" w:lineRule="auto"/>
        <w:jc w:val="both"/>
        <w:rPr>
          <w:szCs w:val="20"/>
        </w:rPr>
      </w:pPr>
      <w:r w:rsidRPr="000069B6">
        <w:rPr>
          <w:szCs w:val="20"/>
        </w:rPr>
        <w:t>(2) Skupno letno poročilo mora vsebovati skupne podatke iz prejšnjega člena in analizo vzrokov za morebitne razlike glede primerjave odstopanj posameznih državnih tožilstev od državnega povprečja ter oceno doseganja načrtovanih ciljev politike pregona.</w:t>
      </w:r>
    </w:p>
    <w:p w:rsidR="000069B6" w:rsidRPr="000069B6" w:rsidRDefault="000069B6" w:rsidP="000069B6">
      <w:pPr>
        <w:spacing w:line="288" w:lineRule="auto"/>
        <w:jc w:val="both"/>
        <w:rPr>
          <w:szCs w:val="20"/>
        </w:rPr>
      </w:pPr>
    </w:p>
    <w:p w:rsidR="000069B6" w:rsidRPr="000069B6" w:rsidRDefault="000069B6" w:rsidP="000069B6">
      <w:pPr>
        <w:spacing w:line="288" w:lineRule="auto"/>
        <w:jc w:val="both"/>
        <w:rPr>
          <w:szCs w:val="20"/>
        </w:rPr>
      </w:pPr>
      <w:r w:rsidRPr="000069B6">
        <w:rPr>
          <w:szCs w:val="20"/>
        </w:rPr>
        <w:t>(3) Skupno letno poročilo mora na podlagi podatkov in analize iz prejšnjega odstavka obsegati:</w:t>
      </w:r>
    </w:p>
    <w:p w:rsidR="000069B6" w:rsidRPr="000069B6" w:rsidRDefault="000069B6" w:rsidP="000069B6">
      <w:pPr>
        <w:spacing w:line="288" w:lineRule="auto"/>
        <w:jc w:val="both"/>
        <w:rPr>
          <w:szCs w:val="20"/>
        </w:rPr>
      </w:pPr>
    </w:p>
    <w:p w:rsidR="000069B6" w:rsidRPr="000069B6" w:rsidRDefault="000069B6" w:rsidP="000069B6">
      <w:pPr>
        <w:spacing w:line="288" w:lineRule="auto"/>
        <w:jc w:val="both"/>
        <w:rPr>
          <w:szCs w:val="20"/>
        </w:rPr>
      </w:pPr>
      <w:r w:rsidRPr="000069B6">
        <w:rPr>
          <w:szCs w:val="20"/>
        </w:rPr>
        <w:t>- ukrepe za izboljšanje učinkovitosti, uspešnosti in gospodarnosti dela ter izvajanja politike pregona za posamezna in za vsa državna tožilstva skupaj;</w:t>
      </w:r>
    </w:p>
    <w:p w:rsidR="000069B6" w:rsidRPr="000069B6" w:rsidRDefault="000069B6" w:rsidP="000069B6">
      <w:pPr>
        <w:spacing w:line="288" w:lineRule="auto"/>
        <w:jc w:val="both"/>
        <w:rPr>
          <w:szCs w:val="20"/>
        </w:rPr>
      </w:pPr>
    </w:p>
    <w:p w:rsidR="000069B6" w:rsidRPr="000069B6" w:rsidRDefault="000069B6" w:rsidP="000069B6">
      <w:pPr>
        <w:spacing w:line="288" w:lineRule="auto"/>
        <w:jc w:val="both"/>
        <w:rPr>
          <w:szCs w:val="20"/>
        </w:rPr>
      </w:pPr>
      <w:r w:rsidRPr="000069B6">
        <w:rPr>
          <w:szCs w:val="20"/>
        </w:rPr>
        <w:t>- ukrepe za izboljšanje učinkovitosti za državna tožilstva, pri katerih dosežki bistveno odstopajo od načrtovanih;</w:t>
      </w:r>
    </w:p>
    <w:p w:rsidR="000069B6" w:rsidRPr="000069B6" w:rsidRDefault="000069B6" w:rsidP="000069B6">
      <w:pPr>
        <w:spacing w:line="288" w:lineRule="auto"/>
        <w:jc w:val="both"/>
        <w:rPr>
          <w:szCs w:val="20"/>
        </w:rPr>
      </w:pPr>
    </w:p>
    <w:p w:rsidR="000069B6" w:rsidRPr="000069B6" w:rsidRDefault="000069B6" w:rsidP="000069B6">
      <w:pPr>
        <w:spacing w:line="288" w:lineRule="auto"/>
        <w:jc w:val="both"/>
        <w:rPr>
          <w:szCs w:val="20"/>
        </w:rPr>
      </w:pPr>
      <w:r w:rsidRPr="000069B6">
        <w:rPr>
          <w:szCs w:val="20"/>
        </w:rPr>
        <w:t xml:space="preserve">- oceno primernosti števila </w:t>
      </w:r>
      <w:proofErr w:type="spellStart"/>
      <w:r w:rsidRPr="000069B6">
        <w:rPr>
          <w:szCs w:val="20"/>
        </w:rPr>
        <w:t>državnotožilskih</w:t>
      </w:r>
      <w:proofErr w:type="spellEnd"/>
      <w:r w:rsidRPr="000069B6">
        <w:rPr>
          <w:szCs w:val="20"/>
        </w:rPr>
        <w:t xml:space="preserve"> mest in tožilskega osebja ter drugih pogojev za delo državnih tožilstev z ustreznimi predlogi za njihovo izboljšanje.</w:t>
      </w:r>
    </w:p>
    <w:p w:rsidR="000069B6" w:rsidRPr="000069B6" w:rsidRDefault="000069B6" w:rsidP="000069B6">
      <w:pPr>
        <w:spacing w:line="288" w:lineRule="auto"/>
        <w:jc w:val="both"/>
        <w:rPr>
          <w:szCs w:val="20"/>
        </w:rPr>
      </w:pPr>
    </w:p>
    <w:p w:rsidR="000069B6" w:rsidRPr="000069B6" w:rsidRDefault="000069B6" w:rsidP="000069B6">
      <w:pPr>
        <w:spacing w:line="288" w:lineRule="auto"/>
        <w:jc w:val="both"/>
        <w:rPr>
          <w:szCs w:val="20"/>
        </w:rPr>
      </w:pPr>
      <w:r w:rsidRPr="000069B6">
        <w:rPr>
          <w:szCs w:val="20"/>
        </w:rPr>
        <w:t xml:space="preserve">(4) V skupnem letnem poročilu se na podlagi ugotovitev pri spremljanju </w:t>
      </w:r>
      <w:proofErr w:type="spellStart"/>
      <w:r w:rsidRPr="000069B6">
        <w:rPr>
          <w:szCs w:val="20"/>
        </w:rPr>
        <w:t>državnotožilske</w:t>
      </w:r>
      <w:proofErr w:type="spellEnd"/>
      <w:r w:rsidRPr="000069B6">
        <w:rPr>
          <w:szCs w:val="20"/>
        </w:rPr>
        <w:t xml:space="preserve"> prakse lahko opozori na vzroke in okoliščine za nastanek, povečevanje, spreminjanje ali razvoj kriminalitete na določenem področju in na možne zakonske in druge ustrezne ukrepe za njihovo odpravo ali zmanjševanje.</w:t>
      </w:r>
    </w:p>
    <w:p w:rsidR="000069B6" w:rsidRPr="000069B6" w:rsidRDefault="000069B6" w:rsidP="000069B6">
      <w:pPr>
        <w:spacing w:line="288" w:lineRule="auto"/>
        <w:jc w:val="both"/>
        <w:rPr>
          <w:szCs w:val="20"/>
        </w:rPr>
      </w:pPr>
    </w:p>
    <w:p w:rsidR="000069B6" w:rsidRPr="000069B6" w:rsidRDefault="000069B6" w:rsidP="000069B6">
      <w:pPr>
        <w:spacing w:line="288" w:lineRule="auto"/>
        <w:jc w:val="both"/>
        <w:rPr>
          <w:szCs w:val="20"/>
        </w:rPr>
      </w:pPr>
      <w:r w:rsidRPr="000069B6">
        <w:rPr>
          <w:szCs w:val="20"/>
        </w:rPr>
        <w:t xml:space="preserve">(5) Pri obravnavanju v Državnem zboru Republike Slovenije ali na njegovih delovnih telesih lahko podata stališča do skupnega letnega poročila tudi </w:t>
      </w:r>
      <w:proofErr w:type="spellStart"/>
      <w:r w:rsidRPr="000069B6">
        <w:rPr>
          <w:szCs w:val="20"/>
        </w:rPr>
        <w:t>Državnotožilski</w:t>
      </w:r>
      <w:proofErr w:type="spellEnd"/>
      <w:r w:rsidRPr="000069B6">
        <w:rPr>
          <w:szCs w:val="20"/>
        </w:rPr>
        <w:t xml:space="preserve"> svet in minister</w:t>
      </w:r>
    </w:p>
    <w:p w:rsidR="000069B6" w:rsidRPr="000069B6" w:rsidRDefault="000069B6" w:rsidP="000069B6">
      <w:pPr>
        <w:spacing w:line="288" w:lineRule="auto"/>
        <w:jc w:val="both"/>
        <w:rPr>
          <w:szCs w:val="20"/>
        </w:rPr>
      </w:pPr>
    </w:p>
    <w:p w:rsidR="000069B6" w:rsidRPr="000069B6" w:rsidRDefault="000069B6" w:rsidP="000069B6">
      <w:pPr>
        <w:spacing w:line="288" w:lineRule="auto"/>
        <w:jc w:val="center"/>
        <w:rPr>
          <w:szCs w:val="20"/>
        </w:rPr>
      </w:pPr>
      <w:r w:rsidRPr="000069B6">
        <w:rPr>
          <w:szCs w:val="20"/>
        </w:rPr>
        <w:t>151. člen</w:t>
      </w:r>
    </w:p>
    <w:p w:rsidR="000069B6" w:rsidRPr="000069B6" w:rsidRDefault="000069B6" w:rsidP="000069B6">
      <w:pPr>
        <w:spacing w:line="288" w:lineRule="auto"/>
        <w:jc w:val="center"/>
        <w:rPr>
          <w:szCs w:val="20"/>
        </w:rPr>
      </w:pPr>
      <w:r w:rsidRPr="000069B6">
        <w:rPr>
          <w:szCs w:val="20"/>
        </w:rPr>
        <w:t>(</w:t>
      </w:r>
      <w:proofErr w:type="spellStart"/>
      <w:r w:rsidRPr="000069B6">
        <w:rPr>
          <w:szCs w:val="20"/>
        </w:rPr>
        <w:t>državnotožilska</w:t>
      </w:r>
      <w:proofErr w:type="spellEnd"/>
      <w:r w:rsidRPr="000069B6">
        <w:rPr>
          <w:szCs w:val="20"/>
        </w:rPr>
        <w:t xml:space="preserve"> uprava)</w:t>
      </w:r>
    </w:p>
    <w:p w:rsidR="000069B6" w:rsidRPr="000069B6" w:rsidRDefault="000069B6" w:rsidP="000069B6">
      <w:pPr>
        <w:spacing w:line="288" w:lineRule="auto"/>
        <w:jc w:val="both"/>
        <w:rPr>
          <w:szCs w:val="20"/>
        </w:rPr>
      </w:pPr>
    </w:p>
    <w:p w:rsidR="000069B6" w:rsidRPr="000069B6" w:rsidRDefault="000069B6" w:rsidP="000069B6">
      <w:pPr>
        <w:spacing w:line="288" w:lineRule="auto"/>
        <w:jc w:val="both"/>
        <w:rPr>
          <w:szCs w:val="20"/>
        </w:rPr>
      </w:pPr>
      <w:r w:rsidRPr="000069B6">
        <w:rPr>
          <w:szCs w:val="20"/>
        </w:rPr>
        <w:t xml:space="preserve">(1) </w:t>
      </w:r>
      <w:proofErr w:type="spellStart"/>
      <w:r w:rsidRPr="000069B6">
        <w:rPr>
          <w:szCs w:val="20"/>
        </w:rPr>
        <w:t>Državnotožilska</w:t>
      </w:r>
      <w:proofErr w:type="spellEnd"/>
      <w:r w:rsidRPr="000069B6">
        <w:rPr>
          <w:szCs w:val="20"/>
        </w:rPr>
        <w:t xml:space="preserve"> uprava obsega odločanje in druga opravila, s katerimi so na podlagi zakona, </w:t>
      </w:r>
      <w:proofErr w:type="spellStart"/>
      <w:r w:rsidRPr="000069B6">
        <w:rPr>
          <w:szCs w:val="20"/>
        </w:rPr>
        <w:t>Državnotožilskega</w:t>
      </w:r>
      <w:proofErr w:type="spellEnd"/>
      <w:r w:rsidRPr="000069B6">
        <w:rPr>
          <w:szCs w:val="20"/>
        </w:rPr>
        <w:t xml:space="preserve"> reda in drugih podzakonskih aktov zagotovljeni pogoji za redno, pravilno, vestno in učinkovito delovanje državnega tožilstva.</w:t>
      </w:r>
    </w:p>
    <w:p w:rsidR="000069B6" w:rsidRPr="000069B6" w:rsidRDefault="000069B6" w:rsidP="000069B6">
      <w:pPr>
        <w:spacing w:line="288" w:lineRule="auto"/>
        <w:jc w:val="both"/>
        <w:rPr>
          <w:szCs w:val="20"/>
        </w:rPr>
      </w:pPr>
    </w:p>
    <w:p w:rsidR="000069B6" w:rsidRPr="000069B6" w:rsidRDefault="000069B6" w:rsidP="000069B6">
      <w:pPr>
        <w:spacing w:line="288" w:lineRule="auto"/>
        <w:jc w:val="both"/>
        <w:rPr>
          <w:szCs w:val="20"/>
        </w:rPr>
      </w:pPr>
      <w:r w:rsidRPr="000069B6">
        <w:rPr>
          <w:szCs w:val="20"/>
        </w:rPr>
        <w:t xml:space="preserve">(2) Zadeve </w:t>
      </w:r>
      <w:proofErr w:type="spellStart"/>
      <w:r w:rsidRPr="000069B6">
        <w:rPr>
          <w:szCs w:val="20"/>
        </w:rPr>
        <w:t>državnotožilske</w:t>
      </w:r>
      <w:proofErr w:type="spellEnd"/>
      <w:r w:rsidRPr="000069B6">
        <w:rPr>
          <w:szCs w:val="20"/>
        </w:rPr>
        <w:t xml:space="preserve"> uprave obsegajo zlasti:</w:t>
      </w:r>
    </w:p>
    <w:p w:rsidR="000069B6" w:rsidRPr="000069B6" w:rsidRDefault="000069B6" w:rsidP="000069B6">
      <w:pPr>
        <w:spacing w:line="288" w:lineRule="auto"/>
        <w:jc w:val="both"/>
        <w:rPr>
          <w:szCs w:val="20"/>
        </w:rPr>
      </w:pPr>
    </w:p>
    <w:p w:rsidR="000069B6" w:rsidRPr="000069B6" w:rsidRDefault="000069B6" w:rsidP="000069B6">
      <w:pPr>
        <w:pStyle w:val="Odstavekseznama"/>
        <w:numPr>
          <w:ilvl w:val="0"/>
          <w:numId w:val="21"/>
        </w:numPr>
        <w:spacing w:line="288" w:lineRule="auto"/>
        <w:ind w:left="360"/>
        <w:jc w:val="both"/>
        <w:rPr>
          <w:szCs w:val="20"/>
        </w:rPr>
      </w:pPr>
      <w:r w:rsidRPr="000069B6">
        <w:rPr>
          <w:szCs w:val="20"/>
        </w:rPr>
        <w:t>notranjo organizacijo in organizacijo poslovanja državnih tožilstev;</w:t>
      </w:r>
    </w:p>
    <w:p w:rsidR="000069B6" w:rsidRPr="000069B6" w:rsidRDefault="000069B6" w:rsidP="000069B6">
      <w:pPr>
        <w:pStyle w:val="Odstavekseznama"/>
        <w:numPr>
          <w:ilvl w:val="0"/>
          <w:numId w:val="21"/>
        </w:numPr>
        <w:spacing w:line="288" w:lineRule="auto"/>
        <w:ind w:left="360"/>
        <w:jc w:val="both"/>
        <w:rPr>
          <w:szCs w:val="20"/>
        </w:rPr>
      </w:pPr>
      <w:r w:rsidRPr="000069B6">
        <w:rPr>
          <w:szCs w:val="20"/>
        </w:rPr>
        <w:t>pripravo letnih programov in letnih poročil;</w:t>
      </w:r>
    </w:p>
    <w:p w:rsidR="000069B6" w:rsidRPr="000069B6" w:rsidRDefault="000069B6" w:rsidP="000069B6">
      <w:pPr>
        <w:pStyle w:val="Odstavekseznama"/>
        <w:numPr>
          <w:ilvl w:val="0"/>
          <w:numId w:val="21"/>
        </w:numPr>
        <w:spacing w:line="288" w:lineRule="auto"/>
        <w:ind w:left="360"/>
        <w:jc w:val="both"/>
        <w:rPr>
          <w:szCs w:val="20"/>
        </w:rPr>
      </w:pPr>
      <w:r w:rsidRPr="000069B6">
        <w:rPr>
          <w:szCs w:val="20"/>
        </w:rPr>
        <w:t>organizacija udeležbe na glavnih obravnavah, narokih in drugih dejanjih;</w:t>
      </w:r>
    </w:p>
    <w:p w:rsidR="000069B6" w:rsidRPr="000069B6" w:rsidRDefault="000069B6" w:rsidP="000069B6">
      <w:pPr>
        <w:pStyle w:val="Odstavekseznama"/>
        <w:numPr>
          <w:ilvl w:val="0"/>
          <w:numId w:val="21"/>
        </w:numPr>
        <w:spacing w:line="288" w:lineRule="auto"/>
        <w:ind w:left="360"/>
        <w:jc w:val="both"/>
        <w:rPr>
          <w:szCs w:val="20"/>
        </w:rPr>
      </w:pPr>
      <w:r w:rsidRPr="000069B6">
        <w:rPr>
          <w:szCs w:val="20"/>
        </w:rPr>
        <w:t xml:space="preserve">zagotavljanje in nadzor nad zakonitostjo, strokovno pravilnostjo in pravočasnostjo poslovanja državnega tožilstva v zadevah </w:t>
      </w:r>
      <w:proofErr w:type="spellStart"/>
      <w:r w:rsidRPr="000069B6">
        <w:rPr>
          <w:szCs w:val="20"/>
        </w:rPr>
        <w:t>državnotožilske</w:t>
      </w:r>
      <w:proofErr w:type="spellEnd"/>
      <w:r w:rsidRPr="000069B6">
        <w:rPr>
          <w:szCs w:val="20"/>
        </w:rPr>
        <w:t xml:space="preserve"> uprave;</w:t>
      </w:r>
    </w:p>
    <w:p w:rsidR="000069B6" w:rsidRPr="000069B6" w:rsidRDefault="000069B6" w:rsidP="000069B6">
      <w:pPr>
        <w:pStyle w:val="Odstavekseznama"/>
        <w:numPr>
          <w:ilvl w:val="0"/>
          <w:numId w:val="21"/>
        </w:numPr>
        <w:spacing w:line="288" w:lineRule="auto"/>
        <w:ind w:left="360"/>
        <w:jc w:val="both"/>
        <w:rPr>
          <w:szCs w:val="20"/>
        </w:rPr>
      </w:pPr>
      <w:r w:rsidRPr="000069B6">
        <w:rPr>
          <w:szCs w:val="20"/>
        </w:rPr>
        <w:t>izdajanje in izpolnjevanje splošnih navodil;</w:t>
      </w:r>
    </w:p>
    <w:p w:rsidR="000069B6" w:rsidRPr="000069B6" w:rsidRDefault="000069B6" w:rsidP="000069B6">
      <w:pPr>
        <w:pStyle w:val="Odstavekseznama"/>
        <w:numPr>
          <w:ilvl w:val="0"/>
          <w:numId w:val="21"/>
        </w:numPr>
        <w:spacing w:line="288" w:lineRule="auto"/>
        <w:ind w:left="360"/>
        <w:jc w:val="both"/>
        <w:rPr>
          <w:szCs w:val="20"/>
        </w:rPr>
      </w:pPr>
      <w:r w:rsidRPr="000069B6">
        <w:rPr>
          <w:szCs w:val="20"/>
        </w:rPr>
        <w:t>obravnavanje nadzorstvenih pritožb;</w:t>
      </w:r>
    </w:p>
    <w:p w:rsidR="000069B6" w:rsidRPr="000069B6" w:rsidRDefault="000069B6" w:rsidP="000069B6">
      <w:pPr>
        <w:pStyle w:val="Odstavekseznama"/>
        <w:numPr>
          <w:ilvl w:val="0"/>
          <w:numId w:val="21"/>
        </w:numPr>
        <w:spacing w:line="288" w:lineRule="auto"/>
        <w:ind w:left="360"/>
        <w:jc w:val="both"/>
        <w:rPr>
          <w:szCs w:val="20"/>
        </w:rPr>
      </w:pPr>
      <w:r w:rsidRPr="000069B6">
        <w:rPr>
          <w:szCs w:val="20"/>
        </w:rPr>
        <w:t>kadrovsko poslovanje ter izvajanje predpisov o varnosti in zdravju pri delu;</w:t>
      </w:r>
    </w:p>
    <w:p w:rsidR="000069B6" w:rsidRPr="000069B6" w:rsidRDefault="000069B6" w:rsidP="000069B6">
      <w:pPr>
        <w:pStyle w:val="Odstavekseznama"/>
        <w:numPr>
          <w:ilvl w:val="0"/>
          <w:numId w:val="21"/>
        </w:numPr>
        <w:spacing w:line="288" w:lineRule="auto"/>
        <w:ind w:left="360"/>
        <w:jc w:val="both"/>
        <w:rPr>
          <w:szCs w:val="20"/>
        </w:rPr>
      </w:pPr>
      <w:r w:rsidRPr="000069B6">
        <w:rPr>
          <w:szCs w:val="20"/>
        </w:rPr>
        <w:t>odločanje o pravicah, obveznostih in odgovornostih državnih tožilcev in tožilskega osebja;</w:t>
      </w:r>
    </w:p>
    <w:p w:rsidR="000069B6" w:rsidRPr="000069B6" w:rsidRDefault="000069B6" w:rsidP="000069B6">
      <w:pPr>
        <w:pStyle w:val="Odstavekseznama"/>
        <w:numPr>
          <w:ilvl w:val="0"/>
          <w:numId w:val="21"/>
        </w:numPr>
        <w:spacing w:line="288" w:lineRule="auto"/>
        <w:ind w:left="360"/>
        <w:jc w:val="both"/>
        <w:rPr>
          <w:szCs w:val="20"/>
        </w:rPr>
      </w:pPr>
      <w:r w:rsidRPr="000069B6">
        <w:rPr>
          <w:szCs w:val="20"/>
        </w:rPr>
        <w:t>poročanje o delu državnega tožilstva;</w:t>
      </w:r>
    </w:p>
    <w:p w:rsidR="000069B6" w:rsidRPr="000069B6" w:rsidRDefault="000069B6" w:rsidP="000069B6">
      <w:pPr>
        <w:pStyle w:val="Odstavekseznama"/>
        <w:numPr>
          <w:ilvl w:val="0"/>
          <w:numId w:val="21"/>
        </w:numPr>
        <w:spacing w:line="288" w:lineRule="auto"/>
        <w:ind w:left="360"/>
        <w:jc w:val="both"/>
        <w:rPr>
          <w:szCs w:val="20"/>
        </w:rPr>
      </w:pPr>
      <w:r w:rsidRPr="000069B6">
        <w:rPr>
          <w:szCs w:val="20"/>
        </w:rPr>
        <w:t>oblikovanje pobud in mnenj o zakonih in podzakonskih aktih;</w:t>
      </w:r>
    </w:p>
    <w:p w:rsidR="000069B6" w:rsidRPr="000069B6" w:rsidRDefault="000069B6" w:rsidP="000069B6">
      <w:pPr>
        <w:pStyle w:val="Odstavekseznama"/>
        <w:numPr>
          <w:ilvl w:val="0"/>
          <w:numId w:val="21"/>
        </w:numPr>
        <w:spacing w:line="288" w:lineRule="auto"/>
        <w:ind w:left="360"/>
        <w:jc w:val="both"/>
        <w:rPr>
          <w:szCs w:val="20"/>
        </w:rPr>
      </w:pPr>
      <w:r w:rsidRPr="000069B6">
        <w:rPr>
          <w:szCs w:val="20"/>
        </w:rPr>
        <w:t xml:space="preserve">izobraževanje ter spremljanje sodne in </w:t>
      </w:r>
      <w:proofErr w:type="spellStart"/>
      <w:r w:rsidRPr="000069B6">
        <w:rPr>
          <w:szCs w:val="20"/>
        </w:rPr>
        <w:t>državnotožilske</w:t>
      </w:r>
      <w:proofErr w:type="spellEnd"/>
      <w:r w:rsidRPr="000069B6">
        <w:rPr>
          <w:szCs w:val="20"/>
        </w:rPr>
        <w:t xml:space="preserve"> prakse;</w:t>
      </w:r>
    </w:p>
    <w:p w:rsidR="000069B6" w:rsidRPr="000069B6" w:rsidRDefault="000069B6" w:rsidP="000069B6">
      <w:pPr>
        <w:pStyle w:val="Odstavekseznama"/>
        <w:numPr>
          <w:ilvl w:val="0"/>
          <w:numId w:val="21"/>
        </w:numPr>
        <w:spacing w:line="288" w:lineRule="auto"/>
        <w:ind w:left="360"/>
        <w:jc w:val="both"/>
        <w:rPr>
          <w:szCs w:val="20"/>
        </w:rPr>
      </w:pPr>
      <w:r w:rsidRPr="000069B6">
        <w:rPr>
          <w:szCs w:val="20"/>
        </w:rPr>
        <w:t>vpisovanje, evidentiranje in statistično spremljanje zadev;</w:t>
      </w:r>
    </w:p>
    <w:p w:rsidR="000069B6" w:rsidRPr="000069B6" w:rsidRDefault="000069B6" w:rsidP="000069B6">
      <w:pPr>
        <w:pStyle w:val="Odstavekseznama"/>
        <w:numPr>
          <w:ilvl w:val="0"/>
          <w:numId w:val="21"/>
        </w:numPr>
        <w:spacing w:line="288" w:lineRule="auto"/>
        <w:ind w:left="360"/>
        <w:jc w:val="both"/>
        <w:rPr>
          <w:szCs w:val="20"/>
        </w:rPr>
      </w:pPr>
      <w:r w:rsidRPr="000069B6">
        <w:rPr>
          <w:szCs w:val="20"/>
        </w:rPr>
        <w:t>pisarniško in tehnično poslovanje;</w:t>
      </w:r>
    </w:p>
    <w:p w:rsidR="000069B6" w:rsidRPr="000069B6" w:rsidRDefault="000069B6" w:rsidP="000069B6">
      <w:pPr>
        <w:pStyle w:val="Odstavekseznama"/>
        <w:numPr>
          <w:ilvl w:val="0"/>
          <w:numId w:val="21"/>
        </w:numPr>
        <w:spacing w:line="288" w:lineRule="auto"/>
        <w:ind w:left="360"/>
        <w:jc w:val="both"/>
        <w:rPr>
          <w:szCs w:val="20"/>
        </w:rPr>
      </w:pPr>
      <w:r w:rsidRPr="000069B6">
        <w:rPr>
          <w:szCs w:val="20"/>
        </w:rPr>
        <w:t>finančno, računovodsko in materialno poslovanje ter vodenje postopkov javnih naročil;</w:t>
      </w:r>
    </w:p>
    <w:p w:rsidR="000069B6" w:rsidRPr="000069B6" w:rsidRDefault="000069B6" w:rsidP="000069B6">
      <w:pPr>
        <w:pStyle w:val="Odstavekseznama"/>
        <w:numPr>
          <w:ilvl w:val="0"/>
          <w:numId w:val="21"/>
        </w:numPr>
        <w:spacing w:line="288" w:lineRule="auto"/>
        <w:ind w:left="360"/>
        <w:jc w:val="both"/>
        <w:rPr>
          <w:szCs w:val="20"/>
        </w:rPr>
      </w:pPr>
      <w:r w:rsidRPr="000069B6">
        <w:rPr>
          <w:szCs w:val="20"/>
        </w:rPr>
        <w:t>dejavnosti, povezane s stvarnim premoženjem, ki ga ima državno tožilstvo neposredno v uporabi;</w:t>
      </w:r>
    </w:p>
    <w:p w:rsidR="000069B6" w:rsidRPr="000069B6" w:rsidRDefault="000069B6" w:rsidP="000069B6">
      <w:pPr>
        <w:pStyle w:val="Odstavekseznama"/>
        <w:numPr>
          <w:ilvl w:val="0"/>
          <w:numId w:val="21"/>
        </w:numPr>
        <w:spacing w:line="288" w:lineRule="auto"/>
        <w:ind w:left="360"/>
        <w:jc w:val="both"/>
        <w:rPr>
          <w:szCs w:val="20"/>
        </w:rPr>
      </w:pPr>
      <w:r w:rsidRPr="000069B6">
        <w:rPr>
          <w:szCs w:val="20"/>
        </w:rPr>
        <w:t>skrb in ukrepe za varnost oseb, dokumentacije in premoženja na državnem tožilstvu;</w:t>
      </w:r>
    </w:p>
    <w:p w:rsidR="000069B6" w:rsidRPr="000069B6" w:rsidRDefault="000069B6" w:rsidP="000069B6">
      <w:pPr>
        <w:pStyle w:val="Odstavekseznama"/>
        <w:numPr>
          <w:ilvl w:val="0"/>
          <w:numId w:val="21"/>
        </w:numPr>
        <w:spacing w:line="288" w:lineRule="auto"/>
        <w:ind w:left="360"/>
        <w:jc w:val="both"/>
        <w:rPr>
          <w:szCs w:val="20"/>
        </w:rPr>
      </w:pPr>
      <w:r w:rsidRPr="000069B6">
        <w:rPr>
          <w:szCs w:val="20"/>
        </w:rPr>
        <w:t>druge zadeve, ki so določene v predpisih iz prejšnjega odstavka.</w:t>
      </w:r>
    </w:p>
    <w:p w:rsidR="000069B6" w:rsidRPr="000069B6" w:rsidRDefault="000069B6" w:rsidP="000069B6">
      <w:pPr>
        <w:spacing w:line="288" w:lineRule="auto"/>
        <w:jc w:val="both"/>
        <w:rPr>
          <w:szCs w:val="20"/>
        </w:rPr>
      </w:pPr>
    </w:p>
    <w:p w:rsidR="000069B6" w:rsidRDefault="000069B6" w:rsidP="000069B6">
      <w:pPr>
        <w:spacing w:line="288" w:lineRule="auto"/>
        <w:jc w:val="both"/>
        <w:rPr>
          <w:szCs w:val="20"/>
        </w:rPr>
      </w:pPr>
      <w:r w:rsidRPr="000069B6">
        <w:rPr>
          <w:szCs w:val="20"/>
        </w:rPr>
        <w:t>(3) Zagotavljanje in nadzor nad zakonitostjo, strokovno pravilnostjo in pravočasnostjo dela državnega tožilca se izvaja po določbah tega zakona o strokovnem nadzoru.</w:t>
      </w:r>
    </w:p>
    <w:p w:rsidR="000069B6" w:rsidRDefault="000069B6" w:rsidP="000069B6">
      <w:pPr>
        <w:spacing w:line="288" w:lineRule="auto"/>
        <w:jc w:val="both"/>
        <w:rPr>
          <w:szCs w:val="20"/>
        </w:rPr>
      </w:pPr>
    </w:p>
    <w:p w:rsidR="000069B6" w:rsidRPr="000069B6" w:rsidRDefault="000069B6" w:rsidP="000069B6">
      <w:pPr>
        <w:spacing w:line="288" w:lineRule="auto"/>
        <w:jc w:val="center"/>
        <w:rPr>
          <w:szCs w:val="20"/>
        </w:rPr>
      </w:pPr>
      <w:r w:rsidRPr="000069B6">
        <w:rPr>
          <w:szCs w:val="20"/>
        </w:rPr>
        <w:t>158. člen</w:t>
      </w:r>
    </w:p>
    <w:p w:rsidR="000069B6" w:rsidRPr="000069B6" w:rsidRDefault="000069B6" w:rsidP="000069B6">
      <w:pPr>
        <w:spacing w:line="288" w:lineRule="auto"/>
        <w:jc w:val="center"/>
        <w:rPr>
          <w:szCs w:val="20"/>
        </w:rPr>
      </w:pPr>
      <w:r w:rsidRPr="000069B6">
        <w:rPr>
          <w:szCs w:val="20"/>
        </w:rPr>
        <w:t>(pravosodna uprava)</w:t>
      </w:r>
    </w:p>
    <w:p w:rsidR="000069B6" w:rsidRPr="000069B6" w:rsidRDefault="000069B6" w:rsidP="000069B6">
      <w:pPr>
        <w:spacing w:line="288" w:lineRule="auto"/>
        <w:jc w:val="both"/>
        <w:rPr>
          <w:szCs w:val="20"/>
        </w:rPr>
      </w:pPr>
    </w:p>
    <w:p w:rsidR="000069B6" w:rsidRPr="000069B6" w:rsidRDefault="000069B6" w:rsidP="000069B6">
      <w:pPr>
        <w:spacing w:line="288" w:lineRule="auto"/>
        <w:jc w:val="both"/>
        <w:rPr>
          <w:szCs w:val="20"/>
        </w:rPr>
      </w:pPr>
      <w:r w:rsidRPr="000069B6">
        <w:rPr>
          <w:szCs w:val="20"/>
        </w:rPr>
        <w:t xml:space="preserve">(1) V zadeve pravosodne uprave sodi zagotavljanje splošnih pogojev za uspešno izvajanje </w:t>
      </w:r>
      <w:proofErr w:type="spellStart"/>
      <w:r w:rsidRPr="000069B6">
        <w:rPr>
          <w:szCs w:val="20"/>
        </w:rPr>
        <w:t>državnotožilske</w:t>
      </w:r>
      <w:proofErr w:type="spellEnd"/>
      <w:r w:rsidRPr="000069B6">
        <w:rPr>
          <w:szCs w:val="20"/>
        </w:rPr>
        <w:t xml:space="preserve"> funkcije, zlasti:</w:t>
      </w:r>
    </w:p>
    <w:p w:rsidR="000069B6" w:rsidRPr="000069B6" w:rsidRDefault="000069B6" w:rsidP="000069B6">
      <w:pPr>
        <w:spacing w:line="288" w:lineRule="auto"/>
        <w:jc w:val="both"/>
        <w:rPr>
          <w:szCs w:val="20"/>
        </w:rPr>
      </w:pPr>
    </w:p>
    <w:p w:rsidR="000069B6" w:rsidRPr="000069B6" w:rsidRDefault="000069B6" w:rsidP="000069B6">
      <w:pPr>
        <w:pStyle w:val="Odstavekseznama"/>
        <w:numPr>
          <w:ilvl w:val="0"/>
          <w:numId w:val="21"/>
        </w:numPr>
        <w:spacing w:line="288" w:lineRule="auto"/>
        <w:ind w:left="426" w:hanging="426"/>
        <w:jc w:val="both"/>
        <w:rPr>
          <w:szCs w:val="20"/>
        </w:rPr>
      </w:pPr>
      <w:r w:rsidRPr="000069B6">
        <w:rPr>
          <w:szCs w:val="20"/>
        </w:rPr>
        <w:t>priprava zakonov in drugih predpisov s področja organizacije in poslovanja državnih tožilstev, položaja, pravic in obveznosti državnih tožilcev in tožilskega osebja;</w:t>
      </w:r>
    </w:p>
    <w:p w:rsidR="000069B6" w:rsidRPr="000069B6" w:rsidRDefault="000069B6" w:rsidP="000069B6">
      <w:pPr>
        <w:pStyle w:val="Odstavekseznama"/>
        <w:numPr>
          <w:ilvl w:val="0"/>
          <w:numId w:val="21"/>
        </w:numPr>
        <w:spacing w:line="288" w:lineRule="auto"/>
        <w:ind w:left="426" w:hanging="426"/>
        <w:jc w:val="both"/>
        <w:rPr>
          <w:szCs w:val="20"/>
        </w:rPr>
      </w:pPr>
      <w:r w:rsidRPr="000069B6">
        <w:rPr>
          <w:szCs w:val="20"/>
        </w:rPr>
        <w:t>skrb za izobraževanje in strokovno usposabljanje;</w:t>
      </w:r>
    </w:p>
    <w:p w:rsidR="000069B6" w:rsidRPr="000069B6" w:rsidRDefault="000069B6" w:rsidP="000069B6">
      <w:pPr>
        <w:pStyle w:val="Odstavekseznama"/>
        <w:numPr>
          <w:ilvl w:val="0"/>
          <w:numId w:val="21"/>
        </w:numPr>
        <w:spacing w:line="288" w:lineRule="auto"/>
        <w:ind w:left="426" w:hanging="426"/>
        <w:jc w:val="both"/>
        <w:rPr>
          <w:szCs w:val="20"/>
        </w:rPr>
      </w:pPr>
      <w:r w:rsidRPr="000069B6">
        <w:rPr>
          <w:szCs w:val="20"/>
        </w:rPr>
        <w:t>zagotavljanje kadrovskih, materialnih in tehničnih pogojev;</w:t>
      </w:r>
    </w:p>
    <w:p w:rsidR="000069B6" w:rsidRPr="000069B6" w:rsidRDefault="000069B6" w:rsidP="000069B6">
      <w:pPr>
        <w:pStyle w:val="Odstavekseznama"/>
        <w:numPr>
          <w:ilvl w:val="0"/>
          <w:numId w:val="21"/>
        </w:numPr>
        <w:spacing w:line="288" w:lineRule="auto"/>
        <w:ind w:left="426" w:hanging="426"/>
        <w:jc w:val="both"/>
        <w:rPr>
          <w:szCs w:val="20"/>
        </w:rPr>
      </w:pPr>
      <w:r w:rsidRPr="000069B6">
        <w:rPr>
          <w:szCs w:val="20"/>
        </w:rPr>
        <w:t>obravnavanje nadzorstvenih pritožb;</w:t>
      </w:r>
    </w:p>
    <w:p w:rsidR="000069B6" w:rsidRPr="000069B6" w:rsidRDefault="000069B6" w:rsidP="000069B6">
      <w:pPr>
        <w:pStyle w:val="Odstavekseznama"/>
        <w:numPr>
          <w:ilvl w:val="0"/>
          <w:numId w:val="21"/>
        </w:numPr>
        <w:spacing w:line="288" w:lineRule="auto"/>
        <w:ind w:left="426" w:hanging="426"/>
        <w:jc w:val="both"/>
        <w:rPr>
          <w:szCs w:val="20"/>
        </w:rPr>
      </w:pPr>
      <w:r w:rsidRPr="000069B6">
        <w:rPr>
          <w:szCs w:val="20"/>
        </w:rPr>
        <w:t>zbiranje statističnih in drugih podatkov o delovanju državnih tožilstev in</w:t>
      </w:r>
    </w:p>
    <w:p w:rsidR="000069B6" w:rsidRPr="000069B6" w:rsidRDefault="000069B6" w:rsidP="000069B6">
      <w:pPr>
        <w:pStyle w:val="Odstavekseznama"/>
        <w:numPr>
          <w:ilvl w:val="0"/>
          <w:numId w:val="21"/>
        </w:numPr>
        <w:spacing w:line="288" w:lineRule="auto"/>
        <w:ind w:left="426" w:hanging="426"/>
        <w:jc w:val="both"/>
        <w:rPr>
          <w:szCs w:val="20"/>
        </w:rPr>
      </w:pPr>
      <w:r w:rsidRPr="000069B6">
        <w:rPr>
          <w:szCs w:val="20"/>
        </w:rPr>
        <w:t>opravljanje drugih upravnih nalog, kadar tako določa zakon.</w:t>
      </w:r>
    </w:p>
    <w:p w:rsidR="000069B6" w:rsidRPr="000069B6" w:rsidRDefault="000069B6" w:rsidP="000069B6">
      <w:pPr>
        <w:spacing w:line="288" w:lineRule="auto"/>
        <w:jc w:val="both"/>
        <w:rPr>
          <w:szCs w:val="20"/>
        </w:rPr>
      </w:pPr>
    </w:p>
    <w:p w:rsidR="000069B6" w:rsidRPr="000069B6" w:rsidRDefault="000069B6" w:rsidP="000069B6">
      <w:pPr>
        <w:spacing w:line="288" w:lineRule="auto"/>
        <w:jc w:val="both"/>
        <w:rPr>
          <w:szCs w:val="20"/>
        </w:rPr>
      </w:pPr>
      <w:r w:rsidRPr="000069B6">
        <w:rPr>
          <w:szCs w:val="20"/>
        </w:rPr>
        <w:t>(2) Če zakon ne določa drugače, sodi v zadeve pravosodne uprave tudi zagotavljanje prostorskih pogojev, vključno z zagotavljanjem sredstev za najemnine za najete prostore državnih tožilstev.</w:t>
      </w:r>
    </w:p>
    <w:p w:rsidR="000069B6" w:rsidRPr="000069B6" w:rsidRDefault="000069B6" w:rsidP="000069B6">
      <w:pPr>
        <w:spacing w:line="288" w:lineRule="auto"/>
        <w:jc w:val="both"/>
        <w:rPr>
          <w:szCs w:val="20"/>
        </w:rPr>
      </w:pPr>
    </w:p>
    <w:p w:rsidR="000069B6" w:rsidRPr="000069B6" w:rsidRDefault="000069B6" w:rsidP="000069B6">
      <w:pPr>
        <w:spacing w:line="288" w:lineRule="auto"/>
        <w:jc w:val="both"/>
        <w:rPr>
          <w:szCs w:val="20"/>
        </w:rPr>
      </w:pPr>
      <w:r w:rsidRPr="000069B6">
        <w:rPr>
          <w:szCs w:val="20"/>
        </w:rPr>
        <w:t xml:space="preserve">(3) Ministrstvo lahko za namene izvrševanja pristojnosti po tem zakonu zahteva od državnih tožilstev pojasnila, podatke, poročila, v prostorih državnega tožilstva lahko vpogleda v spise ter od državnih tožilstev zahteva izpise iz vpisnikov in drugo dokumentacijo, ki se nanaša na izvrševanje posamezne zadeve ali vrste zadev </w:t>
      </w:r>
      <w:proofErr w:type="spellStart"/>
      <w:r w:rsidRPr="000069B6">
        <w:rPr>
          <w:szCs w:val="20"/>
        </w:rPr>
        <w:t>državnotožilske</w:t>
      </w:r>
      <w:proofErr w:type="spellEnd"/>
      <w:r w:rsidRPr="000069B6">
        <w:rPr>
          <w:szCs w:val="20"/>
        </w:rPr>
        <w:t xml:space="preserve"> uprave.</w:t>
      </w:r>
    </w:p>
    <w:p w:rsidR="000069B6" w:rsidRPr="000069B6" w:rsidRDefault="000069B6" w:rsidP="000069B6">
      <w:pPr>
        <w:spacing w:line="288" w:lineRule="auto"/>
        <w:jc w:val="both"/>
        <w:rPr>
          <w:szCs w:val="20"/>
        </w:rPr>
      </w:pPr>
    </w:p>
    <w:p w:rsidR="000069B6" w:rsidRPr="000069B6" w:rsidRDefault="000069B6" w:rsidP="000069B6">
      <w:pPr>
        <w:spacing w:line="288" w:lineRule="auto"/>
        <w:jc w:val="both"/>
        <w:rPr>
          <w:szCs w:val="20"/>
        </w:rPr>
      </w:pPr>
      <w:r w:rsidRPr="000069B6">
        <w:rPr>
          <w:szCs w:val="20"/>
        </w:rPr>
        <w:t>(4) Če vodja državnega tožilstva zavrne zahtevo iz prejšnjega odstavka, ker meni, da gre za nedovoljen poseg v samostojnost državnega tožilca, se postopa po določbah o zavrnitvi pravosodnega nadzora.</w:t>
      </w:r>
    </w:p>
    <w:p w:rsidR="000069B6" w:rsidRPr="000069B6" w:rsidRDefault="000069B6" w:rsidP="000069B6">
      <w:pPr>
        <w:spacing w:line="288" w:lineRule="auto"/>
        <w:jc w:val="both"/>
        <w:rPr>
          <w:szCs w:val="20"/>
        </w:rPr>
      </w:pPr>
    </w:p>
    <w:p w:rsidR="000069B6" w:rsidRPr="000069B6" w:rsidRDefault="000069B6" w:rsidP="000069B6">
      <w:pPr>
        <w:spacing w:line="288" w:lineRule="auto"/>
        <w:jc w:val="both"/>
        <w:rPr>
          <w:szCs w:val="20"/>
        </w:rPr>
      </w:pPr>
      <w:r w:rsidRPr="000069B6">
        <w:rPr>
          <w:szCs w:val="20"/>
        </w:rPr>
        <w:t>(5) Izobraževanje in strokovno usposabljanje državnih tožilcev izvaja Center za izobraževanje v pravosodju.</w:t>
      </w:r>
    </w:p>
    <w:p w:rsidR="000069B6" w:rsidRPr="000069B6" w:rsidRDefault="000069B6" w:rsidP="000069B6">
      <w:pPr>
        <w:spacing w:line="288" w:lineRule="auto"/>
        <w:jc w:val="both"/>
        <w:rPr>
          <w:szCs w:val="20"/>
        </w:rPr>
      </w:pPr>
    </w:p>
    <w:p w:rsidR="000069B6" w:rsidRDefault="000069B6" w:rsidP="000069B6">
      <w:pPr>
        <w:spacing w:line="288" w:lineRule="auto"/>
        <w:jc w:val="both"/>
        <w:rPr>
          <w:szCs w:val="20"/>
        </w:rPr>
      </w:pPr>
      <w:r w:rsidRPr="000069B6">
        <w:rPr>
          <w:szCs w:val="20"/>
        </w:rPr>
        <w:t>(6) Posamezna izobraževanja in strokovna usposabljanja državnih tožilcev se lahko izvedejo v okviru državnega tožilstva.</w:t>
      </w:r>
    </w:p>
    <w:p w:rsidR="000069B6" w:rsidRDefault="000069B6" w:rsidP="000069B6">
      <w:pPr>
        <w:spacing w:line="288" w:lineRule="auto"/>
        <w:rPr>
          <w:szCs w:val="20"/>
        </w:rPr>
      </w:pPr>
    </w:p>
    <w:p w:rsidR="00D92A18" w:rsidRPr="00D92A18" w:rsidRDefault="00D92A18" w:rsidP="00D92A18">
      <w:pPr>
        <w:spacing w:line="288" w:lineRule="auto"/>
        <w:jc w:val="center"/>
        <w:rPr>
          <w:szCs w:val="20"/>
        </w:rPr>
      </w:pPr>
      <w:r w:rsidRPr="00D92A18">
        <w:rPr>
          <w:szCs w:val="20"/>
        </w:rPr>
        <w:t>169. člen</w:t>
      </w:r>
    </w:p>
    <w:p w:rsidR="00D92A18" w:rsidRPr="00D92A18" w:rsidRDefault="00D92A18" w:rsidP="00D92A18">
      <w:pPr>
        <w:spacing w:line="288" w:lineRule="auto"/>
        <w:jc w:val="center"/>
        <w:rPr>
          <w:szCs w:val="20"/>
        </w:rPr>
      </w:pPr>
      <w:r w:rsidRPr="00D92A18">
        <w:rPr>
          <w:szCs w:val="20"/>
        </w:rPr>
        <w:t>(učinkovitost in enotnost pregona)</w:t>
      </w:r>
    </w:p>
    <w:p w:rsidR="00D92A18" w:rsidRPr="00D92A18" w:rsidRDefault="00D92A18" w:rsidP="00D92A18">
      <w:pPr>
        <w:spacing w:line="288" w:lineRule="auto"/>
        <w:jc w:val="both"/>
        <w:rPr>
          <w:szCs w:val="20"/>
        </w:rPr>
      </w:pPr>
    </w:p>
    <w:p w:rsidR="00D92A18" w:rsidRPr="00D92A18" w:rsidRDefault="00D92A18" w:rsidP="00D92A18">
      <w:pPr>
        <w:spacing w:line="288" w:lineRule="auto"/>
        <w:jc w:val="both"/>
        <w:rPr>
          <w:szCs w:val="20"/>
        </w:rPr>
      </w:pPr>
      <w:r w:rsidRPr="00D92A18">
        <w:rPr>
          <w:szCs w:val="20"/>
        </w:rPr>
        <w:t xml:space="preserve">(1) Vodja državnega tožilstva v skladu z </w:t>
      </w:r>
      <w:proofErr w:type="spellStart"/>
      <w:r w:rsidRPr="00D92A18">
        <w:rPr>
          <w:szCs w:val="20"/>
        </w:rPr>
        <w:t>Državnotožilskim</w:t>
      </w:r>
      <w:proofErr w:type="spellEnd"/>
      <w:r w:rsidRPr="00D92A18">
        <w:rPr>
          <w:szCs w:val="20"/>
        </w:rPr>
        <w:t xml:space="preserve"> redom in splošnimi navodili določi vrsto zadev in način obveščanja o zadevah, v katerih mu morajo državni tožilci pred odločitvijo predložiti na vpogled osnutek svojega akta zaradi zagotavljanja učinkovitosti in enotnosti pregona.</w:t>
      </w:r>
    </w:p>
    <w:p w:rsidR="00D92A18" w:rsidRPr="00D92A18" w:rsidRDefault="00D92A18" w:rsidP="00D92A18">
      <w:pPr>
        <w:spacing w:line="288" w:lineRule="auto"/>
        <w:jc w:val="both"/>
        <w:rPr>
          <w:szCs w:val="20"/>
        </w:rPr>
      </w:pPr>
    </w:p>
    <w:p w:rsidR="00D92A18" w:rsidRPr="00D92A18" w:rsidRDefault="00D92A18" w:rsidP="00D92A18">
      <w:pPr>
        <w:spacing w:line="288" w:lineRule="auto"/>
        <w:jc w:val="both"/>
        <w:rPr>
          <w:szCs w:val="20"/>
        </w:rPr>
      </w:pPr>
      <w:r w:rsidRPr="00D92A18">
        <w:rPr>
          <w:szCs w:val="20"/>
        </w:rPr>
        <w:t>(2) Če vodja državnega tožilstva ob predložitvi osnutka iz prejšnjega odstavka meni, da je osnutek pomanjkljiv ali nerazumljiv, lahko o tem obvesti državnega tožilca in mu predlaga možen način odprave pomanjkljivosti ali nerazumljivosti. Obvestilo je lahko pisno ali zaznamovano na osnutku.</w:t>
      </w:r>
    </w:p>
    <w:p w:rsidR="00D92A18" w:rsidRPr="00D92A18" w:rsidRDefault="00D92A18" w:rsidP="00D92A18">
      <w:pPr>
        <w:spacing w:line="288" w:lineRule="auto"/>
        <w:jc w:val="both"/>
        <w:rPr>
          <w:szCs w:val="20"/>
        </w:rPr>
      </w:pPr>
    </w:p>
    <w:p w:rsidR="00D92A18" w:rsidRDefault="00D92A18" w:rsidP="00D92A18">
      <w:pPr>
        <w:spacing w:line="288" w:lineRule="auto"/>
        <w:jc w:val="both"/>
        <w:rPr>
          <w:szCs w:val="20"/>
        </w:rPr>
      </w:pPr>
      <w:r w:rsidRPr="00D92A18">
        <w:rPr>
          <w:szCs w:val="20"/>
        </w:rPr>
        <w:t>(3) Če se vodja državnega tožilstva ob predložitvi osnutka iz prvega odstavka tega člena ne strinja z odločitvijo državnega tožilca, sme postopati le po določbah tega zakona, ki veljajo za prevzem zadeve.</w:t>
      </w:r>
    </w:p>
    <w:p w:rsidR="00AE2155" w:rsidRDefault="00AE2155" w:rsidP="00B644CC">
      <w:pPr>
        <w:spacing w:line="288" w:lineRule="auto"/>
        <w:jc w:val="both"/>
        <w:rPr>
          <w:szCs w:val="20"/>
        </w:rPr>
      </w:pPr>
    </w:p>
    <w:p w:rsidR="00AE2155" w:rsidRPr="00162F8F" w:rsidRDefault="00AE2155" w:rsidP="00B644CC">
      <w:pPr>
        <w:spacing w:line="288" w:lineRule="auto"/>
        <w:jc w:val="center"/>
        <w:rPr>
          <w:szCs w:val="20"/>
        </w:rPr>
      </w:pPr>
      <w:r w:rsidRPr="00162F8F">
        <w:rPr>
          <w:szCs w:val="20"/>
        </w:rPr>
        <w:t>173. člen</w:t>
      </w:r>
    </w:p>
    <w:p w:rsidR="00AE2155" w:rsidRPr="00162F8F" w:rsidRDefault="00AE2155" w:rsidP="00B644CC">
      <w:pPr>
        <w:spacing w:line="288" w:lineRule="auto"/>
        <w:jc w:val="center"/>
        <w:rPr>
          <w:szCs w:val="20"/>
        </w:rPr>
      </w:pPr>
      <w:r w:rsidRPr="00162F8F">
        <w:rPr>
          <w:szCs w:val="20"/>
        </w:rPr>
        <w:t>(strokovni nadzor)</w:t>
      </w:r>
    </w:p>
    <w:p w:rsidR="00AE2155" w:rsidRPr="00162F8F" w:rsidRDefault="00AE2155" w:rsidP="00B644CC">
      <w:pPr>
        <w:spacing w:line="288" w:lineRule="auto"/>
        <w:jc w:val="both"/>
        <w:rPr>
          <w:szCs w:val="20"/>
        </w:rPr>
      </w:pPr>
    </w:p>
    <w:p w:rsidR="00AE2155" w:rsidRPr="00162F8F" w:rsidRDefault="00AE2155" w:rsidP="00B644CC">
      <w:pPr>
        <w:spacing w:line="288" w:lineRule="auto"/>
        <w:jc w:val="both"/>
        <w:rPr>
          <w:szCs w:val="20"/>
        </w:rPr>
      </w:pPr>
      <w:r w:rsidRPr="00162F8F">
        <w:rPr>
          <w:szCs w:val="20"/>
        </w:rPr>
        <w:t>(1) Strokovni nadzor nad delom okrožnih državnih tožilstev izvaja Vrhovno državno tožilstvo s splošnim, delnim ali posamičnim strokovnim pregledom dela državnih tožilstev in državnih tožilcev ter tožilskega osebja, s pregledovanjem spisov, vpisnikov in druge dokumentacije ter na drug primeren način.</w:t>
      </w:r>
    </w:p>
    <w:p w:rsidR="00AE2155" w:rsidRPr="00162F8F" w:rsidRDefault="00AE2155" w:rsidP="00B644CC">
      <w:pPr>
        <w:spacing w:line="288" w:lineRule="auto"/>
        <w:jc w:val="both"/>
        <w:rPr>
          <w:szCs w:val="20"/>
        </w:rPr>
      </w:pPr>
    </w:p>
    <w:p w:rsidR="00AE2155" w:rsidRPr="00162F8F" w:rsidRDefault="00AE2155" w:rsidP="00B644CC">
      <w:pPr>
        <w:spacing w:line="288" w:lineRule="auto"/>
        <w:jc w:val="both"/>
        <w:rPr>
          <w:szCs w:val="20"/>
        </w:rPr>
      </w:pPr>
      <w:r w:rsidRPr="00162F8F">
        <w:rPr>
          <w:szCs w:val="20"/>
        </w:rPr>
        <w:t>(2) Izvedbo strokovnega nadzora pripravi, usklajuje in evidentira oddelek za izobraževanje in strokovni nadzor pri Vrhovnem državnem tožilstvu.</w:t>
      </w:r>
    </w:p>
    <w:p w:rsidR="00AE2155" w:rsidRPr="00162F8F" w:rsidRDefault="00AE2155" w:rsidP="00B644CC">
      <w:pPr>
        <w:spacing w:line="288" w:lineRule="auto"/>
        <w:jc w:val="both"/>
        <w:rPr>
          <w:szCs w:val="20"/>
        </w:rPr>
      </w:pPr>
    </w:p>
    <w:p w:rsidR="00AE2155" w:rsidRPr="00162F8F" w:rsidRDefault="00AE2155" w:rsidP="00B644CC">
      <w:pPr>
        <w:spacing w:line="288" w:lineRule="auto"/>
        <w:jc w:val="both"/>
        <w:rPr>
          <w:szCs w:val="20"/>
        </w:rPr>
      </w:pPr>
      <w:r w:rsidRPr="00162F8F">
        <w:rPr>
          <w:szCs w:val="20"/>
        </w:rPr>
        <w:t>(3) Spise lahko pregledujejo le vrhovni ali višji državni tožilci, vpisnike in drugo dokumentacijo pa tožilsko osebje Vrhovnega državnega tožilstva, po pisnem pooblastilu generalnega državnega tožilca, ki je sestavni del odredbe o nadzoru.</w:t>
      </w:r>
    </w:p>
    <w:p w:rsidR="00AE2155" w:rsidRPr="00162F8F" w:rsidRDefault="00AE2155" w:rsidP="00B644CC">
      <w:pPr>
        <w:spacing w:line="288" w:lineRule="auto"/>
        <w:jc w:val="both"/>
        <w:rPr>
          <w:szCs w:val="20"/>
        </w:rPr>
      </w:pPr>
    </w:p>
    <w:p w:rsidR="00AE2155" w:rsidRPr="00162F8F" w:rsidRDefault="00AE2155" w:rsidP="00B644CC">
      <w:pPr>
        <w:spacing w:line="288" w:lineRule="auto"/>
        <w:jc w:val="both"/>
        <w:rPr>
          <w:szCs w:val="20"/>
        </w:rPr>
      </w:pPr>
      <w:r w:rsidRPr="00162F8F">
        <w:rPr>
          <w:szCs w:val="20"/>
        </w:rPr>
        <w:lastRenderedPageBreak/>
        <w:t>(4) V okviru strokovnega nadzora se pregleduje in ocenjuje zakonitost in pravočasnost dela, smotrnost uporabe procesnih pooblastil in možnosti ter pravilnost strokovnih odločitev glede na uveljavljeno politiko pregona in izdana splošna navodila. Ugotovljene pomanjkljivosti ali napake se obrazložijo z navedbo konkretnih primerov.</w:t>
      </w:r>
    </w:p>
    <w:p w:rsidR="00AE2155" w:rsidRPr="00162F8F" w:rsidRDefault="00AE2155" w:rsidP="00B644CC">
      <w:pPr>
        <w:spacing w:line="288" w:lineRule="auto"/>
        <w:jc w:val="both"/>
        <w:rPr>
          <w:szCs w:val="20"/>
        </w:rPr>
      </w:pPr>
    </w:p>
    <w:p w:rsidR="00AE2155" w:rsidRPr="00162F8F" w:rsidRDefault="00AE2155" w:rsidP="00B644CC">
      <w:pPr>
        <w:spacing w:line="288" w:lineRule="auto"/>
        <w:jc w:val="both"/>
        <w:rPr>
          <w:szCs w:val="20"/>
        </w:rPr>
      </w:pPr>
      <w:r w:rsidRPr="00162F8F">
        <w:rPr>
          <w:szCs w:val="20"/>
        </w:rPr>
        <w:t>(5) Državni tožilci in tožilsko osebje pri okrožnem državnem tožilstvu, katerih delo oziroma poslovanje je bilo pregledano, morajo biti seznanjeni z ugotovitvami pregleda in imajo pravico posredovati pojasnila ali vložiti ugovor pri Vrhovnemu državnemu tožilstvu v 15 dneh od prejema poročila o pregledu.</w:t>
      </w:r>
    </w:p>
    <w:p w:rsidR="00AE2155" w:rsidRPr="00162F8F" w:rsidRDefault="00AE2155" w:rsidP="00B644CC">
      <w:pPr>
        <w:spacing w:line="288" w:lineRule="auto"/>
        <w:jc w:val="both"/>
        <w:rPr>
          <w:szCs w:val="20"/>
        </w:rPr>
      </w:pPr>
    </w:p>
    <w:p w:rsidR="00AE2155" w:rsidRDefault="00AE2155" w:rsidP="00B644CC">
      <w:pPr>
        <w:spacing w:line="288" w:lineRule="auto"/>
        <w:jc w:val="both"/>
        <w:rPr>
          <w:szCs w:val="20"/>
        </w:rPr>
      </w:pPr>
      <w:r w:rsidRPr="00162F8F">
        <w:rPr>
          <w:szCs w:val="20"/>
        </w:rPr>
        <w:t>(6) O ugovoru iz prejšnjega odstavka odloča vrhovni državni tožilec, ki ni opravljal pregleda in ki ga posebej določi generalni državni tožilec. Odločitev o ugovoru mora biti obrazložena in je dokončna.</w:t>
      </w:r>
    </w:p>
    <w:p w:rsidR="00AE2155" w:rsidRDefault="00AE2155" w:rsidP="00B644CC">
      <w:pPr>
        <w:spacing w:line="288" w:lineRule="auto"/>
        <w:jc w:val="both"/>
        <w:rPr>
          <w:szCs w:val="20"/>
        </w:rPr>
      </w:pPr>
    </w:p>
    <w:p w:rsidR="00AE2155" w:rsidRPr="00162F8F" w:rsidRDefault="00AE2155" w:rsidP="00B644CC">
      <w:pPr>
        <w:spacing w:line="288" w:lineRule="auto"/>
        <w:jc w:val="center"/>
        <w:rPr>
          <w:szCs w:val="20"/>
        </w:rPr>
      </w:pPr>
      <w:r w:rsidRPr="00162F8F">
        <w:rPr>
          <w:szCs w:val="20"/>
        </w:rPr>
        <w:t>188. člen</w:t>
      </w:r>
    </w:p>
    <w:p w:rsidR="00AE2155" w:rsidRPr="00162F8F" w:rsidRDefault="00AE2155" w:rsidP="00B644CC">
      <w:pPr>
        <w:spacing w:line="288" w:lineRule="auto"/>
        <w:jc w:val="center"/>
        <w:rPr>
          <w:szCs w:val="20"/>
        </w:rPr>
      </w:pPr>
      <w:r w:rsidRPr="00162F8F">
        <w:rPr>
          <w:szCs w:val="20"/>
        </w:rPr>
        <w:t>(prenos pristojnosti)</w:t>
      </w:r>
    </w:p>
    <w:p w:rsidR="00AE2155" w:rsidRPr="00162F8F" w:rsidRDefault="00AE2155" w:rsidP="00B644CC">
      <w:pPr>
        <w:spacing w:line="288" w:lineRule="auto"/>
        <w:jc w:val="both"/>
        <w:rPr>
          <w:szCs w:val="20"/>
        </w:rPr>
      </w:pPr>
    </w:p>
    <w:p w:rsidR="00AE2155" w:rsidRPr="00162F8F" w:rsidRDefault="00AE2155" w:rsidP="00B644CC">
      <w:pPr>
        <w:spacing w:line="288" w:lineRule="auto"/>
        <w:jc w:val="both"/>
        <w:rPr>
          <w:szCs w:val="20"/>
        </w:rPr>
      </w:pPr>
      <w:r w:rsidRPr="00162F8F">
        <w:rPr>
          <w:szCs w:val="20"/>
        </w:rPr>
        <w:t>(1) Generalni državni tožilec lahko za postopanje v posamezni zadevi določi drugo krajevno pristojno državno tožilstvo, če je očitno, da se bo tako lažje izvedel postopek, ali če obstajajo za to drugi tehtni razlogi, zlasti varovanje nepristranskosti, samostojnega delovanja ali ugleda državnega tožilstva.</w:t>
      </w:r>
    </w:p>
    <w:p w:rsidR="00AE2155" w:rsidRPr="00162F8F" w:rsidRDefault="00AE2155" w:rsidP="00B644CC">
      <w:pPr>
        <w:spacing w:line="288" w:lineRule="auto"/>
        <w:jc w:val="both"/>
        <w:rPr>
          <w:szCs w:val="20"/>
        </w:rPr>
      </w:pPr>
    </w:p>
    <w:p w:rsidR="00AE2155" w:rsidRPr="00162F8F" w:rsidRDefault="00AE2155" w:rsidP="00B644CC">
      <w:pPr>
        <w:spacing w:line="288" w:lineRule="auto"/>
        <w:jc w:val="both"/>
        <w:rPr>
          <w:szCs w:val="20"/>
        </w:rPr>
      </w:pPr>
      <w:r w:rsidRPr="00162F8F">
        <w:rPr>
          <w:szCs w:val="20"/>
        </w:rPr>
        <w:t>(2) O določitvi drugega pristojnega državnega tožilstva odloči z odločbo generalni državni tožilec na lastno pobudo ali na podlagi obrazloženega predloga pristojnega državnega tožilca, vodje okrožnega državnega tožilstva, vodje Specializiranega državnega tožilstva ali vodje Oddelka za preiskovanje in pregon zlorabe policijskih pooblastil. Odločba se vroči državnemu tožilstvu, ki je bilo krajevno pristojno v posamezni zadevi, in državnemu tožilstvu, ki mu je določena krajevna pristojnost v posamezni zadevi.</w:t>
      </w:r>
    </w:p>
    <w:p w:rsidR="00AE2155" w:rsidRPr="00162F8F" w:rsidRDefault="00AE2155" w:rsidP="00B644CC">
      <w:pPr>
        <w:spacing w:line="288" w:lineRule="auto"/>
        <w:jc w:val="both"/>
        <w:rPr>
          <w:szCs w:val="20"/>
        </w:rPr>
      </w:pPr>
    </w:p>
    <w:p w:rsidR="00AE2155" w:rsidRDefault="00AE2155" w:rsidP="00B644CC">
      <w:pPr>
        <w:spacing w:line="288" w:lineRule="auto"/>
        <w:jc w:val="both"/>
        <w:rPr>
          <w:szCs w:val="20"/>
        </w:rPr>
      </w:pPr>
      <w:r w:rsidRPr="00162F8F">
        <w:rPr>
          <w:szCs w:val="20"/>
        </w:rPr>
        <w:t>(3) Če državno tožilstvo zaradi posebnih okoliščin, ki onemogočajo izvajanje njegovih funkcij, ne more delovati na sedežu, lahko generalni državni tožilec po predhodno pridobljenem soglasju ministra z odločbo določi začasni sedež državnega tožilstva.</w:t>
      </w:r>
    </w:p>
    <w:p w:rsidR="00AE2155" w:rsidRDefault="00AE2155" w:rsidP="00B644CC">
      <w:pPr>
        <w:spacing w:line="288" w:lineRule="auto"/>
        <w:jc w:val="both"/>
        <w:rPr>
          <w:szCs w:val="20"/>
        </w:rPr>
      </w:pPr>
    </w:p>
    <w:p w:rsidR="00AE2155" w:rsidRPr="00162F8F" w:rsidRDefault="00AE2155" w:rsidP="00B644CC">
      <w:pPr>
        <w:spacing w:line="288" w:lineRule="auto"/>
        <w:jc w:val="center"/>
        <w:rPr>
          <w:szCs w:val="20"/>
        </w:rPr>
      </w:pPr>
      <w:r w:rsidRPr="00162F8F">
        <w:rPr>
          <w:szCs w:val="20"/>
        </w:rPr>
        <w:t>196. člen</w:t>
      </w:r>
    </w:p>
    <w:p w:rsidR="00AE2155" w:rsidRPr="00162F8F" w:rsidRDefault="00AE2155" w:rsidP="00B644CC">
      <w:pPr>
        <w:spacing w:line="288" w:lineRule="auto"/>
        <w:jc w:val="center"/>
        <w:rPr>
          <w:szCs w:val="20"/>
        </w:rPr>
      </w:pPr>
      <w:r w:rsidRPr="00162F8F">
        <w:rPr>
          <w:szCs w:val="20"/>
        </w:rPr>
        <w:t>(pravice državnega tožilca na SDT)</w:t>
      </w:r>
    </w:p>
    <w:p w:rsidR="00AE2155" w:rsidRPr="00162F8F" w:rsidRDefault="00AE2155" w:rsidP="00B644CC">
      <w:pPr>
        <w:spacing w:line="288" w:lineRule="auto"/>
        <w:jc w:val="both"/>
        <w:rPr>
          <w:szCs w:val="20"/>
        </w:rPr>
      </w:pPr>
    </w:p>
    <w:p w:rsidR="00AE2155" w:rsidRPr="00162F8F" w:rsidRDefault="00AE2155" w:rsidP="00B644CC">
      <w:pPr>
        <w:spacing w:line="288" w:lineRule="auto"/>
        <w:jc w:val="both"/>
        <w:rPr>
          <w:szCs w:val="20"/>
        </w:rPr>
      </w:pPr>
      <w:r w:rsidRPr="00162F8F">
        <w:rPr>
          <w:szCs w:val="20"/>
        </w:rPr>
        <w:t>(1) Državnemu tožilcu, ki je imenovan na SDT, pripada:</w:t>
      </w:r>
    </w:p>
    <w:p w:rsidR="00AE2155" w:rsidRPr="00162F8F" w:rsidRDefault="00AE2155" w:rsidP="00B644CC">
      <w:pPr>
        <w:spacing w:line="288" w:lineRule="auto"/>
        <w:jc w:val="both"/>
        <w:rPr>
          <w:szCs w:val="20"/>
        </w:rPr>
      </w:pPr>
    </w:p>
    <w:p w:rsidR="00AE2155" w:rsidRPr="00162F8F" w:rsidRDefault="00AE2155" w:rsidP="00B644CC">
      <w:pPr>
        <w:spacing w:line="288" w:lineRule="auto"/>
        <w:jc w:val="both"/>
        <w:rPr>
          <w:szCs w:val="20"/>
        </w:rPr>
      </w:pPr>
      <w:r w:rsidRPr="00162F8F">
        <w:rPr>
          <w:szCs w:val="20"/>
        </w:rPr>
        <w:t>- okrajnemu državnemu tožilcu plača višjega državnega tožilca;</w:t>
      </w:r>
    </w:p>
    <w:p w:rsidR="00AE2155" w:rsidRPr="00162F8F" w:rsidRDefault="00AE2155" w:rsidP="00B644CC">
      <w:pPr>
        <w:spacing w:line="288" w:lineRule="auto"/>
        <w:jc w:val="both"/>
        <w:rPr>
          <w:szCs w:val="20"/>
        </w:rPr>
      </w:pPr>
      <w:r w:rsidRPr="00162F8F">
        <w:rPr>
          <w:szCs w:val="20"/>
        </w:rPr>
        <w:t>- okrajnemu državnemu tožilcu svetniku plača višjega državnega tožilca svetnika;</w:t>
      </w:r>
    </w:p>
    <w:p w:rsidR="00AE2155" w:rsidRPr="00162F8F" w:rsidRDefault="00AE2155" w:rsidP="00B644CC">
      <w:pPr>
        <w:spacing w:line="288" w:lineRule="auto"/>
        <w:jc w:val="both"/>
        <w:rPr>
          <w:szCs w:val="20"/>
        </w:rPr>
      </w:pPr>
      <w:r w:rsidRPr="00162F8F">
        <w:rPr>
          <w:szCs w:val="20"/>
        </w:rPr>
        <w:t>- okrožnemu državnemu tožilcu plača vrhovnega državnega tožilca in</w:t>
      </w:r>
    </w:p>
    <w:p w:rsidR="00AE2155" w:rsidRPr="00162F8F" w:rsidRDefault="00AE2155" w:rsidP="00B644CC">
      <w:pPr>
        <w:spacing w:line="288" w:lineRule="auto"/>
        <w:jc w:val="both"/>
        <w:rPr>
          <w:szCs w:val="20"/>
        </w:rPr>
      </w:pPr>
      <w:r w:rsidRPr="00162F8F">
        <w:rPr>
          <w:szCs w:val="20"/>
        </w:rPr>
        <w:t>-</w:t>
      </w:r>
      <w:r>
        <w:rPr>
          <w:szCs w:val="20"/>
        </w:rPr>
        <w:t xml:space="preserve"> o</w:t>
      </w:r>
      <w:r w:rsidRPr="00162F8F">
        <w:rPr>
          <w:szCs w:val="20"/>
        </w:rPr>
        <w:t>krožnemu državnemu tožilcu svetniku ter višjemu državnemu tožilcu plača vrhovnega državnega tožilca svetnika.</w:t>
      </w:r>
    </w:p>
    <w:p w:rsidR="00AE2155" w:rsidRPr="00162F8F" w:rsidRDefault="00AE2155" w:rsidP="00B644CC">
      <w:pPr>
        <w:spacing w:line="288" w:lineRule="auto"/>
        <w:jc w:val="both"/>
        <w:rPr>
          <w:szCs w:val="20"/>
        </w:rPr>
      </w:pPr>
    </w:p>
    <w:p w:rsidR="00AE2155" w:rsidRPr="00162F8F" w:rsidRDefault="00AE2155" w:rsidP="00B644CC">
      <w:pPr>
        <w:spacing w:line="288" w:lineRule="auto"/>
        <w:jc w:val="both"/>
        <w:rPr>
          <w:szCs w:val="20"/>
        </w:rPr>
      </w:pPr>
      <w:r w:rsidRPr="00162F8F">
        <w:rPr>
          <w:szCs w:val="20"/>
        </w:rPr>
        <w:t>(2) Dodeljenemu državnemu tožilcu pripada za čas, v katerem rešuje zadeve iz pristojnosti SDT:</w:t>
      </w:r>
    </w:p>
    <w:p w:rsidR="00AE2155" w:rsidRPr="00162F8F" w:rsidRDefault="00AE2155" w:rsidP="00B644CC">
      <w:pPr>
        <w:spacing w:line="288" w:lineRule="auto"/>
        <w:jc w:val="both"/>
        <w:rPr>
          <w:szCs w:val="20"/>
        </w:rPr>
      </w:pPr>
    </w:p>
    <w:p w:rsidR="00AE2155" w:rsidRPr="00162F8F" w:rsidRDefault="00AE2155" w:rsidP="00B644CC">
      <w:pPr>
        <w:spacing w:line="288" w:lineRule="auto"/>
        <w:jc w:val="both"/>
        <w:rPr>
          <w:szCs w:val="20"/>
        </w:rPr>
      </w:pPr>
      <w:r w:rsidRPr="00162F8F">
        <w:rPr>
          <w:szCs w:val="20"/>
        </w:rPr>
        <w:t>- okrajnemu državnemu tožilcu plača višjega državnega tožilca;</w:t>
      </w:r>
    </w:p>
    <w:p w:rsidR="00AE2155" w:rsidRPr="00162F8F" w:rsidRDefault="00AE2155" w:rsidP="00B644CC">
      <w:pPr>
        <w:spacing w:line="288" w:lineRule="auto"/>
        <w:jc w:val="both"/>
        <w:rPr>
          <w:szCs w:val="20"/>
        </w:rPr>
      </w:pPr>
      <w:r w:rsidRPr="00162F8F">
        <w:rPr>
          <w:szCs w:val="20"/>
        </w:rPr>
        <w:t>- okrajnemu državnemu tožilcu svetniku plača višjega državnega tožilca svetnika;</w:t>
      </w:r>
    </w:p>
    <w:p w:rsidR="00AE2155" w:rsidRPr="00162F8F" w:rsidRDefault="00AE2155" w:rsidP="00B644CC">
      <w:pPr>
        <w:spacing w:line="288" w:lineRule="auto"/>
        <w:jc w:val="both"/>
        <w:rPr>
          <w:szCs w:val="20"/>
        </w:rPr>
      </w:pPr>
      <w:r w:rsidRPr="00162F8F">
        <w:rPr>
          <w:szCs w:val="20"/>
        </w:rPr>
        <w:t>- okrožnemu državnemu tožilcu plača vrhovnega državnega tožilca in</w:t>
      </w:r>
    </w:p>
    <w:p w:rsidR="00AE2155" w:rsidRPr="00162F8F" w:rsidRDefault="00AE2155" w:rsidP="00B644CC">
      <w:pPr>
        <w:spacing w:line="288" w:lineRule="auto"/>
        <w:jc w:val="both"/>
        <w:rPr>
          <w:szCs w:val="20"/>
        </w:rPr>
      </w:pPr>
      <w:r>
        <w:rPr>
          <w:szCs w:val="20"/>
        </w:rPr>
        <w:t xml:space="preserve">- </w:t>
      </w:r>
      <w:r w:rsidRPr="00162F8F">
        <w:rPr>
          <w:szCs w:val="20"/>
        </w:rPr>
        <w:t>okrožnemu državnemu tožilcu svetniku ter višjemu državnemu tožilcu plača vrhovnega državnega tožilca svetnika.</w:t>
      </w:r>
    </w:p>
    <w:p w:rsidR="00AE2155" w:rsidRPr="00162F8F" w:rsidRDefault="00AE2155" w:rsidP="00B644CC">
      <w:pPr>
        <w:spacing w:line="288" w:lineRule="auto"/>
        <w:jc w:val="both"/>
        <w:rPr>
          <w:szCs w:val="20"/>
        </w:rPr>
      </w:pPr>
    </w:p>
    <w:p w:rsidR="00AE2155" w:rsidRPr="00162F8F" w:rsidRDefault="00AE2155" w:rsidP="00B644CC">
      <w:pPr>
        <w:spacing w:line="288" w:lineRule="auto"/>
        <w:jc w:val="both"/>
        <w:rPr>
          <w:szCs w:val="20"/>
        </w:rPr>
      </w:pPr>
      <w:r w:rsidRPr="00162F8F">
        <w:rPr>
          <w:szCs w:val="20"/>
        </w:rPr>
        <w:t xml:space="preserve">(3) Način evidentiranja in obračunavanje časa iz prejšnjega odstavka se določi z </w:t>
      </w:r>
      <w:proofErr w:type="spellStart"/>
      <w:r w:rsidRPr="00162F8F">
        <w:rPr>
          <w:szCs w:val="20"/>
        </w:rPr>
        <w:t>Državnotožilskim</w:t>
      </w:r>
      <w:proofErr w:type="spellEnd"/>
      <w:r w:rsidRPr="00162F8F">
        <w:rPr>
          <w:szCs w:val="20"/>
        </w:rPr>
        <w:t xml:space="preserve"> redom.</w:t>
      </w:r>
    </w:p>
    <w:p w:rsidR="00AE2155" w:rsidRPr="00162F8F" w:rsidRDefault="00AE2155" w:rsidP="00B644CC">
      <w:pPr>
        <w:spacing w:line="288" w:lineRule="auto"/>
        <w:jc w:val="both"/>
        <w:rPr>
          <w:szCs w:val="20"/>
        </w:rPr>
      </w:pPr>
    </w:p>
    <w:p w:rsidR="00AE2155" w:rsidRPr="00162F8F" w:rsidRDefault="00AE2155" w:rsidP="00B644CC">
      <w:pPr>
        <w:spacing w:line="288" w:lineRule="auto"/>
        <w:jc w:val="both"/>
        <w:rPr>
          <w:szCs w:val="20"/>
        </w:rPr>
      </w:pPr>
      <w:r w:rsidRPr="00162F8F">
        <w:rPr>
          <w:szCs w:val="20"/>
        </w:rPr>
        <w:t>(4) Državnemu tožilcu, ki mu v skladu s prvim in drugim odstavkom tega člena pripada plača višjega državnega tožilca, mu ta pripada v višini plačnega razreda, v katerega je v skladu z zakonom, ki ureja sistem plač v javnem sektorju, uvrščena funkcija, ki jo zaseda višji državni tožilec ob uvrstitvi. Če je ta razred pred imenovanjem na SDT oziroma dodelitvijo na SDT že dosegel ali ga je presegel, se uvrsti za en plačni razred višje.</w:t>
      </w:r>
    </w:p>
    <w:p w:rsidR="00AE2155" w:rsidRPr="00162F8F" w:rsidRDefault="00AE2155" w:rsidP="00B644CC">
      <w:pPr>
        <w:spacing w:line="288" w:lineRule="auto"/>
        <w:jc w:val="both"/>
        <w:rPr>
          <w:szCs w:val="20"/>
        </w:rPr>
      </w:pPr>
    </w:p>
    <w:p w:rsidR="00AE2155" w:rsidRPr="00162F8F" w:rsidRDefault="00AE2155" w:rsidP="00B644CC">
      <w:pPr>
        <w:spacing w:line="288" w:lineRule="auto"/>
        <w:jc w:val="both"/>
        <w:rPr>
          <w:szCs w:val="20"/>
        </w:rPr>
      </w:pPr>
      <w:r w:rsidRPr="00162F8F">
        <w:rPr>
          <w:szCs w:val="20"/>
        </w:rPr>
        <w:t>(5) Če državni tožilec, ki je imenovan ali dodeljen na SDT, po prenehanju takšnega imenovanja ali dodelitve, nadaljuje z delom v posameznih zadevah iz pristojnosti SDT, se višina njegove plače določi po drugem odstavku tega člena.</w:t>
      </w:r>
    </w:p>
    <w:p w:rsidR="00AE2155" w:rsidRPr="00162F8F" w:rsidRDefault="00AE2155" w:rsidP="00B644CC">
      <w:pPr>
        <w:spacing w:line="288" w:lineRule="auto"/>
        <w:jc w:val="both"/>
        <w:rPr>
          <w:szCs w:val="20"/>
        </w:rPr>
      </w:pPr>
    </w:p>
    <w:p w:rsidR="00AE2155" w:rsidRPr="00162F8F" w:rsidRDefault="00AE2155" w:rsidP="00B644CC">
      <w:pPr>
        <w:spacing w:line="288" w:lineRule="auto"/>
        <w:jc w:val="both"/>
        <w:rPr>
          <w:szCs w:val="20"/>
        </w:rPr>
      </w:pPr>
      <w:r w:rsidRPr="00162F8F">
        <w:rPr>
          <w:szCs w:val="20"/>
        </w:rPr>
        <w:t>(6) Premestitev in dodelitev državnega tožilca na SDT ne posegata v njegov naziv in položaj.</w:t>
      </w:r>
    </w:p>
    <w:p w:rsidR="00AE2155" w:rsidRPr="00162F8F" w:rsidRDefault="00AE2155" w:rsidP="00B644CC">
      <w:pPr>
        <w:spacing w:line="288" w:lineRule="auto"/>
        <w:jc w:val="both"/>
        <w:rPr>
          <w:szCs w:val="20"/>
        </w:rPr>
      </w:pPr>
    </w:p>
    <w:p w:rsidR="00AE2155" w:rsidRPr="00162F8F" w:rsidRDefault="00AE2155" w:rsidP="00B644CC">
      <w:pPr>
        <w:spacing w:line="288" w:lineRule="auto"/>
        <w:jc w:val="both"/>
        <w:rPr>
          <w:szCs w:val="20"/>
        </w:rPr>
      </w:pPr>
      <w:r w:rsidRPr="00162F8F">
        <w:rPr>
          <w:szCs w:val="20"/>
        </w:rPr>
        <w:t>(7) Glede položaja in napredovanja državnega tožilca se za čas trajanja dodelitve na SDT smiselno uporabljajo določbe tega zakona, ki urejajo dodelitev državnega tožilca na drugo državno tožilstvo.</w:t>
      </w:r>
    </w:p>
    <w:p w:rsidR="00AE2155" w:rsidRPr="00162F8F" w:rsidRDefault="00AE2155" w:rsidP="00B644CC">
      <w:pPr>
        <w:spacing w:line="288" w:lineRule="auto"/>
        <w:jc w:val="both"/>
        <w:rPr>
          <w:szCs w:val="20"/>
        </w:rPr>
      </w:pPr>
    </w:p>
    <w:p w:rsidR="00AE2155" w:rsidRDefault="00AE2155" w:rsidP="00B644CC">
      <w:pPr>
        <w:spacing w:line="288" w:lineRule="auto"/>
        <w:jc w:val="both"/>
        <w:rPr>
          <w:szCs w:val="20"/>
        </w:rPr>
      </w:pPr>
      <w:r w:rsidRPr="00162F8F">
        <w:rPr>
          <w:szCs w:val="20"/>
        </w:rPr>
        <w:t>(8) Državnemu tožilcu, ki je dodeljen na SDT, se lahko izjemoma dodelijo v delo zadeve iz pristojnosti državnega tožilstva, pri katerem je imenovan, ob upoštevanju obsega dela, ki ga državni tožilec opravlja pri SDT.</w:t>
      </w:r>
    </w:p>
    <w:p w:rsidR="00AE2155" w:rsidRDefault="00AE2155" w:rsidP="00B644CC">
      <w:pPr>
        <w:spacing w:line="288" w:lineRule="auto"/>
        <w:jc w:val="both"/>
        <w:rPr>
          <w:szCs w:val="20"/>
        </w:rPr>
      </w:pPr>
    </w:p>
    <w:p w:rsidR="00AE2155" w:rsidRPr="00162F8F" w:rsidRDefault="00AE2155" w:rsidP="00B644CC">
      <w:pPr>
        <w:spacing w:line="288" w:lineRule="auto"/>
        <w:jc w:val="center"/>
        <w:rPr>
          <w:szCs w:val="20"/>
        </w:rPr>
      </w:pPr>
      <w:r w:rsidRPr="00162F8F">
        <w:rPr>
          <w:szCs w:val="20"/>
        </w:rPr>
        <w:t>198. člen</w:t>
      </w:r>
    </w:p>
    <w:p w:rsidR="00AE2155" w:rsidRPr="00162F8F" w:rsidRDefault="00AE2155" w:rsidP="00B644CC">
      <w:pPr>
        <w:spacing w:line="288" w:lineRule="auto"/>
        <w:jc w:val="center"/>
        <w:rPr>
          <w:szCs w:val="20"/>
        </w:rPr>
      </w:pPr>
      <w:r w:rsidRPr="00162F8F">
        <w:rPr>
          <w:szCs w:val="20"/>
        </w:rPr>
        <w:t>(obveščanje, dodelitev in prenos zadev)</w:t>
      </w:r>
    </w:p>
    <w:p w:rsidR="00AE2155" w:rsidRPr="00162F8F" w:rsidRDefault="00AE2155" w:rsidP="00B644CC">
      <w:pPr>
        <w:spacing w:line="288" w:lineRule="auto"/>
        <w:jc w:val="both"/>
        <w:rPr>
          <w:szCs w:val="20"/>
        </w:rPr>
      </w:pPr>
    </w:p>
    <w:p w:rsidR="00AE2155" w:rsidRPr="00162F8F" w:rsidRDefault="00AE2155" w:rsidP="00B644CC">
      <w:pPr>
        <w:spacing w:line="288" w:lineRule="auto"/>
        <w:jc w:val="both"/>
        <w:rPr>
          <w:szCs w:val="20"/>
        </w:rPr>
      </w:pPr>
      <w:r w:rsidRPr="00162F8F">
        <w:rPr>
          <w:szCs w:val="20"/>
        </w:rPr>
        <w:t>(1) SDT obravnava vse zadeve iz drugega in četrtega odstavka 192. člena tega zakona, druge zadeve pa le, če so podani pogoji iz tretjega odstavka 192. člena tega zakona.</w:t>
      </w:r>
    </w:p>
    <w:p w:rsidR="00AE2155" w:rsidRPr="00162F8F" w:rsidRDefault="00AE2155" w:rsidP="00B644CC">
      <w:pPr>
        <w:spacing w:line="288" w:lineRule="auto"/>
        <w:jc w:val="both"/>
        <w:rPr>
          <w:szCs w:val="20"/>
        </w:rPr>
      </w:pPr>
    </w:p>
    <w:p w:rsidR="00AE2155" w:rsidRPr="00162F8F" w:rsidRDefault="00AE2155" w:rsidP="00B644CC">
      <w:pPr>
        <w:spacing w:line="288" w:lineRule="auto"/>
        <w:jc w:val="both"/>
        <w:rPr>
          <w:szCs w:val="20"/>
        </w:rPr>
      </w:pPr>
      <w:r w:rsidRPr="00162F8F">
        <w:rPr>
          <w:szCs w:val="20"/>
        </w:rPr>
        <w:t>(2) Vodja krajevno pristojnega okrožnega državnega tožilstva oziroma vodja pristojne uprave oziroma enote Policije morata nemudoma obvestiti vodjo SDT o zadevah, glede katerih je podana pristojnost SDT po drugem odstavku 192. člena, in mu brez odlašanja posredovati spise zadeve z vsemi zbranimi dokazi.</w:t>
      </w:r>
    </w:p>
    <w:p w:rsidR="00AE2155" w:rsidRPr="00162F8F" w:rsidRDefault="00AE2155" w:rsidP="00B644CC">
      <w:pPr>
        <w:spacing w:line="288" w:lineRule="auto"/>
        <w:jc w:val="both"/>
        <w:rPr>
          <w:szCs w:val="20"/>
        </w:rPr>
      </w:pPr>
    </w:p>
    <w:p w:rsidR="00AE2155" w:rsidRPr="00162F8F" w:rsidRDefault="00AE2155" w:rsidP="00B644CC">
      <w:pPr>
        <w:spacing w:line="288" w:lineRule="auto"/>
        <w:jc w:val="both"/>
        <w:rPr>
          <w:szCs w:val="20"/>
        </w:rPr>
      </w:pPr>
      <w:r w:rsidRPr="00162F8F">
        <w:rPr>
          <w:szCs w:val="20"/>
        </w:rPr>
        <w:t>(3) Vodja SDT lahko odredi, da se zadeva, za katero je pristojno SDT, dodeli krajevno pristojnemu okrožnemu državnemu tožilstvu, če ugotovi, da niso več izpolnjeni pogoji za dodelitev zadeve SDT ali iz razlogov smotrnosti. Če se vodja krajevno pristojnega okrožnega državnega tožilstva ne strinja z dodelitvijo, lahko ta predlaga, da o utemeljenosti predloga odloči generalni državni tožilec.</w:t>
      </w:r>
    </w:p>
    <w:p w:rsidR="00AE2155" w:rsidRPr="00162F8F" w:rsidRDefault="00AE2155" w:rsidP="00B644CC">
      <w:pPr>
        <w:spacing w:line="288" w:lineRule="auto"/>
        <w:jc w:val="both"/>
        <w:rPr>
          <w:szCs w:val="20"/>
        </w:rPr>
      </w:pPr>
    </w:p>
    <w:p w:rsidR="00AE2155" w:rsidRPr="00162F8F" w:rsidRDefault="00AE2155" w:rsidP="00B644CC">
      <w:pPr>
        <w:spacing w:line="288" w:lineRule="auto"/>
        <w:jc w:val="both"/>
        <w:rPr>
          <w:szCs w:val="20"/>
        </w:rPr>
      </w:pPr>
      <w:r w:rsidRPr="00162F8F">
        <w:rPr>
          <w:szCs w:val="20"/>
        </w:rPr>
        <w:t>(4) Če je zadeva v skladu s prejšnjim odstavkom dodeljena krajevno pristojnemu okrožnemu državnemu tožilstvu, se mu odstopijo spisi zadeve in o tem obvesti pristojnega vodjo uprave oziroma enote Policije.</w:t>
      </w:r>
    </w:p>
    <w:p w:rsidR="00AE2155" w:rsidRPr="00162F8F" w:rsidRDefault="00AE2155" w:rsidP="00B644CC">
      <w:pPr>
        <w:spacing w:line="288" w:lineRule="auto"/>
        <w:jc w:val="both"/>
        <w:rPr>
          <w:szCs w:val="20"/>
        </w:rPr>
      </w:pPr>
    </w:p>
    <w:p w:rsidR="00AE2155" w:rsidRPr="00162F8F" w:rsidRDefault="00AE2155" w:rsidP="00B644CC">
      <w:pPr>
        <w:spacing w:line="288" w:lineRule="auto"/>
        <w:jc w:val="both"/>
        <w:rPr>
          <w:szCs w:val="20"/>
        </w:rPr>
      </w:pPr>
      <w:r w:rsidRPr="00162F8F">
        <w:rPr>
          <w:szCs w:val="20"/>
        </w:rPr>
        <w:t>(5) Če krajevno pristojno državno tožilstvo obravnava zadevo iz tretjega odstavka 192. člena tega zakona, lahko vodja SDT na lastno pobudo ali na pobudo državnega tožilca, kateremu je zadeva dodeljena, z obrazloženim predlogom zaprosi vodjo krajevno pristojnega okrožnega državnega tožilstva, da se zadeva dodeli v obravnavo SDT. Če se vodja krajevno pristojnega okrožnega državnega tožilstva ne strinja s predlogom, lahko vodja SDT predlaga, da o utemeljenosti predloga odloči generalni državni tožilec. Če je zadeva dodeljena SDT, se mu odstopijo spisi zadeve in o tem obvesti pristojnega vodjo uprave oziroma enote Policije.</w:t>
      </w:r>
    </w:p>
    <w:p w:rsidR="00AE2155" w:rsidRPr="00162F8F" w:rsidRDefault="00AE2155" w:rsidP="00B644CC">
      <w:pPr>
        <w:spacing w:line="288" w:lineRule="auto"/>
        <w:jc w:val="both"/>
        <w:rPr>
          <w:szCs w:val="20"/>
        </w:rPr>
      </w:pPr>
    </w:p>
    <w:p w:rsidR="00AE2155" w:rsidRPr="00162F8F" w:rsidRDefault="00AE2155" w:rsidP="00B644CC">
      <w:pPr>
        <w:spacing w:line="288" w:lineRule="auto"/>
        <w:jc w:val="both"/>
        <w:rPr>
          <w:szCs w:val="20"/>
        </w:rPr>
      </w:pPr>
      <w:r w:rsidRPr="00162F8F">
        <w:rPr>
          <w:szCs w:val="20"/>
        </w:rPr>
        <w:t>(6) Če krajevno pristojno državno tožilstvo obravnava zadevo, za katero meni, da so izpolnjeni pogoji iz četrtega odstavka 192. člena tega zakona za dodelitev zadeve SDT, lahko vodja krajevno pristojnega okrožnega državnega tožilstva na lastno pobudo ali na pobudo državnega tožilca, kateremu je zadeva dodeljena, vodji SDT poda obrazložen predlog, da se zadeva obravnava pri SDT, lahko pa tudi predlaga, da jo obravnava državni tožilec pristojnega okrožnega državnega tožilstva na podlagi dodatne dodelitve v SDT (četrti odstavek 193. člena tega zakona). Če se vodja SDT ne strinja s predlogom, lahko vodja krajevno pristojnega okrožnega državnega tožilstva predlaga, da o utemeljenosti predloga odloči generalni državni tožilec. Če je zadeva dodeljena SDT, se mu odstopijo spisi zadeve in o tem obvesti pristojnega vodjo uprave oziroma enote Policije.</w:t>
      </w:r>
    </w:p>
    <w:p w:rsidR="00AE2155" w:rsidRPr="00162F8F" w:rsidRDefault="00AE2155" w:rsidP="00B644CC">
      <w:pPr>
        <w:spacing w:line="288" w:lineRule="auto"/>
        <w:jc w:val="both"/>
        <w:rPr>
          <w:szCs w:val="20"/>
        </w:rPr>
      </w:pPr>
    </w:p>
    <w:p w:rsidR="00AE2155" w:rsidRPr="00162F8F" w:rsidRDefault="00AE2155" w:rsidP="00B644CC">
      <w:pPr>
        <w:spacing w:line="288" w:lineRule="auto"/>
        <w:jc w:val="both"/>
        <w:rPr>
          <w:szCs w:val="20"/>
        </w:rPr>
      </w:pPr>
      <w:r w:rsidRPr="00162F8F">
        <w:rPr>
          <w:szCs w:val="20"/>
        </w:rPr>
        <w:t xml:space="preserve">(7) Podrobnejša navodila o dodeljevanju zadev in o organiziranju dela na SDT določa </w:t>
      </w:r>
      <w:proofErr w:type="spellStart"/>
      <w:r w:rsidRPr="00162F8F">
        <w:rPr>
          <w:szCs w:val="20"/>
        </w:rPr>
        <w:t>Državnotožilski</w:t>
      </w:r>
      <w:proofErr w:type="spellEnd"/>
      <w:r w:rsidRPr="00162F8F">
        <w:rPr>
          <w:szCs w:val="20"/>
        </w:rPr>
        <w:t xml:space="preserve"> red.</w:t>
      </w:r>
    </w:p>
    <w:p w:rsidR="00AE2155" w:rsidRPr="00162F8F" w:rsidRDefault="00AE2155" w:rsidP="00B644CC">
      <w:pPr>
        <w:spacing w:line="288" w:lineRule="auto"/>
        <w:jc w:val="both"/>
        <w:rPr>
          <w:szCs w:val="20"/>
        </w:rPr>
      </w:pPr>
    </w:p>
    <w:p w:rsidR="00AE2155" w:rsidRDefault="00AE2155" w:rsidP="00B644CC">
      <w:pPr>
        <w:spacing w:line="288" w:lineRule="auto"/>
        <w:jc w:val="both"/>
        <w:rPr>
          <w:szCs w:val="20"/>
        </w:rPr>
      </w:pPr>
      <w:r w:rsidRPr="00162F8F">
        <w:rPr>
          <w:szCs w:val="20"/>
        </w:rPr>
        <w:t>(8) Okrožno državno tožilstvo, ki bi bilo krajevno pristojno za obravnavanje zadeve, mora sodelovati s SDT pri opravljanju njegovih nalog, zagotavljati potrebno administrativno in tehnično pomoč ter druge pogoje za delo.</w:t>
      </w:r>
    </w:p>
    <w:p w:rsidR="00AE2155" w:rsidRPr="00162F8F" w:rsidRDefault="00AE2155" w:rsidP="00B644CC">
      <w:pPr>
        <w:spacing w:line="288" w:lineRule="auto"/>
        <w:jc w:val="center"/>
        <w:rPr>
          <w:szCs w:val="20"/>
        </w:rPr>
      </w:pPr>
      <w:r w:rsidRPr="00162F8F">
        <w:rPr>
          <w:szCs w:val="20"/>
        </w:rPr>
        <w:t>203.a člen</w:t>
      </w:r>
    </w:p>
    <w:p w:rsidR="00AE2155" w:rsidRPr="00162F8F" w:rsidRDefault="00AE2155" w:rsidP="00B644CC">
      <w:pPr>
        <w:spacing w:line="288" w:lineRule="auto"/>
        <w:jc w:val="center"/>
        <w:rPr>
          <w:szCs w:val="20"/>
        </w:rPr>
      </w:pPr>
      <w:r w:rsidRPr="00162F8F">
        <w:rPr>
          <w:szCs w:val="20"/>
        </w:rPr>
        <w:t>(pristojnost in dodelitev)</w:t>
      </w:r>
    </w:p>
    <w:p w:rsidR="00AE2155" w:rsidRPr="00162F8F" w:rsidRDefault="00AE2155" w:rsidP="00B644CC">
      <w:pPr>
        <w:spacing w:line="288" w:lineRule="auto"/>
        <w:jc w:val="both"/>
        <w:rPr>
          <w:szCs w:val="20"/>
        </w:rPr>
      </w:pPr>
    </w:p>
    <w:p w:rsidR="00AE2155" w:rsidRPr="00162F8F" w:rsidRDefault="00AE2155" w:rsidP="00B644CC">
      <w:pPr>
        <w:spacing w:line="288" w:lineRule="auto"/>
        <w:jc w:val="both"/>
        <w:rPr>
          <w:szCs w:val="20"/>
        </w:rPr>
      </w:pPr>
      <w:r w:rsidRPr="00162F8F">
        <w:rPr>
          <w:szCs w:val="20"/>
        </w:rPr>
        <w:t>(1) Pri SDT deluje oddelek za postopke v zvezi z odvzemom premoženja nezakonitega izvora (v nadaljnjem besedilu: Civilno finančni oddelek).</w:t>
      </w:r>
    </w:p>
    <w:p w:rsidR="00AE2155" w:rsidRPr="00162F8F" w:rsidRDefault="00AE2155" w:rsidP="00B644CC">
      <w:pPr>
        <w:spacing w:line="288" w:lineRule="auto"/>
        <w:jc w:val="both"/>
        <w:rPr>
          <w:szCs w:val="20"/>
        </w:rPr>
      </w:pPr>
    </w:p>
    <w:p w:rsidR="00AE2155" w:rsidRPr="00162F8F" w:rsidRDefault="00AE2155" w:rsidP="00B644CC">
      <w:pPr>
        <w:spacing w:line="288" w:lineRule="auto"/>
        <w:jc w:val="both"/>
        <w:rPr>
          <w:szCs w:val="20"/>
        </w:rPr>
      </w:pPr>
      <w:r w:rsidRPr="00162F8F">
        <w:rPr>
          <w:szCs w:val="20"/>
        </w:rPr>
        <w:t>(2) V skladu z določbami zakona, ki ureja odvzem premoženja nezakonitega izvora, Civilno finančni oddelek sodeluje s krajevno in stvarno pristojnimi državnimi tožilstvi, ki vodijo predkazenske ali kazenske postopke, povezane s sumom obstoja premoženja nezakonitega izvora, oziroma finančne preiskave po zakonu, ki ureja odvzem premoženja nezakonitega izvora.</w:t>
      </w:r>
    </w:p>
    <w:p w:rsidR="00AE2155" w:rsidRPr="00162F8F" w:rsidRDefault="00AE2155" w:rsidP="00B644CC">
      <w:pPr>
        <w:spacing w:line="288" w:lineRule="auto"/>
        <w:jc w:val="both"/>
        <w:rPr>
          <w:szCs w:val="20"/>
        </w:rPr>
      </w:pPr>
    </w:p>
    <w:p w:rsidR="00AE2155" w:rsidRPr="00162F8F" w:rsidRDefault="00AE2155" w:rsidP="00B644CC">
      <w:pPr>
        <w:spacing w:line="288" w:lineRule="auto"/>
        <w:jc w:val="both"/>
        <w:rPr>
          <w:szCs w:val="20"/>
        </w:rPr>
      </w:pPr>
      <w:r w:rsidRPr="00162F8F">
        <w:rPr>
          <w:szCs w:val="20"/>
        </w:rPr>
        <w:t>(3) Za opravljanje zahtevnejših strokovnih del s področja obravnavanja zadev iz pristojnosti Civilno finančnega oddelka se na SDT lahko dodeli državni pravobranilec.</w:t>
      </w:r>
    </w:p>
    <w:p w:rsidR="00AE2155" w:rsidRPr="00162F8F" w:rsidRDefault="00AE2155" w:rsidP="00B644CC">
      <w:pPr>
        <w:spacing w:line="288" w:lineRule="auto"/>
        <w:jc w:val="both"/>
        <w:rPr>
          <w:szCs w:val="20"/>
        </w:rPr>
      </w:pPr>
    </w:p>
    <w:p w:rsidR="00AE2155" w:rsidRPr="00162F8F" w:rsidRDefault="00AE2155" w:rsidP="00B644CC">
      <w:pPr>
        <w:spacing w:line="288" w:lineRule="auto"/>
        <w:jc w:val="both"/>
        <w:rPr>
          <w:szCs w:val="20"/>
        </w:rPr>
      </w:pPr>
      <w:r w:rsidRPr="00162F8F">
        <w:rPr>
          <w:szCs w:val="20"/>
        </w:rPr>
        <w:t xml:space="preserve">(4) O predlogu za dodelitev državnega pravobranilca odloča </w:t>
      </w:r>
      <w:proofErr w:type="spellStart"/>
      <w:r w:rsidRPr="00162F8F">
        <w:rPr>
          <w:szCs w:val="20"/>
        </w:rPr>
        <w:t>Državnotožilski</w:t>
      </w:r>
      <w:proofErr w:type="spellEnd"/>
      <w:r w:rsidRPr="00162F8F">
        <w:rPr>
          <w:szCs w:val="20"/>
        </w:rPr>
        <w:t xml:space="preserve"> svet na predlog vodje SDT. Odločitev o predlogu vodje SDT skupaj s predlogom za dodelitev državnega pravobranilca pošlje </w:t>
      </w:r>
      <w:proofErr w:type="spellStart"/>
      <w:r w:rsidRPr="00162F8F">
        <w:rPr>
          <w:szCs w:val="20"/>
        </w:rPr>
        <w:t>Državnotožilski</w:t>
      </w:r>
      <w:proofErr w:type="spellEnd"/>
      <w:r w:rsidRPr="00162F8F">
        <w:rPr>
          <w:szCs w:val="20"/>
        </w:rPr>
        <w:t xml:space="preserve"> svet generalnemu državnemu pravobranilcu. O dodelitvi državnega pravobranilca na SDT odloča generalni državni pravobranilec v skladu z določbami zakona, ki ureja sodniško službo v delu, ki se nanaša na premestitev in dodelitev sodnika. Generalni državni pravobranilec pred odločitvijo pridobi pisno soglasje državnega pravobranilca in mnenje vodje oddelka, na katerem opravlja naloge. Prijava državnega pravobranilca na poziv k prijavam za dodelitev šteje za pisno soglasje.</w:t>
      </w:r>
    </w:p>
    <w:p w:rsidR="00AE2155" w:rsidRPr="00162F8F" w:rsidRDefault="00AE2155" w:rsidP="00B644CC">
      <w:pPr>
        <w:spacing w:line="288" w:lineRule="auto"/>
        <w:jc w:val="both"/>
        <w:rPr>
          <w:szCs w:val="20"/>
        </w:rPr>
      </w:pPr>
    </w:p>
    <w:p w:rsidR="00AE2155" w:rsidRPr="00162F8F" w:rsidRDefault="00AE2155" w:rsidP="00B644CC">
      <w:pPr>
        <w:spacing w:line="288" w:lineRule="auto"/>
        <w:jc w:val="both"/>
        <w:rPr>
          <w:szCs w:val="20"/>
        </w:rPr>
      </w:pPr>
      <w:r w:rsidRPr="00162F8F">
        <w:rPr>
          <w:szCs w:val="20"/>
        </w:rPr>
        <w:t>(5) Državni pravobranilec, ki je za opravljanje zahtevnejših strokovnih nalog s področja obravnavanja zadev iz pristojnosti Civilno finančnega oddelka dodeljen na SDT, obdrži pravico uporabljati naziv državni pravobranilec in mu obveznosti, ki izhajajo iz njegovih nalog, ne mirujejo.</w:t>
      </w:r>
    </w:p>
    <w:p w:rsidR="00AE2155" w:rsidRPr="00162F8F" w:rsidRDefault="00AE2155" w:rsidP="00B644CC">
      <w:pPr>
        <w:spacing w:line="288" w:lineRule="auto"/>
        <w:jc w:val="both"/>
        <w:rPr>
          <w:szCs w:val="20"/>
        </w:rPr>
      </w:pPr>
    </w:p>
    <w:p w:rsidR="00AE2155" w:rsidRDefault="00AE2155" w:rsidP="00B644CC">
      <w:pPr>
        <w:spacing w:line="288" w:lineRule="auto"/>
        <w:jc w:val="both"/>
        <w:rPr>
          <w:szCs w:val="20"/>
        </w:rPr>
      </w:pPr>
      <w:r w:rsidRPr="00162F8F">
        <w:rPr>
          <w:szCs w:val="20"/>
        </w:rPr>
        <w:t>(6) Državni pravobranilec, ki je za opravljanje zahtevnejših strokovnih nalog s področja obravnavanja zadev iz pristojnosti Civilno finančnega oddelka dodeljen na SDT, je lahko v tem času v celoti ali deloma oproščen opravljanja nalog državnega pravobranilstva. O oprostitvi opravljanja nalog državnega pravobranilstva odloča generalni državni pravobranilec.</w:t>
      </w:r>
    </w:p>
    <w:p w:rsidR="00AE2155" w:rsidRDefault="00AE2155" w:rsidP="00B644CC">
      <w:pPr>
        <w:spacing w:line="288" w:lineRule="auto"/>
        <w:jc w:val="both"/>
        <w:rPr>
          <w:szCs w:val="20"/>
        </w:rPr>
      </w:pPr>
    </w:p>
    <w:p w:rsidR="00AE2155" w:rsidRPr="00162F8F" w:rsidRDefault="00AE2155" w:rsidP="00B644CC">
      <w:pPr>
        <w:spacing w:line="288" w:lineRule="auto"/>
        <w:jc w:val="center"/>
        <w:rPr>
          <w:szCs w:val="20"/>
        </w:rPr>
      </w:pPr>
      <w:r w:rsidRPr="00162F8F">
        <w:rPr>
          <w:szCs w:val="20"/>
        </w:rPr>
        <w:t>204. člen</w:t>
      </w:r>
    </w:p>
    <w:p w:rsidR="00AE2155" w:rsidRPr="00162F8F" w:rsidRDefault="00AE2155" w:rsidP="00B644CC">
      <w:pPr>
        <w:spacing w:line="288" w:lineRule="auto"/>
        <w:jc w:val="center"/>
        <w:rPr>
          <w:szCs w:val="20"/>
        </w:rPr>
      </w:pPr>
      <w:r w:rsidRPr="00162F8F">
        <w:rPr>
          <w:szCs w:val="20"/>
        </w:rPr>
        <w:lastRenderedPageBreak/>
        <w:t>(organizacija in vodenje)</w:t>
      </w:r>
    </w:p>
    <w:p w:rsidR="00AE2155" w:rsidRPr="00162F8F" w:rsidRDefault="00AE2155" w:rsidP="00B644CC">
      <w:pPr>
        <w:spacing w:line="288" w:lineRule="auto"/>
        <w:jc w:val="both"/>
        <w:rPr>
          <w:szCs w:val="20"/>
        </w:rPr>
      </w:pPr>
    </w:p>
    <w:p w:rsidR="00AE2155" w:rsidRPr="00162F8F" w:rsidRDefault="00AE2155" w:rsidP="00B644CC">
      <w:pPr>
        <w:spacing w:line="288" w:lineRule="auto"/>
        <w:jc w:val="both"/>
        <w:rPr>
          <w:szCs w:val="20"/>
        </w:rPr>
      </w:pPr>
      <w:r w:rsidRPr="00162F8F">
        <w:rPr>
          <w:szCs w:val="20"/>
        </w:rPr>
        <w:t>(1) Pri Vrhovnem državnem tožilstvu kot notranja organizacijska enota Vrhovnega državnega tožilstva deluje Strokovno informacijski center (v nadaljnjem besedilu: SIC).</w:t>
      </w:r>
    </w:p>
    <w:p w:rsidR="00AE2155" w:rsidRPr="00162F8F" w:rsidRDefault="00AE2155" w:rsidP="00B644CC">
      <w:pPr>
        <w:spacing w:line="288" w:lineRule="auto"/>
        <w:jc w:val="both"/>
        <w:rPr>
          <w:szCs w:val="20"/>
        </w:rPr>
      </w:pPr>
    </w:p>
    <w:p w:rsidR="00AE2155" w:rsidRPr="00162F8F" w:rsidRDefault="00AE2155" w:rsidP="00B644CC">
      <w:pPr>
        <w:spacing w:line="288" w:lineRule="auto"/>
        <w:jc w:val="both"/>
        <w:rPr>
          <w:szCs w:val="20"/>
        </w:rPr>
      </w:pPr>
      <w:r w:rsidRPr="00162F8F">
        <w:rPr>
          <w:szCs w:val="20"/>
        </w:rPr>
        <w:t>(2) SIC vodi državni tožilec, ki ga z letnim razporedom imenuje generalni državni tožilec.</w:t>
      </w:r>
    </w:p>
    <w:p w:rsidR="00AE2155" w:rsidRPr="00162F8F" w:rsidRDefault="00AE2155" w:rsidP="00B644CC">
      <w:pPr>
        <w:spacing w:line="288" w:lineRule="auto"/>
        <w:jc w:val="both"/>
        <w:rPr>
          <w:szCs w:val="20"/>
        </w:rPr>
      </w:pPr>
    </w:p>
    <w:p w:rsidR="00AE2155" w:rsidRPr="00162F8F" w:rsidRDefault="00AE2155" w:rsidP="00B644CC">
      <w:pPr>
        <w:spacing w:line="288" w:lineRule="auto"/>
        <w:jc w:val="both"/>
        <w:rPr>
          <w:szCs w:val="20"/>
        </w:rPr>
      </w:pPr>
      <w:r w:rsidRPr="00162F8F">
        <w:rPr>
          <w:szCs w:val="20"/>
        </w:rPr>
        <w:t>(3) Naloge iz pristojnosti SIC opravljajo vsi vrhovni, višji in dodeljeni državni tožilci na Vrhovnem državnem tožilstvu ter tožilsko osebje.</w:t>
      </w:r>
    </w:p>
    <w:p w:rsidR="00AE2155" w:rsidRPr="00162F8F" w:rsidRDefault="00AE2155" w:rsidP="00B644CC">
      <w:pPr>
        <w:spacing w:line="288" w:lineRule="auto"/>
        <w:jc w:val="both"/>
        <w:rPr>
          <w:szCs w:val="20"/>
        </w:rPr>
      </w:pPr>
    </w:p>
    <w:p w:rsidR="00AE2155" w:rsidRPr="00B04D02" w:rsidRDefault="00AE2155" w:rsidP="00B644CC">
      <w:pPr>
        <w:spacing w:line="288" w:lineRule="auto"/>
        <w:jc w:val="both"/>
        <w:rPr>
          <w:szCs w:val="20"/>
        </w:rPr>
      </w:pPr>
      <w:r w:rsidRPr="00162F8F">
        <w:rPr>
          <w:szCs w:val="20"/>
        </w:rPr>
        <w:t>(4) Sredstva za delovanje centra se zagotavljajo iz proračuna Republike Slovenije.</w:t>
      </w:r>
    </w:p>
    <w:p w:rsidR="002E10B1" w:rsidRDefault="002E10B1" w:rsidP="00B644CC">
      <w:pPr>
        <w:pStyle w:val="Naslovpredpisa"/>
        <w:spacing w:before="0" w:after="0" w:line="260" w:lineRule="exact"/>
        <w:jc w:val="right"/>
        <w:rPr>
          <w:szCs w:val="20"/>
        </w:rPr>
      </w:pPr>
    </w:p>
    <w:sectPr w:rsidR="002E10B1" w:rsidSect="00C756F2">
      <w:headerReference w:type="default" r:id="rId13"/>
      <w:footerReference w:type="default" r:id="rId14"/>
      <w:headerReference w:type="first" r:id="rId15"/>
      <w:pgSz w:w="11900" w:h="16840" w:code="9"/>
      <w:pgMar w:top="1418" w:right="1552" w:bottom="993" w:left="1701" w:header="1531" w:footer="794" w:gutter="0"/>
      <w:cols w:space="708"/>
      <w:titlePg/>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A5C28" w:rsidRDefault="001A5C28">
      <w:r>
        <w:separator/>
      </w:r>
    </w:p>
  </w:endnote>
  <w:endnote w:type="continuationSeparator" w:id="0">
    <w:p w:rsidR="001A5C28" w:rsidRDefault="001A5C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sans-serif">
    <w:altName w:val="Arial"/>
    <w:panose1 w:val="00000000000000000000"/>
    <w:charset w:val="00"/>
    <w:family w:val="roman"/>
    <w:notTrueType/>
    <w:pitch w:val="default"/>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Republika">
    <w:panose1 w:val="02000506040000020004"/>
    <w:charset w:val="EE"/>
    <w:family w:val="auto"/>
    <w:pitch w:val="variable"/>
    <w:sig w:usb0="A00000FF" w:usb1="4000205B" w:usb2="00000000" w:usb3="00000000" w:csb0="00000093"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934A7" w:rsidRPr="00972570" w:rsidRDefault="00D934A7">
    <w:pPr>
      <w:pStyle w:val="Noga"/>
      <w:jc w:val="right"/>
      <w:rPr>
        <w:sz w:val="16"/>
        <w:szCs w:val="16"/>
      </w:rPr>
    </w:pPr>
    <w:r w:rsidRPr="00972570">
      <w:rPr>
        <w:sz w:val="16"/>
        <w:szCs w:val="16"/>
      </w:rPr>
      <w:fldChar w:fldCharType="begin"/>
    </w:r>
    <w:r w:rsidRPr="00972570">
      <w:rPr>
        <w:sz w:val="16"/>
        <w:szCs w:val="16"/>
      </w:rPr>
      <w:instrText xml:space="preserve"> PAGE   \* MERGEFORMAT </w:instrText>
    </w:r>
    <w:r w:rsidRPr="00972570">
      <w:rPr>
        <w:sz w:val="16"/>
        <w:szCs w:val="16"/>
      </w:rPr>
      <w:fldChar w:fldCharType="separate"/>
    </w:r>
    <w:r w:rsidR="00B05947">
      <w:rPr>
        <w:noProof/>
        <w:sz w:val="16"/>
        <w:szCs w:val="16"/>
      </w:rPr>
      <w:t>21</w:t>
    </w:r>
    <w:r w:rsidRPr="00972570">
      <w:rPr>
        <w:noProof/>
        <w:sz w:val="16"/>
        <w:szCs w:val="16"/>
      </w:rPr>
      <w:fldChar w:fldCharType="end"/>
    </w:r>
  </w:p>
  <w:p w:rsidR="00D934A7" w:rsidRDefault="00D934A7">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A5C28" w:rsidRDefault="001A5C28">
      <w:r>
        <w:separator/>
      </w:r>
    </w:p>
  </w:footnote>
  <w:footnote w:type="continuationSeparator" w:id="0">
    <w:p w:rsidR="001A5C28" w:rsidRDefault="001A5C28">
      <w:r>
        <w:continuationSeparator/>
      </w:r>
    </w:p>
  </w:footnote>
  <w:footnote w:id="1">
    <w:p w:rsidR="00D934A7" w:rsidRPr="00AF4E51" w:rsidRDefault="00D934A7" w:rsidP="00AE2155">
      <w:pPr>
        <w:pStyle w:val="Sprotnaopomba-besedilo"/>
        <w:spacing w:line="288" w:lineRule="auto"/>
        <w:jc w:val="both"/>
        <w:rPr>
          <w:rFonts w:ascii="Arial" w:hAnsi="Arial" w:cs="Arial"/>
          <w:sz w:val="18"/>
          <w:szCs w:val="18"/>
        </w:rPr>
      </w:pPr>
      <w:r w:rsidRPr="00AF4E51">
        <w:rPr>
          <w:rStyle w:val="Sprotnaopomba-sklic"/>
          <w:rFonts w:ascii="Arial" w:hAnsi="Arial" w:cs="Arial"/>
          <w:sz w:val="18"/>
          <w:szCs w:val="18"/>
        </w:rPr>
        <w:footnoteRef/>
      </w:r>
      <w:r w:rsidRPr="00AF4E51">
        <w:rPr>
          <w:rFonts w:ascii="Arial" w:hAnsi="Arial" w:cs="Arial"/>
          <w:sz w:val="18"/>
          <w:szCs w:val="18"/>
        </w:rPr>
        <w:t xml:space="preserve"> Sklep Sveta z dne 28. februarja 2002 o ustanovitvi </w:t>
      </w:r>
      <w:proofErr w:type="spellStart"/>
      <w:r w:rsidRPr="00AF4E51">
        <w:rPr>
          <w:rFonts w:ascii="Arial" w:hAnsi="Arial" w:cs="Arial"/>
          <w:sz w:val="18"/>
          <w:szCs w:val="18"/>
        </w:rPr>
        <w:t>Eurojusta</w:t>
      </w:r>
      <w:proofErr w:type="spellEnd"/>
      <w:r w:rsidRPr="00AF4E51">
        <w:rPr>
          <w:rFonts w:ascii="Arial" w:hAnsi="Arial" w:cs="Arial"/>
          <w:sz w:val="18"/>
          <w:szCs w:val="18"/>
        </w:rPr>
        <w:t xml:space="preserve"> za okrepitev boja proti težjim oblikam kriminala, spremenjen s Sklepom 2003/659/PNZ in Sklepom Sveta 2009/426/PNZ z dne 16. decembra 2008 o okrepitvi </w:t>
      </w:r>
      <w:proofErr w:type="spellStart"/>
      <w:r w:rsidRPr="00AF4E51">
        <w:rPr>
          <w:rFonts w:ascii="Arial" w:hAnsi="Arial" w:cs="Arial"/>
          <w:sz w:val="18"/>
          <w:szCs w:val="18"/>
        </w:rPr>
        <w:t>Eurojusta</w:t>
      </w:r>
      <w:proofErr w:type="spellEnd"/>
      <w:r>
        <w:rPr>
          <w:rFonts w:ascii="Arial" w:hAnsi="Arial" w:cs="Arial"/>
          <w:sz w:val="18"/>
          <w:szCs w:val="18"/>
        </w:rPr>
        <w:t xml:space="preserve">; </w:t>
      </w:r>
      <w:r w:rsidRPr="00AF4E51">
        <w:rPr>
          <w:rFonts w:ascii="Arial" w:hAnsi="Arial" w:cs="Arial"/>
          <w:sz w:val="18"/>
          <w:szCs w:val="18"/>
        </w:rPr>
        <w:t>UL L 63, 6.3.2002, str. 1</w:t>
      </w:r>
      <w:r>
        <w:rPr>
          <w:rFonts w:ascii="Arial" w:hAnsi="Arial" w:cs="Arial"/>
          <w:sz w:val="18"/>
          <w:szCs w:val="18"/>
        </w:rPr>
        <w:t>.</w:t>
      </w:r>
    </w:p>
  </w:footnote>
  <w:footnote w:id="2">
    <w:p w:rsidR="00D934A7" w:rsidRPr="00591CBB" w:rsidRDefault="00D934A7" w:rsidP="00AE2155">
      <w:pPr>
        <w:pStyle w:val="Sprotnaopomba-besedilo"/>
        <w:spacing w:line="288" w:lineRule="auto"/>
        <w:rPr>
          <w:rFonts w:ascii="Arial" w:hAnsi="Arial" w:cs="Arial"/>
          <w:sz w:val="18"/>
          <w:szCs w:val="18"/>
        </w:rPr>
      </w:pPr>
      <w:r w:rsidRPr="00591CBB">
        <w:rPr>
          <w:rStyle w:val="Sprotnaopomba-sklic"/>
          <w:rFonts w:ascii="Arial" w:hAnsi="Arial" w:cs="Arial"/>
          <w:sz w:val="18"/>
          <w:szCs w:val="18"/>
        </w:rPr>
        <w:footnoteRef/>
      </w:r>
      <w:r w:rsidRPr="00591CBB">
        <w:rPr>
          <w:rFonts w:ascii="Arial" w:hAnsi="Arial" w:cs="Arial"/>
          <w:sz w:val="18"/>
          <w:szCs w:val="18"/>
        </w:rPr>
        <w:t xml:space="preserve"> Letno poročilo </w:t>
      </w:r>
      <w:proofErr w:type="spellStart"/>
      <w:r w:rsidRPr="00591CBB">
        <w:rPr>
          <w:rFonts w:ascii="Arial" w:hAnsi="Arial" w:cs="Arial"/>
          <w:sz w:val="18"/>
          <w:szCs w:val="18"/>
        </w:rPr>
        <w:t>Eurojusta</w:t>
      </w:r>
      <w:proofErr w:type="spellEnd"/>
      <w:r w:rsidRPr="00591CBB">
        <w:rPr>
          <w:rFonts w:ascii="Arial" w:hAnsi="Arial" w:cs="Arial"/>
          <w:sz w:val="18"/>
          <w:szCs w:val="18"/>
        </w:rPr>
        <w:t xml:space="preserve"> za leto 2018, dostopno na povezavi: http://www.eurojust.europa.eu/doclibrary/corporate/Pages/annual-reports.aspx</w:t>
      </w:r>
    </w:p>
  </w:footnote>
  <w:footnote w:id="3">
    <w:p w:rsidR="00D934A7" w:rsidRPr="00902947" w:rsidRDefault="00D934A7" w:rsidP="00AE2155">
      <w:pPr>
        <w:pStyle w:val="Sprotnaopomba-besedilo"/>
        <w:jc w:val="both"/>
        <w:rPr>
          <w:rFonts w:ascii="Arial" w:eastAsia="Times New Roman" w:hAnsi="Arial" w:cs="Arial"/>
          <w:sz w:val="18"/>
          <w:szCs w:val="18"/>
          <w:lang w:eastAsia="ar-SA"/>
        </w:rPr>
      </w:pPr>
      <w:r>
        <w:rPr>
          <w:rStyle w:val="Sprotnaopomba-sklic"/>
        </w:rPr>
        <w:footnoteRef/>
      </w:r>
      <w:r w:rsidRPr="00902947">
        <w:rPr>
          <w:rFonts w:ascii="Arial" w:eastAsia="Times New Roman" w:hAnsi="Arial" w:cs="Arial"/>
          <w:sz w:val="18"/>
          <w:szCs w:val="18"/>
          <w:lang w:eastAsia="ar-SA"/>
        </w:rPr>
        <w:t xml:space="preserve">Uradni list RS, št. </w:t>
      </w:r>
      <w:hyperlink r:id="rId1" w:tgtFrame="_blank" w:tooltip="Zakon o sistemu plač v javnem sektorju (uradno prečiščeno besedilo)" w:history="1">
        <w:r w:rsidRPr="00902947">
          <w:rPr>
            <w:rFonts w:ascii="Arial" w:eastAsia="Times New Roman" w:hAnsi="Arial" w:cs="Arial"/>
            <w:sz w:val="18"/>
            <w:szCs w:val="18"/>
            <w:lang w:eastAsia="ar-SA"/>
          </w:rPr>
          <w:t>108/09</w:t>
        </w:r>
      </w:hyperlink>
      <w:r w:rsidRPr="00902947">
        <w:rPr>
          <w:rFonts w:ascii="Arial" w:eastAsia="Times New Roman" w:hAnsi="Arial" w:cs="Arial"/>
          <w:sz w:val="18"/>
          <w:szCs w:val="18"/>
          <w:lang w:eastAsia="ar-SA"/>
        </w:rPr>
        <w:t xml:space="preserve"> – uradno prečiščeno besedilo, </w:t>
      </w:r>
      <w:hyperlink r:id="rId2" w:tgtFrame="_blank" w:tooltip="Zakon o spremembah Zakona o sistemu plač v javnem sektorju" w:history="1">
        <w:r w:rsidRPr="00902947">
          <w:rPr>
            <w:rFonts w:ascii="Arial" w:eastAsia="Times New Roman" w:hAnsi="Arial" w:cs="Arial"/>
            <w:sz w:val="18"/>
            <w:szCs w:val="18"/>
            <w:lang w:eastAsia="ar-SA"/>
          </w:rPr>
          <w:t>13/10</w:t>
        </w:r>
      </w:hyperlink>
      <w:r w:rsidRPr="00902947">
        <w:rPr>
          <w:rFonts w:ascii="Arial" w:eastAsia="Times New Roman" w:hAnsi="Arial" w:cs="Arial"/>
          <w:sz w:val="18"/>
          <w:szCs w:val="18"/>
          <w:lang w:eastAsia="ar-SA"/>
        </w:rPr>
        <w:t xml:space="preserve">, </w:t>
      </w:r>
      <w:hyperlink r:id="rId3" w:tgtFrame="_blank" w:tooltip="Zakon o spremembah in dopolnitvah Zakona o sistemu plač v javnem sektorju" w:history="1">
        <w:r w:rsidRPr="00902947">
          <w:rPr>
            <w:rFonts w:ascii="Arial" w:eastAsia="Times New Roman" w:hAnsi="Arial" w:cs="Arial"/>
            <w:sz w:val="18"/>
            <w:szCs w:val="18"/>
            <w:lang w:eastAsia="ar-SA"/>
          </w:rPr>
          <w:t>59/10</w:t>
        </w:r>
      </w:hyperlink>
      <w:r w:rsidRPr="00902947">
        <w:rPr>
          <w:rFonts w:ascii="Arial" w:eastAsia="Times New Roman" w:hAnsi="Arial" w:cs="Arial"/>
          <w:sz w:val="18"/>
          <w:szCs w:val="18"/>
          <w:lang w:eastAsia="ar-SA"/>
        </w:rPr>
        <w:t xml:space="preserve">, </w:t>
      </w:r>
      <w:hyperlink r:id="rId4" w:tgtFrame="_blank" w:tooltip="Zakon o spremembi Zakona o sistemu plač v javnem sektorju" w:history="1">
        <w:r w:rsidRPr="00902947">
          <w:rPr>
            <w:rFonts w:ascii="Arial" w:eastAsia="Times New Roman" w:hAnsi="Arial" w:cs="Arial"/>
            <w:sz w:val="18"/>
            <w:szCs w:val="18"/>
            <w:lang w:eastAsia="ar-SA"/>
          </w:rPr>
          <w:t>85/10</w:t>
        </w:r>
      </w:hyperlink>
      <w:r w:rsidRPr="00902947">
        <w:rPr>
          <w:rFonts w:ascii="Arial" w:eastAsia="Times New Roman" w:hAnsi="Arial" w:cs="Arial"/>
          <w:sz w:val="18"/>
          <w:szCs w:val="18"/>
          <w:lang w:eastAsia="ar-SA"/>
        </w:rPr>
        <w:t xml:space="preserve">, </w:t>
      </w:r>
      <w:hyperlink r:id="rId5" w:tgtFrame="_blank" w:tooltip="Zakon o spremembi Zakona o sistemu plač v javnem sektorju" w:history="1">
        <w:r w:rsidRPr="00902947">
          <w:rPr>
            <w:rFonts w:ascii="Arial" w:eastAsia="Times New Roman" w:hAnsi="Arial" w:cs="Arial"/>
            <w:sz w:val="18"/>
            <w:szCs w:val="18"/>
            <w:lang w:eastAsia="ar-SA"/>
          </w:rPr>
          <w:t>107/10</w:t>
        </w:r>
      </w:hyperlink>
      <w:r w:rsidRPr="00902947">
        <w:rPr>
          <w:rFonts w:ascii="Arial" w:eastAsia="Times New Roman" w:hAnsi="Arial" w:cs="Arial"/>
          <w:sz w:val="18"/>
          <w:szCs w:val="18"/>
          <w:lang w:eastAsia="ar-SA"/>
        </w:rPr>
        <w:t xml:space="preserve">, </w:t>
      </w:r>
      <w:hyperlink r:id="rId6" w:tgtFrame="_blank" w:tooltip="Avtentična razlaga 49.a člena Zakona o sistemu plač v javnem sektorju" w:history="1">
        <w:r w:rsidRPr="00902947">
          <w:rPr>
            <w:rFonts w:ascii="Arial" w:eastAsia="Times New Roman" w:hAnsi="Arial" w:cs="Arial"/>
            <w:sz w:val="18"/>
            <w:szCs w:val="18"/>
            <w:lang w:eastAsia="ar-SA"/>
          </w:rPr>
          <w:t>35/11</w:t>
        </w:r>
      </w:hyperlink>
      <w:r w:rsidRPr="00902947">
        <w:rPr>
          <w:rFonts w:ascii="Arial" w:eastAsia="Times New Roman" w:hAnsi="Arial" w:cs="Arial"/>
          <w:sz w:val="18"/>
          <w:szCs w:val="18"/>
          <w:lang w:eastAsia="ar-SA"/>
        </w:rPr>
        <w:t xml:space="preserve"> – ORZSPJS49a, </w:t>
      </w:r>
      <w:hyperlink r:id="rId7" w:tgtFrame="_blank" w:tooltip="Odločba o ugotovitvi, da so prvi do deseti odstavek 42. člena Zakona o sistemu plač v javnem sektorju in 2. člen Zakona o spremembi Zakona o sistemu plač v javnem sektorju, kolikor se nanaša na navedene določbe, v neskladju z Ustavo" w:history="1">
        <w:r w:rsidRPr="00902947">
          <w:rPr>
            <w:rFonts w:ascii="Arial" w:eastAsia="Times New Roman" w:hAnsi="Arial" w:cs="Arial"/>
            <w:sz w:val="18"/>
            <w:szCs w:val="18"/>
            <w:lang w:eastAsia="ar-SA"/>
          </w:rPr>
          <w:t>27/12</w:t>
        </w:r>
      </w:hyperlink>
      <w:r w:rsidRPr="00902947">
        <w:rPr>
          <w:rFonts w:ascii="Arial" w:eastAsia="Times New Roman" w:hAnsi="Arial" w:cs="Arial"/>
          <w:sz w:val="18"/>
          <w:szCs w:val="18"/>
          <w:lang w:eastAsia="ar-SA"/>
        </w:rPr>
        <w:t xml:space="preserve"> – </w:t>
      </w:r>
      <w:proofErr w:type="spellStart"/>
      <w:r w:rsidRPr="00902947">
        <w:rPr>
          <w:rFonts w:ascii="Arial" w:eastAsia="Times New Roman" w:hAnsi="Arial" w:cs="Arial"/>
          <w:sz w:val="18"/>
          <w:szCs w:val="18"/>
          <w:lang w:eastAsia="ar-SA"/>
        </w:rPr>
        <w:t>odl</w:t>
      </w:r>
      <w:proofErr w:type="spellEnd"/>
      <w:r w:rsidRPr="00902947">
        <w:rPr>
          <w:rFonts w:ascii="Arial" w:eastAsia="Times New Roman" w:hAnsi="Arial" w:cs="Arial"/>
          <w:sz w:val="18"/>
          <w:szCs w:val="18"/>
          <w:lang w:eastAsia="ar-SA"/>
        </w:rPr>
        <w:t xml:space="preserve">. US, </w:t>
      </w:r>
      <w:hyperlink r:id="rId8" w:tgtFrame="_blank" w:tooltip="Zakon za uravnoteženje javnih financ" w:history="1">
        <w:r w:rsidRPr="00902947">
          <w:rPr>
            <w:rFonts w:ascii="Arial" w:eastAsia="Times New Roman" w:hAnsi="Arial" w:cs="Arial"/>
            <w:sz w:val="18"/>
            <w:szCs w:val="18"/>
            <w:lang w:eastAsia="ar-SA"/>
          </w:rPr>
          <w:t>40/12</w:t>
        </w:r>
      </w:hyperlink>
      <w:r w:rsidRPr="00902947">
        <w:rPr>
          <w:rFonts w:ascii="Arial" w:eastAsia="Times New Roman" w:hAnsi="Arial" w:cs="Arial"/>
          <w:sz w:val="18"/>
          <w:szCs w:val="18"/>
          <w:lang w:eastAsia="ar-SA"/>
        </w:rPr>
        <w:t xml:space="preserve"> – ZUJF, </w:t>
      </w:r>
      <w:hyperlink r:id="rId9" w:tgtFrame="_blank" w:tooltip="Zakon o spremembi in dopolnitvah Zakona o sistemu plač v javnem sektorju" w:history="1">
        <w:r w:rsidRPr="00902947">
          <w:rPr>
            <w:rFonts w:ascii="Arial" w:eastAsia="Times New Roman" w:hAnsi="Arial" w:cs="Arial"/>
            <w:sz w:val="18"/>
            <w:szCs w:val="18"/>
            <w:lang w:eastAsia="ar-SA"/>
          </w:rPr>
          <w:t>46/13</w:t>
        </w:r>
      </w:hyperlink>
      <w:r w:rsidRPr="00902947">
        <w:rPr>
          <w:rFonts w:ascii="Arial" w:eastAsia="Times New Roman" w:hAnsi="Arial" w:cs="Arial"/>
          <w:sz w:val="18"/>
          <w:szCs w:val="18"/>
          <w:lang w:eastAsia="ar-SA"/>
        </w:rPr>
        <w:t xml:space="preserve">, </w:t>
      </w:r>
      <w:hyperlink r:id="rId10" w:tgtFrame="_blank" w:tooltip="Zakon o finančni upravi" w:history="1">
        <w:r w:rsidRPr="00902947">
          <w:rPr>
            <w:rFonts w:ascii="Arial" w:eastAsia="Times New Roman" w:hAnsi="Arial" w:cs="Arial"/>
            <w:sz w:val="18"/>
            <w:szCs w:val="18"/>
            <w:lang w:eastAsia="ar-SA"/>
          </w:rPr>
          <w:t>25/14</w:t>
        </w:r>
      </w:hyperlink>
      <w:r w:rsidRPr="00902947">
        <w:rPr>
          <w:rFonts w:ascii="Arial" w:eastAsia="Times New Roman" w:hAnsi="Arial" w:cs="Arial"/>
          <w:sz w:val="18"/>
          <w:szCs w:val="18"/>
          <w:lang w:eastAsia="ar-SA"/>
        </w:rPr>
        <w:t xml:space="preserve"> – ZFU, </w:t>
      </w:r>
      <w:hyperlink r:id="rId11" w:tgtFrame="_blank" w:tooltip="Zakon o spremembah Zakona o sistemu plač v javnem sektorju" w:history="1">
        <w:r w:rsidRPr="00902947">
          <w:rPr>
            <w:rFonts w:ascii="Arial" w:eastAsia="Times New Roman" w:hAnsi="Arial" w:cs="Arial"/>
            <w:sz w:val="18"/>
            <w:szCs w:val="18"/>
            <w:lang w:eastAsia="ar-SA"/>
          </w:rPr>
          <w:t>50/14</w:t>
        </w:r>
      </w:hyperlink>
      <w:r w:rsidRPr="00902947">
        <w:rPr>
          <w:rFonts w:ascii="Arial" w:eastAsia="Times New Roman" w:hAnsi="Arial" w:cs="Arial"/>
          <w:sz w:val="18"/>
          <w:szCs w:val="18"/>
          <w:lang w:eastAsia="ar-SA"/>
        </w:rPr>
        <w:t xml:space="preserve">, </w:t>
      </w:r>
      <w:hyperlink r:id="rId12" w:tgtFrame="_blank" w:tooltip="Zakon o ukrepih na področju plač in drugih stroškov dela v javnem sektorju za leto 2015" w:history="1">
        <w:r w:rsidRPr="00902947">
          <w:rPr>
            <w:rFonts w:ascii="Arial" w:eastAsia="Times New Roman" w:hAnsi="Arial" w:cs="Arial"/>
            <w:sz w:val="18"/>
            <w:szCs w:val="18"/>
            <w:lang w:eastAsia="ar-SA"/>
          </w:rPr>
          <w:t>95/14</w:t>
        </w:r>
      </w:hyperlink>
      <w:r w:rsidRPr="00902947">
        <w:rPr>
          <w:rFonts w:ascii="Arial" w:eastAsia="Times New Roman" w:hAnsi="Arial" w:cs="Arial"/>
          <w:sz w:val="18"/>
          <w:szCs w:val="18"/>
          <w:lang w:eastAsia="ar-SA"/>
        </w:rPr>
        <w:t xml:space="preserve"> – ZUPPJS15, </w:t>
      </w:r>
      <w:hyperlink r:id="rId13" w:tgtFrame="_blank" w:tooltip="Zakon o dopolnitvi Zakona o sistemu plač v javnem sektorju" w:history="1">
        <w:r w:rsidRPr="00902947">
          <w:rPr>
            <w:rFonts w:ascii="Arial" w:eastAsia="Times New Roman" w:hAnsi="Arial" w:cs="Arial"/>
            <w:sz w:val="18"/>
            <w:szCs w:val="18"/>
            <w:lang w:eastAsia="ar-SA"/>
          </w:rPr>
          <w:t>82/15</w:t>
        </w:r>
      </w:hyperlink>
      <w:r w:rsidRPr="00902947">
        <w:rPr>
          <w:rFonts w:ascii="Arial" w:eastAsia="Times New Roman" w:hAnsi="Arial" w:cs="Arial"/>
          <w:sz w:val="18"/>
          <w:szCs w:val="18"/>
          <w:lang w:eastAsia="ar-SA"/>
        </w:rPr>
        <w:t xml:space="preserve">, </w:t>
      </w:r>
      <w:hyperlink r:id="rId14" w:tgtFrame="_blank" w:tooltip="Zakon o državnem odvetništvu" w:history="1">
        <w:r w:rsidRPr="00902947">
          <w:rPr>
            <w:rFonts w:ascii="Arial" w:eastAsia="Times New Roman" w:hAnsi="Arial" w:cs="Arial"/>
            <w:sz w:val="18"/>
            <w:szCs w:val="18"/>
            <w:lang w:eastAsia="ar-SA"/>
          </w:rPr>
          <w:t>23/17</w:t>
        </w:r>
      </w:hyperlink>
      <w:r w:rsidRPr="00902947">
        <w:rPr>
          <w:rFonts w:ascii="Arial" w:eastAsia="Times New Roman" w:hAnsi="Arial" w:cs="Arial"/>
          <w:sz w:val="18"/>
          <w:szCs w:val="18"/>
          <w:lang w:eastAsia="ar-SA"/>
        </w:rPr>
        <w:t xml:space="preserve"> – </w:t>
      </w:r>
      <w:proofErr w:type="spellStart"/>
      <w:r w:rsidRPr="00902947">
        <w:rPr>
          <w:rFonts w:ascii="Arial" w:eastAsia="Times New Roman" w:hAnsi="Arial" w:cs="Arial"/>
          <w:sz w:val="18"/>
          <w:szCs w:val="18"/>
          <w:lang w:eastAsia="ar-SA"/>
        </w:rPr>
        <w:t>ZDOdv</w:t>
      </w:r>
      <w:proofErr w:type="spellEnd"/>
      <w:r w:rsidRPr="00902947">
        <w:rPr>
          <w:rFonts w:ascii="Arial" w:eastAsia="Times New Roman" w:hAnsi="Arial" w:cs="Arial"/>
          <w:sz w:val="18"/>
          <w:szCs w:val="18"/>
          <w:lang w:eastAsia="ar-SA"/>
        </w:rPr>
        <w:t xml:space="preserve">, </w:t>
      </w:r>
      <w:hyperlink r:id="rId15" w:tgtFrame="_blank" w:tooltip="Zakon o spremembah Zakona o sistemu plač v javnem sektorju" w:history="1">
        <w:r w:rsidRPr="00902947">
          <w:rPr>
            <w:rFonts w:ascii="Arial" w:eastAsia="Times New Roman" w:hAnsi="Arial" w:cs="Arial"/>
            <w:sz w:val="18"/>
            <w:szCs w:val="18"/>
            <w:lang w:eastAsia="ar-SA"/>
          </w:rPr>
          <w:t>67/17</w:t>
        </w:r>
      </w:hyperlink>
      <w:r w:rsidRPr="00902947">
        <w:rPr>
          <w:rFonts w:ascii="Arial" w:eastAsia="Times New Roman" w:hAnsi="Arial" w:cs="Arial"/>
          <w:sz w:val="18"/>
          <w:szCs w:val="18"/>
          <w:lang w:eastAsia="ar-SA"/>
        </w:rPr>
        <w:t xml:space="preserve"> in </w:t>
      </w:r>
      <w:hyperlink r:id="rId16" w:tgtFrame="_blank" w:tooltip="Zakon o spremembi in dopolnitvah Zakona o sistemu plač v javnem sektorju" w:history="1">
        <w:r w:rsidRPr="00902947">
          <w:rPr>
            <w:rFonts w:ascii="Arial" w:eastAsia="Times New Roman" w:hAnsi="Arial" w:cs="Arial"/>
            <w:sz w:val="18"/>
            <w:szCs w:val="18"/>
            <w:lang w:eastAsia="ar-SA"/>
          </w:rPr>
          <w:t>84/18</w:t>
        </w:r>
      </w:hyperlink>
      <w:r>
        <w:rPr>
          <w:rFonts w:ascii="Arial" w:eastAsia="Times New Roman" w:hAnsi="Arial" w:cs="Arial"/>
          <w:sz w:val="18"/>
          <w:szCs w:val="18"/>
          <w:lang w:eastAsia="ar-SA"/>
        </w:rPr>
        <w:t>.</w:t>
      </w:r>
    </w:p>
  </w:footnote>
  <w:footnote w:id="4">
    <w:p w:rsidR="00D934A7" w:rsidRPr="00364C0F" w:rsidRDefault="00D934A7" w:rsidP="00AE2155">
      <w:pPr>
        <w:pStyle w:val="Sprotnaopomba-besedilo"/>
        <w:jc w:val="both"/>
        <w:rPr>
          <w:rFonts w:ascii="Arial" w:hAnsi="Arial" w:cs="Arial"/>
          <w:sz w:val="18"/>
          <w:szCs w:val="18"/>
        </w:rPr>
      </w:pPr>
      <w:r w:rsidRPr="00364C0F">
        <w:rPr>
          <w:rStyle w:val="Sprotnaopomba-sklic"/>
          <w:rFonts w:ascii="Arial" w:hAnsi="Arial" w:cs="Arial"/>
          <w:sz w:val="18"/>
          <w:szCs w:val="18"/>
        </w:rPr>
        <w:footnoteRef/>
      </w:r>
      <w:r w:rsidRPr="00364C0F">
        <w:rPr>
          <w:rFonts w:ascii="Arial" w:hAnsi="Arial" w:cs="Arial"/>
          <w:sz w:val="18"/>
          <w:szCs w:val="18"/>
        </w:rPr>
        <w:t xml:space="preserve"> Uradni list RS, št. 63/07 – uradno prečiščeno besedilo, 65/08, 69/08 – ZTFI-A, 69/08 – ZZavar-E in 40/12 – ZUJF.</w:t>
      </w:r>
    </w:p>
  </w:footnote>
  <w:footnote w:id="5">
    <w:p w:rsidR="00D934A7" w:rsidRDefault="00D934A7" w:rsidP="0055102A">
      <w:pPr>
        <w:pStyle w:val="Sprotnaopomba-besedilo"/>
        <w:jc w:val="both"/>
        <w:rPr>
          <w:rFonts w:ascii="Arial" w:hAnsi="Arial" w:cs="Arial"/>
          <w:sz w:val="18"/>
          <w:szCs w:val="18"/>
        </w:rPr>
      </w:pPr>
      <w:r w:rsidRPr="00A60B78">
        <w:rPr>
          <w:rStyle w:val="Sprotnaopomba-sklic"/>
          <w:rFonts w:ascii="Arial" w:hAnsi="Arial" w:cs="Arial"/>
          <w:sz w:val="18"/>
          <w:szCs w:val="18"/>
        </w:rPr>
        <w:footnoteRef/>
      </w:r>
      <w:r w:rsidRPr="00A60B78">
        <w:rPr>
          <w:rFonts w:ascii="Arial" w:hAnsi="Arial" w:cs="Arial"/>
          <w:sz w:val="18"/>
          <w:szCs w:val="18"/>
        </w:rPr>
        <w:t xml:space="preserve"> Uradni list RS, št. </w:t>
      </w:r>
      <w:hyperlink r:id="rId17" w:tgtFrame="_blank" w:tooltip="Zakon o delovnih razmerjih (ZDR-1)" w:history="1">
        <w:r w:rsidRPr="00A60B78">
          <w:rPr>
            <w:rFonts w:ascii="Arial" w:hAnsi="Arial" w:cs="Arial"/>
            <w:sz w:val="18"/>
            <w:szCs w:val="18"/>
          </w:rPr>
          <w:t>21/13</w:t>
        </w:r>
      </w:hyperlink>
      <w:r w:rsidRPr="00A60B78">
        <w:rPr>
          <w:rFonts w:ascii="Arial" w:hAnsi="Arial" w:cs="Arial"/>
          <w:sz w:val="18"/>
          <w:szCs w:val="18"/>
        </w:rPr>
        <w:t xml:space="preserve">, </w:t>
      </w:r>
      <w:hyperlink r:id="rId18" w:tgtFrame="_blank" w:tooltip="Popravek Zakona o delovnih razmerjih" w:history="1">
        <w:r w:rsidRPr="00A60B78">
          <w:rPr>
            <w:rFonts w:ascii="Arial" w:hAnsi="Arial" w:cs="Arial"/>
            <w:sz w:val="18"/>
            <w:szCs w:val="18"/>
          </w:rPr>
          <w:t xml:space="preserve">78/13 – </w:t>
        </w:r>
        <w:proofErr w:type="spellStart"/>
        <w:r w:rsidRPr="00A60B78">
          <w:rPr>
            <w:rFonts w:ascii="Arial" w:hAnsi="Arial" w:cs="Arial"/>
            <w:sz w:val="18"/>
            <w:szCs w:val="18"/>
          </w:rPr>
          <w:t>popr</w:t>
        </w:r>
        <w:proofErr w:type="spellEnd"/>
        <w:r w:rsidRPr="00A60B78">
          <w:rPr>
            <w:rFonts w:ascii="Arial" w:hAnsi="Arial" w:cs="Arial"/>
            <w:sz w:val="18"/>
            <w:szCs w:val="18"/>
          </w:rPr>
          <w:t>.</w:t>
        </w:r>
      </w:hyperlink>
      <w:r w:rsidRPr="00A60B78">
        <w:rPr>
          <w:rFonts w:ascii="Arial" w:hAnsi="Arial" w:cs="Arial"/>
          <w:sz w:val="18"/>
          <w:szCs w:val="18"/>
        </w:rPr>
        <w:t xml:space="preserve">, </w:t>
      </w:r>
      <w:hyperlink r:id="rId19" w:tgtFrame="_blank" w:tooltip="Zakon o zaposlovanju, samozaposlovanju in delu tujcev" w:history="1">
        <w:r w:rsidRPr="00A60B78">
          <w:rPr>
            <w:rFonts w:ascii="Arial" w:hAnsi="Arial" w:cs="Arial"/>
            <w:sz w:val="18"/>
            <w:szCs w:val="18"/>
          </w:rPr>
          <w:t>47/15</w:t>
        </w:r>
      </w:hyperlink>
      <w:r w:rsidRPr="00A60B78">
        <w:rPr>
          <w:rFonts w:ascii="Arial" w:hAnsi="Arial" w:cs="Arial"/>
          <w:sz w:val="18"/>
          <w:szCs w:val="18"/>
        </w:rPr>
        <w:t xml:space="preserve"> – ZZSDT, </w:t>
      </w:r>
      <w:hyperlink r:id="rId20" w:tgtFrame="_blank" w:tooltip="Zakon o spremembah in dopolnitvah Pomorskega zakonika" w:history="1">
        <w:r w:rsidRPr="00A60B78">
          <w:rPr>
            <w:rFonts w:ascii="Arial" w:hAnsi="Arial" w:cs="Arial"/>
            <w:sz w:val="18"/>
            <w:szCs w:val="18"/>
          </w:rPr>
          <w:t>33/16</w:t>
        </w:r>
      </w:hyperlink>
      <w:r w:rsidRPr="00A60B78">
        <w:rPr>
          <w:rFonts w:ascii="Arial" w:hAnsi="Arial" w:cs="Arial"/>
          <w:sz w:val="18"/>
          <w:szCs w:val="18"/>
        </w:rPr>
        <w:t xml:space="preserve"> – PZ-F, </w:t>
      </w:r>
      <w:hyperlink r:id="rId21" w:tgtFrame="_blank" w:tooltip="Zakon o dopolnitvah Zakona o delovnih razmerjih" w:history="1">
        <w:r w:rsidRPr="00A60B78">
          <w:rPr>
            <w:rFonts w:ascii="Arial" w:hAnsi="Arial" w:cs="Arial"/>
            <w:sz w:val="18"/>
            <w:szCs w:val="18"/>
          </w:rPr>
          <w:t>52/16</w:t>
        </w:r>
      </w:hyperlink>
      <w:r w:rsidRPr="00A60B78">
        <w:rPr>
          <w:rFonts w:ascii="Arial" w:hAnsi="Arial" w:cs="Arial"/>
          <w:sz w:val="18"/>
          <w:szCs w:val="18"/>
        </w:rPr>
        <w:t xml:space="preserve">, </w:t>
      </w:r>
      <w:hyperlink r:id="rId22" w:tgtFrame="_blank" w:tooltip="Odločba o razveljavitvi četrtega odstavka 88. člena Zakona o delovnih razmerjih in delni razveljavitvi sklepa Vrhovnega sodišča, sklepa Višjega delovnega in socialnega sodišča in sklepa Delovnega sodišča v Mariboru" w:history="1">
        <w:r w:rsidRPr="00A60B78">
          <w:rPr>
            <w:rFonts w:ascii="Arial" w:hAnsi="Arial" w:cs="Arial"/>
            <w:sz w:val="18"/>
            <w:szCs w:val="18"/>
          </w:rPr>
          <w:t>15/17</w:t>
        </w:r>
      </w:hyperlink>
      <w:r w:rsidRPr="00A60B78">
        <w:rPr>
          <w:rFonts w:ascii="Arial" w:hAnsi="Arial" w:cs="Arial"/>
          <w:sz w:val="18"/>
          <w:szCs w:val="18"/>
        </w:rPr>
        <w:t xml:space="preserve"> – </w:t>
      </w:r>
      <w:proofErr w:type="spellStart"/>
      <w:r w:rsidRPr="00A60B78">
        <w:rPr>
          <w:rFonts w:ascii="Arial" w:hAnsi="Arial" w:cs="Arial"/>
          <w:sz w:val="18"/>
          <w:szCs w:val="18"/>
        </w:rPr>
        <w:t>odl</w:t>
      </w:r>
      <w:proofErr w:type="spellEnd"/>
      <w:r w:rsidRPr="00A60B78">
        <w:rPr>
          <w:rFonts w:ascii="Arial" w:hAnsi="Arial" w:cs="Arial"/>
          <w:sz w:val="18"/>
          <w:szCs w:val="18"/>
        </w:rPr>
        <w:t xml:space="preserve">. US, </w:t>
      </w:r>
      <w:hyperlink r:id="rId23" w:tgtFrame="_blank" w:tooltip="Zakon o poslovni skrivnosti" w:history="1">
        <w:r w:rsidRPr="00A60B78">
          <w:rPr>
            <w:rFonts w:ascii="Arial" w:hAnsi="Arial" w:cs="Arial"/>
            <w:sz w:val="18"/>
            <w:szCs w:val="18"/>
          </w:rPr>
          <w:t>22/19</w:t>
        </w:r>
      </w:hyperlink>
      <w:r w:rsidRPr="00A60B78">
        <w:rPr>
          <w:rFonts w:ascii="Arial" w:hAnsi="Arial" w:cs="Arial"/>
          <w:sz w:val="18"/>
          <w:szCs w:val="18"/>
        </w:rPr>
        <w:t xml:space="preserve"> –</w:t>
      </w:r>
    </w:p>
    <w:p w:rsidR="00D934A7" w:rsidRPr="00A60B78" w:rsidRDefault="00D934A7" w:rsidP="0055102A">
      <w:pPr>
        <w:pStyle w:val="Sprotnaopomba-besedilo"/>
        <w:jc w:val="both"/>
        <w:rPr>
          <w:rFonts w:ascii="Arial" w:hAnsi="Arial" w:cs="Arial"/>
          <w:sz w:val="18"/>
          <w:szCs w:val="18"/>
        </w:rPr>
      </w:pPr>
      <w:proofErr w:type="spellStart"/>
      <w:r w:rsidRPr="00A60B78">
        <w:rPr>
          <w:rFonts w:ascii="Arial" w:hAnsi="Arial" w:cs="Arial"/>
          <w:sz w:val="18"/>
          <w:szCs w:val="18"/>
        </w:rPr>
        <w:t>ZPosS</w:t>
      </w:r>
      <w:proofErr w:type="spellEnd"/>
      <w:r w:rsidRPr="00A60B78">
        <w:rPr>
          <w:rFonts w:ascii="Arial" w:hAnsi="Arial" w:cs="Arial"/>
          <w:sz w:val="18"/>
          <w:szCs w:val="18"/>
        </w:rPr>
        <w:t xml:space="preserve"> in </w:t>
      </w:r>
      <w:hyperlink r:id="rId24" w:tgtFrame="_blank" w:tooltip="Zakon o dopolnitvi Zakona o delovnih razmerjih" w:history="1">
        <w:r w:rsidRPr="00A60B78">
          <w:rPr>
            <w:rFonts w:ascii="Arial" w:hAnsi="Arial" w:cs="Arial"/>
            <w:sz w:val="18"/>
            <w:szCs w:val="18"/>
          </w:rPr>
          <w:t>81/19</w:t>
        </w:r>
      </w:hyperlink>
      <w:r w:rsidRPr="00A60B78">
        <w:rPr>
          <w:rFonts w:ascii="Arial" w:hAnsi="Arial" w:cs="Arial"/>
          <w:sz w:val="18"/>
          <w:szCs w:val="18"/>
        </w:rPr>
        <w:t>.</w:t>
      </w:r>
    </w:p>
  </w:footnote>
  <w:footnote w:id="6">
    <w:p w:rsidR="00D934A7" w:rsidRDefault="00D934A7" w:rsidP="00E762CA">
      <w:pPr>
        <w:pStyle w:val="Sprotnaopomba-besedilo"/>
        <w:spacing w:line="288" w:lineRule="auto"/>
        <w:jc w:val="both"/>
        <w:rPr>
          <w:rFonts w:ascii="Arial" w:hAnsi="Arial" w:cs="Arial"/>
          <w:sz w:val="18"/>
          <w:szCs w:val="18"/>
        </w:rPr>
      </w:pPr>
      <w:r w:rsidRPr="0034293D">
        <w:rPr>
          <w:rStyle w:val="Sprotnaopomba-sklic"/>
        </w:rPr>
        <w:footnoteRef/>
      </w:r>
      <w:r w:rsidRPr="0034293D">
        <w:rPr>
          <w:rStyle w:val="Sprotnaopomba-sklic"/>
        </w:rPr>
        <w:t xml:space="preserve"> </w:t>
      </w:r>
      <w:r>
        <w:rPr>
          <w:rFonts w:ascii="Arial" w:hAnsi="Arial" w:cs="Arial"/>
          <w:sz w:val="18"/>
          <w:szCs w:val="18"/>
        </w:rPr>
        <w:t>Uradni list RS, št. 15/13, 11/14, 86/15, 77/16, 77/17, 36/19 in 66/19 – ZDZ.</w:t>
      </w:r>
    </w:p>
  </w:footnote>
  <w:footnote w:id="7">
    <w:p w:rsidR="00D934A7" w:rsidRDefault="00D934A7" w:rsidP="00E762CA">
      <w:pPr>
        <w:pStyle w:val="Sprotnaopomba-besedilo"/>
      </w:pPr>
      <w:r w:rsidRPr="0034293D">
        <w:rPr>
          <w:rStyle w:val="Sprotnaopomba-sklic"/>
        </w:rPr>
        <w:footnoteRef/>
      </w:r>
      <w:r>
        <w:rPr>
          <w:rFonts w:ascii="Arial" w:hAnsi="Arial"/>
          <w:color w:val="000000"/>
          <w:sz w:val="18"/>
          <w:szCs w:val="18"/>
        </w:rPr>
        <w:t xml:space="preserve"> Uradni list RS, št. </w:t>
      </w:r>
      <w:hyperlink r:id="rId25" w:tgtFrame="_blank">
        <w:r>
          <w:rPr>
            <w:rStyle w:val="Spletnapovezava"/>
            <w:rFonts w:ascii="Arial" w:hAnsi="Arial"/>
            <w:color w:val="000000"/>
            <w:sz w:val="18"/>
            <w:szCs w:val="18"/>
          </w:rPr>
          <w:t>41/12</w:t>
        </w:r>
      </w:hyperlink>
      <w:r>
        <w:rPr>
          <w:rFonts w:ascii="Arial" w:hAnsi="Arial"/>
          <w:color w:val="000000"/>
          <w:sz w:val="18"/>
          <w:szCs w:val="18"/>
        </w:rPr>
        <w:t xml:space="preserve">, </w:t>
      </w:r>
      <w:hyperlink r:id="rId26" w:tgtFrame="_blank">
        <w:r>
          <w:rPr>
            <w:rStyle w:val="Spletnapovezava"/>
            <w:rFonts w:ascii="Arial" w:hAnsi="Arial"/>
            <w:color w:val="000000"/>
            <w:sz w:val="18"/>
            <w:szCs w:val="18"/>
          </w:rPr>
          <w:t>97/12</w:t>
        </w:r>
      </w:hyperlink>
      <w:r>
        <w:rPr>
          <w:rFonts w:ascii="Arial" w:hAnsi="Arial"/>
          <w:color w:val="000000"/>
          <w:sz w:val="18"/>
          <w:szCs w:val="18"/>
        </w:rPr>
        <w:t xml:space="preserve">, 41/14 in 22/16. </w:t>
      </w:r>
    </w:p>
  </w:footnote>
  <w:footnote w:id="8">
    <w:p w:rsidR="00D934A7" w:rsidRDefault="00D934A7" w:rsidP="00E762CA">
      <w:pPr>
        <w:pStyle w:val="Sprotnaopomba-besedilo"/>
        <w:spacing w:line="288" w:lineRule="auto"/>
        <w:jc w:val="both"/>
        <w:rPr>
          <w:rFonts w:ascii="Arial" w:hAnsi="Arial" w:cs="Arial"/>
          <w:sz w:val="18"/>
          <w:szCs w:val="18"/>
        </w:rPr>
      </w:pPr>
      <w:r w:rsidRPr="0034293D">
        <w:rPr>
          <w:rStyle w:val="Sprotnaopomba-sklic"/>
        </w:rPr>
        <w:footnoteRef/>
      </w:r>
      <w:r>
        <w:rPr>
          <w:rFonts w:ascii="Arial" w:hAnsi="Arial" w:cs="Arial"/>
          <w:sz w:val="18"/>
          <w:szCs w:val="18"/>
        </w:rPr>
        <w:t xml:space="preserve"> U</w:t>
      </w:r>
      <w:r>
        <w:rPr>
          <w:rFonts w:ascii="Arial" w:hAnsi="Arial" w:cs="Arial"/>
          <w:bCs/>
          <w:sz w:val="18"/>
          <w:szCs w:val="18"/>
          <w:shd w:val="clear" w:color="auto" w:fill="FFFFFF"/>
        </w:rPr>
        <w:t>radni list RS, št. </w:t>
      </w:r>
      <w:hyperlink r:id="rId27" w:tgtFrame="Zakon o finančni upravi (ZFU)">
        <w:r>
          <w:rPr>
            <w:rStyle w:val="Spletnapovezava"/>
            <w:rFonts w:ascii="Arial" w:hAnsi="Arial" w:cs="Arial"/>
            <w:bCs/>
            <w:color w:val="000000"/>
            <w:sz w:val="18"/>
            <w:szCs w:val="18"/>
            <w:highlight w:val="white"/>
          </w:rPr>
          <w:t>25/14</w:t>
        </w:r>
      </w:hyperlink>
      <w:r>
        <w:rPr>
          <w:rFonts w:ascii="Arial" w:hAnsi="Arial" w:cs="Arial"/>
          <w:sz w:val="18"/>
          <w:szCs w:val="18"/>
        </w:rPr>
        <w:t>.</w:t>
      </w:r>
    </w:p>
  </w:footnote>
  <w:footnote w:id="9">
    <w:p w:rsidR="00D934A7" w:rsidRDefault="00D934A7" w:rsidP="00E762CA">
      <w:pPr>
        <w:pStyle w:val="Sprotnaopomba-besedilo"/>
        <w:rPr>
          <w:rFonts w:ascii="Arial" w:hAnsi="Arial"/>
        </w:rPr>
      </w:pPr>
      <w:r w:rsidRPr="0034293D">
        <w:rPr>
          <w:rStyle w:val="Sprotnaopomba-sklic"/>
        </w:rPr>
        <w:footnoteRef/>
      </w:r>
      <w:r>
        <w:rPr>
          <w:rFonts w:ascii="Arial" w:hAnsi="Arial"/>
          <w:color w:val="000000"/>
          <w:sz w:val="18"/>
          <w:szCs w:val="18"/>
        </w:rPr>
        <w:t xml:space="preserve"> Uradni list RS, št. 103/0 – uradno prečiščeno besedilo in 95/15.</w:t>
      </w:r>
      <w:r>
        <w:rPr>
          <w:rFonts w:ascii="Arial" w:hAnsi="Arial"/>
          <w:color w:val="000000"/>
          <w:sz w:val="16"/>
          <w:szCs w:val="16"/>
        </w:rPr>
        <w:t xml:space="preserve">  </w:t>
      </w:r>
    </w:p>
  </w:footnote>
  <w:footnote w:id="10">
    <w:p w:rsidR="00D934A7" w:rsidRPr="006933AF" w:rsidRDefault="00D934A7" w:rsidP="00AE2155">
      <w:pPr>
        <w:pStyle w:val="Sprotnaopomba-besedilo"/>
        <w:spacing w:line="288" w:lineRule="auto"/>
        <w:jc w:val="both"/>
        <w:rPr>
          <w:rFonts w:ascii="Arial" w:hAnsi="Arial" w:cs="Arial"/>
          <w:sz w:val="18"/>
          <w:szCs w:val="18"/>
        </w:rPr>
      </w:pPr>
      <w:r>
        <w:rPr>
          <w:rStyle w:val="Sprotnaopomba-sklic"/>
        </w:rPr>
        <w:footnoteRef/>
      </w:r>
      <w:r>
        <w:t xml:space="preserve"> </w:t>
      </w:r>
      <w:r w:rsidRPr="006933AF">
        <w:rPr>
          <w:rFonts w:ascii="Arial" w:hAnsi="Arial" w:cs="Arial"/>
          <w:sz w:val="18"/>
          <w:szCs w:val="18"/>
        </w:rPr>
        <w:t xml:space="preserve">Uradni list RS, št. 14/09, 16/09 – </w:t>
      </w:r>
      <w:proofErr w:type="spellStart"/>
      <w:r w:rsidRPr="006933AF">
        <w:rPr>
          <w:rFonts w:ascii="Arial" w:hAnsi="Arial" w:cs="Arial"/>
          <w:sz w:val="18"/>
          <w:szCs w:val="18"/>
        </w:rPr>
        <w:t>popr</w:t>
      </w:r>
      <w:proofErr w:type="spellEnd"/>
      <w:r w:rsidRPr="006933AF">
        <w:rPr>
          <w:rFonts w:ascii="Arial" w:hAnsi="Arial" w:cs="Arial"/>
          <w:sz w:val="18"/>
          <w:szCs w:val="18"/>
        </w:rPr>
        <w:t>., 23/09, 51/10, 67/10, 80/10 – ZUTD, 41/12, 68/12, 47/13, 96/14, 39/15, 57/15, 73/15, 98/15, 6/16, 38/16, 62/16, 4/17, 26/17, 35/17, 54/17, 5/18, 35/18, 43/18, 64/18, 6/19, 35/19, 59/19, 78/19 in 7/20.</w:t>
      </w:r>
    </w:p>
  </w:footnote>
  <w:footnote w:id="11">
    <w:p w:rsidR="00D934A7" w:rsidRPr="006066C0" w:rsidRDefault="00D934A7" w:rsidP="00AE2155">
      <w:pPr>
        <w:pStyle w:val="Sprotnaopomba-besedilo"/>
        <w:jc w:val="both"/>
        <w:rPr>
          <w:rFonts w:ascii="Arial" w:hAnsi="Arial" w:cs="Arial"/>
          <w:sz w:val="18"/>
          <w:szCs w:val="18"/>
        </w:rPr>
      </w:pPr>
      <w:r>
        <w:rPr>
          <w:rStyle w:val="Sprotnaopomba-sklic"/>
        </w:rPr>
        <w:footnoteRef/>
      </w:r>
      <w:r w:rsidRPr="006066C0">
        <w:rPr>
          <w:rFonts w:ascii="Arial" w:hAnsi="Arial" w:cs="Arial"/>
          <w:sz w:val="18"/>
          <w:szCs w:val="18"/>
        </w:rPr>
        <w:t xml:space="preserve">Uradni list RS, št. 32/12 – uradno prečiščeno besedilo, 47/13, 87/14, 8/16 – </w:t>
      </w:r>
      <w:proofErr w:type="spellStart"/>
      <w:r w:rsidRPr="006066C0">
        <w:rPr>
          <w:rFonts w:ascii="Arial" w:hAnsi="Arial" w:cs="Arial"/>
          <w:sz w:val="18"/>
          <w:szCs w:val="18"/>
        </w:rPr>
        <w:t>odl</w:t>
      </w:r>
      <w:proofErr w:type="spellEnd"/>
      <w:r w:rsidRPr="006066C0">
        <w:rPr>
          <w:rFonts w:ascii="Arial" w:hAnsi="Arial" w:cs="Arial"/>
          <w:sz w:val="18"/>
          <w:szCs w:val="18"/>
        </w:rPr>
        <w:t xml:space="preserve">. US, 64/16 – </w:t>
      </w:r>
      <w:proofErr w:type="spellStart"/>
      <w:r w:rsidRPr="006066C0">
        <w:rPr>
          <w:rFonts w:ascii="Arial" w:hAnsi="Arial" w:cs="Arial"/>
          <w:sz w:val="18"/>
          <w:szCs w:val="18"/>
        </w:rPr>
        <w:t>odl</w:t>
      </w:r>
      <w:proofErr w:type="spellEnd"/>
      <w:r w:rsidRPr="006066C0">
        <w:rPr>
          <w:rFonts w:ascii="Arial" w:hAnsi="Arial" w:cs="Arial"/>
          <w:sz w:val="18"/>
          <w:szCs w:val="18"/>
        </w:rPr>
        <w:t xml:space="preserve">. US, 65/16 – </w:t>
      </w:r>
      <w:proofErr w:type="spellStart"/>
      <w:r w:rsidRPr="006066C0">
        <w:rPr>
          <w:rFonts w:ascii="Arial" w:hAnsi="Arial" w:cs="Arial"/>
          <w:sz w:val="18"/>
          <w:szCs w:val="18"/>
        </w:rPr>
        <w:t>odl</w:t>
      </w:r>
      <w:proofErr w:type="spellEnd"/>
      <w:r w:rsidRPr="006066C0">
        <w:rPr>
          <w:rFonts w:ascii="Arial" w:hAnsi="Arial" w:cs="Arial"/>
          <w:sz w:val="18"/>
          <w:szCs w:val="18"/>
        </w:rPr>
        <w:t xml:space="preserve">. US, 66/17 – ORZKP153,154 in 22/1. </w:t>
      </w:r>
    </w:p>
  </w:footnote>
  <w:footnote w:id="12">
    <w:p w:rsidR="00D934A7" w:rsidRPr="00A263D9" w:rsidRDefault="00D934A7" w:rsidP="00AE2155">
      <w:pPr>
        <w:pStyle w:val="Sprotnaopomba-besedilo"/>
        <w:jc w:val="both"/>
        <w:rPr>
          <w:rFonts w:ascii="Arial" w:hAnsi="Arial" w:cs="Arial"/>
          <w:sz w:val="18"/>
          <w:szCs w:val="18"/>
        </w:rPr>
      </w:pPr>
      <w:r w:rsidRPr="00A263D9">
        <w:rPr>
          <w:rStyle w:val="Sprotnaopomba-sklic"/>
          <w:rFonts w:ascii="Arial" w:hAnsi="Arial" w:cs="Arial"/>
          <w:sz w:val="18"/>
          <w:szCs w:val="18"/>
        </w:rPr>
        <w:footnoteRef/>
      </w:r>
      <w:r w:rsidRPr="00A263D9">
        <w:rPr>
          <w:rFonts w:ascii="Arial" w:hAnsi="Arial" w:cs="Arial"/>
          <w:sz w:val="18"/>
          <w:szCs w:val="18"/>
        </w:rPr>
        <w:t xml:space="preserve"> Uradni list RS, št. 83/10. </w:t>
      </w:r>
    </w:p>
  </w:footnote>
  <w:footnote w:id="13">
    <w:p w:rsidR="00D934A7" w:rsidRPr="00A60B78" w:rsidRDefault="00D934A7" w:rsidP="00052C7C">
      <w:pPr>
        <w:pStyle w:val="Sprotnaopomba-besedilo"/>
        <w:rPr>
          <w:rFonts w:ascii="Arial" w:hAnsi="Arial" w:cs="Arial"/>
          <w:sz w:val="18"/>
          <w:szCs w:val="18"/>
        </w:rPr>
      </w:pPr>
      <w:r w:rsidRPr="00A60B78">
        <w:rPr>
          <w:rStyle w:val="Sprotnaopomba-sklic"/>
          <w:rFonts w:ascii="Arial" w:hAnsi="Arial" w:cs="Arial"/>
          <w:sz w:val="18"/>
          <w:szCs w:val="18"/>
        </w:rPr>
        <w:footnoteRef/>
      </w:r>
      <w:r w:rsidRPr="00A60B78">
        <w:rPr>
          <w:rFonts w:ascii="Arial" w:hAnsi="Arial" w:cs="Arial"/>
          <w:sz w:val="18"/>
          <w:szCs w:val="18"/>
        </w:rPr>
        <w:t xml:space="preserve"> Uradni list RS, št. 7/12, 29/12, 45/16 in 64/19</w:t>
      </w:r>
      <w:r>
        <w:rPr>
          <w:rFonts w:ascii="Arial" w:hAnsi="Arial" w:cs="Arial"/>
          <w:sz w:val="18"/>
          <w:szCs w:val="18"/>
        </w:rPr>
        <w:t>.</w:t>
      </w:r>
    </w:p>
  </w:footnote>
  <w:footnote w:id="14">
    <w:p w:rsidR="00D934A7" w:rsidRPr="00A60B78" w:rsidRDefault="00D934A7" w:rsidP="00AE2155">
      <w:pPr>
        <w:pStyle w:val="Sprotnaopomba-besedilo"/>
        <w:spacing w:line="288" w:lineRule="auto"/>
        <w:jc w:val="both"/>
        <w:rPr>
          <w:rFonts w:ascii="Arial" w:hAnsi="Arial" w:cs="Arial"/>
          <w:sz w:val="18"/>
          <w:szCs w:val="18"/>
        </w:rPr>
      </w:pPr>
      <w:r w:rsidRPr="00A60B78">
        <w:rPr>
          <w:rStyle w:val="Sprotnaopomba-sklic"/>
          <w:rFonts w:ascii="Arial" w:hAnsi="Arial" w:cs="Arial"/>
          <w:sz w:val="18"/>
          <w:szCs w:val="18"/>
        </w:rPr>
        <w:footnoteRef/>
      </w:r>
      <w:r w:rsidRPr="00A60B78">
        <w:rPr>
          <w:rFonts w:ascii="Arial" w:hAnsi="Arial" w:cs="Arial"/>
          <w:sz w:val="18"/>
          <w:szCs w:val="18"/>
        </w:rPr>
        <w:t xml:space="preserve"> Uradni list RS, št. 15/13, 11/14, 86/15, 77/16, 77/17, 36/19 in 66/19 – ZDZ</w:t>
      </w:r>
      <w:r>
        <w:rPr>
          <w:rFonts w:ascii="Arial" w:hAnsi="Arial" w:cs="Arial"/>
          <w:sz w:val="18"/>
          <w:szCs w:val="18"/>
        </w:rPr>
        <w:t xml:space="preserve">. </w:t>
      </w:r>
    </w:p>
  </w:footnote>
  <w:footnote w:id="15">
    <w:p w:rsidR="00D934A7" w:rsidRDefault="00D934A7" w:rsidP="00AE2155">
      <w:pPr>
        <w:pStyle w:val="Sprotnaopomba-besedilo"/>
        <w:spacing w:line="288" w:lineRule="auto"/>
        <w:jc w:val="both"/>
        <w:rPr>
          <w:rFonts w:ascii="Arial" w:hAnsi="Arial" w:cs="Arial"/>
          <w:sz w:val="18"/>
          <w:szCs w:val="18"/>
        </w:rPr>
      </w:pPr>
      <w:r>
        <w:rPr>
          <w:rStyle w:val="Sprotnaopomba-sklic"/>
        </w:rPr>
        <w:footnoteRef/>
      </w:r>
      <w:r w:rsidRPr="00710B60">
        <w:rPr>
          <w:rFonts w:ascii="Arial" w:hAnsi="Arial" w:cs="Arial"/>
          <w:sz w:val="18"/>
          <w:szCs w:val="18"/>
        </w:rPr>
        <w:t>Uradni list RS, št. 110/06 – uradno prečiščeno besedilo, 76/08, 40/09, 9/11 – ZP-1G, 96/12 – ZPIZ-2,</w:t>
      </w:r>
    </w:p>
    <w:p w:rsidR="00D934A7" w:rsidRPr="00710B60" w:rsidRDefault="00D934A7" w:rsidP="00AE2155">
      <w:pPr>
        <w:pStyle w:val="Sprotnaopomba-besedilo"/>
        <w:spacing w:line="288" w:lineRule="auto"/>
        <w:jc w:val="both"/>
        <w:rPr>
          <w:rFonts w:ascii="Arial" w:hAnsi="Arial" w:cs="Arial"/>
          <w:sz w:val="18"/>
          <w:szCs w:val="18"/>
        </w:rPr>
      </w:pPr>
      <w:r w:rsidRPr="00710B60">
        <w:rPr>
          <w:rFonts w:ascii="Arial" w:hAnsi="Arial" w:cs="Arial"/>
          <w:sz w:val="18"/>
          <w:szCs w:val="18"/>
        </w:rPr>
        <w:t xml:space="preserve"> 109/12, 54/15 in 11/18</w:t>
      </w:r>
      <w:r>
        <w:rPr>
          <w:rFonts w:ascii="Arial" w:hAnsi="Arial" w:cs="Arial"/>
          <w:sz w:val="18"/>
          <w:szCs w:val="18"/>
        </w:rPr>
        <w:t>.</w:t>
      </w:r>
    </w:p>
  </w:footnote>
  <w:footnote w:id="16">
    <w:p w:rsidR="00D934A7" w:rsidRPr="00C913CB" w:rsidRDefault="00D934A7" w:rsidP="00AE2155">
      <w:pPr>
        <w:pStyle w:val="Sprotnaopomba-besedilo"/>
        <w:spacing w:line="288" w:lineRule="auto"/>
        <w:rPr>
          <w:rFonts w:ascii="Arial" w:hAnsi="Arial" w:cs="Arial"/>
          <w:sz w:val="18"/>
          <w:szCs w:val="18"/>
        </w:rPr>
      </w:pPr>
      <w:r w:rsidRPr="00C913CB">
        <w:rPr>
          <w:rStyle w:val="Sprotnaopomba-sklic"/>
          <w:rFonts w:ascii="Arial" w:hAnsi="Arial" w:cs="Arial"/>
          <w:sz w:val="18"/>
          <w:szCs w:val="18"/>
        </w:rPr>
        <w:footnoteRef/>
      </w:r>
      <w:r w:rsidRPr="00C913CB">
        <w:rPr>
          <w:rFonts w:ascii="Arial" w:hAnsi="Arial" w:cs="Arial"/>
          <w:sz w:val="18"/>
          <w:szCs w:val="18"/>
        </w:rPr>
        <w:t xml:space="preserve"> Uradni list RS, št. </w:t>
      </w:r>
      <w:r>
        <w:rPr>
          <w:rFonts w:ascii="Arial" w:hAnsi="Arial" w:cs="Arial"/>
          <w:sz w:val="18"/>
          <w:szCs w:val="18"/>
        </w:rPr>
        <w:t>25/14.</w:t>
      </w:r>
    </w:p>
  </w:footnote>
  <w:footnote w:id="17">
    <w:p w:rsidR="00D934A7" w:rsidRPr="00F177DE" w:rsidRDefault="00D934A7" w:rsidP="00C671C8">
      <w:pPr>
        <w:pStyle w:val="Sprotnaopomba-besedilo"/>
        <w:spacing w:line="288" w:lineRule="auto"/>
        <w:jc w:val="both"/>
        <w:rPr>
          <w:rFonts w:ascii="Arial" w:hAnsi="Arial" w:cs="Arial"/>
          <w:sz w:val="18"/>
          <w:szCs w:val="18"/>
        </w:rPr>
      </w:pPr>
      <w:r w:rsidRPr="00F177DE">
        <w:rPr>
          <w:rStyle w:val="Sprotnaopomba-sklic"/>
          <w:rFonts w:ascii="Arial" w:hAnsi="Arial" w:cs="Arial"/>
          <w:sz w:val="18"/>
          <w:szCs w:val="18"/>
        </w:rPr>
        <w:footnoteRef/>
      </w:r>
      <w:r w:rsidRPr="00F177DE">
        <w:rPr>
          <w:rFonts w:ascii="Arial" w:hAnsi="Arial" w:cs="Arial"/>
          <w:sz w:val="18"/>
          <w:szCs w:val="18"/>
        </w:rPr>
        <w:t xml:space="preserve"> Uradni list RS, št. 21/17.</w:t>
      </w:r>
    </w:p>
  </w:footnote>
  <w:footnote w:id="18">
    <w:p w:rsidR="00D934A7" w:rsidRPr="008B5E90" w:rsidRDefault="00D934A7" w:rsidP="008B5E90">
      <w:pPr>
        <w:pStyle w:val="Sprotnaopomba-besedilo"/>
        <w:spacing w:line="288" w:lineRule="auto"/>
        <w:rPr>
          <w:rFonts w:ascii="Arial" w:hAnsi="Arial" w:cs="Arial"/>
          <w:sz w:val="18"/>
          <w:szCs w:val="18"/>
        </w:rPr>
      </w:pPr>
      <w:r w:rsidRPr="008B5E90">
        <w:rPr>
          <w:rStyle w:val="Sprotnaopomba-sklic"/>
          <w:rFonts w:ascii="Arial" w:hAnsi="Arial" w:cs="Arial"/>
          <w:sz w:val="18"/>
          <w:szCs w:val="18"/>
        </w:rPr>
        <w:footnoteRef/>
      </w:r>
      <w:r w:rsidRPr="008B5E90">
        <w:rPr>
          <w:rFonts w:ascii="Arial" w:hAnsi="Arial" w:cs="Arial"/>
          <w:sz w:val="18"/>
          <w:szCs w:val="18"/>
        </w:rPr>
        <w:t xml:space="preserve"> Uradni list RS, št. 94/07 – uradno prečiščeno besedilo, 91/09, 33/11, 46/13, 63/13, 69/13 – </w:t>
      </w:r>
      <w:proofErr w:type="spellStart"/>
      <w:r w:rsidRPr="008B5E90">
        <w:rPr>
          <w:rFonts w:ascii="Arial" w:hAnsi="Arial" w:cs="Arial"/>
          <w:sz w:val="18"/>
          <w:szCs w:val="18"/>
        </w:rPr>
        <w:t>popr</w:t>
      </w:r>
      <w:proofErr w:type="spellEnd"/>
      <w:r w:rsidRPr="008B5E90">
        <w:rPr>
          <w:rFonts w:ascii="Arial" w:hAnsi="Arial" w:cs="Arial"/>
          <w:sz w:val="18"/>
          <w:szCs w:val="18"/>
        </w:rPr>
        <w:t xml:space="preserve">., 95/14 – ZUPPJS15, 17/15, 23/17 – </w:t>
      </w:r>
      <w:proofErr w:type="spellStart"/>
      <w:r w:rsidRPr="008B5E90">
        <w:rPr>
          <w:rFonts w:ascii="Arial" w:hAnsi="Arial" w:cs="Arial"/>
          <w:sz w:val="18"/>
          <w:szCs w:val="18"/>
        </w:rPr>
        <w:t>ZSSve</w:t>
      </w:r>
      <w:proofErr w:type="spellEnd"/>
      <w:r w:rsidRPr="008B5E90">
        <w:rPr>
          <w:rFonts w:ascii="Arial" w:hAnsi="Arial" w:cs="Arial"/>
          <w:sz w:val="18"/>
          <w:szCs w:val="18"/>
        </w:rPr>
        <w:t xml:space="preserve"> in 36/19 – ZDT-1C.</w:t>
      </w:r>
    </w:p>
  </w:footnote>
  <w:footnote w:id="19">
    <w:p w:rsidR="00D934A7" w:rsidRPr="009B334C" w:rsidRDefault="009B334C">
      <w:pPr>
        <w:pStyle w:val="Oddelek"/>
        <w:numPr>
          <w:ilvl w:val="0"/>
          <w:numId w:val="0"/>
        </w:numPr>
        <w:spacing w:before="0" w:after="0" w:line="288" w:lineRule="auto"/>
        <w:ind w:left="-105"/>
        <w:jc w:val="both"/>
        <w:rPr>
          <w:b w:val="0"/>
          <w:bCs/>
          <w:sz w:val="18"/>
          <w:szCs w:val="18"/>
        </w:rPr>
      </w:pPr>
      <w:r>
        <w:rPr>
          <w:b w:val="0"/>
          <w:bCs/>
          <w:sz w:val="18"/>
          <w:szCs w:val="18"/>
        </w:rPr>
        <w:t xml:space="preserve">  </w:t>
      </w:r>
      <w:r w:rsidR="00D934A7" w:rsidRPr="001D21AA">
        <w:rPr>
          <w:rStyle w:val="Sprotnaopomba-sklic"/>
          <w:b w:val="0"/>
          <w:bCs/>
          <w:sz w:val="18"/>
          <w:szCs w:val="18"/>
        </w:rPr>
        <w:footnoteRef/>
      </w:r>
      <w:r w:rsidR="00D934A7" w:rsidRPr="009B334C">
        <w:rPr>
          <w:b w:val="0"/>
          <w:bCs/>
          <w:sz w:val="18"/>
          <w:szCs w:val="18"/>
        </w:rPr>
        <w:t xml:space="preserve"> https://data.consilium.europa.eu/doc/document/ST-11351-2013-REV-1-DCL-1/de/pdf</w:t>
      </w:r>
      <w:r w:rsidR="00DD7397" w:rsidRPr="009B334C">
        <w:rPr>
          <w:b w:val="0"/>
          <w:bCs/>
          <w:sz w:val="18"/>
          <w:szCs w:val="18"/>
        </w:rPr>
        <w:t>.</w:t>
      </w:r>
    </w:p>
  </w:footnote>
  <w:footnote w:id="20">
    <w:p w:rsidR="00D934A7" w:rsidRPr="001D21AA" w:rsidRDefault="00D934A7" w:rsidP="001D21AA">
      <w:pPr>
        <w:pStyle w:val="Sprotnaopomba-besedilo"/>
        <w:spacing w:line="288" w:lineRule="auto"/>
        <w:jc w:val="both"/>
        <w:rPr>
          <w:rFonts w:ascii="Arial" w:hAnsi="Arial" w:cs="Arial"/>
          <w:bCs/>
          <w:sz w:val="18"/>
          <w:szCs w:val="18"/>
        </w:rPr>
      </w:pPr>
      <w:r w:rsidRPr="001D21AA">
        <w:rPr>
          <w:rStyle w:val="Sprotnaopomba-sklic"/>
          <w:rFonts w:ascii="Arial" w:hAnsi="Arial" w:cs="Arial"/>
          <w:bCs/>
          <w:sz w:val="18"/>
          <w:szCs w:val="18"/>
        </w:rPr>
        <w:footnoteRef/>
      </w:r>
      <w:r w:rsidRPr="001D21AA">
        <w:rPr>
          <w:rFonts w:ascii="Arial" w:hAnsi="Arial" w:cs="Arial"/>
          <w:bCs/>
          <w:sz w:val="18"/>
          <w:szCs w:val="18"/>
        </w:rPr>
        <w:t xml:space="preserve"> https://e-justice.europa.eu.</w:t>
      </w:r>
    </w:p>
  </w:footnote>
  <w:footnote w:id="21">
    <w:p w:rsidR="00D934A7" w:rsidRPr="001D21AA" w:rsidRDefault="00D934A7" w:rsidP="00AE2155">
      <w:pPr>
        <w:pStyle w:val="Sprotnaopomba-besedilo"/>
        <w:spacing w:line="288" w:lineRule="auto"/>
        <w:rPr>
          <w:rFonts w:ascii="Arial" w:hAnsi="Arial" w:cs="Arial"/>
          <w:sz w:val="18"/>
          <w:szCs w:val="18"/>
        </w:rPr>
      </w:pPr>
      <w:r w:rsidRPr="001D21AA">
        <w:rPr>
          <w:rStyle w:val="Sprotnaopomba-sklic"/>
          <w:rFonts w:ascii="Arial" w:hAnsi="Arial" w:cs="Arial"/>
          <w:sz w:val="18"/>
          <w:szCs w:val="18"/>
        </w:rPr>
        <w:footnoteRef/>
      </w:r>
      <w:r w:rsidRPr="001D21AA">
        <w:rPr>
          <w:rFonts w:ascii="Arial" w:hAnsi="Arial" w:cs="Arial"/>
          <w:sz w:val="18"/>
          <w:szCs w:val="18"/>
        </w:rPr>
        <w:t xml:space="preserve"> Spletna stran Državnega tožilstva Republike Hrvaške, http://www.dorh.hr/ODrzavnomOdvjetnistvu</w:t>
      </w:r>
      <w:r w:rsidR="00DD7397">
        <w:rPr>
          <w:rFonts w:ascii="Arial" w:hAnsi="Arial" w:cs="Arial"/>
          <w:sz w:val="18"/>
          <w:szCs w:val="18"/>
        </w:rPr>
        <w:t>.</w:t>
      </w:r>
    </w:p>
  </w:footnote>
  <w:footnote w:id="22">
    <w:p w:rsidR="00D934A7" w:rsidRPr="00115F14" w:rsidRDefault="00D934A7" w:rsidP="00AE2155">
      <w:pPr>
        <w:pStyle w:val="Sprotnaopomba-besedilo"/>
        <w:spacing w:line="288" w:lineRule="auto"/>
        <w:rPr>
          <w:rFonts w:ascii="Arial" w:hAnsi="Arial" w:cs="Arial"/>
          <w:sz w:val="18"/>
          <w:szCs w:val="18"/>
        </w:rPr>
      </w:pPr>
      <w:r w:rsidRPr="00115F14">
        <w:rPr>
          <w:rStyle w:val="Sprotnaopomba-sklic"/>
          <w:rFonts w:ascii="Arial" w:hAnsi="Arial" w:cs="Arial"/>
          <w:sz w:val="18"/>
          <w:szCs w:val="18"/>
        </w:rPr>
        <w:footnoteRef/>
      </w:r>
      <w:r w:rsidRPr="00115F14">
        <w:rPr>
          <w:rFonts w:ascii="Arial" w:hAnsi="Arial" w:cs="Arial"/>
          <w:sz w:val="18"/>
          <w:szCs w:val="18"/>
        </w:rPr>
        <w:t xml:space="preserve"> Zakon o </w:t>
      </w:r>
      <w:proofErr w:type="spellStart"/>
      <w:r w:rsidRPr="00115F14">
        <w:rPr>
          <w:rFonts w:ascii="Arial" w:hAnsi="Arial" w:cs="Arial"/>
          <w:sz w:val="18"/>
          <w:szCs w:val="18"/>
        </w:rPr>
        <w:t>Državnoodvjetničkom</w:t>
      </w:r>
      <w:proofErr w:type="spellEnd"/>
      <w:r>
        <w:rPr>
          <w:rFonts w:ascii="Arial" w:hAnsi="Arial" w:cs="Arial"/>
          <w:sz w:val="18"/>
          <w:szCs w:val="18"/>
        </w:rPr>
        <w:t xml:space="preserve"> </w:t>
      </w:r>
      <w:proofErr w:type="spellStart"/>
      <w:r w:rsidRPr="00115F14">
        <w:rPr>
          <w:rFonts w:ascii="Arial" w:hAnsi="Arial" w:cs="Arial"/>
          <w:sz w:val="18"/>
          <w:szCs w:val="18"/>
        </w:rPr>
        <w:t>vijeću</w:t>
      </w:r>
      <w:proofErr w:type="spellEnd"/>
      <w:r w:rsidRPr="00115F14">
        <w:rPr>
          <w:rFonts w:ascii="Arial" w:hAnsi="Arial" w:cs="Arial"/>
          <w:sz w:val="18"/>
          <w:szCs w:val="18"/>
        </w:rPr>
        <w:t>, Narodne novine 67/2018.</w:t>
      </w:r>
    </w:p>
  </w:footnote>
  <w:footnote w:id="23">
    <w:p w:rsidR="00D934A7" w:rsidRPr="00FF1CDE" w:rsidRDefault="00D934A7" w:rsidP="00AE2155">
      <w:pPr>
        <w:pStyle w:val="Sprotnaopomba-besedilo"/>
        <w:spacing w:line="288" w:lineRule="auto"/>
        <w:rPr>
          <w:rFonts w:ascii="Arial" w:hAnsi="Arial" w:cs="Arial"/>
        </w:rPr>
      </w:pPr>
      <w:r w:rsidRPr="00115F14">
        <w:rPr>
          <w:rStyle w:val="Sprotnaopomba-sklic"/>
          <w:rFonts w:ascii="Arial" w:hAnsi="Arial" w:cs="Arial"/>
          <w:sz w:val="18"/>
          <w:szCs w:val="18"/>
        </w:rPr>
        <w:footnoteRef/>
      </w:r>
      <w:r w:rsidRPr="00115F14">
        <w:rPr>
          <w:rFonts w:ascii="Arial" w:hAnsi="Arial" w:cs="Arial"/>
          <w:sz w:val="18"/>
          <w:szCs w:val="18"/>
        </w:rPr>
        <w:t xml:space="preserve"> Zakon o </w:t>
      </w:r>
      <w:proofErr w:type="spellStart"/>
      <w:r w:rsidRPr="00115F14">
        <w:rPr>
          <w:rFonts w:ascii="Arial" w:hAnsi="Arial" w:cs="Arial"/>
          <w:sz w:val="18"/>
          <w:szCs w:val="18"/>
        </w:rPr>
        <w:t>državnomodvjetništvu</w:t>
      </w:r>
      <w:proofErr w:type="spellEnd"/>
      <w:r w:rsidRPr="00115F14">
        <w:rPr>
          <w:rFonts w:ascii="Arial" w:hAnsi="Arial" w:cs="Arial"/>
          <w:sz w:val="18"/>
          <w:szCs w:val="18"/>
        </w:rPr>
        <w:t>, Narodne novine 67/18.</w:t>
      </w:r>
    </w:p>
  </w:footnote>
  <w:footnote w:id="24">
    <w:p w:rsidR="00D934A7" w:rsidRPr="00C908C0" w:rsidRDefault="00D934A7" w:rsidP="00AE2155">
      <w:pPr>
        <w:pStyle w:val="Sprotnaopomba-besedilo"/>
      </w:pPr>
      <w:r>
        <w:rPr>
          <w:rStyle w:val="Sprotnaopomba-sklic"/>
        </w:rPr>
        <w:footnoteRef/>
      </w:r>
      <w:r>
        <w:t xml:space="preserve"> </w:t>
      </w:r>
      <w:r>
        <w:rPr>
          <w:rFonts w:ascii="Arial" w:hAnsi="Arial" w:cs="Arial"/>
          <w:sz w:val="18"/>
          <w:szCs w:val="18"/>
        </w:rPr>
        <w:t>https://e-justice.europa.eu.</w:t>
      </w:r>
    </w:p>
  </w:footnote>
  <w:footnote w:id="25">
    <w:p w:rsidR="00D934A7" w:rsidRPr="00115F14" w:rsidRDefault="00D934A7" w:rsidP="00AE2155">
      <w:pPr>
        <w:pStyle w:val="Sprotnaopomba-besedilo"/>
        <w:rPr>
          <w:rFonts w:ascii="Arial" w:hAnsi="Arial" w:cs="Arial"/>
          <w:sz w:val="18"/>
          <w:szCs w:val="18"/>
        </w:rPr>
      </w:pPr>
      <w:r w:rsidRPr="00115F14">
        <w:rPr>
          <w:rStyle w:val="Sprotnaopomba-sklic"/>
          <w:rFonts w:ascii="Arial" w:hAnsi="Arial" w:cs="Arial"/>
          <w:sz w:val="18"/>
          <w:szCs w:val="18"/>
        </w:rPr>
        <w:footnoteRef/>
      </w:r>
      <w:r w:rsidRPr="00115F14">
        <w:rPr>
          <w:rFonts w:ascii="Arial" w:hAnsi="Arial" w:cs="Arial"/>
          <w:sz w:val="18"/>
          <w:szCs w:val="18"/>
        </w:rPr>
        <w:t xml:space="preserve"> http://www.justiceservices.gov.mt/DownloadDocument.aspx?app=lom&amp;itemid=8634&amp;l=1</w:t>
      </w:r>
    </w:p>
  </w:footnote>
  <w:footnote w:id="26">
    <w:p w:rsidR="00D934A7" w:rsidRPr="00115F14" w:rsidRDefault="00D934A7" w:rsidP="00AE2155">
      <w:pPr>
        <w:pStyle w:val="Sprotnaopomba-besedilo"/>
        <w:rPr>
          <w:rFonts w:ascii="Arial" w:hAnsi="Arial" w:cs="Arial"/>
          <w:sz w:val="18"/>
          <w:szCs w:val="18"/>
        </w:rPr>
      </w:pPr>
      <w:r w:rsidRPr="00115F14">
        <w:rPr>
          <w:rStyle w:val="Sprotnaopomba-sklic"/>
          <w:rFonts w:ascii="Arial" w:hAnsi="Arial" w:cs="Arial"/>
          <w:sz w:val="18"/>
          <w:szCs w:val="18"/>
        </w:rPr>
        <w:footnoteRef/>
      </w:r>
      <w:r w:rsidRPr="00115F14">
        <w:rPr>
          <w:rFonts w:ascii="Arial" w:hAnsi="Arial" w:cs="Arial"/>
          <w:sz w:val="18"/>
          <w:szCs w:val="18"/>
        </w:rPr>
        <w:t xml:space="preserve"> http://www.nsz.cz/index.php/en/about/public-prosecution-system</w:t>
      </w:r>
    </w:p>
  </w:footnote>
  <w:footnote w:id="27">
    <w:p w:rsidR="00D934A7" w:rsidRPr="00115F14" w:rsidRDefault="00D934A7" w:rsidP="00AE2155">
      <w:pPr>
        <w:pStyle w:val="Sprotnaopomba-besedilo"/>
        <w:rPr>
          <w:rFonts w:ascii="Arial" w:hAnsi="Arial" w:cs="Arial"/>
          <w:sz w:val="18"/>
          <w:szCs w:val="18"/>
        </w:rPr>
      </w:pPr>
      <w:r w:rsidRPr="00115F14">
        <w:rPr>
          <w:rStyle w:val="Sprotnaopomba-sklic"/>
          <w:rFonts w:ascii="Arial" w:hAnsi="Arial" w:cs="Arial"/>
          <w:sz w:val="18"/>
          <w:szCs w:val="18"/>
        </w:rPr>
        <w:footnoteRef/>
      </w:r>
      <w:r w:rsidRPr="00115F14">
        <w:rPr>
          <w:rFonts w:ascii="Arial" w:hAnsi="Arial" w:cs="Arial"/>
          <w:sz w:val="18"/>
          <w:szCs w:val="18"/>
        </w:rPr>
        <w:t xml:space="preserve"> https://e-justice.europa.eu.</w:t>
      </w:r>
    </w:p>
  </w:footnote>
  <w:footnote w:id="28">
    <w:p w:rsidR="00D934A7" w:rsidRPr="00115F14" w:rsidRDefault="00D934A7" w:rsidP="00AE2155">
      <w:pPr>
        <w:pStyle w:val="Sprotnaopomba-besedilo"/>
        <w:spacing w:line="288" w:lineRule="auto"/>
        <w:rPr>
          <w:rFonts w:ascii="Arial" w:hAnsi="Arial" w:cs="Arial"/>
          <w:sz w:val="18"/>
          <w:szCs w:val="18"/>
        </w:rPr>
      </w:pPr>
      <w:r w:rsidRPr="00115F14">
        <w:rPr>
          <w:rStyle w:val="Sprotnaopomba-sklic"/>
          <w:rFonts w:ascii="Arial" w:hAnsi="Arial" w:cs="Arial"/>
          <w:sz w:val="18"/>
          <w:szCs w:val="18"/>
        </w:rPr>
        <w:footnoteRef/>
      </w:r>
      <w:r w:rsidRPr="00115F14">
        <w:rPr>
          <w:rFonts w:ascii="Arial" w:hAnsi="Arial" w:cs="Arial"/>
          <w:sz w:val="18"/>
          <w:szCs w:val="18"/>
        </w:rPr>
        <w:t xml:space="preserve"> Primerjalni pregled – Državna tožilstva, Raziskovalno-dokumentacijski sektor Državnega zbora, številka 14/2012.</w:t>
      </w:r>
    </w:p>
  </w:footnote>
  <w:footnote w:id="29">
    <w:p w:rsidR="00D934A7" w:rsidRPr="001D21AA" w:rsidRDefault="00D934A7" w:rsidP="00AE2155">
      <w:pPr>
        <w:pStyle w:val="Sprotnaopomba-besedilo"/>
        <w:rPr>
          <w:rFonts w:ascii="Arial" w:hAnsi="Arial" w:cs="Arial"/>
          <w:sz w:val="18"/>
          <w:szCs w:val="18"/>
        </w:rPr>
      </w:pPr>
      <w:r w:rsidRPr="001D21AA">
        <w:rPr>
          <w:rStyle w:val="Sprotnaopomba-sklic"/>
          <w:rFonts w:ascii="Arial" w:hAnsi="Arial" w:cs="Arial"/>
          <w:sz w:val="18"/>
          <w:szCs w:val="18"/>
        </w:rPr>
        <w:footnoteRef/>
      </w:r>
      <w:r w:rsidRPr="001D21AA">
        <w:rPr>
          <w:rFonts w:ascii="Arial" w:hAnsi="Arial" w:cs="Arial"/>
          <w:sz w:val="18"/>
          <w:szCs w:val="18"/>
        </w:rPr>
        <w:t xml:space="preserve"> </w:t>
      </w:r>
      <w:r w:rsidRPr="00DD7397">
        <w:rPr>
          <w:rFonts w:ascii="Arial" w:hAnsi="Arial" w:cs="Arial"/>
          <w:sz w:val="18"/>
          <w:szCs w:val="18"/>
        </w:rPr>
        <w:t>https://e-justice.europa.eu.</w:t>
      </w:r>
    </w:p>
  </w:footnote>
  <w:footnote w:id="30">
    <w:p w:rsidR="00D934A7" w:rsidRPr="001D21AA" w:rsidRDefault="00D934A7" w:rsidP="00AE2155">
      <w:pPr>
        <w:pStyle w:val="Sprotnaopomba-besedilo"/>
        <w:rPr>
          <w:rFonts w:ascii="Arial" w:hAnsi="Arial" w:cs="Arial"/>
          <w:sz w:val="18"/>
          <w:szCs w:val="18"/>
        </w:rPr>
      </w:pPr>
      <w:r w:rsidRPr="001D21AA">
        <w:rPr>
          <w:rStyle w:val="Sprotnaopomba-sklic"/>
          <w:rFonts w:ascii="Arial" w:hAnsi="Arial" w:cs="Arial"/>
          <w:sz w:val="18"/>
          <w:szCs w:val="18"/>
        </w:rPr>
        <w:footnoteRef/>
      </w:r>
      <w:r w:rsidRPr="001D21AA">
        <w:rPr>
          <w:rFonts w:ascii="Arial" w:hAnsi="Arial" w:cs="Arial"/>
          <w:sz w:val="18"/>
          <w:szCs w:val="18"/>
        </w:rPr>
        <w:t xml:space="preserve"> Mreža </w:t>
      </w:r>
      <w:proofErr w:type="spellStart"/>
      <w:r w:rsidRPr="001D21AA">
        <w:rPr>
          <w:rFonts w:ascii="Arial" w:hAnsi="Arial" w:cs="Arial"/>
          <w:sz w:val="18"/>
          <w:szCs w:val="18"/>
        </w:rPr>
        <w:t>Legicoop</w:t>
      </w:r>
      <w:proofErr w:type="spellEnd"/>
      <w:r w:rsidRPr="001D21AA">
        <w:rPr>
          <w:rFonts w:ascii="Arial" w:hAnsi="Arial" w:cs="Arial"/>
          <w:sz w:val="18"/>
          <w:szCs w:val="18"/>
        </w:rPr>
        <w:t>, pojasnilo latvijskega Ministrstva za pravosodje.</w:t>
      </w:r>
    </w:p>
  </w:footnote>
  <w:footnote w:id="31">
    <w:p w:rsidR="00D934A7" w:rsidRPr="001D21AA" w:rsidRDefault="00D934A7" w:rsidP="00613494">
      <w:pPr>
        <w:pStyle w:val="Sprotnaopomba-besedilo"/>
        <w:rPr>
          <w:rFonts w:ascii="Arial" w:hAnsi="Arial" w:cs="Arial"/>
          <w:sz w:val="18"/>
          <w:szCs w:val="18"/>
          <w:lang w:eastAsia="sl-SI"/>
        </w:rPr>
      </w:pPr>
      <w:r w:rsidRPr="001D21AA">
        <w:rPr>
          <w:rStyle w:val="Sprotnaopomba-sklic"/>
          <w:sz w:val="18"/>
          <w:szCs w:val="18"/>
        </w:rPr>
        <w:footnoteRef/>
      </w:r>
      <w:r w:rsidRPr="001D21AA">
        <w:rPr>
          <w:sz w:val="18"/>
          <w:szCs w:val="18"/>
        </w:rPr>
        <w:t xml:space="preserve"> </w:t>
      </w:r>
      <w:hyperlink r:id="rId28" w:history="1">
        <w:r w:rsidRPr="001D21AA">
          <w:rPr>
            <w:rFonts w:ascii="Arial" w:hAnsi="Arial" w:cs="Arial"/>
            <w:sz w:val="18"/>
            <w:szCs w:val="18"/>
            <w:lang w:eastAsia="sl-SI"/>
          </w:rPr>
          <w:t>https://www.dt-rs.si/files/documents/PP.pdf</w:t>
        </w:r>
      </w:hyperlink>
      <w:r w:rsidRPr="001D21AA">
        <w:rPr>
          <w:rFonts w:ascii="Arial" w:hAnsi="Arial" w:cs="Arial"/>
          <w:sz w:val="18"/>
          <w:szCs w:val="18"/>
          <w:lang w:eastAsia="sl-SI"/>
        </w:rPr>
        <w:t>.</w:t>
      </w:r>
    </w:p>
  </w:footnote>
  <w:footnote w:id="32">
    <w:p w:rsidR="00D934A7" w:rsidRPr="001D21AA" w:rsidRDefault="00D934A7" w:rsidP="00613494">
      <w:pPr>
        <w:pStyle w:val="Sprotnaopomba-besedilo"/>
        <w:rPr>
          <w:rFonts w:ascii="Arial" w:hAnsi="Arial" w:cs="Arial"/>
          <w:sz w:val="18"/>
          <w:szCs w:val="18"/>
          <w:lang w:eastAsia="sl-SI"/>
        </w:rPr>
      </w:pPr>
      <w:r w:rsidRPr="001D21AA">
        <w:rPr>
          <w:rStyle w:val="Sprotnaopomba-sklic"/>
          <w:sz w:val="18"/>
          <w:szCs w:val="18"/>
        </w:rPr>
        <w:footnoteRef/>
      </w:r>
      <w:r w:rsidRPr="001D21AA">
        <w:rPr>
          <w:sz w:val="18"/>
          <w:szCs w:val="18"/>
        </w:rPr>
        <w:t xml:space="preserve"> </w:t>
      </w:r>
      <w:r w:rsidR="001D21AA" w:rsidRPr="001D21AA">
        <w:rPr>
          <w:rFonts w:ascii="Arial" w:hAnsi="Arial" w:cs="Arial"/>
          <w:sz w:val="18"/>
          <w:szCs w:val="18"/>
          <w:lang w:eastAsia="sl-SI"/>
        </w:rPr>
        <w:t>https://www.dt-rs.si/novica/vrhovno-drzavno-tozilstvo-je-izdalo-skupno-letno-porocilo-za-leto-2019</w:t>
      </w:r>
      <w:r w:rsidR="001D21AA">
        <w:rPr>
          <w:rFonts w:ascii="Arial" w:hAnsi="Arial" w:cs="Arial"/>
          <w:sz w:val="18"/>
          <w:szCs w:val="18"/>
          <w:lang w:eastAsia="sl-SI"/>
        </w:rPr>
        <w:t>.</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934A7" w:rsidRPr="00110CBD" w:rsidRDefault="00D934A7" w:rsidP="007D75CF">
    <w:pPr>
      <w:pStyle w:val="Glava"/>
      <w:spacing w:line="240" w:lineRule="exact"/>
      <w:rPr>
        <w:rFonts w:ascii="Republika" w:hAnsi="Republika"/>
        <w:sz w:val="16"/>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934A7" w:rsidRDefault="00D934A7" w:rsidP="00F622D9">
    <w:pPr>
      <w:pStyle w:val="Glava"/>
      <w:tabs>
        <w:tab w:val="clear" w:pos="4320"/>
        <w:tab w:val="clear" w:pos="8640"/>
        <w:tab w:val="left" w:pos="546"/>
        <w:tab w:val="left" w:pos="5112"/>
      </w:tabs>
      <w:spacing w:line="240" w:lineRule="exact"/>
      <w:rPr>
        <w:rFonts w:cs="Arial"/>
        <w:sz w:val="16"/>
      </w:rPr>
    </w:pPr>
  </w:p>
  <w:p w:rsidR="00D934A7" w:rsidRDefault="00D934A7" w:rsidP="00F622D9">
    <w:pPr>
      <w:pStyle w:val="Glava"/>
      <w:tabs>
        <w:tab w:val="clear" w:pos="4320"/>
        <w:tab w:val="clear" w:pos="8640"/>
        <w:tab w:val="left" w:pos="546"/>
        <w:tab w:val="left" w:pos="5112"/>
      </w:tabs>
      <w:spacing w:line="240" w:lineRule="exact"/>
      <w:rPr>
        <w:rFonts w:cs="Arial"/>
        <w:sz w:val="16"/>
      </w:rPr>
    </w:pPr>
  </w:p>
  <w:p w:rsidR="00D934A7" w:rsidRDefault="00D934A7" w:rsidP="00F622D9">
    <w:pPr>
      <w:pStyle w:val="Glava"/>
      <w:tabs>
        <w:tab w:val="clear" w:pos="4320"/>
        <w:tab w:val="clear" w:pos="8640"/>
        <w:tab w:val="left" w:pos="546"/>
        <w:tab w:val="left" w:pos="5112"/>
      </w:tabs>
      <w:spacing w:line="240" w:lineRule="exact"/>
      <w:rPr>
        <w:rFonts w:cs="Arial"/>
        <w:sz w:val="16"/>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EE0249"/>
    <w:multiLevelType w:val="hybridMultilevel"/>
    <w:tmpl w:val="A4281936"/>
    <w:lvl w:ilvl="0" w:tplc="0F92C7BA">
      <w:start w:val="1"/>
      <w:numFmt w:val="bullet"/>
      <w:lvlText w:val="−"/>
      <w:lvlJc w:val="left"/>
      <w:pPr>
        <w:ind w:left="360" w:hanging="360"/>
      </w:pPr>
      <w:rPr>
        <w:rFonts w:ascii="Calibri" w:hAnsi="Calibri"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1" w15:restartNumberingAfterBreak="0">
    <w:nsid w:val="042D5E4E"/>
    <w:multiLevelType w:val="multilevel"/>
    <w:tmpl w:val="40508854"/>
    <w:lvl w:ilvl="0">
      <w:start w:val="1"/>
      <w:numFmt w:val="decimal"/>
      <w:lvlText w:val="%1"/>
      <w:lvlJc w:val="left"/>
      <w:pPr>
        <w:ind w:left="360" w:hanging="360"/>
      </w:pPr>
      <w:rPr>
        <w:rFonts w:eastAsia="Calibri" w:hint="default"/>
        <w:color w:val="auto"/>
      </w:rPr>
    </w:lvl>
    <w:lvl w:ilvl="1">
      <w:start w:val="1"/>
      <w:numFmt w:val="decimal"/>
      <w:lvlText w:val="%1.%2"/>
      <w:lvlJc w:val="left"/>
      <w:pPr>
        <w:ind w:left="2726" w:hanging="360"/>
      </w:pPr>
      <w:rPr>
        <w:rFonts w:eastAsia="Calibri" w:hint="default"/>
        <w:color w:val="auto"/>
      </w:rPr>
    </w:lvl>
    <w:lvl w:ilvl="2">
      <w:start w:val="1"/>
      <w:numFmt w:val="decimal"/>
      <w:lvlText w:val="%1.%2.%3"/>
      <w:lvlJc w:val="left"/>
      <w:pPr>
        <w:ind w:left="5452" w:hanging="720"/>
      </w:pPr>
      <w:rPr>
        <w:rFonts w:eastAsia="Calibri" w:hint="default"/>
        <w:color w:val="auto"/>
      </w:rPr>
    </w:lvl>
    <w:lvl w:ilvl="3">
      <w:start w:val="1"/>
      <w:numFmt w:val="decimal"/>
      <w:lvlText w:val="%1.%2.%3.%4"/>
      <w:lvlJc w:val="left"/>
      <w:pPr>
        <w:ind w:left="7818" w:hanging="720"/>
      </w:pPr>
      <w:rPr>
        <w:rFonts w:eastAsia="Calibri" w:hint="default"/>
        <w:color w:val="auto"/>
      </w:rPr>
    </w:lvl>
    <w:lvl w:ilvl="4">
      <w:start w:val="1"/>
      <w:numFmt w:val="decimal"/>
      <w:lvlText w:val="%1.%2.%3.%4.%5"/>
      <w:lvlJc w:val="left"/>
      <w:pPr>
        <w:ind w:left="10544" w:hanging="1080"/>
      </w:pPr>
      <w:rPr>
        <w:rFonts w:eastAsia="Calibri" w:hint="default"/>
        <w:color w:val="auto"/>
      </w:rPr>
    </w:lvl>
    <w:lvl w:ilvl="5">
      <w:start w:val="1"/>
      <w:numFmt w:val="decimal"/>
      <w:lvlText w:val="%1.%2.%3.%4.%5.%6"/>
      <w:lvlJc w:val="left"/>
      <w:pPr>
        <w:ind w:left="12910" w:hanging="1080"/>
      </w:pPr>
      <w:rPr>
        <w:rFonts w:eastAsia="Calibri" w:hint="default"/>
        <w:color w:val="auto"/>
      </w:rPr>
    </w:lvl>
    <w:lvl w:ilvl="6">
      <w:start w:val="1"/>
      <w:numFmt w:val="decimal"/>
      <w:lvlText w:val="%1.%2.%3.%4.%5.%6.%7"/>
      <w:lvlJc w:val="left"/>
      <w:pPr>
        <w:ind w:left="15636" w:hanging="1440"/>
      </w:pPr>
      <w:rPr>
        <w:rFonts w:eastAsia="Calibri" w:hint="default"/>
        <w:color w:val="auto"/>
      </w:rPr>
    </w:lvl>
    <w:lvl w:ilvl="7">
      <w:start w:val="1"/>
      <w:numFmt w:val="decimal"/>
      <w:lvlText w:val="%1.%2.%3.%4.%5.%6.%7.%8"/>
      <w:lvlJc w:val="left"/>
      <w:pPr>
        <w:ind w:left="18002" w:hanging="1440"/>
      </w:pPr>
      <w:rPr>
        <w:rFonts w:eastAsia="Calibri" w:hint="default"/>
        <w:color w:val="auto"/>
      </w:rPr>
    </w:lvl>
    <w:lvl w:ilvl="8">
      <w:start w:val="1"/>
      <w:numFmt w:val="decimal"/>
      <w:lvlText w:val="%1.%2.%3.%4.%5.%6.%7.%8.%9"/>
      <w:lvlJc w:val="left"/>
      <w:pPr>
        <w:ind w:left="20728" w:hanging="1800"/>
      </w:pPr>
      <w:rPr>
        <w:rFonts w:eastAsia="Calibri" w:hint="default"/>
        <w:color w:val="auto"/>
      </w:rPr>
    </w:lvl>
  </w:abstractNum>
  <w:abstractNum w:abstractNumId="2" w15:restartNumberingAfterBreak="0">
    <w:nsid w:val="05F66813"/>
    <w:multiLevelType w:val="hybridMultilevel"/>
    <w:tmpl w:val="C67ACB16"/>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05FA7C08"/>
    <w:multiLevelType w:val="hybridMultilevel"/>
    <w:tmpl w:val="3C44523C"/>
    <w:lvl w:ilvl="0" w:tplc="71CABCEE">
      <w:start w:val="1"/>
      <w:numFmt w:val="bullet"/>
      <w:lvlText w:val="-"/>
      <w:lvlJc w:val="left"/>
      <w:pPr>
        <w:ind w:left="720" w:hanging="3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074B7E36"/>
    <w:multiLevelType w:val="hybridMultilevel"/>
    <w:tmpl w:val="DAA0C418"/>
    <w:lvl w:ilvl="0" w:tplc="6C86D4B6">
      <w:start w:val="1"/>
      <w:numFmt w:val="decimal"/>
      <w:lvlText w:val="(%1)"/>
      <w:lvlJc w:val="left"/>
      <w:pPr>
        <w:ind w:left="750" w:hanging="39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0BD22CBE"/>
    <w:multiLevelType w:val="hybridMultilevel"/>
    <w:tmpl w:val="5254F518"/>
    <w:lvl w:ilvl="0" w:tplc="0F92C7BA">
      <w:start w:val="1"/>
      <w:numFmt w:val="bullet"/>
      <w:lvlText w:val="−"/>
      <w:lvlJc w:val="left"/>
      <w:pPr>
        <w:ind w:left="255" w:hanging="360"/>
      </w:pPr>
      <w:rPr>
        <w:rFonts w:ascii="Calibri" w:hAnsi="Calibri" w:hint="default"/>
        <w:color w:val="000000"/>
      </w:rPr>
    </w:lvl>
    <w:lvl w:ilvl="1" w:tplc="04240003" w:tentative="1">
      <w:start w:val="1"/>
      <w:numFmt w:val="bullet"/>
      <w:lvlText w:val="o"/>
      <w:lvlJc w:val="left"/>
      <w:pPr>
        <w:ind w:left="975" w:hanging="360"/>
      </w:pPr>
      <w:rPr>
        <w:rFonts w:ascii="Courier New" w:hAnsi="Courier New" w:cs="Courier New" w:hint="default"/>
      </w:rPr>
    </w:lvl>
    <w:lvl w:ilvl="2" w:tplc="04240005" w:tentative="1">
      <w:start w:val="1"/>
      <w:numFmt w:val="bullet"/>
      <w:lvlText w:val=""/>
      <w:lvlJc w:val="left"/>
      <w:pPr>
        <w:ind w:left="1695" w:hanging="360"/>
      </w:pPr>
      <w:rPr>
        <w:rFonts w:ascii="Wingdings" w:hAnsi="Wingdings" w:hint="default"/>
      </w:rPr>
    </w:lvl>
    <w:lvl w:ilvl="3" w:tplc="04240001" w:tentative="1">
      <w:start w:val="1"/>
      <w:numFmt w:val="bullet"/>
      <w:lvlText w:val=""/>
      <w:lvlJc w:val="left"/>
      <w:pPr>
        <w:ind w:left="2415" w:hanging="360"/>
      </w:pPr>
      <w:rPr>
        <w:rFonts w:ascii="Symbol" w:hAnsi="Symbol" w:hint="default"/>
      </w:rPr>
    </w:lvl>
    <w:lvl w:ilvl="4" w:tplc="04240003" w:tentative="1">
      <w:start w:val="1"/>
      <w:numFmt w:val="bullet"/>
      <w:lvlText w:val="o"/>
      <w:lvlJc w:val="left"/>
      <w:pPr>
        <w:ind w:left="3135" w:hanging="360"/>
      </w:pPr>
      <w:rPr>
        <w:rFonts w:ascii="Courier New" w:hAnsi="Courier New" w:cs="Courier New" w:hint="default"/>
      </w:rPr>
    </w:lvl>
    <w:lvl w:ilvl="5" w:tplc="04240005" w:tentative="1">
      <w:start w:val="1"/>
      <w:numFmt w:val="bullet"/>
      <w:lvlText w:val=""/>
      <w:lvlJc w:val="left"/>
      <w:pPr>
        <w:ind w:left="3855" w:hanging="360"/>
      </w:pPr>
      <w:rPr>
        <w:rFonts w:ascii="Wingdings" w:hAnsi="Wingdings" w:hint="default"/>
      </w:rPr>
    </w:lvl>
    <w:lvl w:ilvl="6" w:tplc="04240001" w:tentative="1">
      <w:start w:val="1"/>
      <w:numFmt w:val="bullet"/>
      <w:lvlText w:val=""/>
      <w:lvlJc w:val="left"/>
      <w:pPr>
        <w:ind w:left="4575" w:hanging="360"/>
      </w:pPr>
      <w:rPr>
        <w:rFonts w:ascii="Symbol" w:hAnsi="Symbol" w:hint="default"/>
      </w:rPr>
    </w:lvl>
    <w:lvl w:ilvl="7" w:tplc="04240003" w:tentative="1">
      <w:start w:val="1"/>
      <w:numFmt w:val="bullet"/>
      <w:lvlText w:val="o"/>
      <w:lvlJc w:val="left"/>
      <w:pPr>
        <w:ind w:left="5295" w:hanging="360"/>
      </w:pPr>
      <w:rPr>
        <w:rFonts w:ascii="Courier New" w:hAnsi="Courier New" w:cs="Courier New" w:hint="default"/>
      </w:rPr>
    </w:lvl>
    <w:lvl w:ilvl="8" w:tplc="04240005" w:tentative="1">
      <w:start w:val="1"/>
      <w:numFmt w:val="bullet"/>
      <w:lvlText w:val=""/>
      <w:lvlJc w:val="left"/>
      <w:pPr>
        <w:ind w:left="6015" w:hanging="360"/>
      </w:pPr>
      <w:rPr>
        <w:rFonts w:ascii="Wingdings" w:hAnsi="Wingdings" w:hint="default"/>
      </w:rPr>
    </w:lvl>
  </w:abstractNum>
  <w:abstractNum w:abstractNumId="6" w15:restartNumberingAfterBreak="0">
    <w:nsid w:val="0DC74E64"/>
    <w:multiLevelType w:val="multilevel"/>
    <w:tmpl w:val="3B84B2A6"/>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7" w15:restartNumberingAfterBreak="0">
    <w:nsid w:val="12532CCC"/>
    <w:multiLevelType w:val="hybridMultilevel"/>
    <w:tmpl w:val="67E07CBE"/>
    <w:lvl w:ilvl="0" w:tplc="0F92C7BA">
      <w:start w:val="1"/>
      <w:numFmt w:val="bullet"/>
      <w:lvlText w:val="−"/>
      <w:lvlJc w:val="left"/>
      <w:pPr>
        <w:ind w:left="360" w:hanging="360"/>
      </w:pPr>
      <w:rPr>
        <w:rFonts w:ascii="Calibri"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16D930F6"/>
    <w:multiLevelType w:val="hybridMultilevel"/>
    <w:tmpl w:val="275EC646"/>
    <w:lvl w:ilvl="0" w:tplc="71CABCEE">
      <w:start w:val="1"/>
      <w:numFmt w:val="bullet"/>
      <w:lvlText w:val="-"/>
      <w:lvlJc w:val="left"/>
      <w:pPr>
        <w:ind w:left="720" w:hanging="3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17071A61"/>
    <w:multiLevelType w:val="hybridMultilevel"/>
    <w:tmpl w:val="BD0640BE"/>
    <w:lvl w:ilvl="0" w:tplc="0F92C7BA">
      <w:start w:val="1"/>
      <w:numFmt w:val="bullet"/>
      <w:lvlText w:val="−"/>
      <w:lvlJc w:val="left"/>
      <w:pPr>
        <w:ind w:left="360" w:hanging="360"/>
      </w:pPr>
      <w:rPr>
        <w:rFonts w:ascii="Calibri" w:hAnsi="Calibri" w:hint="default"/>
      </w:rPr>
    </w:lvl>
    <w:lvl w:ilvl="1" w:tplc="497810F4">
      <w:numFmt w:val="bullet"/>
      <w:lvlText w:val="-"/>
      <w:lvlJc w:val="left"/>
      <w:pPr>
        <w:ind w:left="1080" w:hanging="360"/>
      </w:pPr>
      <w:rPr>
        <w:rFonts w:ascii="Arial;sans-serif" w:eastAsia="Times New Roman" w:hAnsi="Arial;sans-serif" w:cs="Times New Roman" w:hint="default"/>
        <w:color w:val="000000"/>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0" w15:restartNumberingAfterBreak="0">
    <w:nsid w:val="1A381F9B"/>
    <w:multiLevelType w:val="hybridMultilevel"/>
    <w:tmpl w:val="2A8A533E"/>
    <w:lvl w:ilvl="0" w:tplc="AECA1B6A">
      <w:numFmt w:val="bullet"/>
      <w:lvlText w:val="-"/>
      <w:lvlJc w:val="left"/>
      <w:pPr>
        <w:ind w:left="255" w:hanging="360"/>
      </w:pPr>
      <w:rPr>
        <w:rFonts w:ascii="Arial" w:eastAsia="Times New Roman" w:hAnsi="Arial" w:cs="Arial" w:hint="default"/>
        <w:color w:val="000000"/>
      </w:rPr>
    </w:lvl>
    <w:lvl w:ilvl="1" w:tplc="04240003" w:tentative="1">
      <w:start w:val="1"/>
      <w:numFmt w:val="bullet"/>
      <w:lvlText w:val="o"/>
      <w:lvlJc w:val="left"/>
      <w:pPr>
        <w:ind w:left="975" w:hanging="360"/>
      </w:pPr>
      <w:rPr>
        <w:rFonts w:ascii="Courier New" w:hAnsi="Courier New" w:cs="Courier New" w:hint="default"/>
      </w:rPr>
    </w:lvl>
    <w:lvl w:ilvl="2" w:tplc="04240005" w:tentative="1">
      <w:start w:val="1"/>
      <w:numFmt w:val="bullet"/>
      <w:lvlText w:val=""/>
      <w:lvlJc w:val="left"/>
      <w:pPr>
        <w:ind w:left="1695" w:hanging="360"/>
      </w:pPr>
      <w:rPr>
        <w:rFonts w:ascii="Wingdings" w:hAnsi="Wingdings" w:hint="default"/>
      </w:rPr>
    </w:lvl>
    <w:lvl w:ilvl="3" w:tplc="04240001" w:tentative="1">
      <w:start w:val="1"/>
      <w:numFmt w:val="bullet"/>
      <w:lvlText w:val=""/>
      <w:lvlJc w:val="left"/>
      <w:pPr>
        <w:ind w:left="2415" w:hanging="360"/>
      </w:pPr>
      <w:rPr>
        <w:rFonts w:ascii="Symbol" w:hAnsi="Symbol" w:hint="default"/>
      </w:rPr>
    </w:lvl>
    <w:lvl w:ilvl="4" w:tplc="04240003" w:tentative="1">
      <w:start w:val="1"/>
      <w:numFmt w:val="bullet"/>
      <w:lvlText w:val="o"/>
      <w:lvlJc w:val="left"/>
      <w:pPr>
        <w:ind w:left="3135" w:hanging="360"/>
      </w:pPr>
      <w:rPr>
        <w:rFonts w:ascii="Courier New" w:hAnsi="Courier New" w:cs="Courier New" w:hint="default"/>
      </w:rPr>
    </w:lvl>
    <w:lvl w:ilvl="5" w:tplc="04240005" w:tentative="1">
      <w:start w:val="1"/>
      <w:numFmt w:val="bullet"/>
      <w:lvlText w:val=""/>
      <w:lvlJc w:val="left"/>
      <w:pPr>
        <w:ind w:left="3855" w:hanging="360"/>
      </w:pPr>
      <w:rPr>
        <w:rFonts w:ascii="Wingdings" w:hAnsi="Wingdings" w:hint="default"/>
      </w:rPr>
    </w:lvl>
    <w:lvl w:ilvl="6" w:tplc="04240001" w:tentative="1">
      <w:start w:val="1"/>
      <w:numFmt w:val="bullet"/>
      <w:lvlText w:val=""/>
      <w:lvlJc w:val="left"/>
      <w:pPr>
        <w:ind w:left="4575" w:hanging="360"/>
      </w:pPr>
      <w:rPr>
        <w:rFonts w:ascii="Symbol" w:hAnsi="Symbol" w:hint="default"/>
      </w:rPr>
    </w:lvl>
    <w:lvl w:ilvl="7" w:tplc="04240003" w:tentative="1">
      <w:start w:val="1"/>
      <w:numFmt w:val="bullet"/>
      <w:lvlText w:val="o"/>
      <w:lvlJc w:val="left"/>
      <w:pPr>
        <w:ind w:left="5295" w:hanging="360"/>
      </w:pPr>
      <w:rPr>
        <w:rFonts w:ascii="Courier New" w:hAnsi="Courier New" w:cs="Courier New" w:hint="default"/>
      </w:rPr>
    </w:lvl>
    <w:lvl w:ilvl="8" w:tplc="04240005" w:tentative="1">
      <w:start w:val="1"/>
      <w:numFmt w:val="bullet"/>
      <w:lvlText w:val=""/>
      <w:lvlJc w:val="left"/>
      <w:pPr>
        <w:ind w:left="6015" w:hanging="360"/>
      </w:pPr>
      <w:rPr>
        <w:rFonts w:ascii="Wingdings" w:hAnsi="Wingdings" w:hint="default"/>
      </w:rPr>
    </w:lvl>
  </w:abstractNum>
  <w:abstractNum w:abstractNumId="11"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1EA31519"/>
    <w:multiLevelType w:val="hybridMultilevel"/>
    <w:tmpl w:val="3F423E64"/>
    <w:lvl w:ilvl="0" w:tplc="71CABCEE">
      <w:start w:val="1"/>
      <w:numFmt w:val="bullet"/>
      <w:lvlText w:val="-"/>
      <w:lvlJc w:val="left"/>
      <w:pPr>
        <w:ind w:left="1440" w:hanging="3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13" w15:restartNumberingAfterBreak="0">
    <w:nsid w:val="1F44298C"/>
    <w:multiLevelType w:val="hybridMultilevel"/>
    <w:tmpl w:val="31028D8A"/>
    <w:lvl w:ilvl="0" w:tplc="71CABCEE">
      <w:start w:val="1"/>
      <w:numFmt w:val="bullet"/>
      <w:lvlText w:val="-"/>
      <w:lvlJc w:val="left"/>
      <w:pPr>
        <w:ind w:left="720" w:hanging="3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5" w15:restartNumberingAfterBreak="0">
    <w:nsid w:val="2B760F13"/>
    <w:multiLevelType w:val="multilevel"/>
    <w:tmpl w:val="1E9A4EC2"/>
    <w:lvl w:ilvl="0">
      <w:start w:val="1"/>
      <w:numFmt w:val="decimal"/>
      <w:lvlText w:val="%1."/>
      <w:lvlJc w:val="left"/>
      <w:pPr>
        <w:ind w:left="360" w:hanging="360"/>
      </w:pPr>
      <w:rPr>
        <w:rFonts w:eastAsia="Calibri" w:hint="default"/>
        <w:color w:val="auto"/>
      </w:rPr>
    </w:lvl>
    <w:lvl w:ilvl="1">
      <w:start w:val="1"/>
      <w:numFmt w:val="decimal"/>
      <w:lvlText w:val="%1.%2."/>
      <w:lvlJc w:val="left"/>
      <w:pPr>
        <w:ind w:left="360" w:hanging="360"/>
      </w:pPr>
      <w:rPr>
        <w:rFonts w:eastAsia="Calibri" w:hint="default"/>
        <w:color w:val="auto"/>
      </w:rPr>
    </w:lvl>
    <w:lvl w:ilvl="2">
      <w:start w:val="1"/>
      <w:numFmt w:val="decimal"/>
      <w:lvlText w:val="%1.%2.%3."/>
      <w:lvlJc w:val="left"/>
      <w:pPr>
        <w:ind w:left="720" w:hanging="720"/>
      </w:pPr>
      <w:rPr>
        <w:rFonts w:eastAsia="Calibri" w:hint="default"/>
        <w:color w:val="auto"/>
      </w:rPr>
    </w:lvl>
    <w:lvl w:ilvl="3">
      <w:start w:val="1"/>
      <w:numFmt w:val="decimal"/>
      <w:lvlText w:val="%1.%2.%3.%4."/>
      <w:lvlJc w:val="left"/>
      <w:pPr>
        <w:ind w:left="720" w:hanging="720"/>
      </w:pPr>
      <w:rPr>
        <w:rFonts w:eastAsia="Calibri" w:hint="default"/>
        <w:color w:val="auto"/>
      </w:rPr>
    </w:lvl>
    <w:lvl w:ilvl="4">
      <w:start w:val="1"/>
      <w:numFmt w:val="decimal"/>
      <w:lvlText w:val="%1.%2.%3.%4.%5."/>
      <w:lvlJc w:val="left"/>
      <w:pPr>
        <w:ind w:left="1080" w:hanging="1080"/>
      </w:pPr>
      <w:rPr>
        <w:rFonts w:eastAsia="Calibri" w:hint="default"/>
        <w:color w:val="auto"/>
      </w:rPr>
    </w:lvl>
    <w:lvl w:ilvl="5">
      <w:start w:val="1"/>
      <w:numFmt w:val="decimal"/>
      <w:lvlText w:val="%1.%2.%3.%4.%5.%6."/>
      <w:lvlJc w:val="left"/>
      <w:pPr>
        <w:ind w:left="1080" w:hanging="1080"/>
      </w:pPr>
      <w:rPr>
        <w:rFonts w:eastAsia="Calibri" w:hint="default"/>
        <w:color w:val="auto"/>
      </w:rPr>
    </w:lvl>
    <w:lvl w:ilvl="6">
      <w:start w:val="1"/>
      <w:numFmt w:val="decimal"/>
      <w:lvlText w:val="%1.%2.%3.%4.%5.%6.%7."/>
      <w:lvlJc w:val="left"/>
      <w:pPr>
        <w:ind w:left="1440" w:hanging="1440"/>
      </w:pPr>
      <w:rPr>
        <w:rFonts w:eastAsia="Calibri" w:hint="default"/>
        <w:color w:val="auto"/>
      </w:rPr>
    </w:lvl>
    <w:lvl w:ilvl="7">
      <w:start w:val="1"/>
      <w:numFmt w:val="decimal"/>
      <w:lvlText w:val="%1.%2.%3.%4.%5.%6.%7.%8."/>
      <w:lvlJc w:val="left"/>
      <w:pPr>
        <w:ind w:left="1440" w:hanging="1440"/>
      </w:pPr>
      <w:rPr>
        <w:rFonts w:eastAsia="Calibri" w:hint="default"/>
        <w:color w:val="auto"/>
      </w:rPr>
    </w:lvl>
    <w:lvl w:ilvl="8">
      <w:start w:val="1"/>
      <w:numFmt w:val="decimal"/>
      <w:lvlText w:val="%1.%2.%3.%4.%5.%6.%7.%8.%9."/>
      <w:lvlJc w:val="left"/>
      <w:pPr>
        <w:ind w:left="1800" w:hanging="1800"/>
      </w:pPr>
      <w:rPr>
        <w:rFonts w:eastAsia="Calibri" w:hint="default"/>
        <w:color w:val="auto"/>
      </w:rPr>
    </w:lvl>
  </w:abstractNum>
  <w:abstractNum w:abstractNumId="16" w15:restartNumberingAfterBreak="0">
    <w:nsid w:val="2BAB0834"/>
    <w:multiLevelType w:val="hybridMultilevel"/>
    <w:tmpl w:val="C49E563A"/>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15:restartNumberingAfterBreak="0">
    <w:nsid w:val="2C6F54C7"/>
    <w:multiLevelType w:val="hybridMultilevel"/>
    <w:tmpl w:val="4F4A192C"/>
    <w:lvl w:ilvl="0" w:tplc="71CABCEE">
      <w:start w:val="1"/>
      <w:numFmt w:val="bullet"/>
      <w:lvlText w:val="-"/>
      <w:lvlJc w:val="left"/>
      <w:pPr>
        <w:ind w:left="720" w:hanging="3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15:restartNumberingAfterBreak="0">
    <w:nsid w:val="33F75A85"/>
    <w:multiLevelType w:val="hybridMultilevel"/>
    <w:tmpl w:val="5DB8F78A"/>
    <w:lvl w:ilvl="0" w:tplc="B67E8B2E">
      <w:numFmt w:val="bullet"/>
      <w:lvlText w:val="–"/>
      <w:lvlJc w:val="left"/>
      <w:pPr>
        <w:ind w:left="720" w:hanging="360"/>
      </w:pPr>
      <w:rPr>
        <w:rFonts w:ascii="Arial" w:eastAsia="Times New Roman" w:hAnsi="Arial" w:cs="Arial" w:hint="default"/>
      </w:rPr>
    </w:lvl>
    <w:lvl w:ilvl="1" w:tplc="FB28D302">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15:restartNumberingAfterBreak="0">
    <w:nsid w:val="3437661D"/>
    <w:multiLevelType w:val="hybridMultilevel"/>
    <w:tmpl w:val="0BBA5D66"/>
    <w:lvl w:ilvl="0" w:tplc="0424000F">
      <w:start w:val="1"/>
      <w:numFmt w:val="decimal"/>
      <w:pStyle w:val="Alineazaodstavkom"/>
      <w:lvlText w:val="%1."/>
      <w:lvlJc w:val="left"/>
      <w:pPr>
        <w:tabs>
          <w:tab w:val="num" w:pos="720"/>
        </w:tabs>
        <w:ind w:left="720" w:hanging="360"/>
      </w:pPr>
    </w:lvl>
    <w:lvl w:ilvl="1" w:tplc="04240019">
      <w:start w:val="1"/>
      <w:numFmt w:val="decimal"/>
      <w:lvlText w:val="%2."/>
      <w:lvlJc w:val="left"/>
      <w:pPr>
        <w:tabs>
          <w:tab w:val="num" w:pos="1440"/>
        </w:tabs>
        <w:ind w:left="1440" w:hanging="360"/>
      </w:pPr>
    </w:lvl>
    <w:lvl w:ilvl="2" w:tplc="0424001B">
      <w:start w:val="1"/>
      <w:numFmt w:val="decimal"/>
      <w:lvlText w:val="%3."/>
      <w:lvlJc w:val="left"/>
      <w:pPr>
        <w:tabs>
          <w:tab w:val="num" w:pos="2160"/>
        </w:tabs>
        <w:ind w:left="2160" w:hanging="360"/>
      </w:pPr>
    </w:lvl>
    <w:lvl w:ilvl="3" w:tplc="0424000F">
      <w:start w:val="1"/>
      <w:numFmt w:val="decimal"/>
      <w:lvlText w:val="%4."/>
      <w:lvlJc w:val="left"/>
      <w:pPr>
        <w:tabs>
          <w:tab w:val="num" w:pos="2880"/>
        </w:tabs>
        <w:ind w:left="2880" w:hanging="360"/>
      </w:pPr>
    </w:lvl>
    <w:lvl w:ilvl="4" w:tplc="04240019">
      <w:start w:val="1"/>
      <w:numFmt w:val="decimal"/>
      <w:lvlText w:val="%5."/>
      <w:lvlJc w:val="left"/>
      <w:pPr>
        <w:tabs>
          <w:tab w:val="num" w:pos="3600"/>
        </w:tabs>
        <w:ind w:left="3600" w:hanging="360"/>
      </w:pPr>
    </w:lvl>
    <w:lvl w:ilvl="5" w:tplc="0424001B">
      <w:start w:val="1"/>
      <w:numFmt w:val="decimal"/>
      <w:lvlText w:val="%6."/>
      <w:lvlJc w:val="left"/>
      <w:pPr>
        <w:tabs>
          <w:tab w:val="num" w:pos="4320"/>
        </w:tabs>
        <w:ind w:left="4320" w:hanging="360"/>
      </w:pPr>
    </w:lvl>
    <w:lvl w:ilvl="6" w:tplc="0424000F">
      <w:start w:val="1"/>
      <w:numFmt w:val="decimal"/>
      <w:lvlText w:val="%7."/>
      <w:lvlJc w:val="left"/>
      <w:pPr>
        <w:tabs>
          <w:tab w:val="num" w:pos="5040"/>
        </w:tabs>
        <w:ind w:left="5040" w:hanging="360"/>
      </w:pPr>
    </w:lvl>
    <w:lvl w:ilvl="7" w:tplc="04240019">
      <w:start w:val="1"/>
      <w:numFmt w:val="decimal"/>
      <w:lvlText w:val="%8."/>
      <w:lvlJc w:val="left"/>
      <w:pPr>
        <w:tabs>
          <w:tab w:val="num" w:pos="5760"/>
        </w:tabs>
        <w:ind w:left="5760" w:hanging="360"/>
      </w:pPr>
    </w:lvl>
    <w:lvl w:ilvl="8" w:tplc="0424001B">
      <w:start w:val="1"/>
      <w:numFmt w:val="decimal"/>
      <w:lvlText w:val="%9."/>
      <w:lvlJc w:val="left"/>
      <w:pPr>
        <w:tabs>
          <w:tab w:val="num" w:pos="6480"/>
        </w:tabs>
        <w:ind w:left="6480" w:hanging="360"/>
      </w:pPr>
    </w:lvl>
  </w:abstractNum>
  <w:abstractNum w:abstractNumId="20" w15:restartNumberingAfterBreak="0">
    <w:nsid w:val="343F118D"/>
    <w:multiLevelType w:val="hybridMultilevel"/>
    <w:tmpl w:val="13A4C0B2"/>
    <w:lvl w:ilvl="0" w:tplc="71CABCEE">
      <w:start w:val="1"/>
      <w:numFmt w:val="bullet"/>
      <w:lvlText w:val="-"/>
      <w:lvlJc w:val="left"/>
      <w:pPr>
        <w:ind w:left="720" w:hanging="3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15:restartNumberingAfterBreak="0">
    <w:nsid w:val="34CA68F5"/>
    <w:multiLevelType w:val="hybridMultilevel"/>
    <w:tmpl w:val="10D4FE2A"/>
    <w:lvl w:ilvl="0" w:tplc="0F92C7BA">
      <w:start w:val="1"/>
      <w:numFmt w:val="bullet"/>
      <w:lvlText w:val="−"/>
      <w:lvlJc w:val="left"/>
      <w:pPr>
        <w:ind w:left="360" w:hanging="360"/>
      </w:pPr>
      <w:rPr>
        <w:rFonts w:ascii="Calibri" w:hAnsi="Calibri"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22" w15:restartNumberingAfterBreak="0">
    <w:nsid w:val="354A144A"/>
    <w:multiLevelType w:val="hybridMultilevel"/>
    <w:tmpl w:val="F962BD42"/>
    <w:lvl w:ilvl="0" w:tplc="1EE22AAA">
      <w:numFmt w:val="bullet"/>
      <w:lvlText w:val="–"/>
      <w:lvlJc w:val="left"/>
      <w:pPr>
        <w:ind w:left="360" w:hanging="360"/>
      </w:pPr>
      <w:rPr>
        <w:rFonts w:ascii="Times New Roman" w:eastAsia="Times New Roman" w:hAnsi="Times New Roman"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3"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24" w15:restartNumberingAfterBreak="0">
    <w:nsid w:val="388F09AA"/>
    <w:multiLevelType w:val="hybridMultilevel"/>
    <w:tmpl w:val="F05483B2"/>
    <w:lvl w:ilvl="0" w:tplc="0F92C7BA">
      <w:start w:val="1"/>
      <w:numFmt w:val="bullet"/>
      <w:lvlText w:val="−"/>
      <w:lvlJc w:val="left"/>
      <w:pPr>
        <w:ind w:left="720" w:hanging="360"/>
      </w:pPr>
      <w:rPr>
        <w:rFonts w:ascii="Calibri"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15:restartNumberingAfterBreak="0">
    <w:nsid w:val="39745F03"/>
    <w:multiLevelType w:val="hybridMultilevel"/>
    <w:tmpl w:val="EB62CE50"/>
    <w:lvl w:ilvl="0" w:tplc="85E2B9C4">
      <w:start w:val="1"/>
      <w:numFmt w:val="lowerLetter"/>
      <w:pStyle w:val="rkovnatokazaodstavkom"/>
      <w:lvlText w:val="%1)"/>
      <w:lvlJc w:val="left"/>
      <w:pPr>
        <w:ind w:left="360" w:hanging="360"/>
      </w:pPr>
      <w:rPr>
        <w:rFonts w:hint="default"/>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6" w15:restartNumberingAfterBreak="0">
    <w:nsid w:val="3F2A7CBF"/>
    <w:multiLevelType w:val="hybridMultilevel"/>
    <w:tmpl w:val="AD923722"/>
    <w:lvl w:ilvl="0" w:tplc="0F92C7BA">
      <w:start w:val="1"/>
      <w:numFmt w:val="bullet"/>
      <w:lvlText w:val="−"/>
      <w:lvlJc w:val="left"/>
      <w:pPr>
        <w:ind w:left="360" w:hanging="360"/>
      </w:pPr>
      <w:rPr>
        <w:rFonts w:ascii="Calibri" w:hAnsi="Calibri"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7" w15:restartNumberingAfterBreak="0">
    <w:nsid w:val="3FAE47DC"/>
    <w:multiLevelType w:val="hybridMultilevel"/>
    <w:tmpl w:val="50B8FE0A"/>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8" w15:restartNumberingAfterBreak="0">
    <w:nsid w:val="3FFD124E"/>
    <w:multiLevelType w:val="hybridMultilevel"/>
    <w:tmpl w:val="FE0EF140"/>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0" w15:restartNumberingAfterBreak="0">
    <w:nsid w:val="44122572"/>
    <w:multiLevelType w:val="hybridMultilevel"/>
    <w:tmpl w:val="FC68C60A"/>
    <w:lvl w:ilvl="0" w:tplc="F4AE5908">
      <w:start w:val="1"/>
      <w:numFmt w:val="lowerLetter"/>
      <w:lvlText w:val="%1)"/>
      <w:lvlJc w:val="left"/>
      <w:pPr>
        <w:ind w:left="218" w:hanging="360"/>
      </w:pPr>
      <w:rPr>
        <w:rFonts w:hint="default"/>
      </w:rPr>
    </w:lvl>
    <w:lvl w:ilvl="1" w:tplc="04240019" w:tentative="1">
      <w:start w:val="1"/>
      <w:numFmt w:val="lowerLetter"/>
      <w:lvlText w:val="%2."/>
      <w:lvlJc w:val="left"/>
      <w:pPr>
        <w:ind w:left="938" w:hanging="360"/>
      </w:pPr>
    </w:lvl>
    <w:lvl w:ilvl="2" w:tplc="0424001B" w:tentative="1">
      <w:start w:val="1"/>
      <w:numFmt w:val="lowerRoman"/>
      <w:lvlText w:val="%3."/>
      <w:lvlJc w:val="right"/>
      <w:pPr>
        <w:ind w:left="1658" w:hanging="180"/>
      </w:pPr>
    </w:lvl>
    <w:lvl w:ilvl="3" w:tplc="0424000F" w:tentative="1">
      <w:start w:val="1"/>
      <w:numFmt w:val="decimal"/>
      <w:lvlText w:val="%4."/>
      <w:lvlJc w:val="left"/>
      <w:pPr>
        <w:ind w:left="2378" w:hanging="360"/>
      </w:pPr>
    </w:lvl>
    <w:lvl w:ilvl="4" w:tplc="04240019" w:tentative="1">
      <w:start w:val="1"/>
      <w:numFmt w:val="lowerLetter"/>
      <w:lvlText w:val="%5."/>
      <w:lvlJc w:val="left"/>
      <w:pPr>
        <w:ind w:left="3098" w:hanging="360"/>
      </w:pPr>
    </w:lvl>
    <w:lvl w:ilvl="5" w:tplc="0424001B" w:tentative="1">
      <w:start w:val="1"/>
      <w:numFmt w:val="lowerRoman"/>
      <w:lvlText w:val="%6."/>
      <w:lvlJc w:val="right"/>
      <w:pPr>
        <w:ind w:left="3818" w:hanging="180"/>
      </w:pPr>
    </w:lvl>
    <w:lvl w:ilvl="6" w:tplc="0424000F" w:tentative="1">
      <w:start w:val="1"/>
      <w:numFmt w:val="decimal"/>
      <w:lvlText w:val="%7."/>
      <w:lvlJc w:val="left"/>
      <w:pPr>
        <w:ind w:left="4538" w:hanging="360"/>
      </w:pPr>
    </w:lvl>
    <w:lvl w:ilvl="7" w:tplc="04240019" w:tentative="1">
      <w:start w:val="1"/>
      <w:numFmt w:val="lowerLetter"/>
      <w:lvlText w:val="%8."/>
      <w:lvlJc w:val="left"/>
      <w:pPr>
        <w:ind w:left="5258" w:hanging="360"/>
      </w:pPr>
    </w:lvl>
    <w:lvl w:ilvl="8" w:tplc="0424001B" w:tentative="1">
      <w:start w:val="1"/>
      <w:numFmt w:val="lowerRoman"/>
      <w:lvlText w:val="%9."/>
      <w:lvlJc w:val="right"/>
      <w:pPr>
        <w:ind w:left="5978" w:hanging="180"/>
      </w:pPr>
    </w:lvl>
  </w:abstractNum>
  <w:abstractNum w:abstractNumId="31" w15:restartNumberingAfterBreak="0">
    <w:nsid w:val="4656200E"/>
    <w:multiLevelType w:val="multilevel"/>
    <w:tmpl w:val="93DA8AB4"/>
    <w:lvl w:ilvl="0">
      <w:start w:val="2"/>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2" w15:restartNumberingAfterBreak="0">
    <w:nsid w:val="46881B5E"/>
    <w:multiLevelType w:val="hybridMultilevel"/>
    <w:tmpl w:val="586A6C52"/>
    <w:lvl w:ilvl="0" w:tplc="AECA1B6A">
      <w:numFmt w:val="bullet"/>
      <w:lvlText w:val="-"/>
      <w:lvlJc w:val="left"/>
      <w:pPr>
        <w:ind w:left="255" w:hanging="360"/>
      </w:pPr>
      <w:rPr>
        <w:rFonts w:ascii="Arial" w:eastAsia="Times New Roman" w:hAnsi="Arial" w:cs="Arial" w:hint="default"/>
        <w:color w:val="00000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3" w15:restartNumberingAfterBreak="0">
    <w:nsid w:val="56890D37"/>
    <w:multiLevelType w:val="multilevel"/>
    <w:tmpl w:val="0424001F"/>
    <w:styleLink w:val="111111"/>
    <w:lvl w:ilvl="0">
      <w:start w:val="1"/>
      <w:numFmt w:val="decimal"/>
      <w:lvlText w:val="%1."/>
      <w:lvlJc w:val="left"/>
      <w:pPr>
        <w:tabs>
          <w:tab w:val="num" w:pos="720"/>
        </w:tabs>
        <w:ind w:left="360" w:hanging="360"/>
      </w:pPr>
    </w:lvl>
    <w:lvl w:ilvl="1">
      <w:start w:val="1"/>
      <w:numFmt w:val="decimal"/>
      <w:lvlText w:val="%1.%2."/>
      <w:lvlJc w:val="left"/>
      <w:pPr>
        <w:tabs>
          <w:tab w:val="num" w:pos="1440"/>
        </w:tabs>
        <w:ind w:left="792" w:hanging="432"/>
      </w:pPr>
    </w:lvl>
    <w:lvl w:ilvl="2">
      <w:start w:val="1"/>
      <w:numFmt w:val="decimal"/>
      <w:lvlText w:val="%1.%2.%3."/>
      <w:lvlJc w:val="left"/>
      <w:pPr>
        <w:tabs>
          <w:tab w:val="num" w:pos="2160"/>
        </w:tabs>
        <w:ind w:left="1224" w:hanging="504"/>
      </w:pPr>
    </w:lvl>
    <w:lvl w:ilvl="3">
      <w:start w:val="1"/>
      <w:numFmt w:val="decimal"/>
      <w:lvlText w:val="%1.%2.%3.%4."/>
      <w:lvlJc w:val="left"/>
      <w:pPr>
        <w:tabs>
          <w:tab w:val="num" w:pos="2880"/>
        </w:tabs>
        <w:ind w:left="1728" w:hanging="648"/>
      </w:pPr>
    </w:lvl>
    <w:lvl w:ilvl="4">
      <w:start w:val="1"/>
      <w:numFmt w:val="decimal"/>
      <w:lvlText w:val="%1.%2.%3.%4.%5."/>
      <w:lvlJc w:val="left"/>
      <w:pPr>
        <w:tabs>
          <w:tab w:val="num" w:pos="3600"/>
        </w:tabs>
        <w:ind w:left="2232" w:hanging="792"/>
      </w:pPr>
    </w:lvl>
    <w:lvl w:ilvl="5">
      <w:start w:val="1"/>
      <w:numFmt w:val="decimal"/>
      <w:lvlText w:val="%1.%2.%3.%4.%5.%6."/>
      <w:lvlJc w:val="left"/>
      <w:pPr>
        <w:tabs>
          <w:tab w:val="num" w:pos="4320"/>
        </w:tabs>
        <w:ind w:left="2736" w:hanging="936"/>
      </w:pPr>
    </w:lvl>
    <w:lvl w:ilvl="6">
      <w:start w:val="1"/>
      <w:numFmt w:val="decimal"/>
      <w:lvlText w:val="%1.%2.%3.%4.%5.%6.%7."/>
      <w:lvlJc w:val="left"/>
      <w:pPr>
        <w:tabs>
          <w:tab w:val="num" w:pos="5040"/>
        </w:tabs>
        <w:ind w:left="3240" w:hanging="1080"/>
      </w:pPr>
    </w:lvl>
    <w:lvl w:ilvl="7">
      <w:start w:val="1"/>
      <w:numFmt w:val="decimal"/>
      <w:lvlText w:val="%1.%2.%3.%4.%5.%6.%7.%8."/>
      <w:lvlJc w:val="left"/>
      <w:pPr>
        <w:tabs>
          <w:tab w:val="num" w:pos="6120"/>
        </w:tabs>
        <w:ind w:left="3744" w:hanging="1224"/>
      </w:pPr>
    </w:lvl>
    <w:lvl w:ilvl="8">
      <w:start w:val="1"/>
      <w:numFmt w:val="decimal"/>
      <w:lvlText w:val="%1.%2.%3.%4.%5.%6.%7.%8.%9."/>
      <w:lvlJc w:val="left"/>
      <w:pPr>
        <w:tabs>
          <w:tab w:val="num" w:pos="6840"/>
        </w:tabs>
        <w:ind w:left="4320" w:hanging="1440"/>
      </w:pPr>
    </w:lvl>
  </w:abstractNum>
  <w:abstractNum w:abstractNumId="34" w15:restartNumberingAfterBreak="0">
    <w:nsid w:val="5A872997"/>
    <w:multiLevelType w:val="hybridMultilevel"/>
    <w:tmpl w:val="6D4C729A"/>
    <w:lvl w:ilvl="0" w:tplc="F1BC82DA">
      <w:start w:val="1"/>
      <w:numFmt w:val="decimal"/>
      <w:lvlText w:val="%1."/>
      <w:lvlJc w:val="left"/>
      <w:pPr>
        <w:ind w:left="540" w:hanging="54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5"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6" w15:restartNumberingAfterBreak="0">
    <w:nsid w:val="5CED491D"/>
    <w:multiLevelType w:val="multilevel"/>
    <w:tmpl w:val="A5F8906C"/>
    <w:lvl w:ilvl="0">
      <w:start w:val="1"/>
      <w:numFmt w:val="upperRoman"/>
      <w:lvlText w:val="%1."/>
      <w:lvlJc w:val="left"/>
      <w:pPr>
        <w:ind w:left="3086" w:hanging="720"/>
      </w:pPr>
      <w:rPr>
        <w:rFonts w:hint="default"/>
      </w:rPr>
    </w:lvl>
    <w:lvl w:ilvl="1">
      <w:start w:val="1"/>
      <w:numFmt w:val="decimal"/>
      <w:isLgl/>
      <w:lvlText w:val="%1.%2."/>
      <w:lvlJc w:val="left"/>
      <w:pPr>
        <w:ind w:left="2786" w:hanging="420"/>
      </w:pPr>
      <w:rPr>
        <w:rFonts w:hint="default"/>
      </w:rPr>
    </w:lvl>
    <w:lvl w:ilvl="2">
      <w:start w:val="1"/>
      <w:numFmt w:val="decimal"/>
      <w:isLgl/>
      <w:lvlText w:val="%1.%2.%3."/>
      <w:lvlJc w:val="left"/>
      <w:pPr>
        <w:ind w:left="3086" w:hanging="720"/>
      </w:pPr>
      <w:rPr>
        <w:rFonts w:hint="default"/>
      </w:rPr>
    </w:lvl>
    <w:lvl w:ilvl="3">
      <w:start w:val="1"/>
      <w:numFmt w:val="decimal"/>
      <w:isLgl/>
      <w:lvlText w:val="%1.%2.%3.%4."/>
      <w:lvlJc w:val="left"/>
      <w:pPr>
        <w:ind w:left="3086" w:hanging="720"/>
      </w:pPr>
      <w:rPr>
        <w:rFonts w:hint="default"/>
      </w:rPr>
    </w:lvl>
    <w:lvl w:ilvl="4">
      <w:start w:val="1"/>
      <w:numFmt w:val="decimal"/>
      <w:isLgl/>
      <w:lvlText w:val="%1.%2.%3.%4.%5."/>
      <w:lvlJc w:val="left"/>
      <w:pPr>
        <w:ind w:left="3446" w:hanging="1080"/>
      </w:pPr>
      <w:rPr>
        <w:rFonts w:hint="default"/>
      </w:rPr>
    </w:lvl>
    <w:lvl w:ilvl="5">
      <w:start w:val="1"/>
      <w:numFmt w:val="decimal"/>
      <w:isLgl/>
      <w:lvlText w:val="%1.%2.%3.%4.%5.%6."/>
      <w:lvlJc w:val="left"/>
      <w:pPr>
        <w:ind w:left="3446" w:hanging="1080"/>
      </w:pPr>
      <w:rPr>
        <w:rFonts w:hint="default"/>
      </w:rPr>
    </w:lvl>
    <w:lvl w:ilvl="6">
      <w:start w:val="1"/>
      <w:numFmt w:val="decimal"/>
      <w:isLgl/>
      <w:lvlText w:val="%1.%2.%3.%4.%5.%6.%7."/>
      <w:lvlJc w:val="left"/>
      <w:pPr>
        <w:ind w:left="3806" w:hanging="1440"/>
      </w:pPr>
      <w:rPr>
        <w:rFonts w:hint="default"/>
      </w:rPr>
    </w:lvl>
    <w:lvl w:ilvl="7">
      <w:start w:val="1"/>
      <w:numFmt w:val="decimal"/>
      <w:isLgl/>
      <w:lvlText w:val="%1.%2.%3.%4.%5.%6.%7.%8."/>
      <w:lvlJc w:val="left"/>
      <w:pPr>
        <w:ind w:left="3806" w:hanging="1440"/>
      </w:pPr>
      <w:rPr>
        <w:rFonts w:hint="default"/>
      </w:rPr>
    </w:lvl>
    <w:lvl w:ilvl="8">
      <w:start w:val="1"/>
      <w:numFmt w:val="decimal"/>
      <w:isLgl/>
      <w:lvlText w:val="%1.%2.%3.%4.%5.%6.%7.%8.%9."/>
      <w:lvlJc w:val="left"/>
      <w:pPr>
        <w:ind w:left="4166" w:hanging="1800"/>
      </w:pPr>
      <w:rPr>
        <w:rFonts w:hint="default"/>
      </w:rPr>
    </w:lvl>
  </w:abstractNum>
  <w:abstractNum w:abstractNumId="37" w15:restartNumberingAfterBreak="0">
    <w:nsid w:val="5D5712CA"/>
    <w:multiLevelType w:val="multilevel"/>
    <w:tmpl w:val="FE102E9A"/>
    <w:lvl w:ilvl="0">
      <w:start w:val="1"/>
      <w:numFmt w:val="decimal"/>
      <w:lvlText w:val="%1"/>
      <w:lvlJc w:val="left"/>
      <w:pPr>
        <w:ind w:left="360" w:hanging="360"/>
      </w:pPr>
      <w:rPr>
        <w:rFonts w:eastAsia="Calibri" w:hint="default"/>
        <w:color w:val="auto"/>
      </w:rPr>
    </w:lvl>
    <w:lvl w:ilvl="1">
      <w:start w:val="1"/>
      <w:numFmt w:val="decimal"/>
      <w:lvlText w:val="%1.%2"/>
      <w:lvlJc w:val="left"/>
      <w:pPr>
        <w:ind w:left="360" w:hanging="360"/>
      </w:pPr>
      <w:rPr>
        <w:rFonts w:eastAsia="Calibri" w:hint="default"/>
        <w:color w:val="auto"/>
      </w:rPr>
    </w:lvl>
    <w:lvl w:ilvl="2">
      <w:start w:val="1"/>
      <w:numFmt w:val="decimal"/>
      <w:lvlText w:val="%1.%2.%3"/>
      <w:lvlJc w:val="left"/>
      <w:pPr>
        <w:ind w:left="720" w:hanging="720"/>
      </w:pPr>
      <w:rPr>
        <w:rFonts w:eastAsia="Calibri" w:hint="default"/>
        <w:color w:val="auto"/>
      </w:rPr>
    </w:lvl>
    <w:lvl w:ilvl="3">
      <w:start w:val="1"/>
      <w:numFmt w:val="decimal"/>
      <w:lvlText w:val="%1.%2.%3.%4"/>
      <w:lvlJc w:val="left"/>
      <w:pPr>
        <w:ind w:left="720" w:hanging="720"/>
      </w:pPr>
      <w:rPr>
        <w:rFonts w:eastAsia="Calibri" w:hint="default"/>
        <w:color w:val="auto"/>
      </w:rPr>
    </w:lvl>
    <w:lvl w:ilvl="4">
      <w:start w:val="1"/>
      <w:numFmt w:val="decimal"/>
      <w:lvlText w:val="%1.%2.%3.%4.%5"/>
      <w:lvlJc w:val="left"/>
      <w:pPr>
        <w:ind w:left="1080" w:hanging="1080"/>
      </w:pPr>
      <w:rPr>
        <w:rFonts w:eastAsia="Calibri" w:hint="default"/>
        <w:color w:val="auto"/>
      </w:rPr>
    </w:lvl>
    <w:lvl w:ilvl="5">
      <w:start w:val="1"/>
      <w:numFmt w:val="decimal"/>
      <w:lvlText w:val="%1.%2.%3.%4.%5.%6"/>
      <w:lvlJc w:val="left"/>
      <w:pPr>
        <w:ind w:left="1080" w:hanging="1080"/>
      </w:pPr>
      <w:rPr>
        <w:rFonts w:eastAsia="Calibri" w:hint="default"/>
        <w:color w:val="auto"/>
      </w:rPr>
    </w:lvl>
    <w:lvl w:ilvl="6">
      <w:start w:val="1"/>
      <w:numFmt w:val="decimal"/>
      <w:lvlText w:val="%1.%2.%3.%4.%5.%6.%7"/>
      <w:lvlJc w:val="left"/>
      <w:pPr>
        <w:ind w:left="1440" w:hanging="1440"/>
      </w:pPr>
      <w:rPr>
        <w:rFonts w:eastAsia="Calibri" w:hint="default"/>
        <w:color w:val="auto"/>
      </w:rPr>
    </w:lvl>
    <w:lvl w:ilvl="7">
      <w:start w:val="1"/>
      <w:numFmt w:val="decimal"/>
      <w:lvlText w:val="%1.%2.%3.%4.%5.%6.%7.%8"/>
      <w:lvlJc w:val="left"/>
      <w:pPr>
        <w:ind w:left="1440" w:hanging="1440"/>
      </w:pPr>
      <w:rPr>
        <w:rFonts w:eastAsia="Calibri" w:hint="default"/>
        <w:color w:val="auto"/>
      </w:rPr>
    </w:lvl>
    <w:lvl w:ilvl="8">
      <w:start w:val="1"/>
      <w:numFmt w:val="decimal"/>
      <w:lvlText w:val="%1.%2.%3.%4.%5.%6.%7.%8.%9"/>
      <w:lvlJc w:val="left"/>
      <w:pPr>
        <w:ind w:left="1800" w:hanging="1800"/>
      </w:pPr>
      <w:rPr>
        <w:rFonts w:eastAsia="Calibri" w:hint="default"/>
        <w:color w:val="auto"/>
      </w:rPr>
    </w:lvl>
  </w:abstractNum>
  <w:abstractNum w:abstractNumId="38" w15:restartNumberingAfterBreak="0">
    <w:nsid w:val="5FD82850"/>
    <w:multiLevelType w:val="hybridMultilevel"/>
    <w:tmpl w:val="A71EBB3C"/>
    <w:lvl w:ilvl="0" w:tplc="0F92C7BA">
      <w:start w:val="1"/>
      <w:numFmt w:val="bullet"/>
      <w:lvlText w:val="−"/>
      <w:lvlJc w:val="left"/>
      <w:pPr>
        <w:ind w:left="360" w:hanging="360"/>
      </w:pPr>
      <w:rPr>
        <w:rFonts w:ascii="Calibri" w:hAnsi="Calibri"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9" w15:restartNumberingAfterBreak="0">
    <w:nsid w:val="63AA4C44"/>
    <w:multiLevelType w:val="hybridMultilevel"/>
    <w:tmpl w:val="092E92F6"/>
    <w:lvl w:ilvl="0" w:tplc="000F0409">
      <w:start w:val="1"/>
      <w:numFmt w:val="decimal"/>
      <w:pStyle w:val="Odsek"/>
      <w:lvlText w:val="%1."/>
      <w:lvlJc w:val="left"/>
      <w:pPr>
        <w:tabs>
          <w:tab w:val="num" w:pos="720"/>
        </w:tabs>
        <w:ind w:left="720" w:hanging="360"/>
      </w:p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40" w15:restartNumberingAfterBreak="0">
    <w:nsid w:val="6799190C"/>
    <w:multiLevelType w:val="hybridMultilevel"/>
    <w:tmpl w:val="486A7950"/>
    <w:lvl w:ilvl="0" w:tplc="B67E8B2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1"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2" w15:restartNumberingAfterBreak="0">
    <w:nsid w:val="694000C9"/>
    <w:multiLevelType w:val="hybridMultilevel"/>
    <w:tmpl w:val="96BC5492"/>
    <w:lvl w:ilvl="0" w:tplc="B67E8B2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3" w15:restartNumberingAfterBreak="0">
    <w:nsid w:val="6C781588"/>
    <w:multiLevelType w:val="hybridMultilevel"/>
    <w:tmpl w:val="76C0219E"/>
    <w:lvl w:ilvl="0" w:tplc="637607EE">
      <w:start w:val="2"/>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4" w15:restartNumberingAfterBreak="0">
    <w:nsid w:val="6E212CCC"/>
    <w:multiLevelType w:val="hybridMultilevel"/>
    <w:tmpl w:val="7F462D06"/>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5" w15:restartNumberingAfterBreak="0">
    <w:nsid w:val="74E261D1"/>
    <w:multiLevelType w:val="hybridMultilevel"/>
    <w:tmpl w:val="97504BB4"/>
    <w:lvl w:ilvl="0" w:tplc="B67E8B2E">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6" w15:restartNumberingAfterBreak="0">
    <w:nsid w:val="7547711A"/>
    <w:multiLevelType w:val="hybridMultilevel"/>
    <w:tmpl w:val="6C2C5F56"/>
    <w:lvl w:ilvl="0" w:tplc="F44C9B48">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7" w15:restartNumberingAfterBreak="0">
    <w:nsid w:val="77E673F7"/>
    <w:multiLevelType w:val="hybridMultilevel"/>
    <w:tmpl w:val="33E66402"/>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8" w15:restartNumberingAfterBreak="0">
    <w:nsid w:val="782A2ED0"/>
    <w:multiLevelType w:val="hybridMultilevel"/>
    <w:tmpl w:val="497C7592"/>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9" w15:restartNumberingAfterBreak="0">
    <w:nsid w:val="7F164896"/>
    <w:multiLevelType w:val="hybridMultilevel"/>
    <w:tmpl w:val="ED8CD066"/>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39"/>
  </w:num>
  <w:num w:numId="2">
    <w:abstractNumId w:val="23"/>
  </w:num>
  <w:num w:numId="3">
    <w:abstractNumId w:val="35"/>
  </w:num>
  <w:num w:numId="4">
    <w:abstractNumId w:val="41"/>
  </w:num>
  <w:num w:numId="5">
    <w:abstractNumId w:val="29"/>
  </w:num>
  <w:num w:numId="6">
    <w:abstractNumId w:val="14"/>
  </w:num>
  <w:num w:numId="7">
    <w:abstractNumId w:val="19"/>
  </w:num>
  <w:num w:numId="8">
    <w:abstractNumId w:val="36"/>
  </w:num>
  <w:num w:numId="9">
    <w:abstractNumId w:val="25"/>
  </w:num>
  <w:num w:numId="10">
    <w:abstractNumId w:val="46"/>
  </w:num>
  <w:num w:numId="11">
    <w:abstractNumId w:val="11"/>
  </w:num>
  <w:num w:numId="12">
    <w:abstractNumId w:val="18"/>
  </w:num>
  <w:num w:numId="13">
    <w:abstractNumId w:val="48"/>
  </w:num>
  <w:num w:numId="14">
    <w:abstractNumId w:val="1"/>
  </w:num>
  <w:num w:numId="15">
    <w:abstractNumId w:val="31"/>
  </w:num>
  <w:num w:numId="16">
    <w:abstractNumId w:val="21"/>
  </w:num>
  <w:num w:numId="17">
    <w:abstractNumId w:val="10"/>
  </w:num>
  <w:num w:numId="18">
    <w:abstractNumId w:val="32"/>
  </w:num>
  <w:num w:numId="19">
    <w:abstractNumId w:val="12"/>
  </w:num>
  <w:num w:numId="20">
    <w:abstractNumId w:val="34"/>
  </w:num>
  <w:num w:numId="21">
    <w:abstractNumId w:val="20"/>
  </w:num>
  <w:num w:numId="22">
    <w:abstractNumId w:val="38"/>
  </w:num>
  <w:num w:numId="23">
    <w:abstractNumId w:val="5"/>
  </w:num>
  <w:num w:numId="24">
    <w:abstractNumId w:val="0"/>
  </w:num>
  <w:num w:numId="25">
    <w:abstractNumId w:val="33"/>
  </w:num>
  <w:num w:numId="26">
    <w:abstractNumId w:val="22"/>
  </w:num>
  <w:num w:numId="27">
    <w:abstractNumId w:val="43"/>
  </w:num>
  <w:num w:numId="28">
    <w:abstractNumId w:val="6"/>
  </w:num>
  <w:num w:numId="29">
    <w:abstractNumId w:val="7"/>
  </w:num>
  <w:num w:numId="30">
    <w:abstractNumId w:val="15"/>
  </w:num>
  <w:num w:numId="31">
    <w:abstractNumId w:val="37"/>
  </w:num>
  <w:num w:numId="32">
    <w:abstractNumId w:val="16"/>
  </w:num>
  <w:num w:numId="33">
    <w:abstractNumId w:val="27"/>
  </w:num>
  <w:num w:numId="34">
    <w:abstractNumId w:val="49"/>
  </w:num>
  <w:num w:numId="35">
    <w:abstractNumId w:val="4"/>
  </w:num>
  <w:num w:numId="36">
    <w:abstractNumId w:val="44"/>
  </w:num>
  <w:num w:numId="37">
    <w:abstractNumId w:val="2"/>
  </w:num>
  <w:num w:numId="38">
    <w:abstractNumId w:val="9"/>
  </w:num>
  <w:num w:numId="39">
    <w:abstractNumId w:val="30"/>
  </w:num>
  <w:num w:numId="40">
    <w:abstractNumId w:val="28"/>
  </w:num>
  <w:num w:numId="41">
    <w:abstractNumId w:val="47"/>
  </w:num>
  <w:num w:numId="42">
    <w:abstractNumId w:val="8"/>
  </w:num>
  <w:num w:numId="43">
    <w:abstractNumId w:val="17"/>
  </w:num>
  <w:num w:numId="44">
    <w:abstractNumId w:val="13"/>
  </w:num>
  <w:num w:numId="45">
    <w:abstractNumId w:val="3"/>
  </w:num>
  <w:num w:numId="46">
    <w:abstractNumId w:val="26"/>
  </w:num>
  <w:num w:numId="47">
    <w:abstractNumId w:val="24"/>
  </w:num>
  <w:num w:numId="48">
    <w:abstractNumId w:val="42"/>
  </w:num>
  <w:num w:numId="49">
    <w:abstractNumId w:val="45"/>
  </w:num>
  <w:num w:numId="50">
    <w:abstractNumId w:val="40"/>
  </w:num>
  <w:numIdMacAtCleanup w:val="2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proofState w:spelling="clean"/>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100"/>
  <w:drawingGridVerticalSpacing w:val="284"/>
  <w:displayHorizontalDrawingGridEvery w:val="2"/>
  <w:displayVerticalDrawingGridEvery w:val="2"/>
  <w:noPunctuationKerning/>
  <w:characterSpacingControl w:val="doNotCompress"/>
  <w:hdrShapeDefaults>
    <o:shapedefaults v:ext="edit" spidmax="4097">
      <o:colormru v:ext="edit" colors="#428299,#529dba"/>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34769"/>
    <w:rsid w:val="00000359"/>
    <w:rsid w:val="00001A56"/>
    <w:rsid w:val="000030C5"/>
    <w:rsid w:val="000046E9"/>
    <w:rsid w:val="00005A63"/>
    <w:rsid w:val="00006231"/>
    <w:rsid w:val="000069B6"/>
    <w:rsid w:val="00006DB8"/>
    <w:rsid w:val="00007356"/>
    <w:rsid w:val="00007A6D"/>
    <w:rsid w:val="000122CC"/>
    <w:rsid w:val="00013AC2"/>
    <w:rsid w:val="00013D13"/>
    <w:rsid w:val="000144A9"/>
    <w:rsid w:val="00015C57"/>
    <w:rsid w:val="000167AB"/>
    <w:rsid w:val="00021BBD"/>
    <w:rsid w:val="0002247E"/>
    <w:rsid w:val="00022DDF"/>
    <w:rsid w:val="00023962"/>
    <w:rsid w:val="00023A88"/>
    <w:rsid w:val="00024355"/>
    <w:rsid w:val="00024BA7"/>
    <w:rsid w:val="00025CD3"/>
    <w:rsid w:val="00026310"/>
    <w:rsid w:val="00030F8B"/>
    <w:rsid w:val="00031B5F"/>
    <w:rsid w:val="000359C3"/>
    <w:rsid w:val="00036F05"/>
    <w:rsid w:val="000402FA"/>
    <w:rsid w:val="000419AF"/>
    <w:rsid w:val="00041B39"/>
    <w:rsid w:val="000424EA"/>
    <w:rsid w:val="00042B7F"/>
    <w:rsid w:val="0004317E"/>
    <w:rsid w:val="0004416D"/>
    <w:rsid w:val="00046787"/>
    <w:rsid w:val="00046D5C"/>
    <w:rsid w:val="00050A71"/>
    <w:rsid w:val="00050E5F"/>
    <w:rsid w:val="00051F2B"/>
    <w:rsid w:val="00051F76"/>
    <w:rsid w:val="00052C7C"/>
    <w:rsid w:val="0005354E"/>
    <w:rsid w:val="000539AD"/>
    <w:rsid w:val="000551D5"/>
    <w:rsid w:val="0006005C"/>
    <w:rsid w:val="000633DC"/>
    <w:rsid w:val="00063772"/>
    <w:rsid w:val="00063B37"/>
    <w:rsid w:val="000644E4"/>
    <w:rsid w:val="000653AD"/>
    <w:rsid w:val="00065EC9"/>
    <w:rsid w:val="00067ADF"/>
    <w:rsid w:val="00070EAD"/>
    <w:rsid w:val="000719C3"/>
    <w:rsid w:val="00073CEE"/>
    <w:rsid w:val="00074D87"/>
    <w:rsid w:val="00076657"/>
    <w:rsid w:val="00080BF1"/>
    <w:rsid w:val="00083264"/>
    <w:rsid w:val="00083437"/>
    <w:rsid w:val="000840E7"/>
    <w:rsid w:val="00087019"/>
    <w:rsid w:val="00093826"/>
    <w:rsid w:val="0009516F"/>
    <w:rsid w:val="000953D4"/>
    <w:rsid w:val="00096D93"/>
    <w:rsid w:val="00097603"/>
    <w:rsid w:val="0009790F"/>
    <w:rsid w:val="00097ED6"/>
    <w:rsid w:val="000A6077"/>
    <w:rsid w:val="000A615F"/>
    <w:rsid w:val="000A7238"/>
    <w:rsid w:val="000A7E49"/>
    <w:rsid w:val="000B505B"/>
    <w:rsid w:val="000B66A9"/>
    <w:rsid w:val="000C102E"/>
    <w:rsid w:val="000C1DEE"/>
    <w:rsid w:val="000C34B2"/>
    <w:rsid w:val="000C5D05"/>
    <w:rsid w:val="000D3E80"/>
    <w:rsid w:val="000D3EFF"/>
    <w:rsid w:val="000D3FDE"/>
    <w:rsid w:val="000D588B"/>
    <w:rsid w:val="000D7515"/>
    <w:rsid w:val="000D79FD"/>
    <w:rsid w:val="000E05FF"/>
    <w:rsid w:val="000E0CD4"/>
    <w:rsid w:val="000E1911"/>
    <w:rsid w:val="000E2782"/>
    <w:rsid w:val="000E329C"/>
    <w:rsid w:val="000E3AFF"/>
    <w:rsid w:val="000E49B8"/>
    <w:rsid w:val="000E62F4"/>
    <w:rsid w:val="000E6ADA"/>
    <w:rsid w:val="000F2AF2"/>
    <w:rsid w:val="000F3EB9"/>
    <w:rsid w:val="000F437C"/>
    <w:rsid w:val="000F4BF2"/>
    <w:rsid w:val="000F513B"/>
    <w:rsid w:val="000F6DD5"/>
    <w:rsid w:val="00101D6A"/>
    <w:rsid w:val="00102955"/>
    <w:rsid w:val="001057A3"/>
    <w:rsid w:val="00106F2F"/>
    <w:rsid w:val="001078E5"/>
    <w:rsid w:val="00110B03"/>
    <w:rsid w:val="0011486F"/>
    <w:rsid w:val="00115297"/>
    <w:rsid w:val="001237AE"/>
    <w:rsid w:val="00127C95"/>
    <w:rsid w:val="00130D77"/>
    <w:rsid w:val="00132EC7"/>
    <w:rsid w:val="001346A6"/>
    <w:rsid w:val="00134E4C"/>
    <w:rsid w:val="001357B2"/>
    <w:rsid w:val="0013655C"/>
    <w:rsid w:val="00137D76"/>
    <w:rsid w:val="00137FC2"/>
    <w:rsid w:val="00140101"/>
    <w:rsid w:val="00140B43"/>
    <w:rsid w:val="0014672E"/>
    <w:rsid w:val="00146A02"/>
    <w:rsid w:val="00147B15"/>
    <w:rsid w:val="0015453C"/>
    <w:rsid w:val="001546F8"/>
    <w:rsid w:val="001553AF"/>
    <w:rsid w:val="0015610F"/>
    <w:rsid w:val="00157424"/>
    <w:rsid w:val="00161436"/>
    <w:rsid w:val="00163D88"/>
    <w:rsid w:val="00164605"/>
    <w:rsid w:val="00165185"/>
    <w:rsid w:val="00166A29"/>
    <w:rsid w:val="001711D3"/>
    <w:rsid w:val="00173111"/>
    <w:rsid w:val="0017478F"/>
    <w:rsid w:val="00176120"/>
    <w:rsid w:val="00180313"/>
    <w:rsid w:val="0018258E"/>
    <w:rsid w:val="001865D7"/>
    <w:rsid w:val="00186C9B"/>
    <w:rsid w:val="00190EDB"/>
    <w:rsid w:val="00190F63"/>
    <w:rsid w:val="001918B7"/>
    <w:rsid w:val="00191B56"/>
    <w:rsid w:val="00192D9A"/>
    <w:rsid w:val="00195766"/>
    <w:rsid w:val="00195A59"/>
    <w:rsid w:val="001963C8"/>
    <w:rsid w:val="00196CFE"/>
    <w:rsid w:val="001A41C7"/>
    <w:rsid w:val="001A4880"/>
    <w:rsid w:val="001A51AB"/>
    <w:rsid w:val="001A5BA3"/>
    <w:rsid w:val="001A5C28"/>
    <w:rsid w:val="001A7A90"/>
    <w:rsid w:val="001B1343"/>
    <w:rsid w:val="001B1CC9"/>
    <w:rsid w:val="001B3115"/>
    <w:rsid w:val="001B3156"/>
    <w:rsid w:val="001B33DD"/>
    <w:rsid w:val="001B351D"/>
    <w:rsid w:val="001B429E"/>
    <w:rsid w:val="001C497B"/>
    <w:rsid w:val="001C7A64"/>
    <w:rsid w:val="001D0674"/>
    <w:rsid w:val="001D21AA"/>
    <w:rsid w:val="001D39C1"/>
    <w:rsid w:val="001D4237"/>
    <w:rsid w:val="001D4F61"/>
    <w:rsid w:val="001D5AC6"/>
    <w:rsid w:val="001D749D"/>
    <w:rsid w:val="001D7C48"/>
    <w:rsid w:val="001E0D84"/>
    <w:rsid w:val="001E1915"/>
    <w:rsid w:val="001E1A45"/>
    <w:rsid w:val="001E28FB"/>
    <w:rsid w:val="001E2B17"/>
    <w:rsid w:val="001E2C48"/>
    <w:rsid w:val="001E3678"/>
    <w:rsid w:val="001E6672"/>
    <w:rsid w:val="001E6B7A"/>
    <w:rsid w:val="001F0385"/>
    <w:rsid w:val="001F0776"/>
    <w:rsid w:val="001F173D"/>
    <w:rsid w:val="001F2DED"/>
    <w:rsid w:val="001F3192"/>
    <w:rsid w:val="001F31FC"/>
    <w:rsid w:val="001F498C"/>
    <w:rsid w:val="001F69F1"/>
    <w:rsid w:val="001F7815"/>
    <w:rsid w:val="002029F4"/>
    <w:rsid w:val="00202A77"/>
    <w:rsid w:val="0020615E"/>
    <w:rsid w:val="00206BC6"/>
    <w:rsid w:val="0020771E"/>
    <w:rsid w:val="002110BE"/>
    <w:rsid w:val="00212AFF"/>
    <w:rsid w:val="00212C75"/>
    <w:rsid w:val="002134EC"/>
    <w:rsid w:val="002143E3"/>
    <w:rsid w:val="00215A0A"/>
    <w:rsid w:val="00217F5F"/>
    <w:rsid w:val="00217F64"/>
    <w:rsid w:val="00221465"/>
    <w:rsid w:val="0022185B"/>
    <w:rsid w:val="0022230A"/>
    <w:rsid w:val="00223430"/>
    <w:rsid w:val="00223F78"/>
    <w:rsid w:val="00224472"/>
    <w:rsid w:val="00224FB9"/>
    <w:rsid w:val="00225947"/>
    <w:rsid w:val="00226B4D"/>
    <w:rsid w:val="00227986"/>
    <w:rsid w:val="0023133B"/>
    <w:rsid w:val="00231857"/>
    <w:rsid w:val="00234210"/>
    <w:rsid w:val="0023445E"/>
    <w:rsid w:val="00236D7C"/>
    <w:rsid w:val="00241007"/>
    <w:rsid w:val="00241319"/>
    <w:rsid w:val="002413F3"/>
    <w:rsid w:val="002434B7"/>
    <w:rsid w:val="00243AED"/>
    <w:rsid w:val="00244B04"/>
    <w:rsid w:val="00246715"/>
    <w:rsid w:val="00252372"/>
    <w:rsid w:val="00252DA1"/>
    <w:rsid w:val="002532E0"/>
    <w:rsid w:val="00253E41"/>
    <w:rsid w:val="002545A3"/>
    <w:rsid w:val="00260C51"/>
    <w:rsid w:val="00263D97"/>
    <w:rsid w:val="00264E44"/>
    <w:rsid w:val="002655D3"/>
    <w:rsid w:val="002659B2"/>
    <w:rsid w:val="00265C1F"/>
    <w:rsid w:val="00266588"/>
    <w:rsid w:val="002701C1"/>
    <w:rsid w:val="00270AB4"/>
    <w:rsid w:val="00271CE5"/>
    <w:rsid w:val="002738C7"/>
    <w:rsid w:val="00274C9D"/>
    <w:rsid w:val="00275DD0"/>
    <w:rsid w:val="002809BE"/>
    <w:rsid w:val="00282020"/>
    <w:rsid w:val="00282AF9"/>
    <w:rsid w:val="00282D26"/>
    <w:rsid w:val="002837F0"/>
    <w:rsid w:val="00292897"/>
    <w:rsid w:val="002931E0"/>
    <w:rsid w:val="00293EBB"/>
    <w:rsid w:val="00294DBE"/>
    <w:rsid w:val="00294F11"/>
    <w:rsid w:val="002952A0"/>
    <w:rsid w:val="002A2B69"/>
    <w:rsid w:val="002A445D"/>
    <w:rsid w:val="002A4D3B"/>
    <w:rsid w:val="002A64EF"/>
    <w:rsid w:val="002A732F"/>
    <w:rsid w:val="002B089C"/>
    <w:rsid w:val="002B523E"/>
    <w:rsid w:val="002C1C2C"/>
    <w:rsid w:val="002C1C2F"/>
    <w:rsid w:val="002C26BD"/>
    <w:rsid w:val="002C397C"/>
    <w:rsid w:val="002C7150"/>
    <w:rsid w:val="002D0C4E"/>
    <w:rsid w:val="002D2075"/>
    <w:rsid w:val="002D5B62"/>
    <w:rsid w:val="002D660A"/>
    <w:rsid w:val="002D7B39"/>
    <w:rsid w:val="002E10B1"/>
    <w:rsid w:val="002E142F"/>
    <w:rsid w:val="002E4E74"/>
    <w:rsid w:val="002E6031"/>
    <w:rsid w:val="002F1A85"/>
    <w:rsid w:val="002F3ADC"/>
    <w:rsid w:val="002F3D6B"/>
    <w:rsid w:val="002F47BF"/>
    <w:rsid w:val="002F74F1"/>
    <w:rsid w:val="002F7B3A"/>
    <w:rsid w:val="00302674"/>
    <w:rsid w:val="0030360D"/>
    <w:rsid w:val="00305602"/>
    <w:rsid w:val="003078D5"/>
    <w:rsid w:val="00307C05"/>
    <w:rsid w:val="003109E2"/>
    <w:rsid w:val="00310C5D"/>
    <w:rsid w:val="00311862"/>
    <w:rsid w:val="00311E69"/>
    <w:rsid w:val="00312898"/>
    <w:rsid w:val="0031368A"/>
    <w:rsid w:val="00313CB9"/>
    <w:rsid w:val="003160D9"/>
    <w:rsid w:val="00317204"/>
    <w:rsid w:val="00320C52"/>
    <w:rsid w:val="00322A13"/>
    <w:rsid w:val="003234D9"/>
    <w:rsid w:val="00323F7E"/>
    <w:rsid w:val="003264A3"/>
    <w:rsid w:val="00333F93"/>
    <w:rsid w:val="0033458E"/>
    <w:rsid w:val="0033668C"/>
    <w:rsid w:val="00337E3E"/>
    <w:rsid w:val="00343309"/>
    <w:rsid w:val="00343D3E"/>
    <w:rsid w:val="003449C5"/>
    <w:rsid w:val="00350BE5"/>
    <w:rsid w:val="00351085"/>
    <w:rsid w:val="003547C9"/>
    <w:rsid w:val="00355D7F"/>
    <w:rsid w:val="00360579"/>
    <w:rsid w:val="00360D56"/>
    <w:rsid w:val="00361B56"/>
    <w:rsid w:val="00363506"/>
    <w:rsid w:val="003636BF"/>
    <w:rsid w:val="00371442"/>
    <w:rsid w:val="00376153"/>
    <w:rsid w:val="00376433"/>
    <w:rsid w:val="00376690"/>
    <w:rsid w:val="00376932"/>
    <w:rsid w:val="00381510"/>
    <w:rsid w:val="003822FD"/>
    <w:rsid w:val="00382709"/>
    <w:rsid w:val="003827DB"/>
    <w:rsid w:val="00383058"/>
    <w:rsid w:val="003845B4"/>
    <w:rsid w:val="00385599"/>
    <w:rsid w:val="003861FE"/>
    <w:rsid w:val="00387B1A"/>
    <w:rsid w:val="0039011D"/>
    <w:rsid w:val="003907C3"/>
    <w:rsid w:val="00392E73"/>
    <w:rsid w:val="00394573"/>
    <w:rsid w:val="00397C6D"/>
    <w:rsid w:val="003A0332"/>
    <w:rsid w:val="003A594C"/>
    <w:rsid w:val="003B1BCF"/>
    <w:rsid w:val="003B1DC1"/>
    <w:rsid w:val="003B2038"/>
    <w:rsid w:val="003B4205"/>
    <w:rsid w:val="003B4DC3"/>
    <w:rsid w:val="003B5B71"/>
    <w:rsid w:val="003B6437"/>
    <w:rsid w:val="003C2AAA"/>
    <w:rsid w:val="003C5EE5"/>
    <w:rsid w:val="003D0C14"/>
    <w:rsid w:val="003D2A1D"/>
    <w:rsid w:val="003D2F0E"/>
    <w:rsid w:val="003D5D0C"/>
    <w:rsid w:val="003D6A0B"/>
    <w:rsid w:val="003D7F20"/>
    <w:rsid w:val="003E1C74"/>
    <w:rsid w:val="003E2288"/>
    <w:rsid w:val="003E44E3"/>
    <w:rsid w:val="003E741A"/>
    <w:rsid w:val="003E74F5"/>
    <w:rsid w:val="003E7BE7"/>
    <w:rsid w:val="003F2698"/>
    <w:rsid w:val="003F27C9"/>
    <w:rsid w:val="003F2CA4"/>
    <w:rsid w:val="003F2F5D"/>
    <w:rsid w:val="003F33D6"/>
    <w:rsid w:val="003F5288"/>
    <w:rsid w:val="003F5852"/>
    <w:rsid w:val="003F63F0"/>
    <w:rsid w:val="003F7762"/>
    <w:rsid w:val="00402BA3"/>
    <w:rsid w:val="00404BF8"/>
    <w:rsid w:val="00406FE0"/>
    <w:rsid w:val="00407733"/>
    <w:rsid w:val="00407CFC"/>
    <w:rsid w:val="004105C9"/>
    <w:rsid w:val="00410BB5"/>
    <w:rsid w:val="00411B97"/>
    <w:rsid w:val="0041465F"/>
    <w:rsid w:val="00416135"/>
    <w:rsid w:val="004167EE"/>
    <w:rsid w:val="00421665"/>
    <w:rsid w:val="0042288C"/>
    <w:rsid w:val="0042598A"/>
    <w:rsid w:val="00425FF2"/>
    <w:rsid w:val="004263C6"/>
    <w:rsid w:val="00426A7B"/>
    <w:rsid w:val="00427223"/>
    <w:rsid w:val="00430397"/>
    <w:rsid w:val="004316F3"/>
    <w:rsid w:val="0043210E"/>
    <w:rsid w:val="004331B6"/>
    <w:rsid w:val="00433FBC"/>
    <w:rsid w:val="004345E5"/>
    <w:rsid w:val="004355D3"/>
    <w:rsid w:val="00436200"/>
    <w:rsid w:val="00436D35"/>
    <w:rsid w:val="004370B6"/>
    <w:rsid w:val="00437CE0"/>
    <w:rsid w:val="00437F81"/>
    <w:rsid w:val="0044175C"/>
    <w:rsid w:val="00442EF2"/>
    <w:rsid w:val="00443A1D"/>
    <w:rsid w:val="00443E77"/>
    <w:rsid w:val="00444A81"/>
    <w:rsid w:val="004453CE"/>
    <w:rsid w:val="00445705"/>
    <w:rsid w:val="00445AF0"/>
    <w:rsid w:val="00451F51"/>
    <w:rsid w:val="00453406"/>
    <w:rsid w:val="0045384C"/>
    <w:rsid w:val="00456775"/>
    <w:rsid w:val="00461FB1"/>
    <w:rsid w:val="00461FFE"/>
    <w:rsid w:val="00462697"/>
    <w:rsid w:val="004657EE"/>
    <w:rsid w:val="00466432"/>
    <w:rsid w:val="00471613"/>
    <w:rsid w:val="004761A4"/>
    <w:rsid w:val="00476A1E"/>
    <w:rsid w:val="004801D4"/>
    <w:rsid w:val="0048048B"/>
    <w:rsid w:val="004818EC"/>
    <w:rsid w:val="00481B17"/>
    <w:rsid w:val="004839EF"/>
    <w:rsid w:val="00484DB8"/>
    <w:rsid w:val="004853C2"/>
    <w:rsid w:val="004869BB"/>
    <w:rsid w:val="00487B9C"/>
    <w:rsid w:val="00490F22"/>
    <w:rsid w:val="004910A4"/>
    <w:rsid w:val="004939F1"/>
    <w:rsid w:val="00493FDB"/>
    <w:rsid w:val="00496086"/>
    <w:rsid w:val="0049766B"/>
    <w:rsid w:val="004A2B42"/>
    <w:rsid w:val="004A436A"/>
    <w:rsid w:val="004A619C"/>
    <w:rsid w:val="004B3C11"/>
    <w:rsid w:val="004B43DD"/>
    <w:rsid w:val="004B70EF"/>
    <w:rsid w:val="004B767B"/>
    <w:rsid w:val="004C2482"/>
    <w:rsid w:val="004C2821"/>
    <w:rsid w:val="004C3011"/>
    <w:rsid w:val="004C3C07"/>
    <w:rsid w:val="004D1C19"/>
    <w:rsid w:val="004D2DAD"/>
    <w:rsid w:val="004D32E4"/>
    <w:rsid w:val="004D34E4"/>
    <w:rsid w:val="004D4CD2"/>
    <w:rsid w:val="004D57EE"/>
    <w:rsid w:val="004D6951"/>
    <w:rsid w:val="004E106F"/>
    <w:rsid w:val="004E2AAD"/>
    <w:rsid w:val="004F0A74"/>
    <w:rsid w:val="004F1924"/>
    <w:rsid w:val="004F1D99"/>
    <w:rsid w:val="004F6B4A"/>
    <w:rsid w:val="004F6C18"/>
    <w:rsid w:val="004F6EE9"/>
    <w:rsid w:val="004F704B"/>
    <w:rsid w:val="004F7C19"/>
    <w:rsid w:val="0050050A"/>
    <w:rsid w:val="00503ED9"/>
    <w:rsid w:val="00503F6A"/>
    <w:rsid w:val="005058AA"/>
    <w:rsid w:val="00507310"/>
    <w:rsid w:val="005078EE"/>
    <w:rsid w:val="00507A34"/>
    <w:rsid w:val="00507D7F"/>
    <w:rsid w:val="005157CF"/>
    <w:rsid w:val="00516F20"/>
    <w:rsid w:val="00517020"/>
    <w:rsid w:val="0052020E"/>
    <w:rsid w:val="005214B2"/>
    <w:rsid w:val="00521DFE"/>
    <w:rsid w:val="00521E5D"/>
    <w:rsid w:val="00522477"/>
    <w:rsid w:val="00523543"/>
    <w:rsid w:val="00523C99"/>
    <w:rsid w:val="0052444D"/>
    <w:rsid w:val="00526246"/>
    <w:rsid w:val="00532A9F"/>
    <w:rsid w:val="005330C1"/>
    <w:rsid w:val="005360B7"/>
    <w:rsid w:val="005363D0"/>
    <w:rsid w:val="00537E64"/>
    <w:rsid w:val="00540D6F"/>
    <w:rsid w:val="00541F85"/>
    <w:rsid w:val="00542D1C"/>
    <w:rsid w:val="00543BF2"/>
    <w:rsid w:val="00543C81"/>
    <w:rsid w:val="005447FB"/>
    <w:rsid w:val="00545A71"/>
    <w:rsid w:val="00545C89"/>
    <w:rsid w:val="00546EB4"/>
    <w:rsid w:val="00547375"/>
    <w:rsid w:val="005507A7"/>
    <w:rsid w:val="00550D5D"/>
    <w:rsid w:val="0055102A"/>
    <w:rsid w:val="005518E5"/>
    <w:rsid w:val="00551C5A"/>
    <w:rsid w:val="00553DDA"/>
    <w:rsid w:val="00554F86"/>
    <w:rsid w:val="00555F5E"/>
    <w:rsid w:val="00556D65"/>
    <w:rsid w:val="00556E7F"/>
    <w:rsid w:val="00557053"/>
    <w:rsid w:val="005601C5"/>
    <w:rsid w:val="0056161C"/>
    <w:rsid w:val="0056212E"/>
    <w:rsid w:val="00562F67"/>
    <w:rsid w:val="00565B86"/>
    <w:rsid w:val="00567106"/>
    <w:rsid w:val="005719E8"/>
    <w:rsid w:val="00573F81"/>
    <w:rsid w:val="00574AD1"/>
    <w:rsid w:val="00574BE6"/>
    <w:rsid w:val="005763B2"/>
    <w:rsid w:val="0057695E"/>
    <w:rsid w:val="005771B0"/>
    <w:rsid w:val="00577470"/>
    <w:rsid w:val="0058290D"/>
    <w:rsid w:val="00583886"/>
    <w:rsid w:val="0058647F"/>
    <w:rsid w:val="00586534"/>
    <w:rsid w:val="005908EC"/>
    <w:rsid w:val="005928FE"/>
    <w:rsid w:val="00593194"/>
    <w:rsid w:val="005934BF"/>
    <w:rsid w:val="0059452C"/>
    <w:rsid w:val="005948D4"/>
    <w:rsid w:val="005979F7"/>
    <w:rsid w:val="005A016D"/>
    <w:rsid w:val="005A2A80"/>
    <w:rsid w:val="005A4723"/>
    <w:rsid w:val="005A6353"/>
    <w:rsid w:val="005A6CC7"/>
    <w:rsid w:val="005A7D79"/>
    <w:rsid w:val="005B2094"/>
    <w:rsid w:val="005B5D4D"/>
    <w:rsid w:val="005B7893"/>
    <w:rsid w:val="005C0506"/>
    <w:rsid w:val="005C0838"/>
    <w:rsid w:val="005C0F46"/>
    <w:rsid w:val="005C3358"/>
    <w:rsid w:val="005C5CDF"/>
    <w:rsid w:val="005C7800"/>
    <w:rsid w:val="005D0644"/>
    <w:rsid w:val="005D0D6C"/>
    <w:rsid w:val="005D14D7"/>
    <w:rsid w:val="005D5B92"/>
    <w:rsid w:val="005D5FE1"/>
    <w:rsid w:val="005D6B12"/>
    <w:rsid w:val="005E00EF"/>
    <w:rsid w:val="005E1D3C"/>
    <w:rsid w:val="005E4449"/>
    <w:rsid w:val="005E60DB"/>
    <w:rsid w:val="005E6308"/>
    <w:rsid w:val="005E6332"/>
    <w:rsid w:val="005E63C2"/>
    <w:rsid w:val="005E70FF"/>
    <w:rsid w:val="005E7A87"/>
    <w:rsid w:val="005F0452"/>
    <w:rsid w:val="005F09BC"/>
    <w:rsid w:val="005F27B0"/>
    <w:rsid w:val="005F35E0"/>
    <w:rsid w:val="005F3775"/>
    <w:rsid w:val="005F5E3C"/>
    <w:rsid w:val="005F6D1A"/>
    <w:rsid w:val="00600577"/>
    <w:rsid w:val="00601108"/>
    <w:rsid w:val="00601948"/>
    <w:rsid w:val="0060201D"/>
    <w:rsid w:val="00604522"/>
    <w:rsid w:val="0060472C"/>
    <w:rsid w:val="00604D9B"/>
    <w:rsid w:val="006060F2"/>
    <w:rsid w:val="00606BB9"/>
    <w:rsid w:val="00607753"/>
    <w:rsid w:val="00611AE9"/>
    <w:rsid w:val="00612510"/>
    <w:rsid w:val="00613494"/>
    <w:rsid w:val="00614A59"/>
    <w:rsid w:val="0061520E"/>
    <w:rsid w:val="006213C8"/>
    <w:rsid w:val="00621612"/>
    <w:rsid w:val="00621664"/>
    <w:rsid w:val="00622AB0"/>
    <w:rsid w:val="00622B2A"/>
    <w:rsid w:val="00622D70"/>
    <w:rsid w:val="006230A4"/>
    <w:rsid w:val="00623B38"/>
    <w:rsid w:val="00624E38"/>
    <w:rsid w:val="00625AE6"/>
    <w:rsid w:val="006263A4"/>
    <w:rsid w:val="00627D7D"/>
    <w:rsid w:val="006300D7"/>
    <w:rsid w:val="00630B16"/>
    <w:rsid w:val="00630B59"/>
    <w:rsid w:val="00632253"/>
    <w:rsid w:val="0063431B"/>
    <w:rsid w:val="006348AE"/>
    <w:rsid w:val="006378D7"/>
    <w:rsid w:val="00640AC6"/>
    <w:rsid w:val="00642714"/>
    <w:rsid w:val="00643B9E"/>
    <w:rsid w:val="006455CE"/>
    <w:rsid w:val="00645F39"/>
    <w:rsid w:val="006473C8"/>
    <w:rsid w:val="00650197"/>
    <w:rsid w:val="00650710"/>
    <w:rsid w:val="00655841"/>
    <w:rsid w:val="006612B4"/>
    <w:rsid w:val="00661822"/>
    <w:rsid w:val="00661CEF"/>
    <w:rsid w:val="00662D1A"/>
    <w:rsid w:val="00665575"/>
    <w:rsid w:val="00665E35"/>
    <w:rsid w:val="00666729"/>
    <w:rsid w:val="006676B9"/>
    <w:rsid w:val="0067206F"/>
    <w:rsid w:val="00672D16"/>
    <w:rsid w:val="00672FA1"/>
    <w:rsid w:val="00674506"/>
    <w:rsid w:val="00674708"/>
    <w:rsid w:val="00674D8E"/>
    <w:rsid w:val="00675BEE"/>
    <w:rsid w:val="00676A25"/>
    <w:rsid w:val="00676CF2"/>
    <w:rsid w:val="006772E5"/>
    <w:rsid w:val="00677461"/>
    <w:rsid w:val="00681C3F"/>
    <w:rsid w:val="00681DA3"/>
    <w:rsid w:val="0068628B"/>
    <w:rsid w:val="00687C57"/>
    <w:rsid w:val="00692A17"/>
    <w:rsid w:val="00693AF6"/>
    <w:rsid w:val="006948AA"/>
    <w:rsid w:val="0069543B"/>
    <w:rsid w:val="00696BEC"/>
    <w:rsid w:val="006A0E93"/>
    <w:rsid w:val="006A2CEE"/>
    <w:rsid w:val="006A34DD"/>
    <w:rsid w:val="006A38A2"/>
    <w:rsid w:val="006A6AAA"/>
    <w:rsid w:val="006B00AC"/>
    <w:rsid w:val="006B0380"/>
    <w:rsid w:val="006B0ABE"/>
    <w:rsid w:val="006B297D"/>
    <w:rsid w:val="006B4D55"/>
    <w:rsid w:val="006B5F33"/>
    <w:rsid w:val="006B6B99"/>
    <w:rsid w:val="006B7A62"/>
    <w:rsid w:val="006C0451"/>
    <w:rsid w:val="006C1AC9"/>
    <w:rsid w:val="006C33A1"/>
    <w:rsid w:val="006C4C4F"/>
    <w:rsid w:val="006C7B49"/>
    <w:rsid w:val="006D1CAD"/>
    <w:rsid w:val="006D3139"/>
    <w:rsid w:val="006D3300"/>
    <w:rsid w:val="006D46F4"/>
    <w:rsid w:val="006D500E"/>
    <w:rsid w:val="006D6066"/>
    <w:rsid w:val="006D679E"/>
    <w:rsid w:val="006D78E3"/>
    <w:rsid w:val="006E14C4"/>
    <w:rsid w:val="006E1875"/>
    <w:rsid w:val="006E1F7C"/>
    <w:rsid w:val="006E2C88"/>
    <w:rsid w:val="006E6427"/>
    <w:rsid w:val="006E6DDF"/>
    <w:rsid w:val="006E7236"/>
    <w:rsid w:val="006E75C4"/>
    <w:rsid w:val="006E793C"/>
    <w:rsid w:val="006F2E7F"/>
    <w:rsid w:val="006F4150"/>
    <w:rsid w:val="006F5D0A"/>
    <w:rsid w:val="006F6C14"/>
    <w:rsid w:val="006F6D2D"/>
    <w:rsid w:val="007008CC"/>
    <w:rsid w:val="00701079"/>
    <w:rsid w:val="00702E65"/>
    <w:rsid w:val="0070382B"/>
    <w:rsid w:val="00703CD9"/>
    <w:rsid w:val="00704424"/>
    <w:rsid w:val="00704F09"/>
    <w:rsid w:val="00705EA6"/>
    <w:rsid w:val="0071087F"/>
    <w:rsid w:val="00711996"/>
    <w:rsid w:val="007121E4"/>
    <w:rsid w:val="00713D82"/>
    <w:rsid w:val="007153F3"/>
    <w:rsid w:val="00716D73"/>
    <w:rsid w:val="00721396"/>
    <w:rsid w:val="007224AB"/>
    <w:rsid w:val="00725079"/>
    <w:rsid w:val="00726B3A"/>
    <w:rsid w:val="00730ABF"/>
    <w:rsid w:val="00730C80"/>
    <w:rsid w:val="00731330"/>
    <w:rsid w:val="00733017"/>
    <w:rsid w:val="00733E77"/>
    <w:rsid w:val="00734392"/>
    <w:rsid w:val="00734E01"/>
    <w:rsid w:val="007353BA"/>
    <w:rsid w:val="00740F9E"/>
    <w:rsid w:val="0074250D"/>
    <w:rsid w:val="00743E0E"/>
    <w:rsid w:val="007442F2"/>
    <w:rsid w:val="00746B88"/>
    <w:rsid w:val="00747446"/>
    <w:rsid w:val="0075214F"/>
    <w:rsid w:val="0075277C"/>
    <w:rsid w:val="0075600C"/>
    <w:rsid w:val="007607CA"/>
    <w:rsid w:val="00761ED5"/>
    <w:rsid w:val="00766B2F"/>
    <w:rsid w:val="00767A7B"/>
    <w:rsid w:val="00772BB3"/>
    <w:rsid w:val="00774D7F"/>
    <w:rsid w:val="00777D9D"/>
    <w:rsid w:val="00783310"/>
    <w:rsid w:val="00783E26"/>
    <w:rsid w:val="00785FA7"/>
    <w:rsid w:val="0079008A"/>
    <w:rsid w:val="00796EB1"/>
    <w:rsid w:val="007A2BFD"/>
    <w:rsid w:val="007A4A6D"/>
    <w:rsid w:val="007A4B3B"/>
    <w:rsid w:val="007A77FE"/>
    <w:rsid w:val="007A7B30"/>
    <w:rsid w:val="007B2469"/>
    <w:rsid w:val="007B525D"/>
    <w:rsid w:val="007B531E"/>
    <w:rsid w:val="007B5893"/>
    <w:rsid w:val="007B58B8"/>
    <w:rsid w:val="007B782E"/>
    <w:rsid w:val="007C548F"/>
    <w:rsid w:val="007C554D"/>
    <w:rsid w:val="007C6C66"/>
    <w:rsid w:val="007C7142"/>
    <w:rsid w:val="007D1BCF"/>
    <w:rsid w:val="007D2E8B"/>
    <w:rsid w:val="007D4385"/>
    <w:rsid w:val="007D4F71"/>
    <w:rsid w:val="007D5184"/>
    <w:rsid w:val="007D54C1"/>
    <w:rsid w:val="007D75CF"/>
    <w:rsid w:val="007D78B5"/>
    <w:rsid w:val="007D7920"/>
    <w:rsid w:val="007E0440"/>
    <w:rsid w:val="007E06FF"/>
    <w:rsid w:val="007E1C1A"/>
    <w:rsid w:val="007E1DFA"/>
    <w:rsid w:val="007E36A7"/>
    <w:rsid w:val="007E36EC"/>
    <w:rsid w:val="007E6DC5"/>
    <w:rsid w:val="007E70BB"/>
    <w:rsid w:val="007F1BD1"/>
    <w:rsid w:val="007F2A0A"/>
    <w:rsid w:val="007F2F09"/>
    <w:rsid w:val="007F4BAB"/>
    <w:rsid w:val="007F5441"/>
    <w:rsid w:val="0080285F"/>
    <w:rsid w:val="008028F5"/>
    <w:rsid w:val="00804BDF"/>
    <w:rsid w:val="008050FD"/>
    <w:rsid w:val="00806A01"/>
    <w:rsid w:val="00807D07"/>
    <w:rsid w:val="00811817"/>
    <w:rsid w:val="00811C3B"/>
    <w:rsid w:val="008120B8"/>
    <w:rsid w:val="008138F8"/>
    <w:rsid w:val="008176BB"/>
    <w:rsid w:val="00820758"/>
    <w:rsid w:val="00821193"/>
    <w:rsid w:val="00822AED"/>
    <w:rsid w:val="00822DD6"/>
    <w:rsid w:val="0082351A"/>
    <w:rsid w:val="00826DD0"/>
    <w:rsid w:val="008316DB"/>
    <w:rsid w:val="00831732"/>
    <w:rsid w:val="00832899"/>
    <w:rsid w:val="008330B6"/>
    <w:rsid w:val="008370FC"/>
    <w:rsid w:val="00840361"/>
    <w:rsid w:val="00840475"/>
    <w:rsid w:val="00842817"/>
    <w:rsid w:val="00842921"/>
    <w:rsid w:val="00845994"/>
    <w:rsid w:val="00845F11"/>
    <w:rsid w:val="00851522"/>
    <w:rsid w:val="0085335D"/>
    <w:rsid w:val="00855761"/>
    <w:rsid w:val="00863752"/>
    <w:rsid w:val="00863792"/>
    <w:rsid w:val="008647C7"/>
    <w:rsid w:val="00864A30"/>
    <w:rsid w:val="008651D8"/>
    <w:rsid w:val="00866A35"/>
    <w:rsid w:val="00870806"/>
    <w:rsid w:val="00872098"/>
    <w:rsid w:val="00873A7F"/>
    <w:rsid w:val="00877409"/>
    <w:rsid w:val="0088043C"/>
    <w:rsid w:val="00880C6C"/>
    <w:rsid w:val="00884889"/>
    <w:rsid w:val="00886D8B"/>
    <w:rsid w:val="008872EF"/>
    <w:rsid w:val="00887634"/>
    <w:rsid w:val="008906C9"/>
    <w:rsid w:val="00891FC4"/>
    <w:rsid w:val="00894268"/>
    <w:rsid w:val="008944B5"/>
    <w:rsid w:val="00894A7F"/>
    <w:rsid w:val="00896BB7"/>
    <w:rsid w:val="00897861"/>
    <w:rsid w:val="008A116B"/>
    <w:rsid w:val="008A4A93"/>
    <w:rsid w:val="008A4B1B"/>
    <w:rsid w:val="008A55D0"/>
    <w:rsid w:val="008A6184"/>
    <w:rsid w:val="008A6A2B"/>
    <w:rsid w:val="008B113D"/>
    <w:rsid w:val="008B1B82"/>
    <w:rsid w:val="008B2746"/>
    <w:rsid w:val="008B39C1"/>
    <w:rsid w:val="008B5D59"/>
    <w:rsid w:val="008B5E90"/>
    <w:rsid w:val="008B7D8D"/>
    <w:rsid w:val="008C0FA4"/>
    <w:rsid w:val="008C1661"/>
    <w:rsid w:val="008C24ED"/>
    <w:rsid w:val="008C280B"/>
    <w:rsid w:val="008C2C01"/>
    <w:rsid w:val="008C3988"/>
    <w:rsid w:val="008C4D0E"/>
    <w:rsid w:val="008C5738"/>
    <w:rsid w:val="008C5E9E"/>
    <w:rsid w:val="008C6674"/>
    <w:rsid w:val="008C76EE"/>
    <w:rsid w:val="008D04F0"/>
    <w:rsid w:val="008D1560"/>
    <w:rsid w:val="008D3301"/>
    <w:rsid w:val="008D340F"/>
    <w:rsid w:val="008D35C2"/>
    <w:rsid w:val="008D41C2"/>
    <w:rsid w:val="008D44AA"/>
    <w:rsid w:val="008D57C1"/>
    <w:rsid w:val="008D5B2D"/>
    <w:rsid w:val="008E1019"/>
    <w:rsid w:val="008E115A"/>
    <w:rsid w:val="008E14A1"/>
    <w:rsid w:val="008E36DC"/>
    <w:rsid w:val="008E3A29"/>
    <w:rsid w:val="008E4305"/>
    <w:rsid w:val="008E46D9"/>
    <w:rsid w:val="008E4B3A"/>
    <w:rsid w:val="008E6732"/>
    <w:rsid w:val="008F31D0"/>
    <w:rsid w:val="008F3500"/>
    <w:rsid w:val="008F4642"/>
    <w:rsid w:val="008F77DD"/>
    <w:rsid w:val="008F7902"/>
    <w:rsid w:val="009016AB"/>
    <w:rsid w:val="00904596"/>
    <w:rsid w:val="00906322"/>
    <w:rsid w:val="009109A5"/>
    <w:rsid w:val="00912DD8"/>
    <w:rsid w:val="00913879"/>
    <w:rsid w:val="00915538"/>
    <w:rsid w:val="00915F4F"/>
    <w:rsid w:val="0091631B"/>
    <w:rsid w:val="00917A10"/>
    <w:rsid w:val="009208A1"/>
    <w:rsid w:val="00922416"/>
    <w:rsid w:val="00922B73"/>
    <w:rsid w:val="00923CD7"/>
    <w:rsid w:val="009245C8"/>
    <w:rsid w:val="009249B9"/>
    <w:rsid w:val="00924E3C"/>
    <w:rsid w:val="00925AFB"/>
    <w:rsid w:val="00925C24"/>
    <w:rsid w:val="00926C59"/>
    <w:rsid w:val="009310B7"/>
    <w:rsid w:val="0093158D"/>
    <w:rsid w:val="009316AB"/>
    <w:rsid w:val="00932AB6"/>
    <w:rsid w:val="00932AE2"/>
    <w:rsid w:val="0093366C"/>
    <w:rsid w:val="0093681F"/>
    <w:rsid w:val="0093781B"/>
    <w:rsid w:val="009411ED"/>
    <w:rsid w:val="009413E5"/>
    <w:rsid w:val="00941A5F"/>
    <w:rsid w:val="00947156"/>
    <w:rsid w:val="00947765"/>
    <w:rsid w:val="00947DEF"/>
    <w:rsid w:val="009501A9"/>
    <w:rsid w:val="00951E44"/>
    <w:rsid w:val="00952421"/>
    <w:rsid w:val="009527AC"/>
    <w:rsid w:val="009539C1"/>
    <w:rsid w:val="00955211"/>
    <w:rsid w:val="009557BF"/>
    <w:rsid w:val="00955FA5"/>
    <w:rsid w:val="00957574"/>
    <w:rsid w:val="00960A18"/>
    <w:rsid w:val="00960A36"/>
    <w:rsid w:val="00961249"/>
    <w:rsid w:val="009612BB"/>
    <w:rsid w:val="00972570"/>
    <w:rsid w:val="00972E5D"/>
    <w:rsid w:val="00974272"/>
    <w:rsid w:val="00975497"/>
    <w:rsid w:val="009771FD"/>
    <w:rsid w:val="0097765D"/>
    <w:rsid w:val="00977900"/>
    <w:rsid w:val="009800AE"/>
    <w:rsid w:val="00980167"/>
    <w:rsid w:val="009809C0"/>
    <w:rsid w:val="00982B17"/>
    <w:rsid w:val="0098402A"/>
    <w:rsid w:val="00984C48"/>
    <w:rsid w:val="0098711C"/>
    <w:rsid w:val="00987305"/>
    <w:rsid w:val="00987637"/>
    <w:rsid w:val="00993CC9"/>
    <w:rsid w:val="00997C47"/>
    <w:rsid w:val="009A06BD"/>
    <w:rsid w:val="009A1E53"/>
    <w:rsid w:val="009A57DF"/>
    <w:rsid w:val="009A76D7"/>
    <w:rsid w:val="009A7974"/>
    <w:rsid w:val="009B02FE"/>
    <w:rsid w:val="009B1994"/>
    <w:rsid w:val="009B334C"/>
    <w:rsid w:val="009B44F3"/>
    <w:rsid w:val="009B450D"/>
    <w:rsid w:val="009B4D00"/>
    <w:rsid w:val="009B4D52"/>
    <w:rsid w:val="009B5194"/>
    <w:rsid w:val="009B583B"/>
    <w:rsid w:val="009B5C48"/>
    <w:rsid w:val="009C09DE"/>
    <w:rsid w:val="009C1337"/>
    <w:rsid w:val="009C139B"/>
    <w:rsid w:val="009C1CCD"/>
    <w:rsid w:val="009C71F5"/>
    <w:rsid w:val="009C740A"/>
    <w:rsid w:val="009D137B"/>
    <w:rsid w:val="009D342B"/>
    <w:rsid w:val="009D359D"/>
    <w:rsid w:val="009D38BA"/>
    <w:rsid w:val="009D497B"/>
    <w:rsid w:val="009D54E5"/>
    <w:rsid w:val="009E0880"/>
    <w:rsid w:val="009E173A"/>
    <w:rsid w:val="009E5C07"/>
    <w:rsid w:val="009E6BE6"/>
    <w:rsid w:val="009F130F"/>
    <w:rsid w:val="009F3EB2"/>
    <w:rsid w:val="009F48B1"/>
    <w:rsid w:val="00A013CC"/>
    <w:rsid w:val="00A05687"/>
    <w:rsid w:val="00A066EB"/>
    <w:rsid w:val="00A07460"/>
    <w:rsid w:val="00A125C5"/>
    <w:rsid w:val="00A13645"/>
    <w:rsid w:val="00A138F9"/>
    <w:rsid w:val="00A148F6"/>
    <w:rsid w:val="00A14C38"/>
    <w:rsid w:val="00A1571A"/>
    <w:rsid w:val="00A1576B"/>
    <w:rsid w:val="00A15FA0"/>
    <w:rsid w:val="00A1627A"/>
    <w:rsid w:val="00A200CC"/>
    <w:rsid w:val="00A2138B"/>
    <w:rsid w:val="00A23AF6"/>
    <w:rsid w:val="00A2451C"/>
    <w:rsid w:val="00A2704D"/>
    <w:rsid w:val="00A337FA"/>
    <w:rsid w:val="00A34593"/>
    <w:rsid w:val="00A34671"/>
    <w:rsid w:val="00A34AED"/>
    <w:rsid w:val="00A35F78"/>
    <w:rsid w:val="00A40B40"/>
    <w:rsid w:val="00A419B3"/>
    <w:rsid w:val="00A43BF1"/>
    <w:rsid w:val="00A4420C"/>
    <w:rsid w:val="00A470E5"/>
    <w:rsid w:val="00A4715E"/>
    <w:rsid w:val="00A4789C"/>
    <w:rsid w:val="00A47C96"/>
    <w:rsid w:val="00A51254"/>
    <w:rsid w:val="00A51BCB"/>
    <w:rsid w:val="00A5265A"/>
    <w:rsid w:val="00A52DD7"/>
    <w:rsid w:val="00A54208"/>
    <w:rsid w:val="00A5454E"/>
    <w:rsid w:val="00A559D8"/>
    <w:rsid w:val="00A562B8"/>
    <w:rsid w:val="00A601A5"/>
    <w:rsid w:val="00A60ADD"/>
    <w:rsid w:val="00A63720"/>
    <w:rsid w:val="00A6468D"/>
    <w:rsid w:val="00A64F1C"/>
    <w:rsid w:val="00A65BC7"/>
    <w:rsid w:val="00A65EE7"/>
    <w:rsid w:val="00A6688B"/>
    <w:rsid w:val="00A6716A"/>
    <w:rsid w:val="00A70133"/>
    <w:rsid w:val="00A73888"/>
    <w:rsid w:val="00A74B8B"/>
    <w:rsid w:val="00A74E31"/>
    <w:rsid w:val="00A770A6"/>
    <w:rsid w:val="00A809C0"/>
    <w:rsid w:val="00A813B1"/>
    <w:rsid w:val="00A827B3"/>
    <w:rsid w:val="00A840AF"/>
    <w:rsid w:val="00A92687"/>
    <w:rsid w:val="00A92849"/>
    <w:rsid w:val="00A94190"/>
    <w:rsid w:val="00A95049"/>
    <w:rsid w:val="00A9538A"/>
    <w:rsid w:val="00A95964"/>
    <w:rsid w:val="00A965B0"/>
    <w:rsid w:val="00A96C48"/>
    <w:rsid w:val="00A97280"/>
    <w:rsid w:val="00A97BA6"/>
    <w:rsid w:val="00A97DCC"/>
    <w:rsid w:val="00AA0CF6"/>
    <w:rsid w:val="00AA1BAD"/>
    <w:rsid w:val="00AA1CCE"/>
    <w:rsid w:val="00AA2C2B"/>
    <w:rsid w:val="00AA3EE7"/>
    <w:rsid w:val="00AA6CB5"/>
    <w:rsid w:val="00AB0804"/>
    <w:rsid w:val="00AB3019"/>
    <w:rsid w:val="00AB36C4"/>
    <w:rsid w:val="00AB3A5B"/>
    <w:rsid w:val="00AB4D05"/>
    <w:rsid w:val="00AB77EA"/>
    <w:rsid w:val="00AC32B2"/>
    <w:rsid w:val="00AC3422"/>
    <w:rsid w:val="00AC48AF"/>
    <w:rsid w:val="00AC7206"/>
    <w:rsid w:val="00AD36B4"/>
    <w:rsid w:val="00AD5FFF"/>
    <w:rsid w:val="00AE1012"/>
    <w:rsid w:val="00AE1032"/>
    <w:rsid w:val="00AE2155"/>
    <w:rsid w:val="00AE2915"/>
    <w:rsid w:val="00AE3B9B"/>
    <w:rsid w:val="00AE6AA8"/>
    <w:rsid w:val="00AF4D95"/>
    <w:rsid w:val="00AF4E51"/>
    <w:rsid w:val="00AF4EA1"/>
    <w:rsid w:val="00AF6F4B"/>
    <w:rsid w:val="00B0119F"/>
    <w:rsid w:val="00B014E7"/>
    <w:rsid w:val="00B0153C"/>
    <w:rsid w:val="00B01E0D"/>
    <w:rsid w:val="00B02B9C"/>
    <w:rsid w:val="00B04A1F"/>
    <w:rsid w:val="00B05947"/>
    <w:rsid w:val="00B07B2D"/>
    <w:rsid w:val="00B10EC6"/>
    <w:rsid w:val="00B10F76"/>
    <w:rsid w:val="00B119C6"/>
    <w:rsid w:val="00B12E0D"/>
    <w:rsid w:val="00B131F4"/>
    <w:rsid w:val="00B144C7"/>
    <w:rsid w:val="00B1519D"/>
    <w:rsid w:val="00B15D25"/>
    <w:rsid w:val="00B17141"/>
    <w:rsid w:val="00B20CE7"/>
    <w:rsid w:val="00B21C6B"/>
    <w:rsid w:val="00B2201F"/>
    <w:rsid w:val="00B22723"/>
    <w:rsid w:val="00B239E1"/>
    <w:rsid w:val="00B24032"/>
    <w:rsid w:val="00B2604F"/>
    <w:rsid w:val="00B30DEC"/>
    <w:rsid w:val="00B31575"/>
    <w:rsid w:val="00B31E87"/>
    <w:rsid w:val="00B32292"/>
    <w:rsid w:val="00B33795"/>
    <w:rsid w:val="00B343AC"/>
    <w:rsid w:val="00B34F4C"/>
    <w:rsid w:val="00B355EF"/>
    <w:rsid w:val="00B35A2B"/>
    <w:rsid w:val="00B372B1"/>
    <w:rsid w:val="00B373B0"/>
    <w:rsid w:val="00B40EA4"/>
    <w:rsid w:val="00B414E2"/>
    <w:rsid w:val="00B44EED"/>
    <w:rsid w:val="00B45263"/>
    <w:rsid w:val="00B46024"/>
    <w:rsid w:val="00B46D70"/>
    <w:rsid w:val="00B520D0"/>
    <w:rsid w:val="00B54077"/>
    <w:rsid w:val="00B5516B"/>
    <w:rsid w:val="00B56E9F"/>
    <w:rsid w:val="00B60397"/>
    <w:rsid w:val="00B60A68"/>
    <w:rsid w:val="00B618C3"/>
    <w:rsid w:val="00B644CC"/>
    <w:rsid w:val="00B64D5C"/>
    <w:rsid w:val="00B6607A"/>
    <w:rsid w:val="00B72496"/>
    <w:rsid w:val="00B73A38"/>
    <w:rsid w:val="00B73FBD"/>
    <w:rsid w:val="00B77673"/>
    <w:rsid w:val="00B8049E"/>
    <w:rsid w:val="00B8078D"/>
    <w:rsid w:val="00B80CEC"/>
    <w:rsid w:val="00B80F6C"/>
    <w:rsid w:val="00B81962"/>
    <w:rsid w:val="00B82654"/>
    <w:rsid w:val="00B84573"/>
    <w:rsid w:val="00B8547D"/>
    <w:rsid w:val="00B85884"/>
    <w:rsid w:val="00B873AF"/>
    <w:rsid w:val="00B9464D"/>
    <w:rsid w:val="00B948A2"/>
    <w:rsid w:val="00B95884"/>
    <w:rsid w:val="00BA0AE8"/>
    <w:rsid w:val="00BA2CBB"/>
    <w:rsid w:val="00BA5E76"/>
    <w:rsid w:val="00BB10C3"/>
    <w:rsid w:val="00BB3E31"/>
    <w:rsid w:val="00BB4556"/>
    <w:rsid w:val="00BB4D17"/>
    <w:rsid w:val="00BB5192"/>
    <w:rsid w:val="00BB7956"/>
    <w:rsid w:val="00BB7CB5"/>
    <w:rsid w:val="00BB7DA9"/>
    <w:rsid w:val="00BC0AC0"/>
    <w:rsid w:val="00BC0DA5"/>
    <w:rsid w:val="00BC0E53"/>
    <w:rsid w:val="00BC2554"/>
    <w:rsid w:val="00BC25A3"/>
    <w:rsid w:val="00BC27BF"/>
    <w:rsid w:val="00BC3C6D"/>
    <w:rsid w:val="00BC40CC"/>
    <w:rsid w:val="00BC4ACA"/>
    <w:rsid w:val="00BC5053"/>
    <w:rsid w:val="00BC7776"/>
    <w:rsid w:val="00BC7D49"/>
    <w:rsid w:val="00BD340B"/>
    <w:rsid w:val="00BD49B4"/>
    <w:rsid w:val="00BD5754"/>
    <w:rsid w:val="00BD7024"/>
    <w:rsid w:val="00BD7385"/>
    <w:rsid w:val="00BD7B17"/>
    <w:rsid w:val="00BE08AE"/>
    <w:rsid w:val="00BE297C"/>
    <w:rsid w:val="00BE34F8"/>
    <w:rsid w:val="00BE3B8D"/>
    <w:rsid w:val="00BE3FEA"/>
    <w:rsid w:val="00BE4767"/>
    <w:rsid w:val="00BF5EAC"/>
    <w:rsid w:val="00C02962"/>
    <w:rsid w:val="00C03860"/>
    <w:rsid w:val="00C03C4B"/>
    <w:rsid w:val="00C03E39"/>
    <w:rsid w:val="00C06C70"/>
    <w:rsid w:val="00C06CA6"/>
    <w:rsid w:val="00C06FB6"/>
    <w:rsid w:val="00C10C2C"/>
    <w:rsid w:val="00C116D1"/>
    <w:rsid w:val="00C15754"/>
    <w:rsid w:val="00C17600"/>
    <w:rsid w:val="00C20D0A"/>
    <w:rsid w:val="00C237B7"/>
    <w:rsid w:val="00C24CF7"/>
    <w:rsid w:val="00C250D5"/>
    <w:rsid w:val="00C27D58"/>
    <w:rsid w:val="00C32B67"/>
    <w:rsid w:val="00C35666"/>
    <w:rsid w:val="00C36FCF"/>
    <w:rsid w:val="00C40177"/>
    <w:rsid w:val="00C4491C"/>
    <w:rsid w:val="00C44AED"/>
    <w:rsid w:val="00C47294"/>
    <w:rsid w:val="00C5009C"/>
    <w:rsid w:val="00C5077E"/>
    <w:rsid w:val="00C508AD"/>
    <w:rsid w:val="00C52295"/>
    <w:rsid w:val="00C5284C"/>
    <w:rsid w:val="00C52F0D"/>
    <w:rsid w:val="00C53F30"/>
    <w:rsid w:val="00C54695"/>
    <w:rsid w:val="00C5599A"/>
    <w:rsid w:val="00C5607B"/>
    <w:rsid w:val="00C607A7"/>
    <w:rsid w:val="00C60979"/>
    <w:rsid w:val="00C662D9"/>
    <w:rsid w:val="00C6664A"/>
    <w:rsid w:val="00C66C87"/>
    <w:rsid w:val="00C671C8"/>
    <w:rsid w:val="00C67794"/>
    <w:rsid w:val="00C677C6"/>
    <w:rsid w:val="00C67B42"/>
    <w:rsid w:val="00C70B41"/>
    <w:rsid w:val="00C756F2"/>
    <w:rsid w:val="00C76EC0"/>
    <w:rsid w:val="00C8037E"/>
    <w:rsid w:val="00C82497"/>
    <w:rsid w:val="00C83073"/>
    <w:rsid w:val="00C84C71"/>
    <w:rsid w:val="00C8638B"/>
    <w:rsid w:val="00C876E7"/>
    <w:rsid w:val="00C912BB"/>
    <w:rsid w:val="00C91832"/>
    <w:rsid w:val="00C92218"/>
    <w:rsid w:val="00C923FF"/>
    <w:rsid w:val="00C925FF"/>
    <w:rsid w:val="00C92898"/>
    <w:rsid w:val="00C965E3"/>
    <w:rsid w:val="00C96663"/>
    <w:rsid w:val="00C974DA"/>
    <w:rsid w:val="00CA0776"/>
    <w:rsid w:val="00CA195B"/>
    <w:rsid w:val="00CA1F83"/>
    <w:rsid w:val="00CA4340"/>
    <w:rsid w:val="00CA4BE6"/>
    <w:rsid w:val="00CA4C2C"/>
    <w:rsid w:val="00CA4FFC"/>
    <w:rsid w:val="00CA56C1"/>
    <w:rsid w:val="00CA5C22"/>
    <w:rsid w:val="00CA6989"/>
    <w:rsid w:val="00CA7A1E"/>
    <w:rsid w:val="00CB007B"/>
    <w:rsid w:val="00CB03A6"/>
    <w:rsid w:val="00CB0A1D"/>
    <w:rsid w:val="00CB0CC4"/>
    <w:rsid w:val="00CB140D"/>
    <w:rsid w:val="00CB32AF"/>
    <w:rsid w:val="00CB623C"/>
    <w:rsid w:val="00CC22E2"/>
    <w:rsid w:val="00CC33F8"/>
    <w:rsid w:val="00CC346B"/>
    <w:rsid w:val="00CC4927"/>
    <w:rsid w:val="00CD4260"/>
    <w:rsid w:val="00CD485B"/>
    <w:rsid w:val="00CD4F29"/>
    <w:rsid w:val="00CD5A79"/>
    <w:rsid w:val="00CD7003"/>
    <w:rsid w:val="00CD73B4"/>
    <w:rsid w:val="00CE02D0"/>
    <w:rsid w:val="00CE41BC"/>
    <w:rsid w:val="00CE5238"/>
    <w:rsid w:val="00CE5D91"/>
    <w:rsid w:val="00CE7514"/>
    <w:rsid w:val="00CF0B25"/>
    <w:rsid w:val="00CF26DA"/>
    <w:rsid w:val="00CF3018"/>
    <w:rsid w:val="00CF4691"/>
    <w:rsid w:val="00D00563"/>
    <w:rsid w:val="00D00EBE"/>
    <w:rsid w:val="00D02076"/>
    <w:rsid w:val="00D02098"/>
    <w:rsid w:val="00D042F8"/>
    <w:rsid w:val="00D14CC5"/>
    <w:rsid w:val="00D14E32"/>
    <w:rsid w:val="00D15384"/>
    <w:rsid w:val="00D178ED"/>
    <w:rsid w:val="00D17C46"/>
    <w:rsid w:val="00D20D57"/>
    <w:rsid w:val="00D22718"/>
    <w:rsid w:val="00D2336C"/>
    <w:rsid w:val="00D248DE"/>
    <w:rsid w:val="00D25460"/>
    <w:rsid w:val="00D2548F"/>
    <w:rsid w:val="00D32226"/>
    <w:rsid w:val="00D33206"/>
    <w:rsid w:val="00D33C13"/>
    <w:rsid w:val="00D34769"/>
    <w:rsid w:val="00D358FA"/>
    <w:rsid w:val="00D403DB"/>
    <w:rsid w:val="00D40AAD"/>
    <w:rsid w:val="00D430D9"/>
    <w:rsid w:val="00D46531"/>
    <w:rsid w:val="00D47751"/>
    <w:rsid w:val="00D5002A"/>
    <w:rsid w:val="00D50EA6"/>
    <w:rsid w:val="00D5123E"/>
    <w:rsid w:val="00D54F23"/>
    <w:rsid w:val="00D55A71"/>
    <w:rsid w:val="00D60244"/>
    <w:rsid w:val="00D605A7"/>
    <w:rsid w:val="00D615B8"/>
    <w:rsid w:val="00D63769"/>
    <w:rsid w:val="00D67269"/>
    <w:rsid w:val="00D74870"/>
    <w:rsid w:val="00D7625E"/>
    <w:rsid w:val="00D774C8"/>
    <w:rsid w:val="00D7750C"/>
    <w:rsid w:val="00D77756"/>
    <w:rsid w:val="00D82CC8"/>
    <w:rsid w:val="00D847AB"/>
    <w:rsid w:val="00D85127"/>
    <w:rsid w:val="00D8542D"/>
    <w:rsid w:val="00D85BD9"/>
    <w:rsid w:val="00D86186"/>
    <w:rsid w:val="00D87A23"/>
    <w:rsid w:val="00D903B2"/>
    <w:rsid w:val="00D904B8"/>
    <w:rsid w:val="00D9136E"/>
    <w:rsid w:val="00D91E56"/>
    <w:rsid w:val="00D92A18"/>
    <w:rsid w:val="00D934A7"/>
    <w:rsid w:val="00D9536E"/>
    <w:rsid w:val="00DA3F0D"/>
    <w:rsid w:val="00DA3FEC"/>
    <w:rsid w:val="00DB198D"/>
    <w:rsid w:val="00DB2ACE"/>
    <w:rsid w:val="00DB2BAC"/>
    <w:rsid w:val="00DB4329"/>
    <w:rsid w:val="00DC0D3F"/>
    <w:rsid w:val="00DC35BE"/>
    <w:rsid w:val="00DC463A"/>
    <w:rsid w:val="00DC6A71"/>
    <w:rsid w:val="00DC7E97"/>
    <w:rsid w:val="00DC7F22"/>
    <w:rsid w:val="00DD1FA1"/>
    <w:rsid w:val="00DD3035"/>
    <w:rsid w:val="00DD34B7"/>
    <w:rsid w:val="00DD5B11"/>
    <w:rsid w:val="00DD7397"/>
    <w:rsid w:val="00DD7583"/>
    <w:rsid w:val="00DE083A"/>
    <w:rsid w:val="00DE0C1B"/>
    <w:rsid w:val="00DE1D6A"/>
    <w:rsid w:val="00DE276A"/>
    <w:rsid w:val="00DE75D4"/>
    <w:rsid w:val="00DE7FC4"/>
    <w:rsid w:val="00DF29E0"/>
    <w:rsid w:val="00DF44CD"/>
    <w:rsid w:val="00DF4F17"/>
    <w:rsid w:val="00DF611D"/>
    <w:rsid w:val="00DF6380"/>
    <w:rsid w:val="00DF65F6"/>
    <w:rsid w:val="00DF7070"/>
    <w:rsid w:val="00DF780A"/>
    <w:rsid w:val="00E00911"/>
    <w:rsid w:val="00E00CB6"/>
    <w:rsid w:val="00E012C3"/>
    <w:rsid w:val="00E01576"/>
    <w:rsid w:val="00E0357D"/>
    <w:rsid w:val="00E05E3A"/>
    <w:rsid w:val="00E06FC7"/>
    <w:rsid w:val="00E12F67"/>
    <w:rsid w:val="00E13533"/>
    <w:rsid w:val="00E1382E"/>
    <w:rsid w:val="00E17585"/>
    <w:rsid w:val="00E201A3"/>
    <w:rsid w:val="00E210B5"/>
    <w:rsid w:val="00E21D2C"/>
    <w:rsid w:val="00E23FF4"/>
    <w:rsid w:val="00E25A13"/>
    <w:rsid w:val="00E26AA9"/>
    <w:rsid w:val="00E26B51"/>
    <w:rsid w:val="00E26CE3"/>
    <w:rsid w:val="00E27525"/>
    <w:rsid w:val="00E3202B"/>
    <w:rsid w:val="00E3433B"/>
    <w:rsid w:val="00E3530A"/>
    <w:rsid w:val="00E4148D"/>
    <w:rsid w:val="00E43E92"/>
    <w:rsid w:val="00E43EE7"/>
    <w:rsid w:val="00E51860"/>
    <w:rsid w:val="00E6136A"/>
    <w:rsid w:val="00E6465D"/>
    <w:rsid w:val="00E64BC2"/>
    <w:rsid w:val="00E6664A"/>
    <w:rsid w:val="00E71D90"/>
    <w:rsid w:val="00E72090"/>
    <w:rsid w:val="00E721A5"/>
    <w:rsid w:val="00E7396C"/>
    <w:rsid w:val="00E74ACC"/>
    <w:rsid w:val="00E762CA"/>
    <w:rsid w:val="00E76566"/>
    <w:rsid w:val="00E7688C"/>
    <w:rsid w:val="00E777D3"/>
    <w:rsid w:val="00E77F66"/>
    <w:rsid w:val="00E8160A"/>
    <w:rsid w:val="00E81E77"/>
    <w:rsid w:val="00E8274E"/>
    <w:rsid w:val="00E829EE"/>
    <w:rsid w:val="00E85B7D"/>
    <w:rsid w:val="00E85E23"/>
    <w:rsid w:val="00E97E56"/>
    <w:rsid w:val="00EA08F5"/>
    <w:rsid w:val="00EA1F72"/>
    <w:rsid w:val="00EA3EA9"/>
    <w:rsid w:val="00EA46EF"/>
    <w:rsid w:val="00EA7CF2"/>
    <w:rsid w:val="00EB2843"/>
    <w:rsid w:val="00EB6771"/>
    <w:rsid w:val="00EC6E02"/>
    <w:rsid w:val="00EC73BB"/>
    <w:rsid w:val="00EC749E"/>
    <w:rsid w:val="00EC7B1C"/>
    <w:rsid w:val="00ED1076"/>
    <w:rsid w:val="00ED1C3E"/>
    <w:rsid w:val="00ED21FE"/>
    <w:rsid w:val="00ED4E21"/>
    <w:rsid w:val="00ED6452"/>
    <w:rsid w:val="00ED7EC8"/>
    <w:rsid w:val="00EE134E"/>
    <w:rsid w:val="00EE3259"/>
    <w:rsid w:val="00EE5A04"/>
    <w:rsid w:val="00EE5F05"/>
    <w:rsid w:val="00EE73DB"/>
    <w:rsid w:val="00EE79F1"/>
    <w:rsid w:val="00EF0159"/>
    <w:rsid w:val="00EF0732"/>
    <w:rsid w:val="00EF21AF"/>
    <w:rsid w:val="00EF49A2"/>
    <w:rsid w:val="00EF76BE"/>
    <w:rsid w:val="00F00781"/>
    <w:rsid w:val="00F0272D"/>
    <w:rsid w:val="00F03A06"/>
    <w:rsid w:val="00F03F58"/>
    <w:rsid w:val="00F03FBA"/>
    <w:rsid w:val="00F0412C"/>
    <w:rsid w:val="00F04540"/>
    <w:rsid w:val="00F066EA"/>
    <w:rsid w:val="00F06752"/>
    <w:rsid w:val="00F10F23"/>
    <w:rsid w:val="00F11112"/>
    <w:rsid w:val="00F119F5"/>
    <w:rsid w:val="00F132ED"/>
    <w:rsid w:val="00F140EC"/>
    <w:rsid w:val="00F150E5"/>
    <w:rsid w:val="00F17488"/>
    <w:rsid w:val="00F177DE"/>
    <w:rsid w:val="00F206A2"/>
    <w:rsid w:val="00F207A4"/>
    <w:rsid w:val="00F238DC"/>
    <w:rsid w:val="00F23A7A"/>
    <w:rsid w:val="00F23BC5"/>
    <w:rsid w:val="00F23FD4"/>
    <w:rsid w:val="00F240BB"/>
    <w:rsid w:val="00F243F8"/>
    <w:rsid w:val="00F24669"/>
    <w:rsid w:val="00F25413"/>
    <w:rsid w:val="00F272D1"/>
    <w:rsid w:val="00F2770A"/>
    <w:rsid w:val="00F30755"/>
    <w:rsid w:val="00F31611"/>
    <w:rsid w:val="00F32E37"/>
    <w:rsid w:val="00F3330D"/>
    <w:rsid w:val="00F35529"/>
    <w:rsid w:val="00F37841"/>
    <w:rsid w:val="00F402A4"/>
    <w:rsid w:val="00F4086C"/>
    <w:rsid w:val="00F413AE"/>
    <w:rsid w:val="00F41ED4"/>
    <w:rsid w:val="00F41FCE"/>
    <w:rsid w:val="00F43D23"/>
    <w:rsid w:val="00F45249"/>
    <w:rsid w:val="00F45D0A"/>
    <w:rsid w:val="00F46219"/>
    <w:rsid w:val="00F47424"/>
    <w:rsid w:val="00F4770D"/>
    <w:rsid w:val="00F4779E"/>
    <w:rsid w:val="00F50578"/>
    <w:rsid w:val="00F508A2"/>
    <w:rsid w:val="00F53949"/>
    <w:rsid w:val="00F54852"/>
    <w:rsid w:val="00F56509"/>
    <w:rsid w:val="00F57475"/>
    <w:rsid w:val="00F57FED"/>
    <w:rsid w:val="00F622D9"/>
    <w:rsid w:val="00F6517C"/>
    <w:rsid w:val="00F65D79"/>
    <w:rsid w:val="00F71631"/>
    <w:rsid w:val="00F72335"/>
    <w:rsid w:val="00F72AB0"/>
    <w:rsid w:val="00F74131"/>
    <w:rsid w:val="00F754F5"/>
    <w:rsid w:val="00F7775B"/>
    <w:rsid w:val="00F77A49"/>
    <w:rsid w:val="00F80974"/>
    <w:rsid w:val="00F810C4"/>
    <w:rsid w:val="00F817D4"/>
    <w:rsid w:val="00F82F0E"/>
    <w:rsid w:val="00F84ABA"/>
    <w:rsid w:val="00F8591D"/>
    <w:rsid w:val="00F91E0F"/>
    <w:rsid w:val="00F91FE4"/>
    <w:rsid w:val="00F93359"/>
    <w:rsid w:val="00F95329"/>
    <w:rsid w:val="00F95568"/>
    <w:rsid w:val="00F960FB"/>
    <w:rsid w:val="00FA1C91"/>
    <w:rsid w:val="00FA4272"/>
    <w:rsid w:val="00FA5B09"/>
    <w:rsid w:val="00FB0C59"/>
    <w:rsid w:val="00FB3B70"/>
    <w:rsid w:val="00FB78FD"/>
    <w:rsid w:val="00FC0F01"/>
    <w:rsid w:val="00FC1713"/>
    <w:rsid w:val="00FC1AFA"/>
    <w:rsid w:val="00FC36E5"/>
    <w:rsid w:val="00FC3746"/>
    <w:rsid w:val="00FC3F89"/>
    <w:rsid w:val="00FC4E26"/>
    <w:rsid w:val="00FC5186"/>
    <w:rsid w:val="00FC61F7"/>
    <w:rsid w:val="00FC6629"/>
    <w:rsid w:val="00FC73C9"/>
    <w:rsid w:val="00FC7415"/>
    <w:rsid w:val="00FD069D"/>
    <w:rsid w:val="00FD1F7A"/>
    <w:rsid w:val="00FD2102"/>
    <w:rsid w:val="00FD5779"/>
    <w:rsid w:val="00FD5A74"/>
    <w:rsid w:val="00FD6AFE"/>
    <w:rsid w:val="00FD6BFD"/>
    <w:rsid w:val="00FD73EA"/>
    <w:rsid w:val="00FE1EAC"/>
    <w:rsid w:val="00FE2D8F"/>
    <w:rsid w:val="00FE4991"/>
    <w:rsid w:val="00FE5A4F"/>
    <w:rsid w:val="00FE5F20"/>
    <w:rsid w:val="00FE5F88"/>
    <w:rsid w:val="00FE7586"/>
    <w:rsid w:val="00FE7FEA"/>
    <w:rsid w:val="00FF035A"/>
    <w:rsid w:val="00FF1AAA"/>
    <w:rsid w:val="00FF49C1"/>
    <w:rsid w:val="00FF57CF"/>
    <w:rsid w:val="00FF6019"/>
    <w:rsid w:val="00FF68BC"/>
    <w:rsid w:val="00FF782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colormru v:ext="edit" colors="#428299,#529dba"/>
    </o:shapedefaults>
    <o:shapelayout v:ext="edit">
      <o:idmap v:ext="edit" data="1"/>
    </o:shapelayout>
  </w:shapeDefaults>
  <w:doNotEmbedSmartTags/>
  <w:decimalSymbol w:val=","/>
  <w:listSeparator w:val=";"/>
  <w15:docId w15:val="{8BBA851A-307B-4FB9-8EDF-F11DDCFDDE8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l-SI" w:eastAsia="sl-SI"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uiPriority="0"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3B5B71"/>
    <w:pPr>
      <w:spacing w:line="260" w:lineRule="atLeast"/>
    </w:pPr>
    <w:rPr>
      <w:rFonts w:ascii="Arial" w:hAnsi="Arial"/>
      <w:szCs w:val="24"/>
      <w:lang w:eastAsia="en-US"/>
    </w:rPr>
  </w:style>
  <w:style w:type="paragraph" w:styleId="Naslov1">
    <w:name w:val="heading 1"/>
    <w:aliases w:val="NASLOV"/>
    <w:basedOn w:val="Navaden"/>
    <w:next w:val="Navaden"/>
    <w:link w:val="Naslov1Znak"/>
    <w:autoRedefine/>
    <w:qFormat/>
    <w:rsid w:val="003F0585"/>
    <w:pPr>
      <w:keepNext/>
      <w:spacing w:before="240" w:after="60"/>
      <w:outlineLvl w:val="0"/>
    </w:pPr>
    <w:rPr>
      <w:b/>
      <w:kern w:val="32"/>
      <w:sz w:val="28"/>
      <w:szCs w:val="32"/>
      <w:lang w:eastAsia="sl-SI"/>
    </w:rPr>
  </w:style>
  <w:style w:type="paragraph" w:styleId="Naslov2">
    <w:name w:val="heading 2"/>
    <w:basedOn w:val="Navaden"/>
    <w:next w:val="Navaden"/>
    <w:link w:val="Naslov2Znak"/>
    <w:uiPriority w:val="9"/>
    <w:semiHidden/>
    <w:unhideWhenUsed/>
    <w:qFormat/>
    <w:rsid w:val="00AE2155"/>
    <w:pPr>
      <w:keepNext/>
      <w:spacing w:before="240" w:after="60"/>
      <w:outlineLvl w:val="1"/>
    </w:pPr>
    <w:rPr>
      <w:rFonts w:ascii="Calibri Light" w:hAnsi="Calibri Light"/>
      <w:b/>
      <w:bCs/>
      <w:i/>
      <w:iCs/>
      <w:sz w:val="28"/>
      <w:szCs w:val="28"/>
    </w:rPr>
  </w:style>
  <w:style w:type="paragraph" w:styleId="Naslov3">
    <w:name w:val="heading 3"/>
    <w:basedOn w:val="Navaden"/>
    <w:next w:val="Navaden"/>
    <w:link w:val="Naslov3Znak"/>
    <w:uiPriority w:val="9"/>
    <w:semiHidden/>
    <w:unhideWhenUsed/>
    <w:qFormat/>
    <w:rsid w:val="002143E3"/>
    <w:pPr>
      <w:keepNext/>
      <w:spacing w:before="240" w:after="60"/>
      <w:outlineLvl w:val="2"/>
    </w:pPr>
    <w:rPr>
      <w:rFonts w:ascii="Calibri Light" w:hAnsi="Calibri Light"/>
      <w:b/>
      <w:bCs/>
      <w:sz w:val="26"/>
      <w:szCs w:val="26"/>
    </w:rPr>
  </w:style>
  <w:style w:type="paragraph" w:styleId="Naslov5">
    <w:name w:val="heading 5"/>
    <w:basedOn w:val="Navaden"/>
    <w:qFormat/>
    <w:rsid w:val="003B1BCF"/>
    <w:pPr>
      <w:spacing w:before="100" w:beforeAutospacing="1" w:after="100" w:afterAutospacing="1" w:line="212" w:lineRule="atLeast"/>
      <w:outlineLvl w:val="4"/>
    </w:pPr>
    <w:rPr>
      <w:rFonts w:ascii="Times New Roman" w:hAnsi="Times New Roman"/>
      <w:b/>
      <w:bCs/>
      <w:sz w:val="18"/>
      <w:szCs w:val="18"/>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rsid w:val="00AD2B87"/>
    <w:pPr>
      <w:tabs>
        <w:tab w:val="center" w:pos="4320"/>
        <w:tab w:val="right" w:pos="8640"/>
      </w:tabs>
    </w:pPr>
  </w:style>
  <w:style w:type="paragraph" w:styleId="Noga">
    <w:name w:val="footer"/>
    <w:basedOn w:val="Navaden"/>
    <w:link w:val="NogaZnak"/>
    <w:uiPriority w:val="99"/>
    <w:rsid w:val="00AD2B87"/>
    <w:pPr>
      <w:tabs>
        <w:tab w:val="center" w:pos="4320"/>
        <w:tab w:val="right" w:pos="8640"/>
      </w:tabs>
    </w:pPr>
  </w:style>
  <w:style w:type="paragraph" w:styleId="Zgradbadokumenta">
    <w:name w:val="Document Map"/>
    <w:basedOn w:val="Navaden"/>
    <w:link w:val="ZgradbadokumentaZnak"/>
    <w:rsid w:val="00B31575"/>
    <w:rPr>
      <w:rFonts w:ascii="Tahoma" w:hAnsi="Tahoma" w:cs="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uiPriority w:val="39"/>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uiPriority w:val="99"/>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styleId="Besedilooblaka">
    <w:name w:val="Balloon Text"/>
    <w:basedOn w:val="Navaden"/>
    <w:link w:val="BesedilooblakaZnak"/>
    <w:uiPriority w:val="99"/>
    <w:rsid w:val="00E71D90"/>
    <w:pPr>
      <w:spacing w:line="240" w:lineRule="auto"/>
    </w:pPr>
    <w:rPr>
      <w:rFonts w:ascii="Tahoma" w:hAnsi="Tahoma" w:cs="Tahoma"/>
      <w:sz w:val="16"/>
      <w:szCs w:val="16"/>
    </w:rPr>
  </w:style>
  <w:style w:type="character" w:customStyle="1" w:styleId="BesedilooblakaZnak">
    <w:name w:val="Besedilo oblačka Znak"/>
    <w:link w:val="Besedilooblaka"/>
    <w:uiPriority w:val="99"/>
    <w:rsid w:val="00E71D90"/>
    <w:rPr>
      <w:rFonts w:ascii="Tahoma" w:hAnsi="Tahoma" w:cs="Tahoma"/>
      <w:sz w:val="16"/>
      <w:szCs w:val="16"/>
      <w:lang w:val="en-US" w:eastAsia="en-US"/>
    </w:rPr>
  </w:style>
  <w:style w:type="character" w:customStyle="1" w:styleId="NogaZnak">
    <w:name w:val="Noga Znak"/>
    <w:link w:val="Noga"/>
    <w:uiPriority w:val="99"/>
    <w:rsid w:val="00F72335"/>
    <w:rPr>
      <w:rFonts w:ascii="Arial" w:hAnsi="Arial"/>
      <w:szCs w:val="24"/>
      <w:lang w:val="en-US" w:eastAsia="en-US"/>
    </w:rPr>
  </w:style>
  <w:style w:type="character" w:styleId="SledenaHiperpovezava">
    <w:name w:val="FollowedHyperlink"/>
    <w:rsid w:val="00F622D9"/>
    <w:rPr>
      <w:color w:val="800080"/>
      <w:u w:val="single"/>
    </w:rPr>
  </w:style>
  <w:style w:type="character" w:customStyle="1" w:styleId="Naslov1Znak">
    <w:name w:val="Naslov 1 Znak"/>
    <w:aliases w:val="NASLOV Znak"/>
    <w:link w:val="Naslov1"/>
    <w:rsid w:val="009D359D"/>
    <w:rPr>
      <w:rFonts w:ascii="Arial" w:hAnsi="Arial"/>
      <w:b/>
      <w:kern w:val="32"/>
      <w:sz w:val="28"/>
      <w:szCs w:val="32"/>
      <w:lang w:val="sl-SI" w:eastAsia="sl-SI" w:bidi="ar-SA"/>
    </w:rPr>
  </w:style>
  <w:style w:type="paragraph" w:customStyle="1" w:styleId="Vrstapredpisa">
    <w:name w:val="Vrsta predpisa"/>
    <w:basedOn w:val="Navaden"/>
    <w:link w:val="VrstapredpisaZnak"/>
    <w:qFormat/>
    <w:rsid w:val="009D359D"/>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rPr>
  </w:style>
  <w:style w:type="character" w:customStyle="1" w:styleId="VrstapredpisaZnak">
    <w:name w:val="Vrsta predpisa Znak"/>
    <w:link w:val="Vrstapredpisa"/>
    <w:rsid w:val="009D359D"/>
    <w:rPr>
      <w:rFonts w:ascii="Arial" w:hAnsi="Arial" w:cs="Arial"/>
      <w:b/>
      <w:bCs/>
      <w:color w:val="000000"/>
      <w:spacing w:val="40"/>
      <w:sz w:val="22"/>
      <w:szCs w:val="22"/>
      <w:lang w:val="en-US" w:eastAsia="en-US" w:bidi="ar-SA"/>
    </w:rPr>
  </w:style>
  <w:style w:type="paragraph" w:customStyle="1" w:styleId="Poglavje">
    <w:name w:val="Poglavje"/>
    <w:basedOn w:val="Navaden"/>
    <w:qFormat/>
    <w:rsid w:val="009D359D"/>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Neotevilenodstavek">
    <w:name w:val="Neoštevilčen odstavek"/>
    <w:basedOn w:val="Navaden"/>
    <w:link w:val="NeotevilenodstavekZnak"/>
    <w:qFormat/>
    <w:rsid w:val="009D359D"/>
    <w:pPr>
      <w:overflowPunct w:val="0"/>
      <w:autoSpaceDE w:val="0"/>
      <w:autoSpaceDN w:val="0"/>
      <w:adjustRightInd w:val="0"/>
      <w:spacing w:before="60" w:after="60" w:line="200" w:lineRule="exact"/>
      <w:jc w:val="both"/>
      <w:textAlignment w:val="baseline"/>
    </w:pPr>
    <w:rPr>
      <w:rFonts w:cs="Arial"/>
      <w:sz w:val="22"/>
      <w:szCs w:val="22"/>
    </w:rPr>
  </w:style>
  <w:style w:type="character" w:customStyle="1" w:styleId="NeotevilenodstavekZnak">
    <w:name w:val="Neoštevilčen odstavek Znak"/>
    <w:link w:val="Neotevilenodstavek"/>
    <w:rsid w:val="009D359D"/>
    <w:rPr>
      <w:rFonts w:ascii="Arial" w:hAnsi="Arial" w:cs="Arial"/>
      <w:sz w:val="22"/>
      <w:szCs w:val="22"/>
      <w:lang w:val="en-US" w:eastAsia="en-US" w:bidi="ar-SA"/>
    </w:rPr>
  </w:style>
  <w:style w:type="paragraph" w:customStyle="1" w:styleId="Oddelek">
    <w:name w:val="Oddelek"/>
    <w:basedOn w:val="Navaden"/>
    <w:link w:val="OddelekZnak1"/>
    <w:qFormat/>
    <w:rsid w:val="009D359D"/>
    <w:pPr>
      <w:numPr>
        <w:numId w:val="2"/>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rPr>
  </w:style>
  <w:style w:type="character" w:customStyle="1" w:styleId="OddelekZnak1">
    <w:name w:val="Oddelek Znak1"/>
    <w:link w:val="Oddelek"/>
    <w:rsid w:val="009D359D"/>
    <w:rPr>
      <w:rFonts w:ascii="Arial" w:hAnsi="Arial" w:cs="Arial"/>
      <w:b/>
      <w:sz w:val="22"/>
      <w:szCs w:val="22"/>
      <w:lang w:eastAsia="en-US"/>
    </w:rPr>
  </w:style>
  <w:style w:type="paragraph" w:customStyle="1" w:styleId="CharChar1">
    <w:name w:val="Char Char1"/>
    <w:basedOn w:val="Navaden"/>
    <w:rsid w:val="009D359D"/>
    <w:pPr>
      <w:spacing w:after="160" w:line="240" w:lineRule="exact"/>
    </w:pPr>
    <w:rPr>
      <w:rFonts w:ascii="Tahoma" w:hAnsi="Tahoma"/>
      <w:szCs w:val="20"/>
    </w:rPr>
  </w:style>
  <w:style w:type="character" w:styleId="Krepko">
    <w:name w:val="Strong"/>
    <w:uiPriority w:val="22"/>
    <w:qFormat/>
    <w:rsid w:val="009D359D"/>
    <w:rPr>
      <w:b/>
      <w:bCs/>
    </w:rPr>
  </w:style>
  <w:style w:type="paragraph" w:styleId="Navadensplet">
    <w:name w:val="Normal (Web)"/>
    <w:basedOn w:val="Navaden"/>
    <w:qFormat/>
    <w:rsid w:val="009D359D"/>
    <w:pPr>
      <w:spacing w:before="100" w:beforeAutospacing="1" w:after="100" w:afterAutospacing="1" w:line="240" w:lineRule="auto"/>
    </w:pPr>
    <w:rPr>
      <w:rFonts w:ascii="Times New Roman" w:hAnsi="Times New Roman"/>
      <w:sz w:val="24"/>
      <w:lang w:eastAsia="sl-SI"/>
    </w:rPr>
  </w:style>
  <w:style w:type="paragraph" w:customStyle="1" w:styleId="Naslovpredpisa">
    <w:name w:val="Naslov_predpisa"/>
    <w:basedOn w:val="Navaden"/>
    <w:link w:val="NaslovpredpisaZnak"/>
    <w:qFormat/>
    <w:rsid w:val="00130D77"/>
    <w:pPr>
      <w:suppressAutoHyphens/>
      <w:overflowPunct w:val="0"/>
      <w:autoSpaceDE w:val="0"/>
      <w:autoSpaceDN w:val="0"/>
      <w:adjustRightInd w:val="0"/>
      <w:spacing w:before="120" w:after="160" w:line="200" w:lineRule="exact"/>
      <w:jc w:val="center"/>
      <w:textAlignment w:val="baseline"/>
    </w:pPr>
    <w:rPr>
      <w:rFonts w:cs="Arial"/>
      <w:b/>
      <w:sz w:val="22"/>
      <w:szCs w:val="22"/>
    </w:rPr>
  </w:style>
  <w:style w:type="character" w:customStyle="1" w:styleId="NaslovpredpisaZnak">
    <w:name w:val="Naslov_predpisa Znak"/>
    <w:link w:val="Naslovpredpisa"/>
    <w:rsid w:val="00130D77"/>
    <w:rPr>
      <w:rFonts w:ascii="Arial" w:hAnsi="Arial" w:cs="Arial"/>
      <w:b/>
      <w:sz w:val="22"/>
      <w:szCs w:val="22"/>
      <w:lang w:val="en-US" w:eastAsia="en-US" w:bidi="ar-SA"/>
    </w:rPr>
  </w:style>
  <w:style w:type="paragraph" w:customStyle="1" w:styleId="Alineazaodstavkom">
    <w:name w:val="Alinea za odstavkom"/>
    <w:basedOn w:val="Navaden"/>
    <w:link w:val="AlineazaodstavkomZnak"/>
    <w:qFormat/>
    <w:rsid w:val="00130D77"/>
    <w:pPr>
      <w:numPr>
        <w:numId w:val="7"/>
      </w:numPr>
      <w:overflowPunct w:val="0"/>
      <w:autoSpaceDE w:val="0"/>
      <w:autoSpaceDN w:val="0"/>
      <w:adjustRightInd w:val="0"/>
      <w:spacing w:line="200" w:lineRule="exact"/>
      <w:ind w:left="709" w:hanging="284"/>
      <w:jc w:val="both"/>
      <w:textAlignment w:val="baseline"/>
    </w:pPr>
    <w:rPr>
      <w:rFonts w:cs="Arial"/>
      <w:sz w:val="22"/>
      <w:szCs w:val="22"/>
    </w:rPr>
  </w:style>
  <w:style w:type="character" w:customStyle="1" w:styleId="AlineazaodstavkomZnak">
    <w:name w:val="Alinea za odstavkom Znak"/>
    <w:link w:val="Alineazaodstavkom"/>
    <w:rsid w:val="00130D77"/>
    <w:rPr>
      <w:rFonts w:ascii="Arial" w:hAnsi="Arial" w:cs="Arial"/>
      <w:sz w:val="22"/>
      <w:szCs w:val="22"/>
      <w:lang w:eastAsia="en-US"/>
    </w:rPr>
  </w:style>
  <w:style w:type="character" w:customStyle="1" w:styleId="GlavaZnak">
    <w:name w:val="Glava Znak"/>
    <w:link w:val="Glava"/>
    <w:locked/>
    <w:rsid w:val="00DE7FC4"/>
    <w:rPr>
      <w:rFonts w:ascii="Arial" w:hAnsi="Arial"/>
      <w:szCs w:val="24"/>
      <w:lang w:val="en-US" w:eastAsia="en-US" w:bidi="ar-SA"/>
    </w:rPr>
  </w:style>
  <w:style w:type="paragraph" w:customStyle="1" w:styleId="Odstavekseznama1">
    <w:name w:val="Odstavek seznama1"/>
    <w:basedOn w:val="Navaden"/>
    <w:rsid w:val="00DE7FC4"/>
    <w:pPr>
      <w:autoSpaceDE w:val="0"/>
      <w:autoSpaceDN w:val="0"/>
      <w:adjustRightInd w:val="0"/>
      <w:spacing w:line="320" w:lineRule="exact"/>
      <w:ind w:left="720"/>
      <w:contextualSpacing/>
      <w:jc w:val="both"/>
    </w:pPr>
    <w:rPr>
      <w:rFonts w:ascii="Times New Roman" w:hAnsi="Times New Roman"/>
      <w:sz w:val="22"/>
      <w:szCs w:val="22"/>
    </w:rPr>
  </w:style>
  <w:style w:type="paragraph" w:customStyle="1" w:styleId="bodytext">
    <w:name w:val="bodytext"/>
    <w:basedOn w:val="Navaden"/>
    <w:rsid w:val="003B1BCF"/>
    <w:pPr>
      <w:spacing w:before="100" w:beforeAutospacing="1" w:after="100" w:afterAutospacing="1" w:line="240" w:lineRule="auto"/>
    </w:pPr>
    <w:rPr>
      <w:rFonts w:ascii="Times New Roman" w:hAnsi="Times New Roman"/>
      <w:sz w:val="24"/>
      <w:lang w:eastAsia="sl-SI"/>
    </w:rPr>
  </w:style>
  <w:style w:type="paragraph" w:styleId="Sprotnaopomba-besedilo">
    <w:name w:val="footnote text"/>
    <w:aliases w:val="Footnote Text Char,Sprotna opomba - besedilo Znak1 Char,Sprotna opomba - besedilo Znak Znak Char,Znak Znak Znak Char,Znak Znak Znak Znak Znak Znak Znak Char,Znak Znak1 Char,Znak Znak Znak Znak Znak Znak1 Char"/>
    <w:basedOn w:val="Navaden"/>
    <w:link w:val="Sprotnaopomba-besediloZnak"/>
    <w:uiPriority w:val="99"/>
    <w:unhideWhenUsed/>
    <w:qFormat/>
    <w:rsid w:val="00AB3A5B"/>
    <w:pPr>
      <w:spacing w:line="240" w:lineRule="auto"/>
    </w:pPr>
    <w:rPr>
      <w:rFonts w:ascii="Calibri" w:eastAsia="Calibri" w:hAnsi="Calibri"/>
      <w:szCs w:val="20"/>
    </w:rPr>
  </w:style>
  <w:style w:type="character" w:customStyle="1" w:styleId="Sprotnaopomba-besediloZnak">
    <w:name w:val="Sprotna opomba - besedilo Znak"/>
    <w:aliases w:val="Footnote Text Char Znak,Sprotna opomba - besedilo Znak1 Char Znak,Sprotna opomba - besedilo Znak Znak Char Znak,Znak Znak Znak Char Znak,Znak Znak Znak Znak Znak Znak Znak Char Znak,Znak Znak1 Char Znak"/>
    <w:link w:val="Sprotnaopomba-besedilo"/>
    <w:uiPriority w:val="99"/>
    <w:rsid w:val="00AB3A5B"/>
    <w:rPr>
      <w:rFonts w:ascii="Calibri" w:eastAsia="Calibri" w:hAnsi="Calibri"/>
      <w:lang w:eastAsia="en-US"/>
    </w:rPr>
  </w:style>
  <w:style w:type="character" w:styleId="Sprotnaopomba-sklic">
    <w:name w:val="footnote reference"/>
    <w:uiPriority w:val="99"/>
    <w:unhideWhenUsed/>
    <w:qFormat/>
    <w:rsid w:val="00AB3A5B"/>
    <w:rPr>
      <w:vertAlign w:val="superscript"/>
    </w:rPr>
  </w:style>
  <w:style w:type="paragraph" w:customStyle="1" w:styleId="Odstavek">
    <w:name w:val="Odstavek"/>
    <w:basedOn w:val="Navaden"/>
    <w:link w:val="OdstavekZnak"/>
    <w:qFormat/>
    <w:rsid w:val="00AB3A5B"/>
    <w:pPr>
      <w:overflowPunct w:val="0"/>
      <w:autoSpaceDE w:val="0"/>
      <w:autoSpaceDN w:val="0"/>
      <w:adjustRightInd w:val="0"/>
      <w:spacing w:before="240" w:line="240" w:lineRule="auto"/>
      <w:ind w:firstLine="1021"/>
      <w:jc w:val="both"/>
      <w:textAlignment w:val="baseline"/>
    </w:pPr>
    <w:rPr>
      <w:sz w:val="22"/>
      <w:szCs w:val="22"/>
    </w:rPr>
  </w:style>
  <w:style w:type="character" w:customStyle="1" w:styleId="OdstavekZnak">
    <w:name w:val="Odstavek Znak"/>
    <w:link w:val="Odstavek"/>
    <w:rsid w:val="00AB3A5B"/>
    <w:rPr>
      <w:rFonts w:ascii="Arial" w:hAnsi="Arial"/>
      <w:sz w:val="22"/>
      <w:szCs w:val="22"/>
    </w:rPr>
  </w:style>
  <w:style w:type="character" w:customStyle="1" w:styleId="apple-converted-space">
    <w:name w:val="apple-converted-space"/>
    <w:rsid w:val="00522477"/>
  </w:style>
  <w:style w:type="paragraph" w:customStyle="1" w:styleId="CharChar">
    <w:name w:val="Char Char"/>
    <w:basedOn w:val="Navaden"/>
    <w:rsid w:val="001F173D"/>
    <w:pPr>
      <w:spacing w:after="160" w:line="240" w:lineRule="exact"/>
    </w:pPr>
    <w:rPr>
      <w:rFonts w:ascii="Tahoma" w:hAnsi="Tahoma"/>
      <w:szCs w:val="20"/>
      <w:lang w:val="en-US"/>
    </w:rPr>
  </w:style>
  <w:style w:type="paragraph" w:customStyle="1" w:styleId="Alineazatoko">
    <w:name w:val="Alinea za točko"/>
    <w:basedOn w:val="Navaden"/>
    <w:link w:val="AlineazatokoZnak"/>
    <w:qFormat/>
    <w:rsid w:val="00BB3E31"/>
    <w:pPr>
      <w:overflowPunct w:val="0"/>
      <w:autoSpaceDE w:val="0"/>
      <w:autoSpaceDN w:val="0"/>
      <w:adjustRightInd w:val="0"/>
      <w:spacing w:line="200" w:lineRule="exact"/>
      <w:ind w:left="360" w:hanging="360"/>
      <w:jc w:val="both"/>
      <w:textAlignment w:val="baseline"/>
    </w:pPr>
    <w:rPr>
      <w:sz w:val="22"/>
      <w:szCs w:val="22"/>
    </w:rPr>
  </w:style>
  <w:style w:type="paragraph" w:customStyle="1" w:styleId="CharChar3">
    <w:name w:val="Char Char3"/>
    <w:basedOn w:val="Navaden"/>
    <w:rsid w:val="008A6A2B"/>
    <w:pPr>
      <w:spacing w:line="240" w:lineRule="auto"/>
    </w:pPr>
    <w:rPr>
      <w:rFonts w:ascii="Times New Roman" w:hAnsi="Times New Roman"/>
      <w:sz w:val="24"/>
      <w:lang w:val="pl-PL" w:eastAsia="pl-PL"/>
    </w:rPr>
  </w:style>
  <w:style w:type="character" w:styleId="Konnaopomba-sklic">
    <w:name w:val="endnote reference"/>
    <w:uiPriority w:val="99"/>
    <w:rsid w:val="00553DDA"/>
    <w:rPr>
      <w:vertAlign w:val="superscript"/>
    </w:rPr>
  </w:style>
  <w:style w:type="paragraph" w:styleId="Brezrazmikov">
    <w:name w:val="No Spacing"/>
    <w:uiPriority w:val="99"/>
    <w:qFormat/>
    <w:rsid w:val="006D3300"/>
    <w:rPr>
      <w:rFonts w:ascii="Calibri" w:eastAsia="Calibri" w:hAnsi="Calibri" w:cs="Calibri"/>
      <w:sz w:val="22"/>
      <w:szCs w:val="22"/>
      <w:lang w:eastAsia="en-US"/>
    </w:rPr>
  </w:style>
  <w:style w:type="character" w:styleId="Poudarek">
    <w:name w:val="Emphasis"/>
    <w:uiPriority w:val="20"/>
    <w:qFormat/>
    <w:rsid w:val="00A23AF6"/>
    <w:rPr>
      <w:i/>
      <w:iCs/>
    </w:rPr>
  </w:style>
  <w:style w:type="paragraph" w:customStyle="1" w:styleId="Odsek">
    <w:name w:val="Odsek"/>
    <w:basedOn w:val="Oddelek"/>
    <w:link w:val="OdsekZnak"/>
    <w:qFormat/>
    <w:rsid w:val="00C923FF"/>
    <w:pPr>
      <w:numPr>
        <w:numId w:val="1"/>
      </w:numPr>
      <w:ind w:left="0" w:firstLine="0"/>
    </w:pPr>
    <w:rPr>
      <w:lang w:eastAsia="sl-SI"/>
    </w:rPr>
  </w:style>
  <w:style w:type="character" w:customStyle="1" w:styleId="OdsekZnak">
    <w:name w:val="Odsek Znak"/>
    <w:link w:val="Odsek"/>
    <w:rsid w:val="00C923FF"/>
    <w:rPr>
      <w:rFonts w:ascii="Arial" w:hAnsi="Arial" w:cs="Arial"/>
      <w:b/>
      <w:sz w:val="22"/>
      <w:szCs w:val="22"/>
    </w:rPr>
  </w:style>
  <w:style w:type="paragraph" w:styleId="Odstavekseznama">
    <w:name w:val="List Paragraph"/>
    <w:basedOn w:val="Navaden"/>
    <w:link w:val="OdstavekseznamaZnak"/>
    <w:uiPriority w:val="34"/>
    <w:qFormat/>
    <w:rsid w:val="00C923FF"/>
    <w:pPr>
      <w:spacing w:line="260" w:lineRule="exact"/>
      <w:ind w:left="720"/>
      <w:contextualSpacing/>
    </w:pPr>
  </w:style>
  <w:style w:type="paragraph" w:styleId="Telobesedila">
    <w:name w:val="Body Text"/>
    <w:basedOn w:val="Navaden"/>
    <w:link w:val="TelobesedilaZnak"/>
    <w:rsid w:val="00C923FF"/>
    <w:pPr>
      <w:suppressAutoHyphens/>
      <w:spacing w:after="120" w:line="240" w:lineRule="auto"/>
    </w:pPr>
    <w:rPr>
      <w:rFonts w:ascii="Times New Roman" w:hAnsi="Times New Roman"/>
      <w:sz w:val="24"/>
      <w:lang w:eastAsia="ar-SA"/>
    </w:rPr>
  </w:style>
  <w:style w:type="character" w:customStyle="1" w:styleId="TelobesedilaZnak">
    <w:name w:val="Telo besedila Znak"/>
    <w:link w:val="Telobesedila"/>
    <w:rsid w:val="00C923FF"/>
    <w:rPr>
      <w:sz w:val="24"/>
      <w:szCs w:val="24"/>
      <w:lang w:eastAsia="ar-SA"/>
    </w:rPr>
  </w:style>
  <w:style w:type="character" w:customStyle="1" w:styleId="rkovnatokazaodstavkomZnak">
    <w:name w:val="Črkovna točka_za odstavkom Znak"/>
    <w:link w:val="rkovnatokazaodstavkom"/>
    <w:rsid w:val="00C923FF"/>
    <w:rPr>
      <w:rFonts w:ascii="Arial" w:hAnsi="Arial"/>
    </w:rPr>
  </w:style>
  <w:style w:type="paragraph" w:customStyle="1" w:styleId="rkovnatokazaodstavkom">
    <w:name w:val="Črkovna točka_za odstavkom"/>
    <w:basedOn w:val="Navaden"/>
    <w:link w:val="rkovnatokazaodstavkomZnak"/>
    <w:qFormat/>
    <w:rsid w:val="00C923FF"/>
    <w:pPr>
      <w:numPr>
        <w:numId w:val="9"/>
      </w:numPr>
      <w:overflowPunct w:val="0"/>
      <w:autoSpaceDE w:val="0"/>
      <w:autoSpaceDN w:val="0"/>
      <w:adjustRightInd w:val="0"/>
      <w:spacing w:line="200" w:lineRule="exact"/>
      <w:jc w:val="both"/>
      <w:textAlignment w:val="baseline"/>
    </w:pPr>
    <w:rPr>
      <w:szCs w:val="20"/>
      <w:lang w:eastAsia="sl-SI"/>
    </w:rPr>
  </w:style>
  <w:style w:type="character" w:customStyle="1" w:styleId="AlineazatokoZnak">
    <w:name w:val="Alinea za točko Znak"/>
    <w:link w:val="Alineazatoko"/>
    <w:rsid w:val="00C923FF"/>
    <w:rPr>
      <w:rFonts w:ascii="Arial" w:hAnsi="Arial"/>
      <w:sz w:val="22"/>
      <w:szCs w:val="22"/>
      <w:lang w:eastAsia="en-US"/>
    </w:rPr>
  </w:style>
  <w:style w:type="paragraph" w:styleId="Konnaopomba-besedilo">
    <w:name w:val="endnote text"/>
    <w:basedOn w:val="Navaden"/>
    <w:link w:val="Konnaopomba-besediloZnak"/>
    <w:uiPriority w:val="99"/>
    <w:rsid w:val="00AA0CF6"/>
    <w:pPr>
      <w:spacing w:line="240" w:lineRule="auto"/>
    </w:pPr>
    <w:rPr>
      <w:rFonts w:ascii="Calibri" w:eastAsia="Calibri" w:hAnsi="Calibri" w:cs="Calibri"/>
      <w:szCs w:val="20"/>
    </w:rPr>
  </w:style>
  <w:style w:type="character" w:customStyle="1" w:styleId="Konnaopomba-besediloZnak">
    <w:name w:val="Končna opomba - besedilo Znak"/>
    <w:link w:val="Konnaopomba-besedilo"/>
    <w:uiPriority w:val="99"/>
    <w:rsid w:val="00AA0CF6"/>
    <w:rPr>
      <w:rFonts w:ascii="Calibri" w:eastAsia="Calibri" w:hAnsi="Calibri" w:cs="Calibri"/>
      <w:lang w:eastAsia="en-US"/>
    </w:rPr>
  </w:style>
  <w:style w:type="paragraph" w:customStyle="1" w:styleId="sti-art">
    <w:name w:val="sti-art"/>
    <w:basedOn w:val="Navaden"/>
    <w:uiPriority w:val="99"/>
    <w:rsid w:val="00AA0CF6"/>
    <w:pPr>
      <w:spacing w:before="100" w:beforeAutospacing="1" w:after="100" w:afterAutospacing="1" w:line="240" w:lineRule="auto"/>
    </w:pPr>
    <w:rPr>
      <w:rFonts w:ascii="Times New Roman" w:hAnsi="Times New Roman"/>
      <w:sz w:val="24"/>
      <w:lang w:eastAsia="sl-SI"/>
    </w:rPr>
  </w:style>
  <w:style w:type="paragraph" w:customStyle="1" w:styleId="Navaden2">
    <w:name w:val="Navaden2"/>
    <w:basedOn w:val="Navaden"/>
    <w:uiPriority w:val="99"/>
    <w:rsid w:val="00AA0CF6"/>
    <w:pPr>
      <w:spacing w:before="100" w:beforeAutospacing="1" w:after="100" w:afterAutospacing="1" w:line="240" w:lineRule="auto"/>
    </w:pPr>
    <w:rPr>
      <w:rFonts w:ascii="Times New Roman" w:hAnsi="Times New Roman"/>
      <w:sz w:val="24"/>
      <w:lang w:eastAsia="sl-SI"/>
    </w:rPr>
  </w:style>
  <w:style w:type="character" w:styleId="Pripombasklic">
    <w:name w:val="annotation reference"/>
    <w:uiPriority w:val="99"/>
    <w:semiHidden/>
    <w:unhideWhenUsed/>
    <w:rsid w:val="004331B6"/>
    <w:rPr>
      <w:sz w:val="16"/>
      <w:szCs w:val="16"/>
    </w:rPr>
  </w:style>
  <w:style w:type="paragraph" w:styleId="Pripombabesedilo">
    <w:name w:val="annotation text"/>
    <w:basedOn w:val="Navaden"/>
    <w:link w:val="PripombabesediloZnak"/>
    <w:uiPriority w:val="99"/>
    <w:unhideWhenUsed/>
    <w:rsid w:val="004331B6"/>
    <w:rPr>
      <w:szCs w:val="20"/>
    </w:rPr>
  </w:style>
  <w:style w:type="character" w:customStyle="1" w:styleId="PripombabesediloZnak">
    <w:name w:val="Pripomba – besedilo Znak"/>
    <w:link w:val="Pripombabesedilo"/>
    <w:uiPriority w:val="99"/>
    <w:rsid w:val="004331B6"/>
    <w:rPr>
      <w:rFonts w:ascii="Arial" w:hAnsi="Arial"/>
      <w:lang w:eastAsia="en-US"/>
    </w:rPr>
  </w:style>
  <w:style w:type="paragraph" w:styleId="Zadevapripombe">
    <w:name w:val="annotation subject"/>
    <w:basedOn w:val="Pripombabesedilo"/>
    <w:next w:val="Pripombabesedilo"/>
    <w:link w:val="ZadevapripombeZnak"/>
    <w:uiPriority w:val="99"/>
    <w:semiHidden/>
    <w:unhideWhenUsed/>
    <w:rsid w:val="004331B6"/>
    <w:rPr>
      <w:b/>
      <w:bCs/>
    </w:rPr>
  </w:style>
  <w:style w:type="character" w:customStyle="1" w:styleId="ZadevapripombeZnak">
    <w:name w:val="Zadeva pripombe Znak"/>
    <w:link w:val="Zadevapripombe"/>
    <w:uiPriority w:val="99"/>
    <w:semiHidden/>
    <w:rsid w:val="004331B6"/>
    <w:rPr>
      <w:rFonts w:ascii="Arial" w:hAnsi="Arial"/>
      <w:b/>
      <w:bCs/>
      <w:lang w:eastAsia="en-US"/>
    </w:rPr>
  </w:style>
  <w:style w:type="character" w:styleId="Besedilooznabemesta">
    <w:name w:val="Placeholder Text"/>
    <w:uiPriority w:val="99"/>
    <w:semiHidden/>
    <w:rsid w:val="00484DB8"/>
    <w:rPr>
      <w:color w:val="808080"/>
    </w:rPr>
  </w:style>
  <w:style w:type="paragraph" w:styleId="Golobesedilo">
    <w:name w:val="Plain Text"/>
    <w:basedOn w:val="Navaden"/>
    <w:link w:val="GolobesediloZnak"/>
    <w:uiPriority w:val="99"/>
    <w:unhideWhenUsed/>
    <w:rsid w:val="00484DB8"/>
    <w:pPr>
      <w:spacing w:line="240" w:lineRule="auto"/>
    </w:pPr>
    <w:rPr>
      <w:rFonts w:ascii="Calibri" w:eastAsia="Calibri" w:hAnsi="Calibri"/>
      <w:sz w:val="22"/>
      <w:szCs w:val="21"/>
    </w:rPr>
  </w:style>
  <w:style w:type="character" w:customStyle="1" w:styleId="GolobesediloZnak">
    <w:name w:val="Golo besedilo Znak"/>
    <w:link w:val="Golobesedilo"/>
    <w:uiPriority w:val="99"/>
    <w:rsid w:val="00484DB8"/>
    <w:rPr>
      <w:rFonts w:ascii="Calibri" w:eastAsia="Calibri" w:hAnsi="Calibri"/>
      <w:sz w:val="22"/>
      <w:szCs w:val="21"/>
      <w:lang w:eastAsia="en-US"/>
    </w:rPr>
  </w:style>
  <w:style w:type="paragraph" w:customStyle="1" w:styleId="CharChar30">
    <w:name w:val="Char Char3"/>
    <w:basedOn w:val="Navaden"/>
    <w:rsid w:val="00484DB8"/>
    <w:pPr>
      <w:spacing w:line="240" w:lineRule="auto"/>
    </w:pPr>
    <w:rPr>
      <w:rFonts w:ascii="Times New Roman" w:hAnsi="Times New Roman"/>
      <w:sz w:val="24"/>
      <w:lang w:val="pl-PL" w:eastAsia="pl-PL"/>
    </w:rPr>
  </w:style>
  <w:style w:type="paragraph" w:customStyle="1" w:styleId="len">
    <w:name w:val="len"/>
    <w:basedOn w:val="Navaden"/>
    <w:rsid w:val="00484DB8"/>
    <w:pPr>
      <w:spacing w:before="100" w:beforeAutospacing="1" w:after="100" w:afterAutospacing="1" w:line="240" w:lineRule="auto"/>
    </w:pPr>
    <w:rPr>
      <w:rFonts w:ascii="Times New Roman" w:hAnsi="Times New Roman"/>
      <w:sz w:val="24"/>
      <w:lang w:eastAsia="sl-SI"/>
    </w:rPr>
  </w:style>
  <w:style w:type="paragraph" w:customStyle="1" w:styleId="lennaslov">
    <w:name w:val="lennaslov"/>
    <w:basedOn w:val="Navaden"/>
    <w:rsid w:val="00484DB8"/>
    <w:pPr>
      <w:spacing w:before="100" w:beforeAutospacing="1" w:after="100" w:afterAutospacing="1" w:line="240" w:lineRule="auto"/>
    </w:pPr>
    <w:rPr>
      <w:rFonts w:ascii="Times New Roman" w:hAnsi="Times New Roman"/>
      <w:sz w:val="24"/>
      <w:lang w:eastAsia="sl-SI"/>
    </w:rPr>
  </w:style>
  <w:style w:type="character" w:customStyle="1" w:styleId="Nerazreenaomemba1">
    <w:name w:val="Nerazrešena omemba1"/>
    <w:uiPriority w:val="99"/>
    <w:semiHidden/>
    <w:unhideWhenUsed/>
    <w:rsid w:val="00484DB8"/>
    <w:rPr>
      <w:color w:val="808080"/>
      <w:shd w:val="clear" w:color="auto" w:fill="E6E6E6"/>
    </w:rPr>
  </w:style>
  <w:style w:type="paragraph" w:customStyle="1" w:styleId="Slog1">
    <w:name w:val="Slog1"/>
    <w:basedOn w:val="Sprotnaopomba-besedilo"/>
    <w:link w:val="Slog1Znak"/>
    <w:qFormat/>
    <w:rsid w:val="00A013CC"/>
    <w:rPr>
      <w:rFonts w:ascii="Arial" w:hAnsi="Arial" w:cs="Arial"/>
      <w:sz w:val="18"/>
      <w:szCs w:val="18"/>
    </w:rPr>
  </w:style>
  <w:style w:type="character" w:customStyle="1" w:styleId="Slog1Znak">
    <w:name w:val="Slog1 Znak"/>
    <w:link w:val="Slog1"/>
    <w:rsid w:val="00A013CC"/>
    <w:rPr>
      <w:rFonts w:ascii="Arial" w:eastAsia="Calibri" w:hAnsi="Arial" w:cs="Arial"/>
      <w:sz w:val="18"/>
      <w:szCs w:val="18"/>
      <w:lang w:eastAsia="en-US"/>
    </w:rPr>
  </w:style>
  <w:style w:type="paragraph" w:styleId="HTML-oblikovano">
    <w:name w:val="HTML Preformatted"/>
    <w:basedOn w:val="Navaden"/>
    <w:link w:val="HTML-oblikovanoZnak"/>
    <w:uiPriority w:val="99"/>
    <w:unhideWhenUsed/>
    <w:rsid w:val="00A6716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pPr>
    <w:rPr>
      <w:rFonts w:ascii="Courier New" w:hAnsi="Courier New" w:cs="Courier New"/>
      <w:szCs w:val="20"/>
      <w:lang w:eastAsia="sl-SI"/>
    </w:rPr>
  </w:style>
  <w:style w:type="character" w:customStyle="1" w:styleId="HTML-oblikovanoZnak">
    <w:name w:val="HTML-oblikovano Znak"/>
    <w:link w:val="HTML-oblikovano"/>
    <w:uiPriority w:val="99"/>
    <w:rsid w:val="00A6716A"/>
    <w:rPr>
      <w:rFonts w:ascii="Courier New" w:hAnsi="Courier New" w:cs="Courier New"/>
    </w:rPr>
  </w:style>
  <w:style w:type="character" w:customStyle="1" w:styleId="Naslov3Znak">
    <w:name w:val="Naslov 3 Znak"/>
    <w:link w:val="Naslov3"/>
    <w:uiPriority w:val="9"/>
    <w:semiHidden/>
    <w:rsid w:val="002143E3"/>
    <w:rPr>
      <w:rFonts w:ascii="Calibri Light" w:eastAsia="Times New Roman" w:hAnsi="Calibri Light" w:cs="Times New Roman"/>
      <w:b/>
      <w:bCs/>
      <w:sz w:val="26"/>
      <w:szCs w:val="26"/>
      <w:lang w:eastAsia="en-US"/>
    </w:rPr>
  </w:style>
  <w:style w:type="character" w:customStyle="1" w:styleId="Naslov2Znak">
    <w:name w:val="Naslov 2 Znak"/>
    <w:link w:val="Naslov2"/>
    <w:uiPriority w:val="9"/>
    <w:semiHidden/>
    <w:rsid w:val="00AE2155"/>
    <w:rPr>
      <w:rFonts w:ascii="Calibri Light" w:hAnsi="Calibri Light"/>
      <w:b/>
      <w:bCs/>
      <w:i/>
      <w:iCs/>
      <w:sz w:val="28"/>
      <w:szCs w:val="28"/>
      <w:lang w:eastAsia="en-US"/>
    </w:rPr>
  </w:style>
  <w:style w:type="paragraph" w:customStyle="1" w:styleId="CharChar10">
    <w:name w:val="Char Char1"/>
    <w:basedOn w:val="Navaden"/>
    <w:rsid w:val="00AE2155"/>
    <w:pPr>
      <w:spacing w:after="160" w:line="240" w:lineRule="exact"/>
    </w:pPr>
    <w:rPr>
      <w:rFonts w:ascii="Tahoma" w:hAnsi="Tahoma"/>
      <w:szCs w:val="20"/>
    </w:rPr>
  </w:style>
  <w:style w:type="paragraph" w:customStyle="1" w:styleId="Odstavekseznama10">
    <w:name w:val="Odstavek seznama1"/>
    <w:basedOn w:val="Navaden"/>
    <w:rsid w:val="00AE2155"/>
    <w:pPr>
      <w:autoSpaceDE w:val="0"/>
      <w:autoSpaceDN w:val="0"/>
      <w:adjustRightInd w:val="0"/>
      <w:spacing w:line="320" w:lineRule="exact"/>
      <w:ind w:left="720"/>
      <w:contextualSpacing/>
      <w:jc w:val="both"/>
    </w:pPr>
    <w:rPr>
      <w:rFonts w:ascii="Times New Roman" w:hAnsi="Times New Roman"/>
      <w:sz w:val="22"/>
      <w:szCs w:val="22"/>
    </w:rPr>
  </w:style>
  <w:style w:type="paragraph" w:customStyle="1" w:styleId="CharChar0">
    <w:name w:val="Char Char"/>
    <w:basedOn w:val="Navaden"/>
    <w:rsid w:val="00AE2155"/>
    <w:pPr>
      <w:spacing w:after="160" w:line="240" w:lineRule="exact"/>
    </w:pPr>
    <w:rPr>
      <w:rFonts w:ascii="Tahoma" w:hAnsi="Tahoma"/>
      <w:szCs w:val="20"/>
      <w:lang w:val="en-US"/>
    </w:rPr>
  </w:style>
  <w:style w:type="character" w:customStyle="1" w:styleId="Nerazreenaomemba10">
    <w:name w:val="Nerazrešena omemba1"/>
    <w:uiPriority w:val="99"/>
    <w:semiHidden/>
    <w:unhideWhenUsed/>
    <w:rsid w:val="00AE2155"/>
    <w:rPr>
      <w:color w:val="808080"/>
      <w:shd w:val="clear" w:color="auto" w:fill="E6E6E6"/>
    </w:rPr>
  </w:style>
  <w:style w:type="table" w:customStyle="1" w:styleId="TableGrid">
    <w:name w:val="TableGrid"/>
    <w:rsid w:val="00AE2155"/>
    <w:rPr>
      <w:rFonts w:ascii="Calibri" w:hAnsi="Calibri"/>
      <w:sz w:val="22"/>
      <w:szCs w:val="22"/>
    </w:rPr>
    <w:tblPr>
      <w:tblCellMar>
        <w:top w:w="0" w:type="dxa"/>
        <w:left w:w="0" w:type="dxa"/>
        <w:bottom w:w="0" w:type="dxa"/>
        <w:right w:w="0" w:type="dxa"/>
      </w:tblCellMar>
    </w:tblPr>
  </w:style>
  <w:style w:type="paragraph" w:customStyle="1" w:styleId="odstavek0">
    <w:name w:val="odstavek"/>
    <w:basedOn w:val="Navaden"/>
    <w:rsid w:val="00AE2155"/>
    <w:pPr>
      <w:spacing w:before="100" w:beforeAutospacing="1" w:after="100" w:afterAutospacing="1" w:line="240" w:lineRule="auto"/>
    </w:pPr>
    <w:rPr>
      <w:rFonts w:ascii="Times New Roman" w:hAnsi="Times New Roman"/>
      <w:sz w:val="24"/>
      <w:lang w:eastAsia="sl-SI"/>
    </w:rPr>
  </w:style>
  <w:style w:type="paragraph" w:customStyle="1" w:styleId="Default">
    <w:name w:val="Default"/>
    <w:rsid w:val="00AE2155"/>
    <w:pPr>
      <w:autoSpaceDE w:val="0"/>
      <w:autoSpaceDN w:val="0"/>
      <w:adjustRightInd w:val="0"/>
    </w:pPr>
    <w:rPr>
      <w:rFonts w:ascii="Arial" w:hAnsi="Arial" w:cs="Arial"/>
      <w:color w:val="000000"/>
      <w:sz w:val="24"/>
      <w:szCs w:val="24"/>
    </w:rPr>
  </w:style>
  <w:style w:type="paragraph" w:customStyle="1" w:styleId="alineazaodstavkom0">
    <w:name w:val="alineazaodstavkom"/>
    <w:basedOn w:val="Navaden"/>
    <w:rsid w:val="00AE2155"/>
    <w:pPr>
      <w:spacing w:before="100" w:beforeAutospacing="1" w:after="100" w:afterAutospacing="1" w:line="240" w:lineRule="auto"/>
    </w:pPr>
    <w:rPr>
      <w:rFonts w:ascii="Times New Roman" w:hAnsi="Times New Roman"/>
      <w:sz w:val="24"/>
      <w:lang w:eastAsia="sl-SI"/>
    </w:rPr>
  </w:style>
  <w:style w:type="paragraph" w:customStyle="1" w:styleId="Tabela-naslov">
    <w:name w:val="Tabela - naslov"/>
    <w:basedOn w:val="Navaden"/>
    <w:next w:val="Navaden"/>
    <w:qFormat/>
    <w:rsid w:val="000E3AFF"/>
    <w:pPr>
      <w:keepNext/>
      <w:spacing w:line="288" w:lineRule="auto"/>
      <w:jc w:val="both"/>
    </w:pPr>
    <w:rPr>
      <w:rFonts w:ascii="Calibri" w:hAnsi="Calibri"/>
      <w:b/>
      <w:szCs w:val="20"/>
    </w:rPr>
  </w:style>
  <w:style w:type="paragraph" w:customStyle="1" w:styleId="Tabela-vsebina-bold-center">
    <w:name w:val="Tabela - vsebina - bold - center"/>
    <w:basedOn w:val="Navaden"/>
    <w:qFormat/>
    <w:rsid w:val="000E3AFF"/>
    <w:pPr>
      <w:spacing w:line="240" w:lineRule="auto"/>
      <w:jc w:val="center"/>
    </w:pPr>
    <w:rPr>
      <w:rFonts w:ascii="Calibri" w:hAnsi="Calibri"/>
      <w:b/>
      <w:sz w:val="16"/>
      <w:szCs w:val="16"/>
    </w:rPr>
  </w:style>
  <w:style w:type="paragraph" w:customStyle="1" w:styleId="Tabela-vsebina-bold-left">
    <w:name w:val="Tabela - vsebina - bold - left"/>
    <w:basedOn w:val="Tabela-vsebina-bold-center"/>
    <w:qFormat/>
    <w:rsid w:val="000E3AFF"/>
    <w:pPr>
      <w:jc w:val="left"/>
    </w:pPr>
  </w:style>
  <w:style w:type="paragraph" w:customStyle="1" w:styleId="Tabela-vsebina-vrednosti">
    <w:name w:val="Tabela - vsebina - vrednosti"/>
    <w:basedOn w:val="Navaden"/>
    <w:qFormat/>
    <w:rsid w:val="000E3AFF"/>
    <w:pPr>
      <w:spacing w:line="240" w:lineRule="auto"/>
      <w:jc w:val="center"/>
    </w:pPr>
    <w:rPr>
      <w:rFonts w:ascii="Calibri" w:hAnsi="Calibri"/>
      <w:sz w:val="16"/>
      <w:szCs w:val="16"/>
    </w:rPr>
  </w:style>
  <w:style w:type="numbering" w:styleId="111111">
    <w:name w:val="Outline List 2"/>
    <w:basedOn w:val="Brezseznama"/>
    <w:rsid w:val="000E3AFF"/>
    <w:pPr>
      <w:numPr>
        <w:numId w:val="25"/>
      </w:numPr>
    </w:pPr>
  </w:style>
  <w:style w:type="character" w:customStyle="1" w:styleId="OdstavekseznamaZnak">
    <w:name w:val="Odstavek seznama Znak"/>
    <w:link w:val="Odstavekseznama"/>
    <w:uiPriority w:val="99"/>
    <w:rsid w:val="000E3AFF"/>
    <w:rPr>
      <w:rFonts w:ascii="Arial" w:hAnsi="Arial"/>
      <w:szCs w:val="24"/>
      <w:lang w:eastAsia="en-US"/>
    </w:rPr>
  </w:style>
  <w:style w:type="paragraph" w:customStyle="1" w:styleId="Zatabelo">
    <w:name w:val="Za tabelo"/>
    <w:basedOn w:val="Navaden"/>
    <w:link w:val="ZatabeloChar"/>
    <w:qFormat/>
    <w:rsid w:val="000E3AFF"/>
    <w:pPr>
      <w:spacing w:line="288" w:lineRule="auto"/>
      <w:jc w:val="both"/>
    </w:pPr>
    <w:rPr>
      <w:rFonts w:ascii="Calibri" w:eastAsia="Calibri" w:hAnsi="Calibri"/>
      <w:sz w:val="24"/>
    </w:rPr>
  </w:style>
  <w:style w:type="character" w:customStyle="1" w:styleId="ZatabeloChar">
    <w:name w:val="Za tabelo Char"/>
    <w:link w:val="Zatabelo"/>
    <w:rsid w:val="000E3AFF"/>
    <w:rPr>
      <w:rFonts w:ascii="Calibri" w:eastAsia="Calibri" w:hAnsi="Calibri"/>
      <w:sz w:val="24"/>
      <w:szCs w:val="24"/>
      <w:lang w:eastAsia="en-US"/>
    </w:rPr>
  </w:style>
  <w:style w:type="character" w:customStyle="1" w:styleId="Sidrosprotneopombe">
    <w:name w:val="Sidro sprotne opombe"/>
    <w:rsid w:val="00313CB9"/>
    <w:rPr>
      <w:vertAlign w:val="superscript"/>
    </w:rPr>
  </w:style>
  <w:style w:type="character" w:customStyle="1" w:styleId="Spletnapovezava">
    <w:name w:val="Spletna povezava"/>
    <w:uiPriority w:val="99"/>
    <w:unhideWhenUsed/>
    <w:rsid w:val="00313CB9"/>
    <w:rPr>
      <w:color w:val="0000FF"/>
      <w:u w:val="single"/>
    </w:rPr>
  </w:style>
  <w:style w:type="character" w:customStyle="1" w:styleId="UnresolvedMention">
    <w:name w:val="Unresolved Mention"/>
    <w:basedOn w:val="Privzetapisavaodstavka"/>
    <w:uiPriority w:val="99"/>
    <w:semiHidden/>
    <w:unhideWhenUsed/>
    <w:rsid w:val="001D21A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6466737">
      <w:bodyDiv w:val="1"/>
      <w:marLeft w:val="0"/>
      <w:marRight w:val="0"/>
      <w:marTop w:val="0"/>
      <w:marBottom w:val="0"/>
      <w:divBdr>
        <w:top w:val="none" w:sz="0" w:space="0" w:color="auto"/>
        <w:left w:val="none" w:sz="0" w:space="0" w:color="auto"/>
        <w:bottom w:val="none" w:sz="0" w:space="0" w:color="auto"/>
        <w:right w:val="none" w:sz="0" w:space="0" w:color="auto"/>
      </w:divBdr>
    </w:div>
    <w:div w:id="57096163">
      <w:bodyDiv w:val="1"/>
      <w:marLeft w:val="0"/>
      <w:marRight w:val="0"/>
      <w:marTop w:val="0"/>
      <w:marBottom w:val="0"/>
      <w:divBdr>
        <w:top w:val="none" w:sz="0" w:space="0" w:color="auto"/>
        <w:left w:val="none" w:sz="0" w:space="0" w:color="auto"/>
        <w:bottom w:val="none" w:sz="0" w:space="0" w:color="auto"/>
        <w:right w:val="none" w:sz="0" w:space="0" w:color="auto"/>
      </w:divBdr>
      <w:divsChild>
        <w:div w:id="117846074">
          <w:marLeft w:val="0"/>
          <w:marRight w:val="0"/>
          <w:marTop w:val="0"/>
          <w:marBottom w:val="0"/>
          <w:divBdr>
            <w:top w:val="none" w:sz="0" w:space="0" w:color="auto"/>
            <w:left w:val="none" w:sz="0" w:space="0" w:color="auto"/>
            <w:bottom w:val="none" w:sz="0" w:space="0" w:color="auto"/>
            <w:right w:val="none" w:sz="0" w:space="0" w:color="auto"/>
          </w:divBdr>
        </w:div>
        <w:div w:id="205869672">
          <w:marLeft w:val="0"/>
          <w:marRight w:val="0"/>
          <w:marTop w:val="0"/>
          <w:marBottom w:val="0"/>
          <w:divBdr>
            <w:top w:val="none" w:sz="0" w:space="0" w:color="auto"/>
            <w:left w:val="none" w:sz="0" w:space="0" w:color="auto"/>
            <w:bottom w:val="none" w:sz="0" w:space="0" w:color="auto"/>
            <w:right w:val="none" w:sz="0" w:space="0" w:color="auto"/>
          </w:divBdr>
        </w:div>
        <w:div w:id="658070974">
          <w:marLeft w:val="0"/>
          <w:marRight w:val="0"/>
          <w:marTop w:val="0"/>
          <w:marBottom w:val="0"/>
          <w:divBdr>
            <w:top w:val="none" w:sz="0" w:space="0" w:color="auto"/>
            <w:left w:val="none" w:sz="0" w:space="0" w:color="auto"/>
            <w:bottom w:val="none" w:sz="0" w:space="0" w:color="auto"/>
            <w:right w:val="none" w:sz="0" w:space="0" w:color="auto"/>
          </w:divBdr>
        </w:div>
        <w:div w:id="791483304">
          <w:marLeft w:val="0"/>
          <w:marRight w:val="0"/>
          <w:marTop w:val="0"/>
          <w:marBottom w:val="0"/>
          <w:divBdr>
            <w:top w:val="none" w:sz="0" w:space="0" w:color="auto"/>
            <w:left w:val="none" w:sz="0" w:space="0" w:color="auto"/>
            <w:bottom w:val="none" w:sz="0" w:space="0" w:color="auto"/>
            <w:right w:val="none" w:sz="0" w:space="0" w:color="auto"/>
          </w:divBdr>
        </w:div>
        <w:div w:id="902983131">
          <w:marLeft w:val="0"/>
          <w:marRight w:val="0"/>
          <w:marTop w:val="0"/>
          <w:marBottom w:val="0"/>
          <w:divBdr>
            <w:top w:val="none" w:sz="0" w:space="0" w:color="auto"/>
            <w:left w:val="none" w:sz="0" w:space="0" w:color="auto"/>
            <w:bottom w:val="none" w:sz="0" w:space="0" w:color="auto"/>
            <w:right w:val="none" w:sz="0" w:space="0" w:color="auto"/>
          </w:divBdr>
        </w:div>
        <w:div w:id="1226377303">
          <w:marLeft w:val="0"/>
          <w:marRight w:val="0"/>
          <w:marTop w:val="0"/>
          <w:marBottom w:val="0"/>
          <w:divBdr>
            <w:top w:val="none" w:sz="0" w:space="0" w:color="auto"/>
            <w:left w:val="none" w:sz="0" w:space="0" w:color="auto"/>
            <w:bottom w:val="none" w:sz="0" w:space="0" w:color="auto"/>
            <w:right w:val="none" w:sz="0" w:space="0" w:color="auto"/>
          </w:divBdr>
        </w:div>
        <w:div w:id="1604218696">
          <w:marLeft w:val="0"/>
          <w:marRight w:val="0"/>
          <w:marTop w:val="0"/>
          <w:marBottom w:val="0"/>
          <w:divBdr>
            <w:top w:val="none" w:sz="0" w:space="0" w:color="auto"/>
            <w:left w:val="none" w:sz="0" w:space="0" w:color="auto"/>
            <w:bottom w:val="none" w:sz="0" w:space="0" w:color="auto"/>
            <w:right w:val="none" w:sz="0" w:space="0" w:color="auto"/>
          </w:divBdr>
        </w:div>
        <w:div w:id="1871213532">
          <w:marLeft w:val="0"/>
          <w:marRight w:val="0"/>
          <w:marTop w:val="0"/>
          <w:marBottom w:val="0"/>
          <w:divBdr>
            <w:top w:val="none" w:sz="0" w:space="0" w:color="auto"/>
            <w:left w:val="none" w:sz="0" w:space="0" w:color="auto"/>
            <w:bottom w:val="none" w:sz="0" w:space="0" w:color="auto"/>
            <w:right w:val="none" w:sz="0" w:space="0" w:color="auto"/>
          </w:divBdr>
        </w:div>
        <w:div w:id="1886062603">
          <w:marLeft w:val="0"/>
          <w:marRight w:val="0"/>
          <w:marTop w:val="0"/>
          <w:marBottom w:val="0"/>
          <w:divBdr>
            <w:top w:val="none" w:sz="0" w:space="0" w:color="auto"/>
            <w:left w:val="none" w:sz="0" w:space="0" w:color="auto"/>
            <w:bottom w:val="none" w:sz="0" w:space="0" w:color="auto"/>
            <w:right w:val="none" w:sz="0" w:space="0" w:color="auto"/>
          </w:divBdr>
        </w:div>
      </w:divsChild>
    </w:div>
    <w:div w:id="66074696">
      <w:bodyDiv w:val="1"/>
      <w:marLeft w:val="0"/>
      <w:marRight w:val="0"/>
      <w:marTop w:val="0"/>
      <w:marBottom w:val="0"/>
      <w:divBdr>
        <w:top w:val="none" w:sz="0" w:space="0" w:color="auto"/>
        <w:left w:val="none" w:sz="0" w:space="0" w:color="auto"/>
        <w:bottom w:val="none" w:sz="0" w:space="0" w:color="auto"/>
        <w:right w:val="none" w:sz="0" w:space="0" w:color="auto"/>
      </w:divBdr>
    </w:div>
    <w:div w:id="75711328">
      <w:bodyDiv w:val="1"/>
      <w:marLeft w:val="0"/>
      <w:marRight w:val="0"/>
      <w:marTop w:val="0"/>
      <w:marBottom w:val="0"/>
      <w:divBdr>
        <w:top w:val="none" w:sz="0" w:space="0" w:color="auto"/>
        <w:left w:val="none" w:sz="0" w:space="0" w:color="auto"/>
        <w:bottom w:val="none" w:sz="0" w:space="0" w:color="auto"/>
        <w:right w:val="none" w:sz="0" w:space="0" w:color="auto"/>
      </w:divBdr>
    </w:div>
    <w:div w:id="156001811">
      <w:bodyDiv w:val="1"/>
      <w:marLeft w:val="0"/>
      <w:marRight w:val="0"/>
      <w:marTop w:val="0"/>
      <w:marBottom w:val="0"/>
      <w:divBdr>
        <w:top w:val="none" w:sz="0" w:space="0" w:color="auto"/>
        <w:left w:val="none" w:sz="0" w:space="0" w:color="auto"/>
        <w:bottom w:val="none" w:sz="0" w:space="0" w:color="auto"/>
        <w:right w:val="none" w:sz="0" w:space="0" w:color="auto"/>
      </w:divBdr>
    </w:div>
    <w:div w:id="162160101">
      <w:bodyDiv w:val="1"/>
      <w:marLeft w:val="0"/>
      <w:marRight w:val="0"/>
      <w:marTop w:val="0"/>
      <w:marBottom w:val="0"/>
      <w:divBdr>
        <w:top w:val="none" w:sz="0" w:space="0" w:color="auto"/>
        <w:left w:val="none" w:sz="0" w:space="0" w:color="auto"/>
        <w:bottom w:val="none" w:sz="0" w:space="0" w:color="auto"/>
        <w:right w:val="none" w:sz="0" w:space="0" w:color="auto"/>
      </w:divBdr>
    </w:div>
    <w:div w:id="208542982">
      <w:bodyDiv w:val="1"/>
      <w:marLeft w:val="0"/>
      <w:marRight w:val="0"/>
      <w:marTop w:val="0"/>
      <w:marBottom w:val="0"/>
      <w:divBdr>
        <w:top w:val="none" w:sz="0" w:space="0" w:color="auto"/>
        <w:left w:val="none" w:sz="0" w:space="0" w:color="auto"/>
        <w:bottom w:val="none" w:sz="0" w:space="0" w:color="auto"/>
        <w:right w:val="none" w:sz="0" w:space="0" w:color="auto"/>
      </w:divBdr>
    </w:div>
    <w:div w:id="215048773">
      <w:bodyDiv w:val="1"/>
      <w:marLeft w:val="0"/>
      <w:marRight w:val="0"/>
      <w:marTop w:val="0"/>
      <w:marBottom w:val="0"/>
      <w:divBdr>
        <w:top w:val="none" w:sz="0" w:space="0" w:color="auto"/>
        <w:left w:val="none" w:sz="0" w:space="0" w:color="auto"/>
        <w:bottom w:val="none" w:sz="0" w:space="0" w:color="auto"/>
        <w:right w:val="none" w:sz="0" w:space="0" w:color="auto"/>
      </w:divBdr>
    </w:div>
    <w:div w:id="223688046">
      <w:bodyDiv w:val="1"/>
      <w:marLeft w:val="0"/>
      <w:marRight w:val="0"/>
      <w:marTop w:val="0"/>
      <w:marBottom w:val="0"/>
      <w:divBdr>
        <w:top w:val="none" w:sz="0" w:space="0" w:color="auto"/>
        <w:left w:val="none" w:sz="0" w:space="0" w:color="auto"/>
        <w:bottom w:val="none" w:sz="0" w:space="0" w:color="auto"/>
        <w:right w:val="none" w:sz="0" w:space="0" w:color="auto"/>
      </w:divBdr>
    </w:div>
    <w:div w:id="246038887">
      <w:bodyDiv w:val="1"/>
      <w:marLeft w:val="0"/>
      <w:marRight w:val="0"/>
      <w:marTop w:val="0"/>
      <w:marBottom w:val="0"/>
      <w:divBdr>
        <w:top w:val="none" w:sz="0" w:space="0" w:color="auto"/>
        <w:left w:val="none" w:sz="0" w:space="0" w:color="auto"/>
        <w:bottom w:val="none" w:sz="0" w:space="0" w:color="auto"/>
        <w:right w:val="none" w:sz="0" w:space="0" w:color="auto"/>
      </w:divBdr>
    </w:div>
    <w:div w:id="264389866">
      <w:bodyDiv w:val="1"/>
      <w:marLeft w:val="0"/>
      <w:marRight w:val="0"/>
      <w:marTop w:val="0"/>
      <w:marBottom w:val="0"/>
      <w:divBdr>
        <w:top w:val="none" w:sz="0" w:space="0" w:color="auto"/>
        <w:left w:val="none" w:sz="0" w:space="0" w:color="auto"/>
        <w:bottom w:val="none" w:sz="0" w:space="0" w:color="auto"/>
        <w:right w:val="none" w:sz="0" w:space="0" w:color="auto"/>
      </w:divBdr>
      <w:divsChild>
        <w:div w:id="325477020">
          <w:marLeft w:val="0"/>
          <w:marRight w:val="0"/>
          <w:marTop w:val="0"/>
          <w:marBottom w:val="0"/>
          <w:divBdr>
            <w:top w:val="none" w:sz="0" w:space="0" w:color="auto"/>
            <w:left w:val="none" w:sz="0" w:space="0" w:color="auto"/>
            <w:bottom w:val="none" w:sz="0" w:space="0" w:color="auto"/>
            <w:right w:val="none" w:sz="0" w:space="0" w:color="auto"/>
          </w:divBdr>
        </w:div>
        <w:div w:id="539830162">
          <w:marLeft w:val="0"/>
          <w:marRight w:val="0"/>
          <w:marTop w:val="0"/>
          <w:marBottom w:val="0"/>
          <w:divBdr>
            <w:top w:val="none" w:sz="0" w:space="0" w:color="auto"/>
            <w:left w:val="none" w:sz="0" w:space="0" w:color="auto"/>
            <w:bottom w:val="none" w:sz="0" w:space="0" w:color="auto"/>
            <w:right w:val="none" w:sz="0" w:space="0" w:color="auto"/>
          </w:divBdr>
        </w:div>
        <w:div w:id="582758271">
          <w:marLeft w:val="0"/>
          <w:marRight w:val="0"/>
          <w:marTop w:val="0"/>
          <w:marBottom w:val="0"/>
          <w:divBdr>
            <w:top w:val="none" w:sz="0" w:space="0" w:color="auto"/>
            <w:left w:val="none" w:sz="0" w:space="0" w:color="auto"/>
            <w:bottom w:val="none" w:sz="0" w:space="0" w:color="auto"/>
            <w:right w:val="none" w:sz="0" w:space="0" w:color="auto"/>
          </w:divBdr>
        </w:div>
        <w:div w:id="791561414">
          <w:marLeft w:val="0"/>
          <w:marRight w:val="0"/>
          <w:marTop w:val="0"/>
          <w:marBottom w:val="0"/>
          <w:divBdr>
            <w:top w:val="none" w:sz="0" w:space="0" w:color="auto"/>
            <w:left w:val="none" w:sz="0" w:space="0" w:color="auto"/>
            <w:bottom w:val="none" w:sz="0" w:space="0" w:color="auto"/>
            <w:right w:val="none" w:sz="0" w:space="0" w:color="auto"/>
          </w:divBdr>
        </w:div>
        <w:div w:id="830874428">
          <w:marLeft w:val="0"/>
          <w:marRight w:val="0"/>
          <w:marTop w:val="0"/>
          <w:marBottom w:val="0"/>
          <w:divBdr>
            <w:top w:val="none" w:sz="0" w:space="0" w:color="auto"/>
            <w:left w:val="none" w:sz="0" w:space="0" w:color="auto"/>
            <w:bottom w:val="none" w:sz="0" w:space="0" w:color="auto"/>
            <w:right w:val="none" w:sz="0" w:space="0" w:color="auto"/>
          </w:divBdr>
        </w:div>
        <w:div w:id="848913457">
          <w:marLeft w:val="0"/>
          <w:marRight w:val="0"/>
          <w:marTop w:val="0"/>
          <w:marBottom w:val="0"/>
          <w:divBdr>
            <w:top w:val="none" w:sz="0" w:space="0" w:color="auto"/>
            <w:left w:val="none" w:sz="0" w:space="0" w:color="auto"/>
            <w:bottom w:val="none" w:sz="0" w:space="0" w:color="auto"/>
            <w:right w:val="none" w:sz="0" w:space="0" w:color="auto"/>
          </w:divBdr>
        </w:div>
        <w:div w:id="918175998">
          <w:marLeft w:val="0"/>
          <w:marRight w:val="0"/>
          <w:marTop w:val="0"/>
          <w:marBottom w:val="0"/>
          <w:divBdr>
            <w:top w:val="none" w:sz="0" w:space="0" w:color="auto"/>
            <w:left w:val="none" w:sz="0" w:space="0" w:color="auto"/>
            <w:bottom w:val="none" w:sz="0" w:space="0" w:color="auto"/>
            <w:right w:val="none" w:sz="0" w:space="0" w:color="auto"/>
          </w:divBdr>
        </w:div>
        <w:div w:id="1028681894">
          <w:marLeft w:val="0"/>
          <w:marRight w:val="0"/>
          <w:marTop w:val="0"/>
          <w:marBottom w:val="0"/>
          <w:divBdr>
            <w:top w:val="none" w:sz="0" w:space="0" w:color="auto"/>
            <w:left w:val="none" w:sz="0" w:space="0" w:color="auto"/>
            <w:bottom w:val="none" w:sz="0" w:space="0" w:color="auto"/>
            <w:right w:val="none" w:sz="0" w:space="0" w:color="auto"/>
          </w:divBdr>
        </w:div>
        <w:div w:id="1030960088">
          <w:marLeft w:val="0"/>
          <w:marRight w:val="0"/>
          <w:marTop w:val="0"/>
          <w:marBottom w:val="0"/>
          <w:divBdr>
            <w:top w:val="none" w:sz="0" w:space="0" w:color="auto"/>
            <w:left w:val="none" w:sz="0" w:space="0" w:color="auto"/>
            <w:bottom w:val="none" w:sz="0" w:space="0" w:color="auto"/>
            <w:right w:val="none" w:sz="0" w:space="0" w:color="auto"/>
          </w:divBdr>
        </w:div>
        <w:div w:id="1050692444">
          <w:marLeft w:val="0"/>
          <w:marRight w:val="0"/>
          <w:marTop w:val="0"/>
          <w:marBottom w:val="0"/>
          <w:divBdr>
            <w:top w:val="none" w:sz="0" w:space="0" w:color="auto"/>
            <w:left w:val="none" w:sz="0" w:space="0" w:color="auto"/>
            <w:bottom w:val="none" w:sz="0" w:space="0" w:color="auto"/>
            <w:right w:val="none" w:sz="0" w:space="0" w:color="auto"/>
          </w:divBdr>
        </w:div>
        <w:div w:id="1054231455">
          <w:marLeft w:val="0"/>
          <w:marRight w:val="0"/>
          <w:marTop w:val="0"/>
          <w:marBottom w:val="0"/>
          <w:divBdr>
            <w:top w:val="none" w:sz="0" w:space="0" w:color="auto"/>
            <w:left w:val="none" w:sz="0" w:space="0" w:color="auto"/>
            <w:bottom w:val="none" w:sz="0" w:space="0" w:color="auto"/>
            <w:right w:val="none" w:sz="0" w:space="0" w:color="auto"/>
          </w:divBdr>
        </w:div>
        <w:div w:id="1061753178">
          <w:marLeft w:val="0"/>
          <w:marRight w:val="0"/>
          <w:marTop w:val="0"/>
          <w:marBottom w:val="0"/>
          <w:divBdr>
            <w:top w:val="none" w:sz="0" w:space="0" w:color="auto"/>
            <w:left w:val="none" w:sz="0" w:space="0" w:color="auto"/>
            <w:bottom w:val="none" w:sz="0" w:space="0" w:color="auto"/>
            <w:right w:val="none" w:sz="0" w:space="0" w:color="auto"/>
          </w:divBdr>
        </w:div>
        <w:div w:id="1098254375">
          <w:marLeft w:val="0"/>
          <w:marRight w:val="0"/>
          <w:marTop w:val="0"/>
          <w:marBottom w:val="0"/>
          <w:divBdr>
            <w:top w:val="none" w:sz="0" w:space="0" w:color="auto"/>
            <w:left w:val="none" w:sz="0" w:space="0" w:color="auto"/>
            <w:bottom w:val="none" w:sz="0" w:space="0" w:color="auto"/>
            <w:right w:val="none" w:sz="0" w:space="0" w:color="auto"/>
          </w:divBdr>
        </w:div>
        <w:div w:id="1267928550">
          <w:marLeft w:val="0"/>
          <w:marRight w:val="0"/>
          <w:marTop w:val="0"/>
          <w:marBottom w:val="0"/>
          <w:divBdr>
            <w:top w:val="none" w:sz="0" w:space="0" w:color="auto"/>
            <w:left w:val="none" w:sz="0" w:space="0" w:color="auto"/>
            <w:bottom w:val="none" w:sz="0" w:space="0" w:color="auto"/>
            <w:right w:val="none" w:sz="0" w:space="0" w:color="auto"/>
          </w:divBdr>
        </w:div>
        <w:div w:id="1337657356">
          <w:marLeft w:val="0"/>
          <w:marRight w:val="0"/>
          <w:marTop w:val="0"/>
          <w:marBottom w:val="0"/>
          <w:divBdr>
            <w:top w:val="none" w:sz="0" w:space="0" w:color="auto"/>
            <w:left w:val="none" w:sz="0" w:space="0" w:color="auto"/>
            <w:bottom w:val="none" w:sz="0" w:space="0" w:color="auto"/>
            <w:right w:val="none" w:sz="0" w:space="0" w:color="auto"/>
          </w:divBdr>
        </w:div>
        <w:div w:id="1364671307">
          <w:marLeft w:val="0"/>
          <w:marRight w:val="0"/>
          <w:marTop w:val="0"/>
          <w:marBottom w:val="0"/>
          <w:divBdr>
            <w:top w:val="none" w:sz="0" w:space="0" w:color="auto"/>
            <w:left w:val="none" w:sz="0" w:space="0" w:color="auto"/>
            <w:bottom w:val="none" w:sz="0" w:space="0" w:color="auto"/>
            <w:right w:val="none" w:sz="0" w:space="0" w:color="auto"/>
          </w:divBdr>
        </w:div>
        <w:div w:id="1579552546">
          <w:marLeft w:val="0"/>
          <w:marRight w:val="0"/>
          <w:marTop w:val="0"/>
          <w:marBottom w:val="0"/>
          <w:divBdr>
            <w:top w:val="none" w:sz="0" w:space="0" w:color="auto"/>
            <w:left w:val="none" w:sz="0" w:space="0" w:color="auto"/>
            <w:bottom w:val="none" w:sz="0" w:space="0" w:color="auto"/>
            <w:right w:val="none" w:sz="0" w:space="0" w:color="auto"/>
          </w:divBdr>
        </w:div>
        <w:div w:id="1895266999">
          <w:marLeft w:val="0"/>
          <w:marRight w:val="0"/>
          <w:marTop w:val="0"/>
          <w:marBottom w:val="0"/>
          <w:divBdr>
            <w:top w:val="none" w:sz="0" w:space="0" w:color="auto"/>
            <w:left w:val="none" w:sz="0" w:space="0" w:color="auto"/>
            <w:bottom w:val="none" w:sz="0" w:space="0" w:color="auto"/>
            <w:right w:val="none" w:sz="0" w:space="0" w:color="auto"/>
          </w:divBdr>
        </w:div>
        <w:div w:id="1955943128">
          <w:marLeft w:val="0"/>
          <w:marRight w:val="0"/>
          <w:marTop w:val="0"/>
          <w:marBottom w:val="0"/>
          <w:divBdr>
            <w:top w:val="none" w:sz="0" w:space="0" w:color="auto"/>
            <w:left w:val="none" w:sz="0" w:space="0" w:color="auto"/>
            <w:bottom w:val="none" w:sz="0" w:space="0" w:color="auto"/>
            <w:right w:val="none" w:sz="0" w:space="0" w:color="auto"/>
          </w:divBdr>
        </w:div>
        <w:div w:id="1960993951">
          <w:marLeft w:val="0"/>
          <w:marRight w:val="0"/>
          <w:marTop w:val="0"/>
          <w:marBottom w:val="0"/>
          <w:divBdr>
            <w:top w:val="none" w:sz="0" w:space="0" w:color="auto"/>
            <w:left w:val="none" w:sz="0" w:space="0" w:color="auto"/>
            <w:bottom w:val="none" w:sz="0" w:space="0" w:color="auto"/>
            <w:right w:val="none" w:sz="0" w:space="0" w:color="auto"/>
          </w:divBdr>
        </w:div>
      </w:divsChild>
    </w:div>
    <w:div w:id="330832643">
      <w:bodyDiv w:val="1"/>
      <w:marLeft w:val="0"/>
      <w:marRight w:val="0"/>
      <w:marTop w:val="0"/>
      <w:marBottom w:val="0"/>
      <w:divBdr>
        <w:top w:val="none" w:sz="0" w:space="0" w:color="auto"/>
        <w:left w:val="none" w:sz="0" w:space="0" w:color="auto"/>
        <w:bottom w:val="none" w:sz="0" w:space="0" w:color="auto"/>
        <w:right w:val="none" w:sz="0" w:space="0" w:color="auto"/>
      </w:divBdr>
    </w:div>
    <w:div w:id="373122625">
      <w:bodyDiv w:val="1"/>
      <w:marLeft w:val="0"/>
      <w:marRight w:val="0"/>
      <w:marTop w:val="0"/>
      <w:marBottom w:val="0"/>
      <w:divBdr>
        <w:top w:val="none" w:sz="0" w:space="0" w:color="auto"/>
        <w:left w:val="none" w:sz="0" w:space="0" w:color="auto"/>
        <w:bottom w:val="none" w:sz="0" w:space="0" w:color="auto"/>
        <w:right w:val="none" w:sz="0" w:space="0" w:color="auto"/>
      </w:divBdr>
    </w:div>
    <w:div w:id="433521586">
      <w:bodyDiv w:val="1"/>
      <w:marLeft w:val="0"/>
      <w:marRight w:val="0"/>
      <w:marTop w:val="0"/>
      <w:marBottom w:val="0"/>
      <w:divBdr>
        <w:top w:val="none" w:sz="0" w:space="0" w:color="auto"/>
        <w:left w:val="none" w:sz="0" w:space="0" w:color="auto"/>
        <w:bottom w:val="none" w:sz="0" w:space="0" w:color="auto"/>
        <w:right w:val="none" w:sz="0" w:space="0" w:color="auto"/>
      </w:divBdr>
    </w:div>
    <w:div w:id="545603474">
      <w:bodyDiv w:val="1"/>
      <w:marLeft w:val="0"/>
      <w:marRight w:val="0"/>
      <w:marTop w:val="0"/>
      <w:marBottom w:val="0"/>
      <w:divBdr>
        <w:top w:val="none" w:sz="0" w:space="0" w:color="auto"/>
        <w:left w:val="none" w:sz="0" w:space="0" w:color="auto"/>
        <w:bottom w:val="none" w:sz="0" w:space="0" w:color="auto"/>
        <w:right w:val="none" w:sz="0" w:space="0" w:color="auto"/>
      </w:divBdr>
    </w:div>
    <w:div w:id="548078396">
      <w:bodyDiv w:val="1"/>
      <w:marLeft w:val="0"/>
      <w:marRight w:val="0"/>
      <w:marTop w:val="0"/>
      <w:marBottom w:val="0"/>
      <w:divBdr>
        <w:top w:val="none" w:sz="0" w:space="0" w:color="auto"/>
        <w:left w:val="none" w:sz="0" w:space="0" w:color="auto"/>
        <w:bottom w:val="none" w:sz="0" w:space="0" w:color="auto"/>
        <w:right w:val="none" w:sz="0" w:space="0" w:color="auto"/>
      </w:divBdr>
    </w:div>
    <w:div w:id="571694196">
      <w:bodyDiv w:val="1"/>
      <w:marLeft w:val="0"/>
      <w:marRight w:val="0"/>
      <w:marTop w:val="0"/>
      <w:marBottom w:val="0"/>
      <w:divBdr>
        <w:top w:val="none" w:sz="0" w:space="0" w:color="auto"/>
        <w:left w:val="none" w:sz="0" w:space="0" w:color="auto"/>
        <w:bottom w:val="none" w:sz="0" w:space="0" w:color="auto"/>
        <w:right w:val="none" w:sz="0" w:space="0" w:color="auto"/>
      </w:divBdr>
    </w:div>
    <w:div w:id="608585229">
      <w:bodyDiv w:val="1"/>
      <w:marLeft w:val="0"/>
      <w:marRight w:val="0"/>
      <w:marTop w:val="0"/>
      <w:marBottom w:val="0"/>
      <w:divBdr>
        <w:top w:val="none" w:sz="0" w:space="0" w:color="auto"/>
        <w:left w:val="none" w:sz="0" w:space="0" w:color="auto"/>
        <w:bottom w:val="none" w:sz="0" w:space="0" w:color="auto"/>
        <w:right w:val="none" w:sz="0" w:space="0" w:color="auto"/>
      </w:divBdr>
    </w:div>
    <w:div w:id="665598654">
      <w:bodyDiv w:val="1"/>
      <w:marLeft w:val="0"/>
      <w:marRight w:val="0"/>
      <w:marTop w:val="0"/>
      <w:marBottom w:val="0"/>
      <w:divBdr>
        <w:top w:val="none" w:sz="0" w:space="0" w:color="auto"/>
        <w:left w:val="none" w:sz="0" w:space="0" w:color="auto"/>
        <w:bottom w:val="none" w:sz="0" w:space="0" w:color="auto"/>
        <w:right w:val="none" w:sz="0" w:space="0" w:color="auto"/>
      </w:divBdr>
    </w:div>
    <w:div w:id="712579606">
      <w:bodyDiv w:val="1"/>
      <w:marLeft w:val="0"/>
      <w:marRight w:val="0"/>
      <w:marTop w:val="0"/>
      <w:marBottom w:val="0"/>
      <w:divBdr>
        <w:top w:val="none" w:sz="0" w:space="0" w:color="auto"/>
        <w:left w:val="none" w:sz="0" w:space="0" w:color="auto"/>
        <w:bottom w:val="none" w:sz="0" w:space="0" w:color="auto"/>
        <w:right w:val="none" w:sz="0" w:space="0" w:color="auto"/>
      </w:divBdr>
    </w:div>
    <w:div w:id="715928893">
      <w:bodyDiv w:val="1"/>
      <w:marLeft w:val="0"/>
      <w:marRight w:val="0"/>
      <w:marTop w:val="0"/>
      <w:marBottom w:val="0"/>
      <w:divBdr>
        <w:top w:val="none" w:sz="0" w:space="0" w:color="auto"/>
        <w:left w:val="none" w:sz="0" w:space="0" w:color="auto"/>
        <w:bottom w:val="none" w:sz="0" w:space="0" w:color="auto"/>
        <w:right w:val="none" w:sz="0" w:space="0" w:color="auto"/>
      </w:divBdr>
    </w:div>
    <w:div w:id="718625665">
      <w:bodyDiv w:val="1"/>
      <w:marLeft w:val="0"/>
      <w:marRight w:val="0"/>
      <w:marTop w:val="0"/>
      <w:marBottom w:val="0"/>
      <w:divBdr>
        <w:top w:val="none" w:sz="0" w:space="0" w:color="auto"/>
        <w:left w:val="none" w:sz="0" w:space="0" w:color="auto"/>
        <w:bottom w:val="none" w:sz="0" w:space="0" w:color="auto"/>
        <w:right w:val="none" w:sz="0" w:space="0" w:color="auto"/>
      </w:divBdr>
    </w:div>
    <w:div w:id="778795691">
      <w:bodyDiv w:val="1"/>
      <w:marLeft w:val="0"/>
      <w:marRight w:val="0"/>
      <w:marTop w:val="0"/>
      <w:marBottom w:val="0"/>
      <w:divBdr>
        <w:top w:val="none" w:sz="0" w:space="0" w:color="auto"/>
        <w:left w:val="none" w:sz="0" w:space="0" w:color="auto"/>
        <w:bottom w:val="none" w:sz="0" w:space="0" w:color="auto"/>
        <w:right w:val="none" w:sz="0" w:space="0" w:color="auto"/>
      </w:divBdr>
    </w:div>
    <w:div w:id="788821847">
      <w:bodyDiv w:val="1"/>
      <w:marLeft w:val="0"/>
      <w:marRight w:val="0"/>
      <w:marTop w:val="0"/>
      <w:marBottom w:val="0"/>
      <w:divBdr>
        <w:top w:val="none" w:sz="0" w:space="0" w:color="auto"/>
        <w:left w:val="none" w:sz="0" w:space="0" w:color="auto"/>
        <w:bottom w:val="none" w:sz="0" w:space="0" w:color="auto"/>
        <w:right w:val="none" w:sz="0" w:space="0" w:color="auto"/>
      </w:divBdr>
      <w:divsChild>
        <w:div w:id="617956735">
          <w:marLeft w:val="1541"/>
          <w:marRight w:val="0"/>
          <w:marTop w:val="0"/>
          <w:marBottom w:val="0"/>
          <w:divBdr>
            <w:top w:val="none" w:sz="0" w:space="0" w:color="auto"/>
            <w:left w:val="none" w:sz="0" w:space="0" w:color="auto"/>
            <w:bottom w:val="none" w:sz="0" w:space="0" w:color="auto"/>
            <w:right w:val="none" w:sz="0" w:space="0" w:color="auto"/>
          </w:divBdr>
        </w:div>
        <w:div w:id="1297182986">
          <w:marLeft w:val="922"/>
          <w:marRight w:val="0"/>
          <w:marTop w:val="0"/>
          <w:marBottom w:val="0"/>
          <w:divBdr>
            <w:top w:val="none" w:sz="0" w:space="0" w:color="auto"/>
            <w:left w:val="none" w:sz="0" w:space="0" w:color="auto"/>
            <w:bottom w:val="none" w:sz="0" w:space="0" w:color="auto"/>
            <w:right w:val="none" w:sz="0" w:space="0" w:color="auto"/>
          </w:divBdr>
        </w:div>
        <w:div w:id="1774399952">
          <w:marLeft w:val="1541"/>
          <w:marRight w:val="0"/>
          <w:marTop w:val="0"/>
          <w:marBottom w:val="0"/>
          <w:divBdr>
            <w:top w:val="none" w:sz="0" w:space="0" w:color="auto"/>
            <w:left w:val="none" w:sz="0" w:space="0" w:color="auto"/>
            <w:bottom w:val="none" w:sz="0" w:space="0" w:color="auto"/>
            <w:right w:val="none" w:sz="0" w:space="0" w:color="auto"/>
          </w:divBdr>
        </w:div>
      </w:divsChild>
    </w:div>
    <w:div w:id="794904384">
      <w:bodyDiv w:val="1"/>
      <w:marLeft w:val="0"/>
      <w:marRight w:val="0"/>
      <w:marTop w:val="0"/>
      <w:marBottom w:val="0"/>
      <w:divBdr>
        <w:top w:val="none" w:sz="0" w:space="0" w:color="auto"/>
        <w:left w:val="none" w:sz="0" w:space="0" w:color="auto"/>
        <w:bottom w:val="none" w:sz="0" w:space="0" w:color="auto"/>
        <w:right w:val="none" w:sz="0" w:space="0" w:color="auto"/>
      </w:divBdr>
    </w:div>
    <w:div w:id="908616952">
      <w:bodyDiv w:val="1"/>
      <w:marLeft w:val="0"/>
      <w:marRight w:val="0"/>
      <w:marTop w:val="0"/>
      <w:marBottom w:val="0"/>
      <w:divBdr>
        <w:top w:val="none" w:sz="0" w:space="0" w:color="auto"/>
        <w:left w:val="none" w:sz="0" w:space="0" w:color="auto"/>
        <w:bottom w:val="none" w:sz="0" w:space="0" w:color="auto"/>
        <w:right w:val="none" w:sz="0" w:space="0" w:color="auto"/>
      </w:divBdr>
    </w:div>
    <w:div w:id="910384816">
      <w:bodyDiv w:val="1"/>
      <w:marLeft w:val="0"/>
      <w:marRight w:val="0"/>
      <w:marTop w:val="0"/>
      <w:marBottom w:val="0"/>
      <w:divBdr>
        <w:top w:val="none" w:sz="0" w:space="0" w:color="auto"/>
        <w:left w:val="none" w:sz="0" w:space="0" w:color="auto"/>
        <w:bottom w:val="none" w:sz="0" w:space="0" w:color="auto"/>
        <w:right w:val="none" w:sz="0" w:space="0" w:color="auto"/>
      </w:divBdr>
    </w:div>
    <w:div w:id="911474802">
      <w:bodyDiv w:val="1"/>
      <w:marLeft w:val="0"/>
      <w:marRight w:val="0"/>
      <w:marTop w:val="0"/>
      <w:marBottom w:val="0"/>
      <w:divBdr>
        <w:top w:val="none" w:sz="0" w:space="0" w:color="auto"/>
        <w:left w:val="none" w:sz="0" w:space="0" w:color="auto"/>
        <w:bottom w:val="none" w:sz="0" w:space="0" w:color="auto"/>
        <w:right w:val="none" w:sz="0" w:space="0" w:color="auto"/>
      </w:divBdr>
    </w:div>
    <w:div w:id="925575246">
      <w:bodyDiv w:val="1"/>
      <w:marLeft w:val="0"/>
      <w:marRight w:val="0"/>
      <w:marTop w:val="0"/>
      <w:marBottom w:val="0"/>
      <w:divBdr>
        <w:top w:val="none" w:sz="0" w:space="0" w:color="auto"/>
        <w:left w:val="none" w:sz="0" w:space="0" w:color="auto"/>
        <w:bottom w:val="none" w:sz="0" w:space="0" w:color="auto"/>
        <w:right w:val="none" w:sz="0" w:space="0" w:color="auto"/>
      </w:divBdr>
    </w:div>
    <w:div w:id="965043530">
      <w:bodyDiv w:val="1"/>
      <w:marLeft w:val="0"/>
      <w:marRight w:val="0"/>
      <w:marTop w:val="0"/>
      <w:marBottom w:val="0"/>
      <w:divBdr>
        <w:top w:val="none" w:sz="0" w:space="0" w:color="auto"/>
        <w:left w:val="none" w:sz="0" w:space="0" w:color="auto"/>
        <w:bottom w:val="none" w:sz="0" w:space="0" w:color="auto"/>
        <w:right w:val="none" w:sz="0" w:space="0" w:color="auto"/>
      </w:divBdr>
    </w:div>
    <w:div w:id="966159282">
      <w:bodyDiv w:val="1"/>
      <w:marLeft w:val="0"/>
      <w:marRight w:val="0"/>
      <w:marTop w:val="0"/>
      <w:marBottom w:val="0"/>
      <w:divBdr>
        <w:top w:val="none" w:sz="0" w:space="0" w:color="auto"/>
        <w:left w:val="none" w:sz="0" w:space="0" w:color="auto"/>
        <w:bottom w:val="none" w:sz="0" w:space="0" w:color="auto"/>
        <w:right w:val="none" w:sz="0" w:space="0" w:color="auto"/>
      </w:divBdr>
      <w:divsChild>
        <w:div w:id="437484411">
          <w:marLeft w:val="0"/>
          <w:marRight w:val="0"/>
          <w:marTop w:val="0"/>
          <w:marBottom w:val="0"/>
          <w:divBdr>
            <w:top w:val="none" w:sz="0" w:space="0" w:color="auto"/>
            <w:left w:val="none" w:sz="0" w:space="0" w:color="auto"/>
            <w:bottom w:val="none" w:sz="0" w:space="0" w:color="auto"/>
            <w:right w:val="none" w:sz="0" w:space="0" w:color="auto"/>
          </w:divBdr>
          <w:divsChild>
            <w:div w:id="1375499686">
              <w:marLeft w:val="0"/>
              <w:marRight w:val="0"/>
              <w:marTop w:val="0"/>
              <w:marBottom w:val="0"/>
              <w:divBdr>
                <w:top w:val="none" w:sz="0" w:space="0" w:color="auto"/>
                <w:left w:val="none" w:sz="0" w:space="0" w:color="auto"/>
                <w:bottom w:val="none" w:sz="0" w:space="0" w:color="auto"/>
                <w:right w:val="none" w:sz="0" w:space="0" w:color="auto"/>
              </w:divBdr>
              <w:divsChild>
                <w:div w:id="2092191044">
                  <w:marLeft w:val="0"/>
                  <w:marRight w:val="0"/>
                  <w:marTop w:val="0"/>
                  <w:marBottom w:val="0"/>
                  <w:divBdr>
                    <w:top w:val="none" w:sz="0" w:space="0" w:color="auto"/>
                    <w:left w:val="none" w:sz="0" w:space="0" w:color="auto"/>
                    <w:bottom w:val="none" w:sz="0" w:space="0" w:color="auto"/>
                    <w:right w:val="none" w:sz="0" w:space="0" w:color="auto"/>
                  </w:divBdr>
                  <w:divsChild>
                    <w:div w:id="1205944241">
                      <w:marLeft w:val="0"/>
                      <w:marRight w:val="303"/>
                      <w:marTop w:val="0"/>
                      <w:marBottom w:val="0"/>
                      <w:divBdr>
                        <w:top w:val="single" w:sz="36" w:space="0" w:color="61A2B4"/>
                        <w:left w:val="none" w:sz="0" w:space="0" w:color="auto"/>
                        <w:bottom w:val="none" w:sz="0" w:space="0" w:color="auto"/>
                        <w:right w:val="none" w:sz="0" w:space="0" w:color="auto"/>
                      </w:divBdr>
                      <w:divsChild>
                        <w:div w:id="1833450916">
                          <w:marLeft w:val="0"/>
                          <w:marRight w:val="303"/>
                          <w:marTop w:val="0"/>
                          <w:marBottom w:val="0"/>
                          <w:divBdr>
                            <w:top w:val="single" w:sz="36" w:space="0" w:color="61A2B4"/>
                            <w:left w:val="none" w:sz="0" w:space="0" w:color="auto"/>
                            <w:bottom w:val="none" w:sz="0" w:space="0" w:color="auto"/>
                            <w:right w:val="none" w:sz="0" w:space="0" w:color="auto"/>
                          </w:divBdr>
                          <w:divsChild>
                            <w:div w:id="3169162">
                              <w:marLeft w:val="0"/>
                              <w:marRight w:val="303"/>
                              <w:marTop w:val="0"/>
                              <w:marBottom w:val="0"/>
                              <w:divBdr>
                                <w:top w:val="single" w:sz="36" w:space="0" w:color="61A2B4"/>
                                <w:left w:val="none" w:sz="0" w:space="0" w:color="auto"/>
                                <w:bottom w:val="none" w:sz="0" w:space="0" w:color="auto"/>
                                <w:right w:val="none" w:sz="0" w:space="0" w:color="auto"/>
                              </w:divBdr>
                              <w:divsChild>
                                <w:div w:id="16964261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983267669">
      <w:bodyDiv w:val="1"/>
      <w:marLeft w:val="0"/>
      <w:marRight w:val="0"/>
      <w:marTop w:val="0"/>
      <w:marBottom w:val="0"/>
      <w:divBdr>
        <w:top w:val="none" w:sz="0" w:space="0" w:color="auto"/>
        <w:left w:val="none" w:sz="0" w:space="0" w:color="auto"/>
        <w:bottom w:val="none" w:sz="0" w:space="0" w:color="auto"/>
        <w:right w:val="none" w:sz="0" w:space="0" w:color="auto"/>
      </w:divBdr>
      <w:divsChild>
        <w:div w:id="276956113">
          <w:marLeft w:val="0"/>
          <w:marRight w:val="0"/>
          <w:marTop w:val="0"/>
          <w:marBottom w:val="0"/>
          <w:divBdr>
            <w:top w:val="none" w:sz="0" w:space="0" w:color="auto"/>
            <w:left w:val="none" w:sz="0" w:space="0" w:color="auto"/>
            <w:bottom w:val="none" w:sz="0" w:space="0" w:color="auto"/>
            <w:right w:val="none" w:sz="0" w:space="0" w:color="auto"/>
          </w:divBdr>
        </w:div>
        <w:div w:id="607539981">
          <w:marLeft w:val="0"/>
          <w:marRight w:val="0"/>
          <w:marTop w:val="0"/>
          <w:marBottom w:val="0"/>
          <w:divBdr>
            <w:top w:val="none" w:sz="0" w:space="0" w:color="auto"/>
            <w:left w:val="none" w:sz="0" w:space="0" w:color="auto"/>
            <w:bottom w:val="none" w:sz="0" w:space="0" w:color="auto"/>
            <w:right w:val="none" w:sz="0" w:space="0" w:color="auto"/>
          </w:divBdr>
        </w:div>
        <w:div w:id="994802025">
          <w:marLeft w:val="0"/>
          <w:marRight w:val="0"/>
          <w:marTop w:val="0"/>
          <w:marBottom w:val="0"/>
          <w:divBdr>
            <w:top w:val="none" w:sz="0" w:space="0" w:color="auto"/>
            <w:left w:val="none" w:sz="0" w:space="0" w:color="auto"/>
            <w:bottom w:val="none" w:sz="0" w:space="0" w:color="auto"/>
            <w:right w:val="none" w:sz="0" w:space="0" w:color="auto"/>
          </w:divBdr>
        </w:div>
        <w:div w:id="1148786634">
          <w:marLeft w:val="0"/>
          <w:marRight w:val="0"/>
          <w:marTop w:val="0"/>
          <w:marBottom w:val="0"/>
          <w:divBdr>
            <w:top w:val="none" w:sz="0" w:space="0" w:color="auto"/>
            <w:left w:val="none" w:sz="0" w:space="0" w:color="auto"/>
            <w:bottom w:val="none" w:sz="0" w:space="0" w:color="auto"/>
            <w:right w:val="none" w:sz="0" w:space="0" w:color="auto"/>
          </w:divBdr>
        </w:div>
        <w:div w:id="1167793663">
          <w:marLeft w:val="0"/>
          <w:marRight w:val="0"/>
          <w:marTop w:val="0"/>
          <w:marBottom w:val="0"/>
          <w:divBdr>
            <w:top w:val="none" w:sz="0" w:space="0" w:color="auto"/>
            <w:left w:val="none" w:sz="0" w:space="0" w:color="auto"/>
            <w:bottom w:val="none" w:sz="0" w:space="0" w:color="auto"/>
            <w:right w:val="none" w:sz="0" w:space="0" w:color="auto"/>
          </w:divBdr>
        </w:div>
        <w:div w:id="1549142930">
          <w:marLeft w:val="0"/>
          <w:marRight w:val="0"/>
          <w:marTop w:val="0"/>
          <w:marBottom w:val="0"/>
          <w:divBdr>
            <w:top w:val="none" w:sz="0" w:space="0" w:color="auto"/>
            <w:left w:val="none" w:sz="0" w:space="0" w:color="auto"/>
            <w:bottom w:val="none" w:sz="0" w:space="0" w:color="auto"/>
            <w:right w:val="none" w:sz="0" w:space="0" w:color="auto"/>
          </w:divBdr>
        </w:div>
        <w:div w:id="1622033372">
          <w:marLeft w:val="0"/>
          <w:marRight w:val="0"/>
          <w:marTop w:val="0"/>
          <w:marBottom w:val="0"/>
          <w:divBdr>
            <w:top w:val="none" w:sz="0" w:space="0" w:color="auto"/>
            <w:left w:val="none" w:sz="0" w:space="0" w:color="auto"/>
            <w:bottom w:val="none" w:sz="0" w:space="0" w:color="auto"/>
            <w:right w:val="none" w:sz="0" w:space="0" w:color="auto"/>
          </w:divBdr>
        </w:div>
        <w:div w:id="1677032435">
          <w:marLeft w:val="0"/>
          <w:marRight w:val="0"/>
          <w:marTop w:val="0"/>
          <w:marBottom w:val="0"/>
          <w:divBdr>
            <w:top w:val="none" w:sz="0" w:space="0" w:color="auto"/>
            <w:left w:val="none" w:sz="0" w:space="0" w:color="auto"/>
            <w:bottom w:val="none" w:sz="0" w:space="0" w:color="auto"/>
            <w:right w:val="none" w:sz="0" w:space="0" w:color="auto"/>
          </w:divBdr>
        </w:div>
        <w:div w:id="1837723483">
          <w:marLeft w:val="0"/>
          <w:marRight w:val="0"/>
          <w:marTop w:val="0"/>
          <w:marBottom w:val="0"/>
          <w:divBdr>
            <w:top w:val="none" w:sz="0" w:space="0" w:color="auto"/>
            <w:left w:val="none" w:sz="0" w:space="0" w:color="auto"/>
            <w:bottom w:val="none" w:sz="0" w:space="0" w:color="auto"/>
            <w:right w:val="none" w:sz="0" w:space="0" w:color="auto"/>
          </w:divBdr>
        </w:div>
        <w:div w:id="1911429724">
          <w:marLeft w:val="0"/>
          <w:marRight w:val="0"/>
          <w:marTop w:val="0"/>
          <w:marBottom w:val="0"/>
          <w:divBdr>
            <w:top w:val="none" w:sz="0" w:space="0" w:color="auto"/>
            <w:left w:val="none" w:sz="0" w:space="0" w:color="auto"/>
            <w:bottom w:val="none" w:sz="0" w:space="0" w:color="auto"/>
            <w:right w:val="none" w:sz="0" w:space="0" w:color="auto"/>
          </w:divBdr>
        </w:div>
      </w:divsChild>
    </w:div>
    <w:div w:id="1007252082">
      <w:bodyDiv w:val="1"/>
      <w:marLeft w:val="0"/>
      <w:marRight w:val="0"/>
      <w:marTop w:val="0"/>
      <w:marBottom w:val="0"/>
      <w:divBdr>
        <w:top w:val="none" w:sz="0" w:space="0" w:color="auto"/>
        <w:left w:val="none" w:sz="0" w:space="0" w:color="auto"/>
        <w:bottom w:val="none" w:sz="0" w:space="0" w:color="auto"/>
        <w:right w:val="none" w:sz="0" w:space="0" w:color="auto"/>
      </w:divBdr>
      <w:divsChild>
        <w:div w:id="9962132">
          <w:marLeft w:val="0"/>
          <w:marRight w:val="0"/>
          <w:marTop w:val="0"/>
          <w:marBottom w:val="0"/>
          <w:divBdr>
            <w:top w:val="none" w:sz="0" w:space="0" w:color="auto"/>
            <w:left w:val="none" w:sz="0" w:space="0" w:color="auto"/>
            <w:bottom w:val="none" w:sz="0" w:space="0" w:color="auto"/>
            <w:right w:val="none" w:sz="0" w:space="0" w:color="auto"/>
          </w:divBdr>
        </w:div>
        <w:div w:id="600190404">
          <w:marLeft w:val="0"/>
          <w:marRight w:val="0"/>
          <w:marTop w:val="0"/>
          <w:marBottom w:val="0"/>
          <w:divBdr>
            <w:top w:val="none" w:sz="0" w:space="0" w:color="auto"/>
            <w:left w:val="none" w:sz="0" w:space="0" w:color="auto"/>
            <w:bottom w:val="none" w:sz="0" w:space="0" w:color="auto"/>
            <w:right w:val="none" w:sz="0" w:space="0" w:color="auto"/>
          </w:divBdr>
        </w:div>
        <w:div w:id="653681017">
          <w:marLeft w:val="0"/>
          <w:marRight w:val="0"/>
          <w:marTop w:val="0"/>
          <w:marBottom w:val="0"/>
          <w:divBdr>
            <w:top w:val="none" w:sz="0" w:space="0" w:color="auto"/>
            <w:left w:val="none" w:sz="0" w:space="0" w:color="auto"/>
            <w:bottom w:val="none" w:sz="0" w:space="0" w:color="auto"/>
            <w:right w:val="none" w:sz="0" w:space="0" w:color="auto"/>
          </w:divBdr>
        </w:div>
        <w:div w:id="762729158">
          <w:marLeft w:val="0"/>
          <w:marRight w:val="0"/>
          <w:marTop w:val="0"/>
          <w:marBottom w:val="0"/>
          <w:divBdr>
            <w:top w:val="none" w:sz="0" w:space="0" w:color="auto"/>
            <w:left w:val="none" w:sz="0" w:space="0" w:color="auto"/>
            <w:bottom w:val="none" w:sz="0" w:space="0" w:color="auto"/>
            <w:right w:val="none" w:sz="0" w:space="0" w:color="auto"/>
          </w:divBdr>
        </w:div>
        <w:div w:id="1586960386">
          <w:marLeft w:val="0"/>
          <w:marRight w:val="0"/>
          <w:marTop w:val="0"/>
          <w:marBottom w:val="0"/>
          <w:divBdr>
            <w:top w:val="none" w:sz="0" w:space="0" w:color="auto"/>
            <w:left w:val="none" w:sz="0" w:space="0" w:color="auto"/>
            <w:bottom w:val="none" w:sz="0" w:space="0" w:color="auto"/>
            <w:right w:val="none" w:sz="0" w:space="0" w:color="auto"/>
          </w:divBdr>
        </w:div>
        <w:div w:id="1769502015">
          <w:marLeft w:val="0"/>
          <w:marRight w:val="0"/>
          <w:marTop w:val="0"/>
          <w:marBottom w:val="0"/>
          <w:divBdr>
            <w:top w:val="none" w:sz="0" w:space="0" w:color="auto"/>
            <w:left w:val="none" w:sz="0" w:space="0" w:color="auto"/>
            <w:bottom w:val="none" w:sz="0" w:space="0" w:color="auto"/>
            <w:right w:val="none" w:sz="0" w:space="0" w:color="auto"/>
          </w:divBdr>
        </w:div>
        <w:div w:id="2108035737">
          <w:marLeft w:val="0"/>
          <w:marRight w:val="0"/>
          <w:marTop w:val="0"/>
          <w:marBottom w:val="0"/>
          <w:divBdr>
            <w:top w:val="none" w:sz="0" w:space="0" w:color="auto"/>
            <w:left w:val="none" w:sz="0" w:space="0" w:color="auto"/>
            <w:bottom w:val="none" w:sz="0" w:space="0" w:color="auto"/>
            <w:right w:val="none" w:sz="0" w:space="0" w:color="auto"/>
          </w:divBdr>
        </w:div>
      </w:divsChild>
    </w:div>
    <w:div w:id="1007321047">
      <w:bodyDiv w:val="1"/>
      <w:marLeft w:val="0"/>
      <w:marRight w:val="0"/>
      <w:marTop w:val="0"/>
      <w:marBottom w:val="0"/>
      <w:divBdr>
        <w:top w:val="none" w:sz="0" w:space="0" w:color="auto"/>
        <w:left w:val="none" w:sz="0" w:space="0" w:color="auto"/>
        <w:bottom w:val="none" w:sz="0" w:space="0" w:color="auto"/>
        <w:right w:val="none" w:sz="0" w:space="0" w:color="auto"/>
      </w:divBdr>
    </w:div>
    <w:div w:id="1013412430">
      <w:bodyDiv w:val="1"/>
      <w:marLeft w:val="0"/>
      <w:marRight w:val="0"/>
      <w:marTop w:val="0"/>
      <w:marBottom w:val="0"/>
      <w:divBdr>
        <w:top w:val="none" w:sz="0" w:space="0" w:color="auto"/>
        <w:left w:val="none" w:sz="0" w:space="0" w:color="auto"/>
        <w:bottom w:val="none" w:sz="0" w:space="0" w:color="auto"/>
        <w:right w:val="none" w:sz="0" w:space="0" w:color="auto"/>
      </w:divBdr>
    </w:div>
    <w:div w:id="1031342755">
      <w:bodyDiv w:val="1"/>
      <w:marLeft w:val="0"/>
      <w:marRight w:val="0"/>
      <w:marTop w:val="0"/>
      <w:marBottom w:val="0"/>
      <w:divBdr>
        <w:top w:val="none" w:sz="0" w:space="0" w:color="auto"/>
        <w:left w:val="none" w:sz="0" w:space="0" w:color="auto"/>
        <w:bottom w:val="none" w:sz="0" w:space="0" w:color="auto"/>
        <w:right w:val="none" w:sz="0" w:space="0" w:color="auto"/>
      </w:divBdr>
    </w:div>
    <w:div w:id="1070468439">
      <w:bodyDiv w:val="1"/>
      <w:marLeft w:val="0"/>
      <w:marRight w:val="0"/>
      <w:marTop w:val="0"/>
      <w:marBottom w:val="0"/>
      <w:divBdr>
        <w:top w:val="none" w:sz="0" w:space="0" w:color="auto"/>
        <w:left w:val="none" w:sz="0" w:space="0" w:color="auto"/>
        <w:bottom w:val="none" w:sz="0" w:space="0" w:color="auto"/>
        <w:right w:val="none" w:sz="0" w:space="0" w:color="auto"/>
      </w:divBdr>
    </w:div>
    <w:div w:id="1090202780">
      <w:bodyDiv w:val="1"/>
      <w:marLeft w:val="0"/>
      <w:marRight w:val="0"/>
      <w:marTop w:val="0"/>
      <w:marBottom w:val="0"/>
      <w:divBdr>
        <w:top w:val="none" w:sz="0" w:space="0" w:color="auto"/>
        <w:left w:val="none" w:sz="0" w:space="0" w:color="auto"/>
        <w:bottom w:val="none" w:sz="0" w:space="0" w:color="auto"/>
        <w:right w:val="none" w:sz="0" w:space="0" w:color="auto"/>
      </w:divBdr>
      <w:divsChild>
        <w:div w:id="15278806">
          <w:marLeft w:val="0"/>
          <w:marRight w:val="0"/>
          <w:marTop w:val="0"/>
          <w:marBottom w:val="0"/>
          <w:divBdr>
            <w:top w:val="none" w:sz="0" w:space="0" w:color="auto"/>
            <w:left w:val="none" w:sz="0" w:space="0" w:color="auto"/>
            <w:bottom w:val="none" w:sz="0" w:space="0" w:color="auto"/>
            <w:right w:val="none" w:sz="0" w:space="0" w:color="auto"/>
          </w:divBdr>
        </w:div>
        <w:div w:id="166137393">
          <w:marLeft w:val="0"/>
          <w:marRight w:val="0"/>
          <w:marTop w:val="0"/>
          <w:marBottom w:val="0"/>
          <w:divBdr>
            <w:top w:val="none" w:sz="0" w:space="0" w:color="auto"/>
            <w:left w:val="none" w:sz="0" w:space="0" w:color="auto"/>
            <w:bottom w:val="none" w:sz="0" w:space="0" w:color="auto"/>
            <w:right w:val="none" w:sz="0" w:space="0" w:color="auto"/>
          </w:divBdr>
        </w:div>
        <w:div w:id="171454951">
          <w:marLeft w:val="0"/>
          <w:marRight w:val="0"/>
          <w:marTop w:val="0"/>
          <w:marBottom w:val="0"/>
          <w:divBdr>
            <w:top w:val="none" w:sz="0" w:space="0" w:color="auto"/>
            <w:left w:val="none" w:sz="0" w:space="0" w:color="auto"/>
            <w:bottom w:val="none" w:sz="0" w:space="0" w:color="auto"/>
            <w:right w:val="none" w:sz="0" w:space="0" w:color="auto"/>
          </w:divBdr>
        </w:div>
        <w:div w:id="213583791">
          <w:marLeft w:val="0"/>
          <w:marRight w:val="0"/>
          <w:marTop w:val="0"/>
          <w:marBottom w:val="0"/>
          <w:divBdr>
            <w:top w:val="none" w:sz="0" w:space="0" w:color="auto"/>
            <w:left w:val="none" w:sz="0" w:space="0" w:color="auto"/>
            <w:bottom w:val="none" w:sz="0" w:space="0" w:color="auto"/>
            <w:right w:val="none" w:sz="0" w:space="0" w:color="auto"/>
          </w:divBdr>
        </w:div>
        <w:div w:id="286736648">
          <w:marLeft w:val="0"/>
          <w:marRight w:val="0"/>
          <w:marTop w:val="0"/>
          <w:marBottom w:val="0"/>
          <w:divBdr>
            <w:top w:val="none" w:sz="0" w:space="0" w:color="auto"/>
            <w:left w:val="none" w:sz="0" w:space="0" w:color="auto"/>
            <w:bottom w:val="none" w:sz="0" w:space="0" w:color="auto"/>
            <w:right w:val="none" w:sz="0" w:space="0" w:color="auto"/>
          </w:divBdr>
        </w:div>
        <w:div w:id="379482388">
          <w:marLeft w:val="0"/>
          <w:marRight w:val="0"/>
          <w:marTop w:val="0"/>
          <w:marBottom w:val="0"/>
          <w:divBdr>
            <w:top w:val="none" w:sz="0" w:space="0" w:color="auto"/>
            <w:left w:val="none" w:sz="0" w:space="0" w:color="auto"/>
            <w:bottom w:val="none" w:sz="0" w:space="0" w:color="auto"/>
            <w:right w:val="none" w:sz="0" w:space="0" w:color="auto"/>
          </w:divBdr>
        </w:div>
        <w:div w:id="398484634">
          <w:marLeft w:val="0"/>
          <w:marRight w:val="0"/>
          <w:marTop w:val="0"/>
          <w:marBottom w:val="0"/>
          <w:divBdr>
            <w:top w:val="none" w:sz="0" w:space="0" w:color="auto"/>
            <w:left w:val="none" w:sz="0" w:space="0" w:color="auto"/>
            <w:bottom w:val="none" w:sz="0" w:space="0" w:color="auto"/>
            <w:right w:val="none" w:sz="0" w:space="0" w:color="auto"/>
          </w:divBdr>
        </w:div>
        <w:div w:id="507330906">
          <w:marLeft w:val="0"/>
          <w:marRight w:val="0"/>
          <w:marTop w:val="0"/>
          <w:marBottom w:val="0"/>
          <w:divBdr>
            <w:top w:val="none" w:sz="0" w:space="0" w:color="auto"/>
            <w:left w:val="none" w:sz="0" w:space="0" w:color="auto"/>
            <w:bottom w:val="none" w:sz="0" w:space="0" w:color="auto"/>
            <w:right w:val="none" w:sz="0" w:space="0" w:color="auto"/>
          </w:divBdr>
        </w:div>
        <w:div w:id="680861253">
          <w:marLeft w:val="0"/>
          <w:marRight w:val="0"/>
          <w:marTop w:val="0"/>
          <w:marBottom w:val="0"/>
          <w:divBdr>
            <w:top w:val="none" w:sz="0" w:space="0" w:color="auto"/>
            <w:left w:val="none" w:sz="0" w:space="0" w:color="auto"/>
            <w:bottom w:val="none" w:sz="0" w:space="0" w:color="auto"/>
            <w:right w:val="none" w:sz="0" w:space="0" w:color="auto"/>
          </w:divBdr>
        </w:div>
        <w:div w:id="719716672">
          <w:marLeft w:val="0"/>
          <w:marRight w:val="0"/>
          <w:marTop w:val="0"/>
          <w:marBottom w:val="0"/>
          <w:divBdr>
            <w:top w:val="none" w:sz="0" w:space="0" w:color="auto"/>
            <w:left w:val="none" w:sz="0" w:space="0" w:color="auto"/>
            <w:bottom w:val="none" w:sz="0" w:space="0" w:color="auto"/>
            <w:right w:val="none" w:sz="0" w:space="0" w:color="auto"/>
          </w:divBdr>
        </w:div>
        <w:div w:id="791051860">
          <w:marLeft w:val="0"/>
          <w:marRight w:val="0"/>
          <w:marTop w:val="0"/>
          <w:marBottom w:val="0"/>
          <w:divBdr>
            <w:top w:val="none" w:sz="0" w:space="0" w:color="auto"/>
            <w:left w:val="none" w:sz="0" w:space="0" w:color="auto"/>
            <w:bottom w:val="none" w:sz="0" w:space="0" w:color="auto"/>
            <w:right w:val="none" w:sz="0" w:space="0" w:color="auto"/>
          </w:divBdr>
        </w:div>
        <w:div w:id="799491410">
          <w:marLeft w:val="0"/>
          <w:marRight w:val="0"/>
          <w:marTop w:val="0"/>
          <w:marBottom w:val="0"/>
          <w:divBdr>
            <w:top w:val="none" w:sz="0" w:space="0" w:color="auto"/>
            <w:left w:val="none" w:sz="0" w:space="0" w:color="auto"/>
            <w:bottom w:val="none" w:sz="0" w:space="0" w:color="auto"/>
            <w:right w:val="none" w:sz="0" w:space="0" w:color="auto"/>
          </w:divBdr>
        </w:div>
        <w:div w:id="913780869">
          <w:marLeft w:val="0"/>
          <w:marRight w:val="0"/>
          <w:marTop w:val="0"/>
          <w:marBottom w:val="0"/>
          <w:divBdr>
            <w:top w:val="none" w:sz="0" w:space="0" w:color="auto"/>
            <w:left w:val="none" w:sz="0" w:space="0" w:color="auto"/>
            <w:bottom w:val="none" w:sz="0" w:space="0" w:color="auto"/>
            <w:right w:val="none" w:sz="0" w:space="0" w:color="auto"/>
          </w:divBdr>
        </w:div>
        <w:div w:id="951866947">
          <w:marLeft w:val="0"/>
          <w:marRight w:val="0"/>
          <w:marTop w:val="0"/>
          <w:marBottom w:val="0"/>
          <w:divBdr>
            <w:top w:val="none" w:sz="0" w:space="0" w:color="auto"/>
            <w:left w:val="none" w:sz="0" w:space="0" w:color="auto"/>
            <w:bottom w:val="none" w:sz="0" w:space="0" w:color="auto"/>
            <w:right w:val="none" w:sz="0" w:space="0" w:color="auto"/>
          </w:divBdr>
        </w:div>
        <w:div w:id="1036542985">
          <w:marLeft w:val="0"/>
          <w:marRight w:val="0"/>
          <w:marTop w:val="0"/>
          <w:marBottom w:val="0"/>
          <w:divBdr>
            <w:top w:val="none" w:sz="0" w:space="0" w:color="auto"/>
            <w:left w:val="none" w:sz="0" w:space="0" w:color="auto"/>
            <w:bottom w:val="none" w:sz="0" w:space="0" w:color="auto"/>
            <w:right w:val="none" w:sz="0" w:space="0" w:color="auto"/>
          </w:divBdr>
        </w:div>
        <w:div w:id="1160854188">
          <w:marLeft w:val="0"/>
          <w:marRight w:val="0"/>
          <w:marTop w:val="0"/>
          <w:marBottom w:val="0"/>
          <w:divBdr>
            <w:top w:val="none" w:sz="0" w:space="0" w:color="auto"/>
            <w:left w:val="none" w:sz="0" w:space="0" w:color="auto"/>
            <w:bottom w:val="none" w:sz="0" w:space="0" w:color="auto"/>
            <w:right w:val="none" w:sz="0" w:space="0" w:color="auto"/>
          </w:divBdr>
        </w:div>
        <w:div w:id="1173378578">
          <w:marLeft w:val="0"/>
          <w:marRight w:val="0"/>
          <w:marTop w:val="0"/>
          <w:marBottom w:val="0"/>
          <w:divBdr>
            <w:top w:val="none" w:sz="0" w:space="0" w:color="auto"/>
            <w:left w:val="none" w:sz="0" w:space="0" w:color="auto"/>
            <w:bottom w:val="none" w:sz="0" w:space="0" w:color="auto"/>
            <w:right w:val="none" w:sz="0" w:space="0" w:color="auto"/>
          </w:divBdr>
        </w:div>
        <w:div w:id="1382099778">
          <w:marLeft w:val="0"/>
          <w:marRight w:val="0"/>
          <w:marTop w:val="0"/>
          <w:marBottom w:val="0"/>
          <w:divBdr>
            <w:top w:val="none" w:sz="0" w:space="0" w:color="auto"/>
            <w:left w:val="none" w:sz="0" w:space="0" w:color="auto"/>
            <w:bottom w:val="none" w:sz="0" w:space="0" w:color="auto"/>
            <w:right w:val="none" w:sz="0" w:space="0" w:color="auto"/>
          </w:divBdr>
        </w:div>
        <w:div w:id="1531334539">
          <w:marLeft w:val="0"/>
          <w:marRight w:val="0"/>
          <w:marTop w:val="0"/>
          <w:marBottom w:val="0"/>
          <w:divBdr>
            <w:top w:val="none" w:sz="0" w:space="0" w:color="auto"/>
            <w:left w:val="none" w:sz="0" w:space="0" w:color="auto"/>
            <w:bottom w:val="none" w:sz="0" w:space="0" w:color="auto"/>
            <w:right w:val="none" w:sz="0" w:space="0" w:color="auto"/>
          </w:divBdr>
        </w:div>
        <w:div w:id="1708406479">
          <w:marLeft w:val="0"/>
          <w:marRight w:val="0"/>
          <w:marTop w:val="0"/>
          <w:marBottom w:val="0"/>
          <w:divBdr>
            <w:top w:val="none" w:sz="0" w:space="0" w:color="auto"/>
            <w:left w:val="none" w:sz="0" w:space="0" w:color="auto"/>
            <w:bottom w:val="none" w:sz="0" w:space="0" w:color="auto"/>
            <w:right w:val="none" w:sz="0" w:space="0" w:color="auto"/>
          </w:divBdr>
        </w:div>
        <w:div w:id="1821117630">
          <w:marLeft w:val="0"/>
          <w:marRight w:val="0"/>
          <w:marTop w:val="0"/>
          <w:marBottom w:val="0"/>
          <w:divBdr>
            <w:top w:val="none" w:sz="0" w:space="0" w:color="auto"/>
            <w:left w:val="none" w:sz="0" w:space="0" w:color="auto"/>
            <w:bottom w:val="none" w:sz="0" w:space="0" w:color="auto"/>
            <w:right w:val="none" w:sz="0" w:space="0" w:color="auto"/>
          </w:divBdr>
        </w:div>
        <w:div w:id="1874295915">
          <w:marLeft w:val="0"/>
          <w:marRight w:val="0"/>
          <w:marTop w:val="0"/>
          <w:marBottom w:val="0"/>
          <w:divBdr>
            <w:top w:val="none" w:sz="0" w:space="0" w:color="auto"/>
            <w:left w:val="none" w:sz="0" w:space="0" w:color="auto"/>
            <w:bottom w:val="none" w:sz="0" w:space="0" w:color="auto"/>
            <w:right w:val="none" w:sz="0" w:space="0" w:color="auto"/>
          </w:divBdr>
        </w:div>
        <w:div w:id="1918592545">
          <w:marLeft w:val="0"/>
          <w:marRight w:val="0"/>
          <w:marTop w:val="0"/>
          <w:marBottom w:val="0"/>
          <w:divBdr>
            <w:top w:val="none" w:sz="0" w:space="0" w:color="auto"/>
            <w:left w:val="none" w:sz="0" w:space="0" w:color="auto"/>
            <w:bottom w:val="none" w:sz="0" w:space="0" w:color="auto"/>
            <w:right w:val="none" w:sz="0" w:space="0" w:color="auto"/>
          </w:divBdr>
        </w:div>
        <w:div w:id="1980068079">
          <w:marLeft w:val="0"/>
          <w:marRight w:val="0"/>
          <w:marTop w:val="0"/>
          <w:marBottom w:val="0"/>
          <w:divBdr>
            <w:top w:val="none" w:sz="0" w:space="0" w:color="auto"/>
            <w:left w:val="none" w:sz="0" w:space="0" w:color="auto"/>
            <w:bottom w:val="none" w:sz="0" w:space="0" w:color="auto"/>
            <w:right w:val="none" w:sz="0" w:space="0" w:color="auto"/>
          </w:divBdr>
        </w:div>
        <w:div w:id="2064676196">
          <w:marLeft w:val="0"/>
          <w:marRight w:val="0"/>
          <w:marTop w:val="0"/>
          <w:marBottom w:val="0"/>
          <w:divBdr>
            <w:top w:val="none" w:sz="0" w:space="0" w:color="auto"/>
            <w:left w:val="none" w:sz="0" w:space="0" w:color="auto"/>
            <w:bottom w:val="none" w:sz="0" w:space="0" w:color="auto"/>
            <w:right w:val="none" w:sz="0" w:space="0" w:color="auto"/>
          </w:divBdr>
        </w:div>
        <w:div w:id="2079087675">
          <w:marLeft w:val="0"/>
          <w:marRight w:val="0"/>
          <w:marTop w:val="0"/>
          <w:marBottom w:val="0"/>
          <w:divBdr>
            <w:top w:val="none" w:sz="0" w:space="0" w:color="auto"/>
            <w:left w:val="none" w:sz="0" w:space="0" w:color="auto"/>
            <w:bottom w:val="none" w:sz="0" w:space="0" w:color="auto"/>
            <w:right w:val="none" w:sz="0" w:space="0" w:color="auto"/>
          </w:divBdr>
        </w:div>
        <w:div w:id="2146312688">
          <w:marLeft w:val="0"/>
          <w:marRight w:val="0"/>
          <w:marTop w:val="0"/>
          <w:marBottom w:val="0"/>
          <w:divBdr>
            <w:top w:val="none" w:sz="0" w:space="0" w:color="auto"/>
            <w:left w:val="none" w:sz="0" w:space="0" w:color="auto"/>
            <w:bottom w:val="none" w:sz="0" w:space="0" w:color="auto"/>
            <w:right w:val="none" w:sz="0" w:space="0" w:color="auto"/>
          </w:divBdr>
        </w:div>
      </w:divsChild>
    </w:div>
    <w:div w:id="1095399189">
      <w:bodyDiv w:val="1"/>
      <w:marLeft w:val="0"/>
      <w:marRight w:val="0"/>
      <w:marTop w:val="0"/>
      <w:marBottom w:val="0"/>
      <w:divBdr>
        <w:top w:val="none" w:sz="0" w:space="0" w:color="auto"/>
        <w:left w:val="none" w:sz="0" w:space="0" w:color="auto"/>
        <w:bottom w:val="none" w:sz="0" w:space="0" w:color="auto"/>
        <w:right w:val="none" w:sz="0" w:space="0" w:color="auto"/>
      </w:divBdr>
    </w:div>
    <w:div w:id="1095632846">
      <w:bodyDiv w:val="1"/>
      <w:marLeft w:val="0"/>
      <w:marRight w:val="0"/>
      <w:marTop w:val="0"/>
      <w:marBottom w:val="0"/>
      <w:divBdr>
        <w:top w:val="none" w:sz="0" w:space="0" w:color="auto"/>
        <w:left w:val="none" w:sz="0" w:space="0" w:color="auto"/>
        <w:bottom w:val="none" w:sz="0" w:space="0" w:color="auto"/>
        <w:right w:val="none" w:sz="0" w:space="0" w:color="auto"/>
      </w:divBdr>
      <w:divsChild>
        <w:div w:id="439647635">
          <w:marLeft w:val="0"/>
          <w:marRight w:val="0"/>
          <w:marTop w:val="0"/>
          <w:marBottom w:val="0"/>
          <w:divBdr>
            <w:top w:val="none" w:sz="0" w:space="0" w:color="auto"/>
            <w:left w:val="none" w:sz="0" w:space="0" w:color="auto"/>
            <w:bottom w:val="none" w:sz="0" w:space="0" w:color="auto"/>
            <w:right w:val="none" w:sz="0" w:space="0" w:color="auto"/>
          </w:divBdr>
        </w:div>
        <w:div w:id="567346809">
          <w:marLeft w:val="0"/>
          <w:marRight w:val="0"/>
          <w:marTop w:val="0"/>
          <w:marBottom w:val="0"/>
          <w:divBdr>
            <w:top w:val="none" w:sz="0" w:space="0" w:color="auto"/>
            <w:left w:val="none" w:sz="0" w:space="0" w:color="auto"/>
            <w:bottom w:val="none" w:sz="0" w:space="0" w:color="auto"/>
            <w:right w:val="none" w:sz="0" w:space="0" w:color="auto"/>
          </w:divBdr>
        </w:div>
        <w:div w:id="1478572011">
          <w:marLeft w:val="0"/>
          <w:marRight w:val="0"/>
          <w:marTop w:val="0"/>
          <w:marBottom w:val="0"/>
          <w:divBdr>
            <w:top w:val="none" w:sz="0" w:space="0" w:color="auto"/>
            <w:left w:val="none" w:sz="0" w:space="0" w:color="auto"/>
            <w:bottom w:val="none" w:sz="0" w:space="0" w:color="auto"/>
            <w:right w:val="none" w:sz="0" w:space="0" w:color="auto"/>
          </w:divBdr>
        </w:div>
      </w:divsChild>
    </w:div>
    <w:div w:id="1104808388">
      <w:bodyDiv w:val="1"/>
      <w:marLeft w:val="0"/>
      <w:marRight w:val="0"/>
      <w:marTop w:val="0"/>
      <w:marBottom w:val="0"/>
      <w:divBdr>
        <w:top w:val="none" w:sz="0" w:space="0" w:color="auto"/>
        <w:left w:val="none" w:sz="0" w:space="0" w:color="auto"/>
        <w:bottom w:val="none" w:sz="0" w:space="0" w:color="auto"/>
        <w:right w:val="none" w:sz="0" w:space="0" w:color="auto"/>
      </w:divBdr>
    </w:div>
    <w:div w:id="1123426831">
      <w:bodyDiv w:val="1"/>
      <w:marLeft w:val="0"/>
      <w:marRight w:val="0"/>
      <w:marTop w:val="0"/>
      <w:marBottom w:val="0"/>
      <w:divBdr>
        <w:top w:val="none" w:sz="0" w:space="0" w:color="auto"/>
        <w:left w:val="none" w:sz="0" w:space="0" w:color="auto"/>
        <w:bottom w:val="none" w:sz="0" w:space="0" w:color="auto"/>
        <w:right w:val="none" w:sz="0" w:space="0" w:color="auto"/>
      </w:divBdr>
    </w:div>
    <w:div w:id="1163816788">
      <w:bodyDiv w:val="1"/>
      <w:marLeft w:val="0"/>
      <w:marRight w:val="0"/>
      <w:marTop w:val="0"/>
      <w:marBottom w:val="0"/>
      <w:divBdr>
        <w:top w:val="none" w:sz="0" w:space="0" w:color="auto"/>
        <w:left w:val="none" w:sz="0" w:space="0" w:color="auto"/>
        <w:bottom w:val="none" w:sz="0" w:space="0" w:color="auto"/>
        <w:right w:val="none" w:sz="0" w:space="0" w:color="auto"/>
      </w:divBdr>
    </w:div>
    <w:div w:id="1189026081">
      <w:bodyDiv w:val="1"/>
      <w:marLeft w:val="0"/>
      <w:marRight w:val="0"/>
      <w:marTop w:val="0"/>
      <w:marBottom w:val="0"/>
      <w:divBdr>
        <w:top w:val="none" w:sz="0" w:space="0" w:color="auto"/>
        <w:left w:val="none" w:sz="0" w:space="0" w:color="auto"/>
        <w:bottom w:val="none" w:sz="0" w:space="0" w:color="auto"/>
        <w:right w:val="none" w:sz="0" w:space="0" w:color="auto"/>
      </w:divBdr>
      <w:divsChild>
        <w:div w:id="306056080">
          <w:marLeft w:val="0"/>
          <w:marRight w:val="0"/>
          <w:marTop w:val="0"/>
          <w:marBottom w:val="0"/>
          <w:divBdr>
            <w:top w:val="none" w:sz="0" w:space="0" w:color="auto"/>
            <w:left w:val="none" w:sz="0" w:space="0" w:color="auto"/>
            <w:bottom w:val="none" w:sz="0" w:space="0" w:color="auto"/>
            <w:right w:val="none" w:sz="0" w:space="0" w:color="auto"/>
          </w:divBdr>
        </w:div>
        <w:div w:id="756749440">
          <w:marLeft w:val="0"/>
          <w:marRight w:val="0"/>
          <w:marTop w:val="0"/>
          <w:marBottom w:val="0"/>
          <w:divBdr>
            <w:top w:val="none" w:sz="0" w:space="0" w:color="auto"/>
            <w:left w:val="none" w:sz="0" w:space="0" w:color="auto"/>
            <w:bottom w:val="none" w:sz="0" w:space="0" w:color="auto"/>
            <w:right w:val="none" w:sz="0" w:space="0" w:color="auto"/>
          </w:divBdr>
        </w:div>
        <w:div w:id="1019114446">
          <w:marLeft w:val="0"/>
          <w:marRight w:val="0"/>
          <w:marTop w:val="0"/>
          <w:marBottom w:val="0"/>
          <w:divBdr>
            <w:top w:val="none" w:sz="0" w:space="0" w:color="auto"/>
            <w:left w:val="none" w:sz="0" w:space="0" w:color="auto"/>
            <w:bottom w:val="none" w:sz="0" w:space="0" w:color="auto"/>
            <w:right w:val="none" w:sz="0" w:space="0" w:color="auto"/>
          </w:divBdr>
        </w:div>
        <w:div w:id="1229806732">
          <w:marLeft w:val="0"/>
          <w:marRight w:val="0"/>
          <w:marTop w:val="0"/>
          <w:marBottom w:val="0"/>
          <w:divBdr>
            <w:top w:val="none" w:sz="0" w:space="0" w:color="auto"/>
            <w:left w:val="none" w:sz="0" w:space="0" w:color="auto"/>
            <w:bottom w:val="none" w:sz="0" w:space="0" w:color="auto"/>
            <w:right w:val="none" w:sz="0" w:space="0" w:color="auto"/>
          </w:divBdr>
        </w:div>
        <w:div w:id="1863008799">
          <w:marLeft w:val="0"/>
          <w:marRight w:val="0"/>
          <w:marTop w:val="0"/>
          <w:marBottom w:val="0"/>
          <w:divBdr>
            <w:top w:val="none" w:sz="0" w:space="0" w:color="auto"/>
            <w:left w:val="none" w:sz="0" w:space="0" w:color="auto"/>
            <w:bottom w:val="none" w:sz="0" w:space="0" w:color="auto"/>
            <w:right w:val="none" w:sz="0" w:space="0" w:color="auto"/>
          </w:divBdr>
        </w:div>
      </w:divsChild>
    </w:div>
    <w:div w:id="1203246482">
      <w:bodyDiv w:val="1"/>
      <w:marLeft w:val="0"/>
      <w:marRight w:val="0"/>
      <w:marTop w:val="0"/>
      <w:marBottom w:val="0"/>
      <w:divBdr>
        <w:top w:val="none" w:sz="0" w:space="0" w:color="auto"/>
        <w:left w:val="none" w:sz="0" w:space="0" w:color="auto"/>
        <w:bottom w:val="none" w:sz="0" w:space="0" w:color="auto"/>
        <w:right w:val="none" w:sz="0" w:space="0" w:color="auto"/>
      </w:divBdr>
      <w:divsChild>
        <w:div w:id="586773952">
          <w:marLeft w:val="0"/>
          <w:marRight w:val="0"/>
          <w:marTop w:val="0"/>
          <w:marBottom w:val="0"/>
          <w:divBdr>
            <w:top w:val="none" w:sz="0" w:space="0" w:color="auto"/>
            <w:left w:val="none" w:sz="0" w:space="0" w:color="auto"/>
            <w:bottom w:val="none" w:sz="0" w:space="0" w:color="auto"/>
            <w:right w:val="none" w:sz="0" w:space="0" w:color="auto"/>
          </w:divBdr>
        </w:div>
        <w:div w:id="2042853518">
          <w:marLeft w:val="0"/>
          <w:marRight w:val="0"/>
          <w:marTop w:val="0"/>
          <w:marBottom w:val="0"/>
          <w:divBdr>
            <w:top w:val="none" w:sz="0" w:space="0" w:color="auto"/>
            <w:left w:val="none" w:sz="0" w:space="0" w:color="auto"/>
            <w:bottom w:val="none" w:sz="0" w:space="0" w:color="auto"/>
            <w:right w:val="none" w:sz="0" w:space="0" w:color="auto"/>
          </w:divBdr>
        </w:div>
        <w:div w:id="288512390">
          <w:marLeft w:val="0"/>
          <w:marRight w:val="0"/>
          <w:marTop w:val="0"/>
          <w:marBottom w:val="0"/>
          <w:divBdr>
            <w:top w:val="none" w:sz="0" w:space="0" w:color="auto"/>
            <w:left w:val="none" w:sz="0" w:space="0" w:color="auto"/>
            <w:bottom w:val="none" w:sz="0" w:space="0" w:color="auto"/>
            <w:right w:val="none" w:sz="0" w:space="0" w:color="auto"/>
          </w:divBdr>
        </w:div>
        <w:div w:id="157575221">
          <w:marLeft w:val="0"/>
          <w:marRight w:val="0"/>
          <w:marTop w:val="0"/>
          <w:marBottom w:val="0"/>
          <w:divBdr>
            <w:top w:val="none" w:sz="0" w:space="0" w:color="auto"/>
            <w:left w:val="none" w:sz="0" w:space="0" w:color="auto"/>
            <w:bottom w:val="none" w:sz="0" w:space="0" w:color="auto"/>
            <w:right w:val="none" w:sz="0" w:space="0" w:color="auto"/>
          </w:divBdr>
        </w:div>
        <w:div w:id="1474372362">
          <w:marLeft w:val="0"/>
          <w:marRight w:val="0"/>
          <w:marTop w:val="0"/>
          <w:marBottom w:val="0"/>
          <w:divBdr>
            <w:top w:val="none" w:sz="0" w:space="0" w:color="auto"/>
            <w:left w:val="none" w:sz="0" w:space="0" w:color="auto"/>
            <w:bottom w:val="none" w:sz="0" w:space="0" w:color="auto"/>
            <w:right w:val="none" w:sz="0" w:space="0" w:color="auto"/>
          </w:divBdr>
        </w:div>
        <w:div w:id="1245800419">
          <w:marLeft w:val="0"/>
          <w:marRight w:val="0"/>
          <w:marTop w:val="0"/>
          <w:marBottom w:val="0"/>
          <w:divBdr>
            <w:top w:val="none" w:sz="0" w:space="0" w:color="auto"/>
            <w:left w:val="none" w:sz="0" w:space="0" w:color="auto"/>
            <w:bottom w:val="none" w:sz="0" w:space="0" w:color="auto"/>
            <w:right w:val="none" w:sz="0" w:space="0" w:color="auto"/>
          </w:divBdr>
        </w:div>
        <w:div w:id="206259453">
          <w:marLeft w:val="0"/>
          <w:marRight w:val="0"/>
          <w:marTop w:val="0"/>
          <w:marBottom w:val="0"/>
          <w:divBdr>
            <w:top w:val="none" w:sz="0" w:space="0" w:color="auto"/>
            <w:left w:val="none" w:sz="0" w:space="0" w:color="auto"/>
            <w:bottom w:val="none" w:sz="0" w:space="0" w:color="auto"/>
            <w:right w:val="none" w:sz="0" w:space="0" w:color="auto"/>
          </w:divBdr>
        </w:div>
        <w:div w:id="897057160">
          <w:marLeft w:val="0"/>
          <w:marRight w:val="0"/>
          <w:marTop w:val="0"/>
          <w:marBottom w:val="0"/>
          <w:divBdr>
            <w:top w:val="none" w:sz="0" w:space="0" w:color="auto"/>
            <w:left w:val="none" w:sz="0" w:space="0" w:color="auto"/>
            <w:bottom w:val="none" w:sz="0" w:space="0" w:color="auto"/>
            <w:right w:val="none" w:sz="0" w:space="0" w:color="auto"/>
          </w:divBdr>
        </w:div>
        <w:div w:id="1432046880">
          <w:marLeft w:val="0"/>
          <w:marRight w:val="0"/>
          <w:marTop w:val="0"/>
          <w:marBottom w:val="0"/>
          <w:divBdr>
            <w:top w:val="none" w:sz="0" w:space="0" w:color="auto"/>
            <w:left w:val="none" w:sz="0" w:space="0" w:color="auto"/>
            <w:bottom w:val="none" w:sz="0" w:space="0" w:color="auto"/>
            <w:right w:val="none" w:sz="0" w:space="0" w:color="auto"/>
          </w:divBdr>
        </w:div>
        <w:div w:id="1420249432">
          <w:marLeft w:val="0"/>
          <w:marRight w:val="0"/>
          <w:marTop w:val="0"/>
          <w:marBottom w:val="0"/>
          <w:divBdr>
            <w:top w:val="none" w:sz="0" w:space="0" w:color="auto"/>
            <w:left w:val="none" w:sz="0" w:space="0" w:color="auto"/>
            <w:bottom w:val="none" w:sz="0" w:space="0" w:color="auto"/>
            <w:right w:val="none" w:sz="0" w:space="0" w:color="auto"/>
          </w:divBdr>
        </w:div>
        <w:div w:id="1515458937">
          <w:marLeft w:val="0"/>
          <w:marRight w:val="0"/>
          <w:marTop w:val="0"/>
          <w:marBottom w:val="0"/>
          <w:divBdr>
            <w:top w:val="none" w:sz="0" w:space="0" w:color="auto"/>
            <w:left w:val="none" w:sz="0" w:space="0" w:color="auto"/>
            <w:bottom w:val="none" w:sz="0" w:space="0" w:color="auto"/>
            <w:right w:val="none" w:sz="0" w:space="0" w:color="auto"/>
          </w:divBdr>
        </w:div>
        <w:div w:id="1711421876">
          <w:marLeft w:val="0"/>
          <w:marRight w:val="0"/>
          <w:marTop w:val="0"/>
          <w:marBottom w:val="0"/>
          <w:divBdr>
            <w:top w:val="none" w:sz="0" w:space="0" w:color="auto"/>
            <w:left w:val="none" w:sz="0" w:space="0" w:color="auto"/>
            <w:bottom w:val="none" w:sz="0" w:space="0" w:color="auto"/>
            <w:right w:val="none" w:sz="0" w:space="0" w:color="auto"/>
          </w:divBdr>
        </w:div>
        <w:div w:id="1216697775">
          <w:marLeft w:val="0"/>
          <w:marRight w:val="0"/>
          <w:marTop w:val="0"/>
          <w:marBottom w:val="0"/>
          <w:divBdr>
            <w:top w:val="none" w:sz="0" w:space="0" w:color="auto"/>
            <w:left w:val="none" w:sz="0" w:space="0" w:color="auto"/>
            <w:bottom w:val="none" w:sz="0" w:space="0" w:color="auto"/>
            <w:right w:val="none" w:sz="0" w:space="0" w:color="auto"/>
          </w:divBdr>
        </w:div>
        <w:div w:id="940726126">
          <w:marLeft w:val="0"/>
          <w:marRight w:val="0"/>
          <w:marTop w:val="0"/>
          <w:marBottom w:val="0"/>
          <w:divBdr>
            <w:top w:val="none" w:sz="0" w:space="0" w:color="auto"/>
            <w:left w:val="none" w:sz="0" w:space="0" w:color="auto"/>
            <w:bottom w:val="none" w:sz="0" w:space="0" w:color="auto"/>
            <w:right w:val="none" w:sz="0" w:space="0" w:color="auto"/>
          </w:divBdr>
        </w:div>
        <w:div w:id="1094786818">
          <w:marLeft w:val="0"/>
          <w:marRight w:val="0"/>
          <w:marTop w:val="0"/>
          <w:marBottom w:val="0"/>
          <w:divBdr>
            <w:top w:val="none" w:sz="0" w:space="0" w:color="auto"/>
            <w:left w:val="none" w:sz="0" w:space="0" w:color="auto"/>
            <w:bottom w:val="none" w:sz="0" w:space="0" w:color="auto"/>
            <w:right w:val="none" w:sz="0" w:space="0" w:color="auto"/>
          </w:divBdr>
        </w:div>
        <w:div w:id="826440814">
          <w:marLeft w:val="0"/>
          <w:marRight w:val="0"/>
          <w:marTop w:val="0"/>
          <w:marBottom w:val="0"/>
          <w:divBdr>
            <w:top w:val="none" w:sz="0" w:space="0" w:color="auto"/>
            <w:left w:val="none" w:sz="0" w:space="0" w:color="auto"/>
            <w:bottom w:val="none" w:sz="0" w:space="0" w:color="auto"/>
            <w:right w:val="none" w:sz="0" w:space="0" w:color="auto"/>
          </w:divBdr>
        </w:div>
        <w:div w:id="593167618">
          <w:marLeft w:val="0"/>
          <w:marRight w:val="0"/>
          <w:marTop w:val="0"/>
          <w:marBottom w:val="0"/>
          <w:divBdr>
            <w:top w:val="none" w:sz="0" w:space="0" w:color="auto"/>
            <w:left w:val="none" w:sz="0" w:space="0" w:color="auto"/>
            <w:bottom w:val="none" w:sz="0" w:space="0" w:color="auto"/>
            <w:right w:val="none" w:sz="0" w:space="0" w:color="auto"/>
          </w:divBdr>
        </w:div>
        <w:div w:id="798299245">
          <w:marLeft w:val="0"/>
          <w:marRight w:val="0"/>
          <w:marTop w:val="0"/>
          <w:marBottom w:val="0"/>
          <w:divBdr>
            <w:top w:val="none" w:sz="0" w:space="0" w:color="auto"/>
            <w:left w:val="none" w:sz="0" w:space="0" w:color="auto"/>
            <w:bottom w:val="none" w:sz="0" w:space="0" w:color="auto"/>
            <w:right w:val="none" w:sz="0" w:space="0" w:color="auto"/>
          </w:divBdr>
        </w:div>
        <w:div w:id="664404803">
          <w:marLeft w:val="0"/>
          <w:marRight w:val="0"/>
          <w:marTop w:val="0"/>
          <w:marBottom w:val="0"/>
          <w:divBdr>
            <w:top w:val="none" w:sz="0" w:space="0" w:color="auto"/>
            <w:left w:val="none" w:sz="0" w:space="0" w:color="auto"/>
            <w:bottom w:val="none" w:sz="0" w:space="0" w:color="auto"/>
            <w:right w:val="none" w:sz="0" w:space="0" w:color="auto"/>
          </w:divBdr>
        </w:div>
        <w:div w:id="502009352">
          <w:marLeft w:val="0"/>
          <w:marRight w:val="0"/>
          <w:marTop w:val="0"/>
          <w:marBottom w:val="0"/>
          <w:divBdr>
            <w:top w:val="none" w:sz="0" w:space="0" w:color="auto"/>
            <w:left w:val="none" w:sz="0" w:space="0" w:color="auto"/>
            <w:bottom w:val="none" w:sz="0" w:space="0" w:color="auto"/>
            <w:right w:val="none" w:sz="0" w:space="0" w:color="auto"/>
          </w:divBdr>
        </w:div>
        <w:div w:id="1162425114">
          <w:marLeft w:val="0"/>
          <w:marRight w:val="0"/>
          <w:marTop w:val="0"/>
          <w:marBottom w:val="0"/>
          <w:divBdr>
            <w:top w:val="none" w:sz="0" w:space="0" w:color="auto"/>
            <w:left w:val="none" w:sz="0" w:space="0" w:color="auto"/>
            <w:bottom w:val="none" w:sz="0" w:space="0" w:color="auto"/>
            <w:right w:val="none" w:sz="0" w:space="0" w:color="auto"/>
          </w:divBdr>
        </w:div>
        <w:div w:id="38481003">
          <w:marLeft w:val="0"/>
          <w:marRight w:val="0"/>
          <w:marTop w:val="0"/>
          <w:marBottom w:val="0"/>
          <w:divBdr>
            <w:top w:val="none" w:sz="0" w:space="0" w:color="auto"/>
            <w:left w:val="none" w:sz="0" w:space="0" w:color="auto"/>
            <w:bottom w:val="none" w:sz="0" w:space="0" w:color="auto"/>
            <w:right w:val="none" w:sz="0" w:space="0" w:color="auto"/>
          </w:divBdr>
        </w:div>
        <w:div w:id="511996432">
          <w:marLeft w:val="0"/>
          <w:marRight w:val="0"/>
          <w:marTop w:val="0"/>
          <w:marBottom w:val="0"/>
          <w:divBdr>
            <w:top w:val="none" w:sz="0" w:space="0" w:color="auto"/>
            <w:left w:val="none" w:sz="0" w:space="0" w:color="auto"/>
            <w:bottom w:val="none" w:sz="0" w:space="0" w:color="auto"/>
            <w:right w:val="none" w:sz="0" w:space="0" w:color="auto"/>
          </w:divBdr>
        </w:div>
        <w:div w:id="2091269154">
          <w:marLeft w:val="0"/>
          <w:marRight w:val="0"/>
          <w:marTop w:val="0"/>
          <w:marBottom w:val="0"/>
          <w:divBdr>
            <w:top w:val="none" w:sz="0" w:space="0" w:color="auto"/>
            <w:left w:val="none" w:sz="0" w:space="0" w:color="auto"/>
            <w:bottom w:val="none" w:sz="0" w:space="0" w:color="auto"/>
            <w:right w:val="none" w:sz="0" w:space="0" w:color="auto"/>
          </w:divBdr>
        </w:div>
        <w:div w:id="2077706533">
          <w:marLeft w:val="0"/>
          <w:marRight w:val="0"/>
          <w:marTop w:val="0"/>
          <w:marBottom w:val="0"/>
          <w:divBdr>
            <w:top w:val="none" w:sz="0" w:space="0" w:color="auto"/>
            <w:left w:val="none" w:sz="0" w:space="0" w:color="auto"/>
            <w:bottom w:val="none" w:sz="0" w:space="0" w:color="auto"/>
            <w:right w:val="none" w:sz="0" w:space="0" w:color="auto"/>
          </w:divBdr>
        </w:div>
        <w:div w:id="746851392">
          <w:marLeft w:val="0"/>
          <w:marRight w:val="0"/>
          <w:marTop w:val="0"/>
          <w:marBottom w:val="0"/>
          <w:divBdr>
            <w:top w:val="none" w:sz="0" w:space="0" w:color="auto"/>
            <w:left w:val="none" w:sz="0" w:space="0" w:color="auto"/>
            <w:bottom w:val="none" w:sz="0" w:space="0" w:color="auto"/>
            <w:right w:val="none" w:sz="0" w:space="0" w:color="auto"/>
          </w:divBdr>
        </w:div>
        <w:div w:id="1979678192">
          <w:marLeft w:val="0"/>
          <w:marRight w:val="0"/>
          <w:marTop w:val="0"/>
          <w:marBottom w:val="0"/>
          <w:divBdr>
            <w:top w:val="none" w:sz="0" w:space="0" w:color="auto"/>
            <w:left w:val="none" w:sz="0" w:space="0" w:color="auto"/>
            <w:bottom w:val="none" w:sz="0" w:space="0" w:color="auto"/>
            <w:right w:val="none" w:sz="0" w:space="0" w:color="auto"/>
          </w:divBdr>
        </w:div>
        <w:div w:id="280383467">
          <w:marLeft w:val="0"/>
          <w:marRight w:val="0"/>
          <w:marTop w:val="0"/>
          <w:marBottom w:val="0"/>
          <w:divBdr>
            <w:top w:val="none" w:sz="0" w:space="0" w:color="auto"/>
            <w:left w:val="none" w:sz="0" w:space="0" w:color="auto"/>
            <w:bottom w:val="none" w:sz="0" w:space="0" w:color="auto"/>
            <w:right w:val="none" w:sz="0" w:space="0" w:color="auto"/>
          </w:divBdr>
        </w:div>
        <w:div w:id="48116805">
          <w:marLeft w:val="0"/>
          <w:marRight w:val="0"/>
          <w:marTop w:val="0"/>
          <w:marBottom w:val="0"/>
          <w:divBdr>
            <w:top w:val="none" w:sz="0" w:space="0" w:color="auto"/>
            <w:left w:val="none" w:sz="0" w:space="0" w:color="auto"/>
            <w:bottom w:val="none" w:sz="0" w:space="0" w:color="auto"/>
            <w:right w:val="none" w:sz="0" w:space="0" w:color="auto"/>
          </w:divBdr>
        </w:div>
        <w:div w:id="1343974673">
          <w:marLeft w:val="0"/>
          <w:marRight w:val="0"/>
          <w:marTop w:val="0"/>
          <w:marBottom w:val="0"/>
          <w:divBdr>
            <w:top w:val="none" w:sz="0" w:space="0" w:color="auto"/>
            <w:left w:val="none" w:sz="0" w:space="0" w:color="auto"/>
            <w:bottom w:val="none" w:sz="0" w:space="0" w:color="auto"/>
            <w:right w:val="none" w:sz="0" w:space="0" w:color="auto"/>
          </w:divBdr>
        </w:div>
        <w:div w:id="1042559989">
          <w:marLeft w:val="0"/>
          <w:marRight w:val="0"/>
          <w:marTop w:val="0"/>
          <w:marBottom w:val="0"/>
          <w:divBdr>
            <w:top w:val="none" w:sz="0" w:space="0" w:color="auto"/>
            <w:left w:val="none" w:sz="0" w:space="0" w:color="auto"/>
            <w:bottom w:val="none" w:sz="0" w:space="0" w:color="auto"/>
            <w:right w:val="none" w:sz="0" w:space="0" w:color="auto"/>
          </w:divBdr>
        </w:div>
        <w:div w:id="1161235386">
          <w:marLeft w:val="0"/>
          <w:marRight w:val="0"/>
          <w:marTop w:val="0"/>
          <w:marBottom w:val="0"/>
          <w:divBdr>
            <w:top w:val="none" w:sz="0" w:space="0" w:color="auto"/>
            <w:left w:val="none" w:sz="0" w:space="0" w:color="auto"/>
            <w:bottom w:val="none" w:sz="0" w:space="0" w:color="auto"/>
            <w:right w:val="none" w:sz="0" w:space="0" w:color="auto"/>
          </w:divBdr>
        </w:div>
        <w:div w:id="1913075885">
          <w:marLeft w:val="0"/>
          <w:marRight w:val="0"/>
          <w:marTop w:val="0"/>
          <w:marBottom w:val="0"/>
          <w:divBdr>
            <w:top w:val="none" w:sz="0" w:space="0" w:color="auto"/>
            <w:left w:val="none" w:sz="0" w:space="0" w:color="auto"/>
            <w:bottom w:val="none" w:sz="0" w:space="0" w:color="auto"/>
            <w:right w:val="none" w:sz="0" w:space="0" w:color="auto"/>
          </w:divBdr>
        </w:div>
        <w:div w:id="1811172696">
          <w:marLeft w:val="0"/>
          <w:marRight w:val="0"/>
          <w:marTop w:val="0"/>
          <w:marBottom w:val="0"/>
          <w:divBdr>
            <w:top w:val="none" w:sz="0" w:space="0" w:color="auto"/>
            <w:left w:val="none" w:sz="0" w:space="0" w:color="auto"/>
            <w:bottom w:val="none" w:sz="0" w:space="0" w:color="auto"/>
            <w:right w:val="none" w:sz="0" w:space="0" w:color="auto"/>
          </w:divBdr>
        </w:div>
        <w:div w:id="1104157294">
          <w:marLeft w:val="0"/>
          <w:marRight w:val="0"/>
          <w:marTop w:val="0"/>
          <w:marBottom w:val="0"/>
          <w:divBdr>
            <w:top w:val="none" w:sz="0" w:space="0" w:color="auto"/>
            <w:left w:val="none" w:sz="0" w:space="0" w:color="auto"/>
            <w:bottom w:val="none" w:sz="0" w:space="0" w:color="auto"/>
            <w:right w:val="none" w:sz="0" w:space="0" w:color="auto"/>
          </w:divBdr>
        </w:div>
        <w:div w:id="44373007">
          <w:marLeft w:val="0"/>
          <w:marRight w:val="0"/>
          <w:marTop w:val="0"/>
          <w:marBottom w:val="0"/>
          <w:divBdr>
            <w:top w:val="none" w:sz="0" w:space="0" w:color="auto"/>
            <w:left w:val="none" w:sz="0" w:space="0" w:color="auto"/>
            <w:bottom w:val="none" w:sz="0" w:space="0" w:color="auto"/>
            <w:right w:val="none" w:sz="0" w:space="0" w:color="auto"/>
          </w:divBdr>
        </w:div>
        <w:div w:id="516387919">
          <w:marLeft w:val="0"/>
          <w:marRight w:val="0"/>
          <w:marTop w:val="0"/>
          <w:marBottom w:val="0"/>
          <w:divBdr>
            <w:top w:val="none" w:sz="0" w:space="0" w:color="auto"/>
            <w:left w:val="none" w:sz="0" w:space="0" w:color="auto"/>
            <w:bottom w:val="none" w:sz="0" w:space="0" w:color="auto"/>
            <w:right w:val="none" w:sz="0" w:space="0" w:color="auto"/>
          </w:divBdr>
        </w:div>
        <w:div w:id="798573304">
          <w:marLeft w:val="0"/>
          <w:marRight w:val="0"/>
          <w:marTop w:val="0"/>
          <w:marBottom w:val="0"/>
          <w:divBdr>
            <w:top w:val="none" w:sz="0" w:space="0" w:color="auto"/>
            <w:left w:val="none" w:sz="0" w:space="0" w:color="auto"/>
            <w:bottom w:val="none" w:sz="0" w:space="0" w:color="auto"/>
            <w:right w:val="none" w:sz="0" w:space="0" w:color="auto"/>
          </w:divBdr>
        </w:div>
        <w:div w:id="935214098">
          <w:marLeft w:val="0"/>
          <w:marRight w:val="0"/>
          <w:marTop w:val="0"/>
          <w:marBottom w:val="0"/>
          <w:divBdr>
            <w:top w:val="none" w:sz="0" w:space="0" w:color="auto"/>
            <w:left w:val="none" w:sz="0" w:space="0" w:color="auto"/>
            <w:bottom w:val="none" w:sz="0" w:space="0" w:color="auto"/>
            <w:right w:val="none" w:sz="0" w:space="0" w:color="auto"/>
          </w:divBdr>
        </w:div>
        <w:div w:id="412971945">
          <w:marLeft w:val="0"/>
          <w:marRight w:val="0"/>
          <w:marTop w:val="0"/>
          <w:marBottom w:val="0"/>
          <w:divBdr>
            <w:top w:val="none" w:sz="0" w:space="0" w:color="auto"/>
            <w:left w:val="none" w:sz="0" w:space="0" w:color="auto"/>
            <w:bottom w:val="none" w:sz="0" w:space="0" w:color="auto"/>
            <w:right w:val="none" w:sz="0" w:space="0" w:color="auto"/>
          </w:divBdr>
        </w:div>
        <w:div w:id="1112869180">
          <w:marLeft w:val="0"/>
          <w:marRight w:val="0"/>
          <w:marTop w:val="0"/>
          <w:marBottom w:val="0"/>
          <w:divBdr>
            <w:top w:val="none" w:sz="0" w:space="0" w:color="auto"/>
            <w:left w:val="none" w:sz="0" w:space="0" w:color="auto"/>
            <w:bottom w:val="none" w:sz="0" w:space="0" w:color="auto"/>
            <w:right w:val="none" w:sz="0" w:space="0" w:color="auto"/>
          </w:divBdr>
        </w:div>
        <w:div w:id="1054281104">
          <w:marLeft w:val="0"/>
          <w:marRight w:val="0"/>
          <w:marTop w:val="0"/>
          <w:marBottom w:val="0"/>
          <w:divBdr>
            <w:top w:val="none" w:sz="0" w:space="0" w:color="auto"/>
            <w:left w:val="none" w:sz="0" w:space="0" w:color="auto"/>
            <w:bottom w:val="none" w:sz="0" w:space="0" w:color="auto"/>
            <w:right w:val="none" w:sz="0" w:space="0" w:color="auto"/>
          </w:divBdr>
        </w:div>
        <w:div w:id="1642005591">
          <w:marLeft w:val="0"/>
          <w:marRight w:val="0"/>
          <w:marTop w:val="0"/>
          <w:marBottom w:val="0"/>
          <w:divBdr>
            <w:top w:val="none" w:sz="0" w:space="0" w:color="auto"/>
            <w:left w:val="none" w:sz="0" w:space="0" w:color="auto"/>
            <w:bottom w:val="none" w:sz="0" w:space="0" w:color="auto"/>
            <w:right w:val="none" w:sz="0" w:space="0" w:color="auto"/>
          </w:divBdr>
        </w:div>
        <w:div w:id="191769865">
          <w:marLeft w:val="0"/>
          <w:marRight w:val="0"/>
          <w:marTop w:val="0"/>
          <w:marBottom w:val="0"/>
          <w:divBdr>
            <w:top w:val="none" w:sz="0" w:space="0" w:color="auto"/>
            <w:left w:val="none" w:sz="0" w:space="0" w:color="auto"/>
            <w:bottom w:val="none" w:sz="0" w:space="0" w:color="auto"/>
            <w:right w:val="none" w:sz="0" w:space="0" w:color="auto"/>
          </w:divBdr>
        </w:div>
        <w:div w:id="1247109006">
          <w:marLeft w:val="0"/>
          <w:marRight w:val="0"/>
          <w:marTop w:val="0"/>
          <w:marBottom w:val="0"/>
          <w:divBdr>
            <w:top w:val="none" w:sz="0" w:space="0" w:color="auto"/>
            <w:left w:val="none" w:sz="0" w:space="0" w:color="auto"/>
            <w:bottom w:val="none" w:sz="0" w:space="0" w:color="auto"/>
            <w:right w:val="none" w:sz="0" w:space="0" w:color="auto"/>
          </w:divBdr>
        </w:div>
        <w:div w:id="1821923405">
          <w:marLeft w:val="0"/>
          <w:marRight w:val="0"/>
          <w:marTop w:val="0"/>
          <w:marBottom w:val="0"/>
          <w:divBdr>
            <w:top w:val="none" w:sz="0" w:space="0" w:color="auto"/>
            <w:left w:val="none" w:sz="0" w:space="0" w:color="auto"/>
            <w:bottom w:val="none" w:sz="0" w:space="0" w:color="auto"/>
            <w:right w:val="none" w:sz="0" w:space="0" w:color="auto"/>
          </w:divBdr>
        </w:div>
        <w:div w:id="891888414">
          <w:marLeft w:val="0"/>
          <w:marRight w:val="0"/>
          <w:marTop w:val="0"/>
          <w:marBottom w:val="0"/>
          <w:divBdr>
            <w:top w:val="none" w:sz="0" w:space="0" w:color="auto"/>
            <w:left w:val="none" w:sz="0" w:space="0" w:color="auto"/>
            <w:bottom w:val="none" w:sz="0" w:space="0" w:color="auto"/>
            <w:right w:val="none" w:sz="0" w:space="0" w:color="auto"/>
          </w:divBdr>
        </w:div>
        <w:div w:id="972246555">
          <w:marLeft w:val="0"/>
          <w:marRight w:val="0"/>
          <w:marTop w:val="0"/>
          <w:marBottom w:val="0"/>
          <w:divBdr>
            <w:top w:val="none" w:sz="0" w:space="0" w:color="auto"/>
            <w:left w:val="none" w:sz="0" w:space="0" w:color="auto"/>
            <w:bottom w:val="none" w:sz="0" w:space="0" w:color="auto"/>
            <w:right w:val="none" w:sz="0" w:space="0" w:color="auto"/>
          </w:divBdr>
        </w:div>
        <w:div w:id="194082249">
          <w:marLeft w:val="0"/>
          <w:marRight w:val="0"/>
          <w:marTop w:val="0"/>
          <w:marBottom w:val="0"/>
          <w:divBdr>
            <w:top w:val="none" w:sz="0" w:space="0" w:color="auto"/>
            <w:left w:val="none" w:sz="0" w:space="0" w:color="auto"/>
            <w:bottom w:val="none" w:sz="0" w:space="0" w:color="auto"/>
            <w:right w:val="none" w:sz="0" w:space="0" w:color="auto"/>
          </w:divBdr>
        </w:div>
        <w:div w:id="1314795104">
          <w:marLeft w:val="0"/>
          <w:marRight w:val="0"/>
          <w:marTop w:val="0"/>
          <w:marBottom w:val="0"/>
          <w:divBdr>
            <w:top w:val="none" w:sz="0" w:space="0" w:color="auto"/>
            <w:left w:val="none" w:sz="0" w:space="0" w:color="auto"/>
            <w:bottom w:val="none" w:sz="0" w:space="0" w:color="auto"/>
            <w:right w:val="none" w:sz="0" w:space="0" w:color="auto"/>
          </w:divBdr>
        </w:div>
        <w:div w:id="828519240">
          <w:marLeft w:val="0"/>
          <w:marRight w:val="0"/>
          <w:marTop w:val="0"/>
          <w:marBottom w:val="0"/>
          <w:divBdr>
            <w:top w:val="none" w:sz="0" w:space="0" w:color="auto"/>
            <w:left w:val="none" w:sz="0" w:space="0" w:color="auto"/>
            <w:bottom w:val="none" w:sz="0" w:space="0" w:color="auto"/>
            <w:right w:val="none" w:sz="0" w:space="0" w:color="auto"/>
          </w:divBdr>
        </w:div>
        <w:div w:id="1569415454">
          <w:marLeft w:val="0"/>
          <w:marRight w:val="0"/>
          <w:marTop w:val="0"/>
          <w:marBottom w:val="0"/>
          <w:divBdr>
            <w:top w:val="none" w:sz="0" w:space="0" w:color="auto"/>
            <w:left w:val="none" w:sz="0" w:space="0" w:color="auto"/>
            <w:bottom w:val="none" w:sz="0" w:space="0" w:color="auto"/>
            <w:right w:val="none" w:sz="0" w:space="0" w:color="auto"/>
          </w:divBdr>
        </w:div>
        <w:div w:id="1812013808">
          <w:marLeft w:val="0"/>
          <w:marRight w:val="0"/>
          <w:marTop w:val="0"/>
          <w:marBottom w:val="0"/>
          <w:divBdr>
            <w:top w:val="none" w:sz="0" w:space="0" w:color="auto"/>
            <w:left w:val="none" w:sz="0" w:space="0" w:color="auto"/>
            <w:bottom w:val="none" w:sz="0" w:space="0" w:color="auto"/>
            <w:right w:val="none" w:sz="0" w:space="0" w:color="auto"/>
          </w:divBdr>
        </w:div>
        <w:div w:id="1774009228">
          <w:marLeft w:val="0"/>
          <w:marRight w:val="0"/>
          <w:marTop w:val="0"/>
          <w:marBottom w:val="0"/>
          <w:divBdr>
            <w:top w:val="none" w:sz="0" w:space="0" w:color="auto"/>
            <w:left w:val="none" w:sz="0" w:space="0" w:color="auto"/>
            <w:bottom w:val="none" w:sz="0" w:space="0" w:color="auto"/>
            <w:right w:val="none" w:sz="0" w:space="0" w:color="auto"/>
          </w:divBdr>
        </w:div>
        <w:div w:id="187060657">
          <w:marLeft w:val="0"/>
          <w:marRight w:val="0"/>
          <w:marTop w:val="0"/>
          <w:marBottom w:val="0"/>
          <w:divBdr>
            <w:top w:val="none" w:sz="0" w:space="0" w:color="auto"/>
            <w:left w:val="none" w:sz="0" w:space="0" w:color="auto"/>
            <w:bottom w:val="none" w:sz="0" w:space="0" w:color="auto"/>
            <w:right w:val="none" w:sz="0" w:space="0" w:color="auto"/>
          </w:divBdr>
        </w:div>
        <w:div w:id="521238427">
          <w:marLeft w:val="0"/>
          <w:marRight w:val="0"/>
          <w:marTop w:val="0"/>
          <w:marBottom w:val="0"/>
          <w:divBdr>
            <w:top w:val="none" w:sz="0" w:space="0" w:color="auto"/>
            <w:left w:val="none" w:sz="0" w:space="0" w:color="auto"/>
            <w:bottom w:val="none" w:sz="0" w:space="0" w:color="auto"/>
            <w:right w:val="none" w:sz="0" w:space="0" w:color="auto"/>
          </w:divBdr>
        </w:div>
        <w:div w:id="742292583">
          <w:marLeft w:val="0"/>
          <w:marRight w:val="0"/>
          <w:marTop w:val="0"/>
          <w:marBottom w:val="0"/>
          <w:divBdr>
            <w:top w:val="none" w:sz="0" w:space="0" w:color="auto"/>
            <w:left w:val="none" w:sz="0" w:space="0" w:color="auto"/>
            <w:bottom w:val="none" w:sz="0" w:space="0" w:color="auto"/>
            <w:right w:val="none" w:sz="0" w:space="0" w:color="auto"/>
          </w:divBdr>
        </w:div>
        <w:div w:id="538857158">
          <w:marLeft w:val="0"/>
          <w:marRight w:val="0"/>
          <w:marTop w:val="0"/>
          <w:marBottom w:val="0"/>
          <w:divBdr>
            <w:top w:val="none" w:sz="0" w:space="0" w:color="auto"/>
            <w:left w:val="none" w:sz="0" w:space="0" w:color="auto"/>
            <w:bottom w:val="none" w:sz="0" w:space="0" w:color="auto"/>
            <w:right w:val="none" w:sz="0" w:space="0" w:color="auto"/>
          </w:divBdr>
        </w:div>
        <w:div w:id="867840976">
          <w:marLeft w:val="0"/>
          <w:marRight w:val="0"/>
          <w:marTop w:val="0"/>
          <w:marBottom w:val="0"/>
          <w:divBdr>
            <w:top w:val="none" w:sz="0" w:space="0" w:color="auto"/>
            <w:left w:val="none" w:sz="0" w:space="0" w:color="auto"/>
            <w:bottom w:val="none" w:sz="0" w:space="0" w:color="auto"/>
            <w:right w:val="none" w:sz="0" w:space="0" w:color="auto"/>
          </w:divBdr>
        </w:div>
        <w:div w:id="986128827">
          <w:marLeft w:val="0"/>
          <w:marRight w:val="0"/>
          <w:marTop w:val="0"/>
          <w:marBottom w:val="0"/>
          <w:divBdr>
            <w:top w:val="none" w:sz="0" w:space="0" w:color="auto"/>
            <w:left w:val="none" w:sz="0" w:space="0" w:color="auto"/>
            <w:bottom w:val="none" w:sz="0" w:space="0" w:color="auto"/>
            <w:right w:val="none" w:sz="0" w:space="0" w:color="auto"/>
          </w:divBdr>
        </w:div>
        <w:div w:id="625430623">
          <w:marLeft w:val="0"/>
          <w:marRight w:val="0"/>
          <w:marTop w:val="0"/>
          <w:marBottom w:val="0"/>
          <w:divBdr>
            <w:top w:val="none" w:sz="0" w:space="0" w:color="auto"/>
            <w:left w:val="none" w:sz="0" w:space="0" w:color="auto"/>
            <w:bottom w:val="none" w:sz="0" w:space="0" w:color="auto"/>
            <w:right w:val="none" w:sz="0" w:space="0" w:color="auto"/>
          </w:divBdr>
        </w:div>
        <w:div w:id="1635283285">
          <w:marLeft w:val="0"/>
          <w:marRight w:val="0"/>
          <w:marTop w:val="0"/>
          <w:marBottom w:val="0"/>
          <w:divBdr>
            <w:top w:val="none" w:sz="0" w:space="0" w:color="auto"/>
            <w:left w:val="none" w:sz="0" w:space="0" w:color="auto"/>
            <w:bottom w:val="none" w:sz="0" w:space="0" w:color="auto"/>
            <w:right w:val="none" w:sz="0" w:space="0" w:color="auto"/>
          </w:divBdr>
        </w:div>
        <w:div w:id="2146853299">
          <w:marLeft w:val="0"/>
          <w:marRight w:val="0"/>
          <w:marTop w:val="0"/>
          <w:marBottom w:val="0"/>
          <w:divBdr>
            <w:top w:val="none" w:sz="0" w:space="0" w:color="auto"/>
            <w:left w:val="none" w:sz="0" w:space="0" w:color="auto"/>
            <w:bottom w:val="none" w:sz="0" w:space="0" w:color="auto"/>
            <w:right w:val="none" w:sz="0" w:space="0" w:color="auto"/>
          </w:divBdr>
        </w:div>
        <w:div w:id="844245225">
          <w:marLeft w:val="0"/>
          <w:marRight w:val="0"/>
          <w:marTop w:val="0"/>
          <w:marBottom w:val="0"/>
          <w:divBdr>
            <w:top w:val="none" w:sz="0" w:space="0" w:color="auto"/>
            <w:left w:val="none" w:sz="0" w:space="0" w:color="auto"/>
            <w:bottom w:val="none" w:sz="0" w:space="0" w:color="auto"/>
            <w:right w:val="none" w:sz="0" w:space="0" w:color="auto"/>
          </w:divBdr>
        </w:div>
        <w:div w:id="2019774986">
          <w:marLeft w:val="0"/>
          <w:marRight w:val="0"/>
          <w:marTop w:val="0"/>
          <w:marBottom w:val="0"/>
          <w:divBdr>
            <w:top w:val="none" w:sz="0" w:space="0" w:color="auto"/>
            <w:left w:val="none" w:sz="0" w:space="0" w:color="auto"/>
            <w:bottom w:val="none" w:sz="0" w:space="0" w:color="auto"/>
            <w:right w:val="none" w:sz="0" w:space="0" w:color="auto"/>
          </w:divBdr>
        </w:div>
        <w:div w:id="1934898403">
          <w:marLeft w:val="0"/>
          <w:marRight w:val="0"/>
          <w:marTop w:val="0"/>
          <w:marBottom w:val="0"/>
          <w:divBdr>
            <w:top w:val="none" w:sz="0" w:space="0" w:color="auto"/>
            <w:left w:val="none" w:sz="0" w:space="0" w:color="auto"/>
            <w:bottom w:val="none" w:sz="0" w:space="0" w:color="auto"/>
            <w:right w:val="none" w:sz="0" w:space="0" w:color="auto"/>
          </w:divBdr>
        </w:div>
        <w:div w:id="1976373103">
          <w:marLeft w:val="0"/>
          <w:marRight w:val="0"/>
          <w:marTop w:val="0"/>
          <w:marBottom w:val="0"/>
          <w:divBdr>
            <w:top w:val="none" w:sz="0" w:space="0" w:color="auto"/>
            <w:left w:val="none" w:sz="0" w:space="0" w:color="auto"/>
            <w:bottom w:val="none" w:sz="0" w:space="0" w:color="auto"/>
            <w:right w:val="none" w:sz="0" w:space="0" w:color="auto"/>
          </w:divBdr>
        </w:div>
        <w:div w:id="767847182">
          <w:marLeft w:val="0"/>
          <w:marRight w:val="0"/>
          <w:marTop w:val="0"/>
          <w:marBottom w:val="0"/>
          <w:divBdr>
            <w:top w:val="none" w:sz="0" w:space="0" w:color="auto"/>
            <w:left w:val="none" w:sz="0" w:space="0" w:color="auto"/>
            <w:bottom w:val="none" w:sz="0" w:space="0" w:color="auto"/>
            <w:right w:val="none" w:sz="0" w:space="0" w:color="auto"/>
          </w:divBdr>
        </w:div>
        <w:div w:id="325548682">
          <w:marLeft w:val="0"/>
          <w:marRight w:val="0"/>
          <w:marTop w:val="0"/>
          <w:marBottom w:val="0"/>
          <w:divBdr>
            <w:top w:val="none" w:sz="0" w:space="0" w:color="auto"/>
            <w:left w:val="none" w:sz="0" w:space="0" w:color="auto"/>
            <w:bottom w:val="none" w:sz="0" w:space="0" w:color="auto"/>
            <w:right w:val="none" w:sz="0" w:space="0" w:color="auto"/>
          </w:divBdr>
        </w:div>
        <w:div w:id="512301599">
          <w:marLeft w:val="0"/>
          <w:marRight w:val="0"/>
          <w:marTop w:val="0"/>
          <w:marBottom w:val="0"/>
          <w:divBdr>
            <w:top w:val="none" w:sz="0" w:space="0" w:color="auto"/>
            <w:left w:val="none" w:sz="0" w:space="0" w:color="auto"/>
            <w:bottom w:val="none" w:sz="0" w:space="0" w:color="auto"/>
            <w:right w:val="none" w:sz="0" w:space="0" w:color="auto"/>
          </w:divBdr>
        </w:div>
        <w:div w:id="397172280">
          <w:marLeft w:val="0"/>
          <w:marRight w:val="0"/>
          <w:marTop w:val="0"/>
          <w:marBottom w:val="0"/>
          <w:divBdr>
            <w:top w:val="none" w:sz="0" w:space="0" w:color="auto"/>
            <w:left w:val="none" w:sz="0" w:space="0" w:color="auto"/>
            <w:bottom w:val="none" w:sz="0" w:space="0" w:color="auto"/>
            <w:right w:val="none" w:sz="0" w:space="0" w:color="auto"/>
          </w:divBdr>
        </w:div>
        <w:div w:id="955866955">
          <w:marLeft w:val="0"/>
          <w:marRight w:val="0"/>
          <w:marTop w:val="0"/>
          <w:marBottom w:val="0"/>
          <w:divBdr>
            <w:top w:val="none" w:sz="0" w:space="0" w:color="auto"/>
            <w:left w:val="none" w:sz="0" w:space="0" w:color="auto"/>
            <w:bottom w:val="none" w:sz="0" w:space="0" w:color="auto"/>
            <w:right w:val="none" w:sz="0" w:space="0" w:color="auto"/>
          </w:divBdr>
        </w:div>
        <w:div w:id="1885099051">
          <w:marLeft w:val="0"/>
          <w:marRight w:val="0"/>
          <w:marTop w:val="0"/>
          <w:marBottom w:val="0"/>
          <w:divBdr>
            <w:top w:val="none" w:sz="0" w:space="0" w:color="auto"/>
            <w:left w:val="none" w:sz="0" w:space="0" w:color="auto"/>
            <w:bottom w:val="none" w:sz="0" w:space="0" w:color="auto"/>
            <w:right w:val="none" w:sz="0" w:space="0" w:color="auto"/>
          </w:divBdr>
        </w:div>
        <w:div w:id="154495248">
          <w:marLeft w:val="0"/>
          <w:marRight w:val="0"/>
          <w:marTop w:val="0"/>
          <w:marBottom w:val="0"/>
          <w:divBdr>
            <w:top w:val="none" w:sz="0" w:space="0" w:color="auto"/>
            <w:left w:val="none" w:sz="0" w:space="0" w:color="auto"/>
            <w:bottom w:val="none" w:sz="0" w:space="0" w:color="auto"/>
            <w:right w:val="none" w:sz="0" w:space="0" w:color="auto"/>
          </w:divBdr>
        </w:div>
        <w:div w:id="745300153">
          <w:marLeft w:val="0"/>
          <w:marRight w:val="0"/>
          <w:marTop w:val="0"/>
          <w:marBottom w:val="0"/>
          <w:divBdr>
            <w:top w:val="none" w:sz="0" w:space="0" w:color="auto"/>
            <w:left w:val="none" w:sz="0" w:space="0" w:color="auto"/>
            <w:bottom w:val="none" w:sz="0" w:space="0" w:color="auto"/>
            <w:right w:val="none" w:sz="0" w:space="0" w:color="auto"/>
          </w:divBdr>
        </w:div>
        <w:div w:id="1183858443">
          <w:marLeft w:val="0"/>
          <w:marRight w:val="0"/>
          <w:marTop w:val="0"/>
          <w:marBottom w:val="0"/>
          <w:divBdr>
            <w:top w:val="none" w:sz="0" w:space="0" w:color="auto"/>
            <w:left w:val="none" w:sz="0" w:space="0" w:color="auto"/>
            <w:bottom w:val="none" w:sz="0" w:space="0" w:color="auto"/>
            <w:right w:val="none" w:sz="0" w:space="0" w:color="auto"/>
          </w:divBdr>
        </w:div>
        <w:div w:id="497619960">
          <w:marLeft w:val="0"/>
          <w:marRight w:val="0"/>
          <w:marTop w:val="0"/>
          <w:marBottom w:val="0"/>
          <w:divBdr>
            <w:top w:val="none" w:sz="0" w:space="0" w:color="auto"/>
            <w:left w:val="none" w:sz="0" w:space="0" w:color="auto"/>
            <w:bottom w:val="none" w:sz="0" w:space="0" w:color="auto"/>
            <w:right w:val="none" w:sz="0" w:space="0" w:color="auto"/>
          </w:divBdr>
        </w:div>
        <w:div w:id="632444875">
          <w:marLeft w:val="0"/>
          <w:marRight w:val="0"/>
          <w:marTop w:val="0"/>
          <w:marBottom w:val="0"/>
          <w:divBdr>
            <w:top w:val="none" w:sz="0" w:space="0" w:color="auto"/>
            <w:left w:val="none" w:sz="0" w:space="0" w:color="auto"/>
            <w:bottom w:val="none" w:sz="0" w:space="0" w:color="auto"/>
            <w:right w:val="none" w:sz="0" w:space="0" w:color="auto"/>
          </w:divBdr>
        </w:div>
        <w:div w:id="620376673">
          <w:marLeft w:val="0"/>
          <w:marRight w:val="0"/>
          <w:marTop w:val="0"/>
          <w:marBottom w:val="0"/>
          <w:divBdr>
            <w:top w:val="none" w:sz="0" w:space="0" w:color="auto"/>
            <w:left w:val="none" w:sz="0" w:space="0" w:color="auto"/>
            <w:bottom w:val="none" w:sz="0" w:space="0" w:color="auto"/>
            <w:right w:val="none" w:sz="0" w:space="0" w:color="auto"/>
          </w:divBdr>
        </w:div>
        <w:div w:id="1371302862">
          <w:marLeft w:val="0"/>
          <w:marRight w:val="0"/>
          <w:marTop w:val="0"/>
          <w:marBottom w:val="0"/>
          <w:divBdr>
            <w:top w:val="none" w:sz="0" w:space="0" w:color="auto"/>
            <w:left w:val="none" w:sz="0" w:space="0" w:color="auto"/>
            <w:bottom w:val="none" w:sz="0" w:space="0" w:color="auto"/>
            <w:right w:val="none" w:sz="0" w:space="0" w:color="auto"/>
          </w:divBdr>
        </w:div>
        <w:div w:id="1838687614">
          <w:marLeft w:val="0"/>
          <w:marRight w:val="0"/>
          <w:marTop w:val="0"/>
          <w:marBottom w:val="0"/>
          <w:divBdr>
            <w:top w:val="none" w:sz="0" w:space="0" w:color="auto"/>
            <w:left w:val="none" w:sz="0" w:space="0" w:color="auto"/>
            <w:bottom w:val="none" w:sz="0" w:space="0" w:color="auto"/>
            <w:right w:val="none" w:sz="0" w:space="0" w:color="auto"/>
          </w:divBdr>
        </w:div>
        <w:div w:id="1657412129">
          <w:marLeft w:val="0"/>
          <w:marRight w:val="0"/>
          <w:marTop w:val="0"/>
          <w:marBottom w:val="0"/>
          <w:divBdr>
            <w:top w:val="none" w:sz="0" w:space="0" w:color="auto"/>
            <w:left w:val="none" w:sz="0" w:space="0" w:color="auto"/>
            <w:bottom w:val="none" w:sz="0" w:space="0" w:color="auto"/>
            <w:right w:val="none" w:sz="0" w:space="0" w:color="auto"/>
          </w:divBdr>
        </w:div>
        <w:div w:id="1889106014">
          <w:marLeft w:val="0"/>
          <w:marRight w:val="0"/>
          <w:marTop w:val="0"/>
          <w:marBottom w:val="0"/>
          <w:divBdr>
            <w:top w:val="none" w:sz="0" w:space="0" w:color="auto"/>
            <w:left w:val="none" w:sz="0" w:space="0" w:color="auto"/>
            <w:bottom w:val="none" w:sz="0" w:space="0" w:color="auto"/>
            <w:right w:val="none" w:sz="0" w:space="0" w:color="auto"/>
          </w:divBdr>
        </w:div>
        <w:div w:id="1228107935">
          <w:marLeft w:val="0"/>
          <w:marRight w:val="0"/>
          <w:marTop w:val="0"/>
          <w:marBottom w:val="0"/>
          <w:divBdr>
            <w:top w:val="none" w:sz="0" w:space="0" w:color="auto"/>
            <w:left w:val="none" w:sz="0" w:space="0" w:color="auto"/>
            <w:bottom w:val="none" w:sz="0" w:space="0" w:color="auto"/>
            <w:right w:val="none" w:sz="0" w:space="0" w:color="auto"/>
          </w:divBdr>
        </w:div>
        <w:div w:id="923346436">
          <w:marLeft w:val="0"/>
          <w:marRight w:val="0"/>
          <w:marTop w:val="0"/>
          <w:marBottom w:val="0"/>
          <w:divBdr>
            <w:top w:val="none" w:sz="0" w:space="0" w:color="auto"/>
            <w:left w:val="none" w:sz="0" w:space="0" w:color="auto"/>
            <w:bottom w:val="none" w:sz="0" w:space="0" w:color="auto"/>
            <w:right w:val="none" w:sz="0" w:space="0" w:color="auto"/>
          </w:divBdr>
        </w:div>
        <w:div w:id="1790930463">
          <w:marLeft w:val="0"/>
          <w:marRight w:val="0"/>
          <w:marTop w:val="0"/>
          <w:marBottom w:val="0"/>
          <w:divBdr>
            <w:top w:val="none" w:sz="0" w:space="0" w:color="auto"/>
            <w:left w:val="none" w:sz="0" w:space="0" w:color="auto"/>
            <w:bottom w:val="none" w:sz="0" w:space="0" w:color="auto"/>
            <w:right w:val="none" w:sz="0" w:space="0" w:color="auto"/>
          </w:divBdr>
        </w:div>
        <w:div w:id="1236823693">
          <w:marLeft w:val="0"/>
          <w:marRight w:val="0"/>
          <w:marTop w:val="0"/>
          <w:marBottom w:val="0"/>
          <w:divBdr>
            <w:top w:val="none" w:sz="0" w:space="0" w:color="auto"/>
            <w:left w:val="none" w:sz="0" w:space="0" w:color="auto"/>
            <w:bottom w:val="none" w:sz="0" w:space="0" w:color="auto"/>
            <w:right w:val="none" w:sz="0" w:space="0" w:color="auto"/>
          </w:divBdr>
        </w:div>
      </w:divsChild>
    </w:div>
    <w:div w:id="1256786606">
      <w:bodyDiv w:val="1"/>
      <w:marLeft w:val="0"/>
      <w:marRight w:val="0"/>
      <w:marTop w:val="0"/>
      <w:marBottom w:val="0"/>
      <w:divBdr>
        <w:top w:val="none" w:sz="0" w:space="0" w:color="auto"/>
        <w:left w:val="none" w:sz="0" w:space="0" w:color="auto"/>
        <w:bottom w:val="none" w:sz="0" w:space="0" w:color="auto"/>
        <w:right w:val="none" w:sz="0" w:space="0" w:color="auto"/>
      </w:divBdr>
      <w:divsChild>
        <w:div w:id="54010524">
          <w:marLeft w:val="0"/>
          <w:marRight w:val="0"/>
          <w:marTop w:val="0"/>
          <w:marBottom w:val="0"/>
          <w:divBdr>
            <w:top w:val="none" w:sz="0" w:space="0" w:color="auto"/>
            <w:left w:val="none" w:sz="0" w:space="0" w:color="auto"/>
            <w:bottom w:val="none" w:sz="0" w:space="0" w:color="auto"/>
            <w:right w:val="none" w:sz="0" w:space="0" w:color="auto"/>
          </w:divBdr>
          <w:divsChild>
            <w:div w:id="151220761">
              <w:marLeft w:val="0"/>
              <w:marRight w:val="0"/>
              <w:marTop w:val="0"/>
              <w:marBottom w:val="0"/>
              <w:divBdr>
                <w:top w:val="none" w:sz="0" w:space="0" w:color="auto"/>
                <w:left w:val="none" w:sz="0" w:space="0" w:color="auto"/>
                <w:bottom w:val="none" w:sz="0" w:space="0" w:color="auto"/>
                <w:right w:val="none" w:sz="0" w:space="0" w:color="auto"/>
              </w:divBdr>
            </w:div>
            <w:div w:id="159349070">
              <w:marLeft w:val="0"/>
              <w:marRight w:val="0"/>
              <w:marTop w:val="0"/>
              <w:marBottom w:val="0"/>
              <w:divBdr>
                <w:top w:val="none" w:sz="0" w:space="0" w:color="auto"/>
                <w:left w:val="none" w:sz="0" w:space="0" w:color="auto"/>
                <w:bottom w:val="none" w:sz="0" w:space="0" w:color="auto"/>
                <w:right w:val="none" w:sz="0" w:space="0" w:color="auto"/>
              </w:divBdr>
            </w:div>
            <w:div w:id="364138697">
              <w:marLeft w:val="0"/>
              <w:marRight w:val="0"/>
              <w:marTop w:val="0"/>
              <w:marBottom w:val="0"/>
              <w:divBdr>
                <w:top w:val="none" w:sz="0" w:space="0" w:color="auto"/>
                <w:left w:val="none" w:sz="0" w:space="0" w:color="auto"/>
                <w:bottom w:val="none" w:sz="0" w:space="0" w:color="auto"/>
                <w:right w:val="none" w:sz="0" w:space="0" w:color="auto"/>
              </w:divBdr>
            </w:div>
            <w:div w:id="591667399">
              <w:marLeft w:val="0"/>
              <w:marRight w:val="0"/>
              <w:marTop w:val="0"/>
              <w:marBottom w:val="0"/>
              <w:divBdr>
                <w:top w:val="none" w:sz="0" w:space="0" w:color="auto"/>
                <w:left w:val="none" w:sz="0" w:space="0" w:color="auto"/>
                <w:bottom w:val="none" w:sz="0" w:space="0" w:color="auto"/>
                <w:right w:val="none" w:sz="0" w:space="0" w:color="auto"/>
              </w:divBdr>
            </w:div>
            <w:div w:id="1278416031">
              <w:marLeft w:val="0"/>
              <w:marRight w:val="0"/>
              <w:marTop w:val="0"/>
              <w:marBottom w:val="0"/>
              <w:divBdr>
                <w:top w:val="none" w:sz="0" w:space="0" w:color="auto"/>
                <w:left w:val="none" w:sz="0" w:space="0" w:color="auto"/>
                <w:bottom w:val="none" w:sz="0" w:space="0" w:color="auto"/>
                <w:right w:val="none" w:sz="0" w:space="0" w:color="auto"/>
              </w:divBdr>
            </w:div>
            <w:div w:id="1485707159">
              <w:marLeft w:val="0"/>
              <w:marRight w:val="0"/>
              <w:marTop w:val="0"/>
              <w:marBottom w:val="0"/>
              <w:divBdr>
                <w:top w:val="none" w:sz="0" w:space="0" w:color="auto"/>
                <w:left w:val="none" w:sz="0" w:space="0" w:color="auto"/>
                <w:bottom w:val="none" w:sz="0" w:space="0" w:color="auto"/>
                <w:right w:val="none" w:sz="0" w:space="0" w:color="auto"/>
              </w:divBdr>
            </w:div>
            <w:div w:id="1644693330">
              <w:marLeft w:val="0"/>
              <w:marRight w:val="0"/>
              <w:marTop w:val="0"/>
              <w:marBottom w:val="0"/>
              <w:divBdr>
                <w:top w:val="none" w:sz="0" w:space="0" w:color="auto"/>
                <w:left w:val="none" w:sz="0" w:space="0" w:color="auto"/>
                <w:bottom w:val="none" w:sz="0" w:space="0" w:color="auto"/>
                <w:right w:val="none" w:sz="0" w:space="0" w:color="auto"/>
              </w:divBdr>
            </w:div>
            <w:div w:id="1713964672">
              <w:marLeft w:val="0"/>
              <w:marRight w:val="0"/>
              <w:marTop w:val="0"/>
              <w:marBottom w:val="0"/>
              <w:divBdr>
                <w:top w:val="none" w:sz="0" w:space="0" w:color="auto"/>
                <w:left w:val="none" w:sz="0" w:space="0" w:color="auto"/>
                <w:bottom w:val="none" w:sz="0" w:space="0" w:color="auto"/>
                <w:right w:val="none" w:sz="0" w:space="0" w:color="auto"/>
              </w:divBdr>
            </w:div>
            <w:div w:id="1761482246">
              <w:marLeft w:val="0"/>
              <w:marRight w:val="0"/>
              <w:marTop w:val="0"/>
              <w:marBottom w:val="0"/>
              <w:divBdr>
                <w:top w:val="none" w:sz="0" w:space="0" w:color="auto"/>
                <w:left w:val="none" w:sz="0" w:space="0" w:color="auto"/>
                <w:bottom w:val="none" w:sz="0" w:space="0" w:color="auto"/>
                <w:right w:val="none" w:sz="0" w:space="0" w:color="auto"/>
              </w:divBdr>
            </w:div>
            <w:div w:id="19293429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64458999">
      <w:bodyDiv w:val="1"/>
      <w:marLeft w:val="0"/>
      <w:marRight w:val="0"/>
      <w:marTop w:val="0"/>
      <w:marBottom w:val="0"/>
      <w:divBdr>
        <w:top w:val="none" w:sz="0" w:space="0" w:color="auto"/>
        <w:left w:val="none" w:sz="0" w:space="0" w:color="auto"/>
        <w:bottom w:val="none" w:sz="0" w:space="0" w:color="auto"/>
        <w:right w:val="none" w:sz="0" w:space="0" w:color="auto"/>
      </w:divBdr>
    </w:div>
    <w:div w:id="1266882966">
      <w:bodyDiv w:val="1"/>
      <w:marLeft w:val="0"/>
      <w:marRight w:val="0"/>
      <w:marTop w:val="0"/>
      <w:marBottom w:val="0"/>
      <w:divBdr>
        <w:top w:val="none" w:sz="0" w:space="0" w:color="auto"/>
        <w:left w:val="none" w:sz="0" w:space="0" w:color="auto"/>
        <w:bottom w:val="none" w:sz="0" w:space="0" w:color="auto"/>
        <w:right w:val="none" w:sz="0" w:space="0" w:color="auto"/>
      </w:divBdr>
    </w:div>
    <w:div w:id="1275481704">
      <w:bodyDiv w:val="1"/>
      <w:marLeft w:val="0"/>
      <w:marRight w:val="0"/>
      <w:marTop w:val="0"/>
      <w:marBottom w:val="0"/>
      <w:divBdr>
        <w:top w:val="none" w:sz="0" w:space="0" w:color="auto"/>
        <w:left w:val="none" w:sz="0" w:space="0" w:color="auto"/>
        <w:bottom w:val="none" w:sz="0" w:space="0" w:color="auto"/>
        <w:right w:val="none" w:sz="0" w:space="0" w:color="auto"/>
      </w:divBdr>
    </w:div>
    <w:div w:id="1295210181">
      <w:bodyDiv w:val="1"/>
      <w:marLeft w:val="0"/>
      <w:marRight w:val="0"/>
      <w:marTop w:val="0"/>
      <w:marBottom w:val="0"/>
      <w:divBdr>
        <w:top w:val="none" w:sz="0" w:space="0" w:color="auto"/>
        <w:left w:val="none" w:sz="0" w:space="0" w:color="auto"/>
        <w:bottom w:val="none" w:sz="0" w:space="0" w:color="auto"/>
        <w:right w:val="none" w:sz="0" w:space="0" w:color="auto"/>
      </w:divBdr>
      <w:divsChild>
        <w:div w:id="164051995">
          <w:marLeft w:val="0"/>
          <w:marRight w:val="0"/>
          <w:marTop w:val="0"/>
          <w:marBottom w:val="0"/>
          <w:divBdr>
            <w:top w:val="none" w:sz="0" w:space="0" w:color="auto"/>
            <w:left w:val="none" w:sz="0" w:space="0" w:color="auto"/>
            <w:bottom w:val="none" w:sz="0" w:space="0" w:color="auto"/>
            <w:right w:val="none" w:sz="0" w:space="0" w:color="auto"/>
          </w:divBdr>
        </w:div>
        <w:div w:id="348146045">
          <w:marLeft w:val="0"/>
          <w:marRight w:val="0"/>
          <w:marTop w:val="0"/>
          <w:marBottom w:val="0"/>
          <w:divBdr>
            <w:top w:val="none" w:sz="0" w:space="0" w:color="auto"/>
            <w:left w:val="none" w:sz="0" w:space="0" w:color="auto"/>
            <w:bottom w:val="none" w:sz="0" w:space="0" w:color="auto"/>
            <w:right w:val="none" w:sz="0" w:space="0" w:color="auto"/>
          </w:divBdr>
        </w:div>
        <w:div w:id="573394024">
          <w:marLeft w:val="0"/>
          <w:marRight w:val="0"/>
          <w:marTop w:val="0"/>
          <w:marBottom w:val="0"/>
          <w:divBdr>
            <w:top w:val="none" w:sz="0" w:space="0" w:color="auto"/>
            <w:left w:val="none" w:sz="0" w:space="0" w:color="auto"/>
            <w:bottom w:val="none" w:sz="0" w:space="0" w:color="auto"/>
            <w:right w:val="none" w:sz="0" w:space="0" w:color="auto"/>
          </w:divBdr>
        </w:div>
        <w:div w:id="912080215">
          <w:marLeft w:val="0"/>
          <w:marRight w:val="0"/>
          <w:marTop w:val="0"/>
          <w:marBottom w:val="0"/>
          <w:divBdr>
            <w:top w:val="none" w:sz="0" w:space="0" w:color="auto"/>
            <w:left w:val="none" w:sz="0" w:space="0" w:color="auto"/>
            <w:bottom w:val="none" w:sz="0" w:space="0" w:color="auto"/>
            <w:right w:val="none" w:sz="0" w:space="0" w:color="auto"/>
          </w:divBdr>
        </w:div>
        <w:div w:id="1148402900">
          <w:marLeft w:val="0"/>
          <w:marRight w:val="0"/>
          <w:marTop w:val="0"/>
          <w:marBottom w:val="0"/>
          <w:divBdr>
            <w:top w:val="none" w:sz="0" w:space="0" w:color="auto"/>
            <w:left w:val="none" w:sz="0" w:space="0" w:color="auto"/>
            <w:bottom w:val="none" w:sz="0" w:space="0" w:color="auto"/>
            <w:right w:val="none" w:sz="0" w:space="0" w:color="auto"/>
          </w:divBdr>
        </w:div>
        <w:div w:id="1177885767">
          <w:marLeft w:val="0"/>
          <w:marRight w:val="0"/>
          <w:marTop w:val="0"/>
          <w:marBottom w:val="0"/>
          <w:divBdr>
            <w:top w:val="none" w:sz="0" w:space="0" w:color="auto"/>
            <w:left w:val="none" w:sz="0" w:space="0" w:color="auto"/>
            <w:bottom w:val="none" w:sz="0" w:space="0" w:color="auto"/>
            <w:right w:val="none" w:sz="0" w:space="0" w:color="auto"/>
          </w:divBdr>
        </w:div>
        <w:div w:id="1191648561">
          <w:marLeft w:val="0"/>
          <w:marRight w:val="0"/>
          <w:marTop w:val="0"/>
          <w:marBottom w:val="0"/>
          <w:divBdr>
            <w:top w:val="none" w:sz="0" w:space="0" w:color="auto"/>
            <w:left w:val="none" w:sz="0" w:space="0" w:color="auto"/>
            <w:bottom w:val="none" w:sz="0" w:space="0" w:color="auto"/>
            <w:right w:val="none" w:sz="0" w:space="0" w:color="auto"/>
          </w:divBdr>
        </w:div>
        <w:div w:id="1366635851">
          <w:marLeft w:val="0"/>
          <w:marRight w:val="0"/>
          <w:marTop w:val="0"/>
          <w:marBottom w:val="0"/>
          <w:divBdr>
            <w:top w:val="none" w:sz="0" w:space="0" w:color="auto"/>
            <w:left w:val="none" w:sz="0" w:space="0" w:color="auto"/>
            <w:bottom w:val="none" w:sz="0" w:space="0" w:color="auto"/>
            <w:right w:val="none" w:sz="0" w:space="0" w:color="auto"/>
          </w:divBdr>
        </w:div>
        <w:div w:id="1442264096">
          <w:marLeft w:val="0"/>
          <w:marRight w:val="0"/>
          <w:marTop w:val="0"/>
          <w:marBottom w:val="0"/>
          <w:divBdr>
            <w:top w:val="none" w:sz="0" w:space="0" w:color="auto"/>
            <w:left w:val="none" w:sz="0" w:space="0" w:color="auto"/>
            <w:bottom w:val="none" w:sz="0" w:space="0" w:color="auto"/>
            <w:right w:val="none" w:sz="0" w:space="0" w:color="auto"/>
          </w:divBdr>
        </w:div>
        <w:div w:id="1661496150">
          <w:marLeft w:val="0"/>
          <w:marRight w:val="0"/>
          <w:marTop w:val="0"/>
          <w:marBottom w:val="0"/>
          <w:divBdr>
            <w:top w:val="none" w:sz="0" w:space="0" w:color="auto"/>
            <w:left w:val="none" w:sz="0" w:space="0" w:color="auto"/>
            <w:bottom w:val="none" w:sz="0" w:space="0" w:color="auto"/>
            <w:right w:val="none" w:sz="0" w:space="0" w:color="auto"/>
          </w:divBdr>
        </w:div>
        <w:div w:id="1662195042">
          <w:marLeft w:val="0"/>
          <w:marRight w:val="0"/>
          <w:marTop w:val="0"/>
          <w:marBottom w:val="0"/>
          <w:divBdr>
            <w:top w:val="none" w:sz="0" w:space="0" w:color="auto"/>
            <w:left w:val="none" w:sz="0" w:space="0" w:color="auto"/>
            <w:bottom w:val="none" w:sz="0" w:space="0" w:color="auto"/>
            <w:right w:val="none" w:sz="0" w:space="0" w:color="auto"/>
          </w:divBdr>
        </w:div>
        <w:div w:id="1708679938">
          <w:marLeft w:val="0"/>
          <w:marRight w:val="0"/>
          <w:marTop w:val="0"/>
          <w:marBottom w:val="0"/>
          <w:divBdr>
            <w:top w:val="none" w:sz="0" w:space="0" w:color="auto"/>
            <w:left w:val="none" w:sz="0" w:space="0" w:color="auto"/>
            <w:bottom w:val="none" w:sz="0" w:space="0" w:color="auto"/>
            <w:right w:val="none" w:sz="0" w:space="0" w:color="auto"/>
          </w:divBdr>
        </w:div>
        <w:div w:id="1779376508">
          <w:marLeft w:val="0"/>
          <w:marRight w:val="0"/>
          <w:marTop w:val="0"/>
          <w:marBottom w:val="0"/>
          <w:divBdr>
            <w:top w:val="none" w:sz="0" w:space="0" w:color="auto"/>
            <w:left w:val="none" w:sz="0" w:space="0" w:color="auto"/>
            <w:bottom w:val="none" w:sz="0" w:space="0" w:color="auto"/>
            <w:right w:val="none" w:sz="0" w:space="0" w:color="auto"/>
          </w:divBdr>
        </w:div>
        <w:div w:id="1831940378">
          <w:marLeft w:val="0"/>
          <w:marRight w:val="0"/>
          <w:marTop w:val="0"/>
          <w:marBottom w:val="0"/>
          <w:divBdr>
            <w:top w:val="none" w:sz="0" w:space="0" w:color="auto"/>
            <w:left w:val="none" w:sz="0" w:space="0" w:color="auto"/>
            <w:bottom w:val="none" w:sz="0" w:space="0" w:color="auto"/>
            <w:right w:val="none" w:sz="0" w:space="0" w:color="auto"/>
          </w:divBdr>
        </w:div>
        <w:div w:id="2011791094">
          <w:marLeft w:val="0"/>
          <w:marRight w:val="0"/>
          <w:marTop w:val="0"/>
          <w:marBottom w:val="0"/>
          <w:divBdr>
            <w:top w:val="none" w:sz="0" w:space="0" w:color="auto"/>
            <w:left w:val="none" w:sz="0" w:space="0" w:color="auto"/>
            <w:bottom w:val="none" w:sz="0" w:space="0" w:color="auto"/>
            <w:right w:val="none" w:sz="0" w:space="0" w:color="auto"/>
          </w:divBdr>
        </w:div>
        <w:div w:id="2038386540">
          <w:marLeft w:val="0"/>
          <w:marRight w:val="0"/>
          <w:marTop w:val="0"/>
          <w:marBottom w:val="0"/>
          <w:divBdr>
            <w:top w:val="none" w:sz="0" w:space="0" w:color="auto"/>
            <w:left w:val="none" w:sz="0" w:space="0" w:color="auto"/>
            <w:bottom w:val="none" w:sz="0" w:space="0" w:color="auto"/>
            <w:right w:val="none" w:sz="0" w:space="0" w:color="auto"/>
          </w:divBdr>
        </w:div>
        <w:div w:id="2051412421">
          <w:marLeft w:val="0"/>
          <w:marRight w:val="0"/>
          <w:marTop w:val="0"/>
          <w:marBottom w:val="0"/>
          <w:divBdr>
            <w:top w:val="none" w:sz="0" w:space="0" w:color="auto"/>
            <w:left w:val="none" w:sz="0" w:space="0" w:color="auto"/>
            <w:bottom w:val="none" w:sz="0" w:space="0" w:color="auto"/>
            <w:right w:val="none" w:sz="0" w:space="0" w:color="auto"/>
          </w:divBdr>
        </w:div>
        <w:div w:id="2145152147">
          <w:marLeft w:val="0"/>
          <w:marRight w:val="0"/>
          <w:marTop w:val="0"/>
          <w:marBottom w:val="0"/>
          <w:divBdr>
            <w:top w:val="none" w:sz="0" w:space="0" w:color="auto"/>
            <w:left w:val="none" w:sz="0" w:space="0" w:color="auto"/>
            <w:bottom w:val="none" w:sz="0" w:space="0" w:color="auto"/>
            <w:right w:val="none" w:sz="0" w:space="0" w:color="auto"/>
          </w:divBdr>
        </w:div>
      </w:divsChild>
    </w:div>
    <w:div w:id="1298489065">
      <w:bodyDiv w:val="1"/>
      <w:marLeft w:val="0"/>
      <w:marRight w:val="0"/>
      <w:marTop w:val="0"/>
      <w:marBottom w:val="0"/>
      <w:divBdr>
        <w:top w:val="none" w:sz="0" w:space="0" w:color="auto"/>
        <w:left w:val="none" w:sz="0" w:space="0" w:color="auto"/>
        <w:bottom w:val="none" w:sz="0" w:space="0" w:color="auto"/>
        <w:right w:val="none" w:sz="0" w:space="0" w:color="auto"/>
      </w:divBdr>
    </w:div>
    <w:div w:id="1308822118">
      <w:bodyDiv w:val="1"/>
      <w:marLeft w:val="0"/>
      <w:marRight w:val="0"/>
      <w:marTop w:val="0"/>
      <w:marBottom w:val="0"/>
      <w:divBdr>
        <w:top w:val="none" w:sz="0" w:space="0" w:color="auto"/>
        <w:left w:val="none" w:sz="0" w:space="0" w:color="auto"/>
        <w:bottom w:val="none" w:sz="0" w:space="0" w:color="auto"/>
        <w:right w:val="none" w:sz="0" w:space="0" w:color="auto"/>
      </w:divBdr>
      <w:divsChild>
        <w:div w:id="7954339">
          <w:marLeft w:val="0"/>
          <w:marRight w:val="0"/>
          <w:marTop w:val="0"/>
          <w:marBottom w:val="0"/>
          <w:divBdr>
            <w:top w:val="none" w:sz="0" w:space="0" w:color="auto"/>
            <w:left w:val="none" w:sz="0" w:space="0" w:color="auto"/>
            <w:bottom w:val="none" w:sz="0" w:space="0" w:color="auto"/>
            <w:right w:val="none" w:sz="0" w:space="0" w:color="auto"/>
          </w:divBdr>
        </w:div>
        <w:div w:id="42677514">
          <w:marLeft w:val="0"/>
          <w:marRight w:val="0"/>
          <w:marTop w:val="0"/>
          <w:marBottom w:val="0"/>
          <w:divBdr>
            <w:top w:val="none" w:sz="0" w:space="0" w:color="auto"/>
            <w:left w:val="none" w:sz="0" w:space="0" w:color="auto"/>
            <w:bottom w:val="none" w:sz="0" w:space="0" w:color="auto"/>
            <w:right w:val="none" w:sz="0" w:space="0" w:color="auto"/>
          </w:divBdr>
        </w:div>
        <w:div w:id="49962367">
          <w:marLeft w:val="0"/>
          <w:marRight w:val="0"/>
          <w:marTop w:val="0"/>
          <w:marBottom w:val="0"/>
          <w:divBdr>
            <w:top w:val="none" w:sz="0" w:space="0" w:color="auto"/>
            <w:left w:val="none" w:sz="0" w:space="0" w:color="auto"/>
            <w:bottom w:val="none" w:sz="0" w:space="0" w:color="auto"/>
            <w:right w:val="none" w:sz="0" w:space="0" w:color="auto"/>
          </w:divBdr>
        </w:div>
        <w:div w:id="102766820">
          <w:marLeft w:val="0"/>
          <w:marRight w:val="0"/>
          <w:marTop w:val="0"/>
          <w:marBottom w:val="0"/>
          <w:divBdr>
            <w:top w:val="none" w:sz="0" w:space="0" w:color="auto"/>
            <w:left w:val="none" w:sz="0" w:space="0" w:color="auto"/>
            <w:bottom w:val="none" w:sz="0" w:space="0" w:color="auto"/>
            <w:right w:val="none" w:sz="0" w:space="0" w:color="auto"/>
          </w:divBdr>
        </w:div>
        <w:div w:id="148834246">
          <w:marLeft w:val="0"/>
          <w:marRight w:val="0"/>
          <w:marTop w:val="0"/>
          <w:marBottom w:val="0"/>
          <w:divBdr>
            <w:top w:val="none" w:sz="0" w:space="0" w:color="auto"/>
            <w:left w:val="none" w:sz="0" w:space="0" w:color="auto"/>
            <w:bottom w:val="none" w:sz="0" w:space="0" w:color="auto"/>
            <w:right w:val="none" w:sz="0" w:space="0" w:color="auto"/>
          </w:divBdr>
        </w:div>
        <w:div w:id="169101943">
          <w:marLeft w:val="0"/>
          <w:marRight w:val="0"/>
          <w:marTop w:val="0"/>
          <w:marBottom w:val="0"/>
          <w:divBdr>
            <w:top w:val="none" w:sz="0" w:space="0" w:color="auto"/>
            <w:left w:val="none" w:sz="0" w:space="0" w:color="auto"/>
            <w:bottom w:val="none" w:sz="0" w:space="0" w:color="auto"/>
            <w:right w:val="none" w:sz="0" w:space="0" w:color="auto"/>
          </w:divBdr>
        </w:div>
        <w:div w:id="177626204">
          <w:marLeft w:val="0"/>
          <w:marRight w:val="0"/>
          <w:marTop w:val="0"/>
          <w:marBottom w:val="0"/>
          <w:divBdr>
            <w:top w:val="none" w:sz="0" w:space="0" w:color="auto"/>
            <w:left w:val="none" w:sz="0" w:space="0" w:color="auto"/>
            <w:bottom w:val="none" w:sz="0" w:space="0" w:color="auto"/>
            <w:right w:val="none" w:sz="0" w:space="0" w:color="auto"/>
          </w:divBdr>
        </w:div>
        <w:div w:id="189148974">
          <w:marLeft w:val="0"/>
          <w:marRight w:val="0"/>
          <w:marTop w:val="0"/>
          <w:marBottom w:val="0"/>
          <w:divBdr>
            <w:top w:val="none" w:sz="0" w:space="0" w:color="auto"/>
            <w:left w:val="none" w:sz="0" w:space="0" w:color="auto"/>
            <w:bottom w:val="none" w:sz="0" w:space="0" w:color="auto"/>
            <w:right w:val="none" w:sz="0" w:space="0" w:color="auto"/>
          </w:divBdr>
        </w:div>
        <w:div w:id="213468607">
          <w:marLeft w:val="0"/>
          <w:marRight w:val="0"/>
          <w:marTop w:val="0"/>
          <w:marBottom w:val="0"/>
          <w:divBdr>
            <w:top w:val="none" w:sz="0" w:space="0" w:color="auto"/>
            <w:left w:val="none" w:sz="0" w:space="0" w:color="auto"/>
            <w:bottom w:val="none" w:sz="0" w:space="0" w:color="auto"/>
            <w:right w:val="none" w:sz="0" w:space="0" w:color="auto"/>
          </w:divBdr>
        </w:div>
        <w:div w:id="214120883">
          <w:marLeft w:val="0"/>
          <w:marRight w:val="0"/>
          <w:marTop w:val="0"/>
          <w:marBottom w:val="0"/>
          <w:divBdr>
            <w:top w:val="none" w:sz="0" w:space="0" w:color="auto"/>
            <w:left w:val="none" w:sz="0" w:space="0" w:color="auto"/>
            <w:bottom w:val="none" w:sz="0" w:space="0" w:color="auto"/>
            <w:right w:val="none" w:sz="0" w:space="0" w:color="auto"/>
          </w:divBdr>
        </w:div>
        <w:div w:id="255942940">
          <w:marLeft w:val="0"/>
          <w:marRight w:val="0"/>
          <w:marTop w:val="0"/>
          <w:marBottom w:val="0"/>
          <w:divBdr>
            <w:top w:val="none" w:sz="0" w:space="0" w:color="auto"/>
            <w:left w:val="none" w:sz="0" w:space="0" w:color="auto"/>
            <w:bottom w:val="none" w:sz="0" w:space="0" w:color="auto"/>
            <w:right w:val="none" w:sz="0" w:space="0" w:color="auto"/>
          </w:divBdr>
        </w:div>
        <w:div w:id="299728756">
          <w:marLeft w:val="0"/>
          <w:marRight w:val="0"/>
          <w:marTop w:val="0"/>
          <w:marBottom w:val="0"/>
          <w:divBdr>
            <w:top w:val="none" w:sz="0" w:space="0" w:color="auto"/>
            <w:left w:val="none" w:sz="0" w:space="0" w:color="auto"/>
            <w:bottom w:val="none" w:sz="0" w:space="0" w:color="auto"/>
            <w:right w:val="none" w:sz="0" w:space="0" w:color="auto"/>
          </w:divBdr>
        </w:div>
        <w:div w:id="302273107">
          <w:marLeft w:val="0"/>
          <w:marRight w:val="0"/>
          <w:marTop w:val="0"/>
          <w:marBottom w:val="0"/>
          <w:divBdr>
            <w:top w:val="none" w:sz="0" w:space="0" w:color="auto"/>
            <w:left w:val="none" w:sz="0" w:space="0" w:color="auto"/>
            <w:bottom w:val="none" w:sz="0" w:space="0" w:color="auto"/>
            <w:right w:val="none" w:sz="0" w:space="0" w:color="auto"/>
          </w:divBdr>
        </w:div>
        <w:div w:id="310016370">
          <w:marLeft w:val="0"/>
          <w:marRight w:val="0"/>
          <w:marTop w:val="0"/>
          <w:marBottom w:val="0"/>
          <w:divBdr>
            <w:top w:val="none" w:sz="0" w:space="0" w:color="auto"/>
            <w:left w:val="none" w:sz="0" w:space="0" w:color="auto"/>
            <w:bottom w:val="none" w:sz="0" w:space="0" w:color="auto"/>
            <w:right w:val="none" w:sz="0" w:space="0" w:color="auto"/>
          </w:divBdr>
        </w:div>
        <w:div w:id="354774788">
          <w:marLeft w:val="0"/>
          <w:marRight w:val="0"/>
          <w:marTop w:val="0"/>
          <w:marBottom w:val="0"/>
          <w:divBdr>
            <w:top w:val="none" w:sz="0" w:space="0" w:color="auto"/>
            <w:left w:val="none" w:sz="0" w:space="0" w:color="auto"/>
            <w:bottom w:val="none" w:sz="0" w:space="0" w:color="auto"/>
            <w:right w:val="none" w:sz="0" w:space="0" w:color="auto"/>
          </w:divBdr>
        </w:div>
        <w:div w:id="358161487">
          <w:marLeft w:val="0"/>
          <w:marRight w:val="0"/>
          <w:marTop w:val="0"/>
          <w:marBottom w:val="0"/>
          <w:divBdr>
            <w:top w:val="none" w:sz="0" w:space="0" w:color="auto"/>
            <w:left w:val="none" w:sz="0" w:space="0" w:color="auto"/>
            <w:bottom w:val="none" w:sz="0" w:space="0" w:color="auto"/>
            <w:right w:val="none" w:sz="0" w:space="0" w:color="auto"/>
          </w:divBdr>
        </w:div>
        <w:div w:id="380833434">
          <w:marLeft w:val="0"/>
          <w:marRight w:val="0"/>
          <w:marTop w:val="0"/>
          <w:marBottom w:val="0"/>
          <w:divBdr>
            <w:top w:val="none" w:sz="0" w:space="0" w:color="auto"/>
            <w:left w:val="none" w:sz="0" w:space="0" w:color="auto"/>
            <w:bottom w:val="none" w:sz="0" w:space="0" w:color="auto"/>
            <w:right w:val="none" w:sz="0" w:space="0" w:color="auto"/>
          </w:divBdr>
        </w:div>
        <w:div w:id="436221033">
          <w:marLeft w:val="0"/>
          <w:marRight w:val="0"/>
          <w:marTop w:val="0"/>
          <w:marBottom w:val="0"/>
          <w:divBdr>
            <w:top w:val="none" w:sz="0" w:space="0" w:color="auto"/>
            <w:left w:val="none" w:sz="0" w:space="0" w:color="auto"/>
            <w:bottom w:val="none" w:sz="0" w:space="0" w:color="auto"/>
            <w:right w:val="none" w:sz="0" w:space="0" w:color="auto"/>
          </w:divBdr>
        </w:div>
        <w:div w:id="439229575">
          <w:marLeft w:val="0"/>
          <w:marRight w:val="0"/>
          <w:marTop w:val="0"/>
          <w:marBottom w:val="0"/>
          <w:divBdr>
            <w:top w:val="none" w:sz="0" w:space="0" w:color="auto"/>
            <w:left w:val="none" w:sz="0" w:space="0" w:color="auto"/>
            <w:bottom w:val="none" w:sz="0" w:space="0" w:color="auto"/>
            <w:right w:val="none" w:sz="0" w:space="0" w:color="auto"/>
          </w:divBdr>
        </w:div>
        <w:div w:id="495072558">
          <w:marLeft w:val="0"/>
          <w:marRight w:val="0"/>
          <w:marTop w:val="0"/>
          <w:marBottom w:val="0"/>
          <w:divBdr>
            <w:top w:val="none" w:sz="0" w:space="0" w:color="auto"/>
            <w:left w:val="none" w:sz="0" w:space="0" w:color="auto"/>
            <w:bottom w:val="none" w:sz="0" w:space="0" w:color="auto"/>
            <w:right w:val="none" w:sz="0" w:space="0" w:color="auto"/>
          </w:divBdr>
        </w:div>
        <w:div w:id="504589525">
          <w:marLeft w:val="0"/>
          <w:marRight w:val="0"/>
          <w:marTop w:val="0"/>
          <w:marBottom w:val="0"/>
          <w:divBdr>
            <w:top w:val="none" w:sz="0" w:space="0" w:color="auto"/>
            <w:left w:val="none" w:sz="0" w:space="0" w:color="auto"/>
            <w:bottom w:val="none" w:sz="0" w:space="0" w:color="auto"/>
            <w:right w:val="none" w:sz="0" w:space="0" w:color="auto"/>
          </w:divBdr>
        </w:div>
        <w:div w:id="519977719">
          <w:marLeft w:val="0"/>
          <w:marRight w:val="0"/>
          <w:marTop w:val="0"/>
          <w:marBottom w:val="0"/>
          <w:divBdr>
            <w:top w:val="none" w:sz="0" w:space="0" w:color="auto"/>
            <w:left w:val="none" w:sz="0" w:space="0" w:color="auto"/>
            <w:bottom w:val="none" w:sz="0" w:space="0" w:color="auto"/>
            <w:right w:val="none" w:sz="0" w:space="0" w:color="auto"/>
          </w:divBdr>
        </w:div>
        <w:div w:id="524484700">
          <w:marLeft w:val="0"/>
          <w:marRight w:val="0"/>
          <w:marTop w:val="0"/>
          <w:marBottom w:val="0"/>
          <w:divBdr>
            <w:top w:val="none" w:sz="0" w:space="0" w:color="auto"/>
            <w:left w:val="none" w:sz="0" w:space="0" w:color="auto"/>
            <w:bottom w:val="none" w:sz="0" w:space="0" w:color="auto"/>
            <w:right w:val="none" w:sz="0" w:space="0" w:color="auto"/>
          </w:divBdr>
        </w:div>
        <w:div w:id="532573792">
          <w:marLeft w:val="0"/>
          <w:marRight w:val="0"/>
          <w:marTop w:val="0"/>
          <w:marBottom w:val="0"/>
          <w:divBdr>
            <w:top w:val="none" w:sz="0" w:space="0" w:color="auto"/>
            <w:left w:val="none" w:sz="0" w:space="0" w:color="auto"/>
            <w:bottom w:val="none" w:sz="0" w:space="0" w:color="auto"/>
            <w:right w:val="none" w:sz="0" w:space="0" w:color="auto"/>
          </w:divBdr>
        </w:div>
        <w:div w:id="537788640">
          <w:marLeft w:val="0"/>
          <w:marRight w:val="0"/>
          <w:marTop w:val="0"/>
          <w:marBottom w:val="0"/>
          <w:divBdr>
            <w:top w:val="none" w:sz="0" w:space="0" w:color="auto"/>
            <w:left w:val="none" w:sz="0" w:space="0" w:color="auto"/>
            <w:bottom w:val="none" w:sz="0" w:space="0" w:color="auto"/>
            <w:right w:val="none" w:sz="0" w:space="0" w:color="auto"/>
          </w:divBdr>
        </w:div>
        <w:div w:id="539784245">
          <w:marLeft w:val="0"/>
          <w:marRight w:val="0"/>
          <w:marTop w:val="0"/>
          <w:marBottom w:val="0"/>
          <w:divBdr>
            <w:top w:val="none" w:sz="0" w:space="0" w:color="auto"/>
            <w:left w:val="none" w:sz="0" w:space="0" w:color="auto"/>
            <w:bottom w:val="none" w:sz="0" w:space="0" w:color="auto"/>
            <w:right w:val="none" w:sz="0" w:space="0" w:color="auto"/>
          </w:divBdr>
        </w:div>
        <w:div w:id="556740220">
          <w:marLeft w:val="0"/>
          <w:marRight w:val="0"/>
          <w:marTop w:val="0"/>
          <w:marBottom w:val="0"/>
          <w:divBdr>
            <w:top w:val="none" w:sz="0" w:space="0" w:color="auto"/>
            <w:left w:val="none" w:sz="0" w:space="0" w:color="auto"/>
            <w:bottom w:val="none" w:sz="0" w:space="0" w:color="auto"/>
            <w:right w:val="none" w:sz="0" w:space="0" w:color="auto"/>
          </w:divBdr>
        </w:div>
        <w:div w:id="561597463">
          <w:marLeft w:val="0"/>
          <w:marRight w:val="0"/>
          <w:marTop w:val="0"/>
          <w:marBottom w:val="0"/>
          <w:divBdr>
            <w:top w:val="none" w:sz="0" w:space="0" w:color="auto"/>
            <w:left w:val="none" w:sz="0" w:space="0" w:color="auto"/>
            <w:bottom w:val="none" w:sz="0" w:space="0" w:color="auto"/>
            <w:right w:val="none" w:sz="0" w:space="0" w:color="auto"/>
          </w:divBdr>
        </w:div>
        <w:div w:id="579759421">
          <w:marLeft w:val="0"/>
          <w:marRight w:val="0"/>
          <w:marTop w:val="0"/>
          <w:marBottom w:val="0"/>
          <w:divBdr>
            <w:top w:val="none" w:sz="0" w:space="0" w:color="auto"/>
            <w:left w:val="none" w:sz="0" w:space="0" w:color="auto"/>
            <w:bottom w:val="none" w:sz="0" w:space="0" w:color="auto"/>
            <w:right w:val="none" w:sz="0" w:space="0" w:color="auto"/>
          </w:divBdr>
        </w:div>
        <w:div w:id="601378845">
          <w:marLeft w:val="0"/>
          <w:marRight w:val="0"/>
          <w:marTop w:val="0"/>
          <w:marBottom w:val="0"/>
          <w:divBdr>
            <w:top w:val="none" w:sz="0" w:space="0" w:color="auto"/>
            <w:left w:val="none" w:sz="0" w:space="0" w:color="auto"/>
            <w:bottom w:val="none" w:sz="0" w:space="0" w:color="auto"/>
            <w:right w:val="none" w:sz="0" w:space="0" w:color="auto"/>
          </w:divBdr>
        </w:div>
        <w:div w:id="636765576">
          <w:marLeft w:val="0"/>
          <w:marRight w:val="0"/>
          <w:marTop w:val="0"/>
          <w:marBottom w:val="0"/>
          <w:divBdr>
            <w:top w:val="none" w:sz="0" w:space="0" w:color="auto"/>
            <w:left w:val="none" w:sz="0" w:space="0" w:color="auto"/>
            <w:bottom w:val="none" w:sz="0" w:space="0" w:color="auto"/>
            <w:right w:val="none" w:sz="0" w:space="0" w:color="auto"/>
          </w:divBdr>
        </w:div>
        <w:div w:id="641158379">
          <w:marLeft w:val="0"/>
          <w:marRight w:val="0"/>
          <w:marTop w:val="0"/>
          <w:marBottom w:val="0"/>
          <w:divBdr>
            <w:top w:val="none" w:sz="0" w:space="0" w:color="auto"/>
            <w:left w:val="none" w:sz="0" w:space="0" w:color="auto"/>
            <w:bottom w:val="none" w:sz="0" w:space="0" w:color="auto"/>
            <w:right w:val="none" w:sz="0" w:space="0" w:color="auto"/>
          </w:divBdr>
        </w:div>
        <w:div w:id="652486878">
          <w:marLeft w:val="0"/>
          <w:marRight w:val="0"/>
          <w:marTop w:val="0"/>
          <w:marBottom w:val="0"/>
          <w:divBdr>
            <w:top w:val="none" w:sz="0" w:space="0" w:color="auto"/>
            <w:left w:val="none" w:sz="0" w:space="0" w:color="auto"/>
            <w:bottom w:val="none" w:sz="0" w:space="0" w:color="auto"/>
            <w:right w:val="none" w:sz="0" w:space="0" w:color="auto"/>
          </w:divBdr>
        </w:div>
        <w:div w:id="657685494">
          <w:marLeft w:val="0"/>
          <w:marRight w:val="0"/>
          <w:marTop w:val="0"/>
          <w:marBottom w:val="0"/>
          <w:divBdr>
            <w:top w:val="none" w:sz="0" w:space="0" w:color="auto"/>
            <w:left w:val="none" w:sz="0" w:space="0" w:color="auto"/>
            <w:bottom w:val="none" w:sz="0" w:space="0" w:color="auto"/>
            <w:right w:val="none" w:sz="0" w:space="0" w:color="auto"/>
          </w:divBdr>
        </w:div>
        <w:div w:id="666711748">
          <w:marLeft w:val="0"/>
          <w:marRight w:val="0"/>
          <w:marTop w:val="0"/>
          <w:marBottom w:val="0"/>
          <w:divBdr>
            <w:top w:val="none" w:sz="0" w:space="0" w:color="auto"/>
            <w:left w:val="none" w:sz="0" w:space="0" w:color="auto"/>
            <w:bottom w:val="none" w:sz="0" w:space="0" w:color="auto"/>
            <w:right w:val="none" w:sz="0" w:space="0" w:color="auto"/>
          </w:divBdr>
        </w:div>
        <w:div w:id="672729049">
          <w:marLeft w:val="0"/>
          <w:marRight w:val="0"/>
          <w:marTop w:val="0"/>
          <w:marBottom w:val="0"/>
          <w:divBdr>
            <w:top w:val="none" w:sz="0" w:space="0" w:color="auto"/>
            <w:left w:val="none" w:sz="0" w:space="0" w:color="auto"/>
            <w:bottom w:val="none" w:sz="0" w:space="0" w:color="auto"/>
            <w:right w:val="none" w:sz="0" w:space="0" w:color="auto"/>
          </w:divBdr>
        </w:div>
        <w:div w:id="683289023">
          <w:marLeft w:val="0"/>
          <w:marRight w:val="0"/>
          <w:marTop w:val="0"/>
          <w:marBottom w:val="0"/>
          <w:divBdr>
            <w:top w:val="none" w:sz="0" w:space="0" w:color="auto"/>
            <w:left w:val="none" w:sz="0" w:space="0" w:color="auto"/>
            <w:bottom w:val="none" w:sz="0" w:space="0" w:color="auto"/>
            <w:right w:val="none" w:sz="0" w:space="0" w:color="auto"/>
          </w:divBdr>
        </w:div>
        <w:div w:id="692535113">
          <w:marLeft w:val="0"/>
          <w:marRight w:val="0"/>
          <w:marTop w:val="0"/>
          <w:marBottom w:val="0"/>
          <w:divBdr>
            <w:top w:val="none" w:sz="0" w:space="0" w:color="auto"/>
            <w:left w:val="none" w:sz="0" w:space="0" w:color="auto"/>
            <w:bottom w:val="none" w:sz="0" w:space="0" w:color="auto"/>
            <w:right w:val="none" w:sz="0" w:space="0" w:color="auto"/>
          </w:divBdr>
        </w:div>
        <w:div w:id="713700771">
          <w:marLeft w:val="0"/>
          <w:marRight w:val="0"/>
          <w:marTop w:val="0"/>
          <w:marBottom w:val="0"/>
          <w:divBdr>
            <w:top w:val="none" w:sz="0" w:space="0" w:color="auto"/>
            <w:left w:val="none" w:sz="0" w:space="0" w:color="auto"/>
            <w:bottom w:val="none" w:sz="0" w:space="0" w:color="auto"/>
            <w:right w:val="none" w:sz="0" w:space="0" w:color="auto"/>
          </w:divBdr>
        </w:div>
        <w:div w:id="798570127">
          <w:marLeft w:val="0"/>
          <w:marRight w:val="0"/>
          <w:marTop w:val="0"/>
          <w:marBottom w:val="0"/>
          <w:divBdr>
            <w:top w:val="none" w:sz="0" w:space="0" w:color="auto"/>
            <w:left w:val="none" w:sz="0" w:space="0" w:color="auto"/>
            <w:bottom w:val="none" w:sz="0" w:space="0" w:color="auto"/>
            <w:right w:val="none" w:sz="0" w:space="0" w:color="auto"/>
          </w:divBdr>
        </w:div>
        <w:div w:id="817382635">
          <w:marLeft w:val="0"/>
          <w:marRight w:val="0"/>
          <w:marTop w:val="0"/>
          <w:marBottom w:val="0"/>
          <w:divBdr>
            <w:top w:val="none" w:sz="0" w:space="0" w:color="auto"/>
            <w:left w:val="none" w:sz="0" w:space="0" w:color="auto"/>
            <w:bottom w:val="none" w:sz="0" w:space="0" w:color="auto"/>
            <w:right w:val="none" w:sz="0" w:space="0" w:color="auto"/>
          </w:divBdr>
        </w:div>
        <w:div w:id="830096460">
          <w:marLeft w:val="0"/>
          <w:marRight w:val="0"/>
          <w:marTop w:val="0"/>
          <w:marBottom w:val="0"/>
          <w:divBdr>
            <w:top w:val="none" w:sz="0" w:space="0" w:color="auto"/>
            <w:left w:val="none" w:sz="0" w:space="0" w:color="auto"/>
            <w:bottom w:val="none" w:sz="0" w:space="0" w:color="auto"/>
            <w:right w:val="none" w:sz="0" w:space="0" w:color="auto"/>
          </w:divBdr>
        </w:div>
        <w:div w:id="840967207">
          <w:marLeft w:val="0"/>
          <w:marRight w:val="0"/>
          <w:marTop w:val="0"/>
          <w:marBottom w:val="0"/>
          <w:divBdr>
            <w:top w:val="none" w:sz="0" w:space="0" w:color="auto"/>
            <w:left w:val="none" w:sz="0" w:space="0" w:color="auto"/>
            <w:bottom w:val="none" w:sz="0" w:space="0" w:color="auto"/>
            <w:right w:val="none" w:sz="0" w:space="0" w:color="auto"/>
          </w:divBdr>
        </w:div>
        <w:div w:id="841314729">
          <w:marLeft w:val="0"/>
          <w:marRight w:val="0"/>
          <w:marTop w:val="0"/>
          <w:marBottom w:val="0"/>
          <w:divBdr>
            <w:top w:val="none" w:sz="0" w:space="0" w:color="auto"/>
            <w:left w:val="none" w:sz="0" w:space="0" w:color="auto"/>
            <w:bottom w:val="none" w:sz="0" w:space="0" w:color="auto"/>
            <w:right w:val="none" w:sz="0" w:space="0" w:color="auto"/>
          </w:divBdr>
        </w:div>
        <w:div w:id="842087226">
          <w:marLeft w:val="0"/>
          <w:marRight w:val="0"/>
          <w:marTop w:val="0"/>
          <w:marBottom w:val="0"/>
          <w:divBdr>
            <w:top w:val="none" w:sz="0" w:space="0" w:color="auto"/>
            <w:left w:val="none" w:sz="0" w:space="0" w:color="auto"/>
            <w:bottom w:val="none" w:sz="0" w:space="0" w:color="auto"/>
            <w:right w:val="none" w:sz="0" w:space="0" w:color="auto"/>
          </w:divBdr>
        </w:div>
        <w:div w:id="852374999">
          <w:marLeft w:val="0"/>
          <w:marRight w:val="0"/>
          <w:marTop w:val="0"/>
          <w:marBottom w:val="0"/>
          <w:divBdr>
            <w:top w:val="none" w:sz="0" w:space="0" w:color="auto"/>
            <w:left w:val="none" w:sz="0" w:space="0" w:color="auto"/>
            <w:bottom w:val="none" w:sz="0" w:space="0" w:color="auto"/>
            <w:right w:val="none" w:sz="0" w:space="0" w:color="auto"/>
          </w:divBdr>
        </w:div>
        <w:div w:id="859582355">
          <w:marLeft w:val="0"/>
          <w:marRight w:val="0"/>
          <w:marTop w:val="0"/>
          <w:marBottom w:val="0"/>
          <w:divBdr>
            <w:top w:val="none" w:sz="0" w:space="0" w:color="auto"/>
            <w:left w:val="none" w:sz="0" w:space="0" w:color="auto"/>
            <w:bottom w:val="none" w:sz="0" w:space="0" w:color="auto"/>
            <w:right w:val="none" w:sz="0" w:space="0" w:color="auto"/>
          </w:divBdr>
        </w:div>
        <w:div w:id="862741802">
          <w:marLeft w:val="0"/>
          <w:marRight w:val="0"/>
          <w:marTop w:val="0"/>
          <w:marBottom w:val="0"/>
          <w:divBdr>
            <w:top w:val="none" w:sz="0" w:space="0" w:color="auto"/>
            <w:left w:val="none" w:sz="0" w:space="0" w:color="auto"/>
            <w:bottom w:val="none" w:sz="0" w:space="0" w:color="auto"/>
            <w:right w:val="none" w:sz="0" w:space="0" w:color="auto"/>
          </w:divBdr>
        </w:div>
        <w:div w:id="878392818">
          <w:marLeft w:val="0"/>
          <w:marRight w:val="0"/>
          <w:marTop w:val="0"/>
          <w:marBottom w:val="0"/>
          <w:divBdr>
            <w:top w:val="none" w:sz="0" w:space="0" w:color="auto"/>
            <w:left w:val="none" w:sz="0" w:space="0" w:color="auto"/>
            <w:bottom w:val="none" w:sz="0" w:space="0" w:color="auto"/>
            <w:right w:val="none" w:sz="0" w:space="0" w:color="auto"/>
          </w:divBdr>
        </w:div>
        <w:div w:id="926578250">
          <w:marLeft w:val="0"/>
          <w:marRight w:val="0"/>
          <w:marTop w:val="0"/>
          <w:marBottom w:val="0"/>
          <w:divBdr>
            <w:top w:val="none" w:sz="0" w:space="0" w:color="auto"/>
            <w:left w:val="none" w:sz="0" w:space="0" w:color="auto"/>
            <w:bottom w:val="none" w:sz="0" w:space="0" w:color="auto"/>
            <w:right w:val="none" w:sz="0" w:space="0" w:color="auto"/>
          </w:divBdr>
        </w:div>
        <w:div w:id="970019272">
          <w:marLeft w:val="0"/>
          <w:marRight w:val="0"/>
          <w:marTop w:val="0"/>
          <w:marBottom w:val="0"/>
          <w:divBdr>
            <w:top w:val="none" w:sz="0" w:space="0" w:color="auto"/>
            <w:left w:val="none" w:sz="0" w:space="0" w:color="auto"/>
            <w:bottom w:val="none" w:sz="0" w:space="0" w:color="auto"/>
            <w:right w:val="none" w:sz="0" w:space="0" w:color="auto"/>
          </w:divBdr>
        </w:div>
        <w:div w:id="1002853231">
          <w:marLeft w:val="0"/>
          <w:marRight w:val="0"/>
          <w:marTop w:val="0"/>
          <w:marBottom w:val="0"/>
          <w:divBdr>
            <w:top w:val="none" w:sz="0" w:space="0" w:color="auto"/>
            <w:left w:val="none" w:sz="0" w:space="0" w:color="auto"/>
            <w:bottom w:val="none" w:sz="0" w:space="0" w:color="auto"/>
            <w:right w:val="none" w:sz="0" w:space="0" w:color="auto"/>
          </w:divBdr>
        </w:div>
        <w:div w:id="1019308689">
          <w:marLeft w:val="0"/>
          <w:marRight w:val="0"/>
          <w:marTop w:val="0"/>
          <w:marBottom w:val="0"/>
          <w:divBdr>
            <w:top w:val="none" w:sz="0" w:space="0" w:color="auto"/>
            <w:left w:val="none" w:sz="0" w:space="0" w:color="auto"/>
            <w:bottom w:val="none" w:sz="0" w:space="0" w:color="auto"/>
            <w:right w:val="none" w:sz="0" w:space="0" w:color="auto"/>
          </w:divBdr>
        </w:div>
        <w:div w:id="1046369908">
          <w:marLeft w:val="0"/>
          <w:marRight w:val="0"/>
          <w:marTop w:val="0"/>
          <w:marBottom w:val="0"/>
          <w:divBdr>
            <w:top w:val="none" w:sz="0" w:space="0" w:color="auto"/>
            <w:left w:val="none" w:sz="0" w:space="0" w:color="auto"/>
            <w:bottom w:val="none" w:sz="0" w:space="0" w:color="auto"/>
            <w:right w:val="none" w:sz="0" w:space="0" w:color="auto"/>
          </w:divBdr>
        </w:div>
        <w:div w:id="1052923752">
          <w:marLeft w:val="0"/>
          <w:marRight w:val="0"/>
          <w:marTop w:val="0"/>
          <w:marBottom w:val="0"/>
          <w:divBdr>
            <w:top w:val="none" w:sz="0" w:space="0" w:color="auto"/>
            <w:left w:val="none" w:sz="0" w:space="0" w:color="auto"/>
            <w:bottom w:val="none" w:sz="0" w:space="0" w:color="auto"/>
            <w:right w:val="none" w:sz="0" w:space="0" w:color="auto"/>
          </w:divBdr>
        </w:div>
        <w:div w:id="1073627851">
          <w:marLeft w:val="0"/>
          <w:marRight w:val="0"/>
          <w:marTop w:val="0"/>
          <w:marBottom w:val="0"/>
          <w:divBdr>
            <w:top w:val="none" w:sz="0" w:space="0" w:color="auto"/>
            <w:left w:val="none" w:sz="0" w:space="0" w:color="auto"/>
            <w:bottom w:val="none" w:sz="0" w:space="0" w:color="auto"/>
            <w:right w:val="none" w:sz="0" w:space="0" w:color="auto"/>
          </w:divBdr>
        </w:div>
        <w:div w:id="1122840084">
          <w:marLeft w:val="0"/>
          <w:marRight w:val="0"/>
          <w:marTop w:val="0"/>
          <w:marBottom w:val="0"/>
          <w:divBdr>
            <w:top w:val="none" w:sz="0" w:space="0" w:color="auto"/>
            <w:left w:val="none" w:sz="0" w:space="0" w:color="auto"/>
            <w:bottom w:val="none" w:sz="0" w:space="0" w:color="auto"/>
            <w:right w:val="none" w:sz="0" w:space="0" w:color="auto"/>
          </w:divBdr>
        </w:div>
        <w:div w:id="1130513253">
          <w:marLeft w:val="0"/>
          <w:marRight w:val="0"/>
          <w:marTop w:val="0"/>
          <w:marBottom w:val="0"/>
          <w:divBdr>
            <w:top w:val="none" w:sz="0" w:space="0" w:color="auto"/>
            <w:left w:val="none" w:sz="0" w:space="0" w:color="auto"/>
            <w:bottom w:val="none" w:sz="0" w:space="0" w:color="auto"/>
            <w:right w:val="none" w:sz="0" w:space="0" w:color="auto"/>
          </w:divBdr>
        </w:div>
        <w:div w:id="1157840979">
          <w:marLeft w:val="0"/>
          <w:marRight w:val="0"/>
          <w:marTop w:val="0"/>
          <w:marBottom w:val="0"/>
          <w:divBdr>
            <w:top w:val="none" w:sz="0" w:space="0" w:color="auto"/>
            <w:left w:val="none" w:sz="0" w:space="0" w:color="auto"/>
            <w:bottom w:val="none" w:sz="0" w:space="0" w:color="auto"/>
            <w:right w:val="none" w:sz="0" w:space="0" w:color="auto"/>
          </w:divBdr>
        </w:div>
        <w:div w:id="1161852661">
          <w:marLeft w:val="0"/>
          <w:marRight w:val="0"/>
          <w:marTop w:val="0"/>
          <w:marBottom w:val="0"/>
          <w:divBdr>
            <w:top w:val="none" w:sz="0" w:space="0" w:color="auto"/>
            <w:left w:val="none" w:sz="0" w:space="0" w:color="auto"/>
            <w:bottom w:val="none" w:sz="0" w:space="0" w:color="auto"/>
            <w:right w:val="none" w:sz="0" w:space="0" w:color="auto"/>
          </w:divBdr>
        </w:div>
        <w:div w:id="1166358851">
          <w:marLeft w:val="0"/>
          <w:marRight w:val="0"/>
          <w:marTop w:val="0"/>
          <w:marBottom w:val="0"/>
          <w:divBdr>
            <w:top w:val="none" w:sz="0" w:space="0" w:color="auto"/>
            <w:left w:val="none" w:sz="0" w:space="0" w:color="auto"/>
            <w:bottom w:val="none" w:sz="0" w:space="0" w:color="auto"/>
            <w:right w:val="none" w:sz="0" w:space="0" w:color="auto"/>
          </w:divBdr>
        </w:div>
        <w:div w:id="1170028398">
          <w:marLeft w:val="0"/>
          <w:marRight w:val="0"/>
          <w:marTop w:val="0"/>
          <w:marBottom w:val="0"/>
          <w:divBdr>
            <w:top w:val="none" w:sz="0" w:space="0" w:color="auto"/>
            <w:left w:val="none" w:sz="0" w:space="0" w:color="auto"/>
            <w:bottom w:val="none" w:sz="0" w:space="0" w:color="auto"/>
            <w:right w:val="none" w:sz="0" w:space="0" w:color="auto"/>
          </w:divBdr>
        </w:div>
        <w:div w:id="1267888199">
          <w:marLeft w:val="0"/>
          <w:marRight w:val="0"/>
          <w:marTop w:val="0"/>
          <w:marBottom w:val="0"/>
          <w:divBdr>
            <w:top w:val="none" w:sz="0" w:space="0" w:color="auto"/>
            <w:left w:val="none" w:sz="0" w:space="0" w:color="auto"/>
            <w:bottom w:val="none" w:sz="0" w:space="0" w:color="auto"/>
            <w:right w:val="none" w:sz="0" w:space="0" w:color="auto"/>
          </w:divBdr>
        </w:div>
        <w:div w:id="1274049225">
          <w:marLeft w:val="0"/>
          <w:marRight w:val="0"/>
          <w:marTop w:val="0"/>
          <w:marBottom w:val="0"/>
          <w:divBdr>
            <w:top w:val="none" w:sz="0" w:space="0" w:color="auto"/>
            <w:left w:val="none" w:sz="0" w:space="0" w:color="auto"/>
            <w:bottom w:val="none" w:sz="0" w:space="0" w:color="auto"/>
            <w:right w:val="none" w:sz="0" w:space="0" w:color="auto"/>
          </w:divBdr>
        </w:div>
        <w:div w:id="1276668685">
          <w:marLeft w:val="0"/>
          <w:marRight w:val="0"/>
          <w:marTop w:val="0"/>
          <w:marBottom w:val="0"/>
          <w:divBdr>
            <w:top w:val="none" w:sz="0" w:space="0" w:color="auto"/>
            <w:left w:val="none" w:sz="0" w:space="0" w:color="auto"/>
            <w:bottom w:val="none" w:sz="0" w:space="0" w:color="auto"/>
            <w:right w:val="none" w:sz="0" w:space="0" w:color="auto"/>
          </w:divBdr>
        </w:div>
        <w:div w:id="1314870071">
          <w:marLeft w:val="0"/>
          <w:marRight w:val="0"/>
          <w:marTop w:val="0"/>
          <w:marBottom w:val="0"/>
          <w:divBdr>
            <w:top w:val="none" w:sz="0" w:space="0" w:color="auto"/>
            <w:left w:val="none" w:sz="0" w:space="0" w:color="auto"/>
            <w:bottom w:val="none" w:sz="0" w:space="0" w:color="auto"/>
            <w:right w:val="none" w:sz="0" w:space="0" w:color="auto"/>
          </w:divBdr>
        </w:div>
        <w:div w:id="1317300038">
          <w:marLeft w:val="0"/>
          <w:marRight w:val="0"/>
          <w:marTop w:val="0"/>
          <w:marBottom w:val="0"/>
          <w:divBdr>
            <w:top w:val="none" w:sz="0" w:space="0" w:color="auto"/>
            <w:left w:val="none" w:sz="0" w:space="0" w:color="auto"/>
            <w:bottom w:val="none" w:sz="0" w:space="0" w:color="auto"/>
            <w:right w:val="none" w:sz="0" w:space="0" w:color="auto"/>
          </w:divBdr>
        </w:div>
        <w:div w:id="1329283817">
          <w:marLeft w:val="0"/>
          <w:marRight w:val="0"/>
          <w:marTop w:val="0"/>
          <w:marBottom w:val="0"/>
          <w:divBdr>
            <w:top w:val="none" w:sz="0" w:space="0" w:color="auto"/>
            <w:left w:val="none" w:sz="0" w:space="0" w:color="auto"/>
            <w:bottom w:val="none" w:sz="0" w:space="0" w:color="auto"/>
            <w:right w:val="none" w:sz="0" w:space="0" w:color="auto"/>
          </w:divBdr>
        </w:div>
        <w:div w:id="1353726287">
          <w:marLeft w:val="0"/>
          <w:marRight w:val="0"/>
          <w:marTop w:val="0"/>
          <w:marBottom w:val="0"/>
          <w:divBdr>
            <w:top w:val="none" w:sz="0" w:space="0" w:color="auto"/>
            <w:left w:val="none" w:sz="0" w:space="0" w:color="auto"/>
            <w:bottom w:val="none" w:sz="0" w:space="0" w:color="auto"/>
            <w:right w:val="none" w:sz="0" w:space="0" w:color="auto"/>
          </w:divBdr>
        </w:div>
        <w:div w:id="1368028018">
          <w:marLeft w:val="0"/>
          <w:marRight w:val="0"/>
          <w:marTop w:val="0"/>
          <w:marBottom w:val="0"/>
          <w:divBdr>
            <w:top w:val="none" w:sz="0" w:space="0" w:color="auto"/>
            <w:left w:val="none" w:sz="0" w:space="0" w:color="auto"/>
            <w:bottom w:val="none" w:sz="0" w:space="0" w:color="auto"/>
            <w:right w:val="none" w:sz="0" w:space="0" w:color="auto"/>
          </w:divBdr>
        </w:div>
        <w:div w:id="1394618327">
          <w:marLeft w:val="0"/>
          <w:marRight w:val="0"/>
          <w:marTop w:val="0"/>
          <w:marBottom w:val="0"/>
          <w:divBdr>
            <w:top w:val="none" w:sz="0" w:space="0" w:color="auto"/>
            <w:left w:val="none" w:sz="0" w:space="0" w:color="auto"/>
            <w:bottom w:val="none" w:sz="0" w:space="0" w:color="auto"/>
            <w:right w:val="none" w:sz="0" w:space="0" w:color="auto"/>
          </w:divBdr>
        </w:div>
        <w:div w:id="1408724739">
          <w:marLeft w:val="0"/>
          <w:marRight w:val="0"/>
          <w:marTop w:val="0"/>
          <w:marBottom w:val="0"/>
          <w:divBdr>
            <w:top w:val="none" w:sz="0" w:space="0" w:color="auto"/>
            <w:left w:val="none" w:sz="0" w:space="0" w:color="auto"/>
            <w:bottom w:val="none" w:sz="0" w:space="0" w:color="auto"/>
            <w:right w:val="none" w:sz="0" w:space="0" w:color="auto"/>
          </w:divBdr>
        </w:div>
        <w:div w:id="1420297554">
          <w:marLeft w:val="0"/>
          <w:marRight w:val="0"/>
          <w:marTop w:val="0"/>
          <w:marBottom w:val="0"/>
          <w:divBdr>
            <w:top w:val="none" w:sz="0" w:space="0" w:color="auto"/>
            <w:left w:val="none" w:sz="0" w:space="0" w:color="auto"/>
            <w:bottom w:val="none" w:sz="0" w:space="0" w:color="auto"/>
            <w:right w:val="none" w:sz="0" w:space="0" w:color="auto"/>
          </w:divBdr>
        </w:div>
        <w:div w:id="1433433372">
          <w:marLeft w:val="0"/>
          <w:marRight w:val="0"/>
          <w:marTop w:val="0"/>
          <w:marBottom w:val="0"/>
          <w:divBdr>
            <w:top w:val="none" w:sz="0" w:space="0" w:color="auto"/>
            <w:left w:val="none" w:sz="0" w:space="0" w:color="auto"/>
            <w:bottom w:val="none" w:sz="0" w:space="0" w:color="auto"/>
            <w:right w:val="none" w:sz="0" w:space="0" w:color="auto"/>
          </w:divBdr>
        </w:div>
        <w:div w:id="1452164643">
          <w:marLeft w:val="0"/>
          <w:marRight w:val="0"/>
          <w:marTop w:val="0"/>
          <w:marBottom w:val="0"/>
          <w:divBdr>
            <w:top w:val="none" w:sz="0" w:space="0" w:color="auto"/>
            <w:left w:val="none" w:sz="0" w:space="0" w:color="auto"/>
            <w:bottom w:val="none" w:sz="0" w:space="0" w:color="auto"/>
            <w:right w:val="none" w:sz="0" w:space="0" w:color="auto"/>
          </w:divBdr>
        </w:div>
        <w:div w:id="1461915395">
          <w:marLeft w:val="0"/>
          <w:marRight w:val="0"/>
          <w:marTop w:val="0"/>
          <w:marBottom w:val="0"/>
          <w:divBdr>
            <w:top w:val="none" w:sz="0" w:space="0" w:color="auto"/>
            <w:left w:val="none" w:sz="0" w:space="0" w:color="auto"/>
            <w:bottom w:val="none" w:sz="0" w:space="0" w:color="auto"/>
            <w:right w:val="none" w:sz="0" w:space="0" w:color="auto"/>
          </w:divBdr>
        </w:div>
        <w:div w:id="1515992416">
          <w:marLeft w:val="0"/>
          <w:marRight w:val="0"/>
          <w:marTop w:val="0"/>
          <w:marBottom w:val="0"/>
          <w:divBdr>
            <w:top w:val="none" w:sz="0" w:space="0" w:color="auto"/>
            <w:left w:val="none" w:sz="0" w:space="0" w:color="auto"/>
            <w:bottom w:val="none" w:sz="0" w:space="0" w:color="auto"/>
            <w:right w:val="none" w:sz="0" w:space="0" w:color="auto"/>
          </w:divBdr>
        </w:div>
        <w:div w:id="1540121020">
          <w:marLeft w:val="0"/>
          <w:marRight w:val="0"/>
          <w:marTop w:val="0"/>
          <w:marBottom w:val="0"/>
          <w:divBdr>
            <w:top w:val="none" w:sz="0" w:space="0" w:color="auto"/>
            <w:left w:val="none" w:sz="0" w:space="0" w:color="auto"/>
            <w:bottom w:val="none" w:sz="0" w:space="0" w:color="auto"/>
            <w:right w:val="none" w:sz="0" w:space="0" w:color="auto"/>
          </w:divBdr>
        </w:div>
        <w:div w:id="1594511013">
          <w:marLeft w:val="0"/>
          <w:marRight w:val="0"/>
          <w:marTop w:val="0"/>
          <w:marBottom w:val="0"/>
          <w:divBdr>
            <w:top w:val="none" w:sz="0" w:space="0" w:color="auto"/>
            <w:left w:val="none" w:sz="0" w:space="0" w:color="auto"/>
            <w:bottom w:val="none" w:sz="0" w:space="0" w:color="auto"/>
            <w:right w:val="none" w:sz="0" w:space="0" w:color="auto"/>
          </w:divBdr>
        </w:div>
        <w:div w:id="1609123960">
          <w:marLeft w:val="0"/>
          <w:marRight w:val="0"/>
          <w:marTop w:val="0"/>
          <w:marBottom w:val="0"/>
          <w:divBdr>
            <w:top w:val="none" w:sz="0" w:space="0" w:color="auto"/>
            <w:left w:val="none" w:sz="0" w:space="0" w:color="auto"/>
            <w:bottom w:val="none" w:sz="0" w:space="0" w:color="auto"/>
            <w:right w:val="none" w:sz="0" w:space="0" w:color="auto"/>
          </w:divBdr>
        </w:div>
        <w:div w:id="1620602774">
          <w:marLeft w:val="0"/>
          <w:marRight w:val="0"/>
          <w:marTop w:val="0"/>
          <w:marBottom w:val="0"/>
          <w:divBdr>
            <w:top w:val="none" w:sz="0" w:space="0" w:color="auto"/>
            <w:left w:val="none" w:sz="0" w:space="0" w:color="auto"/>
            <w:bottom w:val="none" w:sz="0" w:space="0" w:color="auto"/>
            <w:right w:val="none" w:sz="0" w:space="0" w:color="auto"/>
          </w:divBdr>
        </w:div>
        <w:div w:id="1674381740">
          <w:marLeft w:val="0"/>
          <w:marRight w:val="0"/>
          <w:marTop w:val="0"/>
          <w:marBottom w:val="0"/>
          <w:divBdr>
            <w:top w:val="none" w:sz="0" w:space="0" w:color="auto"/>
            <w:left w:val="none" w:sz="0" w:space="0" w:color="auto"/>
            <w:bottom w:val="none" w:sz="0" w:space="0" w:color="auto"/>
            <w:right w:val="none" w:sz="0" w:space="0" w:color="auto"/>
          </w:divBdr>
        </w:div>
        <w:div w:id="1676298970">
          <w:marLeft w:val="0"/>
          <w:marRight w:val="0"/>
          <w:marTop w:val="0"/>
          <w:marBottom w:val="0"/>
          <w:divBdr>
            <w:top w:val="none" w:sz="0" w:space="0" w:color="auto"/>
            <w:left w:val="none" w:sz="0" w:space="0" w:color="auto"/>
            <w:bottom w:val="none" w:sz="0" w:space="0" w:color="auto"/>
            <w:right w:val="none" w:sz="0" w:space="0" w:color="auto"/>
          </w:divBdr>
        </w:div>
        <w:div w:id="1735395234">
          <w:marLeft w:val="0"/>
          <w:marRight w:val="0"/>
          <w:marTop w:val="0"/>
          <w:marBottom w:val="0"/>
          <w:divBdr>
            <w:top w:val="none" w:sz="0" w:space="0" w:color="auto"/>
            <w:left w:val="none" w:sz="0" w:space="0" w:color="auto"/>
            <w:bottom w:val="none" w:sz="0" w:space="0" w:color="auto"/>
            <w:right w:val="none" w:sz="0" w:space="0" w:color="auto"/>
          </w:divBdr>
        </w:div>
        <w:div w:id="1736051891">
          <w:marLeft w:val="0"/>
          <w:marRight w:val="0"/>
          <w:marTop w:val="0"/>
          <w:marBottom w:val="0"/>
          <w:divBdr>
            <w:top w:val="none" w:sz="0" w:space="0" w:color="auto"/>
            <w:left w:val="none" w:sz="0" w:space="0" w:color="auto"/>
            <w:bottom w:val="none" w:sz="0" w:space="0" w:color="auto"/>
            <w:right w:val="none" w:sz="0" w:space="0" w:color="auto"/>
          </w:divBdr>
        </w:div>
        <w:div w:id="1777676659">
          <w:marLeft w:val="0"/>
          <w:marRight w:val="0"/>
          <w:marTop w:val="0"/>
          <w:marBottom w:val="0"/>
          <w:divBdr>
            <w:top w:val="none" w:sz="0" w:space="0" w:color="auto"/>
            <w:left w:val="none" w:sz="0" w:space="0" w:color="auto"/>
            <w:bottom w:val="none" w:sz="0" w:space="0" w:color="auto"/>
            <w:right w:val="none" w:sz="0" w:space="0" w:color="auto"/>
          </w:divBdr>
        </w:div>
        <w:div w:id="1805930061">
          <w:marLeft w:val="0"/>
          <w:marRight w:val="0"/>
          <w:marTop w:val="0"/>
          <w:marBottom w:val="0"/>
          <w:divBdr>
            <w:top w:val="none" w:sz="0" w:space="0" w:color="auto"/>
            <w:left w:val="none" w:sz="0" w:space="0" w:color="auto"/>
            <w:bottom w:val="none" w:sz="0" w:space="0" w:color="auto"/>
            <w:right w:val="none" w:sz="0" w:space="0" w:color="auto"/>
          </w:divBdr>
        </w:div>
        <w:div w:id="1816603812">
          <w:marLeft w:val="0"/>
          <w:marRight w:val="0"/>
          <w:marTop w:val="0"/>
          <w:marBottom w:val="0"/>
          <w:divBdr>
            <w:top w:val="none" w:sz="0" w:space="0" w:color="auto"/>
            <w:left w:val="none" w:sz="0" w:space="0" w:color="auto"/>
            <w:bottom w:val="none" w:sz="0" w:space="0" w:color="auto"/>
            <w:right w:val="none" w:sz="0" w:space="0" w:color="auto"/>
          </w:divBdr>
        </w:div>
        <w:div w:id="1835994697">
          <w:marLeft w:val="0"/>
          <w:marRight w:val="0"/>
          <w:marTop w:val="0"/>
          <w:marBottom w:val="0"/>
          <w:divBdr>
            <w:top w:val="none" w:sz="0" w:space="0" w:color="auto"/>
            <w:left w:val="none" w:sz="0" w:space="0" w:color="auto"/>
            <w:bottom w:val="none" w:sz="0" w:space="0" w:color="auto"/>
            <w:right w:val="none" w:sz="0" w:space="0" w:color="auto"/>
          </w:divBdr>
        </w:div>
        <w:div w:id="1860459975">
          <w:marLeft w:val="0"/>
          <w:marRight w:val="0"/>
          <w:marTop w:val="0"/>
          <w:marBottom w:val="0"/>
          <w:divBdr>
            <w:top w:val="none" w:sz="0" w:space="0" w:color="auto"/>
            <w:left w:val="none" w:sz="0" w:space="0" w:color="auto"/>
            <w:bottom w:val="none" w:sz="0" w:space="0" w:color="auto"/>
            <w:right w:val="none" w:sz="0" w:space="0" w:color="auto"/>
          </w:divBdr>
        </w:div>
        <w:div w:id="1864855604">
          <w:marLeft w:val="0"/>
          <w:marRight w:val="0"/>
          <w:marTop w:val="0"/>
          <w:marBottom w:val="0"/>
          <w:divBdr>
            <w:top w:val="none" w:sz="0" w:space="0" w:color="auto"/>
            <w:left w:val="none" w:sz="0" w:space="0" w:color="auto"/>
            <w:bottom w:val="none" w:sz="0" w:space="0" w:color="auto"/>
            <w:right w:val="none" w:sz="0" w:space="0" w:color="auto"/>
          </w:divBdr>
        </w:div>
        <w:div w:id="1915620901">
          <w:marLeft w:val="0"/>
          <w:marRight w:val="0"/>
          <w:marTop w:val="0"/>
          <w:marBottom w:val="0"/>
          <w:divBdr>
            <w:top w:val="none" w:sz="0" w:space="0" w:color="auto"/>
            <w:left w:val="none" w:sz="0" w:space="0" w:color="auto"/>
            <w:bottom w:val="none" w:sz="0" w:space="0" w:color="auto"/>
            <w:right w:val="none" w:sz="0" w:space="0" w:color="auto"/>
          </w:divBdr>
        </w:div>
        <w:div w:id="1931500065">
          <w:marLeft w:val="0"/>
          <w:marRight w:val="0"/>
          <w:marTop w:val="0"/>
          <w:marBottom w:val="0"/>
          <w:divBdr>
            <w:top w:val="none" w:sz="0" w:space="0" w:color="auto"/>
            <w:left w:val="none" w:sz="0" w:space="0" w:color="auto"/>
            <w:bottom w:val="none" w:sz="0" w:space="0" w:color="auto"/>
            <w:right w:val="none" w:sz="0" w:space="0" w:color="auto"/>
          </w:divBdr>
        </w:div>
        <w:div w:id="2004698153">
          <w:marLeft w:val="0"/>
          <w:marRight w:val="0"/>
          <w:marTop w:val="0"/>
          <w:marBottom w:val="0"/>
          <w:divBdr>
            <w:top w:val="none" w:sz="0" w:space="0" w:color="auto"/>
            <w:left w:val="none" w:sz="0" w:space="0" w:color="auto"/>
            <w:bottom w:val="none" w:sz="0" w:space="0" w:color="auto"/>
            <w:right w:val="none" w:sz="0" w:space="0" w:color="auto"/>
          </w:divBdr>
        </w:div>
        <w:div w:id="2006469880">
          <w:marLeft w:val="0"/>
          <w:marRight w:val="0"/>
          <w:marTop w:val="0"/>
          <w:marBottom w:val="0"/>
          <w:divBdr>
            <w:top w:val="none" w:sz="0" w:space="0" w:color="auto"/>
            <w:left w:val="none" w:sz="0" w:space="0" w:color="auto"/>
            <w:bottom w:val="none" w:sz="0" w:space="0" w:color="auto"/>
            <w:right w:val="none" w:sz="0" w:space="0" w:color="auto"/>
          </w:divBdr>
        </w:div>
        <w:div w:id="2037997775">
          <w:marLeft w:val="0"/>
          <w:marRight w:val="0"/>
          <w:marTop w:val="0"/>
          <w:marBottom w:val="0"/>
          <w:divBdr>
            <w:top w:val="none" w:sz="0" w:space="0" w:color="auto"/>
            <w:left w:val="none" w:sz="0" w:space="0" w:color="auto"/>
            <w:bottom w:val="none" w:sz="0" w:space="0" w:color="auto"/>
            <w:right w:val="none" w:sz="0" w:space="0" w:color="auto"/>
          </w:divBdr>
        </w:div>
        <w:div w:id="2082635426">
          <w:marLeft w:val="0"/>
          <w:marRight w:val="0"/>
          <w:marTop w:val="0"/>
          <w:marBottom w:val="0"/>
          <w:divBdr>
            <w:top w:val="none" w:sz="0" w:space="0" w:color="auto"/>
            <w:left w:val="none" w:sz="0" w:space="0" w:color="auto"/>
            <w:bottom w:val="none" w:sz="0" w:space="0" w:color="auto"/>
            <w:right w:val="none" w:sz="0" w:space="0" w:color="auto"/>
          </w:divBdr>
        </w:div>
        <w:div w:id="2113159635">
          <w:marLeft w:val="0"/>
          <w:marRight w:val="0"/>
          <w:marTop w:val="0"/>
          <w:marBottom w:val="0"/>
          <w:divBdr>
            <w:top w:val="none" w:sz="0" w:space="0" w:color="auto"/>
            <w:left w:val="none" w:sz="0" w:space="0" w:color="auto"/>
            <w:bottom w:val="none" w:sz="0" w:space="0" w:color="auto"/>
            <w:right w:val="none" w:sz="0" w:space="0" w:color="auto"/>
          </w:divBdr>
        </w:div>
        <w:div w:id="2139448737">
          <w:marLeft w:val="0"/>
          <w:marRight w:val="0"/>
          <w:marTop w:val="0"/>
          <w:marBottom w:val="0"/>
          <w:divBdr>
            <w:top w:val="none" w:sz="0" w:space="0" w:color="auto"/>
            <w:left w:val="none" w:sz="0" w:space="0" w:color="auto"/>
            <w:bottom w:val="none" w:sz="0" w:space="0" w:color="auto"/>
            <w:right w:val="none" w:sz="0" w:space="0" w:color="auto"/>
          </w:divBdr>
        </w:div>
      </w:divsChild>
    </w:div>
    <w:div w:id="1390616297">
      <w:bodyDiv w:val="1"/>
      <w:marLeft w:val="0"/>
      <w:marRight w:val="0"/>
      <w:marTop w:val="0"/>
      <w:marBottom w:val="0"/>
      <w:divBdr>
        <w:top w:val="none" w:sz="0" w:space="0" w:color="auto"/>
        <w:left w:val="none" w:sz="0" w:space="0" w:color="auto"/>
        <w:bottom w:val="none" w:sz="0" w:space="0" w:color="auto"/>
        <w:right w:val="none" w:sz="0" w:space="0" w:color="auto"/>
      </w:divBdr>
    </w:div>
    <w:div w:id="1400516683">
      <w:bodyDiv w:val="1"/>
      <w:marLeft w:val="0"/>
      <w:marRight w:val="0"/>
      <w:marTop w:val="0"/>
      <w:marBottom w:val="0"/>
      <w:divBdr>
        <w:top w:val="none" w:sz="0" w:space="0" w:color="auto"/>
        <w:left w:val="none" w:sz="0" w:space="0" w:color="auto"/>
        <w:bottom w:val="none" w:sz="0" w:space="0" w:color="auto"/>
        <w:right w:val="none" w:sz="0" w:space="0" w:color="auto"/>
      </w:divBdr>
    </w:div>
    <w:div w:id="1405838792">
      <w:bodyDiv w:val="1"/>
      <w:marLeft w:val="0"/>
      <w:marRight w:val="0"/>
      <w:marTop w:val="0"/>
      <w:marBottom w:val="0"/>
      <w:divBdr>
        <w:top w:val="none" w:sz="0" w:space="0" w:color="auto"/>
        <w:left w:val="none" w:sz="0" w:space="0" w:color="auto"/>
        <w:bottom w:val="none" w:sz="0" w:space="0" w:color="auto"/>
        <w:right w:val="none" w:sz="0" w:space="0" w:color="auto"/>
      </w:divBdr>
    </w:div>
    <w:div w:id="1413163030">
      <w:bodyDiv w:val="1"/>
      <w:marLeft w:val="0"/>
      <w:marRight w:val="0"/>
      <w:marTop w:val="0"/>
      <w:marBottom w:val="0"/>
      <w:divBdr>
        <w:top w:val="none" w:sz="0" w:space="0" w:color="auto"/>
        <w:left w:val="none" w:sz="0" w:space="0" w:color="auto"/>
        <w:bottom w:val="none" w:sz="0" w:space="0" w:color="auto"/>
        <w:right w:val="none" w:sz="0" w:space="0" w:color="auto"/>
      </w:divBdr>
    </w:div>
    <w:div w:id="1428309041">
      <w:bodyDiv w:val="1"/>
      <w:marLeft w:val="0"/>
      <w:marRight w:val="0"/>
      <w:marTop w:val="0"/>
      <w:marBottom w:val="0"/>
      <w:divBdr>
        <w:top w:val="none" w:sz="0" w:space="0" w:color="auto"/>
        <w:left w:val="none" w:sz="0" w:space="0" w:color="auto"/>
        <w:bottom w:val="none" w:sz="0" w:space="0" w:color="auto"/>
        <w:right w:val="none" w:sz="0" w:space="0" w:color="auto"/>
      </w:divBdr>
    </w:div>
    <w:div w:id="1539928560">
      <w:bodyDiv w:val="1"/>
      <w:marLeft w:val="0"/>
      <w:marRight w:val="0"/>
      <w:marTop w:val="0"/>
      <w:marBottom w:val="0"/>
      <w:divBdr>
        <w:top w:val="none" w:sz="0" w:space="0" w:color="auto"/>
        <w:left w:val="none" w:sz="0" w:space="0" w:color="auto"/>
        <w:bottom w:val="none" w:sz="0" w:space="0" w:color="auto"/>
        <w:right w:val="none" w:sz="0" w:space="0" w:color="auto"/>
      </w:divBdr>
    </w:div>
    <w:div w:id="1567571768">
      <w:bodyDiv w:val="1"/>
      <w:marLeft w:val="0"/>
      <w:marRight w:val="0"/>
      <w:marTop w:val="0"/>
      <w:marBottom w:val="0"/>
      <w:divBdr>
        <w:top w:val="none" w:sz="0" w:space="0" w:color="auto"/>
        <w:left w:val="none" w:sz="0" w:space="0" w:color="auto"/>
        <w:bottom w:val="none" w:sz="0" w:space="0" w:color="auto"/>
        <w:right w:val="none" w:sz="0" w:space="0" w:color="auto"/>
      </w:divBdr>
      <w:divsChild>
        <w:div w:id="44525850">
          <w:marLeft w:val="0"/>
          <w:marRight w:val="0"/>
          <w:marTop w:val="0"/>
          <w:marBottom w:val="0"/>
          <w:divBdr>
            <w:top w:val="none" w:sz="0" w:space="0" w:color="auto"/>
            <w:left w:val="none" w:sz="0" w:space="0" w:color="auto"/>
            <w:bottom w:val="none" w:sz="0" w:space="0" w:color="auto"/>
            <w:right w:val="none" w:sz="0" w:space="0" w:color="auto"/>
          </w:divBdr>
        </w:div>
        <w:div w:id="1123309234">
          <w:marLeft w:val="0"/>
          <w:marRight w:val="0"/>
          <w:marTop w:val="0"/>
          <w:marBottom w:val="0"/>
          <w:divBdr>
            <w:top w:val="none" w:sz="0" w:space="0" w:color="auto"/>
            <w:left w:val="none" w:sz="0" w:space="0" w:color="auto"/>
            <w:bottom w:val="none" w:sz="0" w:space="0" w:color="auto"/>
            <w:right w:val="none" w:sz="0" w:space="0" w:color="auto"/>
          </w:divBdr>
        </w:div>
        <w:div w:id="509219232">
          <w:marLeft w:val="0"/>
          <w:marRight w:val="0"/>
          <w:marTop w:val="0"/>
          <w:marBottom w:val="0"/>
          <w:divBdr>
            <w:top w:val="none" w:sz="0" w:space="0" w:color="auto"/>
            <w:left w:val="none" w:sz="0" w:space="0" w:color="auto"/>
            <w:bottom w:val="none" w:sz="0" w:space="0" w:color="auto"/>
            <w:right w:val="none" w:sz="0" w:space="0" w:color="auto"/>
          </w:divBdr>
        </w:div>
        <w:div w:id="863133732">
          <w:marLeft w:val="0"/>
          <w:marRight w:val="0"/>
          <w:marTop w:val="0"/>
          <w:marBottom w:val="0"/>
          <w:divBdr>
            <w:top w:val="none" w:sz="0" w:space="0" w:color="auto"/>
            <w:left w:val="none" w:sz="0" w:space="0" w:color="auto"/>
            <w:bottom w:val="none" w:sz="0" w:space="0" w:color="auto"/>
            <w:right w:val="none" w:sz="0" w:space="0" w:color="auto"/>
          </w:divBdr>
        </w:div>
        <w:div w:id="1619945034">
          <w:marLeft w:val="0"/>
          <w:marRight w:val="0"/>
          <w:marTop w:val="0"/>
          <w:marBottom w:val="0"/>
          <w:divBdr>
            <w:top w:val="none" w:sz="0" w:space="0" w:color="auto"/>
            <w:left w:val="none" w:sz="0" w:space="0" w:color="auto"/>
            <w:bottom w:val="none" w:sz="0" w:space="0" w:color="auto"/>
            <w:right w:val="none" w:sz="0" w:space="0" w:color="auto"/>
          </w:divBdr>
        </w:div>
        <w:div w:id="1153256546">
          <w:marLeft w:val="0"/>
          <w:marRight w:val="0"/>
          <w:marTop w:val="0"/>
          <w:marBottom w:val="0"/>
          <w:divBdr>
            <w:top w:val="none" w:sz="0" w:space="0" w:color="auto"/>
            <w:left w:val="none" w:sz="0" w:space="0" w:color="auto"/>
            <w:bottom w:val="none" w:sz="0" w:space="0" w:color="auto"/>
            <w:right w:val="none" w:sz="0" w:space="0" w:color="auto"/>
          </w:divBdr>
        </w:div>
        <w:div w:id="1541237963">
          <w:marLeft w:val="0"/>
          <w:marRight w:val="0"/>
          <w:marTop w:val="0"/>
          <w:marBottom w:val="0"/>
          <w:divBdr>
            <w:top w:val="none" w:sz="0" w:space="0" w:color="auto"/>
            <w:left w:val="none" w:sz="0" w:space="0" w:color="auto"/>
            <w:bottom w:val="none" w:sz="0" w:space="0" w:color="auto"/>
            <w:right w:val="none" w:sz="0" w:space="0" w:color="auto"/>
          </w:divBdr>
        </w:div>
        <w:div w:id="1070233977">
          <w:marLeft w:val="0"/>
          <w:marRight w:val="0"/>
          <w:marTop w:val="0"/>
          <w:marBottom w:val="0"/>
          <w:divBdr>
            <w:top w:val="none" w:sz="0" w:space="0" w:color="auto"/>
            <w:left w:val="none" w:sz="0" w:space="0" w:color="auto"/>
            <w:bottom w:val="none" w:sz="0" w:space="0" w:color="auto"/>
            <w:right w:val="none" w:sz="0" w:space="0" w:color="auto"/>
          </w:divBdr>
        </w:div>
        <w:div w:id="1288315484">
          <w:marLeft w:val="0"/>
          <w:marRight w:val="0"/>
          <w:marTop w:val="0"/>
          <w:marBottom w:val="0"/>
          <w:divBdr>
            <w:top w:val="none" w:sz="0" w:space="0" w:color="auto"/>
            <w:left w:val="none" w:sz="0" w:space="0" w:color="auto"/>
            <w:bottom w:val="none" w:sz="0" w:space="0" w:color="auto"/>
            <w:right w:val="none" w:sz="0" w:space="0" w:color="auto"/>
          </w:divBdr>
        </w:div>
        <w:div w:id="1117722698">
          <w:marLeft w:val="0"/>
          <w:marRight w:val="0"/>
          <w:marTop w:val="0"/>
          <w:marBottom w:val="0"/>
          <w:divBdr>
            <w:top w:val="none" w:sz="0" w:space="0" w:color="auto"/>
            <w:left w:val="none" w:sz="0" w:space="0" w:color="auto"/>
            <w:bottom w:val="none" w:sz="0" w:space="0" w:color="auto"/>
            <w:right w:val="none" w:sz="0" w:space="0" w:color="auto"/>
          </w:divBdr>
        </w:div>
        <w:div w:id="1516529828">
          <w:marLeft w:val="0"/>
          <w:marRight w:val="0"/>
          <w:marTop w:val="0"/>
          <w:marBottom w:val="0"/>
          <w:divBdr>
            <w:top w:val="none" w:sz="0" w:space="0" w:color="auto"/>
            <w:left w:val="none" w:sz="0" w:space="0" w:color="auto"/>
            <w:bottom w:val="none" w:sz="0" w:space="0" w:color="auto"/>
            <w:right w:val="none" w:sz="0" w:space="0" w:color="auto"/>
          </w:divBdr>
        </w:div>
        <w:div w:id="368342391">
          <w:marLeft w:val="0"/>
          <w:marRight w:val="0"/>
          <w:marTop w:val="0"/>
          <w:marBottom w:val="0"/>
          <w:divBdr>
            <w:top w:val="none" w:sz="0" w:space="0" w:color="auto"/>
            <w:left w:val="none" w:sz="0" w:space="0" w:color="auto"/>
            <w:bottom w:val="none" w:sz="0" w:space="0" w:color="auto"/>
            <w:right w:val="none" w:sz="0" w:space="0" w:color="auto"/>
          </w:divBdr>
        </w:div>
        <w:div w:id="169412588">
          <w:marLeft w:val="0"/>
          <w:marRight w:val="0"/>
          <w:marTop w:val="0"/>
          <w:marBottom w:val="0"/>
          <w:divBdr>
            <w:top w:val="none" w:sz="0" w:space="0" w:color="auto"/>
            <w:left w:val="none" w:sz="0" w:space="0" w:color="auto"/>
            <w:bottom w:val="none" w:sz="0" w:space="0" w:color="auto"/>
            <w:right w:val="none" w:sz="0" w:space="0" w:color="auto"/>
          </w:divBdr>
        </w:div>
        <w:div w:id="1702051441">
          <w:marLeft w:val="0"/>
          <w:marRight w:val="0"/>
          <w:marTop w:val="0"/>
          <w:marBottom w:val="0"/>
          <w:divBdr>
            <w:top w:val="none" w:sz="0" w:space="0" w:color="auto"/>
            <w:left w:val="none" w:sz="0" w:space="0" w:color="auto"/>
            <w:bottom w:val="none" w:sz="0" w:space="0" w:color="auto"/>
            <w:right w:val="none" w:sz="0" w:space="0" w:color="auto"/>
          </w:divBdr>
        </w:div>
        <w:div w:id="502017024">
          <w:marLeft w:val="0"/>
          <w:marRight w:val="0"/>
          <w:marTop w:val="0"/>
          <w:marBottom w:val="0"/>
          <w:divBdr>
            <w:top w:val="none" w:sz="0" w:space="0" w:color="auto"/>
            <w:left w:val="none" w:sz="0" w:space="0" w:color="auto"/>
            <w:bottom w:val="none" w:sz="0" w:space="0" w:color="auto"/>
            <w:right w:val="none" w:sz="0" w:space="0" w:color="auto"/>
          </w:divBdr>
        </w:div>
        <w:div w:id="397750950">
          <w:marLeft w:val="0"/>
          <w:marRight w:val="0"/>
          <w:marTop w:val="0"/>
          <w:marBottom w:val="0"/>
          <w:divBdr>
            <w:top w:val="none" w:sz="0" w:space="0" w:color="auto"/>
            <w:left w:val="none" w:sz="0" w:space="0" w:color="auto"/>
            <w:bottom w:val="none" w:sz="0" w:space="0" w:color="auto"/>
            <w:right w:val="none" w:sz="0" w:space="0" w:color="auto"/>
          </w:divBdr>
        </w:div>
        <w:div w:id="609315789">
          <w:marLeft w:val="0"/>
          <w:marRight w:val="0"/>
          <w:marTop w:val="0"/>
          <w:marBottom w:val="0"/>
          <w:divBdr>
            <w:top w:val="none" w:sz="0" w:space="0" w:color="auto"/>
            <w:left w:val="none" w:sz="0" w:space="0" w:color="auto"/>
            <w:bottom w:val="none" w:sz="0" w:space="0" w:color="auto"/>
            <w:right w:val="none" w:sz="0" w:space="0" w:color="auto"/>
          </w:divBdr>
        </w:div>
        <w:div w:id="824006050">
          <w:marLeft w:val="0"/>
          <w:marRight w:val="0"/>
          <w:marTop w:val="0"/>
          <w:marBottom w:val="0"/>
          <w:divBdr>
            <w:top w:val="none" w:sz="0" w:space="0" w:color="auto"/>
            <w:left w:val="none" w:sz="0" w:space="0" w:color="auto"/>
            <w:bottom w:val="none" w:sz="0" w:space="0" w:color="auto"/>
            <w:right w:val="none" w:sz="0" w:space="0" w:color="auto"/>
          </w:divBdr>
        </w:div>
        <w:div w:id="1042484335">
          <w:marLeft w:val="0"/>
          <w:marRight w:val="0"/>
          <w:marTop w:val="0"/>
          <w:marBottom w:val="0"/>
          <w:divBdr>
            <w:top w:val="none" w:sz="0" w:space="0" w:color="auto"/>
            <w:left w:val="none" w:sz="0" w:space="0" w:color="auto"/>
            <w:bottom w:val="none" w:sz="0" w:space="0" w:color="auto"/>
            <w:right w:val="none" w:sz="0" w:space="0" w:color="auto"/>
          </w:divBdr>
        </w:div>
        <w:div w:id="388694718">
          <w:marLeft w:val="0"/>
          <w:marRight w:val="0"/>
          <w:marTop w:val="0"/>
          <w:marBottom w:val="0"/>
          <w:divBdr>
            <w:top w:val="none" w:sz="0" w:space="0" w:color="auto"/>
            <w:left w:val="none" w:sz="0" w:space="0" w:color="auto"/>
            <w:bottom w:val="none" w:sz="0" w:space="0" w:color="auto"/>
            <w:right w:val="none" w:sz="0" w:space="0" w:color="auto"/>
          </w:divBdr>
        </w:div>
        <w:div w:id="1282343228">
          <w:marLeft w:val="0"/>
          <w:marRight w:val="0"/>
          <w:marTop w:val="0"/>
          <w:marBottom w:val="0"/>
          <w:divBdr>
            <w:top w:val="none" w:sz="0" w:space="0" w:color="auto"/>
            <w:left w:val="none" w:sz="0" w:space="0" w:color="auto"/>
            <w:bottom w:val="none" w:sz="0" w:space="0" w:color="auto"/>
            <w:right w:val="none" w:sz="0" w:space="0" w:color="auto"/>
          </w:divBdr>
        </w:div>
        <w:div w:id="1888714225">
          <w:marLeft w:val="0"/>
          <w:marRight w:val="0"/>
          <w:marTop w:val="0"/>
          <w:marBottom w:val="0"/>
          <w:divBdr>
            <w:top w:val="none" w:sz="0" w:space="0" w:color="auto"/>
            <w:left w:val="none" w:sz="0" w:space="0" w:color="auto"/>
            <w:bottom w:val="none" w:sz="0" w:space="0" w:color="auto"/>
            <w:right w:val="none" w:sz="0" w:space="0" w:color="auto"/>
          </w:divBdr>
        </w:div>
        <w:div w:id="724569071">
          <w:marLeft w:val="0"/>
          <w:marRight w:val="0"/>
          <w:marTop w:val="0"/>
          <w:marBottom w:val="0"/>
          <w:divBdr>
            <w:top w:val="none" w:sz="0" w:space="0" w:color="auto"/>
            <w:left w:val="none" w:sz="0" w:space="0" w:color="auto"/>
            <w:bottom w:val="none" w:sz="0" w:space="0" w:color="auto"/>
            <w:right w:val="none" w:sz="0" w:space="0" w:color="auto"/>
          </w:divBdr>
        </w:div>
        <w:div w:id="1510481117">
          <w:marLeft w:val="0"/>
          <w:marRight w:val="0"/>
          <w:marTop w:val="0"/>
          <w:marBottom w:val="0"/>
          <w:divBdr>
            <w:top w:val="none" w:sz="0" w:space="0" w:color="auto"/>
            <w:left w:val="none" w:sz="0" w:space="0" w:color="auto"/>
            <w:bottom w:val="none" w:sz="0" w:space="0" w:color="auto"/>
            <w:right w:val="none" w:sz="0" w:space="0" w:color="auto"/>
          </w:divBdr>
        </w:div>
        <w:div w:id="1654487609">
          <w:marLeft w:val="0"/>
          <w:marRight w:val="0"/>
          <w:marTop w:val="0"/>
          <w:marBottom w:val="0"/>
          <w:divBdr>
            <w:top w:val="none" w:sz="0" w:space="0" w:color="auto"/>
            <w:left w:val="none" w:sz="0" w:space="0" w:color="auto"/>
            <w:bottom w:val="none" w:sz="0" w:space="0" w:color="auto"/>
            <w:right w:val="none" w:sz="0" w:space="0" w:color="auto"/>
          </w:divBdr>
        </w:div>
        <w:div w:id="319239200">
          <w:marLeft w:val="0"/>
          <w:marRight w:val="0"/>
          <w:marTop w:val="0"/>
          <w:marBottom w:val="0"/>
          <w:divBdr>
            <w:top w:val="none" w:sz="0" w:space="0" w:color="auto"/>
            <w:left w:val="none" w:sz="0" w:space="0" w:color="auto"/>
            <w:bottom w:val="none" w:sz="0" w:space="0" w:color="auto"/>
            <w:right w:val="none" w:sz="0" w:space="0" w:color="auto"/>
          </w:divBdr>
        </w:div>
        <w:div w:id="1495144742">
          <w:marLeft w:val="0"/>
          <w:marRight w:val="0"/>
          <w:marTop w:val="0"/>
          <w:marBottom w:val="0"/>
          <w:divBdr>
            <w:top w:val="none" w:sz="0" w:space="0" w:color="auto"/>
            <w:left w:val="none" w:sz="0" w:space="0" w:color="auto"/>
            <w:bottom w:val="none" w:sz="0" w:space="0" w:color="auto"/>
            <w:right w:val="none" w:sz="0" w:space="0" w:color="auto"/>
          </w:divBdr>
        </w:div>
        <w:div w:id="1535267869">
          <w:marLeft w:val="0"/>
          <w:marRight w:val="0"/>
          <w:marTop w:val="0"/>
          <w:marBottom w:val="0"/>
          <w:divBdr>
            <w:top w:val="none" w:sz="0" w:space="0" w:color="auto"/>
            <w:left w:val="none" w:sz="0" w:space="0" w:color="auto"/>
            <w:bottom w:val="none" w:sz="0" w:space="0" w:color="auto"/>
            <w:right w:val="none" w:sz="0" w:space="0" w:color="auto"/>
          </w:divBdr>
        </w:div>
        <w:div w:id="2085450465">
          <w:marLeft w:val="0"/>
          <w:marRight w:val="0"/>
          <w:marTop w:val="0"/>
          <w:marBottom w:val="0"/>
          <w:divBdr>
            <w:top w:val="none" w:sz="0" w:space="0" w:color="auto"/>
            <w:left w:val="none" w:sz="0" w:space="0" w:color="auto"/>
            <w:bottom w:val="none" w:sz="0" w:space="0" w:color="auto"/>
            <w:right w:val="none" w:sz="0" w:space="0" w:color="auto"/>
          </w:divBdr>
        </w:div>
        <w:div w:id="1018966641">
          <w:marLeft w:val="0"/>
          <w:marRight w:val="0"/>
          <w:marTop w:val="0"/>
          <w:marBottom w:val="0"/>
          <w:divBdr>
            <w:top w:val="none" w:sz="0" w:space="0" w:color="auto"/>
            <w:left w:val="none" w:sz="0" w:space="0" w:color="auto"/>
            <w:bottom w:val="none" w:sz="0" w:space="0" w:color="auto"/>
            <w:right w:val="none" w:sz="0" w:space="0" w:color="auto"/>
          </w:divBdr>
        </w:div>
        <w:div w:id="634799947">
          <w:marLeft w:val="0"/>
          <w:marRight w:val="0"/>
          <w:marTop w:val="0"/>
          <w:marBottom w:val="0"/>
          <w:divBdr>
            <w:top w:val="none" w:sz="0" w:space="0" w:color="auto"/>
            <w:left w:val="none" w:sz="0" w:space="0" w:color="auto"/>
            <w:bottom w:val="none" w:sz="0" w:space="0" w:color="auto"/>
            <w:right w:val="none" w:sz="0" w:space="0" w:color="auto"/>
          </w:divBdr>
        </w:div>
        <w:div w:id="885340287">
          <w:marLeft w:val="0"/>
          <w:marRight w:val="0"/>
          <w:marTop w:val="0"/>
          <w:marBottom w:val="0"/>
          <w:divBdr>
            <w:top w:val="none" w:sz="0" w:space="0" w:color="auto"/>
            <w:left w:val="none" w:sz="0" w:space="0" w:color="auto"/>
            <w:bottom w:val="none" w:sz="0" w:space="0" w:color="auto"/>
            <w:right w:val="none" w:sz="0" w:space="0" w:color="auto"/>
          </w:divBdr>
        </w:div>
        <w:div w:id="2083872808">
          <w:marLeft w:val="0"/>
          <w:marRight w:val="0"/>
          <w:marTop w:val="0"/>
          <w:marBottom w:val="0"/>
          <w:divBdr>
            <w:top w:val="none" w:sz="0" w:space="0" w:color="auto"/>
            <w:left w:val="none" w:sz="0" w:space="0" w:color="auto"/>
            <w:bottom w:val="none" w:sz="0" w:space="0" w:color="auto"/>
            <w:right w:val="none" w:sz="0" w:space="0" w:color="auto"/>
          </w:divBdr>
        </w:div>
        <w:div w:id="1892032338">
          <w:marLeft w:val="0"/>
          <w:marRight w:val="0"/>
          <w:marTop w:val="0"/>
          <w:marBottom w:val="0"/>
          <w:divBdr>
            <w:top w:val="none" w:sz="0" w:space="0" w:color="auto"/>
            <w:left w:val="none" w:sz="0" w:space="0" w:color="auto"/>
            <w:bottom w:val="none" w:sz="0" w:space="0" w:color="auto"/>
            <w:right w:val="none" w:sz="0" w:space="0" w:color="auto"/>
          </w:divBdr>
        </w:div>
        <w:div w:id="293484747">
          <w:marLeft w:val="0"/>
          <w:marRight w:val="0"/>
          <w:marTop w:val="0"/>
          <w:marBottom w:val="0"/>
          <w:divBdr>
            <w:top w:val="none" w:sz="0" w:space="0" w:color="auto"/>
            <w:left w:val="none" w:sz="0" w:space="0" w:color="auto"/>
            <w:bottom w:val="none" w:sz="0" w:space="0" w:color="auto"/>
            <w:right w:val="none" w:sz="0" w:space="0" w:color="auto"/>
          </w:divBdr>
        </w:div>
        <w:div w:id="1821118331">
          <w:marLeft w:val="0"/>
          <w:marRight w:val="0"/>
          <w:marTop w:val="0"/>
          <w:marBottom w:val="0"/>
          <w:divBdr>
            <w:top w:val="none" w:sz="0" w:space="0" w:color="auto"/>
            <w:left w:val="none" w:sz="0" w:space="0" w:color="auto"/>
            <w:bottom w:val="none" w:sz="0" w:space="0" w:color="auto"/>
            <w:right w:val="none" w:sz="0" w:space="0" w:color="auto"/>
          </w:divBdr>
        </w:div>
        <w:div w:id="2634821">
          <w:marLeft w:val="0"/>
          <w:marRight w:val="0"/>
          <w:marTop w:val="0"/>
          <w:marBottom w:val="0"/>
          <w:divBdr>
            <w:top w:val="none" w:sz="0" w:space="0" w:color="auto"/>
            <w:left w:val="none" w:sz="0" w:space="0" w:color="auto"/>
            <w:bottom w:val="none" w:sz="0" w:space="0" w:color="auto"/>
            <w:right w:val="none" w:sz="0" w:space="0" w:color="auto"/>
          </w:divBdr>
        </w:div>
        <w:div w:id="1406337271">
          <w:marLeft w:val="0"/>
          <w:marRight w:val="0"/>
          <w:marTop w:val="0"/>
          <w:marBottom w:val="0"/>
          <w:divBdr>
            <w:top w:val="none" w:sz="0" w:space="0" w:color="auto"/>
            <w:left w:val="none" w:sz="0" w:space="0" w:color="auto"/>
            <w:bottom w:val="none" w:sz="0" w:space="0" w:color="auto"/>
            <w:right w:val="none" w:sz="0" w:space="0" w:color="auto"/>
          </w:divBdr>
        </w:div>
        <w:div w:id="276327393">
          <w:marLeft w:val="0"/>
          <w:marRight w:val="0"/>
          <w:marTop w:val="0"/>
          <w:marBottom w:val="0"/>
          <w:divBdr>
            <w:top w:val="none" w:sz="0" w:space="0" w:color="auto"/>
            <w:left w:val="none" w:sz="0" w:space="0" w:color="auto"/>
            <w:bottom w:val="none" w:sz="0" w:space="0" w:color="auto"/>
            <w:right w:val="none" w:sz="0" w:space="0" w:color="auto"/>
          </w:divBdr>
        </w:div>
        <w:div w:id="1108307969">
          <w:marLeft w:val="0"/>
          <w:marRight w:val="0"/>
          <w:marTop w:val="0"/>
          <w:marBottom w:val="0"/>
          <w:divBdr>
            <w:top w:val="none" w:sz="0" w:space="0" w:color="auto"/>
            <w:left w:val="none" w:sz="0" w:space="0" w:color="auto"/>
            <w:bottom w:val="none" w:sz="0" w:space="0" w:color="auto"/>
            <w:right w:val="none" w:sz="0" w:space="0" w:color="auto"/>
          </w:divBdr>
        </w:div>
        <w:div w:id="185098052">
          <w:marLeft w:val="0"/>
          <w:marRight w:val="0"/>
          <w:marTop w:val="0"/>
          <w:marBottom w:val="0"/>
          <w:divBdr>
            <w:top w:val="none" w:sz="0" w:space="0" w:color="auto"/>
            <w:left w:val="none" w:sz="0" w:space="0" w:color="auto"/>
            <w:bottom w:val="none" w:sz="0" w:space="0" w:color="auto"/>
            <w:right w:val="none" w:sz="0" w:space="0" w:color="auto"/>
          </w:divBdr>
        </w:div>
        <w:div w:id="1377122712">
          <w:marLeft w:val="0"/>
          <w:marRight w:val="0"/>
          <w:marTop w:val="0"/>
          <w:marBottom w:val="0"/>
          <w:divBdr>
            <w:top w:val="none" w:sz="0" w:space="0" w:color="auto"/>
            <w:left w:val="none" w:sz="0" w:space="0" w:color="auto"/>
            <w:bottom w:val="none" w:sz="0" w:space="0" w:color="auto"/>
            <w:right w:val="none" w:sz="0" w:space="0" w:color="auto"/>
          </w:divBdr>
        </w:div>
        <w:div w:id="441340270">
          <w:marLeft w:val="0"/>
          <w:marRight w:val="0"/>
          <w:marTop w:val="0"/>
          <w:marBottom w:val="0"/>
          <w:divBdr>
            <w:top w:val="none" w:sz="0" w:space="0" w:color="auto"/>
            <w:left w:val="none" w:sz="0" w:space="0" w:color="auto"/>
            <w:bottom w:val="none" w:sz="0" w:space="0" w:color="auto"/>
            <w:right w:val="none" w:sz="0" w:space="0" w:color="auto"/>
          </w:divBdr>
        </w:div>
        <w:div w:id="381175381">
          <w:marLeft w:val="0"/>
          <w:marRight w:val="0"/>
          <w:marTop w:val="0"/>
          <w:marBottom w:val="0"/>
          <w:divBdr>
            <w:top w:val="none" w:sz="0" w:space="0" w:color="auto"/>
            <w:left w:val="none" w:sz="0" w:space="0" w:color="auto"/>
            <w:bottom w:val="none" w:sz="0" w:space="0" w:color="auto"/>
            <w:right w:val="none" w:sz="0" w:space="0" w:color="auto"/>
          </w:divBdr>
        </w:div>
        <w:div w:id="1338463593">
          <w:marLeft w:val="0"/>
          <w:marRight w:val="0"/>
          <w:marTop w:val="0"/>
          <w:marBottom w:val="0"/>
          <w:divBdr>
            <w:top w:val="none" w:sz="0" w:space="0" w:color="auto"/>
            <w:left w:val="none" w:sz="0" w:space="0" w:color="auto"/>
            <w:bottom w:val="none" w:sz="0" w:space="0" w:color="auto"/>
            <w:right w:val="none" w:sz="0" w:space="0" w:color="auto"/>
          </w:divBdr>
        </w:div>
        <w:div w:id="1178422586">
          <w:marLeft w:val="0"/>
          <w:marRight w:val="0"/>
          <w:marTop w:val="0"/>
          <w:marBottom w:val="0"/>
          <w:divBdr>
            <w:top w:val="none" w:sz="0" w:space="0" w:color="auto"/>
            <w:left w:val="none" w:sz="0" w:space="0" w:color="auto"/>
            <w:bottom w:val="none" w:sz="0" w:space="0" w:color="auto"/>
            <w:right w:val="none" w:sz="0" w:space="0" w:color="auto"/>
          </w:divBdr>
        </w:div>
        <w:div w:id="1381202941">
          <w:marLeft w:val="0"/>
          <w:marRight w:val="0"/>
          <w:marTop w:val="0"/>
          <w:marBottom w:val="0"/>
          <w:divBdr>
            <w:top w:val="none" w:sz="0" w:space="0" w:color="auto"/>
            <w:left w:val="none" w:sz="0" w:space="0" w:color="auto"/>
            <w:bottom w:val="none" w:sz="0" w:space="0" w:color="auto"/>
            <w:right w:val="none" w:sz="0" w:space="0" w:color="auto"/>
          </w:divBdr>
        </w:div>
        <w:div w:id="1437208638">
          <w:marLeft w:val="0"/>
          <w:marRight w:val="0"/>
          <w:marTop w:val="0"/>
          <w:marBottom w:val="0"/>
          <w:divBdr>
            <w:top w:val="none" w:sz="0" w:space="0" w:color="auto"/>
            <w:left w:val="none" w:sz="0" w:space="0" w:color="auto"/>
            <w:bottom w:val="none" w:sz="0" w:space="0" w:color="auto"/>
            <w:right w:val="none" w:sz="0" w:space="0" w:color="auto"/>
          </w:divBdr>
        </w:div>
        <w:div w:id="359283535">
          <w:marLeft w:val="0"/>
          <w:marRight w:val="0"/>
          <w:marTop w:val="0"/>
          <w:marBottom w:val="0"/>
          <w:divBdr>
            <w:top w:val="none" w:sz="0" w:space="0" w:color="auto"/>
            <w:left w:val="none" w:sz="0" w:space="0" w:color="auto"/>
            <w:bottom w:val="none" w:sz="0" w:space="0" w:color="auto"/>
            <w:right w:val="none" w:sz="0" w:space="0" w:color="auto"/>
          </w:divBdr>
        </w:div>
        <w:div w:id="1342469630">
          <w:marLeft w:val="0"/>
          <w:marRight w:val="0"/>
          <w:marTop w:val="0"/>
          <w:marBottom w:val="0"/>
          <w:divBdr>
            <w:top w:val="none" w:sz="0" w:space="0" w:color="auto"/>
            <w:left w:val="none" w:sz="0" w:space="0" w:color="auto"/>
            <w:bottom w:val="none" w:sz="0" w:space="0" w:color="auto"/>
            <w:right w:val="none" w:sz="0" w:space="0" w:color="auto"/>
          </w:divBdr>
        </w:div>
        <w:div w:id="1017273763">
          <w:marLeft w:val="0"/>
          <w:marRight w:val="0"/>
          <w:marTop w:val="0"/>
          <w:marBottom w:val="0"/>
          <w:divBdr>
            <w:top w:val="none" w:sz="0" w:space="0" w:color="auto"/>
            <w:left w:val="none" w:sz="0" w:space="0" w:color="auto"/>
            <w:bottom w:val="none" w:sz="0" w:space="0" w:color="auto"/>
            <w:right w:val="none" w:sz="0" w:space="0" w:color="auto"/>
          </w:divBdr>
        </w:div>
        <w:div w:id="1402217331">
          <w:marLeft w:val="0"/>
          <w:marRight w:val="0"/>
          <w:marTop w:val="0"/>
          <w:marBottom w:val="0"/>
          <w:divBdr>
            <w:top w:val="none" w:sz="0" w:space="0" w:color="auto"/>
            <w:left w:val="none" w:sz="0" w:space="0" w:color="auto"/>
            <w:bottom w:val="none" w:sz="0" w:space="0" w:color="auto"/>
            <w:right w:val="none" w:sz="0" w:space="0" w:color="auto"/>
          </w:divBdr>
        </w:div>
        <w:div w:id="2138522947">
          <w:marLeft w:val="0"/>
          <w:marRight w:val="0"/>
          <w:marTop w:val="0"/>
          <w:marBottom w:val="0"/>
          <w:divBdr>
            <w:top w:val="none" w:sz="0" w:space="0" w:color="auto"/>
            <w:left w:val="none" w:sz="0" w:space="0" w:color="auto"/>
            <w:bottom w:val="none" w:sz="0" w:space="0" w:color="auto"/>
            <w:right w:val="none" w:sz="0" w:space="0" w:color="auto"/>
          </w:divBdr>
        </w:div>
        <w:div w:id="734861337">
          <w:marLeft w:val="0"/>
          <w:marRight w:val="0"/>
          <w:marTop w:val="0"/>
          <w:marBottom w:val="0"/>
          <w:divBdr>
            <w:top w:val="none" w:sz="0" w:space="0" w:color="auto"/>
            <w:left w:val="none" w:sz="0" w:space="0" w:color="auto"/>
            <w:bottom w:val="none" w:sz="0" w:space="0" w:color="auto"/>
            <w:right w:val="none" w:sz="0" w:space="0" w:color="auto"/>
          </w:divBdr>
        </w:div>
        <w:div w:id="44061312">
          <w:marLeft w:val="0"/>
          <w:marRight w:val="0"/>
          <w:marTop w:val="0"/>
          <w:marBottom w:val="0"/>
          <w:divBdr>
            <w:top w:val="none" w:sz="0" w:space="0" w:color="auto"/>
            <w:left w:val="none" w:sz="0" w:space="0" w:color="auto"/>
            <w:bottom w:val="none" w:sz="0" w:space="0" w:color="auto"/>
            <w:right w:val="none" w:sz="0" w:space="0" w:color="auto"/>
          </w:divBdr>
        </w:div>
        <w:div w:id="273100297">
          <w:marLeft w:val="0"/>
          <w:marRight w:val="0"/>
          <w:marTop w:val="0"/>
          <w:marBottom w:val="0"/>
          <w:divBdr>
            <w:top w:val="none" w:sz="0" w:space="0" w:color="auto"/>
            <w:left w:val="none" w:sz="0" w:space="0" w:color="auto"/>
            <w:bottom w:val="none" w:sz="0" w:space="0" w:color="auto"/>
            <w:right w:val="none" w:sz="0" w:space="0" w:color="auto"/>
          </w:divBdr>
        </w:div>
        <w:div w:id="506360491">
          <w:marLeft w:val="0"/>
          <w:marRight w:val="0"/>
          <w:marTop w:val="0"/>
          <w:marBottom w:val="0"/>
          <w:divBdr>
            <w:top w:val="none" w:sz="0" w:space="0" w:color="auto"/>
            <w:left w:val="none" w:sz="0" w:space="0" w:color="auto"/>
            <w:bottom w:val="none" w:sz="0" w:space="0" w:color="auto"/>
            <w:right w:val="none" w:sz="0" w:space="0" w:color="auto"/>
          </w:divBdr>
        </w:div>
        <w:div w:id="817107968">
          <w:marLeft w:val="0"/>
          <w:marRight w:val="0"/>
          <w:marTop w:val="0"/>
          <w:marBottom w:val="0"/>
          <w:divBdr>
            <w:top w:val="none" w:sz="0" w:space="0" w:color="auto"/>
            <w:left w:val="none" w:sz="0" w:space="0" w:color="auto"/>
            <w:bottom w:val="none" w:sz="0" w:space="0" w:color="auto"/>
            <w:right w:val="none" w:sz="0" w:space="0" w:color="auto"/>
          </w:divBdr>
        </w:div>
        <w:div w:id="1208689386">
          <w:marLeft w:val="0"/>
          <w:marRight w:val="0"/>
          <w:marTop w:val="0"/>
          <w:marBottom w:val="0"/>
          <w:divBdr>
            <w:top w:val="none" w:sz="0" w:space="0" w:color="auto"/>
            <w:left w:val="none" w:sz="0" w:space="0" w:color="auto"/>
            <w:bottom w:val="none" w:sz="0" w:space="0" w:color="auto"/>
            <w:right w:val="none" w:sz="0" w:space="0" w:color="auto"/>
          </w:divBdr>
        </w:div>
        <w:div w:id="260454282">
          <w:marLeft w:val="0"/>
          <w:marRight w:val="0"/>
          <w:marTop w:val="0"/>
          <w:marBottom w:val="0"/>
          <w:divBdr>
            <w:top w:val="none" w:sz="0" w:space="0" w:color="auto"/>
            <w:left w:val="none" w:sz="0" w:space="0" w:color="auto"/>
            <w:bottom w:val="none" w:sz="0" w:space="0" w:color="auto"/>
            <w:right w:val="none" w:sz="0" w:space="0" w:color="auto"/>
          </w:divBdr>
        </w:div>
        <w:div w:id="799616489">
          <w:marLeft w:val="0"/>
          <w:marRight w:val="0"/>
          <w:marTop w:val="0"/>
          <w:marBottom w:val="0"/>
          <w:divBdr>
            <w:top w:val="none" w:sz="0" w:space="0" w:color="auto"/>
            <w:left w:val="none" w:sz="0" w:space="0" w:color="auto"/>
            <w:bottom w:val="none" w:sz="0" w:space="0" w:color="auto"/>
            <w:right w:val="none" w:sz="0" w:space="0" w:color="auto"/>
          </w:divBdr>
        </w:div>
        <w:div w:id="1342047600">
          <w:marLeft w:val="0"/>
          <w:marRight w:val="0"/>
          <w:marTop w:val="0"/>
          <w:marBottom w:val="0"/>
          <w:divBdr>
            <w:top w:val="none" w:sz="0" w:space="0" w:color="auto"/>
            <w:left w:val="none" w:sz="0" w:space="0" w:color="auto"/>
            <w:bottom w:val="none" w:sz="0" w:space="0" w:color="auto"/>
            <w:right w:val="none" w:sz="0" w:space="0" w:color="auto"/>
          </w:divBdr>
        </w:div>
        <w:div w:id="804007880">
          <w:marLeft w:val="0"/>
          <w:marRight w:val="0"/>
          <w:marTop w:val="0"/>
          <w:marBottom w:val="0"/>
          <w:divBdr>
            <w:top w:val="none" w:sz="0" w:space="0" w:color="auto"/>
            <w:left w:val="none" w:sz="0" w:space="0" w:color="auto"/>
            <w:bottom w:val="none" w:sz="0" w:space="0" w:color="auto"/>
            <w:right w:val="none" w:sz="0" w:space="0" w:color="auto"/>
          </w:divBdr>
        </w:div>
        <w:div w:id="823476591">
          <w:marLeft w:val="0"/>
          <w:marRight w:val="0"/>
          <w:marTop w:val="0"/>
          <w:marBottom w:val="0"/>
          <w:divBdr>
            <w:top w:val="none" w:sz="0" w:space="0" w:color="auto"/>
            <w:left w:val="none" w:sz="0" w:space="0" w:color="auto"/>
            <w:bottom w:val="none" w:sz="0" w:space="0" w:color="auto"/>
            <w:right w:val="none" w:sz="0" w:space="0" w:color="auto"/>
          </w:divBdr>
        </w:div>
        <w:div w:id="1462069664">
          <w:marLeft w:val="0"/>
          <w:marRight w:val="0"/>
          <w:marTop w:val="0"/>
          <w:marBottom w:val="0"/>
          <w:divBdr>
            <w:top w:val="none" w:sz="0" w:space="0" w:color="auto"/>
            <w:left w:val="none" w:sz="0" w:space="0" w:color="auto"/>
            <w:bottom w:val="none" w:sz="0" w:space="0" w:color="auto"/>
            <w:right w:val="none" w:sz="0" w:space="0" w:color="auto"/>
          </w:divBdr>
        </w:div>
        <w:div w:id="866869269">
          <w:marLeft w:val="0"/>
          <w:marRight w:val="0"/>
          <w:marTop w:val="0"/>
          <w:marBottom w:val="0"/>
          <w:divBdr>
            <w:top w:val="none" w:sz="0" w:space="0" w:color="auto"/>
            <w:left w:val="none" w:sz="0" w:space="0" w:color="auto"/>
            <w:bottom w:val="none" w:sz="0" w:space="0" w:color="auto"/>
            <w:right w:val="none" w:sz="0" w:space="0" w:color="auto"/>
          </w:divBdr>
        </w:div>
        <w:div w:id="645013829">
          <w:marLeft w:val="0"/>
          <w:marRight w:val="0"/>
          <w:marTop w:val="0"/>
          <w:marBottom w:val="0"/>
          <w:divBdr>
            <w:top w:val="none" w:sz="0" w:space="0" w:color="auto"/>
            <w:left w:val="none" w:sz="0" w:space="0" w:color="auto"/>
            <w:bottom w:val="none" w:sz="0" w:space="0" w:color="auto"/>
            <w:right w:val="none" w:sz="0" w:space="0" w:color="auto"/>
          </w:divBdr>
        </w:div>
        <w:div w:id="1608654804">
          <w:marLeft w:val="0"/>
          <w:marRight w:val="0"/>
          <w:marTop w:val="0"/>
          <w:marBottom w:val="0"/>
          <w:divBdr>
            <w:top w:val="none" w:sz="0" w:space="0" w:color="auto"/>
            <w:left w:val="none" w:sz="0" w:space="0" w:color="auto"/>
            <w:bottom w:val="none" w:sz="0" w:space="0" w:color="auto"/>
            <w:right w:val="none" w:sz="0" w:space="0" w:color="auto"/>
          </w:divBdr>
        </w:div>
        <w:div w:id="115026095">
          <w:marLeft w:val="0"/>
          <w:marRight w:val="0"/>
          <w:marTop w:val="0"/>
          <w:marBottom w:val="0"/>
          <w:divBdr>
            <w:top w:val="none" w:sz="0" w:space="0" w:color="auto"/>
            <w:left w:val="none" w:sz="0" w:space="0" w:color="auto"/>
            <w:bottom w:val="none" w:sz="0" w:space="0" w:color="auto"/>
            <w:right w:val="none" w:sz="0" w:space="0" w:color="auto"/>
          </w:divBdr>
        </w:div>
        <w:div w:id="1388453795">
          <w:marLeft w:val="0"/>
          <w:marRight w:val="0"/>
          <w:marTop w:val="0"/>
          <w:marBottom w:val="0"/>
          <w:divBdr>
            <w:top w:val="none" w:sz="0" w:space="0" w:color="auto"/>
            <w:left w:val="none" w:sz="0" w:space="0" w:color="auto"/>
            <w:bottom w:val="none" w:sz="0" w:space="0" w:color="auto"/>
            <w:right w:val="none" w:sz="0" w:space="0" w:color="auto"/>
          </w:divBdr>
        </w:div>
        <w:div w:id="1293251493">
          <w:marLeft w:val="0"/>
          <w:marRight w:val="0"/>
          <w:marTop w:val="0"/>
          <w:marBottom w:val="0"/>
          <w:divBdr>
            <w:top w:val="none" w:sz="0" w:space="0" w:color="auto"/>
            <w:left w:val="none" w:sz="0" w:space="0" w:color="auto"/>
            <w:bottom w:val="none" w:sz="0" w:space="0" w:color="auto"/>
            <w:right w:val="none" w:sz="0" w:space="0" w:color="auto"/>
          </w:divBdr>
        </w:div>
        <w:div w:id="818498543">
          <w:marLeft w:val="0"/>
          <w:marRight w:val="0"/>
          <w:marTop w:val="0"/>
          <w:marBottom w:val="0"/>
          <w:divBdr>
            <w:top w:val="none" w:sz="0" w:space="0" w:color="auto"/>
            <w:left w:val="none" w:sz="0" w:space="0" w:color="auto"/>
            <w:bottom w:val="none" w:sz="0" w:space="0" w:color="auto"/>
            <w:right w:val="none" w:sz="0" w:space="0" w:color="auto"/>
          </w:divBdr>
        </w:div>
        <w:div w:id="1035426606">
          <w:marLeft w:val="0"/>
          <w:marRight w:val="0"/>
          <w:marTop w:val="0"/>
          <w:marBottom w:val="0"/>
          <w:divBdr>
            <w:top w:val="none" w:sz="0" w:space="0" w:color="auto"/>
            <w:left w:val="none" w:sz="0" w:space="0" w:color="auto"/>
            <w:bottom w:val="none" w:sz="0" w:space="0" w:color="auto"/>
            <w:right w:val="none" w:sz="0" w:space="0" w:color="auto"/>
          </w:divBdr>
        </w:div>
        <w:div w:id="147090056">
          <w:marLeft w:val="0"/>
          <w:marRight w:val="0"/>
          <w:marTop w:val="0"/>
          <w:marBottom w:val="0"/>
          <w:divBdr>
            <w:top w:val="none" w:sz="0" w:space="0" w:color="auto"/>
            <w:left w:val="none" w:sz="0" w:space="0" w:color="auto"/>
            <w:bottom w:val="none" w:sz="0" w:space="0" w:color="auto"/>
            <w:right w:val="none" w:sz="0" w:space="0" w:color="auto"/>
          </w:divBdr>
        </w:div>
        <w:div w:id="2133284692">
          <w:marLeft w:val="0"/>
          <w:marRight w:val="0"/>
          <w:marTop w:val="0"/>
          <w:marBottom w:val="0"/>
          <w:divBdr>
            <w:top w:val="none" w:sz="0" w:space="0" w:color="auto"/>
            <w:left w:val="none" w:sz="0" w:space="0" w:color="auto"/>
            <w:bottom w:val="none" w:sz="0" w:space="0" w:color="auto"/>
            <w:right w:val="none" w:sz="0" w:space="0" w:color="auto"/>
          </w:divBdr>
        </w:div>
        <w:div w:id="1658681483">
          <w:marLeft w:val="0"/>
          <w:marRight w:val="0"/>
          <w:marTop w:val="0"/>
          <w:marBottom w:val="0"/>
          <w:divBdr>
            <w:top w:val="none" w:sz="0" w:space="0" w:color="auto"/>
            <w:left w:val="none" w:sz="0" w:space="0" w:color="auto"/>
            <w:bottom w:val="none" w:sz="0" w:space="0" w:color="auto"/>
            <w:right w:val="none" w:sz="0" w:space="0" w:color="auto"/>
          </w:divBdr>
        </w:div>
        <w:div w:id="581987931">
          <w:marLeft w:val="0"/>
          <w:marRight w:val="0"/>
          <w:marTop w:val="0"/>
          <w:marBottom w:val="0"/>
          <w:divBdr>
            <w:top w:val="none" w:sz="0" w:space="0" w:color="auto"/>
            <w:left w:val="none" w:sz="0" w:space="0" w:color="auto"/>
            <w:bottom w:val="none" w:sz="0" w:space="0" w:color="auto"/>
            <w:right w:val="none" w:sz="0" w:space="0" w:color="auto"/>
          </w:divBdr>
        </w:div>
        <w:div w:id="1361004527">
          <w:marLeft w:val="0"/>
          <w:marRight w:val="0"/>
          <w:marTop w:val="0"/>
          <w:marBottom w:val="0"/>
          <w:divBdr>
            <w:top w:val="none" w:sz="0" w:space="0" w:color="auto"/>
            <w:left w:val="none" w:sz="0" w:space="0" w:color="auto"/>
            <w:bottom w:val="none" w:sz="0" w:space="0" w:color="auto"/>
            <w:right w:val="none" w:sz="0" w:space="0" w:color="auto"/>
          </w:divBdr>
        </w:div>
        <w:div w:id="967903563">
          <w:marLeft w:val="0"/>
          <w:marRight w:val="0"/>
          <w:marTop w:val="0"/>
          <w:marBottom w:val="0"/>
          <w:divBdr>
            <w:top w:val="none" w:sz="0" w:space="0" w:color="auto"/>
            <w:left w:val="none" w:sz="0" w:space="0" w:color="auto"/>
            <w:bottom w:val="none" w:sz="0" w:space="0" w:color="auto"/>
            <w:right w:val="none" w:sz="0" w:space="0" w:color="auto"/>
          </w:divBdr>
        </w:div>
        <w:div w:id="493649788">
          <w:marLeft w:val="0"/>
          <w:marRight w:val="0"/>
          <w:marTop w:val="0"/>
          <w:marBottom w:val="0"/>
          <w:divBdr>
            <w:top w:val="none" w:sz="0" w:space="0" w:color="auto"/>
            <w:left w:val="none" w:sz="0" w:space="0" w:color="auto"/>
            <w:bottom w:val="none" w:sz="0" w:space="0" w:color="auto"/>
            <w:right w:val="none" w:sz="0" w:space="0" w:color="auto"/>
          </w:divBdr>
        </w:div>
        <w:div w:id="1566186199">
          <w:marLeft w:val="0"/>
          <w:marRight w:val="0"/>
          <w:marTop w:val="0"/>
          <w:marBottom w:val="0"/>
          <w:divBdr>
            <w:top w:val="none" w:sz="0" w:space="0" w:color="auto"/>
            <w:left w:val="none" w:sz="0" w:space="0" w:color="auto"/>
            <w:bottom w:val="none" w:sz="0" w:space="0" w:color="auto"/>
            <w:right w:val="none" w:sz="0" w:space="0" w:color="auto"/>
          </w:divBdr>
        </w:div>
        <w:div w:id="1087505772">
          <w:marLeft w:val="0"/>
          <w:marRight w:val="0"/>
          <w:marTop w:val="0"/>
          <w:marBottom w:val="0"/>
          <w:divBdr>
            <w:top w:val="none" w:sz="0" w:space="0" w:color="auto"/>
            <w:left w:val="none" w:sz="0" w:space="0" w:color="auto"/>
            <w:bottom w:val="none" w:sz="0" w:space="0" w:color="auto"/>
            <w:right w:val="none" w:sz="0" w:space="0" w:color="auto"/>
          </w:divBdr>
        </w:div>
        <w:div w:id="32727801">
          <w:marLeft w:val="0"/>
          <w:marRight w:val="0"/>
          <w:marTop w:val="0"/>
          <w:marBottom w:val="0"/>
          <w:divBdr>
            <w:top w:val="none" w:sz="0" w:space="0" w:color="auto"/>
            <w:left w:val="none" w:sz="0" w:space="0" w:color="auto"/>
            <w:bottom w:val="none" w:sz="0" w:space="0" w:color="auto"/>
            <w:right w:val="none" w:sz="0" w:space="0" w:color="auto"/>
          </w:divBdr>
        </w:div>
        <w:div w:id="262611663">
          <w:marLeft w:val="0"/>
          <w:marRight w:val="0"/>
          <w:marTop w:val="0"/>
          <w:marBottom w:val="0"/>
          <w:divBdr>
            <w:top w:val="none" w:sz="0" w:space="0" w:color="auto"/>
            <w:left w:val="none" w:sz="0" w:space="0" w:color="auto"/>
            <w:bottom w:val="none" w:sz="0" w:space="0" w:color="auto"/>
            <w:right w:val="none" w:sz="0" w:space="0" w:color="auto"/>
          </w:divBdr>
        </w:div>
        <w:div w:id="1590195581">
          <w:marLeft w:val="0"/>
          <w:marRight w:val="0"/>
          <w:marTop w:val="0"/>
          <w:marBottom w:val="0"/>
          <w:divBdr>
            <w:top w:val="none" w:sz="0" w:space="0" w:color="auto"/>
            <w:left w:val="none" w:sz="0" w:space="0" w:color="auto"/>
            <w:bottom w:val="none" w:sz="0" w:space="0" w:color="auto"/>
            <w:right w:val="none" w:sz="0" w:space="0" w:color="auto"/>
          </w:divBdr>
        </w:div>
        <w:div w:id="1867787300">
          <w:marLeft w:val="0"/>
          <w:marRight w:val="0"/>
          <w:marTop w:val="0"/>
          <w:marBottom w:val="0"/>
          <w:divBdr>
            <w:top w:val="none" w:sz="0" w:space="0" w:color="auto"/>
            <w:left w:val="none" w:sz="0" w:space="0" w:color="auto"/>
            <w:bottom w:val="none" w:sz="0" w:space="0" w:color="auto"/>
            <w:right w:val="none" w:sz="0" w:space="0" w:color="auto"/>
          </w:divBdr>
        </w:div>
        <w:div w:id="96758954">
          <w:marLeft w:val="0"/>
          <w:marRight w:val="0"/>
          <w:marTop w:val="0"/>
          <w:marBottom w:val="0"/>
          <w:divBdr>
            <w:top w:val="none" w:sz="0" w:space="0" w:color="auto"/>
            <w:left w:val="none" w:sz="0" w:space="0" w:color="auto"/>
            <w:bottom w:val="none" w:sz="0" w:space="0" w:color="auto"/>
            <w:right w:val="none" w:sz="0" w:space="0" w:color="auto"/>
          </w:divBdr>
        </w:div>
      </w:divsChild>
    </w:div>
    <w:div w:id="1570842977">
      <w:bodyDiv w:val="1"/>
      <w:marLeft w:val="0"/>
      <w:marRight w:val="0"/>
      <w:marTop w:val="0"/>
      <w:marBottom w:val="0"/>
      <w:divBdr>
        <w:top w:val="none" w:sz="0" w:space="0" w:color="auto"/>
        <w:left w:val="none" w:sz="0" w:space="0" w:color="auto"/>
        <w:bottom w:val="none" w:sz="0" w:space="0" w:color="auto"/>
        <w:right w:val="none" w:sz="0" w:space="0" w:color="auto"/>
      </w:divBdr>
    </w:div>
    <w:div w:id="1586187659">
      <w:bodyDiv w:val="1"/>
      <w:marLeft w:val="0"/>
      <w:marRight w:val="0"/>
      <w:marTop w:val="0"/>
      <w:marBottom w:val="0"/>
      <w:divBdr>
        <w:top w:val="none" w:sz="0" w:space="0" w:color="auto"/>
        <w:left w:val="none" w:sz="0" w:space="0" w:color="auto"/>
        <w:bottom w:val="none" w:sz="0" w:space="0" w:color="auto"/>
        <w:right w:val="none" w:sz="0" w:space="0" w:color="auto"/>
      </w:divBdr>
    </w:div>
    <w:div w:id="1628462557">
      <w:bodyDiv w:val="1"/>
      <w:marLeft w:val="0"/>
      <w:marRight w:val="0"/>
      <w:marTop w:val="0"/>
      <w:marBottom w:val="0"/>
      <w:divBdr>
        <w:top w:val="none" w:sz="0" w:space="0" w:color="auto"/>
        <w:left w:val="none" w:sz="0" w:space="0" w:color="auto"/>
        <w:bottom w:val="none" w:sz="0" w:space="0" w:color="auto"/>
        <w:right w:val="none" w:sz="0" w:space="0" w:color="auto"/>
      </w:divBdr>
    </w:div>
    <w:div w:id="1651596743">
      <w:bodyDiv w:val="1"/>
      <w:marLeft w:val="0"/>
      <w:marRight w:val="0"/>
      <w:marTop w:val="0"/>
      <w:marBottom w:val="0"/>
      <w:divBdr>
        <w:top w:val="none" w:sz="0" w:space="0" w:color="auto"/>
        <w:left w:val="none" w:sz="0" w:space="0" w:color="auto"/>
        <w:bottom w:val="none" w:sz="0" w:space="0" w:color="auto"/>
        <w:right w:val="none" w:sz="0" w:space="0" w:color="auto"/>
      </w:divBdr>
    </w:div>
    <w:div w:id="1661421485">
      <w:bodyDiv w:val="1"/>
      <w:marLeft w:val="0"/>
      <w:marRight w:val="0"/>
      <w:marTop w:val="0"/>
      <w:marBottom w:val="0"/>
      <w:divBdr>
        <w:top w:val="none" w:sz="0" w:space="0" w:color="auto"/>
        <w:left w:val="none" w:sz="0" w:space="0" w:color="auto"/>
        <w:bottom w:val="none" w:sz="0" w:space="0" w:color="auto"/>
        <w:right w:val="none" w:sz="0" w:space="0" w:color="auto"/>
      </w:divBdr>
      <w:divsChild>
        <w:div w:id="96870256">
          <w:marLeft w:val="0"/>
          <w:marRight w:val="0"/>
          <w:marTop w:val="0"/>
          <w:marBottom w:val="0"/>
          <w:divBdr>
            <w:top w:val="none" w:sz="0" w:space="0" w:color="auto"/>
            <w:left w:val="none" w:sz="0" w:space="0" w:color="auto"/>
            <w:bottom w:val="none" w:sz="0" w:space="0" w:color="auto"/>
            <w:right w:val="none" w:sz="0" w:space="0" w:color="auto"/>
          </w:divBdr>
        </w:div>
        <w:div w:id="98180850">
          <w:marLeft w:val="0"/>
          <w:marRight w:val="0"/>
          <w:marTop w:val="0"/>
          <w:marBottom w:val="0"/>
          <w:divBdr>
            <w:top w:val="none" w:sz="0" w:space="0" w:color="auto"/>
            <w:left w:val="none" w:sz="0" w:space="0" w:color="auto"/>
            <w:bottom w:val="none" w:sz="0" w:space="0" w:color="auto"/>
            <w:right w:val="none" w:sz="0" w:space="0" w:color="auto"/>
          </w:divBdr>
        </w:div>
        <w:div w:id="169031351">
          <w:marLeft w:val="0"/>
          <w:marRight w:val="0"/>
          <w:marTop w:val="0"/>
          <w:marBottom w:val="0"/>
          <w:divBdr>
            <w:top w:val="none" w:sz="0" w:space="0" w:color="auto"/>
            <w:left w:val="none" w:sz="0" w:space="0" w:color="auto"/>
            <w:bottom w:val="none" w:sz="0" w:space="0" w:color="auto"/>
            <w:right w:val="none" w:sz="0" w:space="0" w:color="auto"/>
          </w:divBdr>
        </w:div>
        <w:div w:id="264578481">
          <w:marLeft w:val="0"/>
          <w:marRight w:val="0"/>
          <w:marTop w:val="0"/>
          <w:marBottom w:val="0"/>
          <w:divBdr>
            <w:top w:val="none" w:sz="0" w:space="0" w:color="auto"/>
            <w:left w:val="none" w:sz="0" w:space="0" w:color="auto"/>
            <w:bottom w:val="none" w:sz="0" w:space="0" w:color="auto"/>
            <w:right w:val="none" w:sz="0" w:space="0" w:color="auto"/>
          </w:divBdr>
        </w:div>
        <w:div w:id="318733082">
          <w:marLeft w:val="0"/>
          <w:marRight w:val="0"/>
          <w:marTop w:val="0"/>
          <w:marBottom w:val="0"/>
          <w:divBdr>
            <w:top w:val="none" w:sz="0" w:space="0" w:color="auto"/>
            <w:left w:val="none" w:sz="0" w:space="0" w:color="auto"/>
            <w:bottom w:val="none" w:sz="0" w:space="0" w:color="auto"/>
            <w:right w:val="none" w:sz="0" w:space="0" w:color="auto"/>
          </w:divBdr>
        </w:div>
        <w:div w:id="325328987">
          <w:marLeft w:val="0"/>
          <w:marRight w:val="0"/>
          <w:marTop w:val="0"/>
          <w:marBottom w:val="0"/>
          <w:divBdr>
            <w:top w:val="none" w:sz="0" w:space="0" w:color="auto"/>
            <w:left w:val="none" w:sz="0" w:space="0" w:color="auto"/>
            <w:bottom w:val="none" w:sz="0" w:space="0" w:color="auto"/>
            <w:right w:val="none" w:sz="0" w:space="0" w:color="auto"/>
          </w:divBdr>
        </w:div>
        <w:div w:id="450824317">
          <w:marLeft w:val="0"/>
          <w:marRight w:val="0"/>
          <w:marTop w:val="0"/>
          <w:marBottom w:val="0"/>
          <w:divBdr>
            <w:top w:val="none" w:sz="0" w:space="0" w:color="auto"/>
            <w:left w:val="none" w:sz="0" w:space="0" w:color="auto"/>
            <w:bottom w:val="none" w:sz="0" w:space="0" w:color="auto"/>
            <w:right w:val="none" w:sz="0" w:space="0" w:color="auto"/>
          </w:divBdr>
        </w:div>
        <w:div w:id="511382979">
          <w:marLeft w:val="0"/>
          <w:marRight w:val="0"/>
          <w:marTop w:val="0"/>
          <w:marBottom w:val="0"/>
          <w:divBdr>
            <w:top w:val="none" w:sz="0" w:space="0" w:color="auto"/>
            <w:left w:val="none" w:sz="0" w:space="0" w:color="auto"/>
            <w:bottom w:val="none" w:sz="0" w:space="0" w:color="auto"/>
            <w:right w:val="none" w:sz="0" w:space="0" w:color="auto"/>
          </w:divBdr>
        </w:div>
        <w:div w:id="568735011">
          <w:marLeft w:val="0"/>
          <w:marRight w:val="0"/>
          <w:marTop w:val="0"/>
          <w:marBottom w:val="0"/>
          <w:divBdr>
            <w:top w:val="none" w:sz="0" w:space="0" w:color="auto"/>
            <w:left w:val="none" w:sz="0" w:space="0" w:color="auto"/>
            <w:bottom w:val="none" w:sz="0" w:space="0" w:color="auto"/>
            <w:right w:val="none" w:sz="0" w:space="0" w:color="auto"/>
          </w:divBdr>
        </w:div>
        <w:div w:id="617222839">
          <w:marLeft w:val="0"/>
          <w:marRight w:val="0"/>
          <w:marTop w:val="0"/>
          <w:marBottom w:val="0"/>
          <w:divBdr>
            <w:top w:val="none" w:sz="0" w:space="0" w:color="auto"/>
            <w:left w:val="none" w:sz="0" w:space="0" w:color="auto"/>
            <w:bottom w:val="none" w:sz="0" w:space="0" w:color="auto"/>
            <w:right w:val="none" w:sz="0" w:space="0" w:color="auto"/>
          </w:divBdr>
        </w:div>
        <w:div w:id="624581299">
          <w:marLeft w:val="0"/>
          <w:marRight w:val="0"/>
          <w:marTop w:val="0"/>
          <w:marBottom w:val="0"/>
          <w:divBdr>
            <w:top w:val="none" w:sz="0" w:space="0" w:color="auto"/>
            <w:left w:val="none" w:sz="0" w:space="0" w:color="auto"/>
            <w:bottom w:val="none" w:sz="0" w:space="0" w:color="auto"/>
            <w:right w:val="none" w:sz="0" w:space="0" w:color="auto"/>
          </w:divBdr>
        </w:div>
        <w:div w:id="647823480">
          <w:marLeft w:val="0"/>
          <w:marRight w:val="0"/>
          <w:marTop w:val="0"/>
          <w:marBottom w:val="0"/>
          <w:divBdr>
            <w:top w:val="none" w:sz="0" w:space="0" w:color="auto"/>
            <w:left w:val="none" w:sz="0" w:space="0" w:color="auto"/>
            <w:bottom w:val="none" w:sz="0" w:space="0" w:color="auto"/>
            <w:right w:val="none" w:sz="0" w:space="0" w:color="auto"/>
          </w:divBdr>
        </w:div>
        <w:div w:id="650983403">
          <w:marLeft w:val="0"/>
          <w:marRight w:val="0"/>
          <w:marTop w:val="0"/>
          <w:marBottom w:val="0"/>
          <w:divBdr>
            <w:top w:val="none" w:sz="0" w:space="0" w:color="auto"/>
            <w:left w:val="none" w:sz="0" w:space="0" w:color="auto"/>
            <w:bottom w:val="none" w:sz="0" w:space="0" w:color="auto"/>
            <w:right w:val="none" w:sz="0" w:space="0" w:color="auto"/>
          </w:divBdr>
        </w:div>
        <w:div w:id="673725138">
          <w:marLeft w:val="0"/>
          <w:marRight w:val="0"/>
          <w:marTop w:val="0"/>
          <w:marBottom w:val="0"/>
          <w:divBdr>
            <w:top w:val="none" w:sz="0" w:space="0" w:color="auto"/>
            <w:left w:val="none" w:sz="0" w:space="0" w:color="auto"/>
            <w:bottom w:val="none" w:sz="0" w:space="0" w:color="auto"/>
            <w:right w:val="none" w:sz="0" w:space="0" w:color="auto"/>
          </w:divBdr>
        </w:div>
        <w:div w:id="947784118">
          <w:marLeft w:val="0"/>
          <w:marRight w:val="0"/>
          <w:marTop w:val="0"/>
          <w:marBottom w:val="0"/>
          <w:divBdr>
            <w:top w:val="none" w:sz="0" w:space="0" w:color="auto"/>
            <w:left w:val="none" w:sz="0" w:space="0" w:color="auto"/>
            <w:bottom w:val="none" w:sz="0" w:space="0" w:color="auto"/>
            <w:right w:val="none" w:sz="0" w:space="0" w:color="auto"/>
          </w:divBdr>
        </w:div>
        <w:div w:id="952441556">
          <w:marLeft w:val="0"/>
          <w:marRight w:val="0"/>
          <w:marTop w:val="0"/>
          <w:marBottom w:val="0"/>
          <w:divBdr>
            <w:top w:val="none" w:sz="0" w:space="0" w:color="auto"/>
            <w:left w:val="none" w:sz="0" w:space="0" w:color="auto"/>
            <w:bottom w:val="none" w:sz="0" w:space="0" w:color="auto"/>
            <w:right w:val="none" w:sz="0" w:space="0" w:color="auto"/>
          </w:divBdr>
        </w:div>
        <w:div w:id="1010066976">
          <w:marLeft w:val="0"/>
          <w:marRight w:val="0"/>
          <w:marTop w:val="0"/>
          <w:marBottom w:val="0"/>
          <w:divBdr>
            <w:top w:val="none" w:sz="0" w:space="0" w:color="auto"/>
            <w:left w:val="none" w:sz="0" w:space="0" w:color="auto"/>
            <w:bottom w:val="none" w:sz="0" w:space="0" w:color="auto"/>
            <w:right w:val="none" w:sz="0" w:space="0" w:color="auto"/>
          </w:divBdr>
        </w:div>
        <w:div w:id="1096369800">
          <w:marLeft w:val="0"/>
          <w:marRight w:val="0"/>
          <w:marTop w:val="0"/>
          <w:marBottom w:val="0"/>
          <w:divBdr>
            <w:top w:val="none" w:sz="0" w:space="0" w:color="auto"/>
            <w:left w:val="none" w:sz="0" w:space="0" w:color="auto"/>
            <w:bottom w:val="none" w:sz="0" w:space="0" w:color="auto"/>
            <w:right w:val="none" w:sz="0" w:space="0" w:color="auto"/>
          </w:divBdr>
        </w:div>
        <w:div w:id="1214654273">
          <w:marLeft w:val="0"/>
          <w:marRight w:val="0"/>
          <w:marTop w:val="0"/>
          <w:marBottom w:val="0"/>
          <w:divBdr>
            <w:top w:val="none" w:sz="0" w:space="0" w:color="auto"/>
            <w:left w:val="none" w:sz="0" w:space="0" w:color="auto"/>
            <w:bottom w:val="none" w:sz="0" w:space="0" w:color="auto"/>
            <w:right w:val="none" w:sz="0" w:space="0" w:color="auto"/>
          </w:divBdr>
        </w:div>
        <w:div w:id="1418399673">
          <w:marLeft w:val="0"/>
          <w:marRight w:val="0"/>
          <w:marTop w:val="0"/>
          <w:marBottom w:val="0"/>
          <w:divBdr>
            <w:top w:val="none" w:sz="0" w:space="0" w:color="auto"/>
            <w:left w:val="none" w:sz="0" w:space="0" w:color="auto"/>
            <w:bottom w:val="none" w:sz="0" w:space="0" w:color="auto"/>
            <w:right w:val="none" w:sz="0" w:space="0" w:color="auto"/>
          </w:divBdr>
        </w:div>
        <w:div w:id="1479835114">
          <w:marLeft w:val="0"/>
          <w:marRight w:val="0"/>
          <w:marTop w:val="0"/>
          <w:marBottom w:val="0"/>
          <w:divBdr>
            <w:top w:val="none" w:sz="0" w:space="0" w:color="auto"/>
            <w:left w:val="none" w:sz="0" w:space="0" w:color="auto"/>
            <w:bottom w:val="none" w:sz="0" w:space="0" w:color="auto"/>
            <w:right w:val="none" w:sz="0" w:space="0" w:color="auto"/>
          </w:divBdr>
        </w:div>
        <w:div w:id="1639646224">
          <w:marLeft w:val="0"/>
          <w:marRight w:val="0"/>
          <w:marTop w:val="0"/>
          <w:marBottom w:val="0"/>
          <w:divBdr>
            <w:top w:val="none" w:sz="0" w:space="0" w:color="auto"/>
            <w:left w:val="none" w:sz="0" w:space="0" w:color="auto"/>
            <w:bottom w:val="none" w:sz="0" w:space="0" w:color="auto"/>
            <w:right w:val="none" w:sz="0" w:space="0" w:color="auto"/>
          </w:divBdr>
        </w:div>
        <w:div w:id="1659919925">
          <w:marLeft w:val="0"/>
          <w:marRight w:val="0"/>
          <w:marTop w:val="0"/>
          <w:marBottom w:val="0"/>
          <w:divBdr>
            <w:top w:val="none" w:sz="0" w:space="0" w:color="auto"/>
            <w:left w:val="none" w:sz="0" w:space="0" w:color="auto"/>
            <w:bottom w:val="none" w:sz="0" w:space="0" w:color="auto"/>
            <w:right w:val="none" w:sz="0" w:space="0" w:color="auto"/>
          </w:divBdr>
        </w:div>
        <w:div w:id="1817138158">
          <w:marLeft w:val="0"/>
          <w:marRight w:val="0"/>
          <w:marTop w:val="0"/>
          <w:marBottom w:val="0"/>
          <w:divBdr>
            <w:top w:val="none" w:sz="0" w:space="0" w:color="auto"/>
            <w:left w:val="none" w:sz="0" w:space="0" w:color="auto"/>
            <w:bottom w:val="none" w:sz="0" w:space="0" w:color="auto"/>
            <w:right w:val="none" w:sz="0" w:space="0" w:color="auto"/>
          </w:divBdr>
        </w:div>
        <w:div w:id="1855726922">
          <w:marLeft w:val="0"/>
          <w:marRight w:val="0"/>
          <w:marTop w:val="0"/>
          <w:marBottom w:val="0"/>
          <w:divBdr>
            <w:top w:val="none" w:sz="0" w:space="0" w:color="auto"/>
            <w:left w:val="none" w:sz="0" w:space="0" w:color="auto"/>
            <w:bottom w:val="none" w:sz="0" w:space="0" w:color="auto"/>
            <w:right w:val="none" w:sz="0" w:space="0" w:color="auto"/>
          </w:divBdr>
        </w:div>
        <w:div w:id="1856380649">
          <w:marLeft w:val="0"/>
          <w:marRight w:val="0"/>
          <w:marTop w:val="0"/>
          <w:marBottom w:val="0"/>
          <w:divBdr>
            <w:top w:val="none" w:sz="0" w:space="0" w:color="auto"/>
            <w:left w:val="none" w:sz="0" w:space="0" w:color="auto"/>
            <w:bottom w:val="none" w:sz="0" w:space="0" w:color="auto"/>
            <w:right w:val="none" w:sz="0" w:space="0" w:color="auto"/>
          </w:divBdr>
        </w:div>
        <w:div w:id="1961452814">
          <w:marLeft w:val="0"/>
          <w:marRight w:val="0"/>
          <w:marTop w:val="0"/>
          <w:marBottom w:val="0"/>
          <w:divBdr>
            <w:top w:val="none" w:sz="0" w:space="0" w:color="auto"/>
            <w:left w:val="none" w:sz="0" w:space="0" w:color="auto"/>
            <w:bottom w:val="none" w:sz="0" w:space="0" w:color="auto"/>
            <w:right w:val="none" w:sz="0" w:space="0" w:color="auto"/>
          </w:divBdr>
        </w:div>
        <w:div w:id="1978073661">
          <w:marLeft w:val="0"/>
          <w:marRight w:val="0"/>
          <w:marTop w:val="0"/>
          <w:marBottom w:val="0"/>
          <w:divBdr>
            <w:top w:val="none" w:sz="0" w:space="0" w:color="auto"/>
            <w:left w:val="none" w:sz="0" w:space="0" w:color="auto"/>
            <w:bottom w:val="none" w:sz="0" w:space="0" w:color="auto"/>
            <w:right w:val="none" w:sz="0" w:space="0" w:color="auto"/>
          </w:divBdr>
        </w:div>
        <w:div w:id="1981377080">
          <w:marLeft w:val="0"/>
          <w:marRight w:val="0"/>
          <w:marTop w:val="0"/>
          <w:marBottom w:val="0"/>
          <w:divBdr>
            <w:top w:val="none" w:sz="0" w:space="0" w:color="auto"/>
            <w:left w:val="none" w:sz="0" w:space="0" w:color="auto"/>
            <w:bottom w:val="none" w:sz="0" w:space="0" w:color="auto"/>
            <w:right w:val="none" w:sz="0" w:space="0" w:color="auto"/>
          </w:divBdr>
        </w:div>
        <w:div w:id="2032536566">
          <w:marLeft w:val="0"/>
          <w:marRight w:val="0"/>
          <w:marTop w:val="0"/>
          <w:marBottom w:val="0"/>
          <w:divBdr>
            <w:top w:val="none" w:sz="0" w:space="0" w:color="auto"/>
            <w:left w:val="none" w:sz="0" w:space="0" w:color="auto"/>
            <w:bottom w:val="none" w:sz="0" w:space="0" w:color="auto"/>
            <w:right w:val="none" w:sz="0" w:space="0" w:color="auto"/>
          </w:divBdr>
        </w:div>
        <w:div w:id="2087720681">
          <w:marLeft w:val="0"/>
          <w:marRight w:val="0"/>
          <w:marTop w:val="0"/>
          <w:marBottom w:val="0"/>
          <w:divBdr>
            <w:top w:val="none" w:sz="0" w:space="0" w:color="auto"/>
            <w:left w:val="none" w:sz="0" w:space="0" w:color="auto"/>
            <w:bottom w:val="none" w:sz="0" w:space="0" w:color="auto"/>
            <w:right w:val="none" w:sz="0" w:space="0" w:color="auto"/>
          </w:divBdr>
        </w:div>
        <w:div w:id="2109963887">
          <w:marLeft w:val="0"/>
          <w:marRight w:val="0"/>
          <w:marTop w:val="0"/>
          <w:marBottom w:val="0"/>
          <w:divBdr>
            <w:top w:val="none" w:sz="0" w:space="0" w:color="auto"/>
            <w:left w:val="none" w:sz="0" w:space="0" w:color="auto"/>
            <w:bottom w:val="none" w:sz="0" w:space="0" w:color="auto"/>
            <w:right w:val="none" w:sz="0" w:space="0" w:color="auto"/>
          </w:divBdr>
        </w:div>
      </w:divsChild>
    </w:div>
    <w:div w:id="1670252981">
      <w:bodyDiv w:val="1"/>
      <w:marLeft w:val="0"/>
      <w:marRight w:val="0"/>
      <w:marTop w:val="0"/>
      <w:marBottom w:val="0"/>
      <w:divBdr>
        <w:top w:val="none" w:sz="0" w:space="0" w:color="auto"/>
        <w:left w:val="none" w:sz="0" w:space="0" w:color="auto"/>
        <w:bottom w:val="none" w:sz="0" w:space="0" w:color="auto"/>
        <w:right w:val="none" w:sz="0" w:space="0" w:color="auto"/>
      </w:divBdr>
    </w:div>
    <w:div w:id="1676228965">
      <w:bodyDiv w:val="1"/>
      <w:marLeft w:val="0"/>
      <w:marRight w:val="0"/>
      <w:marTop w:val="0"/>
      <w:marBottom w:val="0"/>
      <w:divBdr>
        <w:top w:val="none" w:sz="0" w:space="0" w:color="auto"/>
        <w:left w:val="none" w:sz="0" w:space="0" w:color="auto"/>
        <w:bottom w:val="none" w:sz="0" w:space="0" w:color="auto"/>
        <w:right w:val="none" w:sz="0" w:space="0" w:color="auto"/>
      </w:divBdr>
    </w:div>
    <w:div w:id="1699314029">
      <w:bodyDiv w:val="1"/>
      <w:marLeft w:val="0"/>
      <w:marRight w:val="0"/>
      <w:marTop w:val="0"/>
      <w:marBottom w:val="0"/>
      <w:divBdr>
        <w:top w:val="none" w:sz="0" w:space="0" w:color="auto"/>
        <w:left w:val="none" w:sz="0" w:space="0" w:color="auto"/>
        <w:bottom w:val="none" w:sz="0" w:space="0" w:color="auto"/>
        <w:right w:val="none" w:sz="0" w:space="0" w:color="auto"/>
      </w:divBdr>
    </w:div>
    <w:div w:id="1701316115">
      <w:bodyDiv w:val="1"/>
      <w:marLeft w:val="0"/>
      <w:marRight w:val="0"/>
      <w:marTop w:val="0"/>
      <w:marBottom w:val="0"/>
      <w:divBdr>
        <w:top w:val="none" w:sz="0" w:space="0" w:color="auto"/>
        <w:left w:val="none" w:sz="0" w:space="0" w:color="auto"/>
        <w:bottom w:val="none" w:sz="0" w:space="0" w:color="auto"/>
        <w:right w:val="none" w:sz="0" w:space="0" w:color="auto"/>
      </w:divBdr>
    </w:div>
    <w:div w:id="1738477926">
      <w:bodyDiv w:val="1"/>
      <w:marLeft w:val="0"/>
      <w:marRight w:val="0"/>
      <w:marTop w:val="0"/>
      <w:marBottom w:val="0"/>
      <w:divBdr>
        <w:top w:val="none" w:sz="0" w:space="0" w:color="auto"/>
        <w:left w:val="none" w:sz="0" w:space="0" w:color="auto"/>
        <w:bottom w:val="none" w:sz="0" w:space="0" w:color="auto"/>
        <w:right w:val="none" w:sz="0" w:space="0" w:color="auto"/>
      </w:divBdr>
    </w:div>
    <w:div w:id="1766417175">
      <w:bodyDiv w:val="1"/>
      <w:marLeft w:val="0"/>
      <w:marRight w:val="0"/>
      <w:marTop w:val="0"/>
      <w:marBottom w:val="0"/>
      <w:divBdr>
        <w:top w:val="none" w:sz="0" w:space="0" w:color="auto"/>
        <w:left w:val="none" w:sz="0" w:space="0" w:color="auto"/>
        <w:bottom w:val="none" w:sz="0" w:space="0" w:color="auto"/>
        <w:right w:val="none" w:sz="0" w:space="0" w:color="auto"/>
      </w:divBdr>
    </w:div>
    <w:div w:id="1814979921">
      <w:bodyDiv w:val="1"/>
      <w:marLeft w:val="0"/>
      <w:marRight w:val="0"/>
      <w:marTop w:val="0"/>
      <w:marBottom w:val="0"/>
      <w:divBdr>
        <w:top w:val="none" w:sz="0" w:space="0" w:color="auto"/>
        <w:left w:val="none" w:sz="0" w:space="0" w:color="auto"/>
        <w:bottom w:val="none" w:sz="0" w:space="0" w:color="auto"/>
        <w:right w:val="none" w:sz="0" w:space="0" w:color="auto"/>
      </w:divBdr>
    </w:div>
    <w:div w:id="1832090292">
      <w:bodyDiv w:val="1"/>
      <w:marLeft w:val="0"/>
      <w:marRight w:val="0"/>
      <w:marTop w:val="0"/>
      <w:marBottom w:val="0"/>
      <w:divBdr>
        <w:top w:val="none" w:sz="0" w:space="0" w:color="auto"/>
        <w:left w:val="none" w:sz="0" w:space="0" w:color="auto"/>
        <w:bottom w:val="none" w:sz="0" w:space="0" w:color="auto"/>
        <w:right w:val="none" w:sz="0" w:space="0" w:color="auto"/>
      </w:divBdr>
    </w:div>
    <w:div w:id="1985894439">
      <w:bodyDiv w:val="1"/>
      <w:marLeft w:val="0"/>
      <w:marRight w:val="0"/>
      <w:marTop w:val="0"/>
      <w:marBottom w:val="0"/>
      <w:divBdr>
        <w:top w:val="none" w:sz="0" w:space="0" w:color="auto"/>
        <w:left w:val="none" w:sz="0" w:space="0" w:color="auto"/>
        <w:bottom w:val="none" w:sz="0" w:space="0" w:color="auto"/>
        <w:right w:val="none" w:sz="0" w:space="0" w:color="auto"/>
      </w:divBdr>
    </w:div>
    <w:div w:id="2004234693">
      <w:bodyDiv w:val="1"/>
      <w:marLeft w:val="0"/>
      <w:marRight w:val="0"/>
      <w:marTop w:val="0"/>
      <w:marBottom w:val="0"/>
      <w:divBdr>
        <w:top w:val="none" w:sz="0" w:space="0" w:color="auto"/>
        <w:left w:val="none" w:sz="0" w:space="0" w:color="auto"/>
        <w:bottom w:val="none" w:sz="0" w:space="0" w:color="auto"/>
        <w:right w:val="none" w:sz="0" w:space="0" w:color="auto"/>
      </w:divBdr>
    </w:div>
    <w:div w:id="2025085833">
      <w:bodyDiv w:val="1"/>
      <w:marLeft w:val="0"/>
      <w:marRight w:val="0"/>
      <w:marTop w:val="0"/>
      <w:marBottom w:val="0"/>
      <w:divBdr>
        <w:top w:val="none" w:sz="0" w:space="0" w:color="auto"/>
        <w:left w:val="none" w:sz="0" w:space="0" w:color="auto"/>
        <w:bottom w:val="none" w:sz="0" w:space="0" w:color="auto"/>
        <w:right w:val="none" w:sz="0" w:space="0" w:color="auto"/>
      </w:divBdr>
      <w:divsChild>
        <w:div w:id="1437554427">
          <w:marLeft w:val="0"/>
          <w:marRight w:val="0"/>
          <w:marTop w:val="0"/>
          <w:marBottom w:val="0"/>
          <w:divBdr>
            <w:top w:val="none" w:sz="0" w:space="0" w:color="auto"/>
            <w:left w:val="none" w:sz="0" w:space="0" w:color="auto"/>
            <w:bottom w:val="none" w:sz="0" w:space="0" w:color="auto"/>
            <w:right w:val="none" w:sz="0" w:space="0" w:color="auto"/>
          </w:divBdr>
        </w:div>
      </w:divsChild>
    </w:div>
    <w:div w:id="2059041912">
      <w:bodyDiv w:val="1"/>
      <w:marLeft w:val="0"/>
      <w:marRight w:val="0"/>
      <w:marTop w:val="0"/>
      <w:marBottom w:val="0"/>
      <w:divBdr>
        <w:top w:val="none" w:sz="0" w:space="0" w:color="auto"/>
        <w:left w:val="none" w:sz="0" w:space="0" w:color="auto"/>
        <w:bottom w:val="none" w:sz="0" w:space="0" w:color="auto"/>
        <w:right w:val="none" w:sz="0" w:space="0" w:color="auto"/>
      </w:divBdr>
    </w:div>
    <w:div w:id="2068527559">
      <w:bodyDiv w:val="1"/>
      <w:marLeft w:val="0"/>
      <w:marRight w:val="0"/>
      <w:marTop w:val="0"/>
      <w:marBottom w:val="0"/>
      <w:divBdr>
        <w:top w:val="none" w:sz="0" w:space="0" w:color="auto"/>
        <w:left w:val="none" w:sz="0" w:space="0" w:color="auto"/>
        <w:bottom w:val="none" w:sz="0" w:space="0" w:color="auto"/>
        <w:right w:val="none" w:sz="0" w:space="0" w:color="auto"/>
      </w:divBdr>
    </w:div>
    <w:div w:id="2102409485">
      <w:bodyDiv w:val="1"/>
      <w:marLeft w:val="0"/>
      <w:marRight w:val="0"/>
      <w:marTop w:val="0"/>
      <w:marBottom w:val="0"/>
      <w:divBdr>
        <w:top w:val="none" w:sz="0" w:space="0" w:color="auto"/>
        <w:left w:val="none" w:sz="0" w:space="0" w:color="auto"/>
        <w:bottom w:val="none" w:sz="0" w:space="0" w:color="auto"/>
        <w:right w:val="none" w:sz="0" w:space="0" w:color="auto"/>
      </w:divBdr>
    </w:div>
    <w:div w:id="2114007675">
      <w:bodyDiv w:val="1"/>
      <w:marLeft w:val="0"/>
      <w:marRight w:val="0"/>
      <w:marTop w:val="0"/>
      <w:marBottom w:val="0"/>
      <w:divBdr>
        <w:top w:val="none" w:sz="0" w:space="0" w:color="auto"/>
        <w:left w:val="none" w:sz="0" w:space="0" w:color="auto"/>
        <w:bottom w:val="none" w:sz="0" w:space="0" w:color="auto"/>
        <w:right w:val="none" w:sz="0" w:space="0" w:color="auto"/>
      </w:divBdr>
      <w:divsChild>
        <w:div w:id="1045910976">
          <w:marLeft w:val="0"/>
          <w:marRight w:val="0"/>
          <w:marTop w:val="0"/>
          <w:marBottom w:val="0"/>
          <w:divBdr>
            <w:top w:val="none" w:sz="0" w:space="0" w:color="auto"/>
            <w:left w:val="none" w:sz="0" w:space="0" w:color="auto"/>
            <w:bottom w:val="none" w:sz="0" w:space="0" w:color="auto"/>
            <w:right w:val="none" w:sz="0" w:space="0" w:color="auto"/>
          </w:divBdr>
        </w:div>
        <w:div w:id="1357195143">
          <w:marLeft w:val="0"/>
          <w:marRight w:val="0"/>
          <w:marTop w:val="0"/>
          <w:marBottom w:val="0"/>
          <w:divBdr>
            <w:top w:val="none" w:sz="0" w:space="0" w:color="auto"/>
            <w:left w:val="none" w:sz="0" w:space="0" w:color="auto"/>
            <w:bottom w:val="none" w:sz="0" w:space="0" w:color="auto"/>
            <w:right w:val="none" w:sz="0" w:space="0" w:color="auto"/>
          </w:divBdr>
        </w:div>
      </w:divsChild>
    </w:div>
    <w:div w:id="21302774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lrp.gov.lv/?sadala=125"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lrp.gov.lv/" TargetMode="External"/><Relationship Id="rId5" Type="http://schemas.openxmlformats.org/officeDocument/2006/relationships/webSettings" Target="webSettings.xml"/><Relationship Id="rId15" Type="http://schemas.openxmlformats.org/officeDocument/2006/relationships/header" Target="header2.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footer" Target="footer1.xml"/></Relationships>
</file>

<file path=word/_rels/footnotes.xml.rels><?xml version="1.0" encoding="UTF-8" standalone="yes"?>
<Relationships xmlns="http://schemas.openxmlformats.org/package/2006/relationships"><Relationship Id="rId8" Type="http://schemas.openxmlformats.org/officeDocument/2006/relationships/hyperlink" Target="http://www.uradni-list.si/1/objava.jsp?sop=2012-01-1700" TargetMode="External"/><Relationship Id="rId13" Type="http://schemas.openxmlformats.org/officeDocument/2006/relationships/hyperlink" Target="http://www.uradni-list.si/1/objava.jsp?sop=2015-01-3254" TargetMode="External"/><Relationship Id="rId18" Type="http://schemas.openxmlformats.org/officeDocument/2006/relationships/hyperlink" Target="http://www.uradni-list.si/1/objava.jsp?sop=2013-21-2826" TargetMode="External"/><Relationship Id="rId26" Type="http://schemas.openxmlformats.org/officeDocument/2006/relationships/hyperlink" Target="http://www.uradni-list.si/1/objava.jsp?sop=2012-01-3776" TargetMode="External"/><Relationship Id="rId3" Type="http://schemas.openxmlformats.org/officeDocument/2006/relationships/hyperlink" Target="http://www.uradni-list.si/1/objava.jsp?sop=2010-01-3273" TargetMode="External"/><Relationship Id="rId21" Type="http://schemas.openxmlformats.org/officeDocument/2006/relationships/hyperlink" Target="http://www.uradni-list.si/1/objava.jsp?sop=2016-01-2296" TargetMode="External"/><Relationship Id="rId7" Type="http://schemas.openxmlformats.org/officeDocument/2006/relationships/hyperlink" Target="http://www.uradni-list.si/1/objava.jsp?sop=2012-01-1121" TargetMode="External"/><Relationship Id="rId12" Type="http://schemas.openxmlformats.org/officeDocument/2006/relationships/hyperlink" Target="http://www.uradni-list.si/1/objava.jsp?sop=2014-01-3949" TargetMode="External"/><Relationship Id="rId17" Type="http://schemas.openxmlformats.org/officeDocument/2006/relationships/hyperlink" Target="http://www.uradni-list.si/1/objava.jsp?sop=2013-01-0784" TargetMode="External"/><Relationship Id="rId25" Type="http://schemas.openxmlformats.org/officeDocument/2006/relationships/hyperlink" Target="http://www.uradni-list.si/1/objava.jsp?sop=2012-01-1732" TargetMode="External"/><Relationship Id="rId2" Type="http://schemas.openxmlformats.org/officeDocument/2006/relationships/hyperlink" Target="http://www.uradni-list.si/1/objava.jsp?sop=2010-01-0520" TargetMode="External"/><Relationship Id="rId16" Type="http://schemas.openxmlformats.org/officeDocument/2006/relationships/hyperlink" Target="http://www.uradni-list.si/1/objava.jsp?sop=2018-01-4122" TargetMode="External"/><Relationship Id="rId20" Type="http://schemas.openxmlformats.org/officeDocument/2006/relationships/hyperlink" Target="http://www.uradni-list.si/1/objava.jsp?sop=2016-01-1428" TargetMode="External"/><Relationship Id="rId1" Type="http://schemas.openxmlformats.org/officeDocument/2006/relationships/hyperlink" Target="http://www.uradni-list.si/1/objava.jsp?sop=2009-01-4891" TargetMode="External"/><Relationship Id="rId6" Type="http://schemas.openxmlformats.org/officeDocument/2006/relationships/hyperlink" Target="http://www.uradni-list.si/1/objava.jsp?sop=2011-01-1743" TargetMode="External"/><Relationship Id="rId11" Type="http://schemas.openxmlformats.org/officeDocument/2006/relationships/hyperlink" Target="http://www.uradni-list.si/1/objava.jsp?sop=2014-01-2074" TargetMode="External"/><Relationship Id="rId24" Type="http://schemas.openxmlformats.org/officeDocument/2006/relationships/hyperlink" Target="http://www.uradni-list.si/1/objava.jsp?sop=2019-01-3722" TargetMode="External"/><Relationship Id="rId5" Type="http://schemas.openxmlformats.org/officeDocument/2006/relationships/hyperlink" Target="http://www.uradni-list.si/1/objava.jsp?sop=2010-01-5583" TargetMode="External"/><Relationship Id="rId15" Type="http://schemas.openxmlformats.org/officeDocument/2006/relationships/hyperlink" Target="http://www.uradni-list.si/1/objava.jsp?sop=2017-01-3165" TargetMode="External"/><Relationship Id="rId23" Type="http://schemas.openxmlformats.org/officeDocument/2006/relationships/hyperlink" Target="http://www.uradni-list.si/1/objava.jsp?sop=2019-01-0914" TargetMode="External"/><Relationship Id="rId28" Type="http://schemas.openxmlformats.org/officeDocument/2006/relationships/hyperlink" Target="https://www.dt-rs.si/files/documents/PP.pdf" TargetMode="External"/><Relationship Id="rId10" Type="http://schemas.openxmlformats.org/officeDocument/2006/relationships/hyperlink" Target="http://www.uradni-list.si/1/objava.jsp?sop=2014-01-0961" TargetMode="External"/><Relationship Id="rId19" Type="http://schemas.openxmlformats.org/officeDocument/2006/relationships/hyperlink" Target="http://www.uradni-list.si/1/objava.jsp?sop=2015-01-1930" TargetMode="External"/><Relationship Id="rId4" Type="http://schemas.openxmlformats.org/officeDocument/2006/relationships/hyperlink" Target="http://www.uradni-list.si/1/objava.jsp?sop=2010-01-4554" TargetMode="External"/><Relationship Id="rId9" Type="http://schemas.openxmlformats.org/officeDocument/2006/relationships/hyperlink" Target="http://www.uradni-list.si/1/objava.jsp?sop=2013-01-1753" TargetMode="External"/><Relationship Id="rId14" Type="http://schemas.openxmlformats.org/officeDocument/2006/relationships/hyperlink" Target="http://www.uradni-list.si/1/objava.jsp?sop=2017-01-1206" TargetMode="External"/><Relationship Id="rId22" Type="http://schemas.openxmlformats.org/officeDocument/2006/relationships/hyperlink" Target="http://www.uradni-list.si/1/objava.jsp?sop=2017-01-0741" TargetMode="External"/><Relationship Id="rId27" Type="http://schemas.openxmlformats.org/officeDocument/2006/relationships/hyperlink" Target="http://www.uradni-list.si/1/objava.jsp?sop=2014-01-0961"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178C2C0C-6C22-4DD8-AB07-DA72FA2698E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73</Pages>
  <Words>30161</Words>
  <Characters>171919</Characters>
  <Application>Microsoft Office Word</Application>
  <DocSecurity>0</DocSecurity>
  <Lines>1432</Lines>
  <Paragraphs>403</Paragraphs>
  <ScaleCrop>false</ScaleCrop>
  <HeadingPairs>
    <vt:vector size="2" baseType="variant">
      <vt:variant>
        <vt:lpstr>Naslov</vt:lpstr>
      </vt:variant>
      <vt:variant>
        <vt:i4>1</vt:i4>
      </vt:variant>
    </vt:vector>
  </HeadingPairs>
  <TitlesOfParts>
    <vt:vector size="1" baseType="lpstr">
      <vt:lpstr>Številka:</vt:lpstr>
    </vt:vector>
  </TitlesOfParts>
  <Company>Indea d.o.o.</Company>
  <LinksUpToDate>false</LinksUpToDate>
  <CharactersWithSpaces>201677</CharactersWithSpaces>
  <SharedDoc>false</SharedDoc>
  <HLinks>
    <vt:vector size="204" baseType="variant">
      <vt:variant>
        <vt:i4>1114196</vt:i4>
      </vt:variant>
      <vt:variant>
        <vt:i4>6</vt:i4>
      </vt:variant>
      <vt:variant>
        <vt:i4>0</vt:i4>
      </vt:variant>
      <vt:variant>
        <vt:i4>5</vt:i4>
      </vt:variant>
      <vt:variant>
        <vt:lpwstr>http://www.lrp.gov.lv/?sadala=125</vt:lpwstr>
      </vt:variant>
      <vt:variant>
        <vt:lpwstr/>
      </vt:variant>
      <vt:variant>
        <vt:i4>6619195</vt:i4>
      </vt:variant>
      <vt:variant>
        <vt:i4>3</vt:i4>
      </vt:variant>
      <vt:variant>
        <vt:i4>0</vt:i4>
      </vt:variant>
      <vt:variant>
        <vt:i4>5</vt:i4>
      </vt:variant>
      <vt:variant>
        <vt:lpwstr>http://www.lrp.gov.lv/</vt:lpwstr>
      </vt:variant>
      <vt:variant>
        <vt:lpwstr/>
      </vt:variant>
      <vt:variant>
        <vt:i4>3801180</vt:i4>
      </vt:variant>
      <vt:variant>
        <vt:i4>0</vt:i4>
      </vt:variant>
      <vt:variant>
        <vt:i4>0</vt:i4>
      </vt:variant>
      <vt:variant>
        <vt:i4>5</vt:i4>
      </vt:variant>
      <vt:variant>
        <vt:lpwstr>mailto:Gp.gs@gov.si</vt:lpwstr>
      </vt:variant>
      <vt:variant>
        <vt:lpwstr/>
      </vt:variant>
      <vt:variant>
        <vt:i4>2752560</vt:i4>
      </vt:variant>
      <vt:variant>
        <vt:i4>87</vt:i4>
      </vt:variant>
      <vt:variant>
        <vt:i4>0</vt:i4>
      </vt:variant>
      <vt:variant>
        <vt:i4>5</vt:i4>
      </vt:variant>
      <vt:variant>
        <vt:lpwstr>https://www.dt-rs.si/novica/vrhovno-drzavno-tozilstvo-je-izdalo-skupno-letno-porocilo-za-leto-2019</vt:lpwstr>
      </vt:variant>
      <vt:variant>
        <vt:lpwstr/>
      </vt:variant>
      <vt:variant>
        <vt:i4>3997729</vt:i4>
      </vt:variant>
      <vt:variant>
        <vt:i4>84</vt:i4>
      </vt:variant>
      <vt:variant>
        <vt:i4>0</vt:i4>
      </vt:variant>
      <vt:variant>
        <vt:i4>5</vt:i4>
      </vt:variant>
      <vt:variant>
        <vt:lpwstr>https://www.dt-rs.si/files/documents/PP.pdf</vt:lpwstr>
      </vt:variant>
      <vt:variant>
        <vt:lpwstr/>
      </vt:variant>
      <vt:variant>
        <vt:i4>4980818</vt:i4>
      </vt:variant>
      <vt:variant>
        <vt:i4>81</vt:i4>
      </vt:variant>
      <vt:variant>
        <vt:i4>0</vt:i4>
      </vt:variant>
      <vt:variant>
        <vt:i4>5</vt:i4>
      </vt:variant>
      <vt:variant>
        <vt:lpwstr>https://eur-lex.europa.eu/legal-content/SL/TXT/PDF/?uri=CELEX:52017XC0524(01)&amp;from=ES</vt:lpwstr>
      </vt:variant>
      <vt:variant>
        <vt:lpwstr/>
      </vt:variant>
      <vt:variant>
        <vt:i4>7340069</vt:i4>
      </vt:variant>
      <vt:variant>
        <vt:i4>78</vt:i4>
      </vt:variant>
      <vt:variant>
        <vt:i4>0</vt:i4>
      </vt:variant>
      <vt:variant>
        <vt:i4>5</vt:i4>
      </vt:variant>
      <vt:variant>
        <vt:lpwstr>http://www.uradni-list.si/1/objava.jsp?sop=2014-01-0961</vt:lpwstr>
      </vt:variant>
      <vt:variant>
        <vt:lpwstr/>
      </vt:variant>
      <vt:variant>
        <vt:i4>7471149</vt:i4>
      </vt:variant>
      <vt:variant>
        <vt:i4>75</vt:i4>
      </vt:variant>
      <vt:variant>
        <vt:i4>0</vt:i4>
      </vt:variant>
      <vt:variant>
        <vt:i4>5</vt:i4>
      </vt:variant>
      <vt:variant>
        <vt:lpwstr>http://www.uradni-list.si/1/objava.jsp?sop=2012-01-3776</vt:lpwstr>
      </vt:variant>
      <vt:variant>
        <vt:lpwstr/>
      </vt:variant>
      <vt:variant>
        <vt:i4>7602221</vt:i4>
      </vt:variant>
      <vt:variant>
        <vt:i4>72</vt:i4>
      </vt:variant>
      <vt:variant>
        <vt:i4>0</vt:i4>
      </vt:variant>
      <vt:variant>
        <vt:i4>5</vt:i4>
      </vt:variant>
      <vt:variant>
        <vt:lpwstr>http://www.uradni-list.si/1/objava.jsp?sop=2012-01-1732</vt:lpwstr>
      </vt:variant>
      <vt:variant>
        <vt:lpwstr/>
      </vt:variant>
      <vt:variant>
        <vt:i4>7798822</vt:i4>
      </vt:variant>
      <vt:variant>
        <vt:i4>69</vt:i4>
      </vt:variant>
      <vt:variant>
        <vt:i4>0</vt:i4>
      </vt:variant>
      <vt:variant>
        <vt:i4>5</vt:i4>
      </vt:variant>
      <vt:variant>
        <vt:lpwstr>http://www.uradni-list.si/1/objava.jsp?sop=2019-01-3722</vt:lpwstr>
      </vt:variant>
      <vt:variant>
        <vt:lpwstr/>
      </vt:variant>
      <vt:variant>
        <vt:i4>7798824</vt:i4>
      </vt:variant>
      <vt:variant>
        <vt:i4>66</vt:i4>
      </vt:variant>
      <vt:variant>
        <vt:i4>0</vt:i4>
      </vt:variant>
      <vt:variant>
        <vt:i4>5</vt:i4>
      </vt:variant>
      <vt:variant>
        <vt:lpwstr>http://www.uradni-list.si/1/objava.jsp?sop=2019-01-0914</vt:lpwstr>
      </vt:variant>
      <vt:variant>
        <vt:lpwstr/>
      </vt:variant>
      <vt:variant>
        <vt:i4>7471144</vt:i4>
      </vt:variant>
      <vt:variant>
        <vt:i4>63</vt:i4>
      </vt:variant>
      <vt:variant>
        <vt:i4>0</vt:i4>
      </vt:variant>
      <vt:variant>
        <vt:i4>5</vt:i4>
      </vt:variant>
      <vt:variant>
        <vt:lpwstr>http://www.uradni-list.si/1/objava.jsp?sop=2017-01-0741</vt:lpwstr>
      </vt:variant>
      <vt:variant>
        <vt:lpwstr/>
      </vt:variant>
      <vt:variant>
        <vt:i4>8192044</vt:i4>
      </vt:variant>
      <vt:variant>
        <vt:i4>60</vt:i4>
      </vt:variant>
      <vt:variant>
        <vt:i4>0</vt:i4>
      </vt:variant>
      <vt:variant>
        <vt:i4>5</vt:i4>
      </vt:variant>
      <vt:variant>
        <vt:lpwstr>http://www.uradni-list.si/1/objava.jsp?sop=2016-01-2296</vt:lpwstr>
      </vt:variant>
      <vt:variant>
        <vt:lpwstr/>
      </vt:variant>
      <vt:variant>
        <vt:i4>7667754</vt:i4>
      </vt:variant>
      <vt:variant>
        <vt:i4>57</vt:i4>
      </vt:variant>
      <vt:variant>
        <vt:i4>0</vt:i4>
      </vt:variant>
      <vt:variant>
        <vt:i4>5</vt:i4>
      </vt:variant>
      <vt:variant>
        <vt:lpwstr>http://www.uradni-list.si/1/objava.jsp?sop=2016-01-1428</vt:lpwstr>
      </vt:variant>
      <vt:variant>
        <vt:lpwstr/>
      </vt:variant>
      <vt:variant>
        <vt:i4>7602212</vt:i4>
      </vt:variant>
      <vt:variant>
        <vt:i4>54</vt:i4>
      </vt:variant>
      <vt:variant>
        <vt:i4>0</vt:i4>
      </vt:variant>
      <vt:variant>
        <vt:i4>5</vt:i4>
      </vt:variant>
      <vt:variant>
        <vt:lpwstr>http://www.uradni-list.si/1/objava.jsp?sop=2015-01-1930</vt:lpwstr>
      </vt:variant>
      <vt:variant>
        <vt:lpwstr/>
      </vt:variant>
      <vt:variant>
        <vt:i4>7733281</vt:i4>
      </vt:variant>
      <vt:variant>
        <vt:i4>51</vt:i4>
      </vt:variant>
      <vt:variant>
        <vt:i4>0</vt:i4>
      </vt:variant>
      <vt:variant>
        <vt:i4>5</vt:i4>
      </vt:variant>
      <vt:variant>
        <vt:lpwstr>http://www.uradni-list.si/1/objava.jsp?sop=2013-21-2826</vt:lpwstr>
      </vt:variant>
      <vt:variant>
        <vt:lpwstr/>
      </vt:variant>
      <vt:variant>
        <vt:i4>8257580</vt:i4>
      </vt:variant>
      <vt:variant>
        <vt:i4>48</vt:i4>
      </vt:variant>
      <vt:variant>
        <vt:i4>0</vt:i4>
      </vt:variant>
      <vt:variant>
        <vt:i4>5</vt:i4>
      </vt:variant>
      <vt:variant>
        <vt:lpwstr>http://www.uradni-list.si/1/objava.jsp?sop=2013-01-0784</vt:lpwstr>
      </vt:variant>
      <vt:variant>
        <vt:lpwstr/>
      </vt:variant>
      <vt:variant>
        <vt:i4>7340065</vt:i4>
      </vt:variant>
      <vt:variant>
        <vt:i4>45</vt:i4>
      </vt:variant>
      <vt:variant>
        <vt:i4>0</vt:i4>
      </vt:variant>
      <vt:variant>
        <vt:i4>5</vt:i4>
      </vt:variant>
      <vt:variant>
        <vt:lpwstr>http://www.uradni-list.si/1/objava.jsp?sop=2018-01-4122</vt:lpwstr>
      </vt:variant>
      <vt:variant>
        <vt:lpwstr/>
      </vt:variant>
      <vt:variant>
        <vt:i4>7536686</vt:i4>
      </vt:variant>
      <vt:variant>
        <vt:i4>42</vt:i4>
      </vt:variant>
      <vt:variant>
        <vt:i4>0</vt:i4>
      </vt:variant>
      <vt:variant>
        <vt:i4>5</vt:i4>
      </vt:variant>
      <vt:variant>
        <vt:lpwstr>http://www.uradni-list.si/1/objava.jsp?sop=2017-01-3165</vt:lpwstr>
      </vt:variant>
      <vt:variant>
        <vt:lpwstr/>
      </vt:variant>
      <vt:variant>
        <vt:i4>7798829</vt:i4>
      </vt:variant>
      <vt:variant>
        <vt:i4>39</vt:i4>
      </vt:variant>
      <vt:variant>
        <vt:i4>0</vt:i4>
      </vt:variant>
      <vt:variant>
        <vt:i4>5</vt:i4>
      </vt:variant>
      <vt:variant>
        <vt:lpwstr>http://www.uradni-list.si/1/objava.jsp?sop=2017-01-1206</vt:lpwstr>
      </vt:variant>
      <vt:variant>
        <vt:lpwstr/>
      </vt:variant>
      <vt:variant>
        <vt:i4>7340079</vt:i4>
      </vt:variant>
      <vt:variant>
        <vt:i4>36</vt:i4>
      </vt:variant>
      <vt:variant>
        <vt:i4>0</vt:i4>
      </vt:variant>
      <vt:variant>
        <vt:i4>5</vt:i4>
      </vt:variant>
      <vt:variant>
        <vt:lpwstr>http://www.uradni-list.si/1/objava.jsp?sop=2015-01-3254</vt:lpwstr>
      </vt:variant>
      <vt:variant>
        <vt:lpwstr/>
      </vt:variant>
      <vt:variant>
        <vt:i4>7405605</vt:i4>
      </vt:variant>
      <vt:variant>
        <vt:i4>33</vt:i4>
      </vt:variant>
      <vt:variant>
        <vt:i4>0</vt:i4>
      </vt:variant>
      <vt:variant>
        <vt:i4>5</vt:i4>
      </vt:variant>
      <vt:variant>
        <vt:lpwstr>http://www.uradni-list.si/1/objava.jsp?sop=2014-01-3949</vt:lpwstr>
      </vt:variant>
      <vt:variant>
        <vt:lpwstr/>
      </vt:variant>
      <vt:variant>
        <vt:i4>7536684</vt:i4>
      </vt:variant>
      <vt:variant>
        <vt:i4>30</vt:i4>
      </vt:variant>
      <vt:variant>
        <vt:i4>0</vt:i4>
      </vt:variant>
      <vt:variant>
        <vt:i4>5</vt:i4>
      </vt:variant>
      <vt:variant>
        <vt:lpwstr>http://www.uradni-list.si/1/objava.jsp?sop=2014-01-2074</vt:lpwstr>
      </vt:variant>
      <vt:variant>
        <vt:lpwstr/>
      </vt:variant>
      <vt:variant>
        <vt:i4>7340069</vt:i4>
      </vt:variant>
      <vt:variant>
        <vt:i4>27</vt:i4>
      </vt:variant>
      <vt:variant>
        <vt:i4>0</vt:i4>
      </vt:variant>
      <vt:variant>
        <vt:i4>5</vt:i4>
      </vt:variant>
      <vt:variant>
        <vt:lpwstr>http://www.uradni-list.si/1/objava.jsp?sop=2014-01-0961</vt:lpwstr>
      </vt:variant>
      <vt:variant>
        <vt:lpwstr/>
      </vt:variant>
      <vt:variant>
        <vt:i4>7471148</vt:i4>
      </vt:variant>
      <vt:variant>
        <vt:i4>24</vt:i4>
      </vt:variant>
      <vt:variant>
        <vt:i4>0</vt:i4>
      </vt:variant>
      <vt:variant>
        <vt:i4>5</vt:i4>
      </vt:variant>
      <vt:variant>
        <vt:lpwstr>http://www.uradni-list.si/1/objava.jsp?sop=2013-01-1753</vt:lpwstr>
      </vt:variant>
      <vt:variant>
        <vt:lpwstr/>
      </vt:variant>
      <vt:variant>
        <vt:i4>7798829</vt:i4>
      </vt:variant>
      <vt:variant>
        <vt:i4>21</vt:i4>
      </vt:variant>
      <vt:variant>
        <vt:i4>0</vt:i4>
      </vt:variant>
      <vt:variant>
        <vt:i4>5</vt:i4>
      </vt:variant>
      <vt:variant>
        <vt:lpwstr>http://www.uradni-list.si/1/objava.jsp?sop=2012-01-1700</vt:lpwstr>
      </vt:variant>
      <vt:variant>
        <vt:lpwstr/>
      </vt:variant>
      <vt:variant>
        <vt:i4>7667755</vt:i4>
      </vt:variant>
      <vt:variant>
        <vt:i4>18</vt:i4>
      </vt:variant>
      <vt:variant>
        <vt:i4>0</vt:i4>
      </vt:variant>
      <vt:variant>
        <vt:i4>5</vt:i4>
      </vt:variant>
      <vt:variant>
        <vt:lpwstr>http://www.uradni-list.si/1/objava.jsp?sop=2012-01-1121</vt:lpwstr>
      </vt:variant>
      <vt:variant>
        <vt:lpwstr/>
      </vt:variant>
      <vt:variant>
        <vt:i4>7536686</vt:i4>
      </vt:variant>
      <vt:variant>
        <vt:i4>15</vt:i4>
      </vt:variant>
      <vt:variant>
        <vt:i4>0</vt:i4>
      </vt:variant>
      <vt:variant>
        <vt:i4>5</vt:i4>
      </vt:variant>
      <vt:variant>
        <vt:lpwstr>http://www.uradni-list.si/1/objava.jsp?sop=2011-01-1743</vt:lpwstr>
      </vt:variant>
      <vt:variant>
        <vt:lpwstr/>
      </vt:variant>
      <vt:variant>
        <vt:i4>8060973</vt:i4>
      </vt:variant>
      <vt:variant>
        <vt:i4>12</vt:i4>
      </vt:variant>
      <vt:variant>
        <vt:i4>0</vt:i4>
      </vt:variant>
      <vt:variant>
        <vt:i4>5</vt:i4>
      </vt:variant>
      <vt:variant>
        <vt:lpwstr>http://www.uradni-list.si/1/objava.jsp?sop=2010-01-5583</vt:lpwstr>
      </vt:variant>
      <vt:variant>
        <vt:lpwstr/>
      </vt:variant>
      <vt:variant>
        <vt:i4>7798829</vt:i4>
      </vt:variant>
      <vt:variant>
        <vt:i4>9</vt:i4>
      </vt:variant>
      <vt:variant>
        <vt:i4>0</vt:i4>
      </vt:variant>
      <vt:variant>
        <vt:i4>5</vt:i4>
      </vt:variant>
      <vt:variant>
        <vt:lpwstr>http://www.uradni-list.si/1/objava.jsp?sop=2010-01-4554</vt:lpwstr>
      </vt:variant>
      <vt:variant>
        <vt:lpwstr/>
      </vt:variant>
      <vt:variant>
        <vt:i4>7471146</vt:i4>
      </vt:variant>
      <vt:variant>
        <vt:i4>6</vt:i4>
      </vt:variant>
      <vt:variant>
        <vt:i4>0</vt:i4>
      </vt:variant>
      <vt:variant>
        <vt:i4>5</vt:i4>
      </vt:variant>
      <vt:variant>
        <vt:lpwstr>http://www.uradni-list.si/1/objava.jsp?sop=2010-01-3273</vt:lpwstr>
      </vt:variant>
      <vt:variant>
        <vt:lpwstr/>
      </vt:variant>
      <vt:variant>
        <vt:i4>7602221</vt:i4>
      </vt:variant>
      <vt:variant>
        <vt:i4>3</vt:i4>
      </vt:variant>
      <vt:variant>
        <vt:i4>0</vt:i4>
      </vt:variant>
      <vt:variant>
        <vt:i4>5</vt:i4>
      </vt:variant>
      <vt:variant>
        <vt:lpwstr>http://www.uradni-list.si/1/objava.jsp?sop=2010-01-0520</vt:lpwstr>
      </vt:variant>
      <vt:variant>
        <vt:lpwstr/>
      </vt:variant>
      <vt:variant>
        <vt:i4>7995433</vt:i4>
      </vt:variant>
      <vt:variant>
        <vt:i4>0</vt:i4>
      </vt:variant>
      <vt:variant>
        <vt:i4>0</vt:i4>
      </vt:variant>
      <vt:variant>
        <vt:i4>5</vt:i4>
      </vt:variant>
      <vt:variant>
        <vt:lpwstr>http://www.uradni-list.si/1/objava.jsp?sop=2009-01-4891</vt:lpwstr>
      </vt:variant>
      <vt:variant>
        <vt:lpwstr/>
      </vt:variant>
      <vt:variant>
        <vt:i4>4194370</vt:i4>
      </vt:variant>
      <vt:variant>
        <vt:i4>3</vt:i4>
      </vt:variant>
      <vt:variant>
        <vt:i4>0</vt:i4>
      </vt:variant>
      <vt:variant>
        <vt:i4>5</vt:i4>
      </vt:variant>
      <vt:variant>
        <vt:lpwstr>http://www.mp.gov.si/</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creator>test</dc:creator>
  <cp:lastModifiedBy>Lidija Vidergar</cp:lastModifiedBy>
  <cp:revision>3</cp:revision>
  <cp:lastPrinted>2020-06-19T11:06:00Z</cp:lastPrinted>
  <dcterms:created xsi:type="dcterms:W3CDTF">2020-07-02T12:04:00Z</dcterms:created>
  <dcterms:modified xsi:type="dcterms:W3CDTF">2020-07-02T12:07:00Z</dcterms:modified>
</cp:coreProperties>
</file>