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CC7A8E" w14:textId="77777777" w:rsidR="008960E9" w:rsidRPr="00E4748C" w:rsidRDefault="008960E9" w:rsidP="00E21BBB">
      <w:pPr>
        <w:spacing w:line="240" w:lineRule="auto"/>
        <w:contextualSpacing/>
        <w:jc w:val="both"/>
        <w:rPr>
          <w:rFonts w:ascii="Arial" w:hAnsi="Arial" w:cs="Arial"/>
        </w:rPr>
      </w:pPr>
      <w:bookmarkStart w:id="0" w:name="_Hlk27737835"/>
      <w:r w:rsidRPr="00E4748C">
        <w:rPr>
          <w:rFonts w:ascii="Arial" w:hAnsi="Arial" w:cs="Arial"/>
        </w:rPr>
        <w:t>Na podlagi tretjega odstavka 158. člena Zakona o zdravilih (Uradni list RS, št. 17/14</w:t>
      </w:r>
      <w:r w:rsidR="00E21BBB" w:rsidRPr="00E4748C">
        <w:rPr>
          <w:rFonts w:ascii="Arial" w:hAnsi="Arial" w:cs="Arial"/>
        </w:rPr>
        <w:t xml:space="preserve"> in 66/19</w:t>
      </w:r>
      <w:r w:rsidRPr="00E4748C">
        <w:rPr>
          <w:rFonts w:ascii="Arial" w:hAnsi="Arial" w:cs="Arial"/>
        </w:rPr>
        <w:t>) minister za zdravje izdaja</w:t>
      </w:r>
    </w:p>
    <w:bookmarkEnd w:id="0"/>
    <w:p w14:paraId="5C866111" w14:textId="77777777" w:rsidR="00043E1D" w:rsidRPr="00E4748C" w:rsidRDefault="00043E1D" w:rsidP="00652E3B">
      <w:pPr>
        <w:spacing w:line="240" w:lineRule="auto"/>
        <w:contextualSpacing/>
        <w:rPr>
          <w:rFonts w:ascii="Arial" w:hAnsi="Arial" w:cs="Arial"/>
        </w:rPr>
      </w:pPr>
    </w:p>
    <w:p w14:paraId="2A46ADF5" w14:textId="77777777" w:rsidR="008960E9" w:rsidRPr="00E4748C" w:rsidRDefault="008960E9" w:rsidP="00652E3B">
      <w:pPr>
        <w:spacing w:line="240" w:lineRule="auto"/>
        <w:contextualSpacing/>
        <w:jc w:val="center"/>
        <w:rPr>
          <w:rFonts w:ascii="Arial" w:hAnsi="Arial" w:cs="Arial"/>
          <w:b/>
        </w:rPr>
      </w:pPr>
      <w:r w:rsidRPr="00E4748C">
        <w:rPr>
          <w:rFonts w:ascii="Arial" w:hAnsi="Arial" w:cs="Arial"/>
          <w:b/>
        </w:rPr>
        <w:t>P R A V I L N I K</w:t>
      </w:r>
    </w:p>
    <w:p w14:paraId="748C4F3E" w14:textId="7ADDAF8A" w:rsidR="008960E9" w:rsidRPr="00E4748C" w:rsidRDefault="008960E9" w:rsidP="00652E3B">
      <w:pPr>
        <w:spacing w:line="240" w:lineRule="auto"/>
        <w:contextualSpacing/>
        <w:jc w:val="center"/>
        <w:rPr>
          <w:rFonts w:ascii="Arial" w:hAnsi="Arial" w:cs="Arial"/>
          <w:b/>
        </w:rPr>
      </w:pPr>
      <w:r w:rsidRPr="00E4748C">
        <w:rPr>
          <w:rFonts w:ascii="Arial" w:hAnsi="Arial" w:cs="Arial"/>
          <w:b/>
        </w:rPr>
        <w:t>o sprememb</w:t>
      </w:r>
      <w:r w:rsidR="0070426D" w:rsidRPr="00E4748C">
        <w:rPr>
          <w:rFonts w:ascii="Arial" w:hAnsi="Arial" w:cs="Arial"/>
          <w:b/>
        </w:rPr>
        <w:t xml:space="preserve">ah </w:t>
      </w:r>
      <w:bookmarkStart w:id="1" w:name="_GoBack"/>
      <w:bookmarkEnd w:id="1"/>
      <w:r w:rsidRPr="00E4748C">
        <w:rPr>
          <w:rFonts w:ascii="Arial" w:hAnsi="Arial" w:cs="Arial"/>
          <w:b/>
        </w:rPr>
        <w:t>Pravilnika o določanju cen zdravil za uporabo v humani medicini</w:t>
      </w:r>
    </w:p>
    <w:p w14:paraId="45C8E30D" w14:textId="77777777" w:rsidR="008960E9" w:rsidRPr="00E4748C" w:rsidRDefault="008960E9" w:rsidP="00652E3B">
      <w:pPr>
        <w:spacing w:line="240" w:lineRule="auto"/>
        <w:contextualSpacing/>
        <w:rPr>
          <w:rFonts w:ascii="Arial" w:hAnsi="Arial" w:cs="Arial"/>
        </w:rPr>
      </w:pPr>
    </w:p>
    <w:p w14:paraId="46BB485B" w14:textId="77777777" w:rsidR="00043E1D" w:rsidRPr="00E4748C" w:rsidRDefault="008960E9" w:rsidP="00652E3B">
      <w:pPr>
        <w:pStyle w:val="Odstavekseznama"/>
        <w:numPr>
          <w:ilvl w:val="0"/>
          <w:numId w:val="1"/>
        </w:numPr>
        <w:spacing w:line="240" w:lineRule="auto"/>
        <w:jc w:val="center"/>
        <w:rPr>
          <w:rFonts w:ascii="Arial" w:hAnsi="Arial" w:cs="Arial"/>
        </w:rPr>
      </w:pPr>
      <w:r w:rsidRPr="00E4748C">
        <w:rPr>
          <w:rFonts w:ascii="Arial" w:hAnsi="Arial" w:cs="Arial"/>
        </w:rPr>
        <w:t>člen</w:t>
      </w:r>
    </w:p>
    <w:p w14:paraId="358209C8" w14:textId="49A18918" w:rsidR="00EB286D" w:rsidRDefault="008960E9" w:rsidP="006C418E">
      <w:pPr>
        <w:spacing w:line="240" w:lineRule="auto"/>
        <w:ind w:firstLine="709"/>
        <w:contextualSpacing/>
        <w:jc w:val="both"/>
        <w:rPr>
          <w:rFonts w:ascii="Arial" w:hAnsi="Arial" w:cs="Arial"/>
        </w:rPr>
      </w:pPr>
      <w:r w:rsidRPr="00E4748C">
        <w:rPr>
          <w:rFonts w:ascii="Arial" w:hAnsi="Arial" w:cs="Arial"/>
        </w:rPr>
        <w:t xml:space="preserve">V Pravilniku o določanju cen zdravil za uporabo v humani medicini </w:t>
      </w:r>
      <w:r w:rsidR="00E21BBB" w:rsidRPr="00E4748C">
        <w:rPr>
          <w:rFonts w:ascii="Arial" w:hAnsi="Arial" w:cs="Arial"/>
        </w:rPr>
        <w:t xml:space="preserve">(Uradni list RS, št. 32/15, 15/16, 19/18 in 11/19) </w:t>
      </w:r>
      <w:r w:rsidRPr="00E4748C">
        <w:rPr>
          <w:rFonts w:ascii="Arial" w:hAnsi="Arial" w:cs="Arial"/>
        </w:rPr>
        <w:t>se v</w:t>
      </w:r>
      <w:r w:rsidR="006C418E">
        <w:rPr>
          <w:rFonts w:ascii="Arial" w:hAnsi="Arial" w:cs="Arial"/>
        </w:rPr>
        <w:t xml:space="preserve"> </w:t>
      </w:r>
      <w:r w:rsidR="002E16C4" w:rsidRPr="00E4748C">
        <w:rPr>
          <w:rFonts w:ascii="Arial" w:hAnsi="Arial" w:cs="Arial"/>
        </w:rPr>
        <w:t>9. člen</w:t>
      </w:r>
      <w:r w:rsidR="00FA4C94" w:rsidRPr="00E4748C">
        <w:rPr>
          <w:rFonts w:ascii="Arial" w:hAnsi="Arial" w:cs="Arial"/>
        </w:rPr>
        <w:t xml:space="preserve">u v drugem odstavku </w:t>
      </w:r>
      <w:r w:rsidR="00EB286D">
        <w:rPr>
          <w:rFonts w:ascii="Arial" w:hAnsi="Arial" w:cs="Arial"/>
        </w:rPr>
        <w:t>prvi stavek spremeni tako, da se glasi:</w:t>
      </w:r>
    </w:p>
    <w:p w14:paraId="5515420C" w14:textId="77777777" w:rsidR="009F5194" w:rsidRDefault="009F5194" w:rsidP="006C418E">
      <w:pPr>
        <w:spacing w:line="240" w:lineRule="auto"/>
        <w:ind w:firstLine="709"/>
        <w:contextualSpacing/>
        <w:jc w:val="both"/>
        <w:rPr>
          <w:rFonts w:ascii="Arial" w:hAnsi="Arial" w:cs="Arial"/>
        </w:rPr>
      </w:pPr>
    </w:p>
    <w:p w14:paraId="7E364191" w14:textId="4018AC21" w:rsidR="002E16C4" w:rsidRPr="00E4748C" w:rsidRDefault="00A50F2F" w:rsidP="00C3258E">
      <w:pPr>
        <w:spacing w:line="240" w:lineRule="auto"/>
        <w:ind w:firstLine="709"/>
        <w:jc w:val="both"/>
        <w:rPr>
          <w:rFonts w:ascii="Arial" w:hAnsi="Arial" w:cs="Arial"/>
        </w:rPr>
      </w:pPr>
      <w:r w:rsidRPr="00E4748C">
        <w:rPr>
          <w:rFonts w:ascii="Arial" w:hAnsi="Arial" w:cs="Arial"/>
        </w:rPr>
        <w:t>»</w:t>
      </w:r>
      <w:r w:rsidR="00EB286D" w:rsidRPr="00EB286D">
        <w:rPr>
          <w:rFonts w:ascii="Arial" w:hAnsi="Arial" w:cs="Arial"/>
        </w:rPr>
        <w:t>Sestavni del vloge iz prejšnjega odstavka je izpolnjen obrazec B1 iz Priloge 1 tega pravilnika</w:t>
      </w:r>
      <w:r w:rsidR="00EB286D">
        <w:rPr>
          <w:rFonts w:ascii="Arial" w:hAnsi="Arial" w:cs="Arial"/>
        </w:rPr>
        <w:t xml:space="preserve"> </w:t>
      </w:r>
      <w:r w:rsidR="00EB286D" w:rsidRPr="00EB286D">
        <w:rPr>
          <w:rFonts w:ascii="Arial" w:hAnsi="Arial" w:cs="Arial"/>
        </w:rPr>
        <w:t xml:space="preserve">v </w:t>
      </w:r>
      <w:r w:rsidR="00EB286D">
        <w:rPr>
          <w:rFonts w:ascii="Arial" w:hAnsi="Arial" w:cs="Arial"/>
        </w:rPr>
        <w:t>fizični</w:t>
      </w:r>
      <w:r w:rsidR="008E0A23">
        <w:rPr>
          <w:rFonts w:ascii="Arial" w:hAnsi="Arial" w:cs="Arial"/>
        </w:rPr>
        <w:t>/</w:t>
      </w:r>
      <w:r w:rsidR="00EB286D">
        <w:rPr>
          <w:rFonts w:ascii="Arial" w:hAnsi="Arial" w:cs="Arial"/>
        </w:rPr>
        <w:t xml:space="preserve">pisni in </w:t>
      </w:r>
      <w:r w:rsidR="00EB286D" w:rsidRPr="00EB286D">
        <w:rPr>
          <w:rFonts w:ascii="Arial" w:hAnsi="Arial" w:cs="Arial"/>
        </w:rPr>
        <w:t xml:space="preserve">elektronski obliki v </w:t>
      </w:r>
      <w:proofErr w:type="spellStart"/>
      <w:r w:rsidR="00EB286D" w:rsidRPr="00EB286D">
        <w:rPr>
          <w:rFonts w:ascii="Arial" w:hAnsi="Arial" w:cs="Arial"/>
        </w:rPr>
        <w:t>xls</w:t>
      </w:r>
      <w:proofErr w:type="spellEnd"/>
      <w:r w:rsidR="00EB286D" w:rsidRPr="00EB286D">
        <w:rPr>
          <w:rFonts w:ascii="Arial" w:hAnsi="Arial" w:cs="Arial"/>
        </w:rPr>
        <w:t xml:space="preserve"> formatu</w:t>
      </w:r>
      <w:r w:rsidR="00EB286D">
        <w:rPr>
          <w:rFonts w:ascii="Arial" w:hAnsi="Arial" w:cs="Arial"/>
        </w:rPr>
        <w:t>.</w:t>
      </w:r>
      <w:r w:rsidR="002E16C4" w:rsidRPr="00E4748C">
        <w:rPr>
          <w:rFonts w:ascii="Arial" w:hAnsi="Arial" w:cs="Arial"/>
        </w:rPr>
        <w:t xml:space="preserve">«. </w:t>
      </w:r>
    </w:p>
    <w:p w14:paraId="027E52C9" w14:textId="77777777" w:rsidR="00E21BBB" w:rsidRPr="00E4748C" w:rsidRDefault="00E21BBB" w:rsidP="00043E1D">
      <w:pPr>
        <w:spacing w:line="240" w:lineRule="auto"/>
        <w:contextualSpacing/>
        <w:jc w:val="both"/>
        <w:rPr>
          <w:rFonts w:ascii="Arial" w:hAnsi="Arial" w:cs="Arial"/>
        </w:rPr>
      </w:pPr>
    </w:p>
    <w:p w14:paraId="3D1668D8" w14:textId="3984930B" w:rsidR="002E16C4" w:rsidRPr="00EB286D" w:rsidRDefault="002E16C4" w:rsidP="002E16C4">
      <w:pPr>
        <w:pStyle w:val="Odstavekseznama"/>
        <w:numPr>
          <w:ilvl w:val="0"/>
          <w:numId w:val="1"/>
        </w:numPr>
        <w:spacing w:line="240" w:lineRule="auto"/>
        <w:jc w:val="center"/>
        <w:rPr>
          <w:rFonts w:ascii="Arial" w:hAnsi="Arial" w:cs="Arial"/>
        </w:rPr>
      </w:pPr>
      <w:r w:rsidRPr="00E4748C">
        <w:rPr>
          <w:rFonts w:ascii="Arial" w:hAnsi="Arial" w:cs="Arial"/>
        </w:rPr>
        <w:t>člen</w:t>
      </w:r>
    </w:p>
    <w:p w14:paraId="7813527E" w14:textId="712B3617" w:rsidR="001D0ED8" w:rsidRPr="00E4748C" w:rsidRDefault="002E16C4" w:rsidP="008F1AA7">
      <w:pPr>
        <w:spacing w:line="240" w:lineRule="auto"/>
        <w:ind w:firstLine="709"/>
        <w:rPr>
          <w:rFonts w:ascii="Arial" w:hAnsi="Arial" w:cs="Arial"/>
        </w:rPr>
      </w:pPr>
      <w:r w:rsidRPr="00E4748C">
        <w:rPr>
          <w:rFonts w:ascii="Arial" w:hAnsi="Arial" w:cs="Arial"/>
        </w:rPr>
        <w:t xml:space="preserve">11. člen se spremeni tako, da se glasi: </w:t>
      </w:r>
    </w:p>
    <w:p w14:paraId="21C6F177" w14:textId="28B1525B" w:rsidR="00F85865" w:rsidRPr="00E4748C" w:rsidRDefault="00F85865" w:rsidP="008C5641">
      <w:pPr>
        <w:spacing w:line="240" w:lineRule="auto"/>
        <w:ind w:firstLine="709"/>
        <w:jc w:val="center"/>
        <w:rPr>
          <w:rFonts w:ascii="Arial" w:hAnsi="Arial" w:cs="Arial"/>
        </w:rPr>
      </w:pPr>
      <w:r w:rsidRPr="00E4748C">
        <w:rPr>
          <w:rFonts w:ascii="Arial" w:hAnsi="Arial" w:cs="Arial"/>
        </w:rPr>
        <w:t>»11. člen</w:t>
      </w:r>
    </w:p>
    <w:p w14:paraId="5AB29A78" w14:textId="54D45341" w:rsidR="002E16C4" w:rsidRDefault="00D13361" w:rsidP="00C3258E">
      <w:pPr>
        <w:pStyle w:val="Odstavekseznama"/>
        <w:numPr>
          <w:ilvl w:val="0"/>
          <w:numId w:val="5"/>
        </w:numPr>
        <w:spacing w:after="0" w:line="240" w:lineRule="auto"/>
        <w:ind w:firstLine="709"/>
        <w:jc w:val="both"/>
        <w:rPr>
          <w:rFonts w:ascii="Arial" w:hAnsi="Arial" w:cs="Arial"/>
        </w:rPr>
      </w:pPr>
      <w:r>
        <w:rPr>
          <w:rFonts w:ascii="Arial" w:eastAsia="Times New Roman" w:hAnsi="Arial" w:cs="Arial"/>
          <w:lang w:eastAsia="sl-SI"/>
        </w:rPr>
        <w:t xml:space="preserve"> </w:t>
      </w:r>
      <w:r w:rsidR="002E16C4" w:rsidRPr="00E4748C">
        <w:rPr>
          <w:rFonts w:ascii="Arial" w:eastAsia="Times New Roman" w:hAnsi="Arial" w:cs="Arial"/>
          <w:lang w:eastAsia="sl-SI"/>
        </w:rPr>
        <w:t>Vr</w:t>
      </w:r>
      <w:r w:rsidR="002E16C4" w:rsidRPr="00E4748C">
        <w:rPr>
          <w:rFonts w:ascii="Arial" w:hAnsi="Arial" w:cs="Arial"/>
        </w:rPr>
        <w:t>ednost PEC se izračuna na podlagi primerjalne cene zdravil.</w:t>
      </w:r>
    </w:p>
    <w:p w14:paraId="7173F82F" w14:textId="77777777" w:rsidR="00EB286D" w:rsidRPr="00EB286D" w:rsidRDefault="00EB286D" w:rsidP="00EB286D">
      <w:pPr>
        <w:pStyle w:val="Odstavekseznama"/>
        <w:spacing w:after="0" w:line="240" w:lineRule="auto"/>
        <w:ind w:left="993"/>
        <w:jc w:val="both"/>
        <w:rPr>
          <w:rFonts w:ascii="Arial" w:hAnsi="Arial" w:cs="Arial"/>
        </w:rPr>
      </w:pPr>
    </w:p>
    <w:p w14:paraId="10DCD3E0" w14:textId="682D0374" w:rsidR="002E16C4" w:rsidRPr="00E4748C" w:rsidRDefault="002E16C4" w:rsidP="00C3258E">
      <w:pPr>
        <w:pStyle w:val="Odstavekseznama"/>
        <w:numPr>
          <w:ilvl w:val="0"/>
          <w:numId w:val="5"/>
        </w:numPr>
        <w:spacing w:after="0" w:line="240" w:lineRule="auto"/>
        <w:ind w:firstLine="709"/>
        <w:jc w:val="both"/>
        <w:rPr>
          <w:rFonts w:ascii="Arial" w:hAnsi="Arial" w:cs="Arial"/>
        </w:rPr>
      </w:pPr>
      <w:r w:rsidRPr="00E4748C">
        <w:rPr>
          <w:rFonts w:ascii="Arial" w:hAnsi="Arial" w:cs="Arial"/>
        </w:rPr>
        <w:t>Osnova za izračun primerjalne cene zdravil so cene zdravil, ki so financirana iz javnih sredstev v primerjalnih državah Avstriji, Franciji in Nemčiji (v nadaljnjem besedilu: primerjalne države), pri čemer se zdravila, ki se prodajajo v teh državah preko paralelnega uvoza ali paralelne distribucije ne upoštevajo</w:t>
      </w:r>
      <w:r w:rsidR="0054766A" w:rsidRPr="00E4748C">
        <w:rPr>
          <w:rFonts w:ascii="Arial" w:hAnsi="Arial" w:cs="Arial"/>
        </w:rPr>
        <w:t>, razen v primerih, če v posamezni državi ni na trgu drugega zdravila kot zdravilo iz paralelnega uvoza ali paralelne distribucije</w:t>
      </w:r>
      <w:r w:rsidRPr="00E4748C">
        <w:rPr>
          <w:rFonts w:ascii="Arial" w:hAnsi="Arial" w:cs="Arial"/>
        </w:rPr>
        <w:t>.</w:t>
      </w:r>
    </w:p>
    <w:p w14:paraId="02B8E988" w14:textId="196A5E1E" w:rsidR="002E16C4" w:rsidRPr="00E4748C" w:rsidRDefault="002E16C4" w:rsidP="00F85865">
      <w:pPr>
        <w:pStyle w:val="Odstavekseznama"/>
        <w:spacing w:after="0"/>
        <w:ind w:firstLine="709"/>
        <w:jc w:val="both"/>
        <w:rPr>
          <w:rFonts w:ascii="Arial" w:hAnsi="Arial" w:cs="Arial"/>
        </w:rPr>
      </w:pPr>
    </w:p>
    <w:p w14:paraId="0AE3BFE1" w14:textId="20A967F6" w:rsidR="00690336" w:rsidRPr="00E4748C" w:rsidRDefault="002E16C4" w:rsidP="00C3258E">
      <w:pPr>
        <w:pStyle w:val="Odstavekseznama"/>
        <w:numPr>
          <w:ilvl w:val="0"/>
          <w:numId w:val="5"/>
        </w:numPr>
        <w:spacing w:after="0" w:line="240" w:lineRule="auto"/>
        <w:ind w:firstLine="709"/>
        <w:jc w:val="both"/>
        <w:rPr>
          <w:rFonts w:ascii="Arial" w:hAnsi="Arial" w:cs="Arial"/>
        </w:rPr>
      </w:pPr>
      <w:r w:rsidRPr="00E4748C">
        <w:rPr>
          <w:rFonts w:ascii="Arial" w:hAnsi="Arial" w:cs="Arial"/>
        </w:rPr>
        <w:t xml:space="preserve">Za </w:t>
      </w:r>
      <w:r w:rsidRPr="00E4167E">
        <w:rPr>
          <w:rFonts w:ascii="Arial" w:hAnsi="Arial" w:cs="Arial"/>
        </w:rPr>
        <w:t>ugotavljanje vrednosti PEC se uporabljajo zadnje elektronske izdaje oziroma pripadajoči neposredni spletni viri ali izdajateljev licenčni vir:</w:t>
      </w:r>
    </w:p>
    <w:p w14:paraId="5E44DA6E" w14:textId="77777777" w:rsidR="00690336" w:rsidRPr="00E4748C" w:rsidRDefault="002E16C4" w:rsidP="00EB286D">
      <w:pPr>
        <w:pStyle w:val="Odstavekseznama"/>
        <w:numPr>
          <w:ilvl w:val="0"/>
          <w:numId w:val="16"/>
        </w:numPr>
        <w:spacing w:after="0" w:line="240" w:lineRule="auto"/>
        <w:jc w:val="both"/>
        <w:rPr>
          <w:rFonts w:ascii="Arial" w:hAnsi="Arial" w:cs="Arial"/>
        </w:rPr>
      </w:pPr>
      <w:r w:rsidRPr="00E4748C">
        <w:rPr>
          <w:rFonts w:ascii="Arial" w:hAnsi="Arial" w:cs="Arial"/>
        </w:rPr>
        <w:t xml:space="preserve">Avstrija: </w:t>
      </w:r>
      <w:proofErr w:type="spellStart"/>
      <w:r w:rsidRPr="00E4748C">
        <w:rPr>
          <w:rFonts w:ascii="Arial" w:hAnsi="Arial" w:cs="Arial"/>
        </w:rPr>
        <w:t>Erstattungskodex</w:t>
      </w:r>
      <w:proofErr w:type="spellEnd"/>
      <w:r w:rsidRPr="00E4748C">
        <w:rPr>
          <w:rFonts w:ascii="Arial" w:hAnsi="Arial" w:cs="Arial"/>
        </w:rPr>
        <w:t xml:space="preserve">, izdajatelj </w:t>
      </w:r>
      <w:proofErr w:type="spellStart"/>
      <w:r w:rsidRPr="00E4748C">
        <w:rPr>
          <w:rFonts w:ascii="Arial" w:hAnsi="Arial" w:cs="Arial"/>
        </w:rPr>
        <w:t>Hauptverband</w:t>
      </w:r>
      <w:proofErr w:type="spellEnd"/>
      <w:r w:rsidRPr="00E4748C">
        <w:rPr>
          <w:rFonts w:ascii="Arial" w:hAnsi="Arial" w:cs="Arial"/>
        </w:rPr>
        <w:t xml:space="preserve"> der </w:t>
      </w:r>
      <w:proofErr w:type="spellStart"/>
      <w:r w:rsidRPr="00E4748C">
        <w:rPr>
          <w:rFonts w:ascii="Arial" w:hAnsi="Arial" w:cs="Arial"/>
        </w:rPr>
        <w:t>österreichischen</w:t>
      </w:r>
      <w:proofErr w:type="spellEnd"/>
      <w:r w:rsidRPr="00E4748C">
        <w:rPr>
          <w:rFonts w:ascii="Arial" w:hAnsi="Arial" w:cs="Arial"/>
        </w:rPr>
        <w:t xml:space="preserve"> </w:t>
      </w:r>
      <w:proofErr w:type="spellStart"/>
      <w:r w:rsidRPr="00E4748C">
        <w:rPr>
          <w:rFonts w:ascii="Arial" w:hAnsi="Arial" w:cs="Arial"/>
        </w:rPr>
        <w:t>Sozialversicherungsträger</w:t>
      </w:r>
      <w:proofErr w:type="spellEnd"/>
      <w:r w:rsidRPr="00E4748C">
        <w:rPr>
          <w:rFonts w:ascii="Arial" w:hAnsi="Arial" w:cs="Arial"/>
        </w:rPr>
        <w:t xml:space="preserve">,  za zdravila, ki jih </w:t>
      </w:r>
      <w:proofErr w:type="spellStart"/>
      <w:r w:rsidRPr="00E4748C">
        <w:rPr>
          <w:rFonts w:ascii="Arial" w:hAnsi="Arial" w:cs="Arial"/>
        </w:rPr>
        <w:t>Erstattungskodex</w:t>
      </w:r>
      <w:proofErr w:type="spellEnd"/>
      <w:r w:rsidRPr="00E4748C">
        <w:rPr>
          <w:rFonts w:ascii="Arial" w:hAnsi="Arial" w:cs="Arial"/>
        </w:rPr>
        <w:t xml:space="preserve"> ne navaja, se uporablja vir </w:t>
      </w:r>
      <w:proofErr w:type="spellStart"/>
      <w:r w:rsidRPr="00E4748C">
        <w:rPr>
          <w:rFonts w:ascii="Arial" w:hAnsi="Arial" w:cs="Arial"/>
        </w:rPr>
        <w:t>Warenverzeichnis</w:t>
      </w:r>
      <w:proofErr w:type="spellEnd"/>
      <w:r w:rsidRPr="00E4748C">
        <w:rPr>
          <w:rFonts w:ascii="Arial" w:hAnsi="Arial" w:cs="Arial"/>
        </w:rPr>
        <w:t xml:space="preserve">, izdajatelj </w:t>
      </w:r>
      <w:proofErr w:type="spellStart"/>
      <w:r w:rsidRPr="00E4748C">
        <w:rPr>
          <w:rFonts w:ascii="Arial" w:hAnsi="Arial" w:cs="Arial"/>
        </w:rPr>
        <w:t>Österreichische</w:t>
      </w:r>
      <w:proofErr w:type="spellEnd"/>
      <w:r w:rsidRPr="00E4748C">
        <w:rPr>
          <w:rFonts w:ascii="Arial" w:hAnsi="Arial" w:cs="Arial"/>
        </w:rPr>
        <w:t xml:space="preserve"> </w:t>
      </w:r>
      <w:proofErr w:type="spellStart"/>
      <w:r w:rsidRPr="00E4748C">
        <w:rPr>
          <w:rFonts w:ascii="Arial" w:hAnsi="Arial" w:cs="Arial"/>
        </w:rPr>
        <w:t>Apotheker-Verlagsgesellschaft</w:t>
      </w:r>
      <w:proofErr w:type="spellEnd"/>
      <w:r w:rsidRPr="00E4748C">
        <w:rPr>
          <w:rFonts w:ascii="Arial" w:hAnsi="Arial" w:cs="Arial"/>
        </w:rPr>
        <w:t xml:space="preserve"> </w:t>
      </w:r>
      <w:proofErr w:type="spellStart"/>
      <w:r w:rsidRPr="00E4748C">
        <w:rPr>
          <w:rFonts w:ascii="Arial" w:hAnsi="Arial" w:cs="Arial"/>
        </w:rPr>
        <w:t>m.b.H</w:t>
      </w:r>
      <w:proofErr w:type="spellEnd"/>
      <w:r w:rsidRPr="00E4748C">
        <w:rPr>
          <w:rFonts w:ascii="Arial" w:hAnsi="Arial" w:cs="Arial"/>
        </w:rPr>
        <w:t>., izračun iz cene zdravila na drobno brez davka na dodano vrednost;</w:t>
      </w:r>
    </w:p>
    <w:p w14:paraId="127C8792" w14:textId="77777777" w:rsidR="00690336" w:rsidRPr="00E4748C" w:rsidRDefault="002E16C4" w:rsidP="00EB286D">
      <w:pPr>
        <w:pStyle w:val="Odstavekseznama"/>
        <w:numPr>
          <w:ilvl w:val="0"/>
          <w:numId w:val="16"/>
        </w:numPr>
        <w:spacing w:after="0" w:line="240" w:lineRule="auto"/>
        <w:jc w:val="both"/>
        <w:rPr>
          <w:rFonts w:ascii="Arial" w:hAnsi="Arial" w:cs="Arial"/>
        </w:rPr>
      </w:pPr>
      <w:r w:rsidRPr="00E4748C">
        <w:rPr>
          <w:rFonts w:ascii="Arial" w:hAnsi="Arial" w:cs="Arial"/>
        </w:rPr>
        <w:t>Francija: Vidal, izdajatelj Vidal France izračun iz cene zdravila na drobno, kadar cena zdravila na drobno ni podana se uporablja cenovni standard UCD;</w:t>
      </w:r>
    </w:p>
    <w:p w14:paraId="4E699985" w14:textId="77777777" w:rsidR="00690336" w:rsidRPr="00E4748C" w:rsidRDefault="002E16C4" w:rsidP="00EB286D">
      <w:pPr>
        <w:pStyle w:val="Odstavekseznama"/>
        <w:numPr>
          <w:ilvl w:val="0"/>
          <w:numId w:val="16"/>
        </w:numPr>
        <w:spacing w:after="0" w:line="240" w:lineRule="auto"/>
        <w:jc w:val="both"/>
        <w:rPr>
          <w:rFonts w:ascii="Arial" w:hAnsi="Arial" w:cs="Arial"/>
        </w:rPr>
      </w:pPr>
      <w:r w:rsidRPr="00E4748C">
        <w:rPr>
          <w:rFonts w:ascii="Arial" w:hAnsi="Arial" w:cs="Arial"/>
        </w:rPr>
        <w:t xml:space="preserve">Nemčija: </w:t>
      </w:r>
      <w:proofErr w:type="spellStart"/>
      <w:r w:rsidRPr="00E4748C">
        <w:rPr>
          <w:rFonts w:ascii="Arial" w:hAnsi="Arial" w:cs="Arial"/>
        </w:rPr>
        <w:t>Lauer-Taxe</w:t>
      </w:r>
      <w:proofErr w:type="spellEnd"/>
      <w:r w:rsidRPr="00E4748C">
        <w:rPr>
          <w:rFonts w:ascii="Arial" w:hAnsi="Arial" w:cs="Arial"/>
        </w:rPr>
        <w:t xml:space="preserve">, izdajatelj </w:t>
      </w:r>
      <w:proofErr w:type="spellStart"/>
      <w:r w:rsidRPr="00E4748C">
        <w:rPr>
          <w:rFonts w:ascii="Arial" w:hAnsi="Arial" w:cs="Arial"/>
        </w:rPr>
        <w:t>Lauer</w:t>
      </w:r>
      <w:proofErr w:type="spellEnd"/>
      <w:r w:rsidRPr="00E4748C">
        <w:rPr>
          <w:rFonts w:ascii="Arial" w:hAnsi="Arial" w:cs="Arial"/>
        </w:rPr>
        <w:t xml:space="preserve">-Fischer </w:t>
      </w:r>
      <w:proofErr w:type="spellStart"/>
      <w:r w:rsidRPr="00E4748C">
        <w:rPr>
          <w:rFonts w:ascii="Arial" w:hAnsi="Arial" w:cs="Arial"/>
        </w:rPr>
        <w:t>GmbH</w:t>
      </w:r>
      <w:proofErr w:type="spellEnd"/>
      <w:r w:rsidRPr="00E4748C">
        <w:rPr>
          <w:rFonts w:ascii="Arial" w:hAnsi="Arial" w:cs="Arial"/>
        </w:rPr>
        <w:t xml:space="preserve"> ali cenik ABDA </w:t>
      </w:r>
      <w:proofErr w:type="spellStart"/>
      <w:r w:rsidRPr="00E4748C">
        <w:rPr>
          <w:rFonts w:ascii="Arial" w:hAnsi="Arial" w:cs="Arial"/>
        </w:rPr>
        <w:t>Datenbank</w:t>
      </w:r>
      <w:proofErr w:type="spellEnd"/>
      <w:r w:rsidRPr="00E4748C">
        <w:rPr>
          <w:rFonts w:ascii="Arial" w:hAnsi="Arial" w:cs="Arial"/>
        </w:rPr>
        <w:t xml:space="preserve">, izdajatelj </w:t>
      </w:r>
      <w:proofErr w:type="spellStart"/>
      <w:r w:rsidRPr="00E4748C">
        <w:rPr>
          <w:rFonts w:ascii="Arial" w:hAnsi="Arial" w:cs="Arial"/>
        </w:rPr>
        <w:t>Bundesvereinigung</w:t>
      </w:r>
      <w:proofErr w:type="spellEnd"/>
      <w:r w:rsidRPr="00E4748C">
        <w:rPr>
          <w:rFonts w:ascii="Arial" w:hAnsi="Arial" w:cs="Arial"/>
        </w:rPr>
        <w:t xml:space="preserve"> </w:t>
      </w:r>
      <w:proofErr w:type="spellStart"/>
      <w:r w:rsidRPr="00E4748C">
        <w:rPr>
          <w:rFonts w:ascii="Arial" w:hAnsi="Arial" w:cs="Arial"/>
        </w:rPr>
        <w:t>Deutscher</w:t>
      </w:r>
      <w:proofErr w:type="spellEnd"/>
      <w:r w:rsidRPr="00E4748C">
        <w:rPr>
          <w:rFonts w:ascii="Arial" w:hAnsi="Arial" w:cs="Arial"/>
        </w:rPr>
        <w:t xml:space="preserve"> </w:t>
      </w:r>
      <w:proofErr w:type="spellStart"/>
      <w:r w:rsidRPr="00E4748C">
        <w:rPr>
          <w:rFonts w:ascii="Arial" w:hAnsi="Arial" w:cs="Arial"/>
        </w:rPr>
        <w:t>Apothekerverbände</w:t>
      </w:r>
      <w:proofErr w:type="spellEnd"/>
      <w:r w:rsidRPr="00E4748C">
        <w:rPr>
          <w:rFonts w:ascii="Arial" w:hAnsi="Arial" w:cs="Arial"/>
        </w:rPr>
        <w:t>, izračun iz cene zdravila na debelo z upoštevanjem najnižje cene zdravila na debelo.</w:t>
      </w:r>
    </w:p>
    <w:p w14:paraId="443366F9" w14:textId="77777777" w:rsidR="00690336" w:rsidRPr="00E4748C" w:rsidRDefault="00690336" w:rsidP="00D73BFA">
      <w:pPr>
        <w:pStyle w:val="Odstavekseznama"/>
        <w:spacing w:after="0" w:line="240" w:lineRule="auto"/>
        <w:ind w:left="1069"/>
        <w:jc w:val="both"/>
        <w:rPr>
          <w:rFonts w:ascii="Arial" w:hAnsi="Arial" w:cs="Arial"/>
        </w:rPr>
      </w:pPr>
    </w:p>
    <w:p w14:paraId="03022844" w14:textId="101E8AC1" w:rsidR="00690336" w:rsidRPr="00E4748C" w:rsidRDefault="002E16C4" w:rsidP="00C3258E">
      <w:pPr>
        <w:pStyle w:val="Odstavekseznama"/>
        <w:numPr>
          <w:ilvl w:val="0"/>
          <w:numId w:val="5"/>
        </w:numPr>
        <w:spacing w:after="0" w:line="240" w:lineRule="auto"/>
        <w:ind w:firstLine="709"/>
        <w:jc w:val="both"/>
        <w:rPr>
          <w:rFonts w:ascii="Arial" w:hAnsi="Arial" w:cs="Arial"/>
        </w:rPr>
      </w:pPr>
      <w:r w:rsidRPr="00E4748C">
        <w:rPr>
          <w:rFonts w:ascii="Arial" w:hAnsi="Arial" w:cs="Arial"/>
        </w:rPr>
        <w:t xml:space="preserve">Predlagatelj na obrazcu B1 iz Priloge 1 tega pravilnika navede </w:t>
      </w:r>
      <w:r w:rsidRPr="004D236F">
        <w:rPr>
          <w:rFonts w:ascii="Arial" w:hAnsi="Arial" w:cs="Arial"/>
        </w:rPr>
        <w:t>uporabljen vir</w:t>
      </w:r>
      <w:r w:rsidRPr="00E4748C">
        <w:rPr>
          <w:rFonts w:ascii="Arial" w:hAnsi="Arial" w:cs="Arial"/>
        </w:rPr>
        <w:t xml:space="preserve"> in ceno iz prejšnjega odstavka ter datum zajema podatkov.</w:t>
      </w:r>
    </w:p>
    <w:p w14:paraId="04CF68F6" w14:textId="77777777" w:rsidR="00690336" w:rsidRPr="00E4748C" w:rsidRDefault="00690336" w:rsidP="00D73BFA">
      <w:pPr>
        <w:pStyle w:val="Odstavekseznama"/>
        <w:spacing w:after="0" w:line="240" w:lineRule="auto"/>
        <w:ind w:left="709"/>
        <w:jc w:val="both"/>
        <w:rPr>
          <w:rFonts w:ascii="Arial" w:hAnsi="Arial" w:cs="Arial"/>
        </w:rPr>
      </w:pPr>
    </w:p>
    <w:p w14:paraId="23FA57F3" w14:textId="4BB6E821" w:rsidR="002776AE" w:rsidRPr="00E4748C" w:rsidRDefault="002E16C4" w:rsidP="00C3258E">
      <w:pPr>
        <w:pStyle w:val="Odstavekseznama"/>
        <w:numPr>
          <w:ilvl w:val="0"/>
          <w:numId w:val="5"/>
        </w:numPr>
        <w:spacing w:after="0" w:line="240" w:lineRule="auto"/>
        <w:ind w:firstLine="709"/>
        <w:jc w:val="both"/>
        <w:rPr>
          <w:rFonts w:ascii="Arial" w:hAnsi="Arial" w:cs="Arial"/>
        </w:rPr>
      </w:pPr>
      <w:r w:rsidRPr="00E4748C">
        <w:rPr>
          <w:rFonts w:ascii="Arial" w:hAnsi="Arial" w:cs="Arial"/>
        </w:rPr>
        <w:t xml:space="preserve">Cene iz </w:t>
      </w:r>
      <w:r w:rsidR="0080722B" w:rsidRPr="00E4748C">
        <w:rPr>
          <w:rFonts w:ascii="Arial" w:hAnsi="Arial" w:cs="Arial"/>
        </w:rPr>
        <w:t xml:space="preserve">vira podatkov </w:t>
      </w:r>
      <w:r w:rsidRPr="00E4748C">
        <w:rPr>
          <w:rFonts w:ascii="Arial" w:hAnsi="Arial" w:cs="Arial"/>
        </w:rPr>
        <w:t>primerjalnih držav se za posamezno primerjalno državo preračunajo na naslednji način:</w:t>
      </w:r>
    </w:p>
    <w:p w14:paraId="560CC0AF" w14:textId="247F182E" w:rsidR="002776AE" w:rsidRPr="00E4748C" w:rsidRDefault="002E16C4" w:rsidP="00C3258E">
      <w:pPr>
        <w:pStyle w:val="Odstavekseznama"/>
        <w:numPr>
          <w:ilvl w:val="0"/>
          <w:numId w:val="19"/>
        </w:numPr>
        <w:spacing w:after="0" w:line="240" w:lineRule="auto"/>
        <w:rPr>
          <w:rFonts w:ascii="Arial" w:hAnsi="Arial" w:cs="Arial"/>
        </w:rPr>
      </w:pPr>
      <w:r w:rsidRPr="00E4748C">
        <w:rPr>
          <w:rFonts w:ascii="Arial" w:hAnsi="Arial" w:cs="Arial"/>
        </w:rPr>
        <w:t>za Nemčijo se cene preračunajo tako, da se uporabi Enačba 1, ki je v Prilogi 2, ki je sestavni del tega pravilnika;</w:t>
      </w:r>
    </w:p>
    <w:p w14:paraId="4248EC1A" w14:textId="207E488D" w:rsidR="002776AE" w:rsidRPr="00E4748C" w:rsidRDefault="002E16C4" w:rsidP="00C3258E">
      <w:pPr>
        <w:pStyle w:val="Odstavekseznama"/>
        <w:numPr>
          <w:ilvl w:val="0"/>
          <w:numId w:val="19"/>
        </w:numPr>
        <w:spacing w:after="0" w:line="240" w:lineRule="auto"/>
        <w:rPr>
          <w:rFonts w:ascii="Arial" w:hAnsi="Arial" w:cs="Arial"/>
        </w:rPr>
      </w:pPr>
      <w:r w:rsidRPr="00E4748C">
        <w:rPr>
          <w:rFonts w:ascii="Arial" w:hAnsi="Arial" w:cs="Arial"/>
        </w:rPr>
        <w:t>za Francijo se cene preračunajo tako, da se uporabita Enačba 2 in Tabela 1, ki sta v Prilogi 2 tega pravilnika;</w:t>
      </w:r>
    </w:p>
    <w:p w14:paraId="0296809C" w14:textId="7537AE2B" w:rsidR="002776AE" w:rsidRPr="00E4748C" w:rsidRDefault="002E16C4" w:rsidP="00C3258E">
      <w:pPr>
        <w:pStyle w:val="Odstavekseznama"/>
        <w:numPr>
          <w:ilvl w:val="0"/>
          <w:numId w:val="19"/>
        </w:numPr>
        <w:spacing w:after="0" w:line="240" w:lineRule="auto"/>
        <w:rPr>
          <w:rFonts w:ascii="Arial" w:hAnsi="Arial" w:cs="Arial"/>
        </w:rPr>
      </w:pPr>
      <w:r w:rsidRPr="00E4748C">
        <w:rPr>
          <w:rFonts w:ascii="Arial" w:hAnsi="Arial" w:cs="Arial"/>
        </w:rPr>
        <w:t>za Avstrijo se cene preračunajo tako, da se uporabi Tabela 2, ki je v Prilogi 2 tega pravilnika.</w:t>
      </w:r>
    </w:p>
    <w:p w14:paraId="51EA3E1B" w14:textId="33D946D2" w:rsidR="00745C1B" w:rsidRPr="00E4748C" w:rsidRDefault="00745C1B" w:rsidP="00D73BFA">
      <w:pPr>
        <w:pStyle w:val="Odstavekseznama"/>
        <w:spacing w:after="0" w:line="240" w:lineRule="auto"/>
        <w:ind w:left="709"/>
        <w:jc w:val="both"/>
        <w:rPr>
          <w:rFonts w:ascii="Arial" w:hAnsi="Arial" w:cs="Arial"/>
        </w:rPr>
      </w:pPr>
    </w:p>
    <w:p w14:paraId="74FE9C6D" w14:textId="36424D20" w:rsidR="002E16C4" w:rsidRPr="00E4748C" w:rsidRDefault="002E16C4" w:rsidP="00C3258E">
      <w:pPr>
        <w:pStyle w:val="Odstavekseznama"/>
        <w:numPr>
          <w:ilvl w:val="0"/>
          <w:numId w:val="5"/>
        </w:numPr>
        <w:spacing w:after="0" w:line="240" w:lineRule="auto"/>
        <w:ind w:firstLine="709"/>
        <w:jc w:val="both"/>
        <w:rPr>
          <w:rFonts w:ascii="Arial" w:hAnsi="Arial" w:cs="Arial"/>
        </w:rPr>
      </w:pPr>
      <w:r w:rsidRPr="00E4748C">
        <w:rPr>
          <w:rFonts w:ascii="Arial" w:hAnsi="Arial" w:cs="Arial"/>
        </w:rPr>
        <w:lastRenderedPageBreak/>
        <w:t>Ne glede na prejšnji odstavek zavezanci kot primerjalne cene zdravil pri zdravilih, ki se v primerjalnih državah prodajajo izvajalcem zdravstvenih storitev neposredno mimo veletrgovcev, neposredno upoštevajo cene, navedene v viru primerjalne države.</w:t>
      </w:r>
    </w:p>
    <w:p w14:paraId="66C4016C" w14:textId="77777777" w:rsidR="002776AE" w:rsidRPr="00E4748C" w:rsidRDefault="002776AE" w:rsidP="00D73BFA">
      <w:pPr>
        <w:pStyle w:val="Odstavekseznama"/>
        <w:spacing w:after="0" w:line="240" w:lineRule="auto"/>
        <w:ind w:left="709"/>
        <w:jc w:val="both"/>
        <w:rPr>
          <w:rFonts w:ascii="Arial" w:hAnsi="Arial" w:cs="Arial"/>
        </w:rPr>
      </w:pPr>
    </w:p>
    <w:p w14:paraId="087787F2" w14:textId="4633A93C" w:rsidR="002E16C4" w:rsidRPr="00E4748C" w:rsidRDefault="002E16C4" w:rsidP="00D73BFA">
      <w:pPr>
        <w:pStyle w:val="Odstavekseznama"/>
        <w:numPr>
          <w:ilvl w:val="0"/>
          <w:numId w:val="5"/>
        </w:numPr>
        <w:spacing w:after="0" w:line="240" w:lineRule="auto"/>
        <w:ind w:firstLine="709"/>
        <w:jc w:val="both"/>
        <w:rPr>
          <w:rFonts w:ascii="Arial" w:hAnsi="Arial" w:cs="Arial"/>
        </w:rPr>
      </w:pPr>
      <w:r w:rsidRPr="00E4748C">
        <w:rPr>
          <w:rFonts w:ascii="Arial" w:hAnsi="Arial" w:cs="Arial"/>
        </w:rPr>
        <w:t>Zavezanci v primeru iz prejšnjega odstavka predložijo:</w:t>
      </w:r>
    </w:p>
    <w:p w14:paraId="6CA6FE1E" w14:textId="636FF8DB" w:rsidR="002E16C4" w:rsidRPr="00E4748C" w:rsidRDefault="002E16C4" w:rsidP="00C3258E">
      <w:pPr>
        <w:pStyle w:val="Odstavekseznama"/>
        <w:numPr>
          <w:ilvl w:val="0"/>
          <w:numId w:val="20"/>
        </w:numPr>
        <w:spacing w:after="0" w:line="240" w:lineRule="auto"/>
        <w:jc w:val="both"/>
        <w:rPr>
          <w:rFonts w:ascii="Arial" w:hAnsi="Arial" w:cs="Arial"/>
        </w:rPr>
      </w:pPr>
      <w:r w:rsidRPr="00E4748C">
        <w:rPr>
          <w:rFonts w:ascii="Arial" w:hAnsi="Arial" w:cs="Arial"/>
        </w:rPr>
        <w:t>izjavo o obstoju tega načina prodaje zdravil;</w:t>
      </w:r>
    </w:p>
    <w:p w14:paraId="5D6FAF5F" w14:textId="08F13C64" w:rsidR="002E16C4" w:rsidRPr="00E4748C" w:rsidRDefault="002E16C4" w:rsidP="00C3258E">
      <w:pPr>
        <w:pStyle w:val="Odstavekseznama"/>
        <w:numPr>
          <w:ilvl w:val="0"/>
          <w:numId w:val="20"/>
        </w:numPr>
        <w:spacing w:after="0" w:line="240" w:lineRule="auto"/>
        <w:jc w:val="both"/>
        <w:rPr>
          <w:rFonts w:ascii="Arial" w:hAnsi="Arial" w:cs="Arial"/>
        </w:rPr>
      </w:pPr>
      <w:r w:rsidRPr="00E4748C">
        <w:rPr>
          <w:rFonts w:ascii="Arial" w:hAnsi="Arial" w:cs="Arial"/>
        </w:rPr>
        <w:t xml:space="preserve">preračun cene v skladu s tem pravilnikom z upoštevanjem dejanske prodajne cene na debelo in z obrazložitvijo za vsako od primerjalnih držav ter </w:t>
      </w:r>
    </w:p>
    <w:p w14:paraId="20A7ADB3" w14:textId="3702B4E1" w:rsidR="002E16C4" w:rsidRPr="00E4748C" w:rsidRDefault="002E16C4" w:rsidP="00C3258E">
      <w:pPr>
        <w:pStyle w:val="Odstavekseznama"/>
        <w:numPr>
          <w:ilvl w:val="0"/>
          <w:numId w:val="20"/>
        </w:numPr>
        <w:spacing w:after="0" w:line="240" w:lineRule="auto"/>
        <w:jc w:val="both"/>
        <w:rPr>
          <w:rFonts w:ascii="Arial" w:hAnsi="Arial" w:cs="Arial"/>
        </w:rPr>
      </w:pPr>
      <w:r w:rsidRPr="00E4748C">
        <w:rPr>
          <w:rFonts w:ascii="Arial" w:hAnsi="Arial" w:cs="Arial"/>
        </w:rPr>
        <w:t>dokazilo o dejanski prodajni ceni na debelo, ki, če predstavlja plačilni dokument, ne sme biti starejše od treh mesecev.</w:t>
      </w:r>
      <w:r w:rsidR="00E52AE6" w:rsidRPr="00E4748C">
        <w:rPr>
          <w:rFonts w:ascii="Arial" w:hAnsi="Arial" w:cs="Arial"/>
        </w:rPr>
        <w:t>«</w:t>
      </w:r>
      <w:r w:rsidR="008642DC">
        <w:rPr>
          <w:rFonts w:ascii="Arial" w:hAnsi="Arial" w:cs="Arial"/>
        </w:rPr>
        <w:t>.</w:t>
      </w:r>
    </w:p>
    <w:p w14:paraId="5BBF6BDD" w14:textId="77777777" w:rsidR="002E16C4" w:rsidRPr="00E4748C" w:rsidRDefault="002E16C4" w:rsidP="00043E1D">
      <w:pPr>
        <w:spacing w:line="240" w:lineRule="auto"/>
        <w:contextualSpacing/>
        <w:jc w:val="both"/>
        <w:rPr>
          <w:rFonts w:ascii="Arial" w:hAnsi="Arial" w:cs="Arial"/>
        </w:rPr>
      </w:pPr>
    </w:p>
    <w:p w14:paraId="5999F432" w14:textId="77777777" w:rsidR="00B50A60" w:rsidRPr="00E4748C" w:rsidRDefault="00B50A60" w:rsidP="00B50A60">
      <w:pPr>
        <w:pStyle w:val="Odstavekseznama"/>
        <w:numPr>
          <w:ilvl w:val="0"/>
          <w:numId w:val="1"/>
        </w:numPr>
        <w:spacing w:line="240" w:lineRule="auto"/>
        <w:jc w:val="center"/>
        <w:rPr>
          <w:rFonts w:ascii="Arial" w:hAnsi="Arial" w:cs="Arial"/>
        </w:rPr>
      </w:pPr>
      <w:r w:rsidRPr="00E4748C">
        <w:rPr>
          <w:rFonts w:ascii="Arial" w:hAnsi="Arial" w:cs="Arial"/>
        </w:rPr>
        <w:t>člen</w:t>
      </w:r>
    </w:p>
    <w:p w14:paraId="023A061F" w14:textId="49A6B508" w:rsidR="00F32F21" w:rsidRDefault="00A63125" w:rsidP="009F7E9C">
      <w:pPr>
        <w:spacing w:line="240" w:lineRule="auto"/>
        <w:ind w:firstLine="709"/>
        <w:contextualSpacing/>
        <w:jc w:val="both"/>
        <w:rPr>
          <w:rFonts w:ascii="Arial" w:hAnsi="Arial" w:cs="Arial"/>
        </w:rPr>
      </w:pPr>
      <w:r w:rsidRPr="00E4748C">
        <w:rPr>
          <w:rFonts w:ascii="Arial" w:hAnsi="Arial" w:cs="Arial"/>
        </w:rPr>
        <w:t>V 12. členu se v drugem odstavku č</w:t>
      </w:r>
      <w:r w:rsidR="00E52AE6" w:rsidRPr="00E4748C">
        <w:rPr>
          <w:rFonts w:ascii="Arial" w:hAnsi="Arial" w:cs="Arial"/>
        </w:rPr>
        <w:t xml:space="preserve">etrta alineja spremeni tako, da se glasi: </w:t>
      </w:r>
    </w:p>
    <w:p w14:paraId="1B7BE068" w14:textId="77777777" w:rsidR="00E4748C" w:rsidRPr="00E4748C" w:rsidRDefault="00E4748C" w:rsidP="00043E1D">
      <w:pPr>
        <w:spacing w:line="240" w:lineRule="auto"/>
        <w:contextualSpacing/>
        <w:jc w:val="both"/>
        <w:rPr>
          <w:rFonts w:ascii="Arial" w:hAnsi="Arial" w:cs="Arial"/>
        </w:rPr>
      </w:pPr>
    </w:p>
    <w:p w14:paraId="07099294" w14:textId="5F0D3227" w:rsidR="00E52AE6" w:rsidRPr="00E4748C" w:rsidRDefault="00E52AE6" w:rsidP="00B50A60">
      <w:pPr>
        <w:spacing w:line="240" w:lineRule="auto"/>
        <w:jc w:val="both"/>
        <w:rPr>
          <w:rFonts w:ascii="Arial" w:hAnsi="Arial" w:cs="Arial"/>
        </w:rPr>
      </w:pPr>
      <w:r w:rsidRPr="00E4748C">
        <w:rPr>
          <w:rFonts w:ascii="Arial" w:hAnsi="Arial" w:cs="Arial"/>
        </w:rPr>
        <w:t>»</w:t>
      </w:r>
      <w:r w:rsidR="008901CF" w:rsidRPr="00E4748C">
        <w:rPr>
          <w:rFonts w:ascii="Arial" w:hAnsi="Arial" w:cs="Arial"/>
        </w:rPr>
        <w:t>–</w:t>
      </w:r>
      <w:r w:rsidR="00B50A60" w:rsidRPr="00E4748C">
        <w:rPr>
          <w:rFonts w:ascii="Arial" w:hAnsi="Arial" w:cs="Arial"/>
        </w:rPr>
        <w:t xml:space="preserve"> če je generično zdravilo prisotno na trgu le</w:t>
      </w:r>
      <w:r w:rsidR="00A63125" w:rsidRPr="00E4748C">
        <w:rPr>
          <w:rFonts w:ascii="Arial" w:hAnsi="Arial" w:cs="Arial"/>
        </w:rPr>
        <w:t xml:space="preserve"> </w:t>
      </w:r>
      <w:r w:rsidR="00B50A60" w:rsidRPr="00E4748C">
        <w:rPr>
          <w:rFonts w:ascii="Arial" w:hAnsi="Arial" w:cs="Arial"/>
        </w:rPr>
        <w:t>v eni primerjalni državi in v nobeni primerjalni državi ni originalnega zdravila, je primerjalna cena zdravila povprečje najvišje in najnižje vrednosti preračunane cene v tej državi. Če je v tej državi prisotno le eno generično zdravilo, se upošteva njegova cena. Vrednost PEC generičnega zdravila lahko dosega največ 72 odstotkov primerjalne cene.«</w:t>
      </w:r>
      <w:r w:rsidR="008642DC">
        <w:rPr>
          <w:rFonts w:ascii="Arial" w:hAnsi="Arial" w:cs="Arial"/>
        </w:rPr>
        <w:t>.</w:t>
      </w:r>
    </w:p>
    <w:p w14:paraId="1548FDE7" w14:textId="77777777" w:rsidR="000957BE" w:rsidRPr="00E4748C" w:rsidRDefault="000957BE" w:rsidP="00652E3B">
      <w:pPr>
        <w:spacing w:line="240" w:lineRule="auto"/>
        <w:contextualSpacing/>
        <w:rPr>
          <w:rFonts w:ascii="Arial" w:hAnsi="Arial" w:cs="Arial"/>
        </w:rPr>
      </w:pPr>
    </w:p>
    <w:p w14:paraId="60F321A6" w14:textId="38F354BB" w:rsidR="00B50A60" w:rsidRPr="00D13361" w:rsidRDefault="00B50A60" w:rsidP="00B50A60">
      <w:pPr>
        <w:pStyle w:val="Odstavekseznama"/>
        <w:numPr>
          <w:ilvl w:val="0"/>
          <w:numId w:val="1"/>
        </w:numPr>
        <w:spacing w:line="240" w:lineRule="auto"/>
        <w:jc w:val="center"/>
        <w:rPr>
          <w:rFonts w:ascii="Arial" w:hAnsi="Arial" w:cs="Arial"/>
        </w:rPr>
      </w:pPr>
      <w:r w:rsidRPr="00E4748C">
        <w:rPr>
          <w:rFonts w:ascii="Arial" w:hAnsi="Arial" w:cs="Arial"/>
        </w:rPr>
        <w:t>člen</w:t>
      </w:r>
    </w:p>
    <w:p w14:paraId="6A5ED17B" w14:textId="028F9620" w:rsidR="00325137" w:rsidRPr="00E4748C" w:rsidRDefault="00325137" w:rsidP="009F7E9C">
      <w:pPr>
        <w:spacing w:line="240" w:lineRule="auto"/>
        <w:ind w:firstLine="709"/>
        <w:rPr>
          <w:rFonts w:ascii="Arial" w:hAnsi="Arial" w:cs="Arial"/>
        </w:rPr>
      </w:pPr>
      <w:r w:rsidRPr="00E4748C">
        <w:rPr>
          <w:rFonts w:ascii="Arial" w:hAnsi="Arial" w:cs="Arial"/>
        </w:rPr>
        <w:t xml:space="preserve">15. člen se spremeni tako, da se glasi: </w:t>
      </w:r>
    </w:p>
    <w:p w14:paraId="597EF130" w14:textId="2F369090" w:rsidR="00CF1E5A" w:rsidRPr="00E4748C" w:rsidRDefault="00CF1E5A" w:rsidP="00507B5E">
      <w:pPr>
        <w:spacing w:line="240" w:lineRule="auto"/>
        <w:jc w:val="center"/>
        <w:rPr>
          <w:rFonts w:ascii="Arial" w:hAnsi="Arial" w:cs="Arial"/>
        </w:rPr>
      </w:pPr>
      <w:r w:rsidRPr="00E4748C">
        <w:rPr>
          <w:rFonts w:ascii="Arial" w:hAnsi="Arial" w:cs="Arial"/>
        </w:rPr>
        <w:t>»15. člen</w:t>
      </w:r>
    </w:p>
    <w:p w14:paraId="52973AB1" w14:textId="72A62E13" w:rsidR="00325137" w:rsidRPr="00E4748C" w:rsidRDefault="00325137" w:rsidP="001319B3">
      <w:pPr>
        <w:pStyle w:val="Odstavek"/>
        <w:numPr>
          <w:ilvl w:val="0"/>
          <w:numId w:val="9"/>
        </w:numPr>
        <w:ind w:left="0" w:firstLine="709"/>
      </w:pPr>
      <w:r w:rsidRPr="00E4748C">
        <w:t>Ne glede na določbo drugega odstavka 9. člena tega pravilnika vloga, če v</w:t>
      </w:r>
      <w:r w:rsidR="00C24F56" w:rsidRPr="00E4748C">
        <w:t xml:space="preserve"> </w:t>
      </w:r>
      <w:r w:rsidRPr="00E4748C">
        <w:t>primerjalnih državah ni niti generičnega niti originalnega zdravila, vsebuje naslednje sestavine:</w:t>
      </w:r>
    </w:p>
    <w:p w14:paraId="0EB37E6E" w14:textId="2FB0A511" w:rsidR="00325137" w:rsidRPr="00E4748C" w:rsidRDefault="00325137" w:rsidP="00D13361">
      <w:pPr>
        <w:pStyle w:val="Alineazaodstavkom"/>
        <w:numPr>
          <w:ilvl w:val="0"/>
          <w:numId w:val="17"/>
        </w:numPr>
      </w:pPr>
      <w:r w:rsidRPr="00E4748C">
        <w:t>obrazloženi predlog najvišje dovoljene cene zdravila na debelo;</w:t>
      </w:r>
    </w:p>
    <w:p w14:paraId="17060B8B" w14:textId="5563211F" w:rsidR="00325137" w:rsidRPr="00E4748C" w:rsidRDefault="00325137" w:rsidP="00D13361">
      <w:pPr>
        <w:pStyle w:val="Alineazaodstavkom"/>
        <w:numPr>
          <w:ilvl w:val="0"/>
          <w:numId w:val="17"/>
        </w:numPr>
      </w:pPr>
      <w:r w:rsidRPr="00E4748C">
        <w:t>podatek o dosedanji veljavni ceni zdravila na debelo oziroma najvišji dovoljeni ceni zdravila in podatke o njeni strukturi (delež, namenjen pokritju stroškov izdelave, ki vključujejo tudi stroške, ki izhajajo iz zahtev pristojnih organov na podlagi predpisov, ki urejajo zdravila, cene zdravil, kritja zdravil iz zdravstvenega zavarovanja in stroškov trgovine na debelo), če so bile te cene določene;</w:t>
      </w:r>
    </w:p>
    <w:p w14:paraId="5DF59535" w14:textId="75DB6528" w:rsidR="00325137" w:rsidRPr="00E4748C" w:rsidRDefault="00325137" w:rsidP="00D13361">
      <w:pPr>
        <w:pStyle w:val="Alineazaodstavkom"/>
        <w:numPr>
          <w:ilvl w:val="0"/>
          <w:numId w:val="17"/>
        </w:numPr>
      </w:pPr>
      <w:r w:rsidRPr="00E4748C">
        <w:t>podatke o proizvajalčevih cenah in cenah istega zdravila</w:t>
      </w:r>
      <w:r w:rsidR="00C5585F" w:rsidRPr="00E4748C">
        <w:t xml:space="preserve"> na debelo brez davka na dodano vrednost CIP kupec</w:t>
      </w:r>
      <w:r w:rsidRPr="00E4748C">
        <w:t xml:space="preserve"> v drugih državah članicah EU in državah podpisnicah Sporazuma o EGP, če v posamezni državi na trgu ni enakega pakiranja, se navaja po številu enot primerljivo pakiranje. V primeru, da zdravilo ni prisotno na trgu v drugih državah članicah EU oziroma državah podpisnicah Sporazuma o EGP, predlagatelj navede ustrezne podatke za druge evropske države, z navedbo vira in na obrazcu B3 iz Priloge 1 tega pravilnika v elektronski obliki v </w:t>
      </w:r>
      <w:proofErr w:type="spellStart"/>
      <w:r w:rsidRPr="00E4748C">
        <w:t>xls</w:t>
      </w:r>
      <w:proofErr w:type="spellEnd"/>
      <w:r w:rsidRPr="00E4748C">
        <w:t xml:space="preserve"> formatu;</w:t>
      </w:r>
    </w:p>
    <w:p w14:paraId="3169F78F" w14:textId="023BBCB8" w:rsidR="00325137" w:rsidRPr="00E4748C" w:rsidRDefault="00325137" w:rsidP="00D13361">
      <w:pPr>
        <w:pStyle w:val="Alineazaodstavkom"/>
        <w:numPr>
          <w:ilvl w:val="0"/>
          <w:numId w:val="17"/>
        </w:numPr>
      </w:pPr>
      <w:r w:rsidRPr="00E4748C">
        <w:t xml:space="preserve">podatke o financiranju zdravila iz javnih sredstev v drugih državah članicah EU </w:t>
      </w:r>
      <w:r w:rsidR="00C5585F" w:rsidRPr="00E4748C">
        <w:t xml:space="preserve">in </w:t>
      </w:r>
      <w:r w:rsidRPr="00E4748C">
        <w:t>državah podpisnicah Sporazuma o EGP, v katerih je po podatkih zavezanca to zdravilo prisotno na trgu;</w:t>
      </w:r>
    </w:p>
    <w:p w14:paraId="494AF29A" w14:textId="6EB9969F" w:rsidR="00325137" w:rsidRPr="00E4748C" w:rsidRDefault="00325137" w:rsidP="00D13361">
      <w:pPr>
        <w:pStyle w:val="Alineazaodstavkom"/>
        <w:numPr>
          <w:ilvl w:val="0"/>
          <w:numId w:val="17"/>
        </w:numPr>
      </w:pPr>
      <w:r w:rsidRPr="00E4748C">
        <w:t>dokazila o podatkih iz vloge.</w:t>
      </w:r>
    </w:p>
    <w:p w14:paraId="63BBB9D4" w14:textId="1849F722" w:rsidR="008F1AA7" w:rsidRPr="00E4748C" w:rsidRDefault="00325137" w:rsidP="001319B3">
      <w:pPr>
        <w:pStyle w:val="Odstavek"/>
        <w:numPr>
          <w:ilvl w:val="0"/>
          <w:numId w:val="9"/>
        </w:numPr>
        <w:ind w:left="0" w:firstLine="709"/>
      </w:pPr>
      <w:r w:rsidRPr="0068601C">
        <w:t>JAZMP lahko cene</w:t>
      </w:r>
      <w:r w:rsidRPr="00E4748C">
        <w:t xml:space="preserve"> zdravil v drugih državah</w:t>
      </w:r>
      <w:r w:rsidR="00EB286D" w:rsidRPr="00E4748C">
        <w:t xml:space="preserve"> članicah EU in državah podpisnicah Sporazuma o EGP</w:t>
      </w:r>
      <w:r w:rsidRPr="00E4748C">
        <w:t xml:space="preserve"> </w:t>
      </w:r>
      <w:r w:rsidR="0068601C">
        <w:t xml:space="preserve">ter drugih evropskih državah </w:t>
      </w:r>
      <w:r w:rsidRPr="00E4748C">
        <w:t>preveri v javno dostopnih podatkovnih zbirkah oziroma v spletnih virih in te podatke uporabi pri izračunu PEC.</w:t>
      </w:r>
    </w:p>
    <w:p w14:paraId="3BD36D80" w14:textId="18B2BBC0" w:rsidR="00D80E12" w:rsidRPr="00E4748C" w:rsidRDefault="00325137" w:rsidP="001319B3">
      <w:pPr>
        <w:pStyle w:val="Odstavek"/>
        <w:numPr>
          <w:ilvl w:val="0"/>
          <w:numId w:val="9"/>
        </w:numPr>
        <w:ind w:left="0" w:firstLine="709"/>
      </w:pPr>
      <w:r w:rsidRPr="00E4748C">
        <w:t xml:space="preserve">Vrednost PEC se ugotovi kot mediana proizvajalčevih cen na podlagi podatkov zavezanca z upoštevanjem ugotovljenih cen iz prejšnjega odstavka, v drugih državah članicah EU in državah podpisnicah Sporazuma o EGP, v katerih se zdravilo trži in je financirano iz </w:t>
      </w:r>
      <w:r w:rsidRPr="00E4748C">
        <w:lastRenderedPageBreak/>
        <w:t xml:space="preserve">javnih sredstev. Če zdravilo ni prisotno na trgu drugih držav članic EU in držav podpisnic Sporazuma o EGP, se vrednost PEC ugotovi kot mediana proizvajalčevih </w:t>
      </w:r>
      <w:r w:rsidRPr="0068601C">
        <w:t>cen v drugih evropskih državah,</w:t>
      </w:r>
      <w:r w:rsidRPr="00E4748C">
        <w:t xml:space="preserve"> v katerih je zdravilo prisotno na trgu. V primeru, da je zdravilo prisotno samo na trgu v Republiki Sloveniji, se vrednost PEC izračuna iz trenutno veljavne najvišje dovoljene cene tega zdravila.</w:t>
      </w:r>
    </w:p>
    <w:p w14:paraId="5AEC6DBF" w14:textId="7B73471B" w:rsidR="00325137" w:rsidRPr="00E4748C" w:rsidRDefault="00325137" w:rsidP="001319B3">
      <w:pPr>
        <w:pStyle w:val="Odstavek"/>
        <w:numPr>
          <w:ilvl w:val="0"/>
          <w:numId w:val="9"/>
        </w:numPr>
        <w:ind w:left="0" w:firstLine="709"/>
      </w:pPr>
      <w:r w:rsidRPr="00E4748C">
        <w:t>Najvišja dovoljena cena zdravila je enaka vrednosti PEC iz prejšnjega odstavka, povečana največ za dodani delež veletrgovine, na podlagi tabele iz Priloge 3, ki je sestavni del tega pravilnika.</w:t>
      </w:r>
      <w:r w:rsidR="004A4B5D" w:rsidRPr="00E4748C">
        <w:t>«</w:t>
      </w:r>
      <w:r w:rsidR="0065383C">
        <w:t>.</w:t>
      </w:r>
    </w:p>
    <w:p w14:paraId="66DD6E38" w14:textId="77777777" w:rsidR="00B50A60" w:rsidRPr="00E4748C" w:rsidRDefault="00B50A60" w:rsidP="00652E3B">
      <w:pPr>
        <w:spacing w:line="240" w:lineRule="auto"/>
        <w:contextualSpacing/>
        <w:rPr>
          <w:rFonts w:ascii="Arial" w:hAnsi="Arial" w:cs="Arial"/>
        </w:rPr>
      </w:pPr>
    </w:p>
    <w:p w14:paraId="6CB9D695" w14:textId="1B6B28DF" w:rsidR="004A4B5D" w:rsidRPr="005E775C" w:rsidRDefault="004A4B5D" w:rsidP="005E775C">
      <w:pPr>
        <w:pStyle w:val="Odstavekseznama"/>
        <w:numPr>
          <w:ilvl w:val="0"/>
          <w:numId w:val="1"/>
        </w:numPr>
        <w:spacing w:line="240" w:lineRule="auto"/>
        <w:jc w:val="center"/>
        <w:rPr>
          <w:rFonts w:ascii="Arial" w:hAnsi="Arial" w:cs="Arial"/>
        </w:rPr>
      </w:pPr>
      <w:r w:rsidRPr="00E4748C">
        <w:rPr>
          <w:rFonts w:ascii="Arial" w:hAnsi="Arial" w:cs="Arial"/>
        </w:rPr>
        <w:t>člen</w:t>
      </w:r>
    </w:p>
    <w:p w14:paraId="306A1122" w14:textId="41C3273B" w:rsidR="00056578" w:rsidRPr="00E4748C" w:rsidRDefault="00056578" w:rsidP="001319B3">
      <w:pPr>
        <w:pStyle w:val="Odstavek"/>
        <w:ind w:firstLine="709"/>
      </w:pPr>
      <w:r w:rsidRPr="00E4748C">
        <w:t xml:space="preserve">V 16. členu se </w:t>
      </w:r>
      <w:r w:rsidR="008642DC">
        <w:t xml:space="preserve">v </w:t>
      </w:r>
      <w:r w:rsidR="008642DC" w:rsidRPr="00E4748C">
        <w:t>prve</w:t>
      </w:r>
      <w:r w:rsidR="008642DC">
        <w:t>m</w:t>
      </w:r>
      <w:r w:rsidR="008642DC" w:rsidRPr="00E4748C">
        <w:t xml:space="preserve"> odstavk</w:t>
      </w:r>
      <w:r w:rsidR="008642DC">
        <w:t>u</w:t>
      </w:r>
      <w:r w:rsidR="008642DC" w:rsidRPr="00E4748C">
        <w:t xml:space="preserve"> </w:t>
      </w:r>
      <w:r w:rsidRPr="00E4748C">
        <w:t xml:space="preserve">prva alineja spremeni tako, da se glasi: </w:t>
      </w:r>
    </w:p>
    <w:p w14:paraId="70201AB1" w14:textId="50008F62" w:rsidR="00056578" w:rsidRPr="00E4748C" w:rsidRDefault="00056578" w:rsidP="009F7E9C">
      <w:pPr>
        <w:pStyle w:val="Odstavek"/>
        <w:ind w:firstLine="0"/>
      </w:pPr>
      <w:r w:rsidRPr="00E4748C">
        <w:t>»</w:t>
      </w:r>
      <w:r w:rsidR="0068601C">
        <w:t>–</w:t>
      </w:r>
      <w:r w:rsidRPr="00E4748C">
        <w:t xml:space="preserve"> ima zdravilo določeno najvišjo dovoljeno ceno oziroma kadar najvišja dovoljena cena še ni določena, lahko zavezanec pri JAZMP istočasno vloži vlogo za določitev najvišje dovoljene cene in izredne višje dovoljene cene zdravila;«</w:t>
      </w:r>
      <w:r w:rsidR="005E775C">
        <w:t>.</w:t>
      </w:r>
    </w:p>
    <w:p w14:paraId="46EBB13F" w14:textId="4AB9227E" w:rsidR="005E775C" w:rsidRPr="005E775C" w:rsidRDefault="00056578" w:rsidP="009F7E9C">
      <w:pPr>
        <w:pStyle w:val="Odstavek"/>
        <w:ind w:firstLine="709"/>
      </w:pPr>
      <w:r w:rsidRPr="00E4748C">
        <w:t xml:space="preserve">V </w:t>
      </w:r>
      <w:r w:rsidR="0068601C">
        <w:t xml:space="preserve">četrtem odstavku se v </w:t>
      </w:r>
      <w:r w:rsidRPr="00E4748C">
        <w:t>na</w:t>
      </w:r>
      <w:r w:rsidR="0068601C">
        <w:t>povednem</w:t>
      </w:r>
      <w:r w:rsidRPr="00E4748C">
        <w:t xml:space="preserve"> stavku </w:t>
      </w:r>
      <w:r w:rsidR="005E775C">
        <w:t xml:space="preserve">za besedo »zdravila« </w:t>
      </w:r>
      <w:r w:rsidRPr="00E4748C">
        <w:t>črta</w:t>
      </w:r>
      <w:r w:rsidR="009F7E9C">
        <w:t>ta</w:t>
      </w:r>
      <w:r w:rsidR="005E775C">
        <w:t xml:space="preserve"> vejica in</w:t>
      </w:r>
      <w:r w:rsidRPr="00E4748C">
        <w:t xml:space="preserve"> besedilo »ki niso uvrščena v seznam esencialnih ali nujno potrebnih zdravil iz 17. člena zakona,«</w:t>
      </w:r>
      <w:r w:rsidR="005E775C">
        <w:t>.</w:t>
      </w:r>
      <w:r w:rsidR="001C58F3" w:rsidRPr="00E4748C">
        <w:t xml:space="preserve"> </w:t>
      </w:r>
    </w:p>
    <w:p w14:paraId="7822660E" w14:textId="74D018C8" w:rsidR="00066B0E" w:rsidRPr="00E4748C" w:rsidRDefault="00066B0E" w:rsidP="001319B3">
      <w:pPr>
        <w:pStyle w:val="Odstavek"/>
        <w:ind w:firstLine="709"/>
      </w:pPr>
      <w:r w:rsidRPr="00E4748C">
        <w:t>V drugi in tretji alineji se črta besedi</w:t>
      </w:r>
      <w:r w:rsidR="00CC4B9F" w:rsidRPr="00E4748C">
        <w:t>lo</w:t>
      </w:r>
      <w:r w:rsidRPr="00E4748C">
        <w:t xml:space="preserve"> »</w:t>
      </w:r>
      <w:proofErr w:type="spellStart"/>
      <w:r w:rsidRPr="00E4748C">
        <w:t>pdf</w:t>
      </w:r>
      <w:proofErr w:type="spellEnd"/>
      <w:r w:rsidRPr="00E4748C">
        <w:t xml:space="preserve"> in«. </w:t>
      </w:r>
    </w:p>
    <w:p w14:paraId="5AB21322" w14:textId="77777777" w:rsidR="005E5E77" w:rsidRPr="00E4748C" w:rsidRDefault="005E5E77" w:rsidP="00056578">
      <w:pPr>
        <w:spacing w:line="240" w:lineRule="auto"/>
        <w:jc w:val="both"/>
        <w:rPr>
          <w:rFonts w:ascii="Arial" w:hAnsi="Arial" w:cs="Arial"/>
        </w:rPr>
      </w:pPr>
    </w:p>
    <w:p w14:paraId="7C94D67D" w14:textId="77777777" w:rsidR="004A4B5D" w:rsidRPr="00E4748C" w:rsidRDefault="005E5E77" w:rsidP="005E5E77">
      <w:pPr>
        <w:pStyle w:val="Odstavekseznama"/>
        <w:numPr>
          <w:ilvl w:val="0"/>
          <w:numId w:val="1"/>
        </w:numPr>
        <w:spacing w:line="240" w:lineRule="auto"/>
        <w:jc w:val="center"/>
        <w:rPr>
          <w:rFonts w:ascii="Arial" w:hAnsi="Arial" w:cs="Arial"/>
        </w:rPr>
      </w:pPr>
      <w:r w:rsidRPr="00E4748C">
        <w:rPr>
          <w:rFonts w:ascii="Arial" w:hAnsi="Arial" w:cs="Arial"/>
        </w:rPr>
        <w:t>člen</w:t>
      </w:r>
    </w:p>
    <w:p w14:paraId="74F58320" w14:textId="07063603" w:rsidR="005E5E77" w:rsidRPr="00E4748C" w:rsidRDefault="005E5E77" w:rsidP="009F7E9C">
      <w:pPr>
        <w:spacing w:line="240" w:lineRule="auto"/>
        <w:ind w:firstLine="709"/>
        <w:rPr>
          <w:rFonts w:ascii="Arial" w:hAnsi="Arial" w:cs="Arial"/>
        </w:rPr>
      </w:pPr>
      <w:r w:rsidRPr="00E4748C">
        <w:rPr>
          <w:rFonts w:ascii="Arial" w:hAnsi="Arial" w:cs="Arial"/>
        </w:rPr>
        <w:t xml:space="preserve">V 19. členu se v </w:t>
      </w:r>
      <w:r w:rsidR="0068601C" w:rsidRPr="00E4748C">
        <w:rPr>
          <w:rFonts w:ascii="Arial" w:hAnsi="Arial" w:cs="Arial"/>
        </w:rPr>
        <w:t>prve</w:t>
      </w:r>
      <w:r w:rsidR="0068601C">
        <w:rPr>
          <w:rFonts w:ascii="Arial" w:hAnsi="Arial" w:cs="Arial"/>
        </w:rPr>
        <w:t>m</w:t>
      </w:r>
      <w:r w:rsidR="0068601C" w:rsidRPr="00E4748C">
        <w:rPr>
          <w:rFonts w:ascii="Arial" w:hAnsi="Arial" w:cs="Arial"/>
        </w:rPr>
        <w:t xml:space="preserve"> odstavk</w:t>
      </w:r>
      <w:r w:rsidR="0068601C">
        <w:rPr>
          <w:rFonts w:ascii="Arial" w:hAnsi="Arial" w:cs="Arial"/>
        </w:rPr>
        <w:t>u v</w:t>
      </w:r>
      <w:r w:rsidR="0068601C" w:rsidRPr="00E4748C">
        <w:rPr>
          <w:rFonts w:ascii="Arial" w:hAnsi="Arial" w:cs="Arial"/>
        </w:rPr>
        <w:t xml:space="preserve"> </w:t>
      </w:r>
      <w:r w:rsidRPr="00E4748C">
        <w:rPr>
          <w:rFonts w:ascii="Arial" w:hAnsi="Arial" w:cs="Arial"/>
        </w:rPr>
        <w:t>prvi točki črta besedi</w:t>
      </w:r>
      <w:r w:rsidR="005221A3" w:rsidRPr="00E4748C">
        <w:rPr>
          <w:rFonts w:ascii="Arial" w:hAnsi="Arial" w:cs="Arial"/>
        </w:rPr>
        <w:t>lo</w:t>
      </w:r>
      <w:r w:rsidRPr="00E4748C">
        <w:rPr>
          <w:rFonts w:ascii="Arial" w:hAnsi="Arial" w:cs="Arial"/>
        </w:rPr>
        <w:t xml:space="preserve"> »ali več«. </w:t>
      </w:r>
    </w:p>
    <w:p w14:paraId="09B45D70" w14:textId="77777777" w:rsidR="005E5E77" w:rsidRPr="00E4748C" w:rsidRDefault="005E5E77" w:rsidP="005E5E77">
      <w:pPr>
        <w:spacing w:line="240" w:lineRule="auto"/>
        <w:rPr>
          <w:rFonts w:ascii="Arial" w:hAnsi="Arial" w:cs="Arial"/>
        </w:rPr>
      </w:pPr>
    </w:p>
    <w:p w14:paraId="67713A12" w14:textId="77777777" w:rsidR="005E5E77" w:rsidRPr="00E4748C" w:rsidRDefault="005E5E77" w:rsidP="005E5E77">
      <w:pPr>
        <w:pStyle w:val="Odstavekseznama"/>
        <w:numPr>
          <w:ilvl w:val="0"/>
          <w:numId w:val="1"/>
        </w:numPr>
        <w:spacing w:line="240" w:lineRule="auto"/>
        <w:jc w:val="center"/>
        <w:rPr>
          <w:rFonts w:ascii="Arial" w:hAnsi="Arial" w:cs="Arial"/>
        </w:rPr>
      </w:pPr>
      <w:r w:rsidRPr="00E4748C">
        <w:rPr>
          <w:rFonts w:ascii="Arial" w:hAnsi="Arial" w:cs="Arial"/>
        </w:rPr>
        <w:t>člen</w:t>
      </w:r>
    </w:p>
    <w:p w14:paraId="7DCDC111" w14:textId="77777777" w:rsidR="005E5E77" w:rsidRPr="00E4748C" w:rsidRDefault="005E5E77" w:rsidP="009F7E9C">
      <w:pPr>
        <w:spacing w:line="240" w:lineRule="auto"/>
        <w:ind w:firstLine="709"/>
        <w:rPr>
          <w:rFonts w:ascii="Arial" w:hAnsi="Arial" w:cs="Arial"/>
        </w:rPr>
      </w:pPr>
      <w:r w:rsidRPr="00E4748C">
        <w:rPr>
          <w:rFonts w:ascii="Arial" w:hAnsi="Arial" w:cs="Arial"/>
        </w:rPr>
        <w:t xml:space="preserve">V 23. členu se prvi odstavek spremeni tako, da se glasi: </w:t>
      </w:r>
    </w:p>
    <w:p w14:paraId="5974A508" w14:textId="77777777" w:rsidR="005E5E77" w:rsidRPr="00E4748C" w:rsidRDefault="005E5E77" w:rsidP="001319B3">
      <w:pPr>
        <w:pStyle w:val="Odstavek"/>
        <w:ind w:firstLine="709"/>
      </w:pPr>
      <w:r w:rsidRPr="00E4748C">
        <w:t>»(1) Za uskladitev cen zavezanci oblikujejo najvišje dovoljene cene zdravil v skladu z merili iz tega pravilnika in pri JAZMP vložijo vlogo za uskladitev najvišjih dovoljenih cen zdravil. Obdobje oddaje vloge je odvisno od razvrstitve zdravila po anatomsko-terapevtsko-kemični klasifikaciji zdravil (v nadaljnjem besedilu ATC klasifikacija), in sicer:</w:t>
      </w:r>
    </w:p>
    <w:p w14:paraId="6AEC077C" w14:textId="77777777" w:rsidR="005E5E77" w:rsidRPr="00E4748C" w:rsidRDefault="005E5E77" w:rsidP="00C3258E">
      <w:pPr>
        <w:pStyle w:val="Alineazaodstavkom"/>
        <w:numPr>
          <w:ilvl w:val="0"/>
          <w:numId w:val="18"/>
        </w:numPr>
        <w:spacing w:before="120"/>
      </w:pPr>
      <w:r w:rsidRPr="00E4748C">
        <w:t xml:space="preserve">od 1. marca do vključno 10. marca in od 1. septembra do vključno 10. septembra za zdravila, ki se razvrščajo v skupine A, B ali C na prvi ravni ATC klasifikacije;  </w:t>
      </w:r>
    </w:p>
    <w:p w14:paraId="7BE8093E" w14:textId="77777777" w:rsidR="005E5E77" w:rsidRPr="00E4748C" w:rsidRDefault="005E5E77" w:rsidP="00C3258E">
      <w:pPr>
        <w:pStyle w:val="Alineazaodstavkom"/>
        <w:numPr>
          <w:ilvl w:val="0"/>
          <w:numId w:val="18"/>
        </w:numPr>
        <w:spacing w:before="120"/>
      </w:pPr>
      <w:r w:rsidRPr="00E4748C">
        <w:t>od 1. aprila do vključno 10. aprila in od 1. oktobra do vključno 10. oktobra za zdravila, ki se razvrščajo v skupine D, G, H, J ali L na prvi ravni ATC klasifikacije;</w:t>
      </w:r>
    </w:p>
    <w:p w14:paraId="0FB790A1" w14:textId="77777777" w:rsidR="005E5E77" w:rsidRPr="00E4748C" w:rsidRDefault="005E5E77" w:rsidP="00C3258E">
      <w:pPr>
        <w:pStyle w:val="Alineazaodstavkom"/>
        <w:numPr>
          <w:ilvl w:val="0"/>
          <w:numId w:val="18"/>
        </w:numPr>
        <w:spacing w:before="120"/>
      </w:pPr>
      <w:r w:rsidRPr="00E4748C">
        <w:t>od 1. maja do vključno 10. maja in od 1. novembra do vključno 10. novembra za zdravila, ki se razvrščajo v skupine M, N, P ali R na prvi ravni ATC klasifikacije;</w:t>
      </w:r>
    </w:p>
    <w:p w14:paraId="103422C5" w14:textId="4ED899AB" w:rsidR="005E5E77" w:rsidRPr="00E4748C" w:rsidRDefault="005E5E77" w:rsidP="00C3258E">
      <w:pPr>
        <w:pStyle w:val="Alineazaodstavkom"/>
        <w:numPr>
          <w:ilvl w:val="0"/>
          <w:numId w:val="18"/>
        </w:numPr>
        <w:spacing w:before="120"/>
      </w:pPr>
      <w:r w:rsidRPr="00E4748C">
        <w:t>od 1. junija do vključno 10.junija in od 1. decembra do vključno 10. decembra za zdravila, ki se razvrščajo v skupin S ali V na prvi ravni ATC klasifikacije in za ostala zdravila oziroma za zdravila, ki še niso razvrščena po ATC klasifikaciji.«</w:t>
      </w:r>
      <w:r w:rsidR="00D80E12" w:rsidRPr="00E4748C">
        <w:t>.</w:t>
      </w:r>
      <w:r w:rsidRPr="00E4748C">
        <w:t xml:space="preserve"> </w:t>
      </w:r>
    </w:p>
    <w:p w14:paraId="6943F70D" w14:textId="77777777" w:rsidR="00C3258E" w:rsidRDefault="00C3258E" w:rsidP="00C3258E">
      <w:pPr>
        <w:pStyle w:val="Alineazaodstavkom"/>
        <w:numPr>
          <w:ilvl w:val="0"/>
          <w:numId w:val="0"/>
        </w:numPr>
        <w:spacing w:before="120"/>
        <w:ind w:left="425" w:firstLine="284"/>
      </w:pPr>
    </w:p>
    <w:p w14:paraId="3B268E79" w14:textId="6504191A" w:rsidR="00FD5FBF" w:rsidRDefault="00FD5FBF" w:rsidP="001319B3">
      <w:pPr>
        <w:pStyle w:val="Alineazaodstavkom"/>
        <w:numPr>
          <w:ilvl w:val="0"/>
          <w:numId w:val="0"/>
        </w:numPr>
        <w:spacing w:before="120"/>
        <w:ind w:firstLine="709"/>
      </w:pPr>
      <w:r w:rsidRPr="00E4748C">
        <w:t xml:space="preserve">Tretji odstavek se spremeni tako, da se glasi: </w:t>
      </w:r>
    </w:p>
    <w:p w14:paraId="3A2AA261" w14:textId="77777777" w:rsidR="00C3258E" w:rsidRPr="00E4748C" w:rsidRDefault="00C3258E" w:rsidP="00FD5FBF">
      <w:pPr>
        <w:pStyle w:val="Alineazaodstavkom"/>
        <w:numPr>
          <w:ilvl w:val="0"/>
          <w:numId w:val="0"/>
        </w:numPr>
        <w:spacing w:before="120"/>
        <w:ind w:left="425" w:hanging="425"/>
      </w:pPr>
    </w:p>
    <w:p w14:paraId="5134868E" w14:textId="10419771" w:rsidR="005F331E" w:rsidRPr="00E4748C" w:rsidRDefault="005F331E" w:rsidP="001319B3">
      <w:pPr>
        <w:pStyle w:val="Alineazatevilnotoko"/>
        <w:numPr>
          <w:ilvl w:val="0"/>
          <w:numId w:val="0"/>
        </w:numPr>
        <w:tabs>
          <w:tab w:val="clear" w:pos="567"/>
          <w:tab w:val="left" w:pos="0"/>
        </w:tabs>
        <w:ind w:firstLine="709"/>
      </w:pPr>
      <w:r w:rsidRPr="00E4748C">
        <w:t xml:space="preserve">»(3) V vlogi za uskladitev najvišjih dovoljenih cen zdravil se uporabljajo zadnje veljavne cene zdravil v mesecu pred oddajo vloge, ki so navedene v zadnji elektronski izdaji oziroma </w:t>
      </w:r>
      <w:r w:rsidRPr="00E4748C">
        <w:lastRenderedPageBreak/>
        <w:t>pripadajočem neposrednem spletnem viru ali izdajateljevem licenčnem viru v mesecu pred oddajo vloge v predpisanih</w:t>
      </w:r>
      <w:r w:rsidR="006E520C" w:rsidRPr="00E4748C">
        <w:t xml:space="preserve"> virih podatkov</w:t>
      </w:r>
      <w:r w:rsidRPr="00E4748C">
        <w:t>.«</w:t>
      </w:r>
    </w:p>
    <w:p w14:paraId="671AE42E" w14:textId="77777777" w:rsidR="00EA2753" w:rsidRPr="00E4748C" w:rsidRDefault="00EA2753" w:rsidP="00EA2753">
      <w:pPr>
        <w:pStyle w:val="Alineazatevilnotoko"/>
        <w:numPr>
          <w:ilvl w:val="0"/>
          <w:numId w:val="0"/>
        </w:numPr>
      </w:pPr>
    </w:p>
    <w:p w14:paraId="0DB09673" w14:textId="5E3060A9" w:rsidR="00EA2753" w:rsidRPr="00E4748C" w:rsidRDefault="00EA2753" w:rsidP="001319B3">
      <w:pPr>
        <w:pStyle w:val="Alineazatevilnotoko"/>
        <w:numPr>
          <w:ilvl w:val="0"/>
          <w:numId w:val="0"/>
        </w:numPr>
        <w:ind w:firstLine="709"/>
      </w:pPr>
      <w:r w:rsidRPr="00E4748C">
        <w:t>V petem odstavku se</w:t>
      </w:r>
      <w:r w:rsidR="00C3258E">
        <w:t xml:space="preserve"> v napovednem stavku</w:t>
      </w:r>
      <w:r w:rsidRPr="00E4748C">
        <w:t xml:space="preserve"> črta besedi</w:t>
      </w:r>
      <w:r w:rsidR="00E92277" w:rsidRPr="00E4748C">
        <w:t>lo</w:t>
      </w:r>
      <w:r w:rsidRPr="00E4748C">
        <w:t xml:space="preserve"> »</w:t>
      </w:r>
      <w:proofErr w:type="spellStart"/>
      <w:r w:rsidRPr="00E4748C">
        <w:t>pdf</w:t>
      </w:r>
      <w:proofErr w:type="spellEnd"/>
      <w:r w:rsidRPr="00E4748C">
        <w:t xml:space="preserve"> in«. </w:t>
      </w:r>
    </w:p>
    <w:p w14:paraId="4A88762B" w14:textId="77777777" w:rsidR="005752CE" w:rsidRPr="00E4748C" w:rsidRDefault="005752CE" w:rsidP="00EA2753">
      <w:pPr>
        <w:pStyle w:val="Alineazatevilnotoko"/>
        <w:numPr>
          <w:ilvl w:val="0"/>
          <w:numId w:val="0"/>
        </w:numPr>
      </w:pPr>
    </w:p>
    <w:p w14:paraId="702A38E5" w14:textId="5DA89BF3" w:rsidR="005752CE" w:rsidRPr="00C3258E" w:rsidRDefault="005752CE" w:rsidP="00C3258E">
      <w:pPr>
        <w:pStyle w:val="Odstavekseznama"/>
        <w:numPr>
          <w:ilvl w:val="0"/>
          <w:numId w:val="1"/>
        </w:numPr>
        <w:spacing w:line="240" w:lineRule="auto"/>
        <w:jc w:val="center"/>
        <w:rPr>
          <w:rFonts w:ascii="Arial" w:hAnsi="Arial" w:cs="Arial"/>
        </w:rPr>
      </w:pPr>
      <w:r w:rsidRPr="00C3258E">
        <w:rPr>
          <w:rFonts w:ascii="Arial" w:hAnsi="Arial" w:cs="Arial"/>
        </w:rPr>
        <w:t>člen</w:t>
      </w:r>
    </w:p>
    <w:p w14:paraId="1ED58AE6" w14:textId="77777777" w:rsidR="005752CE" w:rsidRPr="00E4748C" w:rsidRDefault="005752CE" w:rsidP="005752CE">
      <w:pPr>
        <w:pStyle w:val="Alineazatevilnotoko"/>
        <w:numPr>
          <w:ilvl w:val="0"/>
          <w:numId w:val="0"/>
        </w:numPr>
      </w:pPr>
    </w:p>
    <w:p w14:paraId="0FC04F64" w14:textId="77777777" w:rsidR="0068601C" w:rsidRDefault="005752CE" w:rsidP="001319B3">
      <w:pPr>
        <w:pStyle w:val="Alineazatevilnotoko"/>
        <w:numPr>
          <w:ilvl w:val="0"/>
          <w:numId w:val="0"/>
        </w:numPr>
        <w:ind w:firstLine="709"/>
      </w:pPr>
      <w:r w:rsidRPr="00E4748C">
        <w:t>V 24. členu se tretji odstavek</w:t>
      </w:r>
      <w:r w:rsidR="0068601C" w:rsidRPr="0068601C">
        <w:t xml:space="preserve"> </w:t>
      </w:r>
      <w:r w:rsidR="0068601C" w:rsidRPr="00E4748C">
        <w:t>črta</w:t>
      </w:r>
      <w:r w:rsidRPr="00E4748C">
        <w:t xml:space="preserve">. </w:t>
      </w:r>
    </w:p>
    <w:p w14:paraId="5C680945" w14:textId="77777777" w:rsidR="0068601C" w:rsidRDefault="0068601C" w:rsidP="005752CE">
      <w:pPr>
        <w:pStyle w:val="Alineazatevilnotoko"/>
        <w:numPr>
          <w:ilvl w:val="0"/>
          <w:numId w:val="0"/>
        </w:numPr>
      </w:pPr>
    </w:p>
    <w:p w14:paraId="530EC4AD" w14:textId="2BDCD593" w:rsidR="00F017D0" w:rsidRDefault="0068601C" w:rsidP="001319B3">
      <w:pPr>
        <w:pStyle w:val="Alineazatevilnotoko"/>
        <w:numPr>
          <w:ilvl w:val="0"/>
          <w:numId w:val="0"/>
        </w:numPr>
        <w:ind w:firstLine="709"/>
      </w:pPr>
      <w:r>
        <w:t>Dosedanji č</w:t>
      </w:r>
      <w:r w:rsidR="005752CE" w:rsidRPr="00E4748C">
        <w:t xml:space="preserve">etrti do osmi odstavek postanejo tretji do sedmi odstavek. </w:t>
      </w:r>
    </w:p>
    <w:p w14:paraId="3793BED2" w14:textId="0AF2880B" w:rsidR="0068601C" w:rsidRDefault="0068601C" w:rsidP="005752CE">
      <w:pPr>
        <w:pStyle w:val="Alineazatevilnotoko"/>
        <w:numPr>
          <w:ilvl w:val="0"/>
          <w:numId w:val="0"/>
        </w:numPr>
      </w:pPr>
    </w:p>
    <w:p w14:paraId="1559CE70" w14:textId="77777777" w:rsidR="001319B3" w:rsidRPr="00E4748C" w:rsidRDefault="001319B3" w:rsidP="005752CE">
      <w:pPr>
        <w:pStyle w:val="Alineazatevilnotoko"/>
        <w:numPr>
          <w:ilvl w:val="0"/>
          <w:numId w:val="0"/>
        </w:numPr>
      </w:pPr>
    </w:p>
    <w:p w14:paraId="58F50E86" w14:textId="3E38250F" w:rsidR="00361816" w:rsidRPr="001319B3" w:rsidRDefault="00361816" w:rsidP="001319B3">
      <w:pPr>
        <w:pStyle w:val="Odstavekseznama"/>
        <w:numPr>
          <w:ilvl w:val="0"/>
          <w:numId w:val="1"/>
        </w:numPr>
        <w:spacing w:line="240" w:lineRule="auto"/>
        <w:jc w:val="center"/>
        <w:rPr>
          <w:rFonts w:ascii="Arial" w:hAnsi="Arial" w:cs="Arial"/>
        </w:rPr>
      </w:pPr>
      <w:r w:rsidRPr="00C3258E">
        <w:rPr>
          <w:rFonts w:ascii="Arial" w:hAnsi="Arial" w:cs="Arial"/>
        </w:rPr>
        <w:t>člen</w:t>
      </w:r>
    </w:p>
    <w:p w14:paraId="789BF00B" w14:textId="77777777" w:rsidR="00F017D0" w:rsidRPr="00E4748C" w:rsidRDefault="00F017D0" w:rsidP="001319B3">
      <w:pPr>
        <w:spacing w:line="240" w:lineRule="auto"/>
        <w:ind w:firstLine="709"/>
        <w:jc w:val="both"/>
        <w:rPr>
          <w:rFonts w:ascii="Arial" w:hAnsi="Arial" w:cs="Arial"/>
        </w:rPr>
      </w:pPr>
      <w:r w:rsidRPr="00E4748C">
        <w:rPr>
          <w:rFonts w:ascii="Arial" w:hAnsi="Arial" w:cs="Arial"/>
        </w:rPr>
        <w:t>V Prilogi 2 se razdelek B nadomesti z novim razdelkom B, ki je kot priloga sestavni del tega pravilnika.</w:t>
      </w:r>
    </w:p>
    <w:p w14:paraId="1154E171" w14:textId="77777777" w:rsidR="00F017D0" w:rsidRPr="00E4748C" w:rsidRDefault="00F017D0" w:rsidP="005752CE">
      <w:pPr>
        <w:pStyle w:val="Alineazatevilnotoko"/>
        <w:numPr>
          <w:ilvl w:val="0"/>
          <w:numId w:val="0"/>
        </w:numPr>
      </w:pPr>
    </w:p>
    <w:p w14:paraId="005960E1" w14:textId="77777777" w:rsidR="005E5E77" w:rsidRPr="00E4748C" w:rsidRDefault="005E5E77" w:rsidP="005E5E77">
      <w:pPr>
        <w:spacing w:line="240" w:lineRule="auto"/>
        <w:rPr>
          <w:rFonts w:ascii="Arial" w:hAnsi="Arial" w:cs="Arial"/>
        </w:rPr>
      </w:pPr>
    </w:p>
    <w:p w14:paraId="7FE64D62" w14:textId="77777777" w:rsidR="008960E9" w:rsidRPr="00E4748C" w:rsidRDefault="008960E9" w:rsidP="00652E3B">
      <w:pPr>
        <w:spacing w:line="240" w:lineRule="auto"/>
        <w:contextualSpacing/>
        <w:jc w:val="center"/>
        <w:rPr>
          <w:rFonts w:ascii="Arial" w:hAnsi="Arial" w:cs="Arial"/>
        </w:rPr>
      </w:pPr>
      <w:r w:rsidRPr="00E4748C">
        <w:rPr>
          <w:rFonts w:ascii="Arial" w:hAnsi="Arial" w:cs="Arial"/>
        </w:rPr>
        <w:t>PREHODNA IN KONČNA DOLOČBA</w:t>
      </w:r>
    </w:p>
    <w:p w14:paraId="4133AAE7" w14:textId="77777777" w:rsidR="008960E9" w:rsidRPr="00E4748C" w:rsidRDefault="008960E9" w:rsidP="00652E3B">
      <w:pPr>
        <w:spacing w:line="240" w:lineRule="auto"/>
        <w:contextualSpacing/>
        <w:rPr>
          <w:rFonts w:ascii="Arial" w:hAnsi="Arial" w:cs="Arial"/>
        </w:rPr>
      </w:pPr>
    </w:p>
    <w:p w14:paraId="76304358" w14:textId="77777777" w:rsidR="00043E1D" w:rsidRPr="00E4748C" w:rsidRDefault="008960E9" w:rsidP="00C3258E">
      <w:pPr>
        <w:pStyle w:val="Odstavekseznama"/>
        <w:numPr>
          <w:ilvl w:val="0"/>
          <w:numId w:val="1"/>
        </w:numPr>
        <w:spacing w:line="240" w:lineRule="auto"/>
        <w:jc w:val="center"/>
        <w:rPr>
          <w:rFonts w:ascii="Arial" w:hAnsi="Arial" w:cs="Arial"/>
        </w:rPr>
      </w:pPr>
      <w:r w:rsidRPr="00E4748C">
        <w:rPr>
          <w:rFonts w:ascii="Arial" w:hAnsi="Arial" w:cs="Arial"/>
        </w:rPr>
        <w:t>č</w:t>
      </w:r>
      <w:r w:rsidR="00043E1D" w:rsidRPr="00E4748C">
        <w:rPr>
          <w:rFonts w:ascii="Arial" w:hAnsi="Arial" w:cs="Arial"/>
        </w:rPr>
        <w:t xml:space="preserve">len </w:t>
      </w:r>
    </w:p>
    <w:p w14:paraId="34948899" w14:textId="77777777" w:rsidR="008960E9" w:rsidRPr="00E4748C" w:rsidRDefault="008960E9" w:rsidP="001319B3">
      <w:pPr>
        <w:spacing w:line="240" w:lineRule="auto"/>
        <w:ind w:firstLine="709"/>
        <w:contextualSpacing/>
        <w:jc w:val="both"/>
        <w:rPr>
          <w:rFonts w:ascii="Arial" w:hAnsi="Arial" w:cs="Arial"/>
        </w:rPr>
      </w:pPr>
      <w:r w:rsidRPr="00E4748C">
        <w:rPr>
          <w:rFonts w:ascii="Arial" w:hAnsi="Arial" w:cs="Arial"/>
        </w:rPr>
        <w:t>Vloge za določitev najvišje dovoljene cene zdravila in vloge za določitev izredne višje dovoljene cene zdravila, ki so bile prejete do dneva uveljavitve tega pravilnika in o njih do tega dneva še ni bilo odločeno, se obravnavajo v skladu tem pravilnikom.</w:t>
      </w:r>
    </w:p>
    <w:p w14:paraId="41491259" w14:textId="77777777" w:rsidR="008960E9" w:rsidRPr="00E4748C" w:rsidRDefault="008960E9" w:rsidP="00652E3B">
      <w:pPr>
        <w:spacing w:line="240" w:lineRule="auto"/>
        <w:contextualSpacing/>
        <w:rPr>
          <w:rFonts w:ascii="Arial" w:hAnsi="Arial" w:cs="Arial"/>
        </w:rPr>
      </w:pPr>
    </w:p>
    <w:p w14:paraId="2B51C616" w14:textId="77777777" w:rsidR="008960E9" w:rsidRPr="00E4748C" w:rsidRDefault="00D14992" w:rsidP="001319B3">
      <w:pPr>
        <w:pStyle w:val="Odstavekseznama"/>
        <w:numPr>
          <w:ilvl w:val="0"/>
          <w:numId w:val="1"/>
        </w:numPr>
        <w:spacing w:line="240" w:lineRule="auto"/>
        <w:jc w:val="center"/>
        <w:rPr>
          <w:rFonts w:ascii="Arial" w:hAnsi="Arial" w:cs="Arial"/>
        </w:rPr>
      </w:pPr>
      <w:r w:rsidRPr="00E4748C">
        <w:rPr>
          <w:rFonts w:ascii="Arial" w:hAnsi="Arial" w:cs="Arial"/>
        </w:rPr>
        <w:t>člen</w:t>
      </w:r>
    </w:p>
    <w:p w14:paraId="7B290717" w14:textId="4C81C716" w:rsidR="008960E9" w:rsidRPr="00E4748C" w:rsidRDefault="008960E9" w:rsidP="00723020">
      <w:pPr>
        <w:spacing w:line="240" w:lineRule="auto"/>
        <w:ind w:firstLine="709"/>
        <w:contextualSpacing/>
        <w:rPr>
          <w:rFonts w:ascii="Arial" w:hAnsi="Arial" w:cs="Arial"/>
        </w:rPr>
      </w:pPr>
      <w:r w:rsidRPr="00E4748C">
        <w:rPr>
          <w:rFonts w:ascii="Arial" w:hAnsi="Arial" w:cs="Arial"/>
        </w:rPr>
        <w:t>Ta pravilnik začne veljati naslednji dan po objavi v Uradnem listu Republike Slovenije.</w:t>
      </w:r>
    </w:p>
    <w:p w14:paraId="7001FA09" w14:textId="77777777" w:rsidR="008960E9" w:rsidRPr="00E4748C" w:rsidRDefault="008960E9" w:rsidP="00652E3B">
      <w:pPr>
        <w:spacing w:line="240" w:lineRule="auto"/>
        <w:contextualSpacing/>
        <w:rPr>
          <w:rFonts w:ascii="Arial" w:hAnsi="Arial" w:cs="Arial"/>
        </w:rPr>
      </w:pPr>
    </w:p>
    <w:p w14:paraId="16E20EB4" w14:textId="77777777" w:rsidR="00D14992" w:rsidRPr="00E4748C" w:rsidRDefault="00D14992" w:rsidP="00043E1D">
      <w:pPr>
        <w:spacing w:line="240" w:lineRule="auto"/>
        <w:contextualSpacing/>
        <w:rPr>
          <w:rFonts w:ascii="Arial" w:hAnsi="Arial" w:cs="Arial"/>
        </w:rPr>
      </w:pPr>
    </w:p>
    <w:p w14:paraId="795AC45D" w14:textId="77777777" w:rsidR="00D14992" w:rsidRPr="00E4748C" w:rsidRDefault="00D14992" w:rsidP="00043E1D">
      <w:pPr>
        <w:spacing w:line="240" w:lineRule="auto"/>
        <w:contextualSpacing/>
        <w:rPr>
          <w:rFonts w:ascii="Arial" w:hAnsi="Arial" w:cs="Arial"/>
        </w:rPr>
      </w:pPr>
    </w:p>
    <w:p w14:paraId="2A2C0DBC" w14:textId="77777777" w:rsidR="00D14992" w:rsidRPr="00E4748C" w:rsidRDefault="00D14992" w:rsidP="00043E1D">
      <w:pPr>
        <w:spacing w:line="240" w:lineRule="auto"/>
        <w:contextualSpacing/>
        <w:rPr>
          <w:rFonts w:ascii="Arial" w:hAnsi="Arial" w:cs="Arial"/>
        </w:rPr>
      </w:pPr>
    </w:p>
    <w:p w14:paraId="7717B923" w14:textId="4817D6C3" w:rsidR="008960E9" w:rsidRPr="00E4748C" w:rsidRDefault="008960E9" w:rsidP="00652E3B">
      <w:pPr>
        <w:spacing w:line="240" w:lineRule="auto"/>
        <w:contextualSpacing/>
        <w:rPr>
          <w:rFonts w:ascii="Arial" w:hAnsi="Arial" w:cs="Arial"/>
        </w:rPr>
      </w:pPr>
      <w:r w:rsidRPr="00E4748C">
        <w:rPr>
          <w:rFonts w:ascii="Arial" w:hAnsi="Arial" w:cs="Arial"/>
        </w:rPr>
        <w:t xml:space="preserve">Št. </w:t>
      </w:r>
      <w:r w:rsidR="00EA6992" w:rsidRPr="00E4748C">
        <w:rPr>
          <w:rFonts w:ascii="Arial" w:hAnsi="Arial" w:cs="Arial"/>
        </w:rPr>
        <w:t>0070-4/2020</w:t>
      </w:r>
    </w:p>
    <w:p w14:paraId="64267DBB" w14:textId="1021CCAC" w:rsidR="008960E9" w:rsidRPr="00E4748C" w:rsidRDefault="008960E9" w:rsidP="00652E3B">
      <w:pPr>
        <w:spacing w:line="240" w:lineRule="auto"/>
        <w:contextualSpacing/>
        <w:rPr>
          <w:rFonts w:ascii="Arial" w:hAnsi="Arial" w:cs="Arial"/>
        </w:rPr>
      </w:pPr>
      <w:r w:rsidRPr="00E4748C">
        <w:rPr>
          <w:rFonts w:ascii="Arial" w:hAnsi="Arial" w:cs="Arial"/>
        </w:rPr>
        <w:t xml:space="preserve">Ljubljana, dne </w:t>
      </w:r>
      <w:r w:rsidR="00EC5998">
        <w:rPr>
          <w:rFonts w:ascii="Arial" w:hAnsi="Arial" w:cs="Arial"/>
        </w:rPr>
        <w:t>6</w:t>
      </w:r>
      <w:r w:rsidR="00F76AB0" w:rsidRPr="00E4748C">
        <w:rPr>
          <w:rFonts w:ascii="Arial" w:hAnsi="Arial" w:cs="Arial"/>
        </w:rPr>
        <w:t xml:space="preserve">. </w:t>
      </w:r>
      <w:r w:rsidR="0068601C">
        <w:rPr>
          <w:rFonts w:ascii="Arial" w:hAnsi="Arial" w:cs="Arial"/>
        </w:rPr>
        <w:t>februarja</w:t>
      </w:r>
      <w:r w:rsidR="00F76AB0" w:rsidRPr="00E4748C">
        <w:rPr>
          <w:rFonts w:ascii="Arial" w:hAnsi="Arial" w:cs="Arial"/>
        </w:rPr>
        <w:t xml:space="preserve"> 2020</w:t>
      </w:r>
    </w:p>
    <w:p w14:paraId="33B25F41" w14:textId="102FE78E" w:rsidR="00D14992" w:rsidRPr="00E4748C" w:rsidRDefault="008960E9" w:rsidP="00043E1D">
      <w:pPr>
        <w:spacing w:line="240" w:lineRule="auto"/>
        <w:contextualSpacing/>
        <w:rPr>
          <w:rFonts w:ascii="Arial" w:hAnsi="Arial" w:cs="Arial"/>
        </w:rPr>
      </w:pPr>
      <w:r w:rsidRPr="00E4748C">
        <w:rPr>
          <w:rFonts w:ascii="Arial" w:hAnsi="Arial" w:cs="Arial"/>
        </w:rPr>
        <w:t xml:space="preserve">EVA </w:t>
      </w:r>
      <w:r w:rsidR="00361816" w:rsidRPr="00E4748C">
        <w:rPr>
          <w:rFonts w:ascii="Arial" w:hAnsi="Arial" w:cs="Arial"/>
        </w:rPr>
        <w:t>2020-2711-0002</w:t>
      </w:r>
    </w:p>
    <w:p w14:paraId="5CFCFECD" w14:textId="77777777" w:rsidR="00D14992" w:rsidRPr="00E4748C" w:rsidRDefault="00D14992" w:rsidP="00043E1D">
      <w:pPr>
        <w:spacing w:line="240" w:lineRule="auto"/>
        <w:contextualSpacing/>
        <w:rPr>
          <w:rFonts w:ascii="Arial" w:hAnsi="Arial" w:cs="Arial"/>
        </w:rPr>
      </w:pP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005752CE" w:rsidRPr="00E4748C">
        <w:rPr>
          <w:rFonts w:ascii="Arial" w:hAnsi="Arial" w:cs="Arial"/>
        </w:rPr>
        <w:t xml:space="preserve">           Aleš Šabeder</w:t>
      </w:r>
      <w:r w:rsidRPr="00E4748C">
        <w:rPr>
          <w:rFonts w:ascii="Arial" w:hAnsi="Arial" w:cs="Arial"/>
        </w:rPr>
        <w:t xml:space="preserve"> </w:t>
      </w:r>
    </w:p>
    <w:p w14:paraId="4223544C" w14:textId="52844257" w:rsidR="00BC166A" w:rsidRPr="001319B3" w:rsidRDefault="00D14992" w:rsidP="00BC166A">
      <w:pPr>
        <w:spacing w:line="240" w:lineRule="auto"/>
        <w:contextualSpacing/>
        <w:rPr>
          <w:rFonts w:ascii="Arial" w:hAnsi="Arial" w:cs="Arial"/>
        </w:rPr>
      </w:pP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r>
      <w:r w:rsidRPr="00E4748C">
        <w:rPr>
          <w:rFonts w:ascii="Arial" w:hAnsi="Arial" w:cs="Arial"/>
        </w:rPr>
        <w:tab/>
        <w:t xml:space="preserve">       </w:t>
      </w:r>
      <w:r w:rsidR="00F76AB0" w:rsidRPr="00E4748C">
        <w:rPr>
          <w:rFonts w:ascii="Arial" w:hAnsi="Arial" w:cs="Arial"/>
        </w:rPr>
        <w:t>m</w:t>
      </w:r>
      <w:r w:rsidRPr="00E4748C">
        <w:rPr>
          <w:rFonts w:ascii="Arial" w:hAnsi="Arial" w:cs="Arial"/>
        </w:rPr>
        <w:t xml:space="preserve">inister za zdravje </w:t>
      </w:r>
      <w:r w:rsidR="008960E9" w:rsidRPr="00E4748C">
        <w:rPr>
          <w:rFonts w:ascii="Arial" w:hAnsi="Arial" w:cs="Arial"/>
        </w:rPr>
        <w:br w:type="page"/>
      </w:r>
      <w:r w:rsidR="00BC166A" w:rsidRPr="00E4748C">
        <w:rPr>
          <w:rFonts w:ascii="Arial" w:hAnsi="Arial" w:cs="Arial"/>
          <w:b/>
        </w:rPr>
        <w:lastRenderedPageBreak/>
        <w:t>PRILOGA</w:t>
      </w:r>
    </w:p>
    <w:p w14:paraId="6065C50B" w14:textId="77777777" w:rsidR="00BC166A" w:rsidRPr="00E4748C" w:rsidRDefault="00BC166A" w:rsidP="00BC166A">
      <w:pPr>
        <w:spacing w:line="240" w:lineRule="auto"/>
        <w:rPr>
          <w:rFonts w:ascii="Arial" w:hAnsi="Arial" w:cs="Arial"/>
        </w:rPr>
      </w:pPr>
    </w:p>
    <w:p w14:paraId="3B45243E" w14:textId="77777777" w:rsidR="00BC166A" w:rsidRPr="00E4748C" w:rsidRDefault="00F017D0" w:rsidP="00BC166A">
      <w:pPr>
        <w:spacing w:line="240" w:lineRule="auto"/>
        <w:rPr>
          <w:rFonts w:ascii="Arial" w:hAnsi="Arial" w:cs="Arial"/>
        </w:rPr>
      </w:pPr>
      <w:r w:rsidRPr="00E4748C">
        <w:rPr>
          <w:rFonts w:ascii="Arial" w:hAnsi="Arial" w:cs="Arial"/>
        </w:rPr>
        <w:t>»</w:t>
      </w:r>
      <w:r w:rsidR="00BC166A" w:rsidRPr="00E4748C">
        <w:rPr>
          <w:rFonts w:ascii="Arial" w:hAnsi="Arial" w:cs="Arial"/>
        </w:rPr>
        <w:t>B:</w:t>
      </w:r>
    </w:p>
    <w:p w14:paraId="668C31EB" w14:textId="77777777" w:rsidR="00BC166A" w:rsidRPr="00E4748C" w:rsidRDefault="00BC166A" w:rsidP="00BC166A">
      <w:pPr>
        <w:spacing w:line="240" w:lineRule="auto"/>
        <w:jc w:val="both"/>
        <w:rPr>
          <w:rFonts w:ascii="Arial" w:hAnsi="Arial" w:cs="Arial"/>
        </w:rPr>
      </w:pPr>
      <w:r w:rsidRPr="00E4748C">
        <w:rPr>
          <w:rFonts w:ascii="Arial" w:hAnsi="Arial" w:cs="Arial"/>
        </w:rPr>
        <w:t>Tabela 1. Vrednosti faktorjev za preračun primerjalne cene (Francija) iz cen zdravil na drobno v publikaciji (vir: Vidal – spletni vir ali izdajateljev licenčni vir) glede na pripadajoče cenovne razpone v stolpcu z oznako C [EUR].</w:t>
      </w:r>
    </w:p>
    <w:p w14:paraId="2B63E495" w14:textId="77777777" w:rsidR="00BC166A" w:rsidRPr="00E4748C" w:rsidRDefault="00BC166A" w:rsidP="00BC166A">
      <w:pPr>
        <w:spacing w:line="240" w:lineRule="auto"/>
        <w:rPr>
          <w:rFonts w:ascii="Arial" w:hAnsi="Arial" w:cs="Arial"/>
        </w:rPr>
      </w:pPr>
    </w:p>
    <w:tbl>
      <w:tblPr>
        <w:tblW w:w="8217" w:type="dxa"/>
        <w:tblCellMar>
          <w:left w:w="70" w:type="dxa"/>
          <w:right w:w="70" w:type="dxa"/>
        </w:tblCellMar>
        <w:tblLook w:val="04A0" w:firstRow="1" w:lastRow="0" w:firstColumn="1" w:lastColumn="0" w:noHBand="0" w:noVBand="1"/>
      </w:tblPr>
      <w:tblGrid>
        <w:gridCol w:w="2547"/>
        <w:gridCol w:w="1843"/>
        <w:gridCol w:w="1984"/>
        <w:gridCol w:w="1843"/>
      </w:tblGrid>
      <w:tr w:rsidR="00BC166A" w:rsidRPr="00E4748C" w14:paraId="28A88C0C" w14:textId="77777777" w:rsidTr="00BC166A">
        <w:trPr>
          <w:trHeight w:val="300"/>
        </w:trPr>
        <w:tc>
          <w:tcPr>
            <w:tcW w:w="2547" w:type="dxa"/>
            <w:tcBorders>
              <w:top w:val="single" w:sz="4" w:space="0" w:color="auto"/>
              <w:left w:val="single" w:sz="4" w:space="0" w:color="auto"/>
              <w:bottom w:val="single" w:sz="4" w:space="0" w:color="auto"/>
              <w:right w:val="single" w:sz="4" w:space="0" w:color="auto"/>
            </w:tcBorders>
            <w:noWrap/>
            <w:vAlign w:val="bottom"/>
            <w:hideMark/>
          </w:tcPr>
          <w:p w14:paraId="3244E44C"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C [EUR]</w:t>
            </w:r>
          </w:p>
        </w:tc>
        <w:tc>
          <w:tcPr>
            <w:tcW w:w="1843" w:type="dxa"/>
            <w:tcBorders>
              <w:top w:val="single" w:sz="4" w:space="0" w:color="auto"/>
              <w:left w:val="nil"/>
              <w:bottom w:val="single" w:sz="4" w:space="0" w:color="auto"/>
              <w:right w:val="single" w:sz="4" w:space="0" w:color="auto"/>
            </w:tcBorders>
            <w:noWrap/>
            <w:vAlign w:val="bottom"/>
            <w:hideMark/>
          </w:tcPr>
          <w:p w14:paraId="17F70BFB"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f2</w:t>
            </w:r>
          </w:p>
        </w:tc>
        <w:tc>
          <w:tcPr>
            <w:tcW w:w="1984" w:type="dxa"/>
            <w:tcBorders>
              <w:top w:val="single" w:sz="4" w:space="0" w:color="auto"/>
              <w:left w:val="nil"/>
              <w:bottom w:val="single" w:sz="4" w:space="0" w:color="auto"/>
              <w:right w:val="single" w:sz="4" w:space="0" w:color="auto"/>
            </w:tcBorders>
            <w:noWrap/>
            <w:vAlign w:val="bottom"/>
            <w:hideMark/>
          </w:tcPr>
          <w:p w14:paraId="7B9363E3"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f3</w:t>
            </w:r>
          </w:p>
        </w:tc>
        <w:tc>
          <w:tcPr>
            <w:tcW w:w="1843" w:type="dxa"/>
            <w:tcBorders>
              <w:top w:val="single" w:sz="4" w:space="0" w:color="auto"/>
              <w:left w:val="nil"/>
              <w:bottom w:val="single" w:sz="4" w:space="0" w:color="auto"/>
              <w:right w:val="single" w:sz="4" w:space="0" w:color="auto"/>
            </w:tcBorders>
            <w:noWrap/>
            <w:vAlign w:val="bottom"/>
            <w:hideMark/>
          </w:tcPr>
          <w:p w14:paraId="606BF526"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f1</w:t>
            </w:r>
          </w:p>
        </w:tc>
      </w:tr>
      <w:tr w:rsidR="00BC166A" w:rsidRPr="00E4748C" w14:paraId="02A33E83" w14:textId="77777777" w:rsidTr="00BC166A">
        <w:trPr>
          <w:trHeight w:val="300"/>
        </w:trPr>
        <w:tc>
          <w:tcPr>
            <w:tcW w:w="2547" w:type="dxa"/>
            <w:tcBorders>
              <w:top w:val="nil"/>
              <w:left w:val="single" w:sz="4" w:space="0" w:color="auto"/>
              <w:bottom w:val="single" w:sz="4" w:space="0" w:color="auto"/>
              <w:right w:val="single" w:sz="4" w:space="0" w:color="auto"/>
            </w:tcBorders>
            <w:noWrap/>
            <w:vAlign w:val="bottom"/>
            <w:hideMark/>
          </w:tcPr>
          <w:p w14:paraId="651168A5"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0-2,45</w:t>
            </w:r>
          </w:p>
        </w:tc>
        <w:tc>
          <w:tcPr>
            <w:tcW w:w="1843" w:type="dxa"/>
            <w:tcBorders>
              <w:top w:val="nil"/>
              <w:left w:val="nil"/>
              <w:bottom w:val="single" w:sz="4" w:space="0" w:color="auto"/>
              <w:right w:val="single" w:sz="4" w:space="0" w:color="auto"/>
            </w:tcBorders>
            <w:noWrap/>
            <w:vAlign w:val="bottom"/>
            <w:hideMark/>
          </w:tcPr>
          <w:p w14:paraId="67E87C4C"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0,0000</w:t>
            </w:r>
          </w:p>
        </w:tc>
        <w:tc>
          <w:tcPr>
            <w:tcW w:w="1984" w:type="dxa"/>
            <w:tcBorders>
              <w:top w:val="nil"/>
              <w:left w:val="nil"/>
              <w:bottom w:val="single" w:sz="4" w:space="0" w:color="auto"/>
              <w:right w:val="single" w:sz="4" w:space="0" w:color="auto"/>
            </w:tcBorders>
            <w:noWrap/>
            <w:vAlign w:val="bottom"/>
            <w:hideMark/>
          </w:tcPr>
          <w:p w14:paraId="5CF56133"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0,30</w:t>
            </w:r>
          </w:p>
        </w:tc>
        <w:tc>
          <w:tcPr>
            <w:tcW w:w="1843" w:type="dxa"/>
            <w:tcBorders>
              <w:top w:val="nil"/>
              <w:left w:val="nil"/>
              <w:bottom w:val="single" w:sz="4" w:space="0" w:color="auto"/>
              <w:right w:val="single" w:sz="4" w:space="0" w:color="auto"/>
            </w:tcBorders>
            <w:noWrap/>
            <w:vAlign w:val="bottom"/>
            <w:hideMark/>
          </w:tcPr>
          <w:p w14:paraId="4C9EC974"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1,1000</w:t>
            </w:r>
          </w:p>
        </w:tc>
      </w:tr>
      <w:tr w:rsidR="00BC166A" w:rsidRPr="00E4748C" w14:paraId="0113CDE7" w14:textId="77777777" w:rsidTr="00BC166A">
        <w:trPr>
          <w:trHeight w:val="300"/>
        </w:trPr>
        <w:tc>
          <w:tcPr>
            <w:tcW w:w="2547" w:type="dxa"/>
            <w:tcBorders>
              <w:top w:val="nil"/>
              <w:left w:val="single" w:sz="4" w:space="0" w:color="auto"/>
              <w:bottom w:val="single" w:sz="4" w:space="0" w:color="auto"/>
              <w:right w:val="single" w:sz="4" w:space="0" w:color="auto"/>
            </w:tcBorders>
            <w:noWrap/>
            <w:vAlign w:val="bottom"/>
            <w:hideMark/>
          </w:tcPr>
          <w:p w14:paraId="4BA1D31F"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2,46-5,27</w:t>
            </w:r>
          </w:p>
        </w:tc>
        <w:tc>
          <w:tcPr>
            <w:tcW w:w="1843" w:type="dxa"/>
            <w:tcBorders>
              <w:top w:val="nil"/>
              <w:left w:val="nil"/>
              <w:bottom w:val="single" w:sz="4" w:space="0" w:color="auto"/>
              <w:right w:val="single" w:sz="4" w:space="0" w:color="auto"/>
            </w:tcBorders>
            <w:noWrap/>
            <w:vAlign w:val="bottom"/>
            <w:hideMark/>
          </w:tcPr>
          <w:p w14:paraId="1A2D3A90"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0,0573</w:t>
            </w:r>
          </w:p>
        </w:tc>
        <w:tc>
          <w:tcPr>
            <w:tcW w:w="1984" w:type="dxa"/>
            <w:tcBorders>
              <w:top w:val="nil"/>
              <w:left w:val="nil"/>
              <w:bottom w:val="single" w:sz="4" w:space="0" w:color="auto"/>
              <w:right w:val="single" w:sz="4" w:space="0" w:color="auto"/>
            </w:tcBorders>
            <w:noWrap/>
            <w:vAlign w:val="bottom"/>
            <w:hideMark/>
          </w:tcPr>
          <w:p w14:paraId="542C58D0"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0,30</w:t>
            </w:r>
          </w:p>
        </w:tc>
        <w:tc>
          <w:tcPr>
            <w:tcW w:w="1843" w:type="dxa"/>
            <w:tcBorders>
              <w:top w:val="nil"/>
              <w:left w:val="nil"/>
              <w:bottom w:val="single" w:sz="4" w:space="0" w:color="auto"/>
              <w:right w:val="single" w:sz="4" w:space="0" w:color="auto"/>
            </w:tcBorders>
            <w:noWrap/>
            <w:vAlign w:val="bottom"/>
            <w:hideMark/>
          </w:tcPr>
          <w:p w14:paraId="44580DBC"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1,0700</w:t>
            </w:r>
          </w:p>
        </w:tc>
      </w:tr>
      <w:tr w:rsidR="00BC166A" w:rsidRPr="00E4748C" w14:paraId="36D8CC24" w14:textId="77777777" w:rsidTr="00BC166A">
        <w:trPr>
          <w:trHeight w:val="300"/>
        </w:trPr>
        <w:tc>
          <w:tcPr>
            <w:tcW w:w="2547" w:type="dxa"/>
            <w:tcBorders>
              <w:top w:val="nil"/>
              <w:left w:val="single" w:sz="4" w:space="0" w:color="auto"/>
              <w:bottom w:val="single" w:sz="4" w:space="0" w:color="auto"/>
              <w:right w:val="single" w:sz="4" w:space="0" w:color="auto"/>
            </w:tcBorders>
            <w:noWrap/>
            <w:vAlign w:val="bottom"/>
            <w:hideMark/>
          </w:tcPr>
          <w:p w14:paraId="6FCEB9E8"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5,28-26,64</w:t>
            </w:r>
          </w:p>
        </w:tc>
        <w:tc>
          <w:tcPr>
            <w:tcW w:w="1843" w:type="dxa"/>
            <w:tcBorders>
              <w:top w:val="nil"/>
              <w:left w:val="nil"/>
              <w:bottom w:val="single" w:sz="4" w:space="0" w:color="auto"/>
              <w:right w:val="single" w:sz="4" w:space="0" w:color="auto"/>
            </w:tcBorders>
            <w:noWrap/>
            <w:vAlign w:val="bottom"/>
            <w:hideMark/>
          </w:tcPr>
          <w:p w14:paraId="68BEF2D0"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0,0573</w:t>
            </w:r>
          </w:p>
        </w:tc>
        <w:tc>
          <w:tcPr>
            <w:tcW w:w="1984" w:type="dxa"/>
            <w:tcBorders>
              <w:top w:val="nil"/>
              <w:left w:val="nil"/>
              <w:bottom w:val="single" w:sz="4" w:space="0" w:color="auto"/>
              <w:right w:val="single" w:sz="4" w:space="0" w:color="auto"/>
            </w:tcBorders>
            <w:noWrap/>
            <w:vAlign w:val="bottom"/>
            <w:hideMark/>
          </w:tcPr>
          <w:p w14:paraId="007612C6"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0,00</w:t>
            </w:r>
          </w:p>
        </w:tc>
        <w:tc>
          <w:tcPr>
            <w:tcW w:w="1843" w:type="dxa"/>
            <w:tcBorders>
              <w:top w:val="nil"/>
              <w:left w:val="nil"/>
              <w:bottom w:val="single" w:sz="4" w:space="0" w:color="auto"/>
              <w:right w:val="single" w:sz="4" w:space="0" w:color="auto"/>
            </w:tcBorders>
            <w:noWrap/>
            <w:vAlign w:val="bottom"/>
            <w:hideMark/>
          </w:tcPr>
          <w:p w14:paraId="4CBAD70C"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1,1368</w:t>
            </w:r>
          </w:p>
        </w:tc>
      </w:tr>
      <w:tr w:rsidR="00BC166A" w:rsidRPr="00E4748C" w14:paraId="560804E3" w14:textId="77777777" w:rsidTr="00BC166A">
        <w:trPr>
          <w:trHeight w:val="300"/>
        </w:trPr>
        <w:tc>
          <w:tcPr>
            <w:tcW w:w="2547" w:type="dxa"/>
            <w:tcBorders>
              <w:top w:val="nil"/>
              <w:left w:val="single" w:sz="4" w:space="0" w:color="auto"/>
              <w:bottom w:val="single" w:sz="4" w:space="0" w:color="auto"/>
              <w:right w:val="single" w:sz="4" w:space="0" w:color="auto"/>
            </w:tcBorders>
            <w:noWrap/>
            <w:vAlign w:val="bottom"/>
            <w:hideMark/>
          </w:tcPr>
          <w:p w14:paraId="361C4BC8"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26,65-172,21</w:t>
            </w:r>
          </w:p>
        </w:tc>
        <w:tc>
          <w:tcPr>
            <w:tcW w:w="1843" w:type="dxa"/>
            <w:tcBorders>
              <w:top w:val="nil"/>
              <w:left w:val="nil"/>
              <w:bottom w:val="single" w:sz="4" w:space="0" w:color="auto"/>
              <w:right w:val="single" w:sz="4" w:space="0" w:color="auto"/>
            </w:tcBorders>
            <w:noWrap/>
            <w:vAlign w:val="bottom"/>
            <w:hideMark/>
          </w:tcPr>
          <w:p w14:paraId="7694152A"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0,4008</w:t>
            </w:r>
          </w:p>
        </w:tc>
        <w:tc>
          <w:tcPr>
            <w:tcW w:w="1984" w:type="dxa"/>
            <w:tcBorders>
              <w:top w:val="nil"/>
              <w:left w:val="nil"/>
              <w:bottom w:val="single" w:sz="4" w:space="0" w:color="auto"/>
              <w:right w:val="single" w:sz="4" w:space="0" w:color="auto"/>
            </w:tcBorders>
            <w:noWrap/>
            <w:vAlign w:val="bottom"/>
            <w:hideMark/>
          </w:tcPr>
          <w:p w14:paraId="29FCE079"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0,00</w:t>
            </w:r>
          </w:p>
        </w:tc>
        <w:tc>
          <w:tcPr>
            <w:tcW w:w="1843" w:type="dxa"/>
            <w:tcBorders>
              <w:top w:val="nil"/>
              <w:left w:val="nil"/>
              <w:bottom w:val="single" w:sz="4" w:space="0" w:color="auto"/>
              <w:right w:val="single" w:sz="4" w:space="0" w:color="auto"/>
            </w:tcBorders>
            <w:noWrap/>
            <w:vAlign w:val="bottom"/>
            <w:hideMark/>
          </w:tcPr>
          <w:p w14:paraId="653C514E"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1,1218</w:t>
            </w:r>
          </w:p>
        </w:tc>
      </w:tr>
      <w:tr w:rsidR="00BC166A" w:rsidRPr="00E4748C" w14:paraId="0AF0A9B2" w14:textId="77777777" w:rsidTr="00BC166A">
        <w:trPr>
          <w:trHeight w:val="300"/>
        </w:trPr>
        <w:tc>
          <w:tcPr>
            <w:tcW w:w="2547" w:type="dxa"/>
            <w:tcBorders>
              <w:top w:val="nil"/>
              <w:left w:val="single" w:sz="4" w:space="0" w:color="auto"/>
              <w:bottom w:val="single" w:sz="4" w:space="0" w:color="auto"/>
              <w:right w:val="single" w:sz="4" w:space="0" w:color="auto"/>
            </w:tcBorders>
            <w:noWrap/>
            <w:vAlign w:val="bottom"/>
            <w:hideMark/>
          </w:tcPr>
          <w:p w14:paraId="0CB0535B"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172,22-514,29</w:t>
            </w:r>
          </w:p>
        </w:tc>
        <w:tc>
          <w:tcPr>
            <w:tcW w:w="1843" w:type="dxa"/>
            <w:tcBorders>
              <w:top w:val="nil"/>
              <w:left w:val="nil"/>
              <w:bottom w:val="single" w:sz="4" w:space="0" w:color="auto"/>
              <w:right w:val="single" w:sz="4" w:space="0" w:color="auto"/>
            </w:tcBorders>
            <w:noWrap/>
            <w:vAlign w:val="bottom"/>
            <w:hideMark/>
          </w:tcPr>
          <w:p w14:paraId="637A8A32"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1,1508</w:t>
            </w:r>
          </w:p>
        </w:tc>
        <w:tc>
          <w:tcPr>
            <w:tcW w:w="1984" w:type="dxa"/>
            <w:tcBorders>
              <w:top w:val="nil"/>
              <w:left w:val="nil"/>
              <w:bottom w:val="single" w:sz="4" w:space="0" w:color="auto"/>
              <w:right w:val="single" w:sz="4" w:space="0" w:color="auto"/>
            </w:tcBorders>
            <w:noWrap/>
            <w:vAlign w:val="bottom"/>
            <w:hideMark/>
          </w:tcPr>
          <w:p w14:paraId="6F148C95"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0,00</w:t>
            </w:r>
          </w:p>
        </w:tc>
        <w:tc>
          <w:tcPr>
            <w:tcW w:w="1843" w:type="dxa"/>
            <w:tcBorders>
              <w:top w:val="nil"/>
              <w:left w:val="nil"/>
              <w:bottom w:val="single" w:sz="4" w:space="0" w:color="auto"/>
              <w:right w:val="single" w:sz="4" w:space="0" w:color="auto"/>
            </w:tcBorders>
            <w:noWrap/>
            <w:vAlign w:val="bottom"/>
            <w:hideMark/>
          </w:tcPr>
          <w:p w14:paraId="026229F7"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1,1168</w:t>
            </w:r>
          </w:p>
        </w:tc>
      </w:tr>
      <w:tr w:rsidR="00BC166A" w:rsidRPr="00E4748C" w14:paraId="3480C5BF" w14:textId="77777777" w:rsidTr="00BC166A">
        <w:trPr>
          <w:trHeight w:val="300"/>
        </w:trPr>
        <w:tc>
          <w:tcPr>
            <w:tcW w:w="2547" w:type="dxa"/>
            <w:tcBorders>
              <w:top w:val="nil"/>
              <w:left w:val="single" w:sz="4" w:space="0" w:color="auto"/>
              <w:bottom w:val="single" w:sz="4" w:space="0" w:color="auto"/>
              <w:right w:val="single" w:sz="4" w:space="0" w:color="auto"/>
            </w:tcBorders>
            <w:noWrap/>
            <w:vAlign w:val="bottom"/>
            <w:hideMark/>
          </w:tcPr>
          <w:p w14:paraId="4DAAD7A6"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514,3-2100,92</w:t>
            </w:r>
          </w:p>
        </w:tc>
        <w:tc>
          <w:tcPr>
            <w:tcW w:w="1843" w:type="dxa"/>
            <w:tcBorders>
              <w:top w:val="nil"/>
              <w:left w:val="nil"/>
              <w:bottom w:val="single" w:sz="4" w:space="0" w:color="auto"/>
              <w:right w:val="single" w:sz="4" w:space="0" w:color="auto"/>
            </w:tcBorders>
            <w:noWrap/>
            <w:vAlign w:val="bottom"/>
            <w:hideMark/>
          </w:tcPr>
          <w:p w14:paraId="2E1FDECD"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1,1508</w:t>
            </w:r>
          </w:p>
        </w:tc>
        <w:tc>
          <w:tcPr>
            <w:tcW w:w="1984" w:type="dxa"/>
            <w:tcBorders>
              <w:top w:val="nil"/>
              <w:left w:val="nil"/>
              <w:bottom w:val="single" w:sz="4" w:space="0" w:color="auto"/>
              <w:right w:val="single" w:sz="4" w:space="0" w:color="auto"/>
            </w:tcBorders>
            <w:noWrap/>
            <w:vAlign w:val="bottom"/>
            <w:hideMark/>
          </w:tcPr>
          <w:p w14:paraId="17B3316C"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30,06</w:t>
            </w:r>
          </w:p>
        </w:tc>
        <w:tc>
          <w:tcPr>
            <w:tcW w:w="1843" w:type="dxa"/>
            <w:tcBorders>
              <w:top w:val="nil"/>
              <w:left w:val="nil"/>
              <w:bottom w:val="single" w:sz="4" w:space="0" w:color="auto"/>
              <w:right w:val="single" w:sz="4" w:space="0" w:color="auto"/>
            </w:tcBorders>
            <w:noWrap/>
            <w:vAlign w:val="bottom"/>
            <w:hideMark/>
          </w:tcPr>
          <w:p w14:paraId="507BB2A2"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1,0500</w:t>
            </w:r>
          </w:p>
        </w:tc>
      </w:tr>
      <w:tr w:rsidR="00BC166A" w:rsidRPr="00E4748C" w14:paraId="1862571F" w14:textId="77777777" w:rsidTr="00BC166A">
        <w:trPr>
          <w:trHeight w:val="300"/>
        </w:trPr>
        <w:tc>
          <w:tcPr>
            <w:tcW w:w="2547" w:type="dxa"/>
            <w:tcBorders>
              <w:top w:val="nil"/>
              <w:left w:val="single" w:sz="4" w:space="0" w:color="auto"/>
              <w:bottom w:val="single" w:sz="4" w:space="0" w:color="auto"/>
              <w:right w:val="single" w:sz="4" w:space="0" w:color="auto"/>
            </w:tcBorders>
            <w:noWrap/>
            <w:vAlign w:val="bottom"/>
            <w:hideMark/>
          </w:tcPr>
          <w:p w14:paraId="4B2F0282"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2100,93-</w:t>
            </w:r>
          </w:p>
        </w:tc>
        <w:tc>
          <w:tcPr>
            <w:tcW w:w="1843" w:type="dxa"/>
            <w:tcBorders>
              <w:top w:val="nil"/>
              <w:left w:val="nil"/>
              <w:bottom w:val="single" w:sz="4" w:space="0" w:color="auto"/>
              <w:right w:val="single" w:sz="4" w:space="0" w:color="auto"/>
            </w:tcBorders>
            <w:noWrap/>
            <w:vAlign w:val="bottom"/>
            <w:hideMark/>
          </w:tcPr>
          <w:p w14:paraId="65801210"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97,6508</w:t>
            </w:r>
          </w:p>
        </w:tc>
        <w:tc>
          <w:tcPr>
            <w:tcW w:w="1984" w:type="dxa"/>
            <w:tcBorders>
              <w:top w:val="nil"/>
              <w:left w:val="nil"/>
              <w:bottom w:val="single" w:sz="4" w:space="0" w:color="auto"/>
              <w:right w:val="single" w:sz="4" w:space="0" w:color="auto"/>
            </w:tcBorders>
            <w:noWrap/>
            <w:vAlign w:val="bottom"/>
            <w:hideMark/>
          </w:tcPr>
          <w:p w14:paraId="7D41CBAC"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30,06</w:t>
            </w:r>
          </w:p>
        </w:tc>
        <w:tc>
          <w:tcPr>
            <w:tcW w:w="1843" w:type="dxa"/>
            <w:tcBorders>
              <w:top w:val="nil"/>
              <w:left w:val="nil"/>
              <w:bottom w:val="single" w:sz="4" w:space="0" w:color="auto"/>
              <w:right w:val="single" w:sz="4" w:space="0" w:color="auto"/>
            </w:tcBorders>
            <w:noWrap/>
            <w:vAlign w:val="bottom"/>
            <w:hideMark/>
          </w:tcPr>
          <w:p w14:paraId="602F79D9" w14:textId="77777777" w:rsidR="00BC166A" w:rsidRPr="00E4748C" w:rsidRDefault="00BC166A">
            <w:pPr>
              <w:spacing w:after="0" w:line="240" w:lineRule="auto"/>
              <w:ind w:firstLineChars="100" w:firstLine="220"/>
              <w:rPr>
                <w:rFonts w:ascii="Arial" w:eastAsia="Times New Roman" w:hAnsi="Arial" w:cs="Arial"/>
                <w:color w:val="000000"/>
                <w:lang w:eastAsia="sl-SI"/>
              </w:rPr>
            </w:pPr>
            <w:r w:rsidRPr="00E4748C">
              <w:rPr>
                <w:rFonts w:ascii="Arial" w:eastAsia="Times New Roman" w:hAnsi="Arial" w:cs="Arial"/>
                <w:color w:val="000000"/>
                <w:lang w:eastAsia="sl-SI"/>
              </w:rPr>
              <w:t>1,0000</w:t>
            </w:r>
          </w:p>
        </w:tc>
      </w:tr>
    </w:tbl>
    <w:p w14:paraId="0FB4F936" w14:textId="77777777" w:rsidR="00BC166A" w:rsidRPr="00E4748C" w:rsidRDefault="00BC166A" w:rsidP="00BC166A">
      <w:pPr>
        <w:spacing w:line="240" w:lineRule="auto"/>
        <w:rPr>
          <w:rFonts w:ascii="Arial" w:hAnsi="Arial" w:cs="Arial"/>
        </w:rPr>
      </w:pPr>
    </w:p>
    <w:p w14:paraId="2CC941E5" w14:textId="77777777" w:rsidR="00BC166A" w:rsidRPr="00E4748C" w:rsidRDefault="00BC166A" w:rsidP="00BC166A">
      <w:pPr>
        <w:spacing w:line="240" w:lineRule="auto"/>
        <w:rPr>
          <w:rFonts w:ascii="Arial" w:hAnsi="Arial" w:cs="Arial"/>
        </w:rPr>
      </w:pPr>
    </w:p>
    <w:p w14:paraId="3FF1A749" w14:textId="77777777" w:rsidR="00BC166A" w:rsidRPr="00E4748C" w:rsidRDefault="00BC166A" w:rsidP="00BC166A">
      <w:pPr>
        <w:spacing w:line="240" w:lineRule="auto"/>
        <w:jc w:val="both"/>
        <w:rPr>
          <w:rFonts w:ascii="Arial" w:hAnsi="Arial" w:cs="Arial"/>
        </w:rPr>
      </w:pPr>
      <w:r w:rsidRPr="00E4748C">
        <w:rPr>
          <w:rFonts w:ascii="Arial" w:hAnsi="Arial" w:cs="Arial"/>
        </w:rPr>
        <w:t>Enačba 2.</w:t>
      </w:r>
    </w:p>
    <w:p w14:paraId="34AB8518" w14:textId="77777777" w:rsidR="00BC166A" w:rsidRPr="00E4748C" w:rsidRDefault="00BC166A" w:rsidP="00BC166A">
      <w:pPr>
        <w:spacing w:line="240" w:lineRule="auto"/>
        <w:jc w:val="both"/>
        <w:rPr>
          <w:rFonts w:ascii="Arial" w:hAnsi="Arial" w:cs="Arial"/>
        </w:rPr>
      </w:pPr>
      <w:r w:rsidRPr="00E4748C">
        <w:rPr>
          <w:rFonts w:ascii="Arial" w:hAnsi="Arial" w:cs="Arial"/>
        </w:rPr>
        <w:t xml:space="preserve">Primerjalna cena (Francija) = (C/f4 – f2 – f3) / f1, </w:t>
      </w:r>
    </w:p>
    <w:p w14:paraId="331DC0F0" w14:textId="77777777" w:rsidR="00BC166A" w:rsidRPr="00E4748C" w:rsidRDefault="00BC166A" w:rsidP="00BC166A">
      <w:pPr>
        <w:spacing w:line="240" w:lineRule="auto"/>
        <w:jc w:val="both"/>
        <w:rPr>
          <w:rFonts w:ascii="Arial" w:hAnsi="Arial" w:cs="Arial"/>
        </w:rPr>
      </w:pPr>
      <w:r w:rsidRPr="00E4748C">
        <w:rPr>
          <w:rFonts w:ascii="Arial" w:hAnsi="Arial" w:cs="Arial"/>
        </w:rPr>
        <w:t>kjer so:</w:t>
      </w:r>
    </w:p>
    <w:p w14:paraId="177F7B26" w14:textId="77777777" w:rsidR="00BC166A" w:rsidRPr="00E4748C" w:rsidRDefault="00BC166A" w:rsidP="00BC166A">
      <w:pPr>
        <w:spacing w:line="240" w:lineRule="auto"/>
        <w:jc w:val="both"/>
        <w:rPr>
          <w:rFonts w:ascii="Arial" w:hAnsi="Arial" w:cs="Arial"/>
        </w:rPr>
      </w:pPr>
      <w:r w:rsidRPr="00E4748C">
        <w:rPr>
          <w:rFonts w:ascii="Arial" w:hAnsi="Arial" w:cs="Arial"/>
        </w:rPr>
        <w:t>C – cena zdravila na drobno z DDV (Francija) iz publikacije, v eurih (Francija: Vidal – spletni vir ali izdajateljev licenčni vir)</w:t>
      </w:r>
    </w:p>
    <w:p w14:paraId="10A430FB" w14:textId="77777777" w:rsidR="00BC166A" w:rsidRPr="00E4748C" w:rsidRDefault="00BC166A" w:rsidP="00BC166A">
      <w:pPr>
        <w:spacing w:line="240" w:lineRule="auto"/>
        <w:jc w:val="both"/>
        <w:rPr>
          <w:rFonts w:ascii="Arial" w:hAnsi="Arial" w:cs="Arial"/>
        </w:rPr>
      </w:pPr>
      <w:r w:rsidRPr="00E4748C">
        <w:rPr>
          <w:rFonts w:ascii="Arial" w:hAnsi="Arial" w:cs="Arial"/>
        </w:rPr>
        <w:t>f1, f2, f3 – vrednosti faktorjev za preračun iz Tabele 1</w:t>
      </w:r>
    </w:p>
    <w:p w14:paraId="05F7CE4D" w14:textId="77777777" w:rsidR="00BC166A" w:rsidRPr="00E4748C" w:rsidRDefault="00BC166A" w:rsidP="00BC166A">
      <w:pPr>
        <w:spacing w:line="240" w:lineRule="auto"/>
        <w:jc w:val="both"/>
        <w:rPr>
          <w:rFonts w:ascii="Arial" w:hAnsi="Arial" w:cs="Arial"/>
        </w:rPr>
      </w:pPr>
      <w:r w:rsidRPr="00E4748C">
        <w:rPr>
          <w:rFonts w:ascii="Arial" w:hAnsi="Arial" w:cs="Arial"/>
        </w:rPr>
        <w:t>f4 – vrednost faktorja za preračun (f4 = 1,021)</w:t>
      </w:r>
      <w:r w:rsidR="00F017D0" w:rsidRPr="00E4748C">
        <w:rPr>
          <w:rFonts w:ascii="Arial" w:hAnsi="Arial" w:cs="Arial"/>
        </w:rPr>
        <w:t>«</w:t>
      </w:r>
    </w:p>
    <w:p w14:paraId="0EB20D88" w14:textId="77777777" w:rsidR="008960E9" w:rsidRPr="00E4748C" w:rsidRDefault="008960E9" w:rsidP="00652E3B">
      <w:pPr>
        <w:spacing w:line="240" w:lineRule="auto"/>
        <w:contextualSpacing/>
        <w:rPr>
          <w:rFonts w:ascii="Arial" w:hAnsi="Arial" w:cs="Arial"/>
        </w:rPr>
      </w:pPr>
    </w:p>
    <w:sectPr w:rsidR="008960E9" w:rsidRPr="00E474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rbel">
    <w:panose1 w:val="020B0503020204020204"/>
    <w:charset w:val="EE"/>
    <w:family w:val="swiss"/>
    <w:pitch w:val="variable"/>
    <w:sig w:usb0="A00002EF" w:usb1="4000A44B" w:usb2="00000000" w:usb3="00000000" w:csb0="000001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 Pro">
    <w:altName w:val="Segoe UI"/>
    <w:panose1 w:val="00000000000000000000"/>
    <w:charset w:val="00"/>
    <w:family w:val="swiss"/>
    <w:notTrueType/>
    <w:pitch w:val="variable"/>
    <w:sig w:usb0="20000287" w:usb1="00000001"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D1C56"/>
    <w:multiLevelType w:val="hybridMultilevel"/>
    <w:tmpl w:val="6AA4AAA4"/>
    <w:lvl w:ilvl="0" w:tplc="B060C688">
      <w:start w:val="11"/>
      <w:numFmt w:val="bullet"/>
      <w:lvlText w:val="–"/>
      <w:lvlJc w:val="left"/>
      <w:pPr>
        <w:ind w:left="360" w:hanging="360"/>
      </w:pPr>
      <w:rPr>
        <w:rFonts w:ascii="Corbel" w:eastAsiaTheme="minorHAnsi" w:hAnsi="Corbel"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9466796"/>
    <w:multiLevelType w:val="hybridMultilevel"/>
    <w:tmpl w:val="5036775A"/>
    <w:lvl w:ilvl="0" w:tplc="7F4644FE">
      <w:start w:val="8"/>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40E2446"/>
    <w:multiLevelType w:val="hybridMultilevel"/>
    <w:tmpl w:val="B0CAC118"/>
    <w:lvl w:ilvl="0" w:tplc="6A72F4AC">
      <w:start w:val="1"/>
      <w:numFmt w:val="decimal"/>
      <w:lvlText w:val="(%1)"/>
      <w:lvlJc w:val="center"/>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 w15:restartNumberingAfterBreak="0">
    <w:nsid w:val="1C872D32"/>
    <w:multiLevelType w:val="hybridMultilevel"/>
    <w:tmpl w:val="CEAE63A0"/>
    <w:lvl w:ilvl="0" w:tplc="6A72F4AC">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AD5BA0"/>
    <w:multiLevelType w:val="hybridMultilevel"/>
    <w:tmpl w:val="9EB285F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1E7372"/>
    <w:multiLevelType w:val="hybridMultilevel"/>
    <w:tmpl w:val="5B5EA0F8"/>
    <w:lvl w:ilvl="0" w:tplc="B060C688">
      <w:start w:val="11"/>
      <w:numFmt w:val="bullet"/>
      <w:lvlText w:val="–"/>
      <w:lvlJc w:val="left"/>
      <w:pPr>
        <w:ind w:left="360" w:hanging="360"/>
      </w:pPr>
      <w:rPr>
        <w:rFonts w:ascii="Corbel" w:eastAsiaTheme="minorHAnsi" w:hAnsi="Corbel"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45761B4"/>
    <w:multiLevelType w:val="hybridMultilevel"/>
    <w:tmpl w:val="7A9C1336"/>
    <w:lvl w:ilvl="0" w:tplc="70D4D38E">
      <w:start w:val="1"/>
      <w:numFmt w:val="decimal"/>
      <w:pStyle w:val="Alineazatevil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48A096F"/>
    <w:multiLevelType w:val="hybridMultilevel"/>
    <w:tmpl w:val="39B8B5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EEE2250"/>
    <w:multiLevelType w:val="hybridMultilevel"/>
    <w:tmpl w:val="03ECB19C"/>
    <w:lvl w:ilvl="0" w:tplc="5094B180">
      <w:start w:val="1"/>
      <w:numFmt w:val="decimal"/>
      <w:lvlText w:val="(%1)"/>
      <w:lvlJc w:val="center"/>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9" w15:restartNumberingAfterBreak="0">
    <w:nsid w:val="2FE23039"/>
    <w:multiLevelType w:val="hybridMultilevel"/>
    <w:tmpl w:val="4978EE2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6015DE1"/>
    <w:multiLevelType w:val="hybridMultilevel"/>
    <w:tmpl w:val="A4B2EF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10D25E6"/>
    <w:multiLevelType w:val="multilevel"/>
    <w:tmpl w:val="E1449546"/>
    <w:lvl w:ilvl="0">
      <w:start w:val="1"/>
      <w:numFmt w:val="decimal"/>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6BA7133"/>
    <w:multiLevelType w:val="hybridMultilevel"/>
    <w:tmpl w:val="E0DE43EA"/>
    <w:lvl w:ilvl="0" w:tplc="522E2CC2">
      <w:start w:val="11"/>
      <w:numFmt w:val="bullet"/>
      <w:lvlText w:val="-"/>
      <w:lvlJc w:val="left"/>
      <w:pPr>
        <w:ind w:left="720" w:hanging="360"/>
      </w:pPr>
      <w:rPr>
        <w:rFonts w:ascii="Myriad Pro" w:eastAsiaTheme="minorHAnsi" w:hAnsi="Myriad Pr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D182931"/>
    <w:multiLevelType w:val="hybridMultilevel"/>
    <w:tmpl w:val="1E0878F0"/>
    <w:lvl w:ilvl="0" w:tplc="5094B180">
      <w:start w:val="1"/>
      <w:numFmt w:val="decimal"/>
      <w:lvlText w:val="(%1)"/>
      <w:lvlJc w:val="center"/>
      <w:pPr>
        <w:ind w:left="0" w:firstLine="0"/>
      </w:pPr>
      <w:rPr>
        <w:rFonts w:hint="default"/>
      </w:rPr>
    </w:lvl>
    <w:lvl w:ilvl="1" w:tplc="04240019">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4" w15:restartNumberingAfterBreak="0">
    <w:nsid w:val="6344622E"/>
    <w:multiLevelType w:val="hybridMultilevel"/>
    <w:tmpl w:val="7DBC09A0"/>
    <w:lvl w:ilvl="0" w:tplc="B060C688">
      <w:start w:val="11"/>
      <w:numFmt w:val="bullet"/>
      <w:lvlText w:val="–"/>
      <w:lvlJc w:val="left"/>
      <w:pPr>
        <w:ind w:left="360" w:hanging="360"/>
      </w:pPr>
      <w:rPr>
        <w:rFonts w:ascii="Corbel" w:eastAsiaTheme="minorHAnsi" w:hAnsi="Corbel"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41707A9"/>
    <w:multiLevelType w:val="hybridMultilevel"/>
    <w:tmpl w:val="6AF47D30"/>
    <w:lvl w:ilvl="0" w:tplc="522E2CC2">
      <w:start w:val="11"/>
      <w:numFmt w:val="bullet"/>
      <w:lvlText w:val="-"/>
      <w:lvlJc w:val="left"/>
      <w:pPr>
        <w:ind w:left="360" w:hanging="360"/>
      </w:pPr>
      <w:rPr>
        <w:rFonts w:ascii="Myriad Pro" w:eastAsiaTheme="minorHAnsi" w:hAnsi="Myriad Pro"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C1D70D4"/>
    <w:multiLevelType w:val="hybridMultilevel"/>
    <w:tmpl w:val="66E82AB2"/>
    <w:lvl w:ilvl="0" w:tplc="B060C688">
      <w:start w:val="11"/>
      <w:numFmt w:val="bullet"/>
      <w:lvlText w:val="–"/>
      <w:lvlJc w:val="left"/>
      <w:pPr>
        <w:ind w:left="360" w:hanging="360"/>
      </w:pPr>
      <w:rPr>
        <w:rFonts w:ascii="Corbel" w:eastAsiaTheme="minorHAnsi" w:hAnsi="Corbel"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3210ACA"/>
    <w:multiLevelType w:val="hybridMultilevel"/>
    <w:tmpl w:val="426C89BE"/>
    <w:lvl w:ilvl="0" w:tplc="B060C688">
      <w:start w:val="11"/>
      <w:numFmt w:val="bullet"/>
      <w:lvlText w:val="–"/>
      <w:lvlJc w:val="left"/>
      <w:pPr>
        <w:tabs>
          <w:tab w:val="num" w:pos="425"/>
        </w:tabs>
        <w:ind w:left="425" w:hanging="425"/>
      </w:pPr>
      <w:rPr>
        <w:rFonts w:ascii="Corbel" w:eastAsiaTheme="minorHAnsi" w:hAnsi="Corbel" w:cstheme="minorBidi"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750075"/>
    <w:multiLevelType w:val="hybridMultilevel"/>
    <w:tmpl w:val="84A8C2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
  </w:num>
  <w:num w:numId="2">
    <w:abstractNumId w:val="19"/>
  </w:num>
  <w:num w:numId="3">
    <w:abstractNumId w:val="6"/>
  </w:num>
  <w:num w:numId="4">
    <w:abstractNumId w:val="16"/>
  </w:num>
  <w:num w:numId="5">
    <w:abstractNumId w:val="13"/>
  </w:num>
  <w:num w:numId="6">
    <w:abstractNumId w:val="15"/>
  </w:num>
  <w:num w:numId="7">
    <w:abstractNumId w:val="11"/>
  </w:num>
  <w:num w:numId="8">
    <w:abstractNumId w:val="12"/>
  </w:num>
  <w:num w:numId="9">
    <w:abstractNumId w:val="3"/>
  </w:num>
  <w:num w:numId="10">
    <w:abstractNumId w:val="2"/>
  </w:num>
  <w:num w:numId="11">
    <w:abstractNumId w:val="0"/>
  </w:num>
  <w:num w:numId="12">
    <w:abstractNumId w:val="7"/>
  </w:num>
  <w:num w:numId="13">
    <w:abstractNumId w:val="1"/>
  </w:num>
  <w:num w:numId="14">
    <w:abstractNumId w:val="18"/>
  </w:num>
  <w:num w:numId="15">
    <w:abstractNumId w:val="8"/>
  </w:num>
  <w:num w:numId="16">
    <w:abstractNumId w:val="17"/>
  </w:num>
  <w:num w:numId="17">
    <w:abstractNumId w:val="9"/>
  </w:num>
  <w:num w:numId="18">
    <w:abstractNumId w:val="4"/>
  </w:num>
  <w:num w:numId="19">
    <w:abstractNumId w:val="5"/>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0E9"/>
    <w:rsid w:val="00031D4E"/>
    <w:rsid w:val="000370E2"/>
    <w:rsid w:val="00043E1D"/>
    <w:rsid w:val="000558E6"/>
    <w:rsid w:val="00056578"/>
    <w:rsid w:val="00066B0E"/>
    <w:rsid w:val="00083BD3"/>
    <w:rsid w:val="00085E23"/>
    <w:rsid w:val="000957BE"/>
    <w:rsid w:val="000C1DC5"/>
    <w:rsid w:val="000C69A1"/>
    <w:rsid w:val="00126019"/>
    <w:rsid w:val="001319B3"/>
    <w:rsid w:val="001C58F3"/>
    <w:rsid w:val="001D0ED8"/>
    <w:rsid w:val="00273A00"/>
    <w:rsid w:val="002776AE"/>
    <w:rsid w:val="002E16C4"/>
    <w:rsid w:val="002F71B0"/>
    <w:rsid w:val="00304463"/>
    <w:rsid w:val="00325137"/>
    <w:rsid w:val="003356C0"/>
    <w:rsid w:val="003614AF"/>
    <w:rsid w:val="00361816"/>
    <w:rsid w:val="0038272C"/>
    <w:rsid w:val="003A4144"/>
    <w:rsid w:val="003C473E"/>
    <w:rsid w:val="0041491F"/>
    <w:rsid w:val="004318CD"/>
    <w:rsid w:val="00464105"/>
    <w:rsid w:val="004A1099"/>
    <w:rsid w:val="004A4B5D"/>
    <w:rsid w:val="004D236F"/>
    <w:rsid w:val="004D5D79"/>
    <w:rsid w:val="004F1FAE"/>
    <w:rsid w:val="004F4B54"/>
    <w:rsid w:val="00507B5E"/>
    <w:rsid w:val="005221A3"/>
    <w:rsid w:val="00531207"/>
    <w:rsid w:val="00547055"/>
    <w:rsid w:val="0054766A"/>
    <w:rsid w:val="005752CE"/>
    <w:rsid w:val="005A32EC"/>
    <w:rsid w:val="005D2A34"/>
    <w:rsid w:val="005E5E77"/>
    <w:rsid w:val="005E775C"/>
    <w:rsid w:val="005F331E"/>
    <w:rsid w:val="00616293"/>
    <w:rsid w:val="00652E3B"/>
    <w:rsid w:val="0065383C"/>
    <w:rsid w:val="0068601C"/>
    <w:rsid w:val="00690336"/>
    <w:rsid w:val="006B7C15"/>
    <w:rsid w:val="006C418E"/>
    <w:rsid w:val="006C476A"/>
    <w:rsid w:val="006E282C"/>
    <w:rsid w:val="006E520C"/>
    <w:rsid w:val="0070426D"/>
    <w:rsid w:val="007148C3"/>
    <w:rsid w:val="00723020"/>
    <w:rsid w:val="007373B6"/>
    <w:rsid w:val="00745C1B"/>
    <w:rsid w:val="007753E2"/>
    <w:rsid w:val="0079632E"/>
    <w:rsid w:val="007B1663"/>
    <w:rsid w:val="0080722B"/>
    <w:rsid w:val="0083273D"/>
    <w:rsid w:val="008432AF"/>
    <w:rsid w:val="00851764"/>
    <w:rsid w:val="008549DB"/>
    <w:rsid w:val="00855E6F"/>
    <w:rsid w:val="008642DC"/>
    <w:rsid w:val="008901CF"/>
    <w:rsid w:val="008960E9"/>
    <w:rsid w:val="008C5641"/>
    <w:rsid w:val="008D1057"/>
    <w:rsid w:val="008E0A23"/>
    <w:rsid w:val="008F1AA7"/>
    <w:rsid w:val="0095240C"/>
    <w:rsid w:val="00972906"/>
    <w:rsid w:val="00985976"/>
    <w:rsid w:val="009B2DBE"/>
    <w:rsid w:val="009F5194"/>
    <w:rsid w:val="009F7E9C"/>
    <w:rsid w:val="00A31076"/>
    <w:rsid w:val="00A3171F"/>
    <w:rsid w:val="00A50F2F"/>
    <w:rsid w:val="00A61F80"/>
    <w:rsid w:val="00A63125"/>
    <w:rsid w:val="00A95517"/>
    <w:rsid w:val="00A9569B"/>
    <w:rsid w:val="00AE488F"/>
    <w:rsid w:val="00AE6561"/>
    <w:rsid w:val="00B50A60"/>
    <w:rsid w:val="00B55F21"/>
    <w:rsid w:val="00B6448E"/>
    <w:rsid w:val="00B647D3"/>
    <w:rsid w:val="00BB17EE"/>
    <w:rsid w:val="00BB47B5"/>
    <w:rsid w:val="00BC166A"/>
    <w:rsid w:val="00C24F56"/>
    <w:rsid w:val="00C3258E"/>
    <w:rsid w:val="00C5585F"/>
    <w:rsid w:val="00C62398"/>
    <w:rsid w:val="00CA2DD6"/>
    <w:rsid w:val="00CC4B9F"/>
    <w:rsid w:val="00CF1E5A"/>
    <w:rsid w:val="00D13361"/>
    <w:rsid w:val="00D14992"/>
    <w:rsid w:val="00D2295A"/>
    <w:rsid w:val="00D27492"/>
    <w:rsid w:val="00D73BFA"/>
    <w:rsid w:val="00D80E12"/>
    <w:rsid w:val="00DB14CE"/>
    <w:rsid w:val="00E21BBB"/>
    <w:rsid w:val="00E237AF"/>
    <w:rsid w:val="00E4167E"/>
    <w:rsid w:val="00E4748C"/>
    <w:rsid w:val="00E52AE6"/>
    <w:rsid w:val="00E76C9B"/>
    <w:rsid w:val="00E92277"/>
    <w:rsid w:val="00EA2753"/>
    <w:rsid w:val="00EA6992"/>
    <w:rsid w:val="00EB286D"/>
    <w:rsid w:val="00EB5B97"/>
    <w:rsid w:val="00EC559A"/>
    <w:rsid w:val="00EC5998"/>
    <w:rsid w:val="00EE538C"/>
    <w:rsid w:val="00F017D0"/>
    <w:rsid w:val="00F27AE1"/>
    <w:rsid w:val="00F32F21"/>
    <w:rsid w:val="00F42AAD"/>
    <w:rsid w:val="00F60C55"/>
    <w:rsid w:val="00F67E26"/>
    <w:rsid w:val="00F76AB0"/>
    <w:rsid w:val="00F81F79"/>
    <w:rsid w:val="00F85865"/>
    <w:rsid w:val="00FA27C4"/>
    <w:rsid w:val="00FA4C94"/>
    <w:rsid w:val="00FD177B"/>
    <w:rsid w:val="00FD5F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5BC84"/>
  <w15:chartTrackingRefBased/>
  <w15:docId w15:val="{0330ACC3-5BC1-4FCF-96C7-F286ACFBD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43E1D"/>
    <w:pPr>
      <w:ind w:left="720"/>
      <w:contextualSpacing/>
    </w:pPr>
  </w:style>
  <w:style w:type="paragraph" w:styleId="Besedilooblaka">
    <w:name w:val="Balloon Text"/>
    <w:basedOn w:val="Navaden"/>
    <w:link w:val="BesedilooblakaZnak"/>
    <w:uiPriority w:val="99"/>
    <w:semiHidden/>
    <w:unhideWhenUsed/>
    <w:rsid w:val="00043E1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3E1D"/>
    <w:rPr>
      <w:rFonts w:ascii="Segoe UI" w:hAnsi="Segoe UI" w:cs="Segoe UI"/>
      <w:sz w:val="18"/>
      <w:szCs w:val="18"/>
    </w:rPr>
  </w:style>
  <w:style w:type="paragraph" w:customStyle="1" w:styleId="Odstavek">
    <w:name w:val="Odstavek"/>
    <w:basedOn w:val="Navaden"/>
    <w:link w:val="OdstavekZnak"/>
    <w:qFormat/>
    <w:rsid w:val="002E16C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E16C4"/>
    <w:rPr>
      <w:rFonts w:ascii="Arial" w:eastAsia="Times New Roman" w:hAnsi="Arial" w:cs="Arial"/>
      <w:lang w:eastAsia="sl-SI"/>
    </w:rPr>
  </w:style>
  <w:style w:type="paragraph" w:customStyle="1" w:styleId="Alineazaodstavkom">
    <w:name w:val="Alinea za odstavkom"/>
    <w:basedOn w:val="Navaden"/>
    <w:link w:val="AlineazaodstavkomZnak"/>
    <w:qFormat/>
    <w:rsid w:val="002E16C4"/>
    <w:pPr>
      <w:numPr>
        <w:numId w:val="4"/>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2E16C4"/>
    <w:rPr>
      <w:rFonts w:ascii="Arial" w:eastAsia="Times New Roman" w:hAnsi="Arial" w:cs="Arial"/>
      <w:lang w:eastAsia="sl-SI"/>
    </w:rPr>
  </w:style>
  <w:style w:type="character" w:styleId="Pripombasklic">
    <w:name w:val="annotation reference"/>
    <w:basedOn w:val="Privzetapisavaodstavka"/>
    <w:semiHidden/>
    <w:unhideWhenUsed/>
    <w:rsid w:val="002E16C4"/>
    <w:rPr>
      <w:sz w:val="16"/>
      <w:szCs w:val="16"/>
    </w:rPr>
  </w:style>
  <w:style w:type="paragraph" w:styleId="Pripombabesedilo">
    <w:name w:val="annotation text"/>
    <w:basedOn w:val="Navaden"/>
    <w:link w:val="PripombabesediloZnak"/>
    <w:unhideWhenUsed/>
    <w:rsid w:val="002E16C4"/>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rsid w:val="002E16C4"/>
    <w:rPr>
      <w:rFonts w:ascii="Arial" w:eastAsia="Times New Roman" w:hAnsi="Arial" w:cs="Times New Roman"/>
      <w:sz w:val="20"/>
      <w:szCs w:val="20"/>
      <w:lang w:eastAsia="sl-SI"/>
    </w:rPr>
  </w:style>
  <w:style w:type="paragraph" w:customStyle="1" w:styleId="Alineazatevilnotoko">
    <w:name w:val="Alinea za številčno točko"/>
    <w:basedOn w:val="Alineazaodstavkom"/>
    <w:link w:val="AlineazatevilnotokoZnak"/>
    <w:qFormat/>
    <w:rsid w:val="005F331E"/>
    <w:pPr>
      <w:numPr>
        <w:numId w:val="3"/>
      </w:numPr>
      <w:tabs>
        <w:tab w:val="left" w:pos="567"/>
      </w:tabs>
      <w:ind w:left="567" w:hanging="142"/>
    </w:pPr>
  </w:style>
  <w:style w:type="character" w:customStyle="1" w:styleId="AlineazatevilnotokoZnak">
    <w:name w:val="Alinea za številčno točko Znak"/>
    <w:basedOn w:val="Privzetapisavaodstavka"/>
    <w:link w:val="Alineazatevilnotoko"/>
    <w:rsid w:val="005F331E"/>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F017D0"/>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F017D0"/>
    <w:rPr>
      <w:rFonts w:ascii="Arial" w:eastAsia="Times New Roman" w:hAnsi="Arial" w:cs="Times New Roman"/>
      <w:b/>
      <w:bCs/>
      <w:sz w:val="20"/>
      <w:szCs w:val="20"/>
      <w:lang w:eastAsia="sl-SI"/>
    </w:rPr>
  </w:style>
  <w:style w:type="paragraph" w:styleId="Revizija">
    <w:name w:val="Revision"/>
    <w:hidden/>
    <w:uiPriority w:val="99"/>
    <w:semiHidden/>
    <w:rsid w:val="00A61F80"/>
    <w:pPr>
      <w:spacing w:after="0" w:line="240" w:lineRule="auto"/>
    </w:pPr>
  </w:style>
  <w:style w:type="character" w:customStyle="1" w:styleId="highlight">
    <w:name w:val="highlight"/>
    <w:basedOn w:val="Privzetapisavaodstavka"/>
    <w:rsid w:val="00EB28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5969675">
      <w:bodyDiv w:val="1"/>
      <w:marLeft w:val="0"/>
      <w:marRight w:val="0"/>
      <w:marTop w:val="0"/>
      <w:marBottom w:val="0"/>
      <w:divBdr>
        <w:top w:val="none" w:sz="0" w:space="0" w:color="auto"/>
        <w:left w:val="none" w:sz="0" w:space="0" w:color="auto"/>
        <w:bottom w:val="none" w:sz="0" w:space="0" w:color="auto"/>
        <w:right w:val="none" w:sz="0" w:space="0" w:color="auto"/>
      </w:divBdr>
    </w:div>
    <w:div w:id="416219670">
      <w:bodyDiv w:val="1"/>
      <w:marLeft w:val="0"/>
      <w:marRight w:val="0"/>
      <w:marTop w:val="0"/>
      <w:marBottom w:val="0"/>
      <w:divBdr>
        <w:top w:val="none" w:sz="0" w:space="0" w:color="auto"/>
        <w:left w:val="none" w:sz="0" w:space="0" w:color="auto"/>
        <w:bottom w:val="none" w:sz="0" w:space="0" w:color="auto"/>
        <w:right w:val="none" w:sz="0" w:space="0" w:color="auto"/>
      </w:divBdr>
      <w:divsChild>
        <w:div w:id="121964907">
          <w:marLeft w:val="-225"/>
          <w:marRight w:val="-225"/>
          <w:marTop w:val="0"/>
          <w:marBottom w:val="0"/>
          <w:divBdr>
            <w:top w:val="none" w:sz="0" w:space="0" w:color="auto"/>
            <w:left w:val="none" w:sz="0" w:space="0" w:color="auto"/>
            <w:bottom w:val="none" w:sz="0" w:space="0" w:color="auto"/>
            <w:right w:val="none" w:sz="0" w:space="0" w:color="auto"/>
          </w:divBdr>
          <w:divsChild>
            <w:div w:id="1024986984">
              <w:marLeft w:val="0"/>
              <w:marRight w:val="0"/>
              <w:marTop w:val="0"/>
              <w:marBottom w:val="0"/>
              <w:divBdr>
                <w:top w:val="none" w:sz="0" w:space="0" w:color="auto"/>
                <w:left w:val="none" w:sz="0" w:space="0" w:color="auto"/>
                <w:bottom w:val="none" w:sz="0" w:space="0" w:color="auto"/>
                <w:right w:val="none" w:sz="0" w:space="0" w:color="auto"/>
              </w:divBdr>
            </w:div>
          </w:divsChild>
        </w:div>
        <w:div w:id="576214349">
          <w:marLeft w:val="-225"/>
          <w:marRight w:val="-225"/>
          <w:marTop w:val="0"/>
          <w:marBottom w:val="0"/>
          <w:divBdr>
            <w:top w:val="none" w:sz="0" w:space="0" w:color="auto"/>
            <w:left w:val="none" w:sz="0" w:space="0" w:color="auto"/>
            <w:bottom w:val="none" w:sz="0" w:space="0" w:color="auto"/>
            <w:right w:val="none" w:sz="0" w:space="0" w:color="auto"/>
          </w:divBdr>
          <w:divsChild>
            <w:div w:id="396635113">
              <w:marLeft w:val="0"/>
              <w:marRight w:val="0"/>
              <w:marTop w:val="0"/>
              <w:marBottom w:val="0"/>
              <w:divBdr>
                <w:top w:val="none" w:sz="0" w:space="0" w:color="auto"/>
                <w:left w:val="none" w:sz="0" w:space="0" w:color="auto"/>
                <w:bottom w:val="none" w:sz="0" w:space="0" w:color="auto"/>
                <w:right w:val="none" w:sz="0" w:space="0" w:color="auto"/>
              </w:divBdr>
              <w:divsChild>
                <w:div w:id="486362458">
                  <w:marLeft w:val="0"/>
                  <w:marRight w:val="0"/>
                  <w:marTop w:val="0"/>
                  <w:marBottom w:val="0"/>
                  <w:divBdr>
                    <w:top w:val="none" w:sz="0" w:space="0" w:color="auto"/>
                    <w:left w:val="none" w:sz="0" w:space="0" w:color="auto"/>
                    <w:bottom w:val="none" w:sz="0" w:space="0" w:color="auto"/>
                    <w:right w:val="none" w:sz="0" w:space="0" w:color="auto"/>
                  </w:divBdr>
                  <w:divsChild>
                    <w:div w:id="952443796">
                      <w:marLeft w:val="0"/>
                      <w:marRight w:val="0"/>
                      <w:marTop w:val="240"/>
                      <w:marBottom w:val="120"/>
                      <w:divBdr>
                        <w:top w:val="none" w:sz="0" w:space="0" w:color="auto"/>
                        <w:left w:val="none" w:sz="0" w:space="0" w:color="auto"/>
                        <w:bottom w:val="none" w:sz="0" w:space="0" w:color="auto"/>
                        <w:right w:val="none" w:sz="0" w:space="0" w:color="auto"/>
                      </w:divBdr>
                    </w:div>
                    <w:div w:id="1793748625">
                      <w:marLeft w:val="0"/>
                      <w:marRight w:val="0"/>
                      <w:marTop w:val="0"/>
                      <w:marBottom w:val="120"/>
                      <w:divBdr>
                        <w:top w:val="none" w:sz="0" w:space="0" w:color="auto"/>
                        <w:left w:val="none" w:sz="0" w:space="0" w:color="auto"/>
                        <w:bottom w:val="none" w:sz="0" w:space="0" w:color="auto"/>
                        <w:right w:val="none" w:sz="0" w:space="0" w:color="auto"/>
                      </w:divBdr>
                    </w:div>
                    <w:div w:id="2085907342">
                      <w:marLeft w:val="0"/>
                      <w:marRight w:val="0"/>
                      <w:marTop w:val="240"/>
                      <w:marBottom w:val="120"/>
                      <w:divBdr>
                        <w:top w:val="none" w:sz="0" w:space="0" w:color="auto"/>
                        <w:left w:val="none" w:sz="0" w:space="0" w:color="auto"/>
                        <w:bottom w:val="none" w:sz="0" w:space="0" w:color="auto"/>
                        <w:right w:val="none" w:sz="0" w:space="0" w:color="auto"/>
                      </w:divBdr>
                    </w:div>
                    <w:div w:id="838034920">
                      <w:marLeft w:val="0"/>
                      <w:marRight w:val="0"/>
                      <w:marTop w:val="240"/>
                      <w:marBottom w:val="120"/>
                      <w:divBdr>
                        <w:top w:val="none" w:sz="0" w:space="0" w:color="auto"/>
                        <w:left w:val="none" w:sz="0" w:space="0" w:color="auto"/>
                        <w:bottom w:val="none" w:sz="0" w:space="0" w:color="auto"/>
                        <w:right w:val="none" w:sz="0" w:space="0" w:color="auto"/>
                      </w:divBdr>
                    </w:div>
                    <w:div w:id="36780559">
                      <w:marLeft w:val="0"/>
                      <w:marRight w:val="0"/>
                      <w:marTop w:val="240"/>
                      <w:marBottom w:val="120"/>
                      <w:divBdr>
                        <w:top w:val="none" w:sz="0" w:space="0" w:color="auto"/>
                        <w:left w:val="none" w:sz="0" w:space="0" w:color="auto"/>
                        <w:bottom w:val="none" w:sz="0" w:space="0" w:color="auto"/>
                        <w:right w:val="none" w:sz="0" w:space="0" w:color="auto"/>
                      </w:divBdr>
                    </w:div>
                    <w:div w:id="1907452259">
                      <w:marLeft w:val="0"/>
                      <w:marRight w:val="0"/>
                      <w:marTop w:val="480"/>
                      <w:marBottom w:val="72"/>
                      <w:divBdr>
                        <w:top w:val="none" w:sz="0" w:space="0" w:color="auto"/>
                        <w:left w:val="none" w:sz="0" w:space="0" w:color="auto"/>
                        <w:bottom w:val="none" w:sz="0" w:space="0" w:color="auto"/>
                        <w:right w:val="none" w:sz="0" w:space="0" w:color="auto"/>
                      </w:divBdr>
                    </w:div>
                    <w:div w:id="738673036">
                      <w:marLeft w:val="0"/>
                      <w:marRight w:val="0"/>
                      <w:marTop w:val="0"/>
                      <w:marBottom w:val="72"/>
                      <w:divBdr>
                        <w:top w:val="none" w:sz="0" w:space="0" w:color="auto"/>
                        <w:left w:val="none" w:sz="0" w:space="0" w:color="auto"/>
                        <w:bottom w:val="none" w:sz="0" w:space="0" w:color="auto"/>
                        <w:right w:val="none" w:sz="0" w:space="0" w:color="auto"/>
                      </w:divBdr>
                    </w:div>
                    <w:div w:id="1035348382">
                      <w:marLeft w:val="0"/>
                      <w:marRight w:val="0"/>
                      <w:marTop w:val="0"/>
                      <w:marBottom w:val="72"/>
                      <w:divBdr>
                        <w:top w:val="none" w:sz="0" w:space="0" w:color="auto"/>
                        <w:left w:val="none" w:sz="0" w:space="0" w:color="auto"/>
                        <w:bottom w:val="none" w:sz="0" w:space="0" w:color="auto"/>
                        <w:right w:val="none" w:sz="0" w:space="0" w:color="auto"/>
                      </w:divBdr>
                    </w:div>
                  </w:divsChild>
                </w:div>
              </w:divsChild>
            </w:div>
          </w:divsChild>
        </w:div>
      </w:divsChild>
    </w:div>
    <w:div w:id="501749473">
      <w:bodyDiv w:val="1"/>
      <w:marLeft w:val="0"/>
      <w:marRight w:val="0"/>
      <w:marTop w:val="0"/>
      <w:marBottom w:val="0"/>
      <w:divBdr>
        <w:top w:val="none" w:sz="0" w:space="0" w:color="auto"/>
        <w:left w:val="none" w:sz="0" w:space="0" w:color="auto"/>
        <w:bottom w:val="none" w:sz="0" w:space="0" w:color="auto"/>
        <w:right w:val="none" w:sz="0" w:space="0" w:color="auto"/>
      </w:divBdr>
    </w:div>
    <w:div w:id="1174684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945F563-032F-44CA-BC38-3967D3103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1483</Words>
  <Characters>8458</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Javna agencija za zdravje in medicinske pripomočke</Company>
  <LinksUpToDate>false</LinksUpToDate>
  <CharactersWithSpaces>9922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Janžič</dc:creator>
  <cp:keywords/>
  <dc:description/>
  <cp:lastModifiedBy>Tonija Črnigoj</cp:lastModifiedBy>
  <cp:revision>2</cp:revision>
  <cp:lastPrinted>2020-02-04T07:35:00Z</cp:lastPrinted>
  <dcterms:created xsi:type="dcterms:W3CDTF">2020-02-06T12:12:00Z</dcterms:created>
  <dcterms:modified xsi:type="dcterms:W3CDTF">2020-02-06T12:12:00Z</dcterms:modified>
</cp:coreProperties>
</file>