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EB6E484" w14:textId="77777777" w:rsidR="00720A6B" w:rsidRPr="009E4432" w:rsidRDefault="00720A6B" w:rsidP="00720A6B">
      <w:pPr>
        <w:overflowPunct w:val="0"/>
        <w:autoSpaceDE w:val="0"/>
        <w:autoSpaceDN w:val="0"/>
        <w:adjustRightInd w:val="0"/>
        <w:ind w:left="400"/>
        <w:jc w:val="center"/>
        <w:textAlignment w:val="baseline"/>
        <w:rPr>
          <w:rFonts w:ascii="Times New Roman" w:hAnsi="Times New Roman"/>
          <w:b/>
          <w:sz w:val="22"/>
          <w:szCs w:val="22"/>
        </w:rPr>
      </w:pPr>
    </w:p>
    <w:p w14:paraId="5969787D" w14:textId="77777777" w:rsidR="0026207F" w:rsidRPr="009E4432" w:rsidRDefault="0026207F" w:rsidP="0026207F">
      <w:pPr>
        <w:suppressAutoHyphens/>
        <w:rPr>
          <w:rFonts w:ascii="Times New Roman" w:hAnsi="Times New Roman"/>
          <w:b/>
          <w:sz w:val="22"/>
          <w:szCs w:val="22"/>
          <w:lang w:eastAsia="ar-SA"/>
        </w:rPr>
      </w:pPr>
      <w:r w:rsidRPr="009E4432">
        <w:rPr>
          <w:rFonts w:ascii="Times New Roman" w:hAnsi="Times New Roman"/>
          <w:b/>
          <w:sz w:val="22"/>
          <w:szCs w:val="22"/>
          <w:u w:val="single"/>
          <w:lang w:eastAsia="ar-SA"/>
        </w:rPr>
        <w:t>Ime predpisa:</w:t>
      </w:r>
      <w:r w:rsidRPr="009E4432">
        <w:rPr>
          <w:rFonts w:ascii="Times New Roman" w:hAnsi="Times New Roman"/>
          <w:b/>
          <w:sz w:val="22"/>
          <w:szCs w:val="22"/>
          <w:lang w:eastAsia="ar-SA"/>
        </w:rPr>
        <w:t xml:space="preserve"> </w:t>
      </w:r>
    </w:p>
    <w:p w14:paraId="3E4039C3" w14:textId="33B8BBE8" w:rsidR="0026207F" w:rsidRPr="009E4432" w:rsidRDefault="004D231C" w:rsidP="0026207F">
      <w:pPr>
        <w:suppressAutoHyphens/>
        <w:rPr>
          <w:rFonts w:ascii="Times New Roman" w:hAnsi="Times New Roman"/>
          <w:sz w:val="22"/>
          <w:szCs w:val="22"/>
          <w:lang w:eastAsia="ar-SA"/>
        </w:rPr>
      </w:pPr>
      <w:r w:rsidRPr="009E4432">
        <w:rPr>
          <w:rFonts w:ascii="Times New Roman" w:hAnsi="Times New Roman"/>
          <w:sz w:val="22"/>
          <w:szCs w:val="22"/>
        </w:rPr>
        <w:t>Predlog Zakona o podnebni politiki</w:t>
      </w:r>
    </w:p>
    <w:p w14:paraId="40F4CC53" w14:textId="77777777" w:rsidR="0026207F" w:rsidRPr="009E4432" w:rsidRDefault="0026207F" w:rsidP="0026207F">
      <w:pPr>
        <w:suppressAutoHyphens/>
        <w:rPr>
          <w:rFonts w:ascii="Times New Roman" w:hAnsi="Times New Roman"/>
          <w:b/>
          <w:sz w:val="22"/>
          <w:szCs w:val="22"/>
          <w:u w:val="single"/>
          <w:lang w:eastAsia="ar-SA"/>
        </w:rPr>
      </w:pPr>
    </w:p>
    <w:p w14:paraId="0A4F67DE" w14:textId="77777777" w:rsidR="0026207F" w:rsidRPr="009E4432" w:rsidRDefault="0026207F" w:rsidP="0026207F">
      <w:pPr>
        <w:suppressAutoHyphens/>
        <w:spacing w:line="240" w:lineRule="atLeast"/>
        <w:rPr>
          <w:rFonts w:ascii="Times New Roman" w:hAnsi="Times New Roman"/>
          <w:b/>
          <w:sz w:val="22"/>
          <w:szCs w:val="22"/>
          <w:lang w:eastAsia="ar-SA"/>
        </w:rPr>
      </w:pPr>
      <w:r w:rsidRPr="009E4432">
        <w:rPr>
          <w:rFonts w:ascii="Times New Roman" w:hAnsi="Times New Roman"/>
          <w:b/>
          <w:sz w:val="22"/>
          <w:szCs w:val="22"/>
          <w:u w:val="single"/>
          <w:lang w:eastAsia="ar-SA"/>
        </w:rPr>
        <w:t>Št. zadeve:</w:t>
      </w:r>
      <w:r w:rsidRPr="009E4432">
        <w:rPr>
          <w:rFonts w:ascii="Times New Roman" w:hAnsi="Times New Roman"/>
          <w:b/>
          <w:sz w:val="22"/>
          <w:szCs w:val="22"/>
          <w:lang w:eastAsia="ar-SA"/>
        </w:rPr>
        <w:t xml:space="preserve"> </w:t>
      </w:r>
    </w:p>
    <w:p w14:paraId="23506FB7" w14:textId="2118337C" w:rsidR="0026207F" w:rsidRPr="009E4432" w:rsidRDefault="009E4432" w:rsidP="0026207F">
      <w:pPr>
        <w:suppressAutoHyphens/>
        <w:spacing w:line="240" w:lineRule="atLeast"/>
        <w:rPr>
          <w:rFonts w:ascii="Times New Roman" w:hAnsi="Times New Roman"/>
          <w:sz w:val="22"/>
          <w:szCs w:val="22"/>
          <w:lang w:eastAsia="ar-SA"/>
        </w:rPr>
      </w:pPr>
      <w:r w:rsidRPr="009E4432">
        <w:rPr>
          <w:rFonts w:ascii="Times New Roman" w:hAnsi="Times New Roman"/>
          <w:iCs/>
          <w:sz w:val="22"/>
          <w:szCs w:val="22"/>
        </w:rPr>
        <w:t>2019-2550-0049</w:t>
      </w:r>
    </w:p>
    <w:p w14:paraId="5FDA7E92" w14:textId="77777777" w:rsidR="0026207F" w:rsidRPr="009E4432" w:rsidRDefault="0026207F" w:rsidP="0026207F">
      <w:pPr>
        <w:suppressAutoHyphens/>
        <w:spacing w:line="240" w:lineRule="atLeast"/>
        <w:rPr>
          <w:rFonts w:ascii="Times New Roman" w:hAnsi="Times New Roman"/>
          <w:b/>
          <w:sz w:val="22"/>
          <w:szCs w:val="22"/>
          <w:lang w:eastAsia="ar-SA"/>
        </w:rPr>
      </w:pPr>
    </w:p>
    <w:p w14:paraId="5C367EA1" w14:textId="77777777" w:rsidR="0026207F" w:rsidRPr="009E4432" w:rsidRDefault="0026207F" w:rsidP="0026207F">
      <w:pPr>
        <w:suppressAutoHyphens/>
        <w:spacing w:line="240" w:lineRule="atLeast"/>
        <w:rPr>
          <w:rFonts w:ascii="Times New Roman" w:hAnsi="Times New Roman"/>
          <w:b/>
          <w:sz w:val="22"/>
          <w:szCs w:val="22"/>
          <w:u w:val="single"/>
          <w:lang w:eastAsia="ar-SA"/>
        </w:rPr>
      </w:pPr>
      <w:r w:rsidRPr="009E4432">
        <w:rPr>
          <w:rFonts w:ascii="Times New Roman" w:hAnsi="Times New Roman"/>
          <w:b/>
          <w:sz w:val="22"/>
          <w:szCs w:val="22"/>
          <w:u w:val="single"/>
          <w:lang w:eastAsia="ar-SA"/>
        </w:rPr>
        <w:t xml:space="preserve">Datum objave: </w:t>
      </w:r>
    </w:p>
    <w:p w14:paraId="31A4CD4B" w14:textId="6FA0E954" w:rsidR="0026207F" w:rsidRPr="009E4432" w:rsidRDefault="00D41232" w:rsidP="0026207F">
      <w:pPr>
        <w:suppressAutoHyphens/>
        <w:spacing w:line="240" w:lineRule="atLeast"/>
        <w:rPr>
          <w:rFonts w:ascii="Times New Roman" w:hAnsi="Times New Roman"/>
          <w:sz w:val="22"/>
          <w:szCs w:val="22"/>
          <w:lang w:eastAsia="ar-SA"/>
        </w:rPr>
      </w:pPr>
      <w:r w:rsidRPr="009E4432">
        <w:rPr>
          <w:rFonts w:ascii="Times New Roman" w:hAnsi="Times New Roman"/>
          <w:sz w:val="22"/>
          <w:szCs w:val="22"/>
          <w:lang w:eastAsia="ar-SA"/>
        </w:rPr>
        <w:t>1</w:t>
      </w:r>
      <w:r w:rsidR="004D231C" w:rsidRPr="009E4432">
        <w:rPr>
          <w:rFonts w:ascii="Times New Roman" w:hAnsi="Times New Roman"/>
          <w:sz w:val="22"/>
          <w:szCs w:val="22"/>
          <w:lang w:eastAsia="ar-SA"/>
        </w:rPr>
        <w:t>2</w:t>
      </w:r>
      <w:r w:rsidR="006B498D" w:rsidRPr="009E4432">
        <w:rPr>
          <w:rFonts w:ascii="Times New Roman" w:hAnsi="Times New Roman"/>
          <w:sz w:val="22"/>
          <w:szCs w:val="22"/>
          <w:lang w:eastAsia="ar-SA"/>
        </w:rPr>
        <w:t>.</w:t>
      </w:r>
      <w:r w:rsidR="0037223D" w:rsidRPr="009E4432">
        <w:rPr>
          <w:rFonts w:ascii="Times New Roman" w:hAnsi="Times New Roman"/>
          <w:sz w:val="22"/>
          <w:szCs w:val="22"/>
          <w:lang w:eastAsia="ar-SA"/>
        </w:rPr>
        <w:t> </w:t>
      </w:r>
      <w:r w:rsidR="004D231C" w:rsidRPr="009E4432">
        <w:rPr>
          <w:rFonts w:ascii="Times New Roman" w:hAnsi="Times New Roman"/>
          <w:sz w:val="22"/>
          <w:szCs w:val="22"/>
          <w:lang w:eastAsia="ar-SA"/>
        </w:rPr>
        <w:t>9</w:t>
      </w:r>
      <w:r w:rsidR="006B498D" w:rsidRPr="009E4432">
        <w:rPr>
          <w:rFonts w:ascii="Times New Roman" w:hAnsi="Times New Roman"/>
          <w:sz w:val="22"/>
          <w:szCs w:val="22"/>
          <w:lang w:eastAsia="ar-SA"/>
        </w:rPr>
        <w:t>.</w:t>
      </w:r>
      <w:r w:rsidR="0037223D" w:rsidRPr="009E4432">
        <w:rPr>
          <w:rFonts w:ascii="Times New Roman" w:hAnsi="Times New Roman"/>
          <w:sz w:val="22"/>
          <w:szCs w:val="22"/>
          <w:lang w:eastAsia="ar-SA"/>
        </w:rPr>
        <w:t> </w:t>
      </w:r>
      <w:r w:rsidR="006B498D" w:rsidRPr="009E4432">
        <w:rPr>
          <w:rFonts w:ascii="Times New Roman" w:hAnsi="Times New Roman"/>
          <w:sz w:val="22"/>
          <w:szCs w:val="22"/>
          <w:lang w:eastAsia="ar-SA"/>
        </w:rPr>
        <w:t>201</w:t>
      </w:r>
      <w:r w:rsidRPr="009E4432">
        <w:rPr>
          <w:rFonts w:ascii="Times New Roman" w:hAnsi="Times New Roman"/>
          <w:sz w:val="22"/>
          <w:szCs w:val="22"/>
          <w:lang w:eastAsia="ar-SA"/>
        </w:rPr>
        <w:t>9</w:t>
      </w:r>
    </w:p>
    <w:p w14:paraId="1A6471D1" w14:textId="77777777" w:rsidR="0026207F" w:rsidRPr="009E4432" w:rsidRDefault="0026207F" w:rsidP="0026207F">
      <w:pPr>
        <w:suppressAutoHyphens/>
        <w:spacing w:line="240" w:lineRule="atLeast"/>
        <w:rPr>
          <w:rFonts w:ascii="Times New Roman" w:hAnsi="Times New Roman"/>
          <w:b/>
          <w:sz w:val="22"/>
          <w:szCs w:val="22"/>
          <w:u w:val="single"/>
          <w:lang w:eastAsia="ar-SA"/>
        </w:rPr>
      </w:pPr>
    </w:p>
    <w:p w14:paraId="1A6F21EA" w14:textId="77777777" w:rsidR="0026207F" w:rsidRPr="009E4432" w:rsidRDefault="0026207F" w:rsidP="0026207F">
      <w:pPr>
        <w:suppressAutoHyphens/>
        <w:spacing w:line="240" w:lineRule="atLeast"/>
        <w:rPr>
          <w:rFonts w:ascii="Times New Roman" w:hAnsi="Times New Roman"/>
          <w:b/>
          <w:sz w:val="22"/>
          <w:szCs w:val="22"/>
          <w:u w:val="single"/>
          <w:lang w:eastAsia="ar-SA"/>
        </w:rPr>
      </w:pPr>
      <w:r w:rsidRPr="009E4432">
        <w:rPr>
          <w:rFonts w:ascii="Times New Roman" w:hAnsi="Times New Roman"/>
          <w:b/>
          <w:sz w:val="22"/>
          <w:szCs w:val="22"/>
          <w:u w:val="single"/>
          <w:lang w:eastAsia="ar-SA"/>
        </w:rPr>
        <w:t xml:space="preserve">Rok za sprejem mnenj in pripomb: </w:t>
      </w:r>
    </w:p>
    <w:p w14:paraId="3474D052" w14:textId="0BED5F6D" w:rsidR="0026207F" w:rsidRPr="009E4432" w:rsidRDefault="004D231C" w:rsidP="0026207F">
      <w:pPr>
        <w:suppressAutoHyphens/>
        <w:spacing w:line="240" w:lineRule="atLeast"/>
        <w:rPr>
          <w:rFonts w:ascii="Times New Roman" w:hAnsi="Times New Roman"/>
          <w:sz w:val="22"/>
          <w:szCs w:val="22"/>
          <w:lang w:eastAsia="ar-SA"/>
        </w:rPr>
      </w:pPr>
      <w:r w:rsidRPr="009E4432">
        <w:rPr>
          <w:rFonts w:ascii="Times New Roman" w:hAnsi="Times New Roman"/>
          <w:sz w:val="22"/>
          <w:szCs w:val="22"/>
          <w:lang w:eastAsia="ar-SA"/>
        </w:rPr>
        <w:t>12</w:t>
      </w:r>
      <w:r w:rsidR="0026207F" w:rsidRPr="009E4432">
        <w:rPr>
          <w:rFonts w:ascii="Times New Roman" w:hAnsi="Times New Roman"/>
          <w:sz w:val="22"/>
          <w:szCs w:val="22"/>
          <w:lang w:eastAsia="ar-SA"/>
        </w:rPr>
        <w:t>.</w:t>
      </w:r>
      <w:r w:rsidR="00676F90" w:rsidRPr="009E4432">
        <w:rPr>
          <w:rFonts w:ascii="Times New Roman" w:hAnsi="Times New Roman"/>
          <w:sz w:val="22"/>
          <w:szCs w:val="22"/>
          <w:lang w:eastAsia="ar-SA"/>
        </w:rPr>
        <w:t> </w:t>
      </w:r>
      <w:r w:rsidRPr="009E4432">
        <w:rPr>
          <w:rFonts w:ascii="Times New Roman" w:hAnsi="Times New Roman"/>
          <w:sz w:val="22"/>
          <w:szCs w:val="22"/>
          <w:lang w:eastAsia="ar-SA"/>
        </w:rPr>
        <w:t>10</w:t>
      </w:r>
      <w:r w:rsidR="0026207F" w:rsidRPr="009E4432">
        <w:rPr>
          <w:rFonts w:ascii="Times New Roman" w:hAnsi="Times New Roman"/>
          <w:sz w:val="22"/>
          <w:szCs w:val="22"/>
          <w:lang w:eastAsia="ar-SA"/>
        </w:rPr>
        <w:t>.</w:t>
      </w:r>
      <w:r w:rsidR="0037223D" w:rsidRPr="009E4432">
        <w:rPr>
          <w:rFonts w:ascii="Times New Roman" w:hAnsi="Times New Roman"/>
          <w:sz w:val="22"/>
          <w:szCs w:val="22"/>
          <w:lang w:eastAsia="ar-SA"/>
        </w:rPr>
        <w:t> </w:t>
      </w:r>
      <w:r w:rsidR="0026207F" w:rsidRPr="009E4432">
        <w:rPr>
          <w:rFonts w:ascii="Times New Roman" w:hAnsi="Times New Roman"/>
          <w:sz w:val="22"/>
          <w:szCs w:val="22"/>
          <w:lang w:eastAsia="ar-SA"/>
        </w:rPr>
        <w:t>201</w:t>
      </w:r>
      <w:r w:rsidR="00D41232" w:rsidRPr="009E4432">
        <w:rPr>
          <w:rFonts w:ascii="Times New Roman" w:hAnsi="Times New Roman"/>
          <w:sz w:val="22"/>
          <w:szCs w:val="22"/>
          <w:lang w:eastAsia="ar-SA"/>
        </w:rPr>
        <w:t>9</w:t>
      </w:r>
    </w:p>
    <w:p w14:paraId="0068AA1E" w14:textId="77777777" w:rsidR="0026207F" w:rsidRPr="009E4432" w:rsidRDefault="0026207F" w:rsidP="0026207F">
      <w:pPr>
        <w:suppressAutoHyphens/>
        <w:spacing w:line="240" w:lineRule="atLeast"/>
        <w:rPr>
          <w:rFonts w:ascii="Times New Roman" w:hAnsi="Times New Roman"/>
          <w:sz w:val="22"/>
          <w:szCs w:val="22"/>
          <w:lang w:eastAsia="ar-SA"/>
        </w:rPr>
      </w:pPr>
    </w:p>
    <w:p w14:paraId="4A52E996" w14:textId="77777777" w:rsidR="0026207F" w:rsidRPr="009E4432" w:rsidRDefault="0026207F" w:rsidP="0026207F">
      <w:pPr>
        <w:suppressAutoHyphens/>
        <w:spacing w:line="240" w:lineRule="atLeast"/>
        <w:rPr>
          <w:rFonts w:ascii="Times New Roman" w:hAnsi="Times New Roman"/>
          <w:b/>
          <w:sz w:val="22"/>
          <w:szCs w:val="22"/>
          <w:lang w:eastAsia="ar-SA"/>
        </w:rPr>
      </w:pPr>
    </w:p>
    <w:p w14:paraId="69D7EB2B" w14:textId="77777777" w:rsidR="0026207F" w:rsidRPr="009E4432" w:rsidRDefault="0026207F" w:rsidP="0026207F">
      <w:pPr>
        <w:suppressAutoHyphens/>
        <w:spacing w:line="240" w:lineRule="atLeast"/>
        <w:rPr>
          <w:rFonts w:ascii="Times New Roman" w:hAnsi="Times New Roman"/>
          <w:b/>
          <w:sz w:val="22"/>
          <w:szCs w:val="22"/>
          <w:u w:val="single"/>
          <w:lang w:eastAsia="ar-SA"/>
        </w:rPr>
      </w:pPr>
      <w:r w:rsidRPr="009E4432">
        <w:rPr>
          <w:rFonts w:ascii="Times New Roman" w:hAnsi="Times New Roman"/>
          <w:b/>
          <w:sz w:val="22"/>
          <w:szCs w:val="22"/>
          <w:u w:val="single"/>
          <w:lang w:eastAsia="ar-SA"/>
        </w:rPr>
        <w:t xml:space="preserve">Ime odgovorne osebe in e-naslov: </w:t>
      </w:r>
    </w:p>
    <w:p w14:paraId="1B65CA62" w14:textId="4C3170E6" w:rsidR="0026207F" w:rsidRPr="009E4432" w:rsidRDefault="009E4432" w:rsidP="0026207F">
      <w:pPr>
        <w:suppressAutoHyphens/>
        <w:spacing w:line="240" w:lineRule="atLeast"/>
        <w:rPr>
          <w:rFonts w:ascii="Times New Roman" w:hAnsi="Times New Roman"/>
          <w:color w:val="0000FF"/>
          <w:sz w:val="22"/>
          <w:szCs w:val="22"/>
          <w:u w:val="single"/>
          <w:lang w:eastAsia="ar-SA"/>
        </w:rPr>
      </w:pPr>
      <w:r w:rsidRPr="009E4432">
        <w:rPr>
          <w:rFonts w:ascii="Times New Roman" w:hAnsi="Times New Roman"/>
          <w:sz w:val="22"/>
          <w:szCs w:val="22"/>
          <w:lang w:eastAsia="ar-SA"/>
        </w:rPr>
        <w:t xml:space="preserve">Pripombe posredujte na </w:t>
      </w:r>
      <w:hyperlink r:id="rId8" w:history="1">
        <w:r w:rsidR="0026207F" w:rsidRPr="009E4432">
          <w:rPr>
            <w:rFonts w:ascii="Times New Roman" w:hAnsi="Times New Roman"/>
            <w:color w:val="0000FF"/>
            <w:sz w:val="22"/>
            <w:szCs w:val="22"/>
            <w:u w:val="single"/>
            <w:lang w:eastAsia="ar-SA"/>
          </w:rPr>
          <w:t>gp.mop@gov.si</w:t>
        </w:r>
      </w:hyperlink>
    </w:p>
    <w:p w14:paraId="2B11CB7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4B6B6F1"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50953648"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750563B"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008C26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5B164F91"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1F75455"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86AEE8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94CE2D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5A66AD8"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C5DC5E0"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47CFA6A"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99F9EC1"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B9A41D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7DC5B9F"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BB3DB7A"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DF77C57"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A69BEBD"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5C74E25"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A0DDA7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082551C"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2307B2DE"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7965C21E"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4FD4EB9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65E539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5BB8FAD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27B7B58"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637C120"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13F8C085"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48FE6444"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2595626"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184ADAA8"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0AB31343"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12F6959C"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18D631DA"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C434A2A"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6C812285"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1162C7F" w14:textId="77777777" w:rsidR="0026207F" w:rsidRPr="009E4432" w:rsidRDefault="0026207F" w:rsidP="0026207F">
      <w:pPr>
        <w:suppressAutoHyphens/>
        <w:spacing w:line="240" w:lineRule="atLeast"/>
        <w:rPr>
          <w:rFonts w:ascii="Times New Roman" w:hAnsi="Times New Roman"/>
          <w:sz w:val="22"/>
          <w:szCs w:val="22"/>
          <w:u w:val="single"/>
          <w:lang w:eastAsia="ar-SA"/>
        </w:rPr>
      </w:pPr>
    </w:p>
    <w:p w14:paraId="3AB5D86F" w14:textId="66649C49" w:rsidR="0026207F" w:rsidRPr="009E4432" w:rsidRDefault="0026207F" w:rsidP="0026207F">
      <w:pPr>
        <w:suppressAutoHyphens/>
        <w:spacing w:line="240" w:lineRule="atLeast"/>
        <w:rPr>
          <w:rFonts w:ascii="Times New Roman" w:hAnsi="Times New Roman"/>
          <w:sz w:val="22"/>
          <w:szCs w:val="22"/>
          <w:u w:val="single"/>
          <w:lang w:eastAsia="ar-SA"/>
        </w:rPr>
      </w:pPr>
    </w:p>
    <w:p w14:paraId="3CCC8DBD" w14:textId="77777777" w:rsidR="00C15D54" w:rsidRPr="009E4432" w:rsidRDefault="00C15D54" w:rsidP="0026207F">
      <w:pPr>
        <w:suppressAutoHyphens/>
        <w:spacing w:line="240" w:lineRule="atLeast"/>
        <w:rPr>
          <w:rFonts w:ascii="Times New Roman" w:hAnsi="Times New Roman"/>
          <w:sz w:val="22"/>
          <w:szCs w:val="22"/>
          <w:u w:val="single"/>
          <w:lang w:eastAsia="ar-SA"/>
        </w:rPr>
      </w:pPr>
    </w:p>
    <w:p w14:paraId="6D3CDB0F" w14:textId="77777777" w:rsidR="0026207F" w:rsidRPr="009E4432" w:rsidRDefault="0026207F" w:rsidP="0026207F">
      <w:pPr>
        <w:suppressAutoHyphens/>
        <w:spacing w:line="240" w:lineRule="atLeast"/>
        <w:rPr>
          <w:rFonts w:ascii="Times New Roman" w:hAnsi="Times New Roman"/>
          <w:b/>
          <w:sz w:val="22"/>
          <w:szCs w:val="22"/>
          <w:u w:val="single"/>
          <w:lang w:eastAsia="ar-SA"/>
        </w:rPr>
      </w:pPr>
    </w:p>
    <w:p w14:paraId="5EB0E482" w14:textId="77777777" w:rsidR="009E4432" w:rsidRPr="009E4432" w:rsidRDefault="009E4432" w:rsidP="00432A5D">
      <w:pPr>
        <w:jc w:val="both"/>
        <w:rPr>
          <w:rFonts w:ascii="Times New Roman" w:hAnsi="Times New Roman"/>
          <w:b/>
          <w:sz w:val="22"/>
          <w:szCs w:val="22"/>
          <w:lang w:eastAsia="ar-SA"/>
        </w:rPr>
      </w:pPr>
    </w:p>
    <w:p w14:paraId="44A88676" w14:textId="06E688DA" w:rsidR="009E4432" w:rsidRPr="009E4432" w:rsidRDefault="009E4432" w:rsidP="009E4432">
      <w:pPr>
        <w:pStyle w:val="Naslovpredpisa"/>
        <w:spacing w:before="0" w:after="0" w:line="260" w:lineRule="exact"/>
        <w:jc w:val="right"/>
        <w:rPr>
          <w:rFonts w:ascii="Times New Roman" w:hAnsi="Times New Roman" w:cs="Times New Roman"/>
        </w:rPr>
      </w:pPr>
    </w:p>
    <w:tbl>
      <w:tblPr>
        <w:tblW w:w="0" w:type="auto"/>
        <w:tblLook w:val="04A0" w:firstRow="1" w:lastRow="0" w:firstColumn="1" w:lastColumn="0" w:noHBand="0" w:noVBand="1"/>
      </w:tblPr>
      <w:tblGrid>
        <w:gridCol w:w="8714"/>
      </w:tblGrid>
      <w:tr w:rsidR="009E4432" w:rsidRPr="009E4432" w14:paraId="4F8A518A" w14:textId="77777777" w:rsidTr="001918C3">
        <w:tc>
          <w:tcPr>
            <w:tcW w:w="8714" w:type="dxa"/>
          </w:tcPr>
          <w:p w14:paraId="103B471E" w14:textId="77777777" w:rsidR="009E4432" w:rsidRPr="009E4432" w:rsidRDefault="009E4432" w:rsidP="001918C3">
            <w:pPr>
              <w:pStyle w:val="Naslovpredpisa"/>
              <w:spacing w:before="0" w:after="0" w:line="260" w:lineRule="exact"/>
              <w:rPr>
                <w:rFonts w:ascii="Times New Roman" w:hAnsi="Times New Roman" w:cs="Times New Roman"/>
              </w:rPr>
            </w:pPr>
            <w:r w:rsidRPr="009E4432">
              <w:rPr>
                <w:rFonts w:ascii="Times New Roman" w:hAnsi="Times New Roman" w:cs="Times New Roman"/>
              </w:rPr>
              <w:t xml:space="preserve">ZAKON </w:t>
            </w:r>
          </w:p>
          <w:p w14:paraId="4D24131A" w14:textId="77777777" w:rsidR="009E4432" w:rsidRPr="009E4432" w:rsidRDefault="009E4432" w:rsidP="001918C3">
            <w:pPr>
              <w:pStyle w:val="Naslovpredpisa"/>
              <w:spacing w:before="0" w:after="0" w:line="260" w:lineRule="exact"/>
              <w:rPr>
                <w:rFonts w:ascii="Times New Roman" w:hAnsi="Times New Roman" w:cs="Times New Roman"/>
              </w:rPr>
            </w:pPr>
            <w:r w:rsidRPr="009E4432">
              <w:rPr>
                <w:rFonts w:ascii="Times New Roman" w:hAnsi="Times New Roman" w:cs="Times New Roman"/>
              </w:rPr>
              <w:t>O PODNEBNI POLITIKI</w:t>
            </w:r>
          </w:p>
          <w:p w14:paraId="7BFDB80A" w14:textId="77777777" w:rsidR="009E4432" w:rsidRPr="009E4432" w:rsidRDefault="009E4432" w:rsidP="001918C3">
            <w:pPr>
              <w:pStyle w:val="Naslovpredpisa"/>
              <w:spacing w:before="0" w:after="0" w:line="260" w:lineRule="exact"/>
              <w:rPr>
                <w:rFonts w:ascii="Times New Roman" w:hAnsi="Times New Roman" w:cs="Times New Roman"/>
              </w:rPr>
            </w:pPr>
          </w:p>
        </w:tc>
      </w:tr>
      <w:tr w:rsidR="009E4432" w:rsidRPr="009E4432" w14:paraId="73DEA2F3" w14:textId="77777777" w:rsidTr="001918C3">
        <w:tc>
          <w:tcPr>
            <w:tcW w:w="8714" w:type="dxa"/>
          </w:tcPr>
          <w:p w14:paraId="0867095B" w14:textId="77777777" w:rsidR="009E4432" w:rsidRPr="009E4432" w:rsidRDefault="009E4432" w:rsidP="001918C3">
            <w:pPr>
              <w:pStyle w:val="Poglavje"/>
              <w:spacing w:before="0" w:after="0" w:line="260" w:lineRule="exact"/>
              <w:jc w:val="left"/>
              <w:rPr>
                <w:rFonts w:ascii="Times New Roman" w:hAnsi="Times New Roman" w:cs="Times New Roman"/>
              </w:rPr>
            </w:pPr>
            <w:r w:rsidRPr="009E4432">
              <w:rPr>
                <w:rFonts w:ascii="Times New Roman" w:hAnsi="Times New Roman" w:cs="Times New Roman"/>
              </w:rPr>
              <w:t>I. UVOD</w:t>
            </w:r>
          </w:p>
        </w:tc>
      </w:tr>
      <w:tr w:rsidR="009E4432" w:rsidRPr="009E4432" w14:paraId="05E2C3B2" w14:textId="77777777" w:rsidTr="001918C3">
        <w:tc>
          <w:tcPr>
            <w:tcW w:w="8714" w:type="dxa"/>
          </w:tcPr>
          <w:p w14:paraId="3F1E3BA3" w14:textId="77777777" w:rsidR="009E4432" w:rsidRPr="009E4432" w:rsidRDefault="009E4432" w:rsidP="001918C3">
            <w:pPr>
              <w:pStyle w:val="Oddel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1. OCENA STANJA IN RAZLOGI ZA SPREJEM PREDLOGA ZAKONA</w:t>
            </w:r>
          </w:p>
        </w:tc>
      </w:tr>
      <w:tr w:rsidR="009E4432" w:rsidRPr="009E4432" w14:paraId="4BA5E709" w14:textId="77777777" w:rsidTr="001918C3">
        <w:tc>
          <w:tcPr>
            <w:tcW w:w="8714" w:type="dxa"/>
          </w:tcPr>
          <w:p w14:paraId="677A3138"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55BF1BF7"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Osnovni namen in cilj podnebne politike je, da do sredine tega stoletja zagotovi prehod v trajnostni razvoj gospodarstva in družbe, ki temelji na neto ničelnih emisijah toplogrednih plinov, obnovljivih virih energije, trajnostni proizvodnji in potrošnji v mejah zmogljivosti planeta ter v koreniti spremembi našega razmišljanja in življenjskega sloga. </w:t>
            </w:r>
          </w:p>
          <w:p w14:paraId="1FA0BEC8"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  </w:t>
            </w:r>
          </w:p>
          <w:p w14:paraId="74C3AF48"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Podnebna politika mora slediti ciljem Pariškega sporazuma,  aktualnim znanstvenim dognanjem, predvsem Medvladnega odbora za podnebne spremembe (v nadaljevanju: IPCC)  in številnih drugih znanstvenih ustanov, sklepom in dokumentom na ravni EU ter sporočilu Evropske komisije »Čist planet za vse:  Evropska strateška dolgoročna vizija za uspešno, sodobno, konkurenčno in podnebno nevtralno gospodarstvo«. </w:t>
            </w:r>
          </w:p>
          <w:p w14:paraId="122858F1"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30E8CBBA"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a)</w:t>
            </w:r>
            <w:r w:rsidRPr="009E4432">
              <w:rPr>
                <w:rFonts w:ascii="Times New Roman" w:hAnsi="Times New Roman" w:cs="Times New Roman"/>
              </w:rPr>
              <w:tab/>
              <w:t xml:space="preserve">Stanje podnebnih sprememb na svetovni ravni </w:t>
            </w:r>
          </w:p>
          <w:p w14:paraId="6DDC5E8E"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3A24726F"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IPCC ter številne druge priznane znanstvene in strokovne ustanove v svojih študijah in analizah opozarjajo na možnost katastrofalnih posledic svetovnega pregrevanja in podnebne krize, če na svetovni ravni, pa tudi ravni EU in vseh držav ne bomo odločno ukrepali takoj. IPCC pri tem dodaja časovno obdobje desetih let, v katerem se z veliko verjetnostjo že lahko zgodijo tako imenovane »povratne zanke« oziroma »verižni učinki«, ki lahko pomenijo točko brez vrnitve.   </w:t>
            </w:r>
          </w:p>
          <w:p w14:paraId="2346E81D"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72436790"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Na ravni Organizacije združenih narodov je bil leta 2015 soglasno sprejet Pariški sporazum, ki ima za cilj preprečiti porast povprečne svetovne temperature nad 2 stopinji Celzija oziroma nad 1,5 stopinje Celzija do srede tega stoletja v primerjavi s predindustrijskim obdobjem. To je po mnenju znanstvenikov in strokovnjakov tista meja, do katere so negativne posledice podnebne krize še obvladljive, kjer je prilagoditev na posledice še znosna in mogoča in kjer so stroški še v realnih mejah zmožnosti. Pariški sporazum je po ratifikaciji dovolj velikega števila držav začel veljati oktobra 2016. Slovenija je Pariški sporazum ratificirala novembra 2016 z začetkom veljavnosti 15. januarja 2017.</w:t>
            </w:r>
          </w:p>
          <w:p w14:paraId="1EE90703"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6CBEAFC4"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Toda svetovni in tudi evropski trendi podnebne krize v zadnjih 30 do 40 letih so tako negativni, da bo cilje Pariškega sporazuma mogoče doseči samo, če bodo na svetovni ravni in tudi na ravni EU in vseh držav sprejeli odločne in hitre ukrepe za zmanjšanje emisij toplogrednih plinov ter druge vzporedne in nujno potrebne okoljske in razvojne ukrepe. Podnebne spremembe se lahko uspešno naslovi zgolj ob sodelovanju vseh držav na svetovni ravni. </w:t>
            </w:r>
          </w:p>
          <w:p w14:paraId="6A69DC73"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7A3B177E"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V zadnjih 30 do 40 letih je povprečna svetovna temperatura že porasla za 0,75 stopinje Celzija (v Sloveniji in Alpah že skoraj za 1,5 stopinje Celzija) v primerjavi s povprečno temperaturo v obdobju po drugi svetovni vojni. Tako visoka temperatura kot danes je bila glede na znanstvena dognanja nazadnje pred približno tremi milijoni let, a jo je takrat povzročila sprememba naravnih pojavov na Zemlji.  Če se bo ta negativni trend nadaljeval, bo svetovna povprečna temperatura že v letih 2025–2030 presegla 1,5 stopinje Celzija in desetletje pozneje (2030–2035) že 2 stopinji Celzija. Brez odločnega ukrepanja bi ta trend lahko pomenil tudi 4–6 stopinj Celzija višjo povprečno temperaturo sveta do leta 2050 v primerjavi z obdobjem po drugi svetovni vojni. Tudi OECD v svojem dokumentu </w:t>
            </w:r>
            <w:proofErr w:type="spellStart"/>
            <w:r w:rsidRPr="009E4432">
              <w:rPr>
                <w:rFonts w:ascii="Times New Roman" w:hAnsi="Times New Roman" w:cs="Times New Roman"/>
              </w:rPr>
              <w:t>Environmental</w:t>
            </w:r>
            <w:proofErr w:type="spellEnd"/>
            <w:r w:rsidRPr="009E4432">
              <w:rPr>
                <w:rFonts w:ascii="Times New Roman" w:hAnsi="Times New Roman" w:cs="Times New Roman"/>
              </w:rPr>
              <w:t xml:space="preserve"> Outlook 2050 ocenjuje, da bi </w:t>
            </w:r>
            <w:r w:rsidRPr="009E4432">
              <w:rPr>
                <w:rFonts w:ascii="Times New Roman" w:hAnsi="Times New Roman" w:cs="Times New Roman"/>
              </w:rPr>
              <w:lastRenderedPageBreak/>
              <w:t xml:space="preserve">nadaljevanje sedanjih svetovnih trendov naraščanja emisij toplogrednih plinov do leta 2050 povišalo svetovno temperaturo za od 4 do 6 stopinj Celzija. </w:t>
            </w:r>
          </w:p>
          <w:p w14:paraId="4801364F"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718D4026"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Navedeno bi pomenilo hude posledice tako glede pregrevanja velikega dela planeta kot glede eksponentnega povečanja števila in intenzitete ekstremnih vremenskih dogodkov. Povišanje temperature zlasti v arktičnih in subarktičnih predelih Zemlje pomeni sprožitev povratnih zank, saj se s hitrim izginjanjem ledenikov povečuje učinek albedo (temnejše morje absorbira več toplote kot sneg in led), to dodatno segreva ozračje, kar pomeni odtajanje tundre in izginjanje </w:t>
            </w:r>
            <w:proofErr w:type="spellStart"/>
            <w:r w:rsidRPr="009E4432">
              <w:rPr>
                <w:rFonts w:ascii="Times New Roman" w:hAnsi="Times New Roman" w:cs="Times New Roman"/>
              </w:rPr>
              <w:t>permafrosta</w:t>
            </w:r>
            <w:proofErr w:type="spellEnd"/>
            <w:r w:rsidRPr="009E4432">
              <w:rPr>
                <w:rFonts w:ascii="Times New Roman" w:hAnsi="Times New Roman" w:cs="Times New Roman"/>
              </w:rPr>
              <w:t xml:space="preserve">, to pa pomeni pobeg ogromnih količin metana (toplogredni plin, ki ima 30-krat večje zmogljivosti tople grede kot CO2). </w:t>
            </w:r>
          </w:p>
          <w:p w14:paraId="52E2EEA2"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66E9AE5E"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Na podobna spoznanja opozarjajo tudi člani Medvladnega odbora za podnebne spremembe v posebnem poročilu iz novembra 2018. V njem ugotavljajo, da cilj omejiti naraščanje svetovne temperature do 2 °C na regionalni in lokalni ravni ne zagotavlja preprečitve vseh posledic podnebne krize. V poročilu je poudarjeno, da bi bilo za preprečitev nepredvidenih odzivov podnebnega sistema in s tem povezanih posledic nujno treba omejiti naraščanje povprečne temperature na do 1,5 °C. </w:t>
            </w:r>
          </w:p>
          <w:p w14:paraId="2DD32D1B"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1976404C"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688D7521"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b)</w:t>
            </w:r>
            <w:r w:rsidRPr="009E4432">
              <w:rPr>
                <w:rFonts w:ascii="Times New Roman" w:hAnsi="Times New Roman" w:cs="Times New Roman"/>
              </w:rPr>
              <w:tab/>
              <w:t xml:space="preserve">Stanje podnebnih sprememb v Sloveniji </w:t>
            </w:r>
          </w:p>
          <w:p w14:paraId="15D364CF"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69CF094D"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Povprečna temperatura ozračja v Sloveniji se je od druge polovice preteklega stoletja povišala za več kot 1,5 °C. Trend naraščanja je višji, kot je svetovno povprečje, saj se je Zemljino ozračje v primerljivem obdobju segrelo za približno 1 °C. Glavni vzrok poviševanja temperature je naraščanje koncentracije toplogrednih plinov v ozračju, ki spreminjajo lastnosti ozračja, dodatno pa tudi sprememba rabe tal. Pri podnebnih spremembah ne gre samo za naraščanje povprečne temperature, ampak tudi za spreminjanje običajnih vrednosti drugih podnebnih spremenljivk in spreminjanje pogostosti pojavljanja ekstremnih vremenskih dogodkov ter njihove intenzitete. V Sloveniji sta se povečala število in moč vročinskih valov, obdobja hladnega vremena so manj pogosta in izrazita. Zmanjšala se je količina snega in skrajšalo trajanje snežne odeje. Povečalo se je izhlapevanje spomladi in poleti, kar vpliva na vodno bilanco. Podaljšuje se trajanje Sončevega obsevanja. </w:t>
            </w:r>
          </w:p>
          <w:p w14:paraId="46A4C057"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39739CA0"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Ocene podnebnih sprememb v prihodnosti za Slovenijo kažejo na krepitev trenutnih trendov, njihova stopnja pa bo zlasti v drugi polovici tega stoletja močno odvisna od emisij toplogrednih plinov. Če se bodo emisije TGP do srede stoletja na svetovni ravni zmanjšale za 80 %, se pričakuje omejitev naraščanja povprečne svetovne temperature ozračja do 2 °C glede na predindustrijsko obdobje. </w:t>
            </w:r>
          </w:p>
          <w:p w14:paraId="234C89DB"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4A516755"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Slovenija je pogodbenica Pariškega sporazuma, zato je dolgoročni cilj doseganja ničelne stopnje neto emisij TGP določila v predlogu Zakona o podnebni politiki, poleg tega pa je določila tudi vmesni cilj zmanjšanja emisij TGP za 40% do leta 2030 glede na leto 1990.</w:t>
            </w:r>
          </w:p>
          <w:p w14:paraId="2FF5FA60"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0A930E31"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c)</w:t>
            </w:r>
            <w:r w:rsidRPr="009E4432">
              <w:rPr>
                <w:rFonts w:ascii="Times New Roman" w:hAnsi="Times New Roman" w:cs="Times New Roman"/>
              </w:rPr>
              <w:tab/>
              <w:t xml:space="preserve">Dolgoročni podnebni cilj Evropske unije do leta 2050 </w:t>
            </w:r>
          </w:p>
          <w:p w14:paraId="4694350F"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p w14:paraId="3EC45053"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 xml:space="preserve">Posamezne države članice in EU morajo v skladu s Pariškim sporazumom do leta 2020 sekretariatu UNFCCC poslati svoje dolgoročne podnebne strategije s cilji za zmanjšanje emisij TGP, s katerimi bodo prispevale k skupnemu prizadevanju za omejitev naraščanja temperature pod 2 oziroma pod 1,5 °C glede na predindustrijsko raven. EU skupnega cilja zmanjšanja emisij TGP do leta 2050 še ni sprejela, v dokumentu vizija 2050 iz novembra 2018 Evropska komisija predlaga cilj neto ničelnih emisij TGP do leta 2050 na ravni EU za vse države članice EU. Skupni cilj se bo dokončno določil v okviru sprejemanja dolgoročne podnebne strategije EU, za katero v tem letu tečejo intenzivna posvetovanja na ravni Sveta EU in na podlagi napotil </w:t>
            </w:r>
            <w:r w:rsidRPr="009E4432">
              <w:rPr>
                <w:rFonts w:ascii="Times New Roman" w:hAnsi="Times New Roman" w:cs="Times New Roman"/>
              </w:rPr>
              <w:lastRenderedPageBreak/>
              <w:t>Evropskega sveta predsednikov vlad ali držav EU. EU trenutno napoveduje približno 40-odstotno zmanjšanje celotnih emisij TGP do leta 2030 v primerjavi z letom 1990.</w:t>
            </w:r>
          </w:p>
          <w:p w14:paraId="0C4A4BC2" w14:textId="77777777" w:rsidR="009E4432" w:rsidRPr="009E4432" w:rsidRDefault="009E4432" w:rsidP="001918C3">
            <w:pPr>
              <w:pStyle w:val="Alineazaodstavkom"/>
              <w:numPr>
                <w:ilvl w:val="0"/>
                <w:numId w:val="0"/>
              </w:numPr>
              <w:tabs>
                <w:tab w:val="left" w:pos="0"/>
              </w:tabs>
              <w:spacing w:line="260" w:lineRule="exact"/>
              <w:ind w:left="709" w:hanging="284"/>
              <w:rPr>
                <w:rFonts w:ascii="Times New Roman" w:hAnsi="Times New Roman" w:cs="Times New Roman"/>
              </w:rPr>
            </w:pPr>
          </w:p>
          <w:p w14:paraId="19490F85"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r w:rsidRPr="009E4432">
              <w:rPr>
                <w:rFonts w:ascii="Times New Roman" w:hAnsi="Times New Roman" w:cs="Times New Roman"/>
              </w:rPr>
              <w:t>Evropska komisija je skupaj z obsežnim analitičnim dokumentom objavila načrt prispevka EU k dolgoročni strategiji, imenovan »Čist planet za vse«. Dokument je podlaga za razpravo v EU o prihodnosti podnebne politike EU in o možnih načinih prehoda za dosego ničelne neto stopnje emisij TGP, kar bi EU omogočilo doseganje ciljev Pariškega sporazuma. Objavljeno sporočilo Evropske komisije ne določa konkretnih ciljev do leta 2050, ampak poudarja osem različnih poti za doseganje cilja EU v skladu z zavezami iz Pariškega sporazuma. Predstavljenih je več možnih scenarijev za zmanjšanje emisij TGP, od –80 % do –100 % (doseganje cilja neto ničelnih emisij TGP do leta 2050). Evropska komisija v dokumentu v skladu z zadnjimi znanstvenimi ugotovitvami Medvladnega odbora za podnebne spremembe ZN poziva k doseganju cilja neto ničelnih emisij TGP do leta 2050.</w:t>
            </w:r>
          </w:p>
          <w:p w14:paraId="22E52414" w14:textId="77777777" w:rsidR="009E4432" w:rsidRPr="009E4432" w:rsidRDefault="009E4432" w:rsidP="001918C3">
            <w:pPr>
              <w:pStyle w:val="Alineazaodstavkom"/>
              <w:numPr>
                <w:ilvl w:val="0"/>
                <w:numId w:val="0"/>
              </w:numPr>
              <w:tabs>
                <w:tab w:val="left" w:pos="0"/>
              </w:tabs>
              <w:spacing w:line="260" w:lineRule="exact"/>
              <w:rPr>
                <w:rFonts w:ascii="Times New Roman" w:hAnsi="Times New Roman" w:cs="Times New Roman"/>
              </w:rPr>
            </w:pPr>
          </w:p>
        </w:tc>
      </w:tr>
      <w:tr w:rsidR="009E4432" w:rsidRPr="009E4432" w14:paraId="450624EE" w14:textId="77777777" w:rsidTr="001918C3">
        <w:tc>
          <w:tcPr>
            <w:tcW w:w="8714" w:type="dxa"/>
          </w:tcPr>
          <w:p w14:paraId="369D20F5" w14:textId="77777777" w:rsidR="009E4432" w:rsidRPr="009E4432" w:rsidRDefault="009E4432" w:rsidP="001918C3">
            <w:pPr>
              <w:pStyle w:val="Oddel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lastRenderedPageBreak/>
              <w:t>2. CILJI, NAČELA IN POGLAVITNE REŠITVE PREDLOGA ZAKONA</w:t>
            </w:r>
          </w:p>
        </w:tc>
      </w:tr>
      <w:tr w:rsidR="009E4432" w:rsidRPr="009E4432" w14:paraId="21235360" w14:textId="77777777" w:rsidTr="001918C3">
        <w:tc>
          <w:tcPr>
            <w:tcW w:w="8714" w:type="dxa"/>
          </w:tcPr>
          <w:p w14:paraId="17C394B5"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2.1 Cilji</w:t>
            </w:r>
          </w:p>
          <w:p w14:paraId="452C99DA" w14:textId="77777777" w:rsidR="009E4432" w:rsidRPr="009E4432" w:rsidRDefault="009E4432" w:rsidP="001918C3">
            <w:pPr>
              <w:pStyle w:val="Ods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V predlaganem zakonu opredeljeni cilji sledijo podnebnim ciljem Pariškega sporazuma, ki ga je leta 2016 ratificirala tudi Slovenija in se začne izvajati januarja 2021. Glavni cilj podnebne politike je doseči </w:t>
            </w:r>
            <w:proofErr w:type="spellStart"/>
            <w:r w:rsidRPr="009E4432">
              <w:rPr>
                <w:rFonts w:ascii="Times New Roman" w:hAnsi="Times New Roman" w:cs="Times New Roman"/>
                <w:b w:val="0"/>
              </w:rPr>
              <w:t>ogljično</w:t>
            </w:r>
            <w:proofErr w:type="spellEnd"/>
            <w:r w:rsidRPr="009E4432">
              <w:rPr>
                <w:rFonts w:ascii="Times New Roman" w:hAnsi="Times New Roman" w:cs="Times New Roman"/>
                <w:b w:val="0"/>
              </w:rPr>
              <w:t xml:space="preserve"> nevtralnost – to je ničelno stopnjo neto emisij TGP za obdobje do leta 2050 z vmesnim ciljem zmanjšanja emisij TGP za vsaj 40 odstotkov do leta 2030 glede na leto 1990. Cilji zakona so na tako eni strani zmanjševati vplive podnebnih sprememb, na drugi strani pa omogočiti prilagajanje nanje, pri čemer je potrebno zagotoviti podnebno varnost prebivalcev. Nabor ciljev podnebne politike je sicer širši in zadeva vse sektorje ter ravni odločanja. Posamezni sektorski cilji bodo sistematično razdelani in operacionalizirani v dolgoročni podnebni strategiji in celovitem nacionalnem energetsko-podnebnem načrtu (v nadaljevanju: NEPN). </w:t>
            </w:r>
          </w:p>
          <w:p w14:paraId="5B171F94" w14:textId="77777777" w:rsidR="009E4432" w:rsidRPr="009E4432" w:rsidRDefault="009E4432" w:rsidP="001918C3">
            <w:pPr>
              <w:pStyle w:val="Ods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Zaradi razsežnosti podnebnih sprememb, njene </w:t>
            </w:r>
            <w:proofErr w:type="spellStart"/>
            <w:r w:rsidRPr="009E4432">
              <w:rPr>
                <w:rFonts w:ascii="Times New Roman" w:hAnsi="Times New Roman" w:cs="Times New Roman"/>
                <w:b w:val="0"/>
              </w:rPr>
              <w:t>medsektorske</w:t>
            </w:r>
            <w:proofErr w:type="spellEnd"/>
            <w:r w:rsidRPr="009E4432">
              <w:rPr>
                <w:rFonts w:ascii="Times New Roman" w:hAnsi="Times New Roman" w:cs="Times New Roman"/>
                <w:b w:val="0"/>
              </w:rPr>
              <w:t xml:space="preserve"> in meddržavne narave je ključno, da Slovenija sprejme Zakon o podnebni politiki s katerim bo celovito uredila mehanizme in okvir za zmanjševanje vplivov podnebnih sprememb. Na področje urejanja tega zakona vpliva tudi Uredba EU 2018/1999 v delu, ki se nanaša na sprejem dolgoročne podnebne strategije ter celovitega nacionalnega energetsko-podnebnega načrta.</w:t>
            </w:r>
          </w:p>
        </w:tc>
      </w:tr>
      <w:tr w:rsidR="009E4432" w:rsidRPr="009E4432" w14:paraId="7F71F4C7" w14:textId="77777777" w:rsidTr="001918C3">
        <w:tc>
          <w:tcPr>
            <w:tcW w:w="8714" w:type="dxa"/>
          </w:tcPr>
          <w:p w14:paraId="63423ED9" w14:textId="77777777" w:rsidR="009E4432" w:rsidRPr="009E4432" w:rsidRDefault="009E4432" w:rsidP="001918C3">
            <w:pPr>
              <w:pStyle w:val="Neotevilenodstavek"/>
              <w:spacing w:before="0" w:after="0" w:line="260" w:lineRule="exact"/>
              <w:rPr>
                <w:rFonts w:ascii="Times New Roman" w:hAnsi="Times New Roman" w:cs="Times New Roman"/>
              </w:rPr>
            </w:pPr>
          </w:p>
        </w:tc>
      </w:tr>
      <w:tr w:rsidR="009E4432" w:rsidRPr="009E4432" w14:paraId="118B027E" w14:textId="77777777" w:rsidTr="001918C3">
        <w:tc>
          <w:tcPr>
            <w:tcW w:w="8714" w:type="dxa"/>
          </w:tcPr>
          <w:p w14:paraId="51C8705A"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2.2 Načela</w:t>
            </w:r>
          </w:p>
        </w:tc>
      </w:tr>
      <w:tr w:rsidR="009E4432" w:rsidRPr="009E4432" w14:paraId="6A28559E" w14:textId="77777777" w:rsidTr="001918C3">
        <w:tc>
          <w:tcPr>
            <w:tcW w:w="8714" w:type="dxa"/>
          </w:tcPr>
          <w:p w14:paraId="1CEB4E6D" w14:textId="77777777" w:rsidR="009E4432" w:rsidRPr="009E4432" w:rsidRDefault="009E4432" w:rsidP="001918C3">
            <w:pPr>
              <w:pStyle w:val="Neotevilenodstavek"/>
              <w:spacing w:before="0" w:after="0" w:line="260" w:lineRule="exact"/>
              <w:rPr>
                <w:rFonts w:ascii="Times New Roman" w:hAnsi="Times New Roman" w:cs="Times New Roman"/>
              </w:rPr>
            </w:pPr>
          </w:p>
          <w:p w14:paraId="0A2C7D59" w14:textId="77777777" w:rsidR="009E4432" w:rsidRPr="009E4432" w:rsidRDefault="009E4432" w:rsidP="001918C3">
            <w:pPr>
              <w:pStyle w:val="Neotevilenodstavek"/>
              <w:spacing w:before="0" w:after="0" w:line="260" w:lineRule="exact"/>
              <w:rPr>
                <w:rFonts w:ascii="Times New Roman" w:hAnsi="Times New Roman" w:cs="Times New Roman"/>
              </w:rPr>
            </w:pPr>
            <w:r w:rsidRPr="009E4432">
              <w:rPr>
                <w:rFonts w:ascii="Times New Roman" w:hAnsi="Times New Roman" w:cs="Times New Roman"/>
              </w:rPr>
              <w:t>Zakon o podnebni politiki temelji na načelih, kot so že določena v Zakonu o varstvu okolja (ZVO-1).</w:t>
            </w:r>
          </w:p>
          <w:p w14:paraId="67D17953" w14:textId="77777777" w:rsidR="009E4432" w:rsidRPr="009E4432" w:rsidRDefault="009E4432" w:rsidP="001918C3">
            <w:pPr>
              <w:pStyle w:val="Neotevilenodstavek"/>
              <w:spacing w:before="0" w:after="0" w:line="260" w:lineRule="exact"/>
              <w:rPr>
                <w:rFonts w:ascii="Times New Roman" w:hAnsi="Times New Roman" w:cs="Times New Roman"/>
              </w:rPr>
            </w:pPr>
          </w:p>
        </w:tc>
      </w:tr>
      <w:tr w:rsidR="009E4432" w:rsidRPr="009E4432" w14:paraId="72827348" w14:textId="77777777" w:rsidTr="001918C3">
        <w:tc>
          <w:tcPr>
            <w:tcW w:w="8714" w:type="dxa"/>
          </w:tcPr>
          <w:p w14:paraId="286980E4"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2.3 Poglavitne rešitve</w:t>
            </w:r>
          </w:p>
        </w:tc>
      </w:tr>
      <w:tr w:rsidR="009E4432" w:rsidRPr="009E4432" w14:paraId="2FB06501" w14:textId="77777777" w:rsidTr="001918C3">
        <w:trPr>
          <w:trHeight w:val="434"/>
        </w:trPr>
        <w:tc>
          <w:tcPr>
            <w:tcW w:w="8714" w:type="dxa"/>
          </w:tcPr>
          <w:p w14:paraId="118D83CD"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 xml:space="preserve">Temeljni namen Zakona o podnebni politiki je določitev dolgoročnega podnebnega cilja </w:t>
            </w:r>
          </w:p>
          <w:p w14:paraId="7D05FFA6"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 xml:space="preserve">doseganja ničelne stopnje neto emisij vseh TGP do 2050. </w:t>
            </w:r>
          </w:p>
          <w:p w14:paraId="6A2D7BA3" w14:textId="77777777" w:rsidR="009E4432" w:rsidRPr="009E4432" w:rsidRDefault="009E4432" w:rsidP="001918C3">
            <w:pPr>
              <w:pStyle w:val="Alineazatoko"/>
              <w:spacing w:line="260" w:lineRule="exact"/>
              <w:rPr>
                <w:rFonts w:ascii="Times New Roman" w:hAnsi="Times New Roman" w:cs="Times New Roman"/>
              </w:rPr>
            </w:pPr>
          </w:p>
          <w:p w14:paraId="6DED11A0"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Zakon o podnebni politiki vzpostavlja mehanizme, preko katerih se bo podnebna politika izvajala v vseh sektorjih za doseg zastavljenih ciljev. Ti mehanizmi obsegajo:</w:t>
            </w:r>
          </w:p>
          <w:p w14:paraId="3ACA192B"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pripravo in sprejem dolgoročne podnebne strategije, ki bo analizirala stanje in določila cilje glede emisij toplogrednih plinov za leta 2030, 2040 in 2050;</w:t>
            </w:r>
          </w:p>
          <w:p w14:paraId="76344BC7"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pripravo in sprejem nacionalnih energetsko-podnebnih načrtov, ki bodo kot programski dokument operacionalizirali podnebno strategijo in določili vmesne cilje ter ukrepe za njihovo doseganje;</w:t>
            </w:r>
          </w:p>
          <w:p w14:paraId="4F4C043B"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 xml:space="preserve">pripravo in sprejem letnega poročila kot instrumenta spremljanja uspešnosti izvajanja podnebne politike, </w:t>
            </w:r>
          </w:p>
          <w:p w14:paraId="324B3DDA"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ustanovitev Podnebnega sveta kot posebnega posvetovalnega telesa Vlade RS,</w:t>
            </w:r>
          </w:p>
          <w:p w14:paraId="0B9095B0"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lastRenderedPageBreak/>
              <w:t>-</w:t>
            </w:r>
            <w:r w:rsidRPr="009E4432">
              <w:rPr>
                <w:rFonts w:ascii="Times New Roman" w:hAnsi="Times New Roman" w:cs="Times New Roman"/>
              </w:rPr>
              <w:tab/>
              <w:t>opredelitev vloge ministrstva, pristojnega za podnebne spremembe, kot koordinatorja za izvajanje podnebne politike na vseh ravneh,</w:t>
            </w:r>
          </w:p>
          <w:p w14:paraId="44CB2AF9" w14:textId="77777777" w:rsidR="009E4432" w:rsidRPr="009E4432" w:rsidRDefault="009E4432" w:rsidP="001918C3">
            <w:pPr>
              <w:pStyle w:val="Alineazatoko"/>
              <w:spacing w:line="260" w:lineRule="exact"/>
              <w:rPr>
                <w:rFonts w:ascii="Times New Roman" w:hAnsi="Times New Roman" w:cs="Times New Roman"/>
              </w:rPr>
            </w:pPr>
            <w:r w:rsidRPr="009E4432">
              <w:rPr>
                <w:rFonts w:ascii="Times New Roman" w:hAnsi="Times New Roman" w:cs="Times New Roman"/>
              </w:rPr>
              <w:t>-</w:t>
            </w:r>
            <w:r w:rsidRPr="009E4432">
              <w:rPr>
                <w:rFonts w:ascii="Times New Roman" w:hAnsi="Times New Roman" w:cs="Times New Roman"/>
              </w:rPr>
              <w:tab/>
              <w:t>razglasitev podnebnega dne vsak tretji četrtek v mesecu oktobru, ko se bodo izvajale aktivnosti za podporo podnebni politiki.</w:t>
            </w:r>
          </w:p>
          <w:p w14:paraId="413C687A" w14:textId="77777777" w:rsidR="009E4432" w:rsidRPr="009E4432" w:rsidRDefault="009E4432" w:rsidP="001918C3">
            <w:pPr>
              <w:pStyle w:val="Alineazatoko"/>
              <w:spacing w:line="260" w:lineRule="exact"/>
              <w:ind w:left="0" w:firstLine="0"/>
              <w:rPr>
                <w:rFonts w:ascii="Times New Roman" w:hAnsi="Times New Roman" w:cs="Times New Roman"/>
              </w:rPr>
            </w:pPr>
          </w:p>
          <w:p w14:paraId="4580D7E0"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 xml:space="preserve">Zakon o podnebni politiki je relativno kratek, saj določa le okvir za vzpostavitev podnebne politike v  Republiki Sloveniji, medtem ko bo podnebna politika natančneje določena ter operacionalizirana v dolgoročni podnebni strategiji, NEPN, ter v preostalih razvojnih sektorskih dokumentih. Temu pa seveda sledijo tudi ustrezne prilagoditve posameznih sektorskih predpisov, v kolikor bo to potrebno. </w:t>
            </w:r>
          </w:p>
          <w:p w14:paraId="7AE6981E" w14:textId="77777777" w:rsidR="009E4432" w:rsidRPr="009E4432" w:rsidRDefault="009E4432" w:rsidP="001918C3">
            <w:pPr>
              <w:pStyle w:val="Alineazatoko"/>
              <w:spacing w:line="260" w:lineRule="exact"/>
              <w:rPr>
                <w:rFonts w:ascii="Times New Roman" w:hAnsi="Times New Roman" w:cs="Times New Roman"/>
              </w:rPr>
            </w:pPr>
          </w:p>
          <w:p w14:paraId="7B66BEBD" w14:textId="77777777" w:rsidR="009E4432" w:rsidRPr="009E4432" w:rsidRDefault="009E4432" w:rsidP="001918C3">
            <w:pPr>
              <w:pStyle w:val="Alineazatoko"/>
              <w:spacing w:line="260" w:lineRule="exact"/>
              <w:rPr>
                <w:rFonts w:ascii="Times New Roman" w:hAnsi="Times New Roman" w:cs="Times New Roman"/>
              </w:rPr>
            </w:pPr>
          </w:p>
        </w:tc>
      </w:tr>
      <w:tr w:rsidR="009E4432" w:rsidRPr="009E4432" w14:paraId="5F5A5D8D" w14:textId="77777777" w:rsidTr="001918C3">
        <w:tc>
          <w:tcPr>
            <w:tcW w:w="8714" w:type="dxa"/>
          </w:tcPr>
          <w:p w14:paraId="1D1F9315" w14:textId="77777777" w:rsidR="009E4432" w:rsidRPr="009E4432" w:rsidRDefault="009E4432" w:rsidP="001918C3">
            <w:pPr>
              <w:pStyle w:val="Oddelek"/>
              <w:numPr>
                <w:ilvl w:val="0"/>
                <w:numId w:val="0"/>
              </w:numPr>
              <w:spacing w:before="0" w:after="0" w:line="260" w:lineRule="exact"/>
              <w:jc w:val="both"/>
              <w:rPr>
                <w:rFonts w:ascii="Times New Roman" w:hAnsi="Times New Roman" w:cs="Times New Roman"/>
              </w:rPr>
            </w:pPr>
            <w:r w:rsidRPr="009E4432">
              <w:rPr>
                <w:rFonts w:ascii="Times New Roman" w:hAnsi="Times New Roman" w:cs="Times New Roman"/>
              </w:rPr>
              <w:lastRenderedPageBreak/>
              <w:t>3. OCENA FINANČNIH POSLEDIC PREDLOGA ZAKONA ZA DRŽAVNI PRORAČUN IN DRUGA JAVNA FINANČNA SREDSTVA</w:t>
            </w:r>
          </w:p>
        </w:tc>
      </w:tr>
      <w:tr w:rsidR="009E4432" w:rsidRPr="009E4432" w14:paraId="24FC8BAE" w14:textId="77777777" w:rsidTr="001918C3">
        <w:tc>
          <w:tcPr>
            <w:tcW w:w="8714" w:type="dxa"/>
          </w:tcPr>
          <w:p w14:paraId="28C3CAA8" w14:textId="77777777" w:rsidR="009E4432" w:rsidRPr="009E4432" w:rsidRDefault="009E4432" w:rsidP="001918C3">
            <w:pPr>
              <w:pStyle w:val="Oddel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Na ravni EU je bilo v okviru cilja neto ničelnih emisij TGP do leta 2050, kot ga predvideva predlog zakona, opravljenih več primerjalnih analiz makroekonomskih učinkov ukrepanja, ki so pokazale, da bi bili učinki zmerni. Ocena potrebnega finančnega okvira in sredstev za izvajanje dolgoročne podnebne politike v tem trenutku še ni na voljo niti na ravni EU niti v številnih državah članicah, vključno v Sloveniji. Bolj natančna ocena stroškov bo vključena v osnutek dolgoročne podnebne strategije.</w:t>
            </w:r>
          </w:p>
          <w:p w14:paraId="7A42601A" w14:textId="77777777" w:rsidR="009E4432" w:rsidRPr="009E4432" w:rsidRDefault="009E4432" w:rsidP="001918C3">
            <w:pPr>
              <w:pStyle w:val="Oddel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Ob predstavitvi osnutka podnebne vizije EU do leta 2050 v Evropskem parlamentu je takratni komisar za energetiko in podpredsednik EK </w:t>
            </w:r>
            <w:proofErr w:type="spellStart"/>
            <w:r w:rsidRPr="009E4432">
              <w:rPr>
                <w:rFonts w:ascii="Times New Roman" w:hAnsi="Times New Roman" w:cs="Times New Roman"/>
                <w:b w:val="0"/>
              </w:rPr>
              <w:t>Maroš</w:t>
            </w:r>
            <w:proofErr w:type="spellEnd"/>
            <w:r w:rsidRPr="009E4432">
              <w:rPr>
                <w:rFonts w:ascii="Times New Roman" w:hAnsi="Times New Roman" w:cs="Times New Roman"/>
                <w:b w:val="0"/>
              </w:rPr>
              <w:t xml:space="preserve"> </w:t>
            </w:r>
            <w:proofErr w:type="spellStart"/>
            <w:r w:rsidRPr="009E4432">
              <w:rPr>
                <w:rFonts w:ascii="Times New Roman" w:hAnsi="Times New Roman" w:cs="Times New Roman"/>
                <w:b w:val="0"/>
              </w:rPr>
              <w:t>Šefčovič</w:t>
            </w:r>
            <w:proofErr w:type="spellEnd"/>
            <w:r w:rsidRPr="009E4432">
              <w:rPr>
                <w:rFonts w:ascii="Times New Roman" w:hAnsi="Times New Roman" w:cs="Times New Roman"/>
                <w:b w:val="0"/>
              </w:rPr>
              <w:t xml:space="preserve"> ustno podal oceno finančnega okvira za izvajanje dolgoročne podnebne politike na ravni EU z navedbo, da bo potrebnih dodatnih 175–290 milijard evrov letno (1,1–1,8 % EU BDP letno) za dosego ničelnih neto emisij toplogrednih plinov v EU do leta 2050. </w:t>
            </w:r>
          </w:p>
          <w:p w14:paraId="5F6DB3D0" w14:textId="77777777" w:rsidR="009E4432" w:rsidRPr="009E4432" w:rsidRDefault="009E4432" w:rsidP="001918C3">
            <w:pPr>
              <w:pStyle w:val="Oddel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Tako na ravni EU, kot v Sloveniji bodo potrebne naložbe v energetske sisteme in z njim povezano infrastrukturo, za veliko večino katerih bodo odgovorna zasebna podjetja in gospodinjstva. Potrebno je izpostaviti, da bo doseg cilja neto ničelnih emisij TGP do leta 2050 bo zaradi manjših posledic podnebnih sprememb prinesel tudi številne posredne koristi. </w:t>
            </w:r>
          </w:p>
          <w:p w14:paraId="0E9821D6" w14:textId="77777777" w:rsidR="009E4432" w:rsidRPr="009E4432" w:rsidRDefault="009E4432" w:rsidP="001918C3">
            <w:pPr>
              <w:pStyle w:val="Oddelek"/>
              <w:numPr>
                <w:ilvl w:val="0"/>
                <w:numId w:val="0"/>
              </w:numPr>
              <w:spacing w:line="260" w:lineRule="exact"/>
              <w:jc w:val="both"/>
              <w:rPr>
                <w:rFonts w:ascii="Times New Roman" w:hAnsi="Times New Roman" w:cs="Times New Roman"/>
                <w:b w:val="0"/>
              </w:rPr>
            </w:pPr>
            <w:r w:rsidRPr="009E4432">
              <w:rPr>
                <w:rFonts w:ascii="Times New Roman" w:hAnsi="Times New Roman" w:cs="Times New Roman"/>
                <w:b w:val="0"/>
              </w:rPr>
              <w:t xml:space="preserve">Pričakovati je pridobitev sredstev s strani EU, ki v novem finančnem obdobju po letu 2020 predvideva 25 odstotkov vseh sredstev na ravni EU namenjenih tudi za doseganje podnebnih ciljev. Hkrati se v okviru programa Obzorja Evrope za raziskave in inovacije na področju podnebnih sprememb predvideva 35 % vseh sredstev. Vzpostavlja se Evropski svet za inovacije, ki se bo osredotočal na povsem nove, prebojne proizvode, storitve in procese. Evropski inštitut za inovacije in tehnologijo bo še naprej podpiral mlade inovatorje in zagonska podjetja po vsej Evropi. Dodatno bo sklad za inovacije v okviru sistema EU za trgovanje z emisijami podprl komercialne predstavitve prebojnih tehnologij.   </w:t>
            </w:r>
          </w:p>
          <w:p w14:paraId="7D56B819" w14:textId="77777777" w:rsidR="009E4432" w:rsidRPr="009E4432" w:rsidRDefault="009E4432" w:rsidP="001918C3">
            <w:pPr>
              <w:pStyle w:val="Oddelek"/>
              <w:numPr>
                <w:ilvl w:val="0"/>
                <w:numId w:val="0"/>
              </w:numPr>
              <w:spacing w:before="0" w:after="0" w:line="260" w:lineRule="exact"/>
              <w:jc w:val="both"/>
              <w:rPr>
                <w:rFonts w:ascii="Times New Roman" w:hAnsi="Times New Roman" w:cs="Times New Roman"/>
              </w:rPr>
            </w:pPr>
          </w:p>
          <w:p w14:paraId="02E1A17B" w14:textId="77777777" w:rsidR="009E4432" w:rsidRPr="009E4432" w:rsidRDefault="009E4432" w:rsidP="001918C3">
            <w:pPr>
              <w:pStyle w:val="Oddelek"/>
              <w:numPr>
                <w:ilvl w:val="0"/>
                <w:numId w:val="0"/>
              </w:numPr>
              <w:spacing w:before="0" w:after="0" w:line="260" w:lineRule="exact"/>
              <w:jc w:val="both"/>
              <w:rPr>
                <w:rFonts w:ascii="Times New Roman" w:hAnsi="Times New Roman" w:cs="Times New Roman"/>
              </w:rPr>
            </w:pPr>
            <w:r w:rsidRPr="009E4432">
              <w:rPr>
                <w:rFonts w:ascii="Times New Roman" w:hAnsi="Times New Roman" w:cs="Times New Roman"/>
              </w:rPr>
              <w:t>4. NAVEDBA, DA SO SREDSTVA ZA IZVAJANJE ZAKONA V DRŽAVNEM PRORAČUNU ZAGOTOVLJENA, ČE PREDLOG ZAKONA PREDVIDEVA PORABO PRORAČUNSKIH SREDSTEV V OBDOBJU, ZA KATERO JE BIL DRŽAVNI PRORAČUN ŽE SPREJET</w:t>
            </w:r>
          </w:p>
        </w:tc>
      </w:tr>
      <w:tr w:rsidR="009E4432" w:rsidRPr="009E4432" w14:paraId="4B51FEBD" w14:textId="77777777" w:rsidTr="001918C3">
        <w:tc>
          <w:tcPr>
            <w:tcW w:w="8714" w:type="dxa"/>
          </w:tcPr>
          <w:p w14:paraId="07875B32"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6EC2547E"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Predlog zakona predvideva porabo državnih proračunskih sredstev za delovanje Podnebnega sveta.</w:t>
            </w:r>
          </w:p>
          <w:p w14:paraId="303062FB"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tc>
      </w:tr>
      <w:tr w:rsidR="009E4432" w:rsidRPr="009E4432" w14:paraId="46326B43" w14:textId="77777777" w:rsidTr="001918C3">
        <w:tc>
          <w:tcPr>
            <w:tcW w:w="8714" w:type="dxa"/>
          </w:tcPr>
          <w:p w14:paraId="23A68469" w14:textId="77777777" w:rsidR="009E4432" w:rsidRPr="009E4432" w:rsidRDefault="009E4432" w:rsidP="001918C3">
            <w:pPr>
              <w:pStyle w:val="Oddelek"/>
              <w:numPr>
                <w:ilvl w:val="0"/>
                <w:numId w:val="0"/>
              </w:numPr>
              <w:spacing w:before="0" w:after="0" w:line="260" w:lineRule="exact"/>
              <w:jc w:val="both"/>
              <w:rPr>
                <w:rFonts w:ascii="Times New Roman" w:hAnsi="Times New Roman" w:cs="Times New Roman"/>
              </w:rPr>
            </w:pPr>
            <w:r w:rsidRPr="009E4432">
              <w:rPr>
                <w:rFonts w:ascii="Times New Roman" w:hAnsi="Times New Roman" w:cs="Times New Roman"/>
              </w:rPr>
              <w:t>5. PRIKAZ UREDITVE V DRUGIH PRAVNIH SISTEMIH IN PRILAGOJENOSTI PREDLAGANE UREDITVE PRAVU EVROPSKE UNIJE</w:t>
            </w:r>
          </w:p>
        </w:tc>
      </w:tr>
      <w:tr w:rsidR="009E4432" w:rsidRPr="009E4432" w14:paraId="7BBA1376" w14:textId="77777777" w:rsidTr="001918C3">
        <w:tc>
          <w:tcPr>
            <w:tcW w:w="8714" w:type="dxa"/>
          </w:tcPr>
          <w:p w14:paraId="1749CF3F" w14:textId="77777777" w:rsidR="009E4432" w:rsidRPr="009E4432" w:rsidRDefault="009E4432" w:rsidP="001918C3">
            <w:pPr>
              <w:pStyle w:val="Odstavekseznama1"/>
              <w:spacing w:line="260" w:lineRule="exact"/>
              <w:ind w:left="0"/>
              <w:jc w:val="both"/>
              <w:rPr>
                <w:sz w:val="22"/>
                <w:szCs w:val="22"/>
              </w:rPr>
            </w:pPr>
          </w:p>
          <w:p w14:paraId="05A05891" w14:textId="77777777" w:rsidR="009E4432" w:rsidRPr="009E4432" w:rsidRDefault="009E4432" w:rsidP="001918C3">
            <w:pPr>
              <w:pStyle w:val="Odstavekseznama1"/>
              <w:spacing w:line="260" w:lineRule="exact"/>
              <w:ind w:left="0"/>
              <w:jc w:val="both"/>
              <w:rPr>
                <w:sz w:val="22"/>
                <w:szCs w:val="22"/>
              </w:rPr>
            </w:pPr>
            <w:r w:rsidRPr="009E4432">
              <w:rPr>
                <w:sz w:val="22"/>
                <w:szCs w:val="22"/>
              </w:rPr>
              <w:lastRenderedPageBreak/>
              <w:t>Zakoni o podnebnih spremembah (z različnimi imeni) so bili po do zdaj znanih informacijah sprejeti v sedmih državah članicah EU (Velika Britanija, Danska, Finska, Irska, Francija, Švedska in Nizozemska), zunaj EU pa na Norveškem in v Mehiki. Nemčija, Španija, Madžarska  načrtujejo sprejetje zakona o podnebnih spremembah v letu 2019. Zunaj EU naj bi zakon pripravljala tudi Nova Zelandija in Čile. V nadaljevanju so prikazani primeri in pregled stanja sprejetih zakonov o podnebnih spremembah in politikah v Evropi in po svetu.</w:t>
            </w:r>
          </w:p>
          <w:p w14:paraId="73725A63" w14:textId="77777777" w:rsidR="009E4432" w:rsidRPr="009E4432" w:rsidRDefault="009E4432" w:rsidP="001918C3">
            <w:pPr>
              <w:pStyle w:val="Odstavekseznama1"/>
              <w:spacing w:line="260" w:lineRule="exact"/>
              <w:jc w:val="both"/>
              <w:rPr>
                <w:sz w:val="22"/>
                <w:szCs w:val="22"/>
              </w:rPr>
            </w:pPr>
          </w:p>
          <w:p w14:paraId="05026C26" w14:textId="77777777" w:rsidR="009E4432" w:rsidRPr="009E4432" w:rsidRDefault="009E4432" w:rsidP="001918C3">
            <w:pPr>
              <w:pStyle w:val="Odstavekseznama1"/>
              <w:spacing w:line="260" w:lineRule="exact"/>
              <w:ind w:left="0"/>
              <w:jc w:val="both"/>
              <w:rPr>
                <w:sz w:val="22"/>
                <w:szCs w:val="22"/>
              </w:rPr>
            </w:pPr>
            <w:r w:rsidRPr="009E4432">
              <w:rPr>
                <w:sz w:val="22"/>
                <w:szCs w:val="22"/>
              </w:rPr>
              <w:t>a)</w:t>
            </w:r>
            <w:r w:rsidRPr="009E4432">
              <w:rPr>
                <w:sz w:val="22"/>
                <w:szCs w:val="22"/>
              </w:rPr>
              <w:tab/>
              <w:t xml:space="preserve">Pregled stanja sprejetih zakonov o podnebnih spremembah po svetu </w:t>
            </w:r>
          </w:p>
          <w:p w14:paraId="48FB9BBC" w14:textId="77777777" w:rsidR="009E4432" w:rsidRPr="009E4432" w:rsidRDefault="009E4432" w:rsidP="001918C3">
            <w:pPr>
              <w:pStyle w:val="Odstavekseznama1"/>
              <w:spacing w:line="260" w:lineRule="exact"/>
              <w:jc w:val="both"/>
              <w:rPr>
                <w:sz w:val="22"/>
                <w:szCs w:val="22"/>
              </w:rPr>
            </w:pPr>
          </w:p>
          <w:p w14:paraId="77926265"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Velika Britanija (prvi tovrstni zakon na svetu) je zakon o podnebnih spremembah sprejela leta 2008. Določil je 80-odstotno zmanjšanje emisij TGP do leta 2050 glede na leto 1990. Velika Britanija naj bi z novelo zakona v kratkem uskladila svoje cilje s Pariškim sporazumom in bo v zakon dodala cilj neto ničelnih emisij TGP do leta 2050. </w:t>
            </w:r>
          </w:p>
          <w:p w14:paraId="45D5BA7F" w14:textId="77777777" w:rsidR="009E4432" w:rsidRPr="009E4432" w:rsidRDefault="009E4432" w:rsidP="001918C3">
            <w:pPr>
              <w:pStyle w:val="Odstavekseznama1"/>
              <w:spacing w:line="260" w:lineRule="exact"/>
              <w:jc w:val="both"/>
              <w:rPr>
                <w:sz w:val="22"/>
                <w:szCs w:val="22"/>
              </w:rPr>
            </w:pPr>
          </w:p>
          <w:p w14:paraId="33607314"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Danska je zakon sprejela leta 2014. Določa 100-odstotni prehod na rabo obnovljivih virov energije (OVE) do leta 2050 in 0-odstotno rabo fosilnih goriv.  </w:t>
            </w:r>
          </w:p>
          <w:p w14:paraId="162B910C" w14:textId="77777777" w:rsidR="009E4432" w:rsidRPr="009E4432" w:rsidRDefault="009E4432" w:rsidP="001918C3">
            <w:pPr>
              <w:pStyle w:val="Odstavekseznama1"/>
              <w:spacing w:line="260" w:lineRule="exact"/>
              <w:jc w:val="both"/>
              <w:rPr>
                <w:sz w:val="22"/>
                <w:szCs w:val="22"/>
              </w:rPr>
            </w:pPr>
          </w:p>
          <w:p w14:paraId="2068377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Finska je zakon sprejela leta 2015 (pred sprejetjem Pariškega sporazuma). Določa 80-odstotno zmanjšanje emisij TGP do leta 2050 glede na leto 1990. Je pa junija letos nova vlada Finske sprejela cilj neto ničelnih emisij TGP že do leta 2035. </w:t>
            </w:r>
          </w:p>
          <w:p w14:paraId="59250D0C" w14:textId="77777777" w:rsidR="009E4432" w:rsidRPr="009E4432" w:rsidRDefault="009E4432" w:rsidP="001918C3">
            <w:pPr>
              <w:pStyle w:val="Odstavekseznama1"/>
              <w:spacing w:line="260" w:lineRule="exact"/>
              <w:jc w:val="both"/>
              <w:rPr>
                <w:sz w:val="22"/>
                <w:szCs w:val="22"/>
              </w:rPr>
            </w:pPr>
          </w:p>
          <w:p w14:paraId="7D727B5E"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Irska je zakon sprejela leta 2015. Zakon ne določa konkretnega cilja z odstotki zmanjšanja emisij TGP, temveč opisno določa, da naj bi Irska do leta 2050 dosegla cilj </w:t>
            </w:r>
            <w:proofErr w:type="spellStart"/>
            <w:r w:rsidRPr="009E4432">
              <w:rPr>
                <w:sz w:val="22"/>
                <w:szCs w:val="22"/>
              </w:rPr>
              <w:t>nizkoogljično</w:t>
            </w:r>
            <w:proofErr w:type="spellEnd"/>
            <w:r w:rsidRPr="009E4432">
              <w:rPr>
                <w:sz w:val="22"/>
                <w:szCs w:val="22"/>
              </w:rPr>
              <w:t xml:space="preserve">, podnebno odporno in okoljsko trajnostno gospodarstvo. </w:t>
            </w:r>
          </w:p>
          <w:p w14:paraId="2BF3C893" w14:textId="77777777" w:rsidR="009E4432" w:rsidRPr="009E4432" w:rsidRDefault="009E4432" w:rsidP="001918C3">
            <w:pPr>
              <w:pStyle w:val="Odstavekseznama1"/>
              <w:spacing w:line="260" w:lineRule="exact"/>
              <w:jc w:val="both"/>
              <w:rPr>
                <w:sz w:val="22"/>
                <w:szCs w:val="22"/>
              </w:rPr>
            </w:pPr>
          </w:p>
          <w:p w14:paraId="426279F5" w14:textId="77777777" w:rsidR="009E4432" w:rsidRPr="009E4432" w:rsidRDefault="009E4432" w:rsidP="001918C3">
            <w:pPr>
              <w:pStyle w:val="Odstavekseznama1"/>
              <w:spacing w:line="260" w:lineRule="exact"/>
              <w:ind w:left="0"/>
              <w:jc w:val="both"/>
              <w:rPr>
                <w:sz w:val="22"/>
                <w:szCs w:val="22"/>
              </w:rPr>
            </w:pPr>
            <w:r w:rsidRPr="009E4432">
              <w:rPr>
                <w:sz w:val="22"/>
                <w:szCs w:val="22"/>
              </w:rPr>
              <w:t>Francija je zakon sprejela leta 2015 (pred sprejetjem Pariškega sporazuma). Določa 75-odstotno zmanjšanje emisij TGP do leta 2050 glede na leto 1990. Februarja 2019 je vlada pripravila novelo zakona s ciljem za dosego cilja neto ničelnih emisij TGP do leta 2050.</w:t>
            </w:r>
          </w:p>
          <w:p w14:paraId="56ED7B94" w14:textId="77777777" w:rsidR="009E4432" w:rsidRPr="009E4432" w:rsidRDefault="009E4432" w:rsidP="001918C3">
            <w:pPr>
              <w:pStyle w:val="Odstavekseznama1"/>
              <w:spacing w:line="260" w:lineRule="exact"/>
              <w:jc w:val="both"/>
              <w:rPr>
                <w:sz w:val="22"/>
                <w:szCs w:val="22"/>
              </w:rPr>
            </w:pPr>
            <w:r w:rsidRPr="009E4432">
              <w:rPr>
                <w:sz w:val="22"/>
                <w:szCs w:val="22"/>
              </w:rPr>
              <w:t xml:space="preserve"> </w:t>
            </w:r>
          </w:p>
          <w:p w14:paraId="6FAAB2DB"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Švedska je zakon sprejela leta 2017. Določa dosego cilja neto ničelnih emisij TGP do leta 2045 z dejanskim zmanjšanjem nacionalnih emisij TGP za 85 %, preostanek pa z drugimi ukrepi ponorov, tehnologij in majhnega dela z uporabo kreditov iz projektov za zmanjšanje emisij TGP v tujini. Do leta 2030 bodo emisije iz prometa (razen letalskih emisij) zmanjšane za 70 % v primerjavi z letom 2010. Vse emisije iz ne-ETS sektorjev bodo do leta 2030 manjše za najmanj 63 %, do leta 2040 pa za 75 % glede na leto 1990. Skupne emisije TGP Švedske bodo do leta 2030 manjše za 55 %, do leta 2040 pa za 73 % glede na leto 1990. Zakon je bil v parlamentu sprejet s podporo vseh političnih strank razen ene manjše.  </w:t>
            </w:r>
          </w:p>
          <w:p w14:paraId="029C7073" w14:textId="77777777" w:rsidR="009E4432" w:rsidRPr="009E4432" w:rsidRDefault="009E4432" w:rsidP="001918C3">
            <w:pPr>
              <w:pStyle w:val="Odstavekseznama1"/>
              <w:spacing w:line="260" w:lineRule="exact"/>
              <w:jc w:val="both"/>
              <w:rPr>
                <w:sz w:val="22"/>
                <w:szCs w:val="22"/>
              </w:rPr>
            </w:pPr>
          </w:p>
          <w:p w14:paraId="4692AD0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Nizozemska je zakon sprejela na začetku leta 2019. Zakon zajema podnebni cilj za zmanjšanje nacionalnih emisij TGP Nizozemske za 95 % do leta 2050 in za 49 % do leta 2030 glede na leto 1990 ter cilj 100-odstotne </w:t>
            </w:r>
            <w:proofErr w:type="spellStart"/>
            <w:r w:rsidRPr="009E4432">
              <w:rPr>
                <w:sz w:val="22"/>
                <w:szCs w:val="22"/>
              </w:rPr>
              <w:t>ogljično</w:t>
            </w:r>
            <w:proofErr w:type="spellEnd"/>
            <w:r w:rsidRPr="009E4432">
              <w:rPr>
                <w:sz w:val="22"/>
                <w:szCs w:val="22"/>
              </w:rPr>
              <w:t xml:space="preserve"> nevtralne proizvodnje elektrike do leta 2050. Zakon je bil v parlamentu sprejet s podporo vseh političnih strank (z izjemo ene), dokončno junija 2019.  </w:t>
            </w:r>
          </w:p>
          <w:p w14:paraId="04053A7F" w14:textId="77777777" w:rsidR="009E4432" w:rsidRPr="009E4432" w:rsidRDefault="009E4432" w:rsidP="001918C3">
            <w:pPr>
              <w:pStyle w:val="Odstavekseznama1"/>
              <w:spacing w:line="260" w:lineRule="exact"/>
              <w:jc w:val="both"/>
              <w:rPr>
                <w:sz w:val="22"/>
                <w:szCs w:val="22"/>
              </w:rPr>
            </w:pPr>
          </w:p>
          <w:p w14:paraId="57A1C6CB"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Mehika je zakon o podnebnih spremembah sprejela leta 2012. Določa 50-odstotno zmanjšanje emisij TGP do leta 2050 glede na leto 1990. </w:t>
            </w:r>
          </w:p>
          <w:p w14:paraId="74543D79" w14:textId="77777777" w:rsidR="009E4432" w:rsidRPr="009E4432" w:rsidRDefault="009E4432" w:rsidP="001918C3">
            <w:pPr>
              <w:pStyle w:val="Odstavekseznama1"/>
              <w:spacing w:line="260" w:lineRule="exact"/>
              <w:jc w:val="both"/>
              <w:rPr>
                <w:sz w:val="22"/>
                <w:szCs w:val="22"/>
              </w:rPr>
            </w:pPr>
          </w:p>
          <w:p w14:paraId="5EC74217"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Norveška je zakon sprejela leta 2017. Določa 80–95-odstotno zmanjšanje emisij TGP do leta 2050 glede na leto 1990, delno tudi z uporabo kreditov zmanjšanja emisij TGP v tujini.  </w:t>
            </w:r>
          </w:p>
          <w:p w14:paraId="1D3F655E" w14:textId="77777777" w:rsidR="009E4432" w:rsidRPr="009E4432" w:rsidRDefault="009E4432" w:rsidP="001918C3">
            <w:pPr>
              <w:pStyle w:val="Odstavekseznama1"/>
              <w:spacing w:line="260" w:lineRule="exact"/>
              <w:jc w:val="both"/>
              <w:rPr>
                <w:sz w:val="22"/>
                <w:szCs w:val="22"/>
              </w:rPr>
            </w:pPr>
          </w:p>
          <w:p w14:paraId="2420880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Nemčija načrtuje sprejetje zakona o podnebnih spremembah v letu 2019. Vlada je predlog zakona pripravila spomladi, da bi bil po besedah ministrice za okolje </w:t>
            </w:r>
            <w:proofErr w:type="spellStart"/>
            <w:r w:rsidRPr="009E4432">
              <w:rPr>
                <w:sz w:val="22"/>
                <w:szCs w:val="22"/>
              </w:rPr>
              <w:t>Svenje</w:t>
            </w:r>
            <w:proofErr w:type="spellEnd"/>
            <w:r w:rsidRPr="009E4432">
              <w:rPr>
                <w:sz w:val="22"/>
                <w:szCs w:val="22"/>
              </w:rPr>
              <w:t xml:space="preserve"> Schulze sprejet v zveznem parlamentu najpozneje do konca leta 2019. V sedanji dolgoročni strategiji Nemčije do leta 2050 je predviden cilj zmanjšanje emisij TGP za 80–95 %. Za osnutek zakona o podnebnih </w:t>
            </w:r>
            <w:r w:rsidRPr="009E4432">
              <w:rPr>
                <w:sz w:val="22"/>
                <w:szCs w:val="22"/>
              </w:rPr>
              <w:lastRenderedPageBreak/>
              <w:t xml:space="preserve">spremembah se nemška vlada, po vzoru EU in številnih držav članic, določa cilj neto ničelnih emisij TGP do leta 2050. Nemčija v prvem osnutku zakonu postavlja naslednje podnebne cilje: najmanj 40-odstotno zmanjšanje celotnih nacionalnih emisij TGP do leta 2020 glede na leto 1990, 55-odstotno do leta 2030, 70-odstotno do leta 2040 in 95-odstotno do leta 2050 (oziroma neto ničelne emisije TGP do leta 2050). Dosedanji cilj Nemčije do leta 2050 je bil v razponu 80–95 %.    </w:t>
            </w:r>
          </w:p>
          <w:p w14:paraId="0F0FA6A7" w14:textId="77777777" w:rsidR="009E4432" w:rsidRPr="009E4432" w:rsidRDefault="009E4432" w:rsidP="001918C3">
            <w:pPr>
              <w:pStyle w:val="Odstavekseznama1"/>
              <w:spacing w:line="260" w:lineRule="exact"/>
              <w:ind w:left="0"/>
              <w:jc w:val="both"/>
              <w:rPr>
                <w:sz w:val="22"/>
                <w:szCs w:val="22"/>
              </w:rPr>
            </w:pPr>
          </w:p>
          <w:p w14:paraId="6678FEED" w14:textId="77777777" w:rsidR="009E4432" w:rsidRPr="009E4432" w:rsidRDefault="009E4432" w:rsidP="001918C3">
            <w:pPr>
              <w:pStyle w:val="Odstavekseznama1"/>
              <w:spacing w:line="260" w:lineRule="exact"/>
              <w:ind w:left="0"/>
              <w:jc w:val="both"/>
              <w:rPr>
                <w:sz w:val="22"/>
                <w:szCs w:val="22"/>
              </w:rPr>
            </w:pPr>
            <w:r w:rsidRPr="009E4432">
              <w:rPr>
                <w:sz w:val="22"/>
                <w:szCs w:val="22"/>
              </w:rPr>
              <w:t>b)</w:t>
            </w:r>
            <w:r w:rsidRPr="009E4432">
              <w:rPr>
                <w:sz w:val="22"/>
                <w:szCs w:val="22"/>
              </w:rPr>
              <w:tab/>
              <w:t xml:space="preserve">Primer okvira dolgoročne podnebne politike Nizozemske do leta 2050 </w:t>
            </w:r>
          </w:p>
          <w:p w14:paraId="4AD8B505" w14:textId="77777777" w:rsidR="009E4432" w:rsidRPr="009E4432" w:rsidRDefault="009E4432" w:rsidP="001918C3">
            <w:pPr>
              <w:pStyle w:val="Odstavekseznama1"/>
              <w:spacing w:line="260" w:lineRule="exact"/>
              <w:jc w:val="both"/>
              <w:rPr>
                <w:sz w:val="22"/>
                <w:szCs w:val="22"/>
              </w:rPr>
            </w:pPr>
          </w:p>
          <w:p w14:paraId="76A5625F"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Nizozemski parlament je na začetku leta 2019 z veliko večino glasov sprejel zakon o podnebnih spremembah, katerega temeljni cilj je uskladitev dolgoročne nacionalne podnebne politike s cilji Pariškega sporazuma in znanstvenimi dognanji na tem področju. Zakon zajema podnebni cilj za zmanjšanje nacionalnih emisij TGP Nizozemske za 95 % do leta 2050 (in neto ničelne emisije TGP do leta 2050) in za 49 % do leta 2030 glede na leto 1990 ter cilj 100-odstotno </w:t>
            </w:r>
            <w:proofErr w:type="spellStart"/>
            <w:r w:rsidRPr="009E4432">
              <w:rPr>
                <w:sz w:val="22"/>
                <w:szCs w:val="22"/>
              </w:rPr>
              <w:t>ogljično</w:t>
            </w:r>
            <w:proofErr w:type="spellEnd"/>
            <w:r w:rsidRPr="009E4432">
              <w:rPr>
                <w:sz w:val="22"/>
                <w:szCs w:val="22"/>
              </w:rPr>
              <w:t xml:space="preserve"> nevtralne proizvodnje elektrike do leta 2050. </w:t>
            </w:r>
          </w:p>
          <w:p w14:paraId="41BBC362" w14:textId="77777777" w:rsidR="009E4432" w:rsidRPr="009E4432" w:rsidRDefault="009E4432" w:rsidP="001918C3">
            <w:pPr>
              <w:pStyle w:val="Odstavekseznama1"/>
              <w:spacing w:line="260" w:lineRule="exact"/>
              <w:jc w:val="both"/>
              <w:rPr>
                <w:sz w:val="22"/>
                <w:szCs w:val="22"/>
              </w:rPr>
            </w:pPr>
            <w:r w:rsidRPr="009E4432">
              <w:rPr>
                <w:sz w:val="22"/>
                <w:szCs w:val="22"/>
              </w:rPr>
              <w:t xml:space="preserve">  </w:t>
            </w:r>
          </w:p>
          <w:p w14:paraId="5B435D98"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 za doseganje ciljev zmanjševanja emisij TGP vzpostavlja inovativen mehanizem letnih pregledov, na podlagi katerih vlada predstavi rezultate izvajanja ukrepov za dosego cilja. Zakon določa tudi tako imenovani »državni podnebni dan«, in sicer vsak četrti četrtek v oktobru. Na ta dan vsako leto vlada na celodnevnem zasedanju v parlamentu predstavi letno poročilo o doseganju cilja in predlaga dodatne ukrepe za naprej, če je to potrebno za celovito doseganje cilja.   </w:t>
            </w:r>
          </w:p>
          <w:p w14:paraId="426A65A3" w14:textId="77777777" w:rsidR="009E4432" w:rsidRPr="009E4432" w:rsidRDefault="009E4432" w:rsidP="001918C3">
            <w:pPr>
              <w:pStyle w:val="Odstavekseznama1"/>
              <w:spacing w:line="260" w:lineRule="exact"/>
              <w:jc w:val="both"/>
              <w:rPr>
                <w:sz w:val="22"/>
                <w:szCs w:val="22"/>
              </w:rPr>
            </w:pPr>
          </w:p>
          <w:p w14:paraId="06C9FAC1"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 nalaga vladi pripravo podnebnega načrta (na podlagi tako imenovanega </w:t>
            </w:r>
            <w:proofErr w:type="spellStart"/>
            <w:r w:rsidRPr="009E4432">
              <w:rPr>
                <w:sz w:val="22"/>
                <w:szCs w:val="22"/>
              </w:rPr>
              <w:t>ogljičnega</w:t>
            </w:r>
            <w:proofErr w:type="spellEnd"/>
            <w:r w:rsidRPr="009E4432">
              <w:rPr>
                <w:sz w:val="22"/>
                <w:szCs w:val="22"/>
              </w:rPr>
              <w:t xml:space="preserve"> proračuna) vsakih pet let. Načrt mora vsebovati vse ukrepe za doseganje cilja za naslednjih pet let, ki morajo biti na trajektoriji do cilja 2030 in 2050. Načrt bo ocenjen vsaki dve leti in po potrebi revidiran, če ukrepi ne bi vodili do doseganja zakonsko postavljenega cilja. </w:t>
            </w:r>
          </w:p>
          <w:p w14:paraId="0DA57E1B" w14:textId="77777777" w:rsidR="009E4432" w:rsidRPr="009E4432" w:rsidRDefault="009E4432" w:rsidP="001918C3">
            <w:pPr>
              <w:pStyle w:val="Odstavekseznama1"/>
              <w:spacing w:line="260" w:lineRule="exact"/>
              <w:jc w:val="both"/>
              <w:rPr>
                <w:sz w:val="22"/>
                <w:szCs w:val="22"/>
              </w:rPr>
            </w:pPr>
          </w:p>
          <w:p w14:paraId="20E389EF"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Na državni podnebni dan bo vlada pripravila tako imenovani memorandum, ki bo temeljil na podnebno-energetski študiji glede doseganja cilja v preteklem letu. Debata o memorandumu bo ta dan potekala na plenarnem zasedanju v parlamentu. Ob obravnavi državnega (finančnega) proračuna se bodo obravnavali tudi letni </w:t>
            </w:r>
            <w:proofErr w:type="spellStart"/>
            <w:r w:rsidRPr="009E4432">
              <w:rPr>
                <w:sz w:val="22"/>
                <w:szCs w:val="22"/>
              </w:rPr>
              <w:t>ogljični</w:t>
            </w:r>
            <w:proofErr w:type="spellEnd"/>
            <w:r w:rsidRPr="009E4432">
              <w:rPr>
                <w:sz w:val="22"/>
                <w:szCs w:val="22"/>
              </w:rPr>
              <w:t xml:space="preserve"> proračun in ukrepi za njegovo dosego. </w:t>
            </w:r>
          </w:p>
          <w:p w14:paraId="542F4B2C" w14:textId="77777777" w:rsidR="009E4432" w:rsidRPr="009E4432" w:rsidRDefault="009E4432" w:rsidP="001918C3">
            <w:pPr>
              <w:pStyle w:val="Odstavekseznama1"/>
              <w:spacing w:line="260" w:lineRule="exact"/>
              <w:jc w:val="both"/>
              <w:rPr>
                <w:sz w:val="22"/>
                <w:szCs w:val="22"/>
              </w:rPr>
            </w:pPr>
          </w:p>
          <w:p w14:paraId="3563BD6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 predvideva strankarsko neodvisno strokovno-znanstveno telo (odbor), ki vladi svetuje oziroma priporoča pripravo 5-letnih </w:t>
            </w:r>
            <w:proofErr w:type="spellStart"/>
            <w:r w:rsidRPr="009E4432">
              <w:rPr>
                <w:sz w:val="22"/>
                <w:szCs w:val="22"/>
              </w:rPr>
              <w:t>ogljičnih</w:t>
            </w:r>
            <w:proofErr w:type="spellEnd"/>
            <w:r w:rsidRPr="009E4432">
              <w:rPr>
                <w:sz w:val="22"/>
                <w:szCs w:val="22"/>
              </w:rPr>
              <w:t xml:space="preserve"> proračunov in ukrepe za doseganje zastavljenih ciljev v 5-letnih podnebnih načrtih za dosego zakonsko določenega podnebnega cilja do 2030 in nato do 2050.         </w:t>
            </w:r>
          </w:p>
          <w:p w14:paraId="4E664A99" w14:textId="77777777" w:rsidR="009E4432" w:rsidRPr="009E4432" w:rsidRDefault="009E4432" w:rsidP="001918C3">
            <w:pPr>
              <w:pStyle w:val="Odstavekseznama1"/>
              <w:spacing w:line="260" w:lineRule="exact"/>
              <w:ind w:left="0"/>
              <w:jc w:val="both"/>
              <w:rPr>
                <w:sz w:val="22"/>
                <w:szCs w:val="22"/>
              </w:rPr>
            </w:pPr>
          </w:p>
          <w:p w14:paraId="4548A72C" w14:textId="77777777" w:rsidR="009E4432" w:rsidRPr="009E4432" w:rsidRDefault="009E4432" w:rsidP="001918C3">
            <w:pPr>
              <w:pStyle w:val="Odstavekseznama1"/>
              <w:spacing w:line="260" w:lineRule="exact"/>
              <w:ind w:left="0"/>
              <w:jc w:val="both"/>
              <w:rPr>
                <w:sz w:val="22"/>
                <w:szCs w:val="22"/>
              </w:rPr>
            </w:pPr>
            <w:r w:rsidRPr="009E4432">
              <w:rPr>
                <w:sz w:val="22"/>
                <w:szCs w:val="22"/>
              </w:rPr>
              <w:t>c)</w:t>
            </w:r>
            <w:r w:rsidRPr="009E4432">
              <w:rPr>
                <w:sz w:val="22"/>
                <w:szCs w:val="22"/>
              </w:rPr>
              <w:tab/>
              <w:t xml:space="preserve">Primer okvira dolgoročne podnebne politike Švedske do srede stoletja </w:t>
            </w:r>
          </w:p>
          <w:p w14:paraId="0F4229CA" w14:textId="77777777" w:rsidR="009E4432" w:rsidRPr="009E4432" w:rsidRDefault="009E4432" w:rsidP="001918C3">
            <w:pPr>
              <w:pStyle w:val="Odstavekseznama1"/>
              <w:spacing w:line="260" w:lineRule="exact"/>
              <w:jc w:val="both"/>
              <w:rPr>
                <w:sz w:val="22"/>
                <w:szCs w:val="22"/>
              </w:rPr>
            </w:pPr>
          </w:p>
          <w:p w14:paraId="7849E5F3" w14:textId="77777777" w:rsidR="009E4432" w:rsidRPr="009E4432" w:rsidRDefault="009E4432" w:rsidP="001918C3">
            <w:pPr>
              <w:pStyle w:val="Odstavekseznama1"/>
              <w:spacing w:line="260" w:lineRule="exact"/>
              <w:ind w:left="0"/>
              <w:jc w:val="both"/>
              <w:rPr>
                <w:sz w:val="22"/>
                <w:szCs w:val="22"/>
              </w:rPr>
            </w:pPr>
            <w:r w:rsidRPr="009E4432">
              <w:rPr>
                <w:sz w:val="22"/>
                <w:szCs w:val="22"/>
              </w:rPr>
              <w:t>Leta 2017 je švedski parlament z veliko večino (z izjemo ene stranke) sprejel tako imenovani okvir podnebne politike (</w:t>
            </w:r>
            <w:proofErr w:type="spellStart"/>
            <w:r w:rsidRPr="009E4432">
              <w:rPr>
                <w:sz w:val="22"/>
                <w:szCs w:val="22"/>
              </w:rPr>
              <w:t>The</w:t>
            </w:r>
            <w:proofErr w:type="spellEnd"/>
            <w:r w:rsidRPr="009E4432">
              <w:rPr>
                <w:sz w:val="22"/>
                <w:szCs w:val="22"/>
              </w:rPr>
              <w:t xml:space="preserve"> </w:t>
            </w:r>
            <w:proofErr w:type="spellStart"/>
            <w:r w:rsidRPr="009E4432">
              <w:rPr>
                <w:sz w:val="22"/>
                <w:szCs w:val="22"/>
              </w:rPr>
              <w:t>Swedish</w:t>
            </w:r>
            <w:proofErr w:type="spellEnd"/>
            <w:r w:rsidRPr="009E4432">
              <w:rPr>
                <w:sz w:val="22"/>
                <w:szCs w:val="22"/>
              </w:rPr>
              <w:t xml:space="preserve"> </w:t>
            </w:r>
            <w:proofErr w:type="spellStart"/>
            <w:r w:rsidRPr="009E4432">
              <w:rPr>
                <w:sz w:val="22"/>
                <w:szCs w:val="22"/>
              </w:rPr>
              <w:t>Climate</w:t>
            </w:r>
            <w:proofErr w:type="spellEnd"/>
            <w:r w:rsidRPr="009E4432">
              <w:rPr>
                <w:sz w:val="22"/>
                <w:szCs w:val="22"/>
              </w:rPr>
              <w:t xml:space="preserve"> </w:t>
            </w:r>
            <w:proofErr w:type="spellStart"/>
            <w:r w:rsidRPr="009E4432">
              <w:rPr>
                <w:sz w:val="22"/>
                <w:szCs w:val="22"/>
              </w:rPr>
              <w:t>Policy</w:t>
            </w:r>
            <w:proofErr w:type="spellEnd"/>
            <w:r w:rsidRPr="009E4432">
              <w:rPr>
                <w:sz w:val="22"/>
                <w:szCs w:val="22"/>
              </w:rPr>
              <w:t xml:space="preserve"> </w:t>
            </w:r>
            <w:proofErr w:type="spellStart"/>
            <w:r w:rsidRPr="009E4432">
              <w:rPr>
                <w:sz w:val="22"/>
                <w:szCs w:val="22"/>
              </w:rPr>
              <w:t>Framework</w:t>
            </w:r>
            <w:proofErr w:type="spellEnd"/>
            <w:r w:rsidRPr="009E4432">
              <w:rPr>
                <w:sz w:val="22"/>
                <w:szCs w:val="22"/>
              </w:rPr>
              <w:t xml:space="preserve">), ki je najpomembnejša podnebna reforma v zgodovini Švedske. Ta reforma je postavila okvir za izvedbo ciljev Pariškega sporazuma. V skladu s tem dokumentom naj bi Švedska do leta 2045 dosegla neto ničelne emisije TGP. </w:t>
            </w:r>
          </w:p>
          <w:p w14:paraId="460784A0" w14:textId="77777777" w:rsidR="009E4432" w:rsidRPr="009E4432" w:rsidRDefault="009E4432" w:rsidP="001918C3">
            <w:pPr>
              <w:pStyle w:val="Odstavekseznama1"/>
              <w:spacing w:line="260" w:lineRule="exact"/>
              <w:jc w:val="both"/>
              <w:rPr>
                <w:sz w:val="22"/>
                <w:szCs w:val="22"/>
              </w:rPr>
            </w:pPr>
          </w:p>
          <w:p w14:paraId="2977D6F4"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Okvir podnebne politike zajema tri temeljne sestavne dele: nove velikopotezne podnebne cilje, podnebni zakon in neodvisni znanstveno-strokovni svet za podnebno politiko. Cilj tega okvira je zagotoviti stabilnost in prizadevnost dolgoročne in sprotne podnebne politike. </w:t>
            </w:r>
          </w:p>
          <w:p w14:paraId="757E0689" w14:textId="77777777" w:rsidR="009E4432" w:rsidRPr="009E4432" w:rsidRDefault="009E4432" w:rsidP="001918C3">
            <w:pPr>
              <w:pStyle w:val="Odstavekseznama1"/>
              <w:spacing w:line="260" w:lineRule="exact"/>
              <w:jc w:val="both"/>
              <w:rPr>
                <w:sz w:val="22"/>
                <w:szCs w:val="22"/>
              </w:rPr>
            </w:pPr>
          </w:p>
          <w:p w14:paraId="7ECDA2F0"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Prvič v zgodovini mora švedska vlada v skladu s podnebnim zakonom izvajati podnebno politiko na podlagi ciljev oziroma zakona, ki ga je sprejel parlament. Vlada mora na začetku mandata pripraviti podnebni načrt za svoj štiriletni mandat, ki izhaja iz podnebnega cilja, in nato </w:t>
            </w:r>
            <w:r w:rsidRPr="009E4432">
              <w:rPr>
                <w:sz w:val="22"/>
                <w:szCs w:val="22"/>
              </w:rPr>
              <w:lastRenderedPageBreak/>
              <w:t xml:space="preserve">redna letna poročila o izvajanju podnebnega načrta. Neodvisno telo, svet za podnebno krizo, pa bo pregledalo, ali vlada v celoti sledi podnebni politiki in ciljem iz zakona. </w:t>
            </w:r>
          </w:p>
          <w:p w14:paraId="31F0C40E" w14:textId="77777777" w:rsidR="009E4432" w:rsidRPr="009E4432" w:rsidRDefault="009E4432" w:rsidP="001918C3">
            <w:pPr>
              <w:pStyle w:val="Odstavekseznama1"/>
              <w:spacing w:line="260" w:lineRule="exact"/>
              <w:jc w:val="both"/>
              <w:rPr>
                <w:sz w:val="22"/>
                <w:szCs w:val="22"/>
              </w:rPr>
            </w:pPr>
          </w:p>
          <w:p w14:paraId="7C9E1217"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Temeljne vsebine oziroma določbe švedskega podnebnega zakona, ki je začel veljati 1. januarja 2018, so: vladna podnebna politika mora temeljiti na podnebnih ciljih, določenih v zakonu, vlada mora vsako leto pripraviti podnebno poročilo, ki je sestavni del letnega finančnega proračuna države, vsake štiri leta mora pripraviti podnebni akcijski načrt z ukrepi za izvedbo vmesnega podnebnega cilja, ki mora biti na trajektoriji za dosego dolgoročnega podnebnega cilja Švedske. Podnebni cilji in finančni proračun se morajo ujemati. </w:t>
            </w:r>
          </w:p>
          <w:p w14:paraId="572907B9" w14:textId="77777777" w:rsidR="009E4432" w:rsidRPr="009E4432" w:rsidRDefault="009E4432" w:rsidP="001918C3">
            <w:pPr>
              <w:pStyle w:val="Odstavekseznama1"/>
              <w:spacing w:line="260" w:lineRule="exact"/>
              <w:jc w:val="both"/>
              <w:rPr>
                <w:sz w:val="22"/>
                <w:szCs w:val="22"/>
              </w:rPr>
            </w:pPr>
          </w:p>
          <w:p w14:paraId="5C1A185A"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Okvir zajema nove podnebne cilje, in sicer: do leta 2045 naj bi Švedska dosegla neto ničelne emisije TGP, po tem letu pa negativne emisije. Negativne emisije bo Švedska dosegla s ponori ogljika in izvedbo podnebnih ukrepov v tujini. Kljub temu morajo biti emisije TGP iz aktivnosti na Švedskem do leta 2045 manjše najmanj za 85 % glede na leto 1990. To naj bi pomenilo manj kot 1 tono ekvivalenta CO2 na prebivalca do leta 2045. </w:t>
            </w:r>
          </w:p>
          <w:p w14:paraId="70250DDB" w14:textId="77777777" w:rsidR="009E4432" w:rsidRPr="009E4432" w:rsidRDefault="009E4432" w:rsidP="001918C3">
            <w:pPr>
              <w:pStyle w:val="Odstavekseznama1"/>
              <w:spacing w:line="260" w:lineRule="exact"/>
              <w:jc w:val="both"/>
              <w:rPr>
                <w:sz w:val="22"/>
                <w:szCs w:val="22"/>
              </w:rPr>
            </w:pPr>
          </w:p>
          <w:p w14:paraId="5891909B"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Do leta 2030 bodo emisije iz prometa (razen emisij iz letalskega prometa) zmanjšane za 70 % v primerjavi z letom 2010. Vse emisije iz tako imenovanih </w:t>
            </w:r>
            <w:proofErr w:type="spellStart"/>
            <w:r w:rsidRPr="009E4432">
              <w:rPr>
                <w:sz w:val="22"/>
                <w:szCs w:val="22"/>
              </w:rPr>
              <w:t>neETS</w:t>
            </w:r>
            <w:proofErr w:type="spellEnd"/>
            <w:r w:rsidRPr="009E4432">
              <w:rPr>
                <w:sz w:val="22"/>
                <w:szCs w:val="22"/>
              </w:rPr>
              <w:t xml:space="preserve"> sektorjev (vezano na uredbo EU o delitvi prizadevanj med države članice, torej iz sektorjev, ki niso vključeni v sistem trgovanja z emisijskimi kuponi), bodo do leta 2030 manjše za najmanj 63 %, do leta 2040 pa za 75 % glede na leto 1990. Skupne emisije TGP Švedske bodo do leta 2030 manjše za 55 %, do leta 2040 pa za 73 % glede na leto 1990. </w:t>
            </w:r>
          </w:p>
          <w:p w14:paraId="6365627F" w14:textId="77777777" w:rsidR="009E4432" w:rsidRPr="009E4432" w:rsidRDefault="009E4432" w:rsidP="001918C3">
            <w:pPr>
              <w:pStyle w:val="Odstavekseznama1"/>
              <w:spacing w:line="260" w:lineRule="exact"/>
              <w:jc w:val="both"/>
              <w:rPr>
                <w:sz w:val="22"/>
                <w:szCs w:val="22"/>
              </w:rPr>
            </w:pPr>
          </w:p>
          <w:p w14:paraId="43809A52"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Tretji temeljni steber podnebne politike Švedske je imenovanje sveta za podnebno politiko. To znanstveno-strokovno telo bo pomagalo vladi s pripravo neodvisne ocene, ali so podnebni načrti vlade v skladu z zahtevanimi podnebnimi cilji. Svet bo ovrednotil, ali bo vlada s predlaganimi ukrepi dosegala podnebne cilje oziroma ali jih ne bo pravočasno dosegala, in nato vladi podal ustrezna priporočila za skladnost ukrepov za doseganje zahtevanih ciljev.  </w:t>
            </w:r>
          </w:p>
          <w:p w14:paraId="37AD231E" w14:textId="77777777" w:rsidR="009E4432" w:rsidRPr="009E4432" w:rsidRDefault="009E4432" w:rsidP="001918C3">
            <w:pPr>
              <w:pStyle w:val="Odstavekseznama1"/>
              <w:spacing w:line="260" w:lineRule="exact"/>
              <w:jc w:val="both"/>
              <w:rPr>
                <w:sz w:val="22"/>
                <w:szCs w:val="22"/>
              </w:rPr>
            </w:pPr>
            <w:r w:rsidRPr="009E4432">
              <w:rPr>
                <w:sz w:val="22"/>
                <w:szCs w:val="22"/>
              </w:rPr>
              <w:t xml:space="preserve">      </w:t>
            </w:r>
          </w:p>
          <w:p w14:paraId="0828FBE3" w14:textId="77777777" w:rsidR="009E4432" w:rsidRPr="009E4432" w:rsidRDefault="009E4432" w:rsidP="001918C3">
            <w:pPr>
              <w:pStyle w:val="Odstavekseznama1"/>
              <w:spacing w:line="260" w:lineRule="exact"/>
              <w:ind w:left="0"/>
              <w:jc w:val="both"/>
              <w:rPr>
                <w:sz w:val="22"/>
                <w:szCs w:val="22"/>
              </w:rPr>
            </w:pPr>
            <w:r w:rsidRPr="009E4432">
              <w:rPr>
                <w:sz w:val="22"/>
                <w:szCs w:val="22"/>
              </w:rPr>
              <w:t>d)</w:t>
            </w:r>
            <w:r w:rsidRPr="009E4432">
              <w:rPr>
                <w:sz w:val="22"/>
                <w:szCs w:val="22"/>
              </w:rPr>
              <w:tab/>
              <w:t>Primer okvira dolgoročne podnebne politike Velike Britanije do leta 2050</w:t>
            </w:r>
          </w:p>
          <w:p w14:paraId="2753D99B" w14:textId="77777777" w:rsidR="009E4432" w:rsidRPr="009E4432" w:rsidRDefault="009E4432" w:rsidP="001918C3">
            <w:pPr>
              <w:pStyle w:val="Odstavekseznama1"/>
              <w:spacing w:line="260" w:lineRule="exact"/>
              <w:jc w:val="both"/>
              <w:rPr>
                <w:sz w:val="22"/>
                <w:szCs w:val="22"/>
              </w:rPr>
            </w:pPr>
          </w:p>
          <w:p w14:paraId="56CFD43E" w14:textId="77777777" w:rsidR="009E4432" w:rsidRPr="009E4432" w:rsidRDefault="009E4432" w:rsidP="001918C3">
            <w:pPr>
              <w:pStyle w:val="Odstavekseznama1"/>
              <w:spacing w:line="260" w:lineRule="exact"/>
              <w:ind w:left="0"/>
              <w:jc w:val="both"/>
              <w:rPr>
                <w:sz w:val="22"/>
                <w:szCs w:val="22"/>
              </w:rPr>
            </w:pPr>
            <w:r w:rsidRPr="009E4432">
              <w:rPr>
                <w:sz w:val="22"/>
                <w:szCs w:val="22"/>
              </w:rPr>
              <w:t>Velika Britanija je za vodenje dolgoročne podnebne politike že leta 2008 sprejela zakon o podnebnih spremembah (</w:t>
            </w:r>
            <w:proofErr w:type="spellStart"/>
            <w:r w:rsidRPr="009E4432">
              <w:rPr>
                <w:sz w:val="22"/>
                <w:szCs w:val="22"/>
              </w:rPr>
              <w:t>Climate</w:t>
            </w:r>
            <w:proofErr w:type="spellEnd"/>
            <w:r w:rsidRPr="009E4432">
              <w:rPr>
                <w:sz w:val="22"/>
                <w:szCs w:val="22"/>
              </w:rPr>
              <w:t xml:space="preserve"> </w:t>
            </w:r>
            <w:proofErr w:type="spellStart"/>
            <w:r w:rsidRPr="009E4432">
              <w:rPr>
                <w:sz w:val="22"/>
                <w:szCs w:val="22"/>
              </w:rPr>
              <w:t>Change</w:t>
            </w:r>
            <w:proofErr w:type="spellEnd"/>
            <w:r w:rsidRPr="009E4432">
              <w:rPr>
                <w:sz w:val="22"/>
                <w:szCs w:val="22"/>
              </w:rPr>
              <w:t xml:space="preserve"> </w:t>
            </w:r>
            <w:proofErr w:type="spellStart"/>
            <w:r w:rsidRPr="009E4432">
              <w:rPr>
                <w:sz w:val="22"/>
                <w:szCs w:val="22"/>
              </w:rPr>
              <w:t>Act</w:t>
            </w:r>
            <w:proofErr w:type="spellEnd"/>
            <w:r w:rsidRPr="009E4432">
              <w:rPr>
                <w:sz w:val="22"/>
                <w:szCs w:val="22"/>
              </w:rPr>
              <w:t xml:space="preserve">). To je bil inovativen način reševanja tega vprašanja in prvi državni zakon za podnebne spremembe na svetu. </w:t>
            </w:r>
          </w:p>
          <w:p w14:paraId="7E0E2C8E" w14:textId="77777777" w:rsidR="009E4432" w:rsidRPr="009E4432" w:rsidRDefault="009E4432" w:rsidP="001918C3">
            <w:pPr>
              <w:pStyle w:val="Odstavekseznama1"/>
              <w:spacing w:line="260" w:lineRule="exact"/>
              <w:jc w:val="both"/>
              <w:rPr>
                <w:sz w:val="22"/>
                <w:szCs w:val="22"/>
              </w:rPr>
            </w:pPr>
          </w:p>
          <w:p w14:paraId="00D04238"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 o podnebnih spremembah Velike Britanije zajema naslednje temeljne določbe oziroma vsebine: </w:t>
            </w:r>
          </w:p>
          <w:p w14:paraId="508910EB"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zakonsko zavezujoč dolgoročni podnebni (oziroma emisijski) cilj; </w:t>
            </w:r>
          </w:p>
          <w:p w14:paraId="355AF884"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zakonsko zavezujoče 5-letne </w:t>
            </w:r>
            <w:proofErr w:type="spellStart"/>
            <w:r w:rsidRPr="009E4432">
              <w:rPr>
                <w:sz w:val="22"/>
                <w:szCs w:val="22"/>
              </w:rPr>
              <w:t>ogljične</w:t>
            </w:r>
            <w:proofErr w:type="spellEnd"/>
            <w:r w:rsidRPr="009E4432">
              <w:rPr>
                <w:sz w:val="22"/>
                <w:szCs w:val="22"/>
              </w:rPr>
              <w:t xml:space="preserve"> proračune (največjo dovoljeno količino toplogrednih plinov, ki jo Velika Britanija sme izpustiti v nekem 5-letnem obdobju); </w:t>
            </w:r>
          </w:p>
          <w:p w14:paraId="7DFCA987"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neprekinjeno načrtovanje ukrepov za prilagajanje na podnebno krizo; </w:t>
            </w:r>
          </w:p>
          <w:p w14:paraId="6100AE7B"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določbo o neodvisnem znanstvenem posvetovalnem telesu za pripravo osnutkov 5-letnih </w:t>
            </w:r>
            <w:proofErr w:type="spellStart"/>
            <w:r w:rsidRPr="009E4432">
              <w:rPr>
                <w:sz w:val="22"/>
                <w:szCs w:val="22"/>
              </w:rPr>
              <w:t>ogljičnih</w:t>
            </w:r>
            <w:proofErr w:type="spellEnd"/>
            <w:r w:rsidRPr="009E4432">
              <w:rPr>
                <w:sz w:val="22"/>
                <w:szCs w:val="22"/>
              </w:rPr>
              <w:t xml:space="preserve"> proračunov in </w:t>
            </w:r>
          </w:p>
          <w:p w14:paraId="72328A0F" w14:textId="77777777" w:rsidR="009E4432" w:rsidRPr="009E4432" w:rsidRDefault="009E4432" w:rsidP="009E4432">
            <w:pPr>
              <w:pStyle w:val="Odstavekseznama1"/>
              <w:numPr>
                <w:ilvl w:val="0"/>
                <w:numId w:val="22"/>
              </w:numPr>
              <w:spacing w:line="260" w:lineRule="exact"/>
              <w:ind w:left="709" w:hanging="425"/>
              <w:jc w:val="both"/>
              <w:rPr>
                <w:sz w:val="22"/>
                <w:szCs w:val="22"/>
              </w:rPr>
            </w:pPr>
            <w:r w:rsidRPr="009E4432">
              <w:rPr>
                <w:sz w:val="22"/>
                <w:szCs w:val="22"/>
              </w:rPr>
              <w:t xml:space="preserve">določbe o obveznem spremljanju izvajanja </w:t>
            </w:r>
            <w:proofErr w:type="spellStart"/>
            <w:r w:rsidRPr="009E4432">
              <w:rPr>
                <w:sz w:val="22"/>
                <w:szCs w:val="22"/>
              </w:rPr>
              <w:t>ogljičnih</w:t>
            </w:r>
            <w:proofErr w:type="spellEnd"/>
            <w:r w:rsidRPr="009E4432">
              <w:rPr>
                <w:sz w:val="22"/>
                <w:szCs w:val="22"/>
              </w:rPr>
              <w:t xml:space="preserve"> proračunov in obračunavanju emisij. </w:t>
            </w:r>
          </w:p>
          <w:p w14:paraId="17E75870" w14:textId="77777777" w:rsidR="009E4432" w:rsidRPr="009E4432" w:rsidRDefault="009E4432" w:rsidP="001918C3">
            <w:pPr>
              <w:pStyle w:val="Odstavekseznama1"/>
              <w:spacing w:line="260" w:lineRule="exact"/>
              <w:jc w:val="both"/>
              <w:rPr>
                <w:sz w:val="22"/>
                <w:szCs w:val="22"/>
              </w:rPr>
            </w:pPr>
          </w:p>
          <w:p w14:paraId="21388540"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Zakonsko zavezujoči dolgoročni podnebni (oziroma emisijski) cilj določa, da morajo biti celotne letne emisije TGP Velike Britanije leta 2050 najmanj za 80 % manjše kot leta 1990.  Namen te določbe je bil jasno sporočilo vsem, tako gospodarstvu kot družbi, glede smeri dolgoročne podnebne politike Velike Britanije do leta 2050. Cilj je temeljil na takrat znanih znanstvenih dognanjih, kar je podnebni politiki zagotovilo potrebno verodostojnost. </w:t>
            </w:r>
          </w:p>
          <w:p w14:paraId="105CA372" w14:textId="77777777" w:rsidR="009E4432" w:rsidRPr="009E4432" w:rsidRDefault="009E4432" w:rsidP="001918C3">
            <w:pPr>
              <w:pStyle w:val="Odstavekseznama1"/>
              <w:spacing w:line="260" w:lineRule="exact"/>
              <w:jc w:val="both"/>
              <w:rPr>
                <w:sz w:val="22"/>
                <w:szCs w:val="22"/>
              </w:rPr>
            </w:pPr>
          </w:p>
          <w:p w14:paraId="4CF712EC"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Zakonsko zavezujoči 5-letni </w:t>
            </w:r>
            <w:proofErr w:type="spellStart"/>
            <w:r w:rsidRPr="009E4432">
              <w:rPr>
                <w:sz w:val="22"/>
                <w:szCs w:val="22"/>
              </w:rPr>
              <w:t>ogljični</w:t>
            </w:r>
            <w:proofErr w:type="spellEnd"/>
            <w:r w:rsidRPr="009E4432">
              <w:rPr>
                <w:sz w:val="22"/>
                <w:szCs w:val="22"/>
              </w:rPr>
              <w:t xml:space="preserve"> proračuni predstavljajo zaporedne 5-letne cilje v smislu </w:t>
            </w:r>
            <w:r w:rsidRPr="009E4432">
              <w:rPr>
                <w:sz w:val="22"/>
                <w:szCs w:val="22"/>
              </w:rPr>
              <w:lastRenderedPageBreak/>
              <w:t xml:space="preserve">največje dovoljene letne količine TGP ob zaključku nekega obdobja, ki jo Velika Britanija sme izpustiti v ozračje. </w:t>
            </w:r>
            <w:proofErr w:type="spellStart"/>
            <w:r w:rsidRPr="009E4432">
              <w:rPr>
                <w:sz w:val="22"/>
                <w:szCs w:val="22"/>
              </w:rPr>
              <w:t>Ogljični</w:t>
            </w:r>
            <w:proofErr w:type="spellEnd"/>
            <w:r w:rsidRPr="009E4432">
              <w:rPr>
                <w:sz w:val="22"/>
                <w:szCs w:val="22"/>
              </w:rPr>
              <w:t xml:space="preserve"> proračuni (OP) morajo določiti podnebni emisijski cilj za 12 let vnaprej. OP morajo biti na trajektoriji za dosego dolgoročnega podnebnega cilja.  </w:t>
            </w:r>
          </w:p>
          <w:p w14:paraId="3D9DBEA7" w14:textId="77777777" w:rsidR="009E4432" w:rsidRPr="009E4432" w:rsidRDefault="009E4432" w:rsidP="001918C3">
            <w:pPr>
              <w:pStyle w:val="Odstavekseznama1"/>
              <w:spacing w:line="260" w:lineRule="exact"/>
              <w:jc w:val="both"/>
              <w:rPr>
                <w:sz w:val="22"/>
                <w:szCs w:val="22"/>
              </w:rPr>
            </w:pPr>
          </w:p>
          <w:p w14:paraId="67A7DB1E" w14:textId="77777777" w:rsidR="009E4432" w:rsidRPr="009E4432" w:rsidRDefault="009E4432" w:rsidP="001918C3">
            <w:pPr>
              <w:pStyle w:val="Odstavekseznama1"/>
              <w:spacing w:line="260" w:lineRule="exact"/>
              <w:ind w:left="0"/>
              <w:jc w:val="both"/>
              <w:rPr>
                <w:sz w:val="22"/>
                <w:szCs w:val="22"/>
              </w:rPr>
            </w:pPr>
            <w:r w:rsidRPr="009E4432">
              <w:rPr>
                <w:sz w:val="22"/>
                <w:szCs w:val="22"/>
              </w:rPr>
              <w:t>Neprekinjeno načrtovanje ukrepov za prilagajanje na podnebno krizo prav tako sledi 5-letnim obdobjem, ki se začnejo s pripravo celovitih dokumentov ocene tveganj za podnebne spremembe (</w:t>
            </w:r>
            <w:proofErr w:type="spellStart"/>
            <w:r w:rsidRPr="009E4432">
              <w:rPr>
                <w:sz w:val="22"/>
                <w:szCs w:val="22"/>
              </w:rPr>
              <w:t>Climate</w:t>
            </w:r>
            <w:proofErr w:type="spellEnd"/>
            <w:r w:rsidRPr="009E4432">
              <w:rPr>
                <w:sz w:val="22"/>
                <w:szCs w:val="22"/>
              </w:rPr>
              <w:t xml:space="preserve"> </w:t>
            </w:r>
            <w:proofErr w:type="spellStart"/>
            <w:r w:rsidRPr="009E4432">
              <w:rPr>
                <w:sz w:val="22"/>
                <w:szCs w:val="22"/>
              </w:rPr>
              <w:t>Change</w:t>
            </w:r>
            <w:proofErr w:type="spellEnd"/>
            <w:r w:rsidRPr="009E4432">
              <w:rPr>
                <w:sz w:val="22"/>
                <w:szCs w:val="22"/>
              </w:rPr>
              <w:t xml:space="preserve"> </w:t>
            </w:r>
            <w:proofErr w:type="spellStart"/>
            <w:r w:rsidRPr="009E4432">
              <w:rPr>
                <w:sz w:val="22"/>
                <w:szCs w:val="22"/>
              </w:rPr>
              <w:t>Risk</w:t>
            </w:r>
            <w:proofErr w:type="spellEnd"/>
            <w:r w:rsidRPr="009E4432">
              <w:rPr>
                <w:sz w:val="22"/>
                <w:szCs w:val="22"/>
              </w:rPr>
              <w:t xml:space="preserve"> </w:t>
            </w:r>
            <w:proofErr w:type="spellStart"/>
            <w:r w:rsidRPr="009E4432">
              <w:rPr>
                <w:sz w:val="22"/>
                <w:szCs w:val="22"/>
              </w:rPr>
              <w:t>Assessment</w:t>
            </w:r>
            <w:proofErr w:type="spellEnd"/>
            <w:r w:rsidRPr="009E4432">
              <w:rPr>
                <w:sz w:val="22"/>
                <w:szCs w:val="22"/>
              </w:rPr>
              <w:t xml:space="preserve"> – CCRA) oziroma temeljijo na njih in se upoštevajo pri pripravi državnih programov za prilagajanje na podnebno krizo (</w:t>
            </w:r>
            <w:proofErr w:type="spellStart"/>
            <w:r w:rsidRPr="009E4432">
              <w:rPr>
                <w:sz w:val="22"/>
                <w:szCs w:val="22"/>
              </w:rPr>
              <w:t>National</w:t>
            </w:r>
            <w:proofErr w:type="spellEnd"/>
            <w:r w:rsidRPr="009E4432">
              <w:rPr>
                <w:sz w:val="22"/>
                <w:szCs w:val="22"/>
              </w:rPr>
              <w:t xml:space="preserve"> </w:t>
            </w:r>
            <w:proofErr w:type="spellStart"/>
            <w:r w:rsidRPr="009E4432">
              <w:rPr>
                <w:sz w:val="22"/>
                <w:szCs w:val="22"/>
              </w:rPr>
              <w:t>Adaptation</w:t>
            </w:r>
            <w:proofErr w:type="spellEnd"/>
            <w:r w:rsidRPr="009E4432">
              <w:rPr>
                <w:sz w:val="22"/>
                <w:szCs w:val="22"/>
              </w:rPr>
              <w:t xml:space="preserve"> </w:t>
            </w:r>
            <w:proofErr w:type="spellStart"/>
            <w:r w:rsidRPr="009E4432">
              <w:rPr>
                <w:sz w:val="22"/>
                <w:szCs w:val="22"/>
              </w:rPr>
              <w:t>Programme</w:t>
            </w:r>
            <w:proofErr w:type="spellEnd"/>
            <w:r w:rsidRPr="009E4432">
              <w:rPr>
                <w:sz w:val="22"/>
                <w:szCs w:val="22"/>
              </w:rPr>
              <w:t xml:space="preserve"> – NAP). Ti programi morajo biti sprejeti pred začetkom posameznega 5-letnega obdobja. </w:t>
            </w:r>
          </w:p>
          <w:p w14:paraId="2D8DEE8F" w14:textId="77777777" w:rsidR="009E4432" w:rsidRPr="009E4432" w:rsidRDefault="009E4432" w:rsidP="001918C3">
            <w:pPr>
              <w:pStyle w:val="Odstavekseznama1"/>
              <w:spacing w:line="260" w:lineRule="exact"/>
              <w:jc w:val="both"/>
              <w:rPr>
                <w:sz w:val="22"/>
                <w:szCs w:val="22"/>
              </w:rPr>
            </w:pPr>
          </w:p>
          <w:p w14:paraId="3905A390" w14:textId="77777777" w:rsidR="009E4432" w:rsidRPr="009E4432" w:rsidRDefault="009E4432" w:rsidP="001918C3">
            <w:pPr>
              <w:pStyle w:val="Odstavekseznama1"/>
              <w:spacing w:line="260" w:lineRule="exact"/>
              <w:ind w:left="0"/>
              <w:jc w:val="both"/>
              <w:rPr>
                <w:sz w:val="22"/>
                <w:szCs w:val="22"/>
              </w:rPr>
            </w:pPr>
            <w:r w:rsidRPr="009E4432">
              <w:rPr>
                <w:sz w:val="22"/>
                <w:szCs w:val="22"/>
              </w:rPr>
              <w:t>Imenovanje neodvisnega znanstvenega posvetovalnega telesa – odbora za podnebne spremembe (</w:t>
            </w:r>
            <w:proofErr w:type="spellStart"/>
            <w:r w:rsidRPr="009E4432">
              <w:rPr>
                <w:sz w:val="22"/>
                <w:szCs w:val="22"/>
              </w:rPr>
              <w:t>Committee</w:t>
            </w:r>
            <w:proofErr w:type="spellEnd"/>
            <w:r w:rsidRPr="009E4432">
              <w:rPr>
                <w:sz w:val="22"/>
                <w:szCs w:val="22"/>
              </w:rPr>
              <w:t xml:space="preserve"> on </w:t>
            </w:r>
            <w:proofErr w:type="spellStart"/>
            <w:r w:rsidRPr="009E4432">
              <w:rPr>
                <w:sz w:val="22"/>
                <w:szCs w:val="22"/>
              </w:rPr>
              <w:t>Climate</w:t>
            </w:r>
            <w:proofErr w:type="spellEnd"/>
            <w:r w:rsidRPr="009E4432">
              <w:rPr>
                <w:sz w:val="22"/>
                <w:szCs w:val="22"/>
              </w:rPr>
              <w:t xml:space="preserve"> </w:t>
            </w:r>
            <w:proofErr w:type="spellStart"/>
            <w:r w:rsidRPr="009E4432">
              <w:rPr>
                <w:sz w:val="22"/>
                <w:szCs w:val="22"/>
              </w:rPr>
              <w:t>Change</w:t>
            </w:r>
            <w:proofErr w:type="spellEnd"/>
            <w:r w:rsidRPr="009E4432">
              <w:rPr>
                <w:sz w:val="22"/>
                <w:szCs w:val="22"/>
              </w:rPr>
              <w:t xml:space="preserve"> – CCC) sodi med temeljne določbe tega zakona. Ta odbor je varuh izvajanja podnebne politike Velike Britanije in dolgoročnega cilja, ki je določen v tem zakonu. Tako kot zakon tudi ta odbor obravnava tako cilje zmanjševanja emisij TGP kot prilagajanje na podnebno krizo, zadnje prek pododbora za prilagajanje (</w:t>
            </w:r>
            <w:proofErr w:type="spellStart"/>
            <w:r w:rsidRPr="009E4432">
              <w:rPr>
                <w:sz w:val="22"/>
                <w:szCs w:val="22"/>
              </w:rPr>
              <w:t>Adaptation</w:t>
            </w:r>
            <w:proofErr w:type="spellEnd"/>
            <w:r w:rsidRPr="009E4432">
              <w:rPr>
                <w:sz w:val="22"/>
                <w:szCs w:val="22"/>
              </w:rPr>
              <w:t xml:space="preserve"> </w:t>
            </w:r>
            <w:proofErr w:type="spellStart"/>
            <w:r w:rsidRPr="009E4432">
              <w:rPr>
                <w:sz w:val="22"/>
                <w:szCs w:val="22"/>
              </w:rPr>
              <w:t>Sub</w:t>
            </w:r>
            <w:proofErr w:type="spellEnd"/>
            <w:r w:rsidRPr="009E4432">
              <w:rPr>
                <w:sz w:val="22"/>
                <w:szCs w:val="22"/>
              </w:rPr>
              <w:t>-</w:t>
            </w:r>
            <w:proofErr w:type="spellStart"/>
            <w:r w:rsidRPr="009E4432">
              <w:rPr>
                <w:sz w:val="22"/>
                <w:szCs w:val="22"/>
              </w:rPr>
              <w:t>Committee</w:t>
            </w:r>
            <w:proofErr w:type="spellEnd"/>
            <w:r w:rsidRPr="009E4432">
              <w:rPr>
                <w:sz w:val="22"/>
                <w:szCs w:val="22"/>
              </w:rPr>
              <w:t>).</w:t>
            </w:r>
          </w:p>
          <w:p w14:paraId="2860AD52" w14:textId="77777777" w:rsidR="009E4432" w:rsidRPr="009E4432" w:rsidRDefault="009E4432" w:rsidP="001918C3">
            <w:pPr>
              <w:pStyle w:val="Odstavekseznama1"/>
              <w:spacing w:line="260" w:lineRule="exact"/>
              <w:jc w:val="both"/>
              <w:rPr>
                <w:sz w:val="22"/>
                <w:szCs w:val="22"/>
              </w:rPr>
            </w:pPr>
          </w:p>
          <w:p w14:paraId="1FE5ECBF" w14:textId="77777777" w:rsidR="009E4432" w:rsidRPr="009E4432" w:rsidRDefault="009E4432" w:rsidP="001918C3">
            <w:pPr>
              <w:pStyle w:val="Odstavekseznama1"/>
              <w:spacing w:line="260" w:lineRule="exact"/>
              <w:ind w:left="0"/>
              <w:jc w:val="both"/>
              <w:rPr>
                <w:sz w:val="22"/>
                <w:szCs w:val="22"/>
              </w:rPr>
            </w:pPr>
            <w:r w:rsidRPr="009E4432">
              <w:rPr>
                <w:sz w:val="22"/>
                <w:szCs w:val="22"/>
              </w:rPr>
              <w:t xml:space="preserve">Zakonske določbe o obveznem spremljanju izvajanja </w:t>
            </w:r>
            <w:proofErr w:type="spellStart"/>
            <w:r w:rsidRPr="009E4432">
              <w:rPr>
                <w:sz w:val="22"/>
                <w:szCs w:val="22"/>
              </w:rPr>
              <w:t>ogljičnih</w:t>
            </w:r>
            <w:proofErr w:type="spellEnd"/>
            <w:r w:rsidRPr="009E4432">
              <w:rPr>
                <w:sz w:val="22"/>
                <w:szCs w:val="22"/>
              </w:rPr>
              <w:t xml:space="preserve"> proračunov in poročanju nalagajo vladi, da redno poroča o napredku v parlamentu in javnosti, kar pomeni tudi ohranjanje podnebnih vsebin visoko na seznamu prednostnih nalog. Zagotavlja tudi preglednost glede doseganja ciljev </w:t>
            </w:r>
            <w:proofErr w:type="spellStart"/>
            <w:r w:rsidRPr="009E4432">
              <w:rPr>
                <w:sz w:val="22"/>
                <w:szCs w:val="22"/>
              </w:rPr>
              <w:t>ogljičnih</w:t>
            </w:r>
            <w:proofErr w:type="spellEnd"/>
            <w:r w:rsidRPr="009E4432">
              <w:rPr>
                <w:sz w:val="22"/>
                <w:szCs w:val="22"/>
              </w:rPr>
              <w:t xml:space="preserve"> proračunov. Odbor za podnebne spremembe mora v okviru teh določil pripravljati letna poročila o napredku, v katerih poda podrobnosti, kako vlada dosega cilje </w:t>
            </w:r>
            <w:proofErr w:type="spellStart"/>
            <w:r w:rsidRPr="009E4432">
              <w:rPr>
                <w:sz w:val="22"/>
                <w:szCs w:val="22"/>
              </w:rPr>
              <w:t>ogljičnih</w:t>
            </w:r>
            <w:proofErr w:type="spellEnd"/>
            <w:r w:rsidRPr="009E4432">
              <w:rPr>
                <w:sz w:val="22"/>
                <w:szCs w:val="22"/>
              </w:rPr>
              <w:t xml:space="preserve"> proračunov na letni ravni. Napredek izvajanja načrtov za prilagajanje na podnebno krizo se ugotavlja vsaki dve leti. Ta poročila so v razpravi v parlamentu in vlada mora podati vsa ustrezna pojasnila. </w:t>
            </w:r>
          </w:p>
          <w:p w14:paraId="52B81994" w14:textId="77777777" w:rsidR="009E4432" w:rsidRPr="009E4432" w:rsidRDefault="009E4432" w:rsidP="001918C3">
            <w:pPr>
              <w:pStyle w:val="Odstavekseznama1"/>
              <w:spacing w:line="260" w:lineRule="exact"/>
              <w:ind w:left="0"/>
              <w:jc w:val="both"/>
              <w:rPr>
                <w:sz w:val="22"/>
                <w:szCs w:val="22"/>
              </w:rPr>
            </w:pPr>
          </w:p>
        </w:tc>
      </w:tr>
      <w:tr w:rsidR="009E4432" w:rsidRPr="009E4432" w14:paraId="3329FAEA" w14:textId="77777777" w:rsidTr="001918C3">
        <w:tc>
          <w:tcPr>
            <w:tcW w:w="8714" w:type="dxa"/>
          </w:tcPr>
          <w:p w14:paraId="2C8987C2" w14:textId="77777777" w:rsidR="009E4432" w:rsidRPr="009E4432" w:rsidRDefault="009E4432" w:rsidP="001918C3">
            <w:pPr>
              <w:pStyle w:val="Oddelek"/>
              <w:numPr>
                <w:ilvl w:val="0"/>
                <w:numId w:val="0"/>
              </w:numPr>
              <w:tabs>
                <w:tab w:val="left" w:pos="270"/>
              </w:tabs>
              <w:spacing w:before="0" w:after="0" w:line="260" w:lineRule="exact"/>
              <w:jc w:val="left"/>
              <w:rPr>
                <w:rFonts w:ascii="Times New Roman" w:hAnsi="Times New Roman" w:cs="Times New Roman"/>
              </w:rPr>
            </w:pPr>
            <w:r w:rsidRPr="009E4432">
              <w:rPr>
                <w:rFonts w:ascii="Times New Roman" w:hAnsi="Times New Roman" w:cs="Times New Roman"/>
              </w:rPr>
              <w:lastRenderedPageBreak/>
              <w:t>6. PRESOJA POSLEDIC, KI JIH BO IMEL SPREJEM ZAKONA</w:t>
            </w:r>
          </w:p>
        </w:tc>
      </w:tr>
      <w:tr w:rsidR="009E4432" w:rsidRPr="009E4432" w14:paraId="614861FD" w14:textId="77777777" w:rsidTr="001918C3">
        <w:tc>
          <w:tcPr>
            <w:tcW w:w="8714" w:type="dxa"/>
          </w:tcPr>
          <w:p w14:paraId="6C8BA9E3"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 xml:space="preserve">6.1 Presoja administrativnih posledic </w:t>
            </w:r>
          </w:p>
          <w:p w14:paraId="45016339"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 xml:space="preserve">a) v postopkih oziroma poslovanju javne uprave ali pravosodnih organov: </w:t>
            </w:r>
          </w:p>
        </w:tc>
      </w:tr>
      <w:tr w:rsidR="009E4432" w:rsidRPr="009E4432" w14:paraId="69237591" w14:textId="77777777" w:rsidTr="001918C3">
        <w:tc>
          <w:tcPr>
            <w:tcW w:w="8714" w:type="dxa"/>
          </w:tcPr>
          <w:p w14:paraId="30E41069"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38565C65"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 xml:space="preserve">Predvideni zakon ustanavlja Podnebni svet kot posvetovalno telo vlade za področje podnebne politike. V ta svet bo vlada na predlog ministrstva, pristojnega za podnebne spremembe imenovala neodvisne strokovnjake s področja prilagajanja ter blaženja podnebni sprememb. </w:t>
            </w:r>
          </w:p>
          <w:p w14:paraId="642356C5" w14:textId="77777777" w:rsidR="009E4432" w:rsidRPr="009E4432" w:rsidRDefault="009E4432" w:rsidP="001918C3">
            <w:pPr>
              <w:pStyle w:val="Alineazaodstavkom"/>
              <w:numPr>
                <w:ilvl w:val="0"/>
                <w:numId w:val="0"/>
              </w:numPr>
              <w:spacing w:line="260" w:lineRule="exact"/>
              <w:ind w:left="709" w:hanging="284"/>
              <w:rPr>
                <w:rFonts w:ascii="Times New Roman" w:hAnsi="Times New Roman" w:cs="Times New Roman"/>
              </w:rPr>
            </w:pPr>
          </w:p>
          <w:p w14:paraId="3AC4B9BB"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Podnebni svet ne bo imel posledic na poslovanje javne uprave ali pravosodnih organov. Delovanje Podnebnega sveta bo financirano iz proračuna ministrstva pristojnega za podnebne spremembe.</w:t>
            </w:r>
          </w:p>
          <w:p w14:paraId="2815FF92" w14:textId="77777777" w:rsidR="009E4432" w:rsidRPr="009E4432" w:rsidRDefault="009E4432" w:rsidP="001918C3">
            <w:pPr>
              <w:pStyle w:val="Alineazaodstavkom"/>
              <w:numPr>
                <w:ilvl w:val="0"/>
                <w:numId w:val="0"/>
              </w:numPr>
              <w:spacing w:line="260" w:lineRule="exact"/>
              <w:ind w:left="709"/>
              <w:rPr>
                <w:rFonts w:ascii="Times New Roman" w:hAnsi="Times New Roman" w:cs="Times New Roman"/>
              </w:rPr>
            </w:pPr>
          </w:p>
          <w:p w14:paraId="6EFA4633" w14:textId="77777777" w:rsidR="009E4432" w:rsidRPr="009E4432" w:rsidRDefault="009E4432" w:rsidP="001918C3">
            <w:pPr>
              <w:pStyle w:val="rkovnatokazaodstavkom"/>
              <w:numPr>
                <w:ilvl w:val="0"/>
                <w:numId w:val="0"/>
              </w:numPr>
              <w:spacing w:line="260" w:lineRule="exact"/>
              <w:rPr>
                <w:rFonts w:ascii="Times New Roman" w:hAnsi="Times New Roman" w:cs="Times New Roman"/>
                <w:b/>
              </w:rPr>
            </w:pPr>
            <w:r w:rsidRPr="009E4432">
              <w:rPr>
                <w:rFonts w:ascii="Times New Roman" w:hAnsi="Times New Roman" w:cs="Times New Roman"/>
                <w:b/>
              </w:rPr>
              <w:t>b) pri obveznostih strank do javne uprave ali pravosodnih organov:</w:t>
            </w:r>
          </w:p>
          <w:p w14:paraId="1263FB48"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20ABAA3D"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Zakon ne predvideva administrativnih posledic pri obveznostih strank do javne uprave ali pravosodnih organov.</w:t>
            </w:r>
          </w:p>
          <w:p w14:paraId="74AE98A9"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tc>
      </w:tr>
      <w:tr w:rsidR="009E4432" w:rsidRPr="009E4432" w14:paraId="20196105" w14:textId="77777777" w:rsidTr="001918C3">
        <w:tc>
          <w:tcPr>
            <w:tcW w:w="8714" w:type="dxa"/>
          </w:tcPr>
          <w:p w14:paraId="1062245B"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6.2 Presoja posledic za okolje, vključno s prostorskimi in varstvenimi vidiki, in sicer za:</w:t>
            </w:r>
          </w:p>
        </w:tc>
      </w:tr>
      <w:tr w:rsidR="009E4432" w:rsidRPr="009E4432" w14:paraId="32C68FAF" w14:textId="77777777" w:rsidTr="001918C3">
        <w:tc>
          <w:tcPr>
            <w:tcW w:w="8714" w:type="dxa"/>
          </w:tcPr>
          <w:p w14:paraId="08ABCBDF" w14:textId="77777777" w:rsidR="009E4432" w:rsidRPr="009E4432" w:rsidRDefault="009E4432" w:rsidP="001918C3">
            <w:pPr>
              <w:pStyle w:val="Alineazatoko"/>
              <w:spacing w:line="260" w:lineRule="exact"/>
              <w:rPr>
                <w:rFonts w:ascii="Times New Roman" w:hAnsi="Times New Roman" w:cs="Times New Roman"/>
              </w:rPr>
            </w:pPr>
          </w:p>
          <w:p w14:paraId="41B8CF54"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Izvajanje predlaganega zakona bo posledično pomenilo izboljšanje podnebne varnosti, ravnanja z odpadki, aktivnosti podjetij na področju okolja, kot tudi izboljšanje varstva pred naravnimi in drugimi nesrečami ter izboljšanja biotske raznovrstnosti in varovanja območij.</w:t>
            </w:r>
          </w:p>
          <w:p w14:paraId="69F68E86" w14:textId="77777777" w:rsidR="009E4432" w:rsidRPr="009E4432" w:rsidRDefault="009E4432" w:rsidP="001918C3">
            <w:pPr>
              <w:pStyle w:val="Alineazatoko"/>
              <w:spacing w:line="260" w:lineRule="exact"/>
              <w:ind w:left="0" w:firstLine="0"/>
              <w:rPr>
                <w:rFonts w:ascii="Times New Roman" w:hAnsi="Times New Roman" w:cs="Times New Roman"/>
              </w:rPr>
            </w:pPr>
          </w:p>
        </w:tc>
      </w:tr>
      <w:tr w:rsidR="009E4432" w:rsidRPr="009E4432" w14:paraId="6ABF6C02" w14:textId="77777777" w:rsidTr="001918C3">
        <w:tc>
          <w:tcPr>
            <w:tcW w:w="8714" w:type="dxa"/>
          </w:tcPr>
          <w:p w14:paraId="068300B9"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6.3 Presoja posledic za gospodarstvo, in sicer za:</w:t>
            </w:r>
          </w:p>
        </w:tc>
      </w:tr>
      <w:tr w:rsidR="009E4432" w:rsidRPr="009E4432" w14:paraId="650EE03F" w14:textId="77777777" w:rsidTr="001918C3">
        <w:tc>
          <w:tcPr>
            <w:tcW w:w="8714" w:type="dxa"/>
          </w:tcPr>
          <w:p w14:paraId="4C9F6869" w14:textId="77777777" w:rsidR="009E4432" w:rsidRPr="009E4432" w:rsidRDefault="009E4432" w:rsidP="001918C3">
            <w:pPr>
              <w:pStyle w:val="Alineazatoko"/>
              <w:spacing w:line="260" w:lineRule="exact"/>
              <w:ind w:left="0" w:firstLine="0"/>
              <w:rPr>
                <w:rFonts w:ascii="Times New Roman" w:hAnsi="Times New Roman" w:cs="Times New Roman"/>
              </w:rPr>
            </w:pPr>
          </w:p>
          <w:p w14:paraId="1A755C43" w14:textId="77777777" w:rsidR="009E4432" w:rsidRPr="009E4432" w:rsidRDefault="009E4432" w:rsidP="001918C3">
            <w:pPr>
              <w:pStyle w:val="Alineazatoko"/>
              <w:spacing w:line="260" w:lineRule="exact"/>
              <w:ind w:left="0" w:firstLine="0"/>
              <w:rPr>
                <w:rFonts w:ascii="Times New Roman" w:hAnsi="Times New Roman" w:cs="Times New Roman"/>
              </w:rPr>
            </w:pPr>
            <w:r w:rsidRPr="009E4432">
              <w:rPr>
                <w:rFonts w:ascii="Times New Roman" w:hAnsi="Times New Roman" w:cs="Times New Roman"/>
              </w:rPr>
              <w:t xml:space="preserve">Dolgoročno izvajanje podnebne politike bo zahtevalo prilagajanje gospodarstva v določenih </w:t>
            </w:r>
            <w:r w:rsidRPr="009E4432">
              <w:rPr>
                <w:rFonts w:ascii="Times New Roman" w:hAnsi="Times New Roman" w:cs="Times New Roman"/>
              </w:rPr>
              <w:lastRenderedPageBreak/>
              <w:t>segmentih. V okviru posledic zakon predvideva spodbujanje razvoja, raziskav in inovacij na področju prilagajanja in blaženja podnebnih sprememb. Posledice predvidenega zakona bodo zahtevale tudi okrepljeno medsebojno sodelovanje z drugimi državami, spodbujanje makroekonomskega okolja ter konkurenčnosti podjetij, kar bo posledično prineslo tudi nova delovna mesta ter sredstva v državni proračun.</w:t>
            </w:r>
          </w:p>
          <w:p w14:paraId="23614132" w14:textId="77777777" w:rsidR="009E4432" w:rsidRPr="009E4432" w:rsidRDefault="009E4432" w:rsidP="001918C3">
            <w:pPr>
              <w:pStyle w:val="Alineazatoko"/>
              <w:spacing w:line="260" w:lineRule="exact"/>
              <w:ind w:left="0" w:firstLine="0"/>
              <w:rPr>
                <w:rFonts w:ascii="Times New Roman" w:hAnsi="Times New Roman" w:cs="Times New Roman"/>
              </w:rPr>
            </w:pPr>
          </w:p>
        </w:tc>
      </w:tr>
      <w:tr w:rsidR="009E4432" w:rsidRPr="009E4432" w14:paraId="380313F2" w14:textId="77777777" w:rsidTr="001918C3">
        <w:tc>
          <w:tcPr>
            <w:tcW w:w="8714" w:type="dxa"/>
          </w:tcPr>
          <w:p w14:paraId="06BDBCDD"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lastRenderedPageBreak/>
              <w:t>6.4 Presoja posledic za socialno področje, in sicer za:</w:t>
            </w:r>
          </w:p>
        </w:tc>
      </w:tr>
      <w:tr w:rsidR="009E4432" w:rsidRPr="009E4432" w14:paraId="196ADA90" w14:textId="77777777" w:rsidTr="001918C3">
        <w:tc>
          <w:tcPr>
            <w:tcW w:w="8714" w:type="dxa"/>
          </w:tcPr>
          <w:p w14:paraId="69210474"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32B4B24E"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 xml:space="preserve">Predviden zakon ne bo imel posledic za socialno področje. </w:t>
            </w:r>
          </w:p>
          <w:p w14:paraId="59291DD8"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tc>
      </w:tr>
      <w:tr w:rsidR="009E4432" w:rsidRPr="009E4432" w14:paraId="0C77029E" w14:textId="77777777" w:rsidTr="001918C3">
        <w:tc>
          <w:tcPr>
            <w:tcW w:w="8714" w:type="dxa"/>
          </w:tcPr>
          <w:p w14:paraId="334F79CA"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6.5 Presoja posledic za dokumente razvojnega načrtovanja, in sicer za:</w:t>
            </w:r>
          </w:p>
          <w:p w14:paraId="0B000C0F"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p>
          <w:p w14:paraId="1BDB4E7A" w14:textId="77777777" w:rsidR="009E4432" w:rsidRPr="009E4432" w:rsidRDefault="009E4432" w:rsidP="001918C3">
            <w:pPr>
              <w:pStyle w:val="Odsek"/>
              <w:numPr>
                <w:ilvl w:val="0"/>
                <w:numId w:val="0"/>
              </w:numPr>
              <w:spacing w:before="0" w:after="0" w:line="260" w:lineRule="exact"/>
              <w:jc w:val="both"/>
              <w:rPr>
                <w:rFonts w:ascii="Times New Roman" w:hAnsi="Times New Roman" w:cs="Times New Roman"/>
                <w:b w:val="0"/>
              </w:rPr>
            </w:pPr>
            <w:r w:rsidRPr="009E4432">
              <w:rPr>
                <w:rFonts w:ascii="Times New Roman" w:hAnsi="Times New Roman" w:cs="Times New Roman"/>
                <w:b w:val="0"/>
              </w:rPr>
              <w:t xml:space="preserve">Predlagani zakon bo imel posledice za sprejem celovitega nacionalnega energetsko-podnebnega načrta, kot ga sedaj določa 24. člen Energetskega zakona (EZ-1). </w:t>
            </w:r>
          </w:p>
          <w:p w14:paraId="475E6C8C"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p>
        </w:tc>
      </w:tr>
      <w:tr w:rsidR="009E4432" w:rsidRPr="009E4432" w14:paraId="796ABC4E" w14:textId="77777777" w:rsidTr="001918C3">
        <w:tc>
          <w:tcPr>
            <w:tcW w:w="8714" w:type="dxa"/>
          </w:tcPr>
          <w:p w14:paraId="4CAC0D03" w14:textId="77777777" w:rsidR="009E4432" w:rsidRPr="009E4432" w:rsidRDefault="009E4432" w:rsidP="001918C3">
            <w:pPr>
              <w:pStyle w:val="Alineazaodstavkom"/>
              <w:numPr>
                <w:ilvl w:val="0"/>
                <w:numId w:val="0"/>
              </w:numPr>
              <w:spacing w:line="260" w:lineRule="exact"/>
              <w:rPr>
                <w:rFonts w:ascii="Times New Roman" w:hAnsi="Times New Roman" w:cs="Times New Roman"/>
                <w:b/>
              </w:rPr>
            </w:pPr>
            <w:r w:rsidRPr="009E4432">
              <w:rPr>
                <w:rFonts w:ascii="Times New Roman" w:hAnsi="Times New Roman" w:cs="Times New Roman"/>
                <w:b/>
              </w:rPr>
              <w:t>6.6 Presoja posledic za druga področja</w:t>
            </w:r>
          </w:p>
          <w:p w14:paraId="7F7C0CF8"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p w14:paraId="550A80FA"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r w:rsidRPr="009E4432">
              <w:rPr>
                <w:rFonts w:ascii="Times New Roman" w:hAnsi="Times New Roman" w:cs="Times New Roman"/>
              </w:rPr>
              <w:t>Predlagani zakon neposredno ne zadeva drugih področij. Bo pa imela sektorske posledice dolgoročna podnebna strategija in NEPN.</w:t>
            </w:r>
          </w:p>
          <w:p w14:paraId="0F02CC77" w14:textId="77777777" w:rsidR="009E4432" w:rsidRPr="009E4432" w:rsidRDefault="009E4432" w:rsidP="001918C3">
            <w:pPr>
              <w:pStyle w:val="Alineazaodstavkom"/>
              <w:numPr>
                <w:ilvl w:val="0"/>
                <w:numId w:val="0"/>
              </w:numPr>
              <w:spacing w:line="260" w:lineRule="exact"/>
              <w:rPr>
                <w:rFonts w:ascii="Times New Roman" w:hAnsi="Times New Roman" w:cs="Times New Roman"/>
              </w:rPr>
            </w:pPr>
          </w:p>
        </w:tc>
      </w:tr>
      <w:tr w:rsidR="009E4432" w:rsidRPr="009E4432" w14:paraId="02D8CBA0" w14:textId="77777777" w:rsidTr="001918C3">
        <w:tc>
          <w:tcPr>
            <w:tcW w:w="8714" w:type="dxa"/>
          </w:tcPr>
          <w:p w14:paraId="0EC6FCB1" w14:textId="77777777" w:rsidR="009E4432" w:rsidRPr="009E4432" w:rsidRDefault="009E4432" w:rsidP="001918C3">
            <w:pPr>
              <w:pStyle w:val="Odsek"/>
              <w:numPr>
                <w:ilvl w:val="0"/>
                <w:numId w:val="0"/>
              </w:numPr>
              <w:spacing w:before="0" w:after="0" w:line="260" w:lineRule="exact"/>
              <w:jc w:val="left"/>
              <w:rPr>
                <w:rFonts w:ascii="Times New Roman" w:hAnsi="Times New Roman" w:cs="Times New Roman"/>
              </w:rPr>
            </w:pPr>
            <w:r w:rsidRPr="009E4432">
              <w:rPr>
                <w:rFonts w:ascii="Times New Roman" w:hAnsi="Times New Roman" w:cs="Times New Roman"/>
              </w:rPr>
              <w:t>6.7 Izvajanje sprejetega predpisa:</w:t>
            </w:r>
          </w:p>
        </w:tc>
      </w:tr>
      <w:tr w:rsidR="009E4432" w:rsidRPr="009E4432" w14:paraId="0EECA5F6" w14:textId="77777777" w:rsidTr="001918C3">
        <w:tc>
          <w:tcPr>
            <w:tcW w:w="8714" w:type="dxa"/>
          </w:tcPr>
          <w:p w14:paraId="52086AE0" w14:textId="77777777" w:rsidR="009E4432" w:rsidRPr="009E4432" w:rsidRDefault="009E4432" w:rsidP="009E4432">
            <w:pPr>
              <w:pStyle w:val="rkovnatokazaodstavkom"/>
              <w:numPr>
                <w:ilvl w:val="0"/>
                <w:numId w:val="21"/>
              </w:numPr>
              <w:spacing w:line="260" w:lineRule="exact"/>
              <w:rPr>
                <w:rFonts w:ascii="Times New Roman" w:hAnsi="Times New Roman" w:cs="Times New Roman"/>
              </w:rPr>
            </w:pPr>
            <w:r w:rsidRPr="009E4432">
              <w:rPr>
                <w:rFonts w:ascii="Times New Roman" w:hAnsi="Times New Roman" w:cs="Times New Roman"/>
              </w:rPr>
              <w:t>Predstavitev sprejetega zakona:</w:t>
            </w:r>
          </w:p>
          <w:p w14:paraId="27F90499" w14:textId="77777777" w:rsidR="009E4432" w:rsidRPr="009E4432" w:rsidRDefault="009E4432" w:rsidP="001918C3">
            <w:pPr>
              <w:pStyle w:val="rkovnatokazaodstavkom"/>
              <w:numPr>
                <w:ilvl w:val="0"/>
                <w:numId w:val="0"/>
              </w:numPr>
              <w:spacing w:line="260" w:lineRule="exact"/>
              <w:ind w:left="720"/>
              <w:rPr>
                <w:rFonts w:ascii="Times New Roman" w:hAnsi="Times New Roman" w:cs="Times New Roman"/>
              </w:rPr>
            </w:pPr>
            <w:r w:rsidRPr="009E4432">
              <w:rPr>
                <w:rFonts w:ascii="Times New Roman" w:hAnsi="Times New Roman" w:cs="Times New Roman"/>
              </w:rPr>
              <w:t>Zakon bo predstavljen širši javnosti na posvetu v Državnem svetu Republike Slovenije. Na voljo bo tudi na spletnih straneh Ministrstva za okolje in prostor.</w:t>
            </w:r>
          </w:p>
          <w:p w14:paraId="1732174F" w14:textId="77777777" w:rsidR="009E4432" w:rsidRPr="009E4432" w:rsidRDefault="009E4432" w:rsidP="001918C3">
            <w:pPr>
              <w:pStyle w:val="rkovnatokazaodstavkom"/>
              <w:numPr>
                <w:ilvl w:val="0"/>
                <w:numId w:val="0"/>
              </w:numPr>
              <w:spacing w:line="260" w:lineRule="exact"/>
              <w:ind w:left="720"/>
              <w:rPr>
                <w:rFonts w:ascii="Times New Roman" w:hAnsi="Times New Roman" w:cs="Times New Roman"/>
              </w:rPr>
            </w:pPr>
          </w:p>
          <w:p w14:paraId="77B4EE3D" w14:textId="77777777" w:rsidR="009E4432" w:rsidRPr="009E4432" w:rsidRDefault="009E4432" w:rsidP="009E4432">
            <w:pPr>
              <w:pStyle w:val="rkovnatokazaodstavkom"/>
              <w:numPr>
                <w:ilvl w:val="0"/>
                <w:numId w:val="21"/>
              </w:numPr>
              <w:spacing w:line="260" w:lineRule="exact"/>
              <w:rPr>
                <w:rFonts w:ascii="Times New Roman" w:hAnsi="Times New Roman" w:cs="Times New Roman"/>
              </w:rPr>
            </w:pPr>
            <w:r w:rsidRPr="009E4432">
              <w:rPr>
                <w:rFonts w:ascii="Times New Roman" w:hAnsi="Times New Roman" w:cs="Times New Roman"/>
              </w:rPr>
              <w:t>Spremljanje izvajanja sprejetega predpisa:</w:t>
            </w:r>
          </w:p>
          <w:p w14:paraId="7324915E" w14:textId="77777777" w:rsidR="009E4432" w:rsidRPr="009E4432" w:rsidRDefault="009E4432" w:rsidP="001918C3">
            <w:pPr>
              <w:pStyle w:val="rkovnatokazaodstavkom"/>
              <w:numPr>
                <w:ilvl w:val="0"/>
                <w:numId w:val="0"/>
              </w:numPr>
              <w:spacing w:line="260" w:lineRule="exact"/>
              <w:ind w:left="720"/>
              <w:rPr>
                <w:rFonts w:ascii="Times New Roman" w:hAnsi="Times New Roman" w:cs="Times New Roman"/>
              </w:rPr>
            </w:pPr>
            <w:r w:rsidRPr="009E4432">
              <w:rPr>
                <w:rFonts w:ascii="Times New Roman" w:hAnsi="Times New Roman" w:cs="Times New Roman"/>
              </w:rPr>
              <w:t>Izvajanje predpisa bo redno spremljalo Ministrstvo za okolje in prostor. Ker predvideni zakon zadeva vse ravni odločanja in vse sektorje pa bo pri izvajanju spremljanja sprejetega predpisa potrebno aktivno sodelovanje vseh resorjev kot tudi širše javnosti ter novoustanovljenega Podnebnega sveta.</w:t>
            </w:r>
          </w:p>
          <w:p w14:paraId="5CE9C30D" w14:textId="77777777" w:rsidR="009E4432" w:rsidRPr="009E4432" w:rsidRDefault="009E4432" w:rsidP="001918C3">
            <w:pPr>
              <w:pStyle w:val="rkovnatokazaodstavkom"/>
              <w:numPr>
                <w:ilvl w:val="0"/>
                <w:numId w:val="0"/>
              </w:numPr>
              <w:spacing w:line="260" w:lineRule="exact"/>
              <w:ind w:left="1068" w:hanging="360"/>
              <w:rPr>
                <w:rFonts w:ascii="Times New Roman" w:hAnsi="Times New Roman" w:cs="Times New Roman"/>
              </w:rPr>
            </w:pPr>
          </w:p>
        </w:tc>
      </w:tr>
    </w:tbl>
    <w:p w14:paraId="52CDDE60" w14:textId="77777777" w:rsidR="009E4432" w:rsidRPr="009E4432" w:rsidRDefault="009E4432" w:rsidP="00432A5D">
      <w:pPr>
        <w:jc w:val="both"/>
        <w:rPr>
          <w:rFonts w:ascii="Times New Roman" w:hAnsi="Times New Roman"/>
          <w:b/>
          <w:snapToGrid w:val="0"/>
          <w:sz w:val="22"/>
          <w:szCs w:val="22"/>
        </w:rPr>
      </w:pPr>
    </w:p>
    <w:p w14:paraId="551CBC8E" w14:textId="77777777" w:rsidR="009E4432" w:rsidRPr="009E4432" w:rsidRDefault="009E4432" w:rsidP="00432A5D">
      <w:pPr>
        <w:jc w:val="both"/>
        <w:rPr>
          <w:rFonts w:ascii="Times New Roman" w:hAnsi="Times New Roman"/>
          <w:b/>
          <w:snapToGrid w:val="0"/>
          <w:sz w:val="22"/>
          <w:szCs w:val="22"/>
        </w:rPr>
      </w:pPr>
    </w:p>
    <w:p w14:paraId="4A7A779D" w14:textId="77777777" w:rsidR="009E4432" w:rsidRPr="009E4432" w:rsidRDefault="009E4432" w:rsidP="00432A5D">
      <w:pPr>
        <w:jc w:val="both"/>
        <w:rPr>
          <w:rFonts w:ascii="Times New Roman" w:hAnsi="Times New Roman"/>
          <w:b/>
          <w:snapToGrid w:val="0"/>
          <w:sz w:val="22"/>
          <w:szCs w:val="22"/>
        </w:rPr>
      </w:pPr>
    </w:p>
    <w:p w14:paraId="574BAEAE" w14:textId="77777777" w:rsidR="009E4432" w:rsidRPr="009E4432" w:rsidRDefault="009E4432" w:rsidP="00432A5D">
      <w:pPr>
        <w:jc w:val="both"/>
        <w:rPr>
          <w:rFonts w:ascii="Times New Roman" w:hAnsi="Times New Roman"/>
          <w:b/>
          <w:snapToGrid w:val="0"/>
          <w:sz w:val="22"/>
          <w:szCs w:val="22"/>
        </w:rPr>
      </w:pPr>
    </w:p>
    <w:p w14:paraId="0D793197" w14:textId="77777777" w:rsidR="009E4432" w:rsidRPr="009E4432" w:rsidRDefault="009E4432" w:rsidP="00432A5D">
      <w:pPr>
        <w:jc w:val="both"/>
        <w:rPr>
          <w:rFonts w:ascii="Times New Roman" w:hAnsi="Times New Roman"/>
          <w:b/>
          <w:snapToGrid w:val="0"/>
          <w:sz w:val="22"/>
          <w:szCs w:val="22"/>
        </w:rPr>
      </w:pPr>
    </w:p>
    <w:p w14:paraId="7D70224D" w14:textId="77777777" w:rsidR="009E4432" w:rsidRPr="009E4432" w:rsidRDefault="009E4432" w:rsidP="00432A5D">
      <w:pPr>
        <w:jc w:val="both"/>
        <w:rPr>
          <w:rFonts w:ascii="Times New Roman" w:hAnsi="Times New Roman"/>
          <w:b/>
          <w:snapToGrid w:val="0"/>
          <w:sz w:val="22"/>
          <w:szCs w:val="22"/>
        </w:rPr>
      </w:pPr>
    </w:p>
    <w:p w14:paraId="51E0E9DE" w14:textId="77777777" w:rsidR="009E4432" w:rsidRPr="009E4432" w:rsidRDefault="009E4432" w:rsidP="00432A5D">
      <w:pPr>
        <w:jc w:val="both"/>
        <w:rPr>
          <w:rFonts w:ascii="Times New Roman" w:hAnsi="Times New Roman"/>
          <w:b/>
          <w:snapToGrid w:val="0"/>
          <w:sz w:val="22"/>
          <w:szCs w:val="22"/>
        </w:rPr>
      </w:pPr>
    </w:p>
    <w:p w14:paraId="3C78DA44" w14:textId="77777777" w:rsidR="009E4432" w:rsidRPr="009E4432" w:rsidRDefault="009E4432" w:rsidP="00432A5D">
      <w:pPr>
        <w:jc w:val="both"/>
        <w:rPr>
          <w:rFonts w:ascii="Times New Roman" w:hAnsi="Times New Roman"/>
          <w:b/>
          <w:snapToGrid w:val="0"/>
          <w:sz w:val="22"/>
          <w:szCs w:val="22"/>
        </w:rPr>
      </w:pPr>
    </w:p>
    <w:p w14:paraId="035A3CC5" w14:textId="77777777" w:rsidR="009E4432" w:rsidRPr="009E4432" w:rsidRDefault="009E4432" w:rsidP="00432A5D">
      <w:pPr>
        <w:jc w:val="both"/>
        <w:rPr>
          <w:rFonts w:ascii="Times New Roman" w:hAnsi="Times New Roman"/>
          <w:b/>
          <w:snapToGrid w:val="0"/>
          <w:sz w:val="22"/>
          <w:szCs w:val="22"/>
        </w:rPr>
      </w:pPr>
    </w:p>
    <w:p w14:paraId="37DA11C8" w14:textId="77777777" w:rsidR="009E4432" w:rsidRPr="009E4432" w:rsidRDefault="009E4432" w:rsidP="00432A5D">
      <w:pPr>
        <w:jc w:val="both"/>
        <w:rPr>
          <w:rFonts w:ascii="Times New Roman" w:hAnsi="Times New Roman"/>
          <w:b/>
          <w:snapToGrid w:val="0"/>
          <w:sz w:val="22"/>
          <w:szCs w:val="22"/>
        </w:rPr>
      </w:pPr>
    </w:p>
    <w:p w14:paraId="43E8F2AF" w14:textId="77777777" w:rsidR="009E4432" w:rsidRPr="009E4432" w:rsidRDefault="009E4432" w:rsidP="00432A5D">
      <w:pPr>
        <w:jc w:val="both"/>
        <w:rPr>
          <w:rFonts w:ascii="Times New Roman" w:hAnsi="Times New Roman"/>
          <w:b/>
          <w:snapToGrid w:val="0"/>
          <w:sz w:val="22"/>
          <w:szCs w:val="22"/>
        </w:rPr>
      </w:pPr>
    </w:p>
    <w:p w14:paraId="5AB2F2EC" w14:textId="77777777" w:rsidR="009E4432" w:rsidRPr="009E4432" w:rsidRDefault="009E4432" w:rsidP="00432A5D">
      <w:pPr>
        <w:jc w:val="both"/>
        <w:rPr>
          <w:rFonts w:ascii="Times New Roman" w:hAnsi="Times New Roman"/>
          <w:b/>
          <w:snapToGrid w:val="0"/>
          <w:sz w:val="22"/>
          <w:szCs w:val="22"/>
        </w:rPr>
      </w:pPr>
    </w:p>
    <w:p w14:paraId="1E1E2F4A" w14:textId="77777777" w:rsidR="009E4432" w:rsidRPr="009E4432" w:rsidRDefault="009E4432" w:rsidP="00432A5D">
      <w:pPr>
        <w:jc w:val="both"/>
        <w:rPr>
          <w:rFonts w:ascii="Times New Roman" w:hAnsi="Times New Roman"/>
          <w:b/>
          <w:snapToGrid w:val="0"/>
          <w:sz w:val="22"/>
          <w:szCs w:val="22"/>
        </w:rPr>
      </w:pPr>
    </w:p>
    <w:p w14:paraId="0708DE69" w14:textId="77777777" w:rsidR="009E4432" w:rsidRPr="009E4432" w:rsidRDefault="009E4432" w:rsidP="00432A5D">
      <w:pPr>
        <w:jc w:val="both"/>
        <w:rPr>
          <w:rFonts w:ascii="Times New Roman" w:hAnsi="Times New Roman"/>
          <w:b/>
          <w:snapToGrid w:val="0"/>
          <w:sz w:val="22"/>
          <w:szCs w:val="22"/>
        </w:rPr>
      </w:pPr>
    </w:p>
    <w:p w14:paraId="7A492248" w14:textId="77777777" w:rsidR="009E4432" w:rsidRPr="009E4432" w:rsidRDefault="009E4432" w:rsidP="00432A5D">
      <w:pPr>
        <w:jc w:val="both"/>
        <w:rPr>
          <w:rFonts w:ascii="Times New Roman" w:hAnsi="Times New Roman"/>
          <w:b/>
          <w:snapToGrid w:val="0"/>
          <w:sz w:val="22"/>
          <w:szCs w:val="22"/>
        </w:rPr>
      </w:pPr>
    </w:p>
    <w:p w14:paraId="62B51093" w14:textId="77777777" w:rsidR="009E4432" w:rsidRPr="009E4432" w:rsidRDefault="009E4432" w:rsidP="00432A5D">
      <w:pPr>
        <w:jc w:val="both"/>
        <w:rPr>
          <w:rFonts w:ascii="Times New Roman" w:hAnsi="Times New Roman"/>
          <w:b/>
          <w:snapToGrid w:val="0"/>
          <w:sz w:val="22"/>
          <w:szCs w:val="22"/>
        </w:rPr>
      </w:pPr>
    </w:p>
    <w:p w14:paraId="5749D14F" w14:textId="77777777" w:rsidR="009E4432" w:rsidRPr="009E4432" w:rsidRDefault="009E4432" w:rsidP="00432A5D">
      <w:pPr>
        <w:jc w:val="both"/>
        <w:rPr>
          <w:rFonts w:ascii="Times New Roman" w:hAnsi="Times New Roman"/>
          <w:b/>
          <w:snapToGrid w:val="0"/>
          <w:sz w:val="22"/>
          <w:szCs w:val="22"/>
        </w:rPr>
      </w:pPr>
    </w:p>
    <w:p w14:paraId="45EFB1D8" w14:textId="77777777" w:rsidR="009E4432" w:rsidRPr="009E4432" w:rsidRDefault="009E4432" w:rsidP="00432A5D">
      <w:pPr>
        <w:jc w:val="both"/>
        <w:rPr>
          <w:rFonts w:ascii="Times New Roman" w:hAnsi="Times New Roman"/>
          <w:b/>
          <w:snapToGrid w:val="0"/>
          <w:sz w:val="22"/>
          <w:szCs w:val="22"/>
        </w:rPr>
      </w:pPr>
    </w:p>
    <w:p w14:paraId="178685C3" w14:textId="77777777" w:rsidR="009E4432" w:rsidRPr="009E4432" w:rsidRDefault="009E4432" w:rsidP="00432A5D">
      <w:pPr>
        <w:jc w:val="both"/>
        <w:rPr>
          <w:rFonts w:ascii="Times New Roman" w:hAnsi="Times New Roman"/>
          <w:b/>
          <w:snapToGrid w:val="0"/>
          <w:sz w:val="22"/>
          <w:szCs w:val="22"/>
        </w:rPr>
      </w:pPr>
    </w:p>
    <w:p w14:paraId="2DFAA6CA" w14:textId="77777777" w:rsidR="009E4432" w:rsidRPr="009E4432" w:rsidRDefault="009E4432" w:rsidP="00432A5D">
      <w:pPr>
        <w:jc w:val="both"/>
        <w:rPr>
          <w:rFonts w:ascii="Times New Roman" w:hAnsi="Times New Roman"/>
          <w:b/>
          <w:snapToGrid w:val="0"/>
          <w:sz w:val="22"/>
          <w:szCs w:val="22"/>
        </w:rPr>
      </w:pPr>
    </w:p>
    <w:p w14:paraId="28A1B77E" w14:textId="77777777" w:rsidR="009E4432" w:rsidRPr="009E4432" w:rsidRDefault="009E4432" w:rsidP="00432A5D">
      <w:pPr>
        <w:jc w:val="both"/>
        <w:rPr>
          <w:rFonts w:ascii="Times New Roman" w:hAnsi="Times New Roman"/>
          <w:b/>
          <w:snapToGrid w:val="0"/>
          <w:sz w:val="22"/>
          <w:szCs w:val="22"/>
        </w:rPr>
      </w:pPr>
    </w:p>
    <w:p w14:paraId="5F092334" w14:textId="77777777" w:rsidR="009E4432" w:rsidRPr="009E4432" w:rsidRDefault="009E4432" w:rsidP="00432A5D">
      <w:pPr>
        <w:jc w:val="both"/>
        <w:rPr>
          <w:rFonts w:ascii="Times New Roman" w:hAnsi="Times New Roman"/>
          <w:b/>
          <w:snapToGrid w:val="0"/>
          <w:sz w:val="22"/>
          <w:szCs w:val="22"/>
        </w:rPr>
      </w:pPr>
    </w:p>
    <w:p w14:paraId="7C987833" w14:textId="77777777" w:rsidR="009E4432" w:rsidRPr="009E4432" w:rsidRDefault="009E4432" w:rsidP="00432A5D">
      <w:pPr>
        <w:jc w:val="both"/>
        <w:rPr>
          <w:rFonts w:ascii="Times New Roman" w:hAnsi="Times New Roman"/>
          <w:b/>
          <w:snapToGrid w:val="0"/>
          <w:sz w:val="22"/>
          <w:szCs w:val="22"/>
        </w:rPr>
      </w:pPr>
    </w:p>
    <w:p w14:paraId="03DD54A6" w14:textId="21BA6D61" w:rsidR="009E4432" w:rsidRPr="009E4432" w:rsidRDefault="009E4432" w:rsidP="00432A5D">
      <w:pPr>
        <w:jc w:val="both"/>
        <w:rPr>
          <w:rFonts w:ascii="Times New Roman" w:hAnsi="Times New Roman"/>
          <w:b/>
          <w:snapToGrid w:val="0"/>
          <w:sz w:val="22"/>
          <w:szCs w:val="22"/>
        </w:rPr>
      </w:pPr>
      <w:r w:rsidRPr="009E4432">
        <w:rPr>
          <w:rFonts w:ascii="Times New Roman" w:hAnsi="Times New Roman"/>
          <w:b/>
          <w:snapToGrid w:val="0"/>
          <w:sz w:val="22"/>
          <w:szCs w:val="22"/>
        </w:rPr>
        <w:t xml:space="preserve">Obrazložitev členov predloga zakona: </w:t>
      </w:r>
    </w:p>
    <w:p w14:paraId="3ED8FD64" w14:textId="77777777" w:rsidR="009E4432" w:rsidRPr="009E4432" w:rsidRDefault="009E4432" w:rsidP="00432A5D">
      <w:pPr>
        <w:jc w:val="both"/>
        <w:rPr>
          <w:rFonts w:ascii="Times New Roman" w:hAnsi="Times New Roman"/>
          <w:b/>
          <w:snapToGrid w:val="0"/>
          <w:sz w:val="22"/>
          <w:szCs w:val="22"/>
        </w:rPr>
      </w:pPr>
    </w:p>
    <w:p w14:paraId="257DAA1D" w14:textId="77777777" w:rsidR="009E4432" w:rsidRPr="009E4432" w:rsidRDefault="009E4432" w:rsidP="00432A5D">
      <w:pPr>
        <w:jc w:val="both"/>
        <w:rPr>
          <w:rFonts w:ascii="Times New Roman" w:hAnsi="Times New Roman"/>
          <w:b/>
          <w:snapToGrid w:val="0"/>
          <w:sz w:val="22"/>
          <w:szCs w:val="22"/>
        </w:rPr>
      </w:pPr>
    </w:p>
    <w:p w14:paraId="60F3EAA2" w14:textId="77777777" w:rsidR="009E4432" w:rsidRPr="009E4432" w:rsidRDefault="009E4432" w:rsidP="00432A5D">
      <w:pPr>
        <w:jc w:val="both"/>
        <w:rPr>
          <w:rFonts w:ascii="Times New Roman" w:hAnsi="Times New Roman"/>
          <w:b/>
          <w:snapToGrid w:val="0"/>
          <w:sz w:val="22"/>
          <w:szCs w:val="22"/>
        </w:rPr>
      </w:pPr>
    </w:p>
    <w:p w14:paraId="087D295D" w14:textId="77777777" w:rsidR="009E4432" w:rsidRPr="009E4432" w:rsidRDefault="009E4432" w:rsidP="00432A5D">
      <w:pPr>
        <w:jc w:val="both"/>
        <w:rPr>
          <w:rFonts w:ascii="Times New Roman" w:hAnsi="Times New Roman"/>
          <w:b/>
          <w:snapToGrid w:val="0"/>
          <w:sz w:val="22"/>
          <w:szCs w:val="22"/>
        </w:rPr>
      </w:pPr>
    </w:p>
    <w:p w14:paraId="46E95679"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 členu:</w:t>
      </w:r>
    </w:p>
    <w:p w14:paraId="00A749C3"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opredeljuje predmet zakona, ki je v določitvi ciljev in mehanizmov, namenjenih odzivanju na podnebne spremembe. Pri tem so pomembne tudi določbe 3. in 6. člena, ki opredeljujeta okvirno naravo zakona ter način izvajanja podnebne politike, ki je izrazito več-sektorski. Mehanizmi in izvajalci podnebne politike, opredeljeni v tem zakonu, torej ne predstavljajo zaključenega nabora, ki bi preprečeval nastajanje in vklapljanje novih skozi sektorske politike, predpise in ukrepe, temveč predstavljajo temeljne gradnike tega sistema.</w:t>
      </w:r>
    </w:p>
    <w:p w14:paraId="2CC55D3C" w14:textId="77777777" w:rsidR="00432A5D" w:rsidRPr="009E4432" w:rsidRDefault="00432A5D" w:rsidP="00432A5D">
      <w:pPr>
        <w:jc w:val="both"/>
        <w:rPr>
          <w:rFonts w:ascii="Times New Roman" w:hAnsi="Times New Roman"/>
          <w:snapToGrid w:val="0"/>
          <w:sz w:val="22"/>
          <w:szCs w:val="22"/>
        </w:rPr>
      </w:pPr>
    </w:p>
    <w:p w14:paraId="2A96A4C2"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2. členu:</w:t>
      </w:r>
    </w:p>
    <w:p w14:paraId="703B8346"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Ker se s tem zakonom izvaja tudi uredba EU, je to v tem členu izrecno navedeno. Zakon za namen izvajanja predmetne uredbe EU določa pristojni organ za sprejem dolgoročne podnebne strategije in celovitega nacionalnega energetsko-podnebnega načrta, kar je podrobneje urejeno v 8. in 9. členu zakona.</w:t>
      </w:r>
    </w:p>
    <w:p w14:paraId="3627FFFD" w14:textId="77777777" w:rsidR="00432A5D" w:rsidRPr="009E4432" w:rsidRDefault="00432A5D" w:rsidP="00432A5D">
      <w:pPr>
        <w:jc w:val="both"/>
        <w:rPr>
          <w:rFonts w:ascii="Times New Roman" w:hAnsi="Times New Roman"/>
          <w:snapToGrid w:val="0"/>
          <w:sz w:val="22"/>
          <w:szCs w:val="22"/>
        </w:rPr>
      </w:pPr>
    </w:p>
    <w:p w14:paraId="37947031"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3. členu:</w:t>
      </w:r>
    </w:p>
    <w:p w14:paraId="54A0D520"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določa namen in naravo zakona. Kot zapisno v obrazložitvi k 1. členu, je narava zakona okvirna. Ne gre torej za predpis, ki na enem mestu in samostojno ter izključujoče uredi vse vsebinske instrumente in pravne institute na področju podnebnih sprememb, temveč predstavlja temeljni okvir, znotraj in na podlagi katerega nato lahko skupno, pa tudi ločeno (a povezano) nastajajo dodatni oziroma podrobnejši gradniki sistema. Pri tem se zakon izrecno opira na trajnostni razvoj kot široko sprejeto načelo v številnih sektorskih politikah (kjer je na prvem mestu varstvo okolja), področje predmetnih sprememb pa postavlja tudi v kontekst človekovih pravic in mednarodnega delovanja.</w:t>
      </w:r>
    </w:p>
    <w:p w14:paraId="391D17D9" w14:textId="77777777" w:rsidR="00432A5D" w:rsidRPr="009E4432" w:rsidRDefault="00432A5D" w:rsidP="00432A5D">
      <w:pPr>
        <w:jc w:val="both"/>
        <w:rPr>
          <w:rFonts w:ascii="Times New Roman" w:hAnsi="Times New Roman"/>
          <w:b/>
          <w:snapToGrid w:val="0"/>
          <w:sz w:val="22"/>
          <w:szCs w:val="22"/>
        </w:rPr>
      </w:pPr>
    </w:p>
    <w:p w14:paraId="2C28B6E6"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4. členu:</w:t>
      </w:r>
    </w:p>
    <w:p w14:paraId="30FD71F1"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Kot načela, na katerih temelji podnebna politika, zakon opredeljuje in se navezuje na načela, ki so že določena v zakonu, ki ureja varstvo okolja, saj gre za identična vrednostna izhodišča urejanja in delovanja.</w:t>
      </w:r>
    </w:p>
    <w:p w14:paraId="060902F8" w14:textId="77777777" w:rsidR="00432A5D" w:rsidRPr="009E4432" w:rsidRDefault="00432A5D" w:rsidP="00432A5D">
      <w:pPr>
        <w:jc w:val="both"/>
        <w:rPr>
          <w:rFonts w:ascii="Times New Roman" w:hAnsi="Times New Roman"/>
          <w:b/>
          <w:snapToGrid w:val="0"/>
          <w:sz w:val="22"/>
          <w:szCs w:val="22"/>
        </w:rPr>
      </w:pPr>
    </w:p>
    <w:p w14:paraId="22C3A476"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5. členu:</w:t>
      </w:r>
    </w:p>
    <w:p w14:paraId="4688F777"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opredeljuje pomen izrazov, ki so nato uporabljeni v zakonu in sledijo ustaljeni rabi v okviru Združenih narodov (ZN), na ravni EU ter v ustreznih predpisih in dokumentih v Sloveniji.</w:t>
      </w:r>
    </w:p>
    <w:p w14:paraId="0F8A7DB4" w14:textId="77777777" w:rsidR="00432A5D" w:rsidRPr="009E4432" w:rsidRDefault="00432A5D" w:rsidP="00432A5D">
      <w:pPr>
        <w:jc w:val="both"/>
        <w:rPr>
          <w:rFonts w:ascii="Times New Roman" w:hAnsi="Times New Roman"/>
          <w:b/>
          <w:snapToGrid w:val="0"/>
          <w:sz w:val="22"/>
          <w:szCs w:val="22"/>
        </w:rPr>
      </w:pPr>
    </w:p>
    <w:p w14:paraId="4F052454"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6. členu:</w:t>
      </w:r>
    </w:p>
    <w:p w14:paraId="134F7E5D"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z w:val="22"/>
          <w:szCs w:val="22"/>
        </w:rPr>
        <w:t>Člen opredeljuje izvajanje podnebne politike kot nalogo, ki zaradi svojega globalnega pomena presega nacionalni okvir, znotraj le-tega pa je ta naloga izrazito več- oziroma nad-sektorska in vključuje tako državo, kot lokalno samoupravo. S tem člen daje izhodišče za bolj matrično organiziranost izvajalcev, saj bo za uspešno izvajanje politike treba preseči tradicionalno upravno organizacijsko strukturo oziroma delovanje. Člen našteva ključne sektorje za izvajanje podnebne politike, pri čemer pa ta nabor ni taksativen, temveč odprt</w:t>
      </w:r>
      <w:r w:rsidRPr="009E4432">
        <w:rPr>
          <w:rFonts w:ascii="Times New Roman" w:hAnsi="Times New Roman"/>
          <w:snapToGrid w:val="0"/>
          <w:sz w:val="22"/>
          <w:szCs w:val="22"/>
        </w:rPr>
        <w:t>.</w:t>
      </w:r>
    </w:p>
    <w:p w14:paraId="6BAF7313" w14:textId="77777777" w:rsidR="00432A5D" w:rsidRPr="009E4432" w:rsidRDefault="00432A5D" w:rsidP="00432A5D">
      <w:pPr>
        <w:jc w:val="both"/>
        <w:rPr>
          <w:rFonts w:ascii="Times New Roman" w:hAnsi="Times New Roman"/>
          <w:snapToGrid w:val="0"/>
          <w:sz w:val="22"/>
          <w:szCs w:val="22"/>
        </w:rPr>
      </w:pPr>
    </w:p>
    <w:p w14:paraId="79425645" w14:textId="77777777" w:rsidR="00AF6F8C" w:rsidRPr="00AF6F8C" w:rsidRDefault="00AF6F8C" w:rsidP="00AF6F8C">
      <w:pPr>
        <w:autoSpaceDE w:val="0"/>
        <w:autoSpaceDN w:val="0"/>
        <w:adjustRightInd w:val="0"/>
        <w:spacing w:line="240" w:lineRule="auto"/>
        <w:jc w:val="both"/>
        <w:rPr>
          <w:rFonts w:ascii="Times New Roman" w:eastAsiaTheme="minorHAnsi" w:hAnsi="Times New Roman"/>
          <w:b/>
          <w:bCs/>
          <w:color w:val="000000"/>
          <w:sz w:val="22"/>
          <w:szCs w:val="22"/>
        </w:rPr>
      </w:pPr>
      <w:r w:rsidRPr="00AF6F8C">
        <w:rPr>
          <w:rFonts w:ascii="Times New Roman" w:eastAsiaTheme="minorHAnsi" w:hAnsi="Times New Roman"/>
          <w:b/>
          <w:bCs/>
          <w:color w:val="000000"/>
          <w:sz w:val="22"/>
          <w:szCs w:val="22"/>
        </w:rPr>
        <w:t>K 7. členu:</w:t>
      </w:r>
    </w:p>
    <w:p w14:paraId="00F47FB2" w14:textId="77777777" w:rsidR="00AF6F8C" w:rsidRPr="00AF6F8C" w:rsidRDefault="00AF6F8C" w:rsidP="00AF6F8C">
      <w:pPr>
        <w:autoSpaceDE w:val="0"/>
        <w:autoSpaceDN w:val="0"/>
        <w:adjustRightInd w:val="0"/>
        <w:spacing w:line="240" w:lineRule="auto"/>
        <w:jc w:val="both"/>
        <w:rPr>
          <w:rFonts w:ascii="Times New Roman" w:eastAsiaTheme="minorHAnsi" w:hAnsi="Times New Roman"/>
          <w:color w:val="000000"/>
          <w:sz w:val="22"/>
          <w:szCs w:val="22"/>
        </w:rPr>
      </w:pPr>
      <w:r w:rsidRPr="00AF6F8C">
        <w:rPr>
          <w:rFonts w:ascii="Times New Roman" w:eastAsiaTheme="minorHAnsi" w:hAnsi="Times New Roman"/>
          <w:color w:val="000000"/>
          <w:sz w:val="22"/>
          <w:szCs w:val="22"/>
        </w:rPr>
        <w:t xml:space="preserve">Ta člen opredeljuje cilje podnebne politike za obdobje do leta 2050, do katerega bo Republika Slovenije dosegla neto ničelne emisije toplogrednih plinov. Ostali cilji niso kvantificirani temveč opisni, gre pa za širok nabor, ki terja nadaljnjo </w:t>
      </w:r>
      <w:proofErr w:type="spellStart"/>
      <w:r w:rsidRPr="00AF6F8C">
        <w:rPr>
          <w:rFonts w:ascii="Times New Roman" w:eastAsiaTheme="minorHAnsi" w:hAnsi="Times New Roman"/>
          <w:color w:val="000000"/>
          <w:sz w:val="22"/>
          <w:szCs w:val="22"/>
        </w:rPr>
        <w:t>razd</w:t>
      </w:r>
      <w:bookmarkStart w:id="0" w:name="_GoBack"/>
      <w:bookmarkEnd w:id="0"/>
      <w:r w:rsidRPr="00AF6F8C">
        <w:rPr>
          <w:rFonts w:ascii="Times New Roman" w:eastAsiaTheme="minorHAnsi" w:hAnsi="Times New Roman"/>
          <w:color w:val="000000"/>
          <w:sz w:val="22"/>
          <w:szCs w:val="22"/>
        </w:rPr>
        <w:t>elavo</w:t>
      </w:r>
      <w:proofErr w:type="spellEnd"/>
      <w:r w:rsidRPr="00AF6F8C">
        <w:rPr>
          <w:rFonts w:ascii="Times New Roman" w:eastAsiaTheme="minorHAnsi" w:hAnsi="Times New Roman"/>
          <w:color w:val="000000"/>
          <w:sz w:val="22"/>
          <w:szCs w:val="22"/>
        </w:rPr>
        <w:t xml:space="preserve"> in operacionalizacijo skozi dolgoročno podnebno strategijo in nacionalni energetsko-podnebni načrt. Skladno z drugim odstavkom in izhajajoč iz okvirne narave zakona je zato določanje sektorskih ciljev prepuščeno dolgoročni podnebni strategiji.</w:t>
      </w:r>
    </w:p>
    <w:p w14:paraId="111F8C58" w14:textId="77777777" w:rsidR="00432A5D" w:rsidRPr="009E4432" w:rsidRDefault="00432A5D" w:rsidP="00432A5D">
      <w:pPr>
        <w:jc w:val="both"/>
        <w:rPr>
          <w:rFonts w:ascii="Times New Roman" w:hAnsi="Times New Roman"/>
          <w:b/>
          <w:snapToGrid w:val="0"/>
          <w:sz w:val="22"/>
          <w:szCs w:val="22"/>
        </w:rPr>
      </w:pPr>
    </w:p>
    <w:p w14:paraId="0257D2A1"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lastRenderedPageBreak/>
        <w:t>K 8. členu:</w:t>
      </w:r>
    </w:p>
    <w:p w14:paraId="7E3828FA"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podrobneje določa dolgoročno podnebno strategijo. Ta predstavlja temeljni dolgoročni razvojni dokument države za doseganje ciljev podnebne politike. Podnebna strategija se revidira vsaj vsakih deset let. Strategijo na predlog vlade sprejme državni zbor, kar velja tako za osnovni dokument kot tudi za njegove spremembe in dopolnitve, ki bodo posledica njenega revidiranja.</w:t>
      </w:r>
    </w:p>
    <w:p w14:paraId="4B88EB65" w14:textId="77777777" w:rsidR="00432A5D" w:rsidRPr="009E4432" w:rsidRDefault="00432A5D" w:rsidP="00432A5D">
      <w:pPr>
        <w:jc w:val="both"/>
        <w:rPr>
          <w:rFonts w:ascii="Times New Roman" w:hAnsi="Times New Roman"/>
          <w:snapToGrid w:val="0"/>
          <w:sz w:val="22"/>
          <w:szCs w:val="22"/>
        </w:rPr>
      </w:pPr>
    </w:p>
    <w:p w14:paraId="5EBB53BD"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lang w:bidi="sl-SI"/>
        </w:rPr>
        <w:t xml:space="preserve">V tretjem odstavku je opredeljena vsebina podnebne strategije, ki </w:t>
      </w:r>
      <w:r w:rsidRPr="009E4432">
        <w:rPr>
          <w:rFonts w:ascii="Times New Roman" w:hAnsi="Times New Roman"/>
          <w:snapToGrid w:val="0"/>
          <w:sz w:val="22"/>
          <w:szCs w:val="22"/>
        </w:rPr>
        <w:t xml:space="preserve">sledi določbam Uredbe EU 2018/1999 v delu, ki predpisuje vsebino dolgoročnih strategij za države članice EU, prilagojena in razširjena na slovenski pravni red, izzive in potrebe. Podnebna strategija opredeli vsebine za vse sodelujoče sektorje za dosego dolgoročnih podnebnih ciljev tega zakona </w:t>
      </w:r>
    </w:p>
    <w:p w14:paraId="53884F87" w14:textId="77777777" w:rsidR="00432A5D" w:rsidRPr="009E4432" w:rsidRDefault="00432A5D" w:rsidP="00432A5D">
      <w:pPr>
        <w:jc w:val="both"/>
        <w:rPr>
          <w:rFonts w:ascii="Times New Roman" w:hAnsi="Times New Roman"/>
          <w:snapToGrid w:val="0"/>
          <w:sz w:val="22"/>
          <w:szCs w:val="22"/>
        </w:rPr>
      </w:pPr>
    </w:p>
    <w:p w14:paraId="2F5FCE07"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9. členu:</w:t>
      </w:r>
    </w:p>
    <w:p w14:paraId="096FB02C"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 xml:space="preserve">Ta člen opredeljuje celoviti nacionalni energetsko-podnebni načrt (NEPN), ki je 10-letni razvojni dokument, ki določa letne vmesne cilje glede emisij toplogrednih plinov iz vseh sektorjev skupaj in ločeno za vsak sektor posebej, pri čemer to velja za ETS in ne-ETS sektorje. NEPN mora biti skladen s podnebno strategijo in z Uredbo EU 2018/1999, poleg tega pa vsebuje tudi analizo potencialov zmanjšanja emisij toplogrednih plinov za vse sektorje, načrt ukrepov, navedbo njihovih nosilcev, rokov za izvedbo in virov ter višine finančnih sredstev za doseganje drugih ciljev podnebne politike, ki jih določa ta zakon in podnebna strategija. </w:t>
      </w:r>
    </w:p>
    <w:p w14:paraId="1CC6425B"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NEPN sprejme vlada na predlog ministrstva, pristojnega za energetiko in ministrstva, pristojnega za podnebne spremembe. Gre za spremembo dosedanje ureditve iz 24. člena Energetskega zakona (Uradni list RS, št. 17/14, 81/15 in 43/19), ki kot pripravljavca NEPN določa samo ministrstvo, pristojno za energetiko. Glede na naravo podnebnih sprememb, ki ni samo energetska, temveč celovito okoljska tema (v najširšem smislu), je smiselno in pravilno, ter tudi skladno s pristojnostmi ministrstev, kot jih opredeljuje Zakon o državni upravi ter kot jih določa ta zakon, da ima pri nastajanju NEPN vlogo sopredlagatelja tudi ministrstvo, pristojno za podnebne spremembe</w:t>
      </w:r>
      <w:r w:rsidRPr="009E4432">
        <w:rPr>
          <w:rStyle w:val="Sprotnaopomba-sklic"/>
          <w:rFonts w:ascii="Times New Roman" w:hAnsi="Times New Roman"/>
          <w:snapToGrid w:val="0"/>
          <w:sz w:val="22"/>
          <w:szCs w:val="22"/>
        </w:rPr>
        <w:footnoteReference w:id="1"/>
      </w:r>
      <w:r w:rsidRPr="009E4432">
        <w:rPr>
          <w:rFonts w:ascii="Times New Roman" w:hAnsi="Times New Roman"/>
          <w:snapToGrid w:val="0"/>
          <w:sz w:val="22"/>
          <w:szCs w:val="22"/>
        </w:rPr>
        <w:t>.</w:t>
      </w:r>
    </w:p>
    <w:p w14:paraId="7CEC63A3"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Ministrstvo, pristojno za podnebne spremembe, lahko na podlagi rezultatov letnega poročila iz katerega je razvidno, da vmesni cilji ne bodo doseženi predlaga vladi sprejem nujnega programa ukrepov za odpravo negativnih posledic, ali pa sprejem sprememb in dopolnitev nacionalno energetsko-podnebnega načrta.</w:t>
      </w:r>
    </w:p>
    <w:p w14:paraId="13B76877" w14:textId="77777777" w:rsidR="00432A5D" w:rsidRPr="009E4432" w:rsidRDefault="00432A5D" w:rsidP="00432A5D">
      <w:pPr>
        <w:jc w:val="both"/>
        <w:rPr>
          <w:rFonts w:ascii="Times New Roman" w:hAnsi="Times New Roman"/>
          <w:snapToGrid w:val="0"/>
          <w:sz w:val="22"/>
          <w:szCs w:val="22"/>
        </w:rPr>
      </w:pPr>
    </w:p>
    <w:p w14:paraId="7E2F67A1"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10. členu:</w:t>
      </w:r>
    </w:p>
    <w:p w14:paraId="7BA799D9"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V 10. členu je opredeljen namen in postopek sprejema letnega poročila, ki ga letno pripravi vlada glede izvajanja ukrepov in rezultatov doseganja ciljev podnebne politike po posameznih sektorjih. Letno poročilo se pred sprejemom na vladi pošlje v obravnavo Podnebnemu svetu, ki poda svoje stališče in priporočila za izvajanju podnebne politike.</w:t>
      </w:r>
    </w:p>
    <w:p w14:paraId="67C61E87" w14:textId="77777777" w:rsidR="00432A5D" w:rsidRPr="009E4432" w:rsidRDefault="00432A5D" w:rsidP="00432A5D">
      <w:pPr>
        <w:jc w:val="both"/>
        <w:rPr>
          <w:rFonts w:ascii="Times New Roman" w:hAnsi="Times New Roman"/>
          <w:snapToGrid w:val="0"/>
          <w:sz w:val="22"/>
          <w:szCs w:val="22"/>
        </w:rPr>
      </w:pPr>
    </w:p>
    <w:p w14:paraId="368E1542"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11. členu:</w:t>
      </w:r>
    </w:p>
    <w:p w14:paraId="03D25441"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 xml:space="preserve">Trgovanje z emisijskimi kuponi je eden osnovnih mehanizmov podneben politike, ki pa je v slovenskem pravnem redu že urejen z Zakonom o varstvu okolja, zato podobno kot v 4. členu določba samo </w:t>
      </w:r>
      <w:proofErr w:type="spellStart"/>
      <w:r w:rsidRPr="009E4432">
        <w:rPr>
          <w:rFonts w:ascii="Times New Roman" w:hAnsi="Times New Roman"/>
          <w:snapToGrid w:val="0"/>
          <w:sz w:val="22"/>
          <w:szCs w:val="22"/>
        </w:rPr>
        <w:t>odkazuje</w:t>
      </w:r>
      <w:proofErr w:type="spellEnd"/>
      <w:r w:rsidRPr="009E4432">
        <w:rPr>
          <w:rFonts w:ascii="Times New Roman" w:hAnsi="Times New Roman"/>
          <w:snapToGrid w:val="0"/>
          <w:sz w:val="22"/>
          <w:szCs w:val="22"/>
        </w:rPr>
        <w:t xml:space="preserve"> na uporabo tistega zakona.</w:t>
      </w:r>
    </w:p>
    <w:p w14:paraId="36F6FBD5" w14:textId="77777777" w:rsidR="00432A5D" w:rsidRPr="009E4432" w:rsidRDefault="00432A5D" w:rsidP="00432A5D">
      <w:pPr>
        <w:jc w:val="both"/>
        <w:rPr>
          <w:rFonts w:ascii="Times New Roman" w:hAnsi="Times New Roman"/>
          <w:snapToGrid w:val="0"/>
          <w:sz w:val="22"/>
          <w:szCs w:val="22"/>
        </w:rPr>
      </w:pPr>
    </w:p>
    <w:p w14:paraId="3C27F963"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12. členu:</w:t>
      </w:r>
    </w:p>
    <w:p w14:paraId="64973117"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Ta člen določa ustanovitev neodvisnega posvetovalnega telesa vlade za področje podnebne politike. Podnebni svet je temeljni, neodvisni, strokovni steber za stabilno, učinkovito in proaktivno dolgoročno izvajanje podnebne politike, določene v tem zakonu in drugih ustreznih dokumentih Slovenije. Podnebni svet med ostalim poda stališče o predlogu podnebne strategije; stališče o predlogu vmesnih ciljev glede emisij toplogrednih plinov; stališče o letnem poročilu; na predlog ministrstva ali vlade pa obravnava tudi druga gradiva in podaja stališča o posamezni zadevi; aktivno podaja predloge za sprejem dokumentov ali nadaljnje ukrepanje vlade na področju podnebne politike.</w:t>
      </w:r>
    </w:p>
    <w:p w14:paraId="17432F4D" w14:textId="77777777" w:rsidR="00432A5D" w:rsidRPr="009E4432" w:rsidRDefault="00432A5D" w:rsidP="00432A5D">
      <w:pPr>
        <w:jc w:val="both"/>
        <w:rPr>
          <w:rFonts w:ascii="Times New Roman" w:hAnsi="Times New Roman"/>
          <w:b/>
          <w:snapToGrid w:val="0"/>
          <w:sz w:val="22"/>
          <w:szCs w:val="22"/>
        </w:rPr>
      </w:pPr>
    </w:p>
    <w:p w14:paraId="077A5EB0"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13. členu:</w:t>
      </w:r>
    </w:p>
    <w:p w14:paraId="7C8F44E0"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napToGrid w:val="0"/>
          <w:sz w:val="22"/>
          <w:szCs w:val="22"/>
        </w:rPr>
        <w:t xml:space="preserve">Člen opredeljuje vlogo pristojnega ministrstva za </w:t>
      </w:r>
      <w:r w:rsidRPr="009E4432">
        <w:rPr>
          <w:rFonts w:ascii="Times New Roman" w:hAnsi="Times New Roman"/>
          <w:sz w:val="22"/>
          <w:szCs w:val="22"/>
        </w:rPr>
        <w:t>podnebne spremembe, ki med drugim usmerja oblikovanje sektorskih politik; zbira in vrednoti analize in strokovne podatke; koordinira ozaveščanje, raziskave in izobraževanje ter sodeluje pri mednarodnem dialogu in izmenjavi dobrih praks. Glede na dejstvo, da je izvajanje podnebne politike horizontalna naloga večjega števila sektorjev, je treba zagotoviti ustrezno usmerjanje in koordinacijo, to pa je naloga resorja, pristojnega za podnebne spremembe.</w:t>
      </w:r>
    </w:p>
    <w:p w14:paraId="1F523565" w14:textId="77777777" w:rsidR="00432A5D" w:rsidRPr="009E4432" w:rsidRDefault="00432A5D" w:rsidP="00432A5D">
      <w:pPr>
        <w:jc w:val="both"/>
        <w:rPr>
          <w:rFonts w:ascii="Times New Roman" w:hAnsi="Times New Roman"/>
          <w:snapToGrid w:val="0"/>
          <w:sz w:val="22"/>
          <w:szCs w:val="22"/>
        </w:rPr>
      </w:pPr>
    </w:p>
    <w:p w14:paraId="2FD72C73"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14. členu:</w:t>
      </w:r>
    </w:p>
    <w:p w14:paraId="6CD0F990" w14:textId="77777777" w:rsidR="00432A5D" w:rsidRPr="009E4432" w:rsidRDefault="00432A5D" w:rsidP="00432A5D">
      <w:pPr>
        <w:jc w:val="both"/>
        <w:rPr>
          <w:rFonts w:ascii="Times New Roman" w:hAnsi="Times New Roman"/>
          <w:sz w:val="22"/>
          <w:szCs w:val="22"/>
        </w:rPr>
      </w:pPr>
      <w:r w:rsidRPr="009E4432">
        <w:rPr>
          <w:rFonts w:ascii="Times New Roman" w:hAnsi="Times New Roman"/>
          <w:sz w:val="22"/>
          <w:szCs w:val="22"/>
        </w:rPr>
        <w:t>Ta člen določa podnebni dan, in sicer vsak tretji četrtek v mesecu oktobru, ko Državni zbor Republike Slovenije obravnava letno poročilo, izvedejo pa se tudi izobraževalni ter promocijski dogodki o podnebnih spremembah.</w:t>
      </w:r>
    </w:p>
    <w:p w14:paraId="2802F596" w14:textId="77777777" w:rsidR="00432A5D" w:rsidRPr="009E4432" w:rsidRDefault="00432A5D" w:rsidP="00432A5D">
      <w:pPr>
        <w:jc w:val="both"/>
        <w:rPr>
          <w:rFonts w:ascii="Times New Roman" w:hAnsi="Times New Roman"/>
          <w:b/>
          <w:snapToGrid w:val="0"/>
          <w:sz w:val="22"/>
          <w:szCs w:val="22"/>
        </w:rPr>
      </w:pPr>
    </w:p>
    <w:p w14:paraId="1494411B" w14:textId="77777777" w:rsidR="00432A5D" w:rsidRPr="009E4432" w:rsidRDefault="00432A5D" w:rsidP="00432A5D">
      <w:pPr>
        <w:jc w:val="both"/>
        <w:rPr>
          <w:rFonts w:ascii="Times New Roman" w:hAnsi="Times New Roman"/>
          <w:b/>
          <w:snapToGrid w:val="0"/>
          <w:sz w:val="22"/>
          <w:szCs w:val="22"/>
        </w:rPr>
      </w:pPr>
      <w:r w:rsidRPr="009E4432">
        <w:rPr>
          <w:rFonts w:ascii="Times New Roman" w:hAnsi="Times New Roman"/>
          <w:b/>
          <w:snapToGrid w:val="0"/>
          <w:sz w:val="22"/>
          <w:szCs w:val="22"/>
        </w:rPr>
        <w:t>K 15. členu:</w:t>
      </w:r>
    </w:p>
    <w:p w14:paraId="16925279" w14:textId="77777777" w:rsidR="00432A5D" w:rsidRPr="009E4432" w:rsidRDefault="00432A5D" w:rsidP="00432A5D">
      <w:pPr>
        <w:jc w:val="both"/>
        <w:rPr>
          <w:rFonts w:ascii="Times New Roman" w:hAnsi="Times New Roman"/>
          <w:snapToGrid w:val="0"/>
          <w:sz w:val="22"/>
          <w:szCs w:val="22"/>
        </w:rPr>
      </w:pPr>
      <w:r w:rsidRPr="009E4432">
        <w:rPr>
          <w:rFonts w:ascii="Times New Roman" w:hAnsi="Times New Roman"/>
          <w:snapToGrid w:val="0"/>
          <w:sz w:val="22"/>
          <w:szCs w:val="22"/>
        </w:rPr>
        <w:t>Člen določa začetek veljavnosti zakona.</w:t>
      </w:r>
    </w:p>
    <w:p w14:paraId="125FC307" w14:textId="77777777" w:rsidR="009E4432" w:rsidRPr="009E4432" w:rsidRDefault="00720A6B" w:rsidP="00432A5D">
      <w:pPr>
        <w:pStyle w:val="Alineazaodstavkom"/>
        <w:numPr>
          <w:ilvl w:val="0"/>
          <w:numId w:val="0"/>
        </w:numPr>
        <w:jc w:val="left"/>
        <w:rPr>
          <w:rFonts w:ascii="Times New Roman" w:hAnsi="Times New Roman" w:cs="Times New Roman"/>
        </w:rPr>
      </w:pPr>
      <w:r w:rsidRPr="009E4432">
        <w:rPr>
          <w:rFonts w:ascii="Times New Roman" w:hAnsi="Times New Roman" w:cs="Times New Roman"/>
        </w:rPr>
        <w:br w:type="page"/>
      </w:r>
    </w:p>
    <w:p w14:paraId="18CCF44F" w14:textId="77777777" w:rsidR="009E4432" w:rsidRPr="009E4432" w:rsidRDefault="009E4432" w:rsidP="00432A5D">
      <w:pPr>
        <w:pStyle w:val="Alineazaodstavkom"/>
        <w:numPr>
          <w:ilvl w:val="0"/>
          <w:numId w:val="0"/>
        </w:numPr>
        <w:jc w:val="left"/>
        <w:rPr>
          <w:rFonts w:ascii="Times New Roman" w:hAnsi="Times New Roman" w:cs="Times New Roman"/>
        </w:rPr>
      </w:pPr>
    </w:p>
    <w:p w14:paraId="4ECC1472" w14:textId="191C8CCB" w:rsidR="00432A5D" w:rsidRPr="009E4432" w:rsidRDefault="009E4432" w:rsidP="00432A5D">
      <w:pPr>
        <w:pStyle w:val="Alineazaodstavkom"/>
        <w:numPr>
          <w:ilvl w:val="0"/>
          <w:numId w:val="0"/>
        </w:numPr>
        <w:jc w:val="left"/>
        <w:rPr>
          <w:rFonts w:ascii="Times New Roman" w:hAnsi="Times New Roman" w:cs="Times New Roman"/>
          <w:b/>
          <w:snapToGrid w:val="0"/>
          <w:lang w:eastAsia="en-US"/>
        </w:rPr>
      </w:pPr>
      <w:r>
        <w:rPr>
          <w:rStyle w:val="NaslovpredpisaZnakZnak"/>
          <w:rFonts w:cs="Times New Roman"/>
        </w:rPr>
        <w:t>B</w:t>
      </w:r>
      <w:r w:rsidRPr="009E4432">
        <w:rPr>
          <w:rStyle w:val="NaslovpredpisaZnakZnak"/>
          <w:rFonts w:cs="Times New Roman"/>
        </w:rPr>
        <w:t xml:space="preserve">esedilo </w:t>
      </w:r>
      <w:r>
        <w:rPr>
          <w:rStyle w:val="NaslovpredpisaZnakZnak"/>
          <w:rFonts w:cs="Times New Roman"/>
        </w:rPr>
        <w:t>č</w:t>
      </w:r>
      <w:r w:rsidRPr="009E4432">
        <w:rPr>
          <w:rStyle w:val="NaslovpredpisaZnakZnak"/>
          <w:rFonts w:cs="Times New Roman"/>
        </w:rPr>
        <w:t>lenov</w:t>
      </w:r>
    </w:p>
    <w:p w14:paraId="0639440A" w14:textId="77777777" w:rsidR="00432A5D" w:rsidRPr="009E4432" w:rsidRDefault="00432A5D" w:rsidP="00432A5D">
      <w:pPr>
        <w:rPr>
          <w:rFonts w:ascii="Times New Roman" w:hAnsi="Times New Roman"/>
          <w:b/>
          <w:snapToGrid w:val="0"/>
          <w:sz w:val="22"/>
          <w:szCs w:val="22"/>
        </w:rPr>
      </w:pPr>
    </w:p>
    <w:p w14:paraId="5DF3F951" w14:textId="77777777" w:rsidR="00432A5D" w:rsidRPr="009E4432" w:rsidRDefault="00432A5D" w:rsidP="00432A5D">
      <w:pPr>
        <w:pStyle w:val="Odsek"/>
        <w:numPr>
          <w:ilvl w:val="0"/>
          <w:numId w:val="0"/>
        </w:numPr>
        <w:rPr>
          <w:rFonts w:ascii="Times New Roman" w:hAnsi="Times New Roman" w:cs="Times New Roman"/>
        </w:rPr>
      </w:pPr>
      <w:r w:rsidRPr="009E4432">
        <w:rPr>
          <w:rFonts w:ascii="Times New Roman" w:hAnsi="Times New Roman" w:cs="Times New Roman"/>
        </w:rPr>
        <w:t>SPLOŠNE DOLOČBE</w:t>
      </w:r>
    </w:p>
    <w:p w14:paraId="73B06F6A" w14:textId="77777777" w:rsidR="00432A5D" w:rsidRPr="009E4432" w:rsidRDefault="00432A5D" w:rsidP="00432A5D">
      <w:pPr>
        <w:rPr>
          <w:rFonts w:ascii="Times New Roman" w:hAnsi="Times New Roman"/>
          <w:snapToGrid w:val="0"/>
          <w:sz w:val="22"/>
          <w:szCs w:val="22"/>
        </w:rPr>
      </w:pPr>
    </w:p>
    <w:p w14:paraId="52AF314A"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602C06C"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(predmet zakona)</w:t>
      </w:r>
    </w:p>
    <w:p w14:paraId="529CAF39" w14:textId="77777777" w:rsidR="00432A5D" w:rsidRPr="009E4432" w:rsidRDefault="00432A5D" w:rsidP="00432A5D">
      <w:pPr>
        <w:jc w:val="both"/>
        <w:rPr>
          <w:rFonts w:ascii="Times New Roman" w:hAnsi="Times New Roman"/>
          <w:sz w:val="22"/>
          <w:szCs w:val="22"/>
        </w:rPr>
      </w:pPr>
    </w:p>
    <w:p w14:paraId="5FFAFC31" w14:textId="77777777" w:rsidR="00432A5D" w:rsidRPr="009E4432" w:rsidRDefault="00432A5D" w:rsidP="00432A5D">
      <w:pPr>
        <w:pStyle w:val="Odstavekseznama"/>
        <w:spacing w:line="276" w:lineRule="auto"/>
        <w:ind w:left="0"/>
        <w:rPr>
          <w:szCs w:val="22"/>
        </w:rPr>
      </w:pPr>
      <w:r w:rsidRPr="009E4432">
        <w:rPr>
          <w:szCs w:val="22"/>
        </w:rPr>
        <w:t>Ta zakon določa cilje podnebne politike Republike Slovenije in mehanizme za njeno izvajanje.</w:t>
      </w:r>
    </w:p>
    <w:p w14:paraId="3AA9BF83" w14:textId="77777777" w:rsidR="00432A5D" w:rsidRPr="009E4432" w:rsidRDefault="00432A5D" w:rsidP="00432A5D">
      <w:pPr>
        <w:jc w:val="both"/>
        <w:rPr>
          <w:rFonts w:ascii="Times New Roman" w:hAnsi="Times New Roman"/>
          <w:sz w:val="22"/>
          <w:szCs w:val="22"/>
        </w:rPr>
      </w:pPr>
    </w:p>
    <w:p w14:paraId="1D24EB05"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C58DDE8"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(prenos in izvrševanje predpisov Evropske unije)</w:t>
      </w:r>
    </w:p>
    <w:p w14:paraId="6845E4DF" w14:textId="77777777" w:rsidR="00432A5D" w:rsidRPr="009E4432" w:rsidRDefault="00432A5D" w:rsidP="00432A5D">
      <w:pPr>
        <w:jc w:val="both"/>
        <w:rPr>
          <w:rFonts w:ascii="Times New Roman" w:hAnsi="Times New Roman"/>
          <w:sz w:val="22"/>
          <w:szCs w:val="22"/>
        </w:rPr>
      </w:pPr>
    </w:p>
    <w:p w14:paraId="5C6A25D0" w14:textId="77777777" w:rsidR="00432A5D" w:rsidRPr="009E4432" w:rsidRDefault="00432A5D" w:rsidP="00432A5D">
      <w:pPr>
        <w:pStyle w:val="Odstavekseznama"/>
        <w:spacing w:line="276" w:lineRule="auto"/>
        <w:ind w:left="0"/>
        <w:rPr>
          <w:szCs w:val="22"/>
        </w:rPr>
      </w:pPr>
      <w:r w:rsidRPr="009E4432">
        <w:rPr>
          <w:szCs w:val="22"/>
        </w:rPr>
        <w:t xml:space="preserve">Ta zakon določa pristojni organ za izvajanje </w:t>
      </w:r>
      <w:r w:rsidRPr="009E4432">
        <w:rPr>
          <w:i/>
          <w:szCs w:val="22"/>
        </w:rPr>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w:t>
      </w:r>
      <w:r w:rsidRPr="009E4432">
        <w:rPr>
          <w:szCs w:val="22"/>
        </w:rPr>
        <w:t xml:space="preserve"> (UL L št. 328 z dne 21. 12. 2018 str. 1; v nadaljnjem besedilu: Uredba), v delu, ki se nanaša na sprejem dolgoročne podnebne strategije ter celovitega nacionalnega energetsko-podnebnega načrta.</w:t>
      </w:r>
    </w:p>
    <w:p w14:paraId="6F397E7E" w14:textId="77777777" w:rsidR="00432A5D" w:rsidRPr="009E4432" w:rsidRDefault="00432A5D" w:rsidP="00432A5D">
      <w:pPr>
        <w:jc w:val="both"/>
        <w:rPr>
          <w:rFonts w:ascii="Times New Roman" w:hAnsi="Times New Roman"/>
          <w:sz w:val="22"/>
          <w:szCs w:val="22"/>
        </w:rPr>
      </w:pPr>
    </w:p>
    <w:p w14:paraId="0BB69120"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75EA3B15"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(namen)</w:t>
      </w:r>
    </w:p>
    <w:p w14:paraId="35E99941" w14:textId="77777777" w:rsidR="00432A5D" w:rsidRPr="009E4432" w:rsidRDefault="00432A5D" w:rsidP="00432A5D">
      <w:pPr>
        <w:jc w:val="both"/>
        <w:rPr>
          <w:rFonts w:ascii="Times New Roman" w:hAnsi="Times New Roman"/>
          <w:sz w:val="22"/>
          <w:szCs w:val="22"/>
        </w:rPr>
      </w:pPr>
    </w:p>
    <w:p w14:paraId="5DA91992"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Namen zakona je vzpostaviti okvir za uresničevanje podnebne politike Republike Slovenije, ki bo v skladu s cilji trajnostnega razvoja, varstva okolja in varstva človekovih pravic ter v skladu z mednarodnimi zavezami učinkovito omejila in zmanjšala podnebne spremembe ter omogočila prilagajanje družbe nanje.</w:t>
      </w:r>
    </w:p>
    <w:p w14:paraId="3B46D067" w14:textId="77777777" w:rsidR="00432A5D" w:rsidRPr="009E4432" w:rsidRDefault="00432A5D" w:rsidP="00432A5D">
      <w:pPr>
        <w:jc w:val="both"/>
        <w:rPr>
          <w:rFonts w:ascii="Times New Roman" w:hAnsi="Times New Roman"/>
          <w:sz w:val="22"/>
          <w:szCs w:val="22"/>
        </w:rPr>
      </w:pPr>
    </w:p>
    <w:p w14:paraId="26B5DB82"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9B2C6C5"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(načela)</w:t>
      </w:r>
    </w:p>
    <w:p w14:paraId="4A80446A" w14:textId="77777777" w:rsidR="00432A5D" w:rsidRPr="009E4432" w:rsidRDefault="00432A5D" w:rsidP="00432A5D">
      <w:pPr>
        <w:pStyle w:val="Odstavek"/>
        <w:rPr>
          <w:rFonts w:ascii="Times New Roman" w:hAnsi="Times New Roman"/>
          <w:sz w:val="22"/>
        </w:rPr>
      </w:pPr>
    </w:p>
    <w:p w14:paraId="35CD6FF9"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Podnebna politika temelji na načelih, kot so določena v zakonu, ki ureja varstvo okolja.</w:t>
      </w:r>
    </w:p>
    <w:p w14:paraId="254D78A7" w14:textId="77777777" w:rsidR="00432A5D" w:rsidRPr="009E4432" w:rsidRDefault="00432A5D" w:rsidP="00432A5D">
      <w:pPr>
        <w:pStyle w:val="Odstavek"/>
        <w:rPr>
          <w:rFonts w:ascii="Times New Roman" w:hAnsi="Times New Roman"/>
          <w:b/>
          <w:sz w:val="22"/>
        </w:rPr>
      </w:pPr>
    </w:p>
    <w:p w14:paraId="281A664D"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17D36454"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(izrazi)</w:t>
      </w:r>
    </w:p>
    <w:p w14:paraId="23BCA184" w14:textId="77777777" w:rsidR="00432A5D" w:rsidRPr="009E4432" w:rsidRDefault="00432A5D" w:rsidP="00432A5D">
      <w:pPr>
        <w:pStyle w:val="Odstavek"/>
        <w:rPr>
          <w:rFonts w:ascii="Times New Roman" w:hAnsi="Times New Roman"/>
          <w:sz w:val="22"/>
        </w:rPr>
      </w:pPr>
    </w:p>
    <w:p w14:paraId="168D04DF"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V tem zakonu uporabljeni izrazi imajo naslednji pomen:</w:t>
      </w:r>
    </w:p>
    <w:p w14:paraId="3B00902A"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emisija toplogrednih plinov</w:t>
      </w:r>
      <w:r w:rsidRPr="009E4432">
        <w:rPr>
          <w:rFonts w:ascii="Times New Roman" w:hAnsi="Times New Roman"/>
          <w:color w:val="000000"/>
          <w:sz w:val="22"/>
          <w:szCs w:val="22"/>
          <w:lang w:val="sl-SI"/>
        </w:rPr>
        <w:t xml:space="preserve">: je neposredno ali posredno izpuščanje ali oddajanje toplogrednih plinov iz posameznega vira v okolje; </w:t>
      </w:r>
    </w:p>
    <w:p w14:paraId="1FA77B18"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ETS sektor</w:t>
      </w:r>
      <w:r w:rsidRPr="009E4432">
        <w:rPr>
          <w:rFonts w:ascii="Times New Roman" w:hAnsi="Times New Roman"/>
          <w:color w:val="000000"/>
          <w:sz w:val="22"/>
          <w:szCs w:val="22"/>
          <w:lang w:val="sl-SI"/>
        </w:rPr>
        <w:t>: je sektor dejavnosti, ki so v skladu z zakonom, ki ureja varstvo okolja, vključene v sistem trgovanja s pravicami do emisije toplogrednih plinov;</w:t>
      </w:r>
    </w:p>
    <w:p w14:paraId="772A0768"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proofErr w:type="spellStart"/>
      <w:r w:rsidRPr="009E4432">
        <w:rPr>
          <w:rFonts w:ascii="Times New Roman" w:hAnsi="Times New Roman"/>
          <w:b/>
          <w:color w:val="000000"/>
          <w:sz w:val="22"/>
          <w:szCs w:val="22"/>
          <w:lang w:val="sl-SI"/>
        </w:rPr>
        <w:t>ogljična</w:t>
      </w:r>
      <w:proofErr w:type="spellEnd"/>
      <w:r w:rsidRPr="009E4432">
        <w:rPr>
          <w:rFonts w:ascii="Times New Roman" w:hAnsi="Times New Roman"/>
          <w:b/>
          <w:color w:val="000000"/>
          <w:sz w:val="22"/>
          <w:szCs w:val="22"/>
          <w:lang w:val="sl-SI"/>
        </w:rPr>
        <w:t xml:space="preserve"> nevtralnost</w:t>
      </w:r>
      <w:r w:rsidRPr="009E4432">
        <w:rPr>
          <w:rFonts w:ascii="Times New Roman" w:hAnsi="Times New Roman"/>
          <w:color w:val="000000"/>
          <w:sz w:val="22"/>
          <w:szCs w:val="22"/>
          <w:lang w:val="sl-SI"/>
        </w:rPr>
        <w:t>: je ničelno stanje neto emisij toplogrednih plinov izraženo v enoti ekvivalenta ogljikovega dioksida;</w:t>
      </w:r>
    </w:p>
    <w:p w14:paraId="226B09C2"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ne-ETS sektor</w:t>
      </w:r>
      <w:r w:rsidRPr="009E4432">
        <w:rPr>
          <w:rFonts w:ascii="Times New Roman" w:hAnsi="Times New Roman"/>
          <w:color w:val="000000"/>
          <w:sz w:val="22"/>
          <w:szCs w:val="22"/>
          <w:lang w:val="sl-SI"/>
        </w:rPr>
        <w:t xml:space="preserve">: je sektor dejavnosti prometa, industrijskih procesov in uporabe proizvodov, kmetijstva in odpadkov; </w:t>
      </w:r>
    </w:p>
    <w:p w14:paraId="7F621D62"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podnebne spremembe</w:t>
      </w:r>
      <w:r w:rsidRPr="009E4432">
        <w:rPr>
          <w:rFonts w:ascii="Times New Roman" w:hAnsi="Times New Roman"/>
          <w:color w:val="000000"/>
          <w:sz w:val="22"/>
          <w:szCs w:val="22"/>
          <w:lang w:val="sl-SI"/>
        </w:rPr>
        <w:t xml:space="preserve">: pomenijo spremembe dolgoročno značilnega vremena na posameznih območjih, ki se izražajo predvsem s segrevanjem temperature zraka, spremembami </w:t>
      </w:r>
      <w:r w:rsidRPr="009E4432">
        <w:rPr>
          <w:rFonts w:ascii="Times New Roman" w:hAnsi="Times New Roman"/>
          <w:color w:val="000000"/>
          <w:sz w:val="22"/>
          <w:szCs w:val="22"/>
          <w:lang w:val="sl-SI"/>
        </w:rPr>
        <w:lastRenderedPageBreak/>
        <w:t>razporeditve in količine padavin, trajanja in pogostosti ekstremnih vremenskih pojavov, itd. in jih je povzročil pretežno človek s svojim delovanjem;</w:t>
      </w:r>
    </w:p>
    <w:p w14:paraId="720E247F"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podnebna varnost prebivalcev</w:t>
      </w:r>
      <w:r w:rsidRPr="009E4432">
        <w:rPr>
          <w:rFonts w:ascii="Times New Roman" w:hAnsi="Times New Roman"/>
          <w:color w:val="000000"/>
          <w:sz w:val="22"/>
          <w:szCs w:val="22"/>
          <w:lang w:val="sl-SI"/>
        </w:rPr>
        <w:t>: pomeni stanje v katerem je prebivalstvu zagotovljeno zdravo življenjsko okolje in varnost pred škodljivimi učinki podnebnih sprememb;</w:t>
      </w:r>
    </w:p>
    <w:p w14:paraId="239B0B8F"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ponor</w:t>
      </w:r>
      <w:r w:rsidRPr="009E4432">
        <w:rPr>
          <w:rFonts w:ascii="Times New Roman" w:hAnsi="Times New Roman"/>
          <w:color w:val="000000"/>
          <w:sz w:val="22"/>
          <w:szCs w:val="22"/>
          <w:lang w:val="sl-SI"/>
        </w:rPr>
        <w:t>: je katerikoli proces, dejavnost ali mehanizem, ki odstranjuje toplogredne pline iz ozračja;</w:t>
      </w:r>
    </w:p>
    <w:p w14:paraId="0E172453" w14:textId="77777777" w:rsidR="00432A5D" w:rsidRPr="009E4432" w:rsidRDefault="00432A5D" w:rsidP="00432A5D">
      <w:pPr>
        <w:pStyle w:val="ALINEJELUKA"/>
        <w:numPr>
          <w:ilvl w:val="0"/>
          <w:numId w:val="15"/>
        </w:numPr>
        <w:ind w:left="697" w:hanging="357"/>
        <w:rPr>
          <w:rFonts w:ascii="Times New Roman" w:hAnsi="Times New Roman"/>
          <w:color w:val="000000"/>
          <w:sz w:val="22"/>
          <w:szCs w:val="22"/>
          <w:lang w:val="sl-SI"/>
        </w:rPr>
      </w:pPr>
      <w:r w:rsidRPr="009E4432">
        <w:rPr>
          <w:rFonts w:ascii="Times New Roman" w:hAnsi="Times New Roman"/>
          <w:b/>
          <w:color w:val="000000"/>
          <w:sz w:val="22"/>
          <w:szCs w:val="22"/>
          <w:lang w:val="sl-SI"/>
        </w:rPr>
        <w:t>toplogredni plini</w:t>
      </w:r>
      <w:r w:rsidRPr="009E4432">
        <w:rPr>
          <w:rFonts w:ascii="Times New Roman" w:hAnsi="Times New Roman"/>
          <w:color w:val="000000"/>
          <w:sz w:val="22"/>
          <w:szCs w:val="22"/>
          <w:lang w:val="sl-SI"/>
        </w:rPr>
        <w:t>: so plini v ozračju, ki absorbirajo in ponovno oddajajo toplotno sevanje, ki se zadržuje v spodnjih plasteh ozračja in povzroča učinek tople grede toplogredni plini so: ogljikov dioksid (CO</w:t>
      </w:r>
      <w:r w:rsidRPr="009E4432">
        <w:rPr>
          <w:rFonts w:ascii="Times New Roman" w:hAnsi="Times New Roman"/>
          <w:color w:val="000000"/>
          <w:sz w:val="22"/>
          <w:szCs w:val="22"/>
          <w:vertAlign w:val="subscript"/>
          <w:lang w:val="sl-SI"/>
        </w:rPr>
        <w:t>2</w:t>
      </w:r>
      <w:r w:rsidRPr="009E4432">
        <w:rPr>
          <w:rFonts w:ascii="Times New Roman" w:hAnsi="Times New Roman"/>
          <w:color w:val="000000"/>
          <w:sz w:val="22"/>
          <w:szCs w:val="22"/>
          <w:lang w:val="sl-SI"/>
        </w:rPr>
        <w:t>), metan (CH</w:t>
      </w:r>
      <w:r w:rsidRPr="009E4432">
        <w:rPr>
          <w:rFonts w:ascii="Times New Roman" w:hAnsi="Times New Roman"/>
          <w:color w:val="000000"/>
          <w:sz w:val="22"/>
          <w:szCs w:val="22"/>
          <w:vertAlign w:val="subscript"/>
          <w:lang w:val="sl-SI"/>
        </w:rPr>
        <w:t>4</w:t>
      </w:r>
      <w:r w:rsidRPr="009E4432">
        <w:rPr>
          <w:rFonts w:ascii="Times New Roman" w:hAnsi="Times New Roman"/>
          <w:color w:val="000000"/>
          <w:sz w:val="22"/>
          <w:szCs w:val="22"/>
          <w:lang w:val="sl-SI"/>
        </w:rPr>
        <w:t xml:space="preserve">), </w:t>
      </w:r>
      <w:proofErr w:type="spellStart"/>
      <w:r w:rsidRPr="009E4432">
        <w:rPr>
          <w:rFonts w:ascii="Times New Roman" w:hAnsi="Times New Roman"/>
          <w:color w:val="000000"/>
          <w:sz w:val="22"/>
          <w:szCs w:val="22"/>
          <w:lang w:val="sl-SI"/>
        </w:rPr>
        <w:t>didušikov</w:t>
      </w:r>
      <w:proofErr w:type="spellEnd"/>
      <w:r w:rsidRPr="009E4432">
        <w:rPr>
          <w:rFonts w:ascii="Times New Roman" w:hAnsi="Times New Roman"/>
          <w:color w:val="000000"/>
          <w:sz w:val="22"/>
          <w:szCs w:val="22"/>
          <w:lang w:val="sl-SI"/>
        </w:rPr>
        <w:t xml:space="preserve"> oksid (N</w:t>
      </w:r>
      <w:r w:rsidRPr="009E4432">
        <w:rPr>
          <w:rFonts w:ascii="Times New Roman" w:hAnsi="Times New Roman"/>
          <w:color w:val="000000"/>
          <w:sz w:val="22"/>
          <w:szCs w:val="22"/>
          <w:vertAlign w:val="subscript"/>
          <w:lang w:val="sl-SI"/>
        </w:rPr>
        <w:t>2</w:t>
      </w:r>
      <w:r w:rsidRPr="009E4432">
        <w:rPr>
          <w:rFonts w:ascii="Times New Roman" w:hAnsi="Times New Roman"/>
          <w:color w:val="000000"/>
          <w:sz w:val="22"/>
          <w:szCs w:val="22"/>
          <w:lang w:val="sl-SI"/>
        </w:rPr>
        <w:t xml:space="preserve">O) ter F-plini: </w:t>
      </w:r>
      <w:proofErr w:type="spellStart"/>
      <w:r w:rsidRPr="009E4432">
        <w:rPr>
          <w:rFonts w:ascii="Times New Roman" w:hAnsi="Times New Roman"/>
          <w:color w:val="000000"/>
          <w:sz w:val="22"/>
          <w:szCs w:val="22"/>
          <w:lang w:val="sl-SI"/>
        </w:rPr>
        <w:t>fluorirani</w:t>
      </w:r>
      <w:proofErr w:type="spellEnd"/>
      <w:r w:rsidRPr="009E4432">
        <w:rPr>
          <w:rFonts w:ascii="Times New Roman" w:hAnsi="Times New Roman"/>
          <w:color w:val="000000"/>
          <w:sz w:val="22"/>
          <w:szCs w:val="22"/>
          <w:lang w:val="sl-SI"/>
        </w:rPr>
        <w:t xml:space="preserve"> ogljikovodiki – HFC-ji, </w:t>
      </w:r>
      <w:proofErr w:type="spellStart"/>
      <w:r w:rsidRPr="009E4432">
        <w:rPr>
          <w:rFonts w:ascii="Times New Roman" w:hAnsi="Times New Roman"/>
          <w:color w:val="000000"/>
          <w:sz w:val="22"/>
          <w:szCs w:val="22"/>
          <w:lang w:val="sl-SI"/>
        </w:rPr>
        <w:t>perfluorirani</w:t>
      </w:r>
      <w:proofErr w:type="spellEnd"/>
      <w:r w:rsidRPr="009E4432">
        <w:rPr>
          <w:rFonts w:ascii="Times New Roman" w:hAnsi="Times New Roman"/>
          <w:color w:val="000000"/>
          <w:sz w:val="22"/>
          <w:szCs w:val="22"/>
          <w:lang w:val="sl-SI"/>
        </w:rPr>
        <w:t xml:space="preserve"> ogljikovodiki – PFC-ji in žveplov </w:t>
      </w:r>
      <w:proofErr w:type="spellStart"/>
      <w:r w:rsidRPr="009E4432">
        <w:rPr>
          <w:rFonts w:ascii="Times New Roman" w:hAnsi="Times New Roman"/>
          <w:color w:val="000000"/>
          <w:sz w:val="22"/>
          <w:szCs w:val="22"/>
          <w:lang w:val="sl-SI"/>
        </w:rPr>
        <w:t>heksafluorid</w:t>
      </w:r>
      <w:proofErr w:type="spellEnd"/>
      <w:r w:rsidRPr="009E4432">
        <w:rPr>
          <w:rFonts w:ascii="Times New Roman" w:hAnsi="Times New Roman"/>
          <w:color w:val="000000"/>
          <w:sz w:val="22"/>
          <w:szCs w:val="22"/>
          <w:lang w:val="sl-SI"/>
        </w:rPr>
        <w:t xml:space="preserve"> – SF</w:t>
      </w:r>
      <w:r w:rsidRPr="009E4432">
        <w:rPr>
          <w:rFonts w:ascii="Times New Roman" w:hAnsi="Times New Roman"/>
          <w:color w:val="000000"/>
          <w:sz w:val="22"/>
          <w:szCs w:val="22"/>
          <w:vertAlign w:val="subscript"/>
          <w:lang w:val="sl-SI"/>
        </w:rPr>
        <w:t>6</w:t>
      </w:r>
      <w:r w:rsidRPr="009E4432">
        <w:rPr>
          <w:rFonts w:ascii="Times New Roman" w:hAnsi="Times New Roman"/>
          <w:color w:val="000000"/>
          <w:sz w:val="22"/>
          <w:szCs w:val="22"/>
          <w:lang w:val="sl-SI"/>
        </w:rPr>
        <w:t>.</w:t>
      </w:r>
    </w:p>
    <w:p w14:paraId="28D9408C" w14:textId="77777777" w:rsidR="00432A5D" w:rsidRPr="009E4432" w:rsidRDefault="00432A5D" w:rsidP="00432A5D">
      <w:pPr>
        <w:rPr>
          <w:rFonts w:ascii="Times New Roman" w:hAnsi="Times New Roman"/>
          <w:snapToGrid w:val="0"/>
          <w:sz w:val="22"/>
          <w:szCs w:val="22"/>
        </w:rPr>
      </w:pPr>
    </w:p>
    <w:p w14:paraId="318DFDC6" w14:textId="77777777" w:rsidR="00432A5D" w:rsidRPr="009E4432" w:rsidRDefault="00432A5D" w:rsidP="00432A5D">
      <w:pPr>
        <w:pStyle w:val="Odsek"/>
        <w:numPr>
          <w:ilvl w:val="0"/>
          <w:numId w:val="0"/>
        </w:numPr>
        <w:rPr>
          <w:rFonts w:ascii="Times New Roman" w:hAnsi="Times New Roman" w:cs="Times New Roman"/>
        </w:rPr>
      </w:pPr>
      <w:r w:rsidRPr="009E4432">
        <w:rPr>
          <w:rFonts w:ascii="Times New Roman" w:hAnsi="Times New Roman" w:cs="Times New Roman"/>
        </w:rPr>
        <w:t>CILJI PODNEBNE POLITIKE</w:t>
      </w:r>
    </w:p>
    <w:p w14:paraId="2F4D5046" w14:textId="77777777" w:rsidR="00432A5D" w:rsidRPr="009E4432" w:rsidRDefault="00432A5D" w:rsidP="00432A5D">
      <w:pPr>
        <w:rPr>
          <w:rFonts w:ascii="Times New Roman" w:hAnsi="Times New Roman"/>
          <w:snapToGrid w:val="0"/>
          <w:sz w:val="22"/>
          <w:szCs w:val="22"/>
        </w:rPr>
      </w:pPr>
    </w:p>
    <w:p w14:paraId="440D61E0"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50709D0D"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(izvajanje podnebne politike)</w:t>
      </w:r>
    </w:p>
    <w:p w14:paraId="0B45CAED" w14:textId="77777777" w:rsidR="00432A5D" w:rsidRPr="009E4432" w:rsidRDefault="00432A5D" w:rsidP="00432A5D">
      <w:pPr>
        <w:pStyle w:val="len"/>
        <w:spacing w:before="0"/>
        <w:jc w:val="left"/>
        <w:rPr>
          <w:rFonts w:ascii="Times New Roman" w:hAnsi="Times New Roman"/>
          <w:b w:val="0"/>
          <w:color w:val="000000"/>
          <w:sz w:val="22"/>
          <w:szCs w:val="22"/>
          <w:lang w:val="sl-SI"/>
        </w:rPr>
      </w:pPr>
    </w:p>
    <w:p w14:paraId="0F86995A"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Podnebna politika se izvaja na mednarodni in nacionalni ravni ter zadeva vse ravni odločanja in vse sektorje, predvsem pa gospodarstvo, industrijo, promet, energetiko, kmetijstvo, gozdarstvo, ravnanje z odpadki, urejanje prostora in graditev, vzgoja in izobraževanje ter raziskave, razvoj in inovacije.</w:t>
      </w:r>
    </w:p>
    <w:p w14:paraId="39B5CE76" w14:textId="77777777" w:rsidR="00432A5D" w:rsidRPr="009E4432" w:rsidRDefault="00432A5D" w:rsidP="00432A5D">
      <w:pPr>
        <w:pStyle w:val="len"/>
        <w:spacing w:before="0"/>
        <w:jc w:val="both"/>
        <w:rPr>
          <w:rFonts w:ascii="Times New Roman" w:hAnsi="Times New Roman"/>
          <w:color w:val="000000"/>
          <w:sz w:val="22"/>
          <w:szCs w:val="22"/>
          <w:lang w:val="sl-SI"/>
        </w:rPr>
      </w:pPr>
    </w:p>
    <w:p w14:paraId="0EBE6AA0"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3A0D22DD"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(cilji)</w:t>
      </w:r>
    </w:p>
    <w:p w14:paraId="24FF4E9B" w14:textId="77777777" w:rsidR="00432A5D" w:rsidRPr="009E4432" w:rsidRDefault="00432A5D" w:rsidP="00432A5D">
      <w:pPr>
        <w:pStyle w:val="len"/>
        <w:spacing w:before="0"/>
        <w:jc w:val="left"/>
        <w:rPr>
          <w:rFonts w:ascii="Times New Roman" w:hAnsi="Times New Roman"/>
          <w:b w:val="0"/>
          <w:color w:val="000000"/>
          <w:sz w:val="22"/>
          <w:szCs w:val="22"/>
          <w:lang w:val="sl-SI"/>
        </w:rPr>
      </w:pPr>
    </w:p>
    <w:p w14:paraId="71774D5F" w14:textId="77777777" w:rsidR="00432A5D" w:rsidRPr="009E4432" w:rsidRDefault="00432A5D" w:rsidP="00432A5D">
      <w:pPr>
        <w:pStyle w:val="Odstavekseznama"/>
        <w:numPr>
          <w:ilvl w:val="0"/>
          <w:numId w:val="16"/>
        </w:numPr>
        <w:spacing w:line="276" w:lineRule="auto"/>
        <w:rPr>
          <w:szCs w:val="22"/>
        </w:rPr>
      </w:pPr>
      <w:r w:rsidRPr="009E4432">
        <w:rPr>
          <w:szCs w:val="22"/>
        </w:rPr>
        <w:t>Cilji podnebne politike so:</w:t>
      </w:r>
    </w:p>
    <w:p w14:paraId="08E0372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 xml:space="preserve">doseči </w:t>
      </w:r>
      <w:proofErr w:type="spellStart"/>
      <w:r w:rsidRPr="009E4432">
        <w:rPr>
          <w:szCs w:val="22"/>
          <w:lang w:eastAsia="en-US"/>
        </w:rPr>
        <w:t>ogljično</w:t>
      </w:r>
      <w:proofErr w:type="spellEnd"/>
      <w:r w:rsidRPr="009E4432">
        <w:rPr>
          <w:szCs w:val="22"/>
          <w:lang w:eastAsia="en-US"/>
        </w:rPr>
        <w:t xml:space="preserve"> nevtralnost do leta 2050; </w:t>
      </w:r>
    </w:p>
    <w:p w14:paraId="1CB01CD9"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okrepiti zavedanje, da se podnebne spremembe že dogajajo;</w:t>
      </w:r>
    </w:p>
    <w:p w14:paraId="2B4F7039"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takojšnji pristop vseh sektorjev k sprejemu ukrepov za omejevanje, zmanjšanje ter prilagajanje na podnebne spremembe;</w:t>
      </w:r>
    </w:p>
    <w:p w14:paraId="219107CF"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doseči podnebno varnost prebivalcev;</w:t>
      </w:r>
    </w:p>
    <w:p w14:paraId="53E5668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povečati prilagoditvene sposobnosti družbe na podnebne spremembe;</w:t>
      </w:r>
    </w:p>
    <w:p w14:paraId="229AB963"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povečati odvzem toplogrednih plinov po ponorih;</w:t>
      </w:r>
    </w:p>
    <w:p w14:paraId="24C6BFDE"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spodbuditi raziskovalne in druge dejavnosti, s katerimi se lahko odvzame toplogredne pline iz ozračja ali omeji njihove emisije.</w:t>
      </w:r>
    </w:p>
    <w:p w14:paraId="77BB6443" w14:textId="77777777" w:rsidR="00432A5D" w:rsidRPr="009E4432" w:rsidRDefault="00432A5D" w:rsidP="00432A5D">
      <w:pPr>
        <w:pStyle w:val="Odstavekseznama"/>
        <w:ind w:left="697"/>
        <w:rPr>
          <w:szCs w:val="22"/>
          <w:lang w:eastAsia="en-US"/>
        </w:rPr>
      </w:pPr>
    </w:p>
    <w:p w14:paraId="6B025C84" w14:textId="77777777" w:rsidR="00432A5D" w:rsidRPr="009E4432" w:rsidRDefault="00432A5D" w:rsidP="00432A5D">
      <w:pPr>
        <w:pStyle w:val="Odstavekseznama"/>
        <w:numPr>
          <w:ilvl w:val="0"/>
          <w:numId w:val="16"/>
        </w:numPr>
        <w:spacing w:line="276" w:lineRule="auto"/>
        <w:rPr>
          <w:szCs w:val="22"/>
        </w:rPr>
      </w:pPr>
      <w:r w:rsidRPr="009E4432">
        <w:rPr>
          <w:szCs w:val="22"/>
        </w:rPr>
        <w:t>Cilji podnebne politike za posamezne sektorje so opredeljeni v Dolgoročni podnebni strategiji.</w:t>
      </w:r>
    </w:p>
    <w:p w14:paraId="54A42FA9" w14:textId="77777777" w:rsidR="00432A5D" w:rsidRPr="009E4432" w:rsidRDefault="00432A5D" w:rsidP="00432A5D">
      <w:pPr>
        <w:spacing w:after="200" w:line="276" w:lineRule="auto"/>
        <w:rPr>
          <w:rFonts w:ascii="Times New Roman" w:hAnsi="Times New Roman"/>
          <w:snapToGrid w:val="0"/>
          <w:sz w:val="22"/>
          <w:szCs w:val="22"/>
          <w:lang w:eastAsia="sl-SI"/>
        </w:rPr>
      </w:pPr>
    </w:p>
    <w:p w14:paraId="39C53C0A" w14:textId="77777777" w:rsidR="00432A5D" w:rsidRPr="009E4432" w:rsidRDefault="00432A5D" w:rsidP="00432A5D">
      <w:pPr>
        <w:pStyle w:val="Odsek"/>
        <w:numPr>
          <w:ilvl w:val="0"/>
          <w:numId w:val="0"/>
        </w:numPr>
        <w:rPr>
          <w:rFonts w:ascii="Times New Roman" w:hAnsi="Times New Roman" w:cs="Times New Roman"/>
        </w:rPr>
      </w:pPr>
      <w:r w:rsidRPr="009E4432">
        <w:rPr>
          <w:rFonts w:ascii="Times New Roman" w:hAnsi="Times New Roman" w:cs="Times New Roman"/>
          <w:snapToGrid w:val="0"/>
        </w:rPr>
        <w:t>MEHANIZMI PODNEBNE POLITIKE</w:t>
      </w:r>
    </w:p>
    <w:p w14:paraId="5E9D16B6" w14:textId="77777777" w:rsidR="00432A5D" w:rsidRPr="009E4432" w:rsidRDefault="00432A5D" w:rsidP="00432A5D">
      <w:pPr>
        <w:spacing w:line="276" w:lineRule="auto"/>
        <w:jc w:val="both"/>
        <w:rPr>
          <w:rFonts w:ascii="Times New Roman" w:hAnsi="Times New Roman"/>
          <w:sz w:val="22"/>
          <w:szCs w:val="22"/>
        </w:rPr>
      </w:pPr>
    </w:p>
    <w:p w14:paraId="4B7D1E1B"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19F8D16B"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(dolgoročna podnebna strategija)</w:t>
      </w:r>
    </w:p>
    <w:p w14:paraId="7986C704" w14:textId="77777777" w:rsidR="00432A5D" w:rsidRPr="009E4432" w:rsidRDefault="00432A5D" w:rsidP="00432A5D">
      <w:pPr>
        <w:pStyle w:val="Odstavek"/>
        <w:rPr>
          <w:rFonts w:ascii="Times New Roman" w:hAnsi="Times New Roman"/>
          <w:sz w:val="22"/>
        </w:rPr>
      </w:pPr>
    </w:p>
    <w:p w14:paraId="428DD9CA" w14:textId="77777777" w:rsidR="00432A5D" w:rsidRPr="009E4432" w:rsidRDefault="00432A5D" w:rsidP="00432A5D">
      <w:pPr>
        <w:pStyle w:val="Odstavekseznama"/>
        <w:numPr>
          <w:ilvl w:val="0"/>
          <w:numId w:val="11"/>
        </w:numPr>
        <w:rPr>
          <w:szCs w:val="22"/>
        </w:rPr>
      </w:pPr>
      <w:r w:rsidRPr="009E4432">
        <w:rPr>
          <w:szCs w:val="22"/>
        </w:rPr>
        <w:t>Dolgoročna podnebna strategija (v nadaljnjem besedilu: Strategija) predstavlja osnovni dolgoročni razvojni dokument za doseganje ciljev podnebne politike, ki so določeni s tem zakonom.</w:t>
      </w:r>
    </w:p>
    <w:p w14:paraId="56E9059B" w14:textId="77777777" w:rsidR="00432A5D" w:rsidRPr="009E4432" w:rsidRDefault="00432A5D" w:rsidP="00432A5D">
      <w:pPr>
        <w:pStyle w:val="Odstavekseznama"/>
        <w:numPr>
          <w:ilvl w:val="0"/>
          <w:numId w:val="11"/>
        </w:numPr>
        <w:rPr>
          <w:szCs w:val="22"/>
        </w:rPr>
      </w:pPr>
      <w:r w:rsidRPr="009E4432">
        <w:rPr>
          <w:szCs w:val="22"/>
        </w:rPr>
        <w:t>Strategijo na predlog Vlade Republike Slovenije (v nadaljnjem besedilu: vlada) sprejme Državni zbor Republike Slovenije (v nadaljnjem besedilu: državni zbor) in se  revidira vsaj vsakih 10 let.</w:t>
      </w:r>
    </w:p>
    <w:p w14:paraId="4488E260" w14:textId="77777777" w:rsidR="00432A5D" w:rsidRPr="009E4432" w:rsidRDefault="00432A5D" w:rsidP="00432A5D">
      <w:pPr>
        <w:pStyle w:val="Odstavekseznama"/>
        <w:numPr>
          <w:ilvl w:val="0"/>
          <w:numId w:val="11"/>
        </w:numPr>
        <w:rPr>
          <w:szCs w:val="22"/>
        </w:rPr>
      </w:pPr>
      <w:r w:rsidRPr="009E4432">
        <w:rPr>
          <w:szCs w:val="22"/>
        </w:rPr>
        <w:t>Strategija vsebuje:</w:t>
      </w:r>
    </w:p>
    <w:p w14:paraId="52615943"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 xml:space="preserve">analizo stanja in znanstvenih dognanj glede podnebnih sprememb v Republiki Sloveniji; </w:t>
      </w:r>
    </w:p>
    <w:p w14:paraId="7BAA37C0"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določitev ciljev zmanjšanja toplogrednih plinov v ozračju po posameznih sektorjih do leta 2050, z vmesnimi cilji do leta 2030 in 2040;</w:t>
      </w:r>
    </w:p>
    <w:p w14:paraId="4C29CDD7"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lastRenderedPageBreak/>
        <w:t>možne scenarije in okvirno oceno posledic, ob določeni stopnji emisij toplogrednih plinov v ozračju ali stopnji povečanja temperature ozračja;</w:t>
      </w:r>
    </w:p>
    <w:p w14:paraId="7ACA8C2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možne ukrepe za doseganje ciljev podnebne politike po posameznih sektorjih;</w:t>
      </w:r>
    </w:p>
    <w:p w14:paraId="476F358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kazalnike, ki omogočajo spremljanje napredka pri doseganju ciljev podnebne politike;</w:t>
      </w:r>
    </w:p>
    <w:p w14:paraId="1064ED49"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povezave z drugimi politikami in strategijami;</w:t>
      </w:r>
    </w:p>
    <w:p w14:paraId="0AEFC551"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druge vsebine za izvrševanje Uredbe delu, ki se nanaša na sprejem dolgoročne strategije na področju podnebne politike;</w:t>
      </w:r>
    </w:p>
    <w:p w14:paraId="2B7165F4"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organiziranost za izvajanje podnebne politike.</w:t>
      </w:r>
    </w:p>
    <w:p w14:paraId="38611DF4" w14:textId="77777777" w:rsidR="00432A5D" w:rsidRPr="009E4432" w:rsidRDefault="00432A5D" w:rsidP="00432A5D">
      <w:pPr>
        <w:spacing w:line="276" w:lineRule="auto"/>
        <w:jc w:val="both"/>
        <w:rPr>
          <w:rFonts w:ascii="Times New Roman" w:hAnsi="Times New Roman"/>
          <w:sz w:val="22"/>
          <w:szCs w:val="22"/>
        </w:rPr>
      </w:pPr>
    </w:p>
    <w:p w14:paraId="00C6EB18"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6A3595D6"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(celoviti nacionalni energetsko-podnebni načrt)</w:t>
      </w:r>
    </w:p>
    <w:p w14:paraId="24C233B2" w14:textId="77777777" w:rsidR="00432A5D" w:rsidRPr="009E4432" w:rsidRDefault="00432A5D" w:rsidP="00432A5D">
      <w:pPr>
        <w:pStyle w:val="Odstavek"/>
        <w:rPr>
          <w:rFonts w:ascii="Times New Roman" w:hAnsi="Times New Roman"/>
          <w:sz w:val="22"/>
        </w:rPr>
      </w:pPr>
    </w:p>
    <w:p w14:paraId="494609C2" w14:textId="77777777" w:rsidR="00432A5D" w:rsidRPr="009E4432" w:rsidRDefault="00432A5D" w:rsidP="00432A5D">
      <w:pPr>
        <w:pStyle w:val="Odstavek"/>
        <w:numPr>
          <w:ilvl w:val="0"/>
          <w:numId w:val="10"/>
        </w:numPr>
        <w:spacing w:before="0"/>
        <w:textAlignment w:val="baseline"/>
        <w:rPr>
          <w:rFonts w:ascii="Times New Roman" w:hAnsi="Times New Roman"/>
          <w:sz w:val="22"/>
        </w:rPr>
      </w:pPr>
      <w:r w:rsidRPr="009E4432">
        <w:rPr>
          <w:rFonts w:ascii="Times New Roman" w:hAnsi="Times New Roman"/>
          <w:sz w:val="22"/>
        </w:rPr>
        <w:t>Celoviti nacionalni energetsko-podnebni načrt (v nadaljnjem besedilu: NEPN) je desetletni razvojni dokument, ki določa letne vmesne cilje glede emisij toplogrednih plinov iz vseh sektorjev skupaj in ločeno za vsak ETS in ne-ETS sektor posebej. Cilji se izražajo kot količina ekvivalenta CO</w:t>
      </w:r>
      <w:r w:rsidRPr="009E4432">
        <w:rPr>
          <w:rFonts w:ascii="Times New Roman" w:hAnsi="Times New Roman"/>
          <w:sz w:val="22"/>
          <w:vertAlign w:val="subscript"/>
        </w:rPr>
        <w:t>2</w:t>
      </w:r>
      <w:r w:rsidRPr="009E4432">
        <w:rPr>
          <w:rFonts w:ascii="Times New Roman" w:hAnsi="Times New Roman"/>
          <w:sz w:val="22"/>
        </w:rPr>
        <w:t xml:space="preserve">, ki jih Republika Slovenija sme izpustiti v tem obdobju. </w:t>
      </w:r>
    </w:p>
    <w:p w14:paraId="1EF12601" w14:textId="77777777" w:rsidR="00432A5D" w:rsidRPr="009E4432" w:rsidRDefault="00432A5D" w:rsidP="00432A5D">
      <w:pPr>
        <w:pStyle w:val="Odstavek"/>
        <w:numPr>
          <w:ilvl w:val="0"/>
          <w:numId w:val="10"/>
        </w:numPr>
        <w:spacing w:before="0"/>
        <w:textAlignment w:val="baseline"/>
        <w:rPr>
          <w:rFonts w:ascii="Times New Roman" w:hAnsi="Times New Roman"/>
          <w:sz w:val="22"/>
        </w:rPr>
      </w:pPr>
      <w:r w:rsidRPr="009E4432">
        <w:rPr>
          <w:rFonts w:ascii="Times New Roman" w:hAnsi="Times New Roman"/>
          <w:sz w:val="22"/>
        </w:rPr>
        <w:t>NEPN je skladen s Strategijo in poleg vsebine, določene z Uredbo, vsebuje tudi analizo potencialov zmanjšanja emisij toplogrednih plinov za vse sektorje, načrt ukrepov, navedbo njihovih nosilcev, rokov za izvedbo in virov ter višine finančnih sredstev za doseganje drugih ciljev podnebne politike, ki jih določa ta zakon in podnebna strategija.</w:t>
      </w:r>
    </w:p>
    <w:p w14:paraId="244BB5A1" w14:textId="77777777" w:rsidR="00432A5D" w:rsidRPr="009E4432" w:rsidRDefault="00432A5D" w:rsidP="00432A5D">
      <w:pPr>
        <w:pStyle w:val="Odstavek"/>
        <w:numPr>
          <w:ilvl w:val="0"/>
          <w:numId w:val="10"/>
        </w:numPr>
        <w:spacing w:before="0"/>
        <w:textAlignment w:val="baseline"/>
        <w:rPr>
          <w:rFonts w:ascii="Times New Roman" w:hAnsi="Times New Roman"/>
          <w:sz w:val="22"/>
        </w:rPr>
      </w:pPr>
      <w:r w:rsidRPr="009E4432">
        <w:rPr>
          <w:rFonts w:ascii="Times New Roman" w:hAnsi="Times New Roman"/>
          <w:sz w:val="22"/>
        </w:rPr>
        <w:t>Ne glede na določbe zakona, ki ureja energetiko, sprejme NEPN vlada na predlog ministrstva, pristojnega za energetiko, in ministrstva, pristojnega za podnebne spremembe.</w:t>
      </w:r>
    </w:p>
    <w:p w14:paraId="07839CFC" w14:textId="77777777" w:rsidR="00432A5D" w:rsidRPr="009E4432" w:rsidRDefault="00432A5D" w:rsidP="00432A5D">
      <w:pPr>
        <w:pStyle w:val="Odstavek"/>
        <w:numPr>
          <w:ilvl w:val="0"/>
          <w:numId w:val="10"/>
        </w:numPr>
        <w:spacing w:before="0"/>
        <w:textAlignment w:val="baseline"/>
        <w:rPr>
          <w:rFonts w:ascii="Times New Roman" w:hAnsi="Times New Roman"/>
          <w:sz w:val="22"/>
        </w:rPr>
      </w:pPr>
      <w:r w:rsidRPr="009E4432">
        <w:rPr>
          <w:rFonts w:ascii="Times New Roman" w:hAnsi="Times New Roman"/>
          <w:sz w:val="22"/>
        </w:rPr>
        <w:t>Ministrstvo, pristojno za podnebne spremembe, lahko na podlagi rezultatov letnega poročila iz katerega je razvidno, da vmesni cilji ne bodo doseženi predlaga vladi:</w:t>
      </w:r>
    </w:p>
    <w:p w14:paraId="5F2A2B90"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sprejem nujnega programa ukrepov za odpravo negativnih posledic;</w:t>
      </w:r>
    </w:p>
    <w:p w14:paraId="6FD6201B"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sprejem sprememb in dopolnitev NEPN.</w:t>
      </w:r>
    </w:p>
    <w:p w14:paraId="049AA220" w14:textId="77777777" w:rsidR="00432A5D" w:rsidRPr="009E4432" w:rsidRDefault="00432A5D" w:rsidP="00432A5D">
      <w:pPr>
        <w:rPr>
          <w:rFonts w:ascii="Times New Roman" w:hAnsi="Times New Roman"/>
          <w:snapToGrid w:val="0"/>
          <w:sz w:val="22"/>
          <w:szCs w:val="22"/>
        </w:rPr>
      </w:pPr>
    </w:p>
    <w:p w14:paraId="3B4A51E9"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D351889"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(letno poročilo)</w:t>
      </w:r>
    </w:p>
    <w:p w14:paraId="68FAFEC8" w14:textId="77777777" w:rsidR="00432A5D" w:rsidRPr="009E4432" w:rsidRDefault="00432A5D" w:rsidP="00432A5D">
      <w:pPr>
        <w:pStyle w:val="Odstavek"/>
        <w:rPr>
          <w:rFonts w:ascii="Times New Roman" w:hAnsi="Times New Roman"/>
          <w:sz w:val="22"/>
        </w:rPr>
      </w:pPr>
    </w:p>
    <w:p w14:paraId="000D35A6"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Z namenom učinkovitega spremljanja izvajanja Strategije in NEPN vlada vsako leto pripravi poročilo o izvajanju ukrepov in rezultatih doseganja ciljev podnebne politike po posameznih sektorjih.</w:t>
      </w:r>
    </w:p>
    <w:p w14:paraId="15CFBF81"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Letno poročilo se pripravi na podlagi spremljanja uresničevanja ciljev, ki ga izvaja vsak sektor za svoje področje.</w:t>
      </w:r>
    </w:p>
    <w:p w14:paraId="5DF2730E"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V okviru letnega poročila se vsako drugo leto posodobi projekcije emisij toplogrednih plinov.</w:t>
      </w:r>
    </w:p>
    <w:p w14:paraId="3934DA9D"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Letno poročilo se pred sprejemom na vladi pošlje v obravnavo Podnebnemu svetu, ki nanj poda stališče in priporočila za izvajanje podnebne politike, kar postane sestavni del letnega poročila.</w:t>
      </w:r>
    </w:p>
    <w:p w14:paraId="3BB38A55" w14:textId="77777777" w:rsidR="00432A5D" w:rsidRPr="009E4432" w:rsidRDefault="00432A5D" w:rsidP="00432A5D">
      <w:pPr>
        <w:pStyle w:val="Odstavek"/>
        <w:numPr>
          <w:ilvl w:val="0"/>
          <w:numId w:val="12"/>
        </w:numPr>
        <w:spacing w:before="0"/>
        <w:textAlignment w:val="baseline"/>
        <w:rPr>
          <w:rFonts w:ascii="Times New Roman" w:hAnsi="Times New Roman"/>
          <w:sz w:val="22"/>
        </w:rPr>
      </w:pPr>
      <w:r w:rsidRPr="009E4432">
        <w:rPr>
          <w:rFonts w:ascii="Times New Roman" w:hAnsi="Times New Roman"/>
          <w:sz w:val="22"/>
        </w:rPr>
        <w:t>S sprejetim letnim poročilom se seznani državni zbor na dan, ki je določen kot državni podnebni dan.</w:t>
      </w:r>
    </w:p>
    <w:p w14:paraId="71CEBBCA" w14:textId="77777777" w:rsidR="00432A5D" w:rsidRPr="009E4432" w:rsidRDefault="00432A5D" w:rsidP="00432A5D">
      <w:pPr>
        <w:pStyle w:val="Odstavek"/>
        <w:rPr>
          <w:rFonts w:ascii="Times New Roman" w:hAnsi="Times New Roman"/>
          <w:sz w:val="22"/>
        </w:rPr>
      </w:pPr>
    </w:p>
    <w:p w14:paraId="23071737"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člen </w:t>
      </w:r>
    </w:p>
    <w:p w14:paraId="621262EF"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(trgovanje z emisijskimi kuponi)</w:t>
      </w:r>
    </w:p>
    <w:p w14:paraId="766A4F60" w14:textId="77777777" w:rsidR="00432A5D" w:rsidRPr="009E4432" w:rsidRDefault="00432A5D" w:rsidP="00432A5D">
      <w:pPr>
        <w:pStyle w:val="Odstavek"/>
        <w:rPr>
          <w:rFonts w:ascii="Times New Roman" w:hAnsi="Times New Roman"/>
          <w:sz w:val="22"/>
        </w:rPr>
      </w:pPr>
    </w:p>
    <w:p w14:paraId="67740CEF" w14:textId="77777777" w:rsidR="00432A5D" w:rsidRPr="009E4432" w:rsidRDefault="00432A5D" w:rsidP="00432A5D">
      <w:pPr>
        <w:pStyle w:val="Odstavek"/>
        <w:rPr>
          <w:rFonts w:ascii="Times New Roman" w:hAnsi="Times New Roman"/>
          <w:sz w:val="22"/>
        </w:rPr>
      </w:pPr>
      <w:r w:rsidRPr="009E4432">
        <w:rPr>
          <w:rFonts w:ascii="Times New Roman" w:hAnsi="Times New Roman"/>
          <w:sz w:val="22"/>
        </w:rPr>
        <w:t>Trgovanje z emisijskimi kuponi predstavlja tržni mehanizem omejevanja emisij toplogrednih plinov za ETS sektorje in se izvaja v skladu z zakonom, ki ureja varstvo okolja, kot dopolnilni ukrep zmanjševanja emisij toplogrednih plinov v ETS sektorjih.</w:t>
      </w:r>
    </w:p>
    <w:p w14:paraId="6A211ECA" w14:textId="77777777" w:rsidR="00432A5D" w:rsidRPr="009E4432" w:rsidRDefault="00432A5D" w:rsidP="00432A5D">
      <w:pPr>
        <w:pStyle w:val="Odstavek"/>
        <w:rPr>
          <w:rFonts w:ascii="Times New Roman" w:hAnsi="Times New Roman"/>
          <w:sz w:val="22"/>
        </w:rPr>
      </w:pPr>
    </w:p>
    <w:p w14:paraId="13A70FCA"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lastRenderedPageBreak/>
        <w:t>člen</w:t>
      </w:r>
    </w:p>
    <w:p w14:paraId="0B157B26"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(Podnebni svet)</w:t>
      </w:r>
    </w:p>
    <w:p w14:paraId="52220E36" w14:textId="77777777" w:rsidR="00432A5D" w:rsidRPr="009E4432" w:rsidRDefault="00432A5D" w:rsidP="00432A5D">
      <w:pPr>
        <w:pStyle w:val="Odstavek"/>
        <w:rPr>
          <w:rFonts w:ascii="Times New Roman" w:hAnsi="Times New Roman"/>
          <w:sz w:val="22"/>
        </w:rPr>
      </w:pPr>
    </w:p>
    <w:p w14:paraId="7F880A4D" w14:textId="77777777" w:rsidR="00432A5D" w:rsidRPr="009E4432" w:rsidRDefault="00432A5D" w:rsidP="00432A5D">
      <w:pPr>
        <w:pStyle w:val="Odstavek"/>
        <w:numPr>
          <w:ilvl w:val="0"/>
          <w:numId w:val="13"/>
        </w:numPr>
        <w:spacing w:before="0"/>
        <w:textAlignment w:val="baseline"/>
        <w:rPr>
          <w:rFonts w:ascii="Times New Roman" w:hAnsi="Times New Roman"/>
          <w:sz w:val="22"/>
        </w:rPr>
      </w:pPr>
      <w:r w:rsidRPr="009E4432">
        <w:rPr>
          <w:rFonts w:ascii="Times New Roman" w:hAnsi="Times New Roman"/>
          <w:sz w:val="22"/>
        </w:rPr>
        <w:t>Vlada ustanovi Podnebni svet kot posvetovalno telo vlade za področje podnebne politike.</w:t>
      </w:r>
    </w:p>
    <w:p w14:paraId="21002043" w14:textId="77777777" w:rsidR="00432A5D" w:rsidRPr="009E4432" w:rsidRDefault="00432A5D" w:rsidP="00432A5D">
      <w:pPr>
        <w:pStyle w:val="Odstavek"/>
        <w:numPr>
          <w:ilvl w:val="0"/>
          <w:numId w:val="13"/>
        </w:numPr>
        <w:spacing w:before="0"/>
        <w:textAlignment w:val="baseline"/>
        <w:rPr>
          <w:rFonts w:ascii="Times New Roman" w:hAnsi="Times New Roman"/>
          <w:sz w:val="22"/>
        </w:rPr>
      </w:pPr>
      <w:r w:rsidRPr="009E4432">
        <w:rPr>
          <w:rFonts w:ascii="Times New Roman" w:hAnsi="Times New Roman"/>
          <w:sz w:val="22"/>
        </w:rPr>
        <w:t>V Podnebni svet vlada na predlog ministrstva, pristojnega za podnebne spremembe, imenuje neodvisne strokovnjake s področja prilagajanja ter blaženja podnebnih sprememb ter njihovih učinkov.</w:t>
      </w:r>
    </w:p>
    <w:p w14:paraId="1CE28096" w14:textId="77777777" w:rsidR="00432A5D" w:rsidRPr="009E4432" w:rsidRDefault="00432A5D" w:rsidP="00432A5D">
      <w:pPr>
        <w:pStyle w:val="Odstavek"/>
        <w:numPr>
          <w:ilvl w:val="0"/>
          <w:numId w:val="13"/>
        </w:numPr>
        <w:spacing w:before="0"/>
        <w:textAlignment w:val="baseline"/>
        <w:rPr>
          <w:rFonts w:ascii="Times New Roman" w:hAnsi="Times New Roman"/>
          <w:sz w:val="22"/>
        </w:rPr>
      </w:pPr>
      <w:r w:rsidRPr="009E4432">
        <w:rPr>
          <w:rFonts w:ascii="Times New Roman" w:hAnsi="Times New Roman"/>
          <w:sz w:val="22"/>
        </w:rPr>
        <w:t>Podnebni svet ima naslednje naloge:</w:t>
      </w:r>
    </w:p>
    <w:p w14:paraId="386BB097"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poda stališče o predlogu in morebitni spremembi Strategije;</w:t>
      </w:r>
    </w:p>
    <w:p w14:paraId="1662703E"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poda stališče o predlogu vmesnih ciljev glede emisij toplogrednih plinov, kot so predvideni v NEPN;</w:t>
      </w:r>
    </w:p>
    <w:p w14:paraId="5978B6C4"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poda stališče o letnem poročilu;</w:t>
      </w:r>
    </w:p>
    <w:p w14:paraId="0708588B"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na predlog ministrstva ali vlade obravnava druga gradiva in podaja stališča o posamezni zadevi;</w:t>
      </w:r>
    </w:p>
    <w:p w14:paraId="66399014" w14:textId="77777777" w:rsidR="00432A5D" w:rsidRPr="009E4432" w:rsidRDefault="00432A5D" w:rsidP="00432A5D">
      <w:pPr>
        <w:pStyle w:val="Odstavek"/>
        <w:numPr>
          <w:ilvl w:val="0"/>
          <w:numId w:val="14"/>
        </w:numPr>
        <w:spacing w:before="0"/>
        <w:textAlignment w:val="baseline"/>
        <w:rPr>
          <w:rFonts w:ascii="Times New Roman" w:hAnsi="Times New Roman"/>
          <w:sz w:val="22"/>
        </w:rPr>
      </w:pPr>
      <w:r w:rsidRPr="009E4432">
        <w:rPr>
          <w:rFonts w:ascii="Times New Roman" w:hAnsi="Times New Roman"/>
          <w:sz w:val="22"/>
        </w:rPr>
        <w:t>aktivno podaja predloge za sprejem dokumentov ali nadaljnje ukrepanje vlade na področju podnebne politike.</w:t>
      </w:r>
    </w:p>
    <w:p w14:paraId="49594953" w14:textId="77777777" w:rsidR="00432A5D" w:rsidRPr="009E4432" w:rsidRDefault="00432A5D" w:rsidP="00432A5D">
      <w:pPr>
        <w:pStyle w:val="len"/>
        <w:spacing w:before="0"/>
        <w:jc w:val="left"/>
        <w:rPr>
          <w:rFonts w:ascii="Times New Roman" w:hAnsi="Times New Roman"/>
          <w:b w:val="0"/>
          <w:color w:val="000000"/>
          <w:sz w:val="22"/>
          <w:szCs w:val="22"/>
          <w:lang w:val="sl-SI"/>
        </w:rPr>
      </w:pPr>
    </w:p>
    <w:p w14:paraId="015ECAE0"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C999F0F"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(vloga pristojnega ministrstva)</w:t>
      </w:r>
    </w:p>
    <w:p w14:paraId="1C77D852" w14:textId="77777777" w:rsidR="00432A5D" w:rsidRPr="009E4432" w:rsidRDefault="00432A5D" w:rsidP="00432A5D">
      <w:pPr>
        <w:jc w:val="both"/>
        <w:rPr>
          <w:rFonts w:ascii="Times New Roman" w:hAnsi="Times New Roman"/>
          <w:sz w:val="22"/>
          <w:szCs w:val="22"/>
        </w:rPr>
      </w:pPr>
    </w:p>
    <w:p w14:paraId="3CB286E9" w14:textId="77777777" w:rsidR="00432A5D" w:rsidRPr="009E4432" w:rsidRDefault="00432A5D" w:rsidP="00432A5D">
      <w:pPr>
        <w:spacing w:line="276" w:lineRule="auto"/>
        <w:jc w:val="both"/>
        <w:rPr>
          <w:rFonts w:ascii="Times New Roman" w:hAnsi="Times New Roman"/>
          <w:sz w:val="22"/>
          <w:szCs w:val="22"/>
        </w:rPr>
      </w:pPr>
      <w:r w:rsidRPr="009E4432">
        <w:rPr>
          <w:rFonts w:ascii="Times New Roman" w:hAnsi="Times New Roman"/>
          <w:sz w:val="22"/>
          <w:szCs w:val="22"/>
        </w:rPr>
        <w:t>Pri izvajanju podnebne politike na državni ravni ministrstvo, pristojno za podnebne spremembe:</w:t>
      </w:r>
    </w:p>
    <w:p w14:paraId="27EE74EC" w14:textId="77777777" w:rsidR="00432A5D" w:rsidRPr="009E4432" w:rsidRDefault="00432A5D" w:rsidP="00432A5D">
      <w:pPr>
        <w:pStyle w:val="Odstavekseznama"/>
        <w:numPr>
          <w:ilvl w:val="0"/>
          <w:numId w:val="14"/>
        </w:numPr>
        <w:spacing w:line="276" w:lineRule="auto"/>
        <w:rPr>
          <w:szCs w:val="22"/>
          <w:lang w:eastAsia="en-US"/>
        </w:rPr>
      </w:pPr>
      <w:r w:rsidRPr="009E4432">
        <w:rPr>
          <w:szCs w:val="22"/>
          <w:lang w:eastAsia="en-US"/>
        </w:rPr>
        <w:t>usmerja oblikovanje sektorskih politik;</w:t>
      </w:r>
    </w:p>
    <w:p w14:paraId="02083C7B"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sodeluje pri zbiranju in vrednotenju analiz in strokovnih podatkov;</w:t>
      </w:r>
    </w:p>
    <w:p w14:paraId="1104FDBF"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koordinira ozaveščanje, raziskave in izobraževanje;</w:t>
      </w:r>
    </w:p>
    <w:p w14:paraId="078751AC" w14:textId="77777777" w:rsidR="00432A5D" w:rsidRPr="009E4432" w:rsidRDefault="00432A5D" w:rsidP="00432A5D">
      <w:pPr>
        <w:pStyle w:val="Odstavekseznama"/>
        <w:numPr>
          <w:ilvl w:val="0"/>
          <w:numId w:val="14"/>
        </w:numPr>
        <w:spacing w:line="260" w:lineRule="exact"/>
        <w:ind w:left="697" w:hanging="357"/>
        <w:rPr>
          <w:szCs w:val="22"/>
          <w:lang w:eastAsia="en-US"/>
        </w:rPr>
      </w:pPr>
      <w:r w:rsidRPr="009E4432">
        <w:rPr>
          <w:szCs w:val="22"/>
          <w:lang w:eastAsia="en-US"/>
        </w:rPr>
        <w:t>sodeluje pri mednarodnem dialogu in izmenjavi dobrih praks.</w:t>
      </w:r>
    </w:p>
    <w:p w14:paraId="6D54F053" w14:textId="77777777" w:rsidR="00432A5D" w:rsidRPr="009E4432" w:rsidRDefault="00432A5D" w:rsidP="00432A5D">
      <w:pPr>
        <w:rPr>
          <w:rFonts w:ascii="Times New Roman" w:hAnsi="Times New Roman"/>
          <w:sz w:val="22"/>
          <w:szCs w:val="22"/>
        </w:rPr>
      </w:pPr>
    </w:p>
    <w:p w14:paraId="6E948CDF"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53ED366E"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(podnebni dan)</w:t>
      </w:r>
    </w:p>
    <w:p w14:paraId="4E4DF7B2" w14:textId="77777777" w:rsidR="00432A5D" w:rsidRPr="009E4432" w:rsidRDefault="00432A5D" w:rsidP="00432A5D">
      <w:pPr>
        <w:rPr>
          <w:rFonts w:ascii="Times New Roman" w:hAnsi="Times New Roman"/>
          <w:sz w:val="22"/>
          <w:szCs w:val="22"/>
        </w:rPr>
      </w:pPr>
    </w:p>
    <w:p w14:paraId="20244A6C" w14:textId="77777777" w:rsidR="00432A5D" w:rsidRPr="009E4432" w:rsidRDefault="00432A5D" w:rsidP="00432A5D">
      <w:pPr>
        <w:pStyle w:val="Odstavek"/>
        <w:rPr>
          <w:rFonts w:ascii="Times New Roman" w:hAnsi="Times New Roman"/>
          <w:sz w:val="22"/>
        </w:rPr>
      </w:pPr>
      <w:r w:rsidRPr="009E4432">
        <w:rPr>
          <w:rFonts w:ascii="Times New Roman" w:hAnsi="Times New Roman"/>
          <w:sz w:val="22"/>
        </w:rPr>
        <w:t>Vsak tretji četrtek v mesecu oktobru se razglasi za podnebni dan, ko državni zbor obravnava letno poročilo, izvedejo pa se tudi izobraževalni ter promocijski dogodki o podnebnih spremembah.</w:t>
      </w:r>
    </w:p>
    <w:p w14:paraId="2B47D426" w14:textId="77777777" w:rsidR="00432A5D" w:rsidRPr="009E4432" w:rsidRDefault="00432A5D" w:rsidP="00432A5D">
      <w:pPr>
        <w:rPr>
          <w:rFonts w:ascii="Times New Roman" w:hAnsi="Times New Roman"/>
          <w:sz w:val="22"/>
          <w:szCs w:val="22"/>
        </w:rPr>
      </w:pPr>
    </w:p>
    <w:p w14:paraId="7DA27125" w14:textId="77777777" w:rsidR="00432A5D" w:rsidRPr="009E4432" w:rsidRDefault="00432A5D" w:rsidP="00432A5D">
      <w:pPr>
        <w:pStyle w:val="Odsek"/>
        <w:numPr>
          <w:ilvl w:val="0"/>
          <w:numId w:val="0"/>
        </w:numPr>
        <w:rPr>
          <w:rFonts w:ascii="Times New Roman" w:hAnsi="Times New Roman" w:cs="Times New Roman"/>
        </w:rPr>
      </w:pPr>
      <w:r w:rsidRPr="009E4432">
        <w:rPr>
          <w:rFonts w:ascii="Times New Roman" w:hAnsi="Times New Roman" w:cs="Times New Roman"/>
        </w:rPr>
        <w:t>KONČNA DOLOČBA</w:t>
      </w:r>
    </w:p>
    <w:p w14:paraId="5BDB933F" w14:textId="77777777" w:rsidR="00432A5D" w:rsidRPr="009E4432" w:rsidRDefault="00432A5D" w:rsidP="00432A5D">
      <w:pPr>
        <w:rPr>
          <w:rFonts w:ascii="Times New Roman" w:hAnsi="Times New Roman"/>
          <w:sz w:val="22"/>
          <w:szCs w:val="22"/>
        </w:rPr>
      </w:pPr>
    </w:p>
    <w:p w14:paraId="11ACCD01" w14:textId="77777777" w:rsidR="00432A5D" w:rsidRPr="009E4432" w:rsidRDefault="00432A5D" w:rsidP="00432A5D">
      <w:pPr>
        <w:pStyle w:val="len"/>
        <w:numPr>
          <w:ilvl w:val="0"/>
          <w:numId w:val="17"/>
        </w:numPr>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člen</w:t>
      </w:r>
    </w:p>
    <w:p w14:paraId="2D414F2B" w14:textId="77777777" w:rsidR="00432A5D" w:rsidRPr="009E4432" w:rsidRDefault="00432A5D" w:rsidP="00432A5D">
      <w:pPr>
        <w:pStyle w:val="len"/>
        <w:spacing w:before="0"/>
        <w:rPr>
          <w:rFonts w:ascii="Times New Roman" w:hAnsi="Times New Roman"/>
          <w:color w:val="000000"/>
          <w:sz w:val="22"/>
          <w:szCs w:val="22"/>
          <w:lang w:val="sl-SI"/>
        </w:rPr>
      </w:pPr>
      <w:r w:rsidRPr="009E4432">
        <w:rPr>
          <w:rFonts w:ascii="Times New Roman" w:hAnsi="Times New Roman"/>
          <w:color w:val="000000"/>
          <w:sz w:val="22"/>
          <w:szCs w:val="22"/>
          <w:lang w:val="sl-SI"/>
        </w:rPr>
        <w:t xml:space="preserve">      (veljavnost)</w:t>
      </w:r>
    </w:p>
    <w:p w14:paraId="3D86FA1D" w14:textId="77777777" w:rsidR="00432A5D" w:rsidRPr="009E4432" w:rsidRDefault="00432A5D" w:rsidP="00432A5D">
      <w:pPr>
        <w:rPr>
          <w:rFonts w:ascii="Times New Roman" w:hAnsi="Times New Roman"/>
          <w:sz w:val="22"/>
          <w:szCs w:val="22"/>
        </w:rPr>
      </w:pPr>
    </w:p>
    <w:p w14:paraId="7E360E09" w14:textId="77777777" w:rsidR="00432A5D" w:rsidRPr="009E4432" w:rsidRDefault="00432A5D" w:rsidP="00432A5D">
      <w:pPr>
        <w:rPr>
          <w:rFonts w:ascii="Times New Roman" w:hAnsi="Times New Roman"/>
          <w:sz w:val="22"/>
          <w:szCs w:val="22"/>
        </w:rPr>
      </w:pPr>
      <w:r w:rsidRPr="009E4432">
        <w:rPr>
          <w:rFonts w:ascii="Times New Roman" w:hAnsi="Times New Roman"/>
          <w:sz w:val="22"/>
          <w:szCs w:val="22"/>
        </w:rPr>
        <w:t>Ta zakon začne veljati petnajsti dan po objavi v Uradnem listu Republike Slovenije.</w:t>
      </w:r>
    </w:p>
    <w:p w14:paraId="7AC577DC" w14:textId="77777777" w:rsidR="00432A5D" w:rsidRPr="009E4432" w:rsidRDefault="00432A5D" w:rsidP="00432A5D">
      <w:pPr>
        <w:pStyle w:val="Alineazaodstavkom"/>
        <w:numPr>
          <w:ilvl w:val="0"/>
          <w:numId w:val="0"/>
        </w:numPr>
        <w:rPr>
          <w:rFonts w:ascii="Times New Roman" w:hAnsi="Times New Roman" w:cs="Times New Roman"/>
          <w:b/>
          <w:snapToGrid w:val="0"/>
          <w:lang w:eastAsia="en-US"/>
        </w:rPr>
      </w:pPr>
    </w:p>
    <w:p w14:paraId="068E2E7C" w14:textId="1C644C33" w:rsidR="00720A6B" w:rsidRPr="009E4432" w:rsidRDefault="00720A6B" w:rsidP="00432A5D">
      <w:pPr>
        <w:spacing w:after="200" w:line="276" w:lineRule="auto"/>
        <w:jc w:val="both"/>
        <w:rPr>
          <w:rFonts w:ascii="Times New Roman" w:eastAsiaTheme="minorHAnsi" w:hAnsi="Times New Roman"/>
          <w:sz w:val="22"/>
          <w:szCs w:val="22"/>
        </w:rPr>
      </w:pPr>
    </w:p>
    <w:sectPr w:rsidR="00720A6B" w:rsidRPr="009E4432">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C78457" w14:textId="77777777" w:rsidR="00A132F7" w:rsidRDefault="00A132F7" w:rsidP="0026207F">
      <w:pPr>
        <w:spacing w:line="240" w:lineRule="auto"/>
      </w:pPr>
      <w:r>
        <w:separator/>
      </w:r>
    </w:p>
  </w:endnote>
  <w:endnote w:type="continuationSeparator" w:id="0">
    <w:p w14:paraId="14D0A7E9" w14:textId="77777777" w:rsidR="00A132F7" w:rsidRDefault="00A132F7" w:rsidP="0026207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0BF326" w14:textId="77777777" w:rsidR="00A91644" w:rsidRDefault="00A9164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1F85B9" w14:textId="77777777" w:rsidR="00A91644" w:rsidRDefault="00A9164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3BEAA3" w14:textId="77777777" w:rsidR="00A91644" w:rsidRDefault="00A9164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08ECF4" w14:textId="77777777" w:rsidR="00A132F7" w:rsidRDefault="00A132F7" w:rsidP="0026207F">
      <w:pPr>
        <w:spacing w:line="240" w:lineRule="auto"/>
      </w:pPr>
      <w:r>
        <w:separator/>
      </w:r>
    </w:p>
  </w:footnote>
  <w:footnote w:type="continuationSeparator" w:id="0">
    <w:p w14:paraId="7581922E" w14:textId="77777777" w:rsidR="00A132F7" w:rsidRDefault="00A132F7" w:rsidP="0026207F">
      <w:pPr>
        <w:spacing w:line="240" w:lineRule="auto"/>
      </w:pPr>
      <w:r>
        <w:continuationSeparator/>
      </w:r>
    </w:p>
  </w:footnote>
  <w:footnote w:id="1">
    <w:p w14:paraId="06729F23" w14:textId="77777777" w:rsidR="00432A5D" w:rsidRPr="00860783" w:rsidRDefault="00432A5D" w:rsidP="00432A5D">
      <w:pPr>
        <w:spacing w:line="240" w:lineRule="auto"/>
        <w:jc w:val="both"/>
        <w:rPr>
          <w:rFonts w:cs="Arial"/>
          <w:snapToGrid w:val="0"/>
          <w:sz w:val="18"/>
          <w:szCs w:val="22"/>
        </w:rPr>
      </w:pPr>
      <w:r w:rsidRPr="00860783">
        <w:rPr>
          <w:rFonts w:cs="Arial"/>
          <w:snapToGrid w:val="0"/>
          <w:sz w:val="18"/>
          <w:szCs w:val="22"/>
        </w:rPr>
        <w:footnoteRef/>
      </w:r>
      <w:r w:rsidRPr="00860783">
        <w:rPr>
          <w:rFonts w:cs="Arial"/>
          <w:snapToGrid w:val="0"/>
          <w:sz w:val="18"/>
          <w:szCs w:val="22"/>
        </w:rPr>
        <w:t xml:space="preserve"> Skladno z 38. členom Zakona o državni upravi (Uradni list RS, št. 113/05 – uradno prečiščeno besedilo, 89/07 – </w:t>
      </w:r>
      <w:proofErr w:type="spellStart"/>
      <w:r w:rsidRPr="00860783">
        <w:rPr>
          <w:rFonts w:cs="Arial"/>
          <w:snapToGrid w:val="0"/>
          <w:sz w:val="18"/>
          <w:szCs w:val="22"/>
        </w:rPr>
        <w:t>odl</w:t>
      </w:r>
      <w:proofErr w:type="spellEnd"/>
      <w:r w:rsidRPr="00860783">
        <w:rPr>
          <w:rFonts w:cs="Arial"/>
          <w:snapToGrid w:val="0"/>
          <w:sz w:val="18"/>
          <w:szCs w:val="22"/>
        </w:rPr>
        <w:t>. US, 126/07 – ZUP-E, 48/09, 8/10 – ZUP-G, 8/12 – ZVRS-F, 21/12, 47/13, 12/14, 90/14 in 51/16) je Ministrstvo za okolje in prostor tisto, ki med drugim opravlja naloge na področju podnebnih sprememb.</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30F5DC" w14:textId="77777777" w:rsidR="00A91644" w:rsidRDefault="00A9164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7980E5" w14:textId="77777777" w:rsidR="006B498D" w:rsidRPr="0026207F" w:rsidRDefault="006B498D">
    <w:pPr>
      <w:pStyle w:val="Glava"/>
      <w:rPr>
        <w:i/>
      </w:rPr>
    </w:pPr>
    <w:r>
      <w:tab/>
    </w:r>
    <w:r>
      <w:tab/>
    </w:r>
    <w:r w:rsidRPr="0026207F">
      <w:rPr>
        <w:i/>
      </w:rPr>
      <w:t>O S N U T E K!</w:t>
    </w:r>
  </w:p>
  <w:p w14:paraId="6052A423" w14:textId="77777777" w:rsidR="006B498D" w:rsidRDefault="006B498D">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43B564" w14:textId="77777777" w:rsidR="00A91644" w:rsidRDefault="00A9164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B04D2"/>
    <w:multiLevelType w:val="hybridMultilevel"/>
    <w:tmpl w:val="4BF45ADE"/>
    <w:lvl w:ilvl="0" w:tplc="1520E4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nsid w:val="02BD331F"/>
    <w:multiLevelType w:val="hybridMultilevel"/>
    <w:tmpl w:val="D2AE15B2"/>
    <w:lvl w:ilvl="0" w:tplc="88FEE3DA">
      <w:start w:val="1"/>
      <w:numFmt w:val="bullet"/>
      <w:pStyle w:val="Alineazaodstavkom"/>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057347EA"/>
    <w:multiLevelType w:val="hybridMultilevel"/>
    <w:tmpl w:val="7158B860"/>
    <w:lvl w:ilvl="0" w:tplc="EF784E90">
      <w:start w:val="1"/>
      <w:numFmt w:val="decimal"/>
      <w:lvlText w:val="%1"/>
      <w:lvlJc w:val="left"/>
      <w:pPr>
        <w:ind w:left="720" w:hanging="360"/>
      </w:pPr>
      <w:rPr>
        <w:rFonts w:ascii="Arial" w:eastAsia="Times New Roman" w:hAnsi="Arial" w:cs="Arial"/>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
    <w:nsid w:val="07F8540B"/>
    <w:multiLevelType w:val="hybridMultilevel"/>
    <w:tmpl w:val="F22AE57A"/>
    <w:lvl w:ilvl="0" w:tplc="67FCA704">
      <w:start w:val="7"/>
      <w:numFmt w:val="bullet"/>
      <w:lvlText w:val="-"/>
      <w:lvlJc w:val="left"/>
      <w:pPr>
        <w:ind w:left="720" w:hanging="360"/>
      </w:pPr>
      <w:rPr>
        <w:rFonts w:ascii="Times New Roman" w:eastAsia="Times New Roman" w:hAnsi="Times New Roman"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E6A1846"/>
    <w:multiLevelType w:val="hybridMultilevel"/>
    <w:tmpl w:val="B37AFBF0"/>
    <w:lvl w:ilvl="0" w:tplc="F730ACF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E723A01"/>
    <w:multiLevelType w:val="hybridMultilevel"/>
    <w:tmpl w:val="DED8871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20A74E7A"/>
    <w:multiLevelType w:val="hybridMultilevel"/>
    <w:tmpl w:val="18A24C52"/>
    <w:lvl w:ilvl="0" w:tplc="36060302">
      <w:start w:val="1"/>
      <w:numFmt w:val="decimal"/>
      <w:lvlText w:val="%1."/>
      <w:lvlJc w:val="left"/>
      <w:pPr>
        <w:ind w:left="1440" w:hanging="360"/>
      </w:pPr>
      <w:rPr>
        <w:b w:val="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8">
    <w:nsid w:val="3169395E"/>
    <w:multiLevelType w:val="hybridMultilevel"/>
    <w:tmpl w:val="0C08F7C4"/>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36841B3B"/>
    <w:multiLevelType w:val="hybridMultilevel"/>
    <w:tmpl w:val="7D84CBEA"/>
    <w:lvl w:ilvl="0" w:tplc="4506845E">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nsid w:val="39B62E40"/>
    <w:multiLevelType w:val="hybridMultilevel"/>
    <w:tmpl w:val="2A74133C"/>
    <w:lvl w:ilvl="0" w:tplc="1520E4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
    <w:nsid w:val="46AA272E"/>
    <w:multiLevelType w:val="hybridMultilevel"/>
    <w:tmpl w:val="85465134"/>
    <w:lvl w:ilvl="0" w:tplc="94F0330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76412BB"/>
    <w:multiLevelType w:val="hybridMultilevel"/>
    <w:tmpl w:val="93EEAF0A"/>
    <w:lvl w:ilvl="0" w:tplc="75966664">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94A5102"/>
    <w:multiLevelType w:val="hybridMultilevel"/>
    <w:tmpl w:val="07B4BF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59240158"/>
    <w:multiLevelType w:val="hybridMultilevel"/>
    <w:tmpl w:val="841234F8"/>
    <w:lvl w:ilvl="0" w:tplc="75966664">
      <w:start w:val="1"/>
      <w:numFmt w:val="bullet"/>
      <w:lvlText w:val="­"/>
      <w:lvlJc w:val="left"/>
      <w:pPr>
        <w:ind w:left="723" w:hanging="360"/>
      </w:pPr>
      <w:rPr>
        <w:rFonts w:ascii="Arial" w:hAnsi="Arial" w:hint="default"/>
      </w:rPr>
    </w:lvl>
    <w:lvl w:ilvl="1" w:tplc="04240003" w:tentative="1">
      <w:start w:val="1"/>
      <w:numFmt w:val="bullet"/>
      <w:lvlText w:val="o"/>
      <w:lvlJc w:val="left"/>
      <w:pPr>
        <w:ind w:left="1443" w:hanging="360"/>
      </w:pPr>
      <w:rPr>
        <w:rFonts w:ascii="Courier New" w:hAnsi="Courier New" w:cs="Courier New" w:hint="default"/>
      </w:rPr>
    </w:lvl>
    <w:lvl w:ilvl="2" w:tplc="04240005" w:tentative="1">
      <w:start w:val="1"/>
      <w:numFmt w:val="bullet"/>
      <w:lvlText w:val=""/>
      <w:lvlJc w:val="left"/>
      <w:pPr>
        <w:ind w:left="2163" w:hanging="360"/>
      </w:pPr>
      <w:rPr>
        <w:rFonts w:ascii="Wingdings" w:hAnsi="Wingdings" w:hint="default"/>
      </w:rPr>
    </w:lvl>
    <w:lvl w:ilvl="3" w:tplc="04240001" w:tentative="1">
      <w:start w:val="1"/>
      <w:numFmt w:val="bullet"/>
      <w:lvlText w:val=""/>
      <w:lvlJc w:val="left"/>
      <w:pPr>
        <w:ind w:left="2883" w:hanging="360"/>
      </w:pPr>
      <w:rPr>
        <w:rFonts w:ascii="Symbol" w:hAnsi="Symbol" w:hint="default"/>
      </w:rPr>
    </w:lvl>
    <w:lvl w:ilvl="4" w:tplc="04240003" w:tentative="1">
      <w:start w:val="1"/>
      <w:numFmt w:val="bullet"/>
      <w:lvlText w:val="o"/>
      <w:lvlJc w:val="left"/>
      <w:pPr>
        <w:ind w:left="3603" w:hanging="360"/>
      </w:pPr>
      <w:rPr>
        <w:rFonts w:ascii="Courier New" w:hAnsi="Courier New" w:cs="Courier New" w:hint="default"/>
      </w:rPr>
    </w:lvl>
    <w:lvl w:ilvl="5" w:tplc="04240005" w:tentative="1">
      <w:start w:val="1"/>
      <w:numFmt w:val="bullet"/>
      <w:lvlText w:val=""/>
      <w:lvlJc w:val="left"/>
      <w:pPr>
        <w:ind w:left="4323" w:hanging="360"/>
      </w:pPr>
      <w:rPr>
        <w:rFonts w:ascii="Wingdings" w:hAnsi="Wingdings" w:hint="default"/>
      </w:rPr>
    </w:lvl>
    <w:lvl w:ilvl="6" w:tplc="04240001" w:tentative="1">
      <w:start w:val="1"/>
      <w:numFmt w:val="bullet"/>
      <w:lvlText w:val=""/>
      <w:lvlJc w:val="left"/>
      <w:pPr>
        <w:ind w:left="5043" w:hanging="360"/>
      </w:pPr>
      <w:rPr>
        <w:rFonts w:ascii="Symbol" w:hAnsi="Symbol" w:hint="default"/>
      </w:rPr>
    </w:lvl>
    <w:lvl w:ilvl="7" w:tplc="04240003" w:tentative="1">
      <w:start w:val="1"/>
      <w:numFmt w:val="bullet"/>
      <w:lvlText w:val="o"/>
      <w:lvlJc w:val="left"/>
      <w:pPr>
        <w:ind w:left="5763" w:hanging="360"/>
      </w:pPr>
      <w:rPr>
        <w:rFonts w:ascii="Courier New" w:hAnsi="Courier New" w:cs="Courier New" w:hint="default"/>
      </w:rPr>
    </w:lvl>
    <w:lvl w:ilvl="8" w:tplc="04240005" w:tentative="1">
      <w:start w:val="1"/>
      <w:numFmt w:val="bullet"/>
      <w:lvlText w:val=""/>
      <w:lvlJc w:val="left"/>
      <w:pPr>
        <w:ind w:left="6483" w:hanging="360"/>
      </w:pPr>
      <w:rPr>
        <w:rFonts w:ascii="Wingdings" w:hAnsi="Wingdings" w:hint="default"/>
      </w:rPr>
    </w:lvl>
  </w:abstractNum>
  <w:abstractNum w:abstractNumId="18">
    <w:nsid w:val="5BAC231D"/>
    <w:multiLevelType w:val="hybridMultilevel"/>
    <w:tmpl w:val="4BF45ADE"/>
    <w:lvl w:ilvl="0" w:tplc="1520E4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nsid w:val="66034DD2"/>
    <w:multiLevelType w:val="hybridMultilevel"/>
    <w:tmpl w:val="01E8A0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6C677718"/>
    <w:multiLevelType w:val="hybridMultilevel"/>
    <w:tmpl w:val="6B5070D6"/>
    <w:lvl w:ilvl="0" w:tplc="E33AA7CE">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1">
    <w:nsid w:val="740E1962"/>
    <w:multiLevelType w:val="hybridMultilevel"/>
    <w:tmpl w:val="4BF45ADE"/>
    <w:lvl w:ilvl="0" w:tplc="1520E4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19"/>
  </w:num>
  <w:num w:numId="4">
    <w:abstractNumId w:val="8"/>
  </w:num>
  <w:num w:numId="5">
    <w:abstractNumId w:val="6"/>
  </w:num>
  <w:num w:numId="6">
    <w:abstractNumId w:val="15"/>
  </w:num>
  <w:num w:numId="7">
    <w:abstractNumId w:val="17"/>
  </w:num>
  <w:num w:numId="8">
    <w:abstractNumId w:val="13"/>
  </w:num>
  <w:num w:numId="9">
    <w:abstractNumId w:val="1"/>
  </w:num>
  <w:num w:numId="10">
    <w:abstractNumId w:val="18"/>
  </w:num>
  <w:num w:numId="11">
    <w:abstractNumId w:val="12"/>
  </w:num>
  <w:num w:numId="12">
    <w:abstractNumId w:val="0"/>
  </w:num>
  <w:num w:numId="13">
    <w:abstractNumId w:val="21"/>
  </w:num>
  <w:num w:numId="14">
    <w:abstractNumId w:val="3"/>
  </w:num>
  <w:num w:numId="15">
    <w:abstractNumId w:val="7"/>
  </w:num>
  <w:num w:numId="16">
    <w:abstractNumId w:val="4"/>
  </w:num>
  <w:num w:numId="17">
    <w:abstractNumId w:val="16"/>
  </w:num>
  <w:num w:numId="18">
    <w:abstractNumId w:val="9"/>
  </w:num>
  <w:num w:numId="19">
    <w:abstractNumId w:val="10"/>
  </w:num>
  <w:num w:numId="20">
    <w:abstractNumId w:val="11"/>
    <w:lvlOverride w:ilvl="0">
      <w:startOverride w:val="1"/>
    </w:lvlOverride>
  </w:num>
  <w:num w:numId="21">
    <w:abstractNumId w:val="5"/>
  </w:num>
  <w:num w:numId="2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20A6B"/>
    <w:rsid w:val="00023E30"/>
    <w:rsid w:val="00032071"/>
    <w:rsid w:val="0003613F"/>
    <w:rsid w:val="000466AF"/>
    <w:rsid w:val="00051C09"/>
    <w:rsid w:val="00074B15"/>
    <w:rsid w:val="00076664"/>
    <w:rsid w:val="000A170B"/>
    <w:rsid w:val="000A701C"/>
    <w:rsid w:val="000A7B04"/>
    <w:rsid w:val="000C1A67"/>
    <w:rsid w:val="000C3F77"/>
    <w:rsid w:val="000D0C6A"/>
    <w:rsid w:val="000F4E2E"/>
    <w:rsid w:val="001164F2"/>
    <w:rsid w:val="00122EB7"/>
    <w:rsid w:val="00124AA4"/>
    <w:rsid w:val="001266BE"/>
    <w:rsid w:val="00141751"/>
    <w:rsid w:val="001663AB"/>
    <w:rsid w:val="00192CA4"/>
    <w:rsid w:val="00192D6F"/>
    <w:rsid w:val="00197754"/>
    <w:rsid w:val="001A15F8"/>
    <w:rsid w:val="001B6466"/>
    <w:rsid w:val="001E6ADE"/>
    <w:rsid w:val="001F1AAF"/>
    <w:rsid w:val="001F1B07"/>
    <w:rsid w:val="001F314E"/>
    <w:rsid w:val="0022234C"/>
    <w:rsid w:val="00242DC2"/>
    <w:rsid w:val="00245AFF"/>
    <w:rsid w:val="0026207F"/>
    <w:rsid w:val="00265BDB"/>
    <w:rsid w:val="00271705"/>
    <w:rsid w:val="00284062"/>
    <w:rsid w:val="002B0162"/>
    <w:rsid w:val="002B7A67"/>
    <w:rsid w:val="002C3632"/>
    <w:rsid w:val="002C7441"/>
    <w:rsid w:val="002D1B18"/>
    <w:rsid w:val="00301ED7"/>
    <w:rsid w:val="0030690F"/>
    <w:rsid w:val="0032565B"/>
    <w:rsid w:val="00334506"/>
    <w:rsid w:val="00336914"/>
    <w:rsid w:val="003544C3"/>
    <w:rsid w:val="0037223D"/>
    <w:rsid w:val="003C3678"/>
    <w:rsid w:val="003F2679"/>
    <w:rsid w:val="0040420E"/>
    <w:rsid w:val="00406240"/>
    <w:rsid w:val="0041606D"/>
    <w:rsid w:val="00432A5D"/>
    <w:rsid w:val="0043583A"/>
    <w:rsid w:val="00435D93"/>
    <w:rsid w:val="00444D48"/>
    <w:rsid w:val="00452678"/>
    <w:rsid w:val="004570AE"/>
    <w:rsid w:val="00466EC6"/>
    <w:rsid w:val="004861D6"/>
    <w:rsid w:val="004A3F57"/>
    <w:rsid w:val="004D1DAB"/>
    <w:rsid w:val="004D231C"/>
    <w:rsid w:val="00512C29"/>
    <w:rsid w:val="005179C2"/>
    <w:rsid w:val="00524DA7"/>
    <w:rsid w:val="0053485C"/>
    <w:rsid w:val="005825B7"/>
    <w:rsid w:val="00587930"/>
    <w:rsid w:val="005968A2"/>
    <w:rsid w:val="005B4AA9"/>
    <w:rsid w:val="005C7F82"/>
    <w:rsid w:val="005D7609"/>
    <w:rsid w:val="005F055B"/>
    <w:rsid w:val="005F111D"/>
    <w:rsid w:val="0060125E"/>
    <w:rsid w:val="00604776"/>
    <w:rsid w:val="00613820"/>
    <w:rsid w:val="006335BE"/>
    <w:rsid w:val="00636A3C"/>
    <w:rsid w:val="00644FCF"/>
    <w:rsid w:val="00650777"/>
    <w:rsid w:val="00653D50"/>
    <w:rsid w:val="00660C04"/>
    <w:rsid w:val="00676F90"/>
    <w:rsid w:val="006853C7"/>
    <w:rsid w:val="0069600E"/>
    <w:rsid w:val="00697B92"/>
    <w:rsid w:val="006B498D"/>
    <w:rsid w:val="006E4930"/>
    <w:rsid w:val="006F6F50"/>
    <w:rsid w:val="00710338"/>
    <w:rsid w:val="007166A2"/>
    <w:rsid w:val="00717D8B"/>
    <w:rsid w:val="00720A6B"/>
    <w:rsid w:val="007313E5"/>
    <w:rsid w:val="00733E66"/>
    <w:rsid w:val="00735E4A"/>
    <w:rsid w:val="007361C7"/>
    <w:rsid w:val="007423DD"/>
    <w:rsid w:val="00745D68"/>
    <w:rsid w:val="00746133"/>
    <w:rsid w:val="00750C07"/>
    <w:rsid w:val="00765491"/>
    <w:rsid w:val="007825C5"/>
    <w:rsid w:val="0079050C"/>
    <w:rsid w:val="007B1626"/>
    <w:rsid w:val="007C0721"/>
    <w:rsid w:val="007D56F8"/>
    <w:rsid w:val="007E0868"/>
    <w:rsid w:val="007E315C"/>
    <w:rsid w:val="007F0D47"/>
    <w:rsid w:val="007F15CF"/>
    <w:rsid w:val="00801F5F"/>
    <w:rsid w:val="00802AFF"/>
    <w:rsid w:val="0083796F"/>
    <w:rsid w:val="00847DBA"/>
    <w:rsid w:val="008512D9"/>
    <w:rsid w:val="008959EA"/>
    <w:rsid w:val="008B01DC"/>
    <w:rsid w:val="008D3406"/>
    <w:rsid w:val="008D5399"/>
    <w:rsid w:val="008F04A8"/>
    <w:rsid w:val="008F0794"/>
    <w:rsid w:val="0090302C"/>
    <w:rsid w:val="0091507A"/>
    <w:rsid w:val="009208D5"/>
    <w:rsid w:val="0092520B"/>
    <w:rsid w:val="00955637"/>
    <w:rsid w:val="00983235"/>
    <w:rsid w:val="00986391"/>
    <w:rsid w:val="00993EB9"/>
    <w:rsid w:val="009B7778"/>
    <w:rsid w:val="009E4432"/>
    <w:rsid w:val="00A009D5"/>
    <w:rsid w:val="00A0227C"/>
    <w:rsid w:val="00A131D6"/>
    <w:rsid w:val="00A132F7"/>
    <w:rsid w:val="00A74B56"/>
    <w:rsid w:val="00A75C53"/>
    <w:rsid w:val="00A85863"/>
    <w:rsid w:val="00A91079"/>
    <w:rsid w:val="00A91644"/>
    <w:rsid w:val="00AA004B"/>
    <w:rsid w:val="00AA0062"/>
    <w:rsid w:val="00AA3858"/>
    <w:rsid w:val="00AD0BC2"/>
    <w:rsid w:val="00AD20D0"/>
    <w:rsid w:val="00AD4513"/>
    <w:rsid w:val="00AF6F8C"/>
    <w:rsid w:val="00B14D94"/>
    <w:rsid w:val="00B26866"/>
    <w:rsid w:val="00B37E65"/>
    <w:rsid w:val="00B528E0"/>
    <w:rsid w:val="00B70C35"/>
    <w:rsid w:val="00B7364F"/>
    <w:rsid w:val="00B87DEA"/>
    <w:rsid w:val="00BA4EF7"/>
    <w:rsid w:val="00C04641"/>
    <w:rsid w:val="00C15580"/>
    <w:rsid w:val="00C15D54"/>
    <w:rsid w:val="00C258FC"/>
    <w:rsid w:val="00C31841"/>
    <w:rsid w:val="00C351A4"/>
    <w:rsid w:val="00C942AB"/>
    <w:rsid w:val="00CA5E1B"/>
    <w:rsid w:val="00CE0005"/>
    <w:rsid w:val="00CE0AAD"/>
    <w:rsid w:val="00D04401"/>
    <w:rsid w:val="00D169CB"/>
    <w:rsid w:val="00D23994"/>
    <w:rsid w:val="00D24381"/>
    <w:rsid w:val="00D40A79"/>
    <w:rsid w:val="00D41232"/>
    <w:rsid w:val="00D52FCD"/>
    <w:rsid w:val="00D541B6"/>
    <w:rsid w:val="00D77559"/>
    <w:rsid w:val="00D900D2"/>
    <w:rsid w:val="00DB4D67"/>
    <w:rsid w:val="00DC01AA"/>
    <w:rsid w:val="00DC6B46"/>
    <w:rsid w:val="00DC774B"/>
    <w:rsid w:val="00E13678"/>
    <w:rsid w:val="00E275C6"/>
    <w:rsid w:val="00E55BBE"/>
    <w:rsid w:val="00E61F5D"/>
    <w:rsid w:val="00E66878"/>
    <w:rsid w:val="00E66E13"/>
    <w:rsid w:val="00E77253"/>
    <w:rsid w:val="00E92B05"/>
    <w:rsid w:val="00E932F6"/>
    <w:rsid w:val="00E967D1"/>
    <w:rsid w:val="00E9697E"/>
    <w:rsid w:val="00EA5D4D"/>
    <w:rsid w:val="00EC0488"/>
    <w:rsid w:val="00EE3602"/>
    <w:rsid w:val="00EF027B"/>
    <w:rsid w:val="00F00709"/>
    <w:rsid w:val="00F7618F"/>
    <w:rsid w:val="00F813FD"/>
    <w:rsid w:val="00F93D80"/>
    <w:rsid w:val="00F94929"/>
    <w:rsid w:val="00FA20D7"/>
    <w:rsid w:val="00FA33A7"/>
    <w:rsid w:val="00FB72F7"/>
    <w:rsid w:val="00FD3355"/>
    <w:rsid w:val="00FF06EE"/>
    <w:rsid w:val="00FF5FF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9D4C2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aliases w:val="Dot pt,No Spacing1,List Paragraph Char Char Char,Indicator Text,Numbered Para 1,List Paragraph1,Bullet 1,Bullet Points,MAIN CONTENT,OBC Bullet,List Paragraph12,F5 List Paragraph,List Paragraph11,Colorful List - Accent 11"/>
    <w:basedOn w:val="Navaden"/>
    <w:link w:val="OdstavekseznamaZnak"/>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653D50"/>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653D50"/>
    <w:rPr>
      <w:rFonts w:ascii="Arial" w:eastAsia="Times New Roman" w:hAnsi="Arial" w:cs="Times New Roman"/>
      <w:sz w:val="20"/>
      <w:lang w:val="x-none" w:eastAsia="x-none"/>
    </w:rPr>
  </w:style>
  <w:style w:type="character" w:styleId="Sprotnaopomba-sklic">
    <w:name w:val="footnote reference"/>
    <w:aliases w:val="Footnote Reference Number,Footnote Reference_LVL6,Footnote Reference_LVL61,Footnote Reference_LVL62,Footnote Reference_LVL63,Footnote Reference_LVL64,SUPERS,Footnote Reference Superscript,BVI fnr,Footnote symbol,Footnote sign"/>
    <w:link w:val="16Point"/>
    <w:uiPriority w:val="99"/>
    <w:unhideWhenUsed/>
    <w:qFormat/>
    <w:rsid w:val="00432A5D"/>
    <w:rPr>
      <w:vertAlign w:val="superscript"/>
    </w:rPr>
  </w:style>
  <w:style w:type="paragraph" w:customStyle="1" w:styleId="16Point">
    <w:name w:val="16 Point"/>
    <w:aliases w:val="Superscript 6 Point,Times 10 Point,Exposant 3 Point,Footnote reference number,Odwołanie przypisu,number,Ref,de nota al pie,footnote ref,2001+ Fußnotenzeichen,BVI fnr Знак Знак,BVI fnr Car Car Знак Знак,BVI fnr Car Знак Знак,R"/>
    <w:basedOn w:val="Navaden"/>
    <w:link w:val="Sprotnaopomba-sklic"/>
    <w:uiPriority w:val="99"/>
    <w:rsid w:val="00432A5D"/>
    <w:pPr>
      <w:spacing w:before="120" w:after="160" w:line="240" w:lineRule="exact"/>
    </w:pPr>
    <w:rPr>
      <w:rFonts w:asciiTheme="minorHAnsi" w:eastAsiaTheme="minorHAnsi" w:hAnsiTheme="minorHAnsi" w:cstheme="minorBidi"/>
      <w:sz w:val="22"/>
      <w:szCs w:val="22"/>
      <w:vertAlign w:val="superscript"/>
    </w:rPr>
  </w:style>
  <w:style w:type="paragraph" w:customStyle="1" w:styleId="Alineazaodstavkom">
    <w:name w:val="Alinea za odstavkom"/>
    <w:basedOn w:val="Navaden"/>
    <w:link w:val="AlineazaodstavkomZnak"/>
    <w:qFormat/>
    <w:rsid w:val="00432A5D"/>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432A5D"/>
    <w:rPr>
      <w:rFonts w:ascii="Arial" w:eastAsia="Times New Roman" w:hAnsi="Arial" w:cs="Arial"/>
      <w:lang w:eastAsia="sl-SI"/>
    </w:rPr>
  </w:style>
  <w:style w:type="paragraph" w:customStyle="1" w:styleId="Odsek">
    <w:name w:val="Odsek"/>
    <w:basedOn w:val="Navaden"/>
    <w:link w:val="OdsekZnak"/>
    <w:qFormat/>
    <w:rsid w:val="00432A5D"/>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sekZnak">
    <w:name w:val="Odsek Znak"/>
    <w:link w:val="Odsek"/>
    <w:rsid w:val="00432A5D"/>
    <w:rPr>
      <w:rFonts w:ascii="Arial" w:eastAsia="Times New Roman" w:hAnsi="Arial" w:cs="Arial"/>
      <w:b/>
      <w:lang w:eastAsia="sl-SI"/>
    </w:rPr>
  </w:style>
  <w:style w:type="character" w:customStyle="1" w:styleId="OdstavekseznamaZnak">
    <w:name w:val="Odstavek seznama Znak"/>
    <w:aliases w:val="Dot pt Znak,No Spacing1 Znak,List Paragraph Char Char Char Znak,Indicator Text Znak,Numbered Para 1 Znak,List Paragraph1 Znak,Bullet 1 Znak,Bullet Points Znak,MAIN CONTENT Znak,OBC Bullet Znak,List Paragraph12 Znak"/>
    <w:link w:val="Odstavekseznama"/>
    <w:uiPriority w:val="34"/>
    <w:qFormat/>
    <w:locked/>
    <w:rsid w:val="00432A5D"/>
    <w:rPr>
      <w:rFonts w:ascii="Times New Roman" w:eastAsia="Times New Roman" w:hAnsi="Times New Roman" w:cs="Times New Roman"/>
      <w:szCs w:val="20"/>
      <w:lang w:eastAsia="sl-SI"/>
    </w:rPr>
  </w:style>
  <w:style w:type="character" w:customStyle="1" w:styleId="NaslovpredpisaZnakZnak">
    <w:name w:val="Naslov_predpisa Znak Znak"/>
    <w:rsid w:val="00432A5D"/>
    <w:rPr>
      <w:rFonts w:ascii="Times New Roman" w:eastAsia="Times New Roman" w:hAnsi="Times New Roman" w:cs="Arial"/>
      <w:b/>
      <w:snapToGrid w:val="0"/>
      <w:lang w:eastAsia="sl-SI"/>
    </w:rPr>
  </w:style>
  <w:style w:type="paragraph" w:customStyle="1" w:styleId="ALINEJELUKA">
    <w:name w:val="ALINEJE_LUKA"/>
    <w:basedOn w:val="Alineazaodstavkom"/>
    <w:link w:val="ALINEJELUKAZnak"/>
    <w:uiPriority w:val="99"/>
    <w:qFormat/>
    <w:rsid w:val="00432A5D"/>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432A5D"/>
    <w:rPr>
      <w:rFonts w:ascii="Arial" w:eastAsia="Calibri" w:hAnsi="Arial" w:cs="Times New Roman"/>
      <w:sz w:val="20"/>
      <w:szCs w:val="20"/>
      <w:lang w:val="x-none" w:eastAsia="sl-SI"/>
    </w:rPr>
  </w:style>
  <w:style w:type="paragraph" w:customStyle="1" w:styleId="len">
    <w:name w:val="Člen"/>
    <w:basedOn w:val="Navaden"/>
    <w:link w:val="lenZnak"/>
    <w:uiPriority w:val="99"/>
    <w:qFormat/>
    <w:rsid w:val="00432A5D"/>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uiPriority w:val="99"/>
    <w:rsid w:val="00432A5D"/>
    <w:rPr>
      <w:rFonts w:ascii="Arial" w:eastAsia="Calibri" w:hAnsi="Arial" w:cs="Times New Roman"/>
      <w:b/>
      <w:bCs/>
      <w:sz w:val="20"/>
      <w:szCs w:val="20"/>
      <w:lang w:val="x-none" w:eastAsia="sl-SI"/>
    </w:rPr>
  </w:style>
  <w:style w:type="paragraph" w:customStyle="1" w:styleId="Neotevilenodstavek">
    <w:name w:val="Neoštevilčen odstavek"/>
    <w:basedOn w:val="Navaden"/>
    <w:link w:val="NeotevilenodstavekZnak"/>
    <w:qFormat/>
    <w:rsid w:val="009E44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9E4432"/>
    <w:rPr>
      <w:rFonts w:ascii="Arial" w:eastAsia="Times New Roman" w:hAnsi="Arial" w:cs="Arial"/>
      <w:lang w:eastAsia="sl-SI"/>
    </w:rPr>
  </w:style>
  <w:style w:type="paragraph" w:customStyle="1" w:styleId="Naslovpredpisa">
    <w:name w:val="Naslov_predpisa"/>
    <w:basedOn w:val="Navaden"/>
    <w:link w:val="NaslovpredpisaZnak"/>
    <w:qFormat/>
    <w:rsid w:val="009E44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9E4432"/>
    <w:rPr>
      <w:rFonts w:ascii="Arial" w:eastAsia="Times New Roman" w:hAnsi="Arial" w:cs="Arial"/>
      <w:b/>
      <w:lang w:eastAsia="sl-SI"/>
    </w:rPr>
  </w:style>
  <w:style w:type="paragraph" w:customStyle="1" w:styleId="Poglavje">
    <w:name w:val="Poglavje"/>
    <w:basedOn w:val="Navaden"/>
    <w:qFormat/>
    <w:rsid w:val="009E44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9E4432"/>
    <w:pPr>
      <w:numPr>
        <w:numId w:val="1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9E4432"/>
    <w:rPr>
      <w:rFonts w:ascii="Arial" w:eastAsia="Times New Roman" w:hAnsi="Arial" w:cs="Arial"/>
      <w:b/>
      <w:lang w:eastAsia="sl-SI"/>
    </w:rPr>
  </w:style>
  <w:style w:type="paragraph" w:customStyle="1" w:styleId="Odstavekseznama1">
    <w:name w:val="Odstavek seznama1"/>
    <w:basedOn w:val="Navaden"/>
    <w:qFormat/>
    <w:rsid w:val="009E44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9E4432"/>
    <w:pPr>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rsid w:val="009E4432"/>
    <w:rPr>
      <w:rFonts w:ascii="Arial" w:eastAsia="Times New Roman" w:hAnsi="Arial" w:cs="Arial"/>
      <w:lang w:eastAsia="sl-SI"/>
    </w:rPr>
  </w:style>
  <w:style w:type="character" w:customStyle="1" w:styleId="rkovnatokazaodstavkomZnak">
    <w:name w:val="Črkovna točka_za odstavkom Znak"/>
    <w:link w:val="rkovnatokazaodstavkom"/>
    <w:rsid w:val="009E4432"/>
    <w:rPr>
      <w:rFonts w:ascii="Arial" w:hAnsi="Arial"/>
    </w:rPr>
  </w:style>
  <w:style w:type="paragraph" w:customStyle="1" w:styleId="rkovnatokazaodstavkom">
    <w:name w:val="Črkovna točka_za odstavkom"/>
    <w:basedOn w:val="Navaden"/>
    <w:link w:val="rkovnatokazaodstavkomZnak"/>
    <w:qFormat/>
    <w:rsid w:val="009E4432"/>
    <w:pPr>
      <w:numPr>
        <w:numId w:val="20"/>
      </w:numPr>
      <w:overflowPunct w:val="0"/>
      <w:autoSpaceDE w:val="0"/>
      <w:autoSpaceDN w:val="0"/>
      <w:adjustRightInd w:val="0"/>
      <w:spacing w:line="200" w:lineRule="exact"/>
      <w:jc w:val="both"/>
      <w:textAlignment w:val="baseline"/>
    </w:pPr>
    <w:rPr>
      <w:rFonts w:eastAsia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720A6B"/>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
    <w:name w:val="Body Text"/>
    <w:aliases w:val=" Znak Znak Znak"/>
    <w:basedOn w:val="Navaden"/>
    <w:link w:val="TelobesedilaZnak"/>
    <w:rsid w:val="00720A6B"/>
    <w:pPr>
      <w:spacing w:line="240" w:lineRule="auto"/>
      <w:jc w:val="both"/>
    </w:pPr>
    <w:rPr>
      <w:rFonts w:ascii="Times New Roman" w:hAnsi="Times New Roman"/>
      <w:b/>
      <w:bCs/>
      <w:sz w:val="24"/>
      <w:szCs w:val="20"/>
      <w:lang w:eastAsia="sl-SI"/>
    </w:rPr>
  </w:style>
  <w:style w:type="character" w:customStyle="1" w:styleId="TelobesedilaZnak">
    <w:name w:val="Telo besedila Znak"/>
    <w:aliases w:val=" Znak Znak Znak Znak"/>
    <w:basedOn w:val="Privzetapisavaodstavka"/>
    <w:link w:val="Telobesedila"/>
    <w:rsid w:val="00720A6B"/>
    <w:rPr>
      <w:rFonts w:ascii="Times New Roman" w:eastAsia="Times New Roman" w:hAnsi="Times New Roman" w:cs="Times New Roman"/>
      <w:b/>
      <w:bCs/>
      <w:sz w:val="24"/>
      <w:szCs w:val="20"/>
      <w:lang w:eastAsia="sl-SI"/>
    </w:rPr>
  </w:style>
  <w:style w:type="paragraph" w:styleId="Odstavekseznama">
    <w:name w:val="List Paragraph"/>
    <w:aliases w:val="Dot pt,No Spacing1,List Paragraph Char Char Char,Indicator Text,Numbered Para 1,List Paragraph1,Bullet 1,Bullet Points,MAIN CONTENT,OBC Bullet,List Paragraph12,F5 List Paragraph,List Paragraph11,Colorful List - Accent 11"/>
    <w:basedOn w:val="Navaden"/>
    <w:link w:val="OdstavekseznamaZnak"/>
    <w:uiPriority w:val="34"/>
    <w:qFormat/>
    <w:rsid w:val="00720A6B"/>
    <w:pPr>
      <w:spacing w:line="240" w:lineRule="auto"/>
      <w:ind w:left="720"/>
      <w:contextualSpacing/>
      <w:jc w:val="both"/>
    </w:pPr>
    <w:rPr>
      <w:rFonts w:ascii="Times New Roman" w:hAnsi="Times New Roman"/>
      <w:sz w:val="22"/>
      <w:szCs w:val="20"/>
      <w:lang w:eastAsia="sl-SI"/>
    </w:rPr>
  </w:style>
  <w:style w:type="paragraph" w:styleId="Glava">
    <w:name w:val="header"/>
    <w:basedOn w:val="Navaden"/>
    <w:link w:val="GlavaZnak"/>
    <w:uiPriority w:val="99"/>
    <w:unhideWhenUsed/>
    <w:rsid w:val="0026207F"/>
    <w:pPr>
      <w:tabs>
        <w:tab w:val="center" w:pos="4536"/>
        <w:tab w:val="right" w:pos="9072"/>
      </w:tabs>
      <w:spacing w:line="240" w:lineRule="auto"/>
    </w:pPr>
  </w:style>
  <w:style w:type="character" w:customStyle="1" w:styleId="GlavaZnak">
    <w:name w:val="Glava Znak"/>
    <w:basedOn w:val="Privzetapisavaodstavka"/>
    <w:link w:val="Glava"/>
    <w:uiPriority w:val="99"/>
    <w:rsid w:val="0026207F"/>
    <w:rPr>
      <w:rFonts w:ascii="Arial" w:eastAsia="Times New Roman" w:hAnsi="Arial" w:cs="Times New Roman"/>
      <w:sz w:val="20"/>
      <w:szCs w:val="24"/>
    </w:rPr>
  </w:style>
  <w:style w:type="paragraph" w:styleId="Noga">
    <w:name w:val="footer"/>
    <w:basedOn w:val="Navaden"/>
    <w:link w:val="NogaZnak"/>
    <w:uiPriority w:val="99"/>
    <w:unhideWhenUsed/>
    <w:rsid w:val="0026207F"/>
    <w:pPr>
      <w:tabs>
        <w:tab w:val="center" w:pos="4536"/>
        <w:tab w:val="right" w:pos="9072"/>
      </w:tabs>
      <w:spacing w:line="240" w:lineRule="auto"/>
    </w:pPr>
  </w:style>
  <w:style w:type="character" w:customStyle="1" w:styleId="NogaZnak">
    <w:name w:val="Noga Znak"/>
    <w:basedOn w:val="Privzetapisavaodstavka"/>
    <w:link w:val="Noga"/>
    <w:uiPriority w:val="99"/>
    <w:rsid w:val="0026207F"/>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26207F"/>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26207F"/>
    <w:rPr>
      <w:rFonts w:ascii="Tahoma" w:eastAsia="Times New Roman" w:hAnsi="Tahoma" w:cs="Tahoma"/>
      <w:sz w:val="16"/>
      <w:szCs w:val="16"/>
    </w:rPr>
  </w:style>
  <w:style w:type="character" w:styleId="Pripombasklic">
    <w:name w:val="annotation reference"/>
    <w:uiPriority w:val="99"/>
    <w:semiHidden/>
    <w:unhideWhenUsed/>
    <w:rsid w:val="00192D6F"/>
    <w:rPr>
      <w:sz w:val="16"/>
      <w:szCs w:val="16"/>
    </w:rPr>
  </w:style>
  <w:style w:type="paragraph" w:styleId="Pripombabesedilo">
    <w:name w:val="annotation text"/>
    <w:basedOn w:val="Navaden"/>
    <w:link w:val="PripombabesediloZnak"/>
    <w:uiPriority w:val="99"/>
    <w:semiHidden/>
    <w:unhideWhenUsed/>
    <w:rsid w:val="00192D6F"/>
    <w:pPr>
      <w:spacing w:line="240" w:lineRule="auto"/>
    </w:pPr>
    <w:rPr>
      <w:rFonts w:eastAsia="Calibri" w:cs="Arial"/>
      <w:szCs w:val="20"/>
      <w:lang w:eastAsia="sl-SI"/>
    </w:rPr>
  </w:style>
  <w:style w:type="character" w:customStyle="1" w:styleId="PripombabesediloZnak">
    <w:name w:val="Pripomba – besedilo Znak"/>
    <w:basedOn w:val="Privzetapisavaodstavka"/>
    <w:link w:val="Pripombabesedilo"/>
    <w:uiPriority w:val="99"/>
    <w:semiHidden/>
    <w:rsid w:val="00192D6F"/>
    <w:rPr>
      <w:rFonts w:ascii="Arial" w:eastAsia="Calibri" w:hAnsi="Arial" w:cs="Arial"/>
      <w:sz w:val="20"/>
      <w:szCs w:val="20"/>
      <w:lang w:eastAsia="sl-SI"/>
    </w:rPr>
  </w:style>
  <w:style w:type="paragraph" w:styleId="Zadevapripombe">
    <w:name w:val="annotation subject"/>
    <w:basedOn w:val="Pripombabesedilo"/>
    <w:next w:val="Pripombabesedilo"/>
    <w:link w:val="ZadevapripombeZnak"/>
    <w:uiPriority w:val="99"/>
    <w:semiHidden/>
    <w:unhideWhenUsed/>
    <w:rsid w:val="00E92B05"/>
    <w:rPr>
      <w:rFonts w:eastAsia="Times New Roman" w:cs="Times New Roman"/>
      <w:b/>
      <w:bCs/>
      <w:lang w:eastAsia="en-US"/>
    </w:rPr>
  </w:style>
  <w:style w:type="character" w:customStyle="1" w:styleId="ZadevapripombeZnak">
    <w:name w:val="Zadeva pripombe Znak"/>
    <w:basedOn w:val="PripombabesediloZnak"/>
    <w:link w:val="Zadevapripombe"/>
    <w:uiPriority w:val="99"/>
    <w:semiHidden/>
    <w:rsid w:val="00E92B05"/>
    <w:rPr>
      <w:rFonts w:ascii="Arial" w:eastAsia="Times New Roman" w:hAnsi="Arial" w:cs="Times New Roman"/>
      <w:b/>
      <w:bCs/>
      <w:sz w:val="20"/>
      <w:szCs w:val="20"/>
      <w:lang w:eastAsia="sl-SI"/>
    </w:rPr>
  </w:style>
  <w:style w:type="paragraph" w:customStyle="1" w:styleId="Odstavek">
    <w:name w:val="Odstavek"/>
    <w:basedOn w:val="Navaden"/>
    <w:link w:val="OdstavekZnak"/>
    <w:qFormat/>
    <w:rsid w:val="00653D50"/>
    <w:pPr>
      <w:overflowPunct w:val="0"/>
      <w:autoSpaceDE w:val="0"/>
      <w:autoSpaceDN w:val="0"/>
      <w:adjustRightInd w:val="0"/>
      <w:spacing w:before="240" w:line="240" w:lineRule="auto"/>
      <w:ind w:firstLine="1021"/>
      <w:jc w:val="both"/>
    </w:pPr>
    <w:rPr>
      <w:szCs w:val="22"/>
      <w:lang w:val="x-none" w:eastAsia="x-none"/>
    </w:rPr>
  </w:style>
  <w:style w:type="character" w:customStyle="1" w:styleId="OdstavekZnak">
    <w:name w:val="Odstavek Znak"/>
    <w:link w:val="Odstavek"/>
    <w:rsid w:val="00653D50"/>
    <w:rPr>
      <w:rFonts w:ascii="Arial" w:eastAsia="Times New Roman" w:hAnsi="Arial" w:cs="Times New Roman"/>
      <w:sz w:val="20"/>
      <w:lang w:val="x-none" w:eastAsia="x-none"/>
    </w:rPr>
  </w:style>
  <w:style w:type="character" w:styleId="Sprotnaopomba-sklic">
    <w:name w:val="footnote reference"/>
    <w:aliases w:val="Footnote Reference Number,Footnote Reference_LVL6,Footnote Reference_LVL61,Footnote Reference_LVL62,Footnote Reference_LVL63,Footnote Reference_LVL64,SUPERS,Footnote Reference Superscript,BVI fnr,Footnote symbol,Footnote sign"/>
    <w:link w:val="16Point"/>
    <w:uiPriority w:val="99"/>
    <w:unhideWhenUsed/>
    <w:qFormat/>
    <w:rsid w:val="00432A5D"/>
    <w:rPr>
      <w:vertAlign w:val="superscript"/>
    </w:rPr>
  </w:style>
  <w:style w:type="paragraph" w:customStyle="1" w:styleId="16Point">
    <w:name w:val="16 Point"/>
    <w:aliases w:val="Superscript 6 Point,Times 10 Point,Exposant 3 Point,Footnote reference number,Odwołanie przypisu,number,Ref,de nota al pie,footnote ref,2001+ Fußnotenzeichen,BVI fnr Знак Знак,BVI fnr Car Car Знак Знак,BVI fnr Car Знак Знак,R"/>
    <w:basedOn w:val="Navaden"/>
    <w:link w:val="Sprotnaopomba-sklic"/>
    <w:uiPriority w:val="99"/>
    <w:rsid w:val="00432A5D"/>
    <w:pPr>
      <w:spacing w:before="120" w:after="160" w:line="240" w:lineRule="exact"/>
    </w:pPr>
    <w:rPr>
      <w:rFonts w:asciiTheme="minorHAnsi" w:eastAsiaTheme="minorHAnsi" w:hAnsiTheme="minorHAnsi" w:cstheme="minorBidi"/>
      <w:sz w:val="22"/>
      <w:szCs w:val="22"/>
      <w:vertAlign w:val="superscript"/>
    </w:rPr>
  </w:style>
  <w:style w:type="paragraph" w:customStyle="1" w:styleId="Alineazaodstavkom">
    <w:name w:val="Alinea za odstavkom"/>
    <w:basedOn w:val="Navaden"/>
    <w:link w:val="AlineazaodstavkomZnak"/>
    <w:qFormat/>
    <w:rsid w:val="00432A5D"/>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432A5D"/>
    <w:rPr>
      <w:rFonts w:ascii="Arial" w:eastAsia="Times New Roman" w:hAnsi="Arial" w:cs="Arial"/>
      <w:lang w:eastAsia="sl-SI"/>
    </w:rPr>
  </w:style>
  <w:style w:type="paragraph" w:customStyle="1" w:styleId="Odsek">
    <w:name w:val="Odsek"/>
    <w:basedOn w:val="Navaden"/>
    <w:link w:val="OdsekZnak"/>
    <w:qFormat/>
    <w:rsid w:val="00432A5D"/>
    <w:pPr>
      <w:numPr>
        <w:numId w:val="8"/>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sekZnak">
    <w:name w:val="Odsek Znak"/>
    <w:link w:val="Odsek"/>
    <w:rsid w:val="00432A5D"/>
    <w:rPr>
      <w:rFonts w:ascii="Arial" w:eastAsia="Times New Roman" w:hAnsi="Arial" w:cs="Arial"/>
      <w:b/>
      <w:lang w:eastAsia="sl-SI"/>
    </w:rPr>
  </w:style>
  <w:style w:type="character" w:customStyle="1" w:styleId="OdstavekseznamaZnak">
    <w:name w:val="Odstavek seznama Znak"/>
    <w:aliases w:val="Dot pt Znak,No Spacing1 Znak,List Paragraph Char Char Char Znak,Indicator Text Znak,Numbered Para 1 Znak,List Paragraph1 Znak,Bullet 1 Znak,Bullet Points Znak,MAIN CONTENT Znak,OBC Bullet Znak,List Paragraph12 Znak"/>
    <w:link w:val="Odstavekseznama"/>
    <w:uiPriority w:val="34"/>
    <w:qFormat/>
    <w:locked/>
    <w:rsid w:val="00432A5D"/>
    <w:rPr>
      <w:rFonts w:ascii="Times New Roman" w:eastAsia="Times New Roman" w:hAnsi="Times New Roman" w:cs="Times New Roman"/>
      <w:szCs w:val="20"/>
      <w:lang w:eastAsia="sl-SI"/>
    </w:rPr>
  </w:style>
  <w:style w:type="character" w:customStyle="1" w:styleId="NaslovpredpisaZnakZnak">
    <w:name w:val="Naslov_predpisa Znak Znak"/>
    <w:rsid w:val="00432A5D"/>
    <w:rPr>
      <w:rFonts w:ascii="Times New Roman" w:eastAsia="Times New Roman" w:hAnsi="Times New Roman" w:cs="Arial"/>
      <w:b/>
      <w:snapToGrid w:val="0"/>
      <w:lang w:eastAsia="sl-SI"/>
    </w:rPr>
  </w:style>
  <w:style w:type="paragraph" w:customStyle="1" w:styleId="ALINEJELUKA">
    <w:name w:val="ALINEJE_LUKA"/>
    <w:basedOn w:val="Alineazaodstavkom"/>
    <w:link w:val="ALINEJELUKAZnak"/>
    <w:uiPriority w:val="99"/>
    <w:qFormat/>
    <w:rsid w:val="00432A5D"/>
    <w:pPr>
      <w:numPr>
        <w:numId w:val="0"/>
      </w:numPr>
      <w:tabs>
        <w:tab w:val="left" w:pos="709"/>
      </w:tabs>
      <w:overflowPunct/>
      <w:autoSpaceDE/>
      <w:autoSpaceDN/>
      <w:adjustRightInd/>
      <w:spacing w:line="240" w:lineRule="auto"/>
      <w:textAlignment w:val="auto"/>
    </w:pPr>
    <w:rPr>
      <w:rFonts w:eastAsia="Calibri" w:cs="Times New Roman"/>
      <w:sz w:val="20"/>
      <w:szCs w:val="20"/>
      <w:lang w:val="x-none"/>
    </w:rPr>
  </w:style>
  <w:style w:type="character" w:customStyle="1" w:styleId="ALINEJELUKAZnak">
    <w:name w:val="ALINEJE_LUKA Znak"/>
    <w:link w:val="ALINEJELUKA"/>
    <w:uiPriority w:val="99"/>
    <w:rsid w:val="00432A5D"/>
    <w:rPr>
      <w:rFonts w:ascii="Arial" w:eastAsia="Calibri" w:hAnsi="Arial" w:cs="Times New Roman"/>
      <w:sz w:val="20"/>
      <w:szCs w:val="20"/>
      <w:lang w:val="x-none" w:eastAsia="sl-SI"/>
    </w:rPr>
  </w:style>
  <w:style w:type="paragraph" w:customStyle="1" w:styleId="len">
    <w:name w:val="Člen"/>
    <w:basedOn w:val="Navaden"/>
    <w:link w:val="lenZnak"/>
    <w:uiPriority w:val="99"/>
    <w:qFormat/>
    <w:rsid w:val="00432A5D"/>
    <w:pPr>
      <w:keepNext/>
      <w:keepLines/>
      <w:suppressAutoHyphens/>
      <w:overflowPunct w:val="0"/>
      <w:autoSpaceDE w:val="0"/>
      <w:autoSpaceDN w:val="0"/>
      <w:adjustRightInd w:val="0"/>
      <w:spacing w:before="480" w:line="240" w:lineRule="auto"/>
      <w:jc w:val="center"/>
      <w:textAlignment w:val="baseline"/>
    </w:pPr>
    <w:rPr>
      <w:rFonts w:eastAsia="Calibri"/>
      <w:b/>
      <w:bCs/>
      <w:szCs w:val="20"/>
      <w:lang w:val="x-none" w:eastAsia="sl-SI"/>
    </w:rPr>
  </w:style>
  <w:style w:type="character" w:customStyle="1" w:styleId="lenZnak">
    <w:name w:val="Člen Znak"/>
    <w:link w:val="len"/>
    <w:uiPriority w:val="99"/>
    <w:rsid w:val="00432A5D"/>
    <w:rPr>
      <w:rFonts w:ascii="Arial" w:eastAsia="Calibri" w:hAnsi="Arial" w:cs="Times New Roman"/>
      <w:b/>
      <w:bCs/>
      <w:sz w:val="20"/>
      <w:szCs w:val="20"/>
      <w:lang w:val="x-none" w:eastAsia="sl-SI"/>
    </w:rPr>
  </w:style>
  <w:style w:type="paragraph" w:customStyle="1" w:styleId="Neotevilenodstavek">
    <w:name w:val="Neoštevilčen odstavek"/>
    <w:basedOn w:val="Navaden"/>
    <w:link w:val="NeotevilenodstavekZnak"/>
    <w:qFormat/>
    <w:rsid w:val="009E44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9E4432"/>
    <w:rPr>
      <w:rFonts w:ascii="Arial" w:eastAsia="Times New Roman" w:hAnsi="Arial" w:cs="Arial"/>
      <w:lang w:eastAsia="sl-SI"/>
    </w:rPr>
  </w:style>
  <w:style w:type="paragraph" w:customStyle="1" w:styleId="Naslovpredpisa">
    <w:name w:val="Naslov_predpisa"/>
    <w:basedOn w:val="Navaden"/>
    <w:link w:val="NaslovpredpisaZnak"/>
    <w:qFormat/>
    <w:rsid w:val="009E44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9E4432"/>
    <w:rPr>
      <w:rFonts w:ascii="Arial" w:eastAsia="Times New Roman" w:hAnsi="Arial" w:cs="Arial"/>
      <w:b/>
      <w:lang w:eastAsia="sl-SI"/>
    </w:rPr>
  </w:style>
  <w:style w:type="paragraph" w:customStyle="1" w:styleId="Poglavje">
    <w:name w:val="Poglavje"/>
    <w:basedOn w:val="Navaden"/>
    <w:qFormat/>
    <w:rsid w:val="009E44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Oddelek">
    <w:name w:val="Oddelek"/>
    <w:basedOn w:val="Navaden"/>
    <w:link w:val="OddelekZnak1"/>
    <w:qFormat/>
    <w:rsid w:val="009E4432"/>
    <w:pPr>
      <w:numPr>
        <w:numId w:val="19"/>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9E4432"/>
    <w:rPr>
      <w:rFonts w:ascii="Arial" w:eastAsia="Times New Roman" w:hAnsi="Arial" w:cs="Arial"/>
      <w:b/>
      <w:lang w:eastAsia="sl-SI"/>
    </w:rPr>
  </w:style>
  <w:style w:type="paragraph" w:customStyle="1" w:styleId="Odstavekseznama1">
    <w:name w:val="Odstavek seznama1"/>
    <w:basedOn w:val="Navaden"/>
    <w:qFormat/>
    <w:rsid w:val="009E44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9E4432"/>
    <w:pPr>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rsid w:val="009E4432"/>
    <w:rPr>
      <w:rFonts w:ascii="Arial" w:eastAsia="Times New Roman" w:hAnsi="Arial" w:cs="Arial"/>
      <w:lang w:eastAsia="sl-SI"/>
    </w:rPr>
  </w:style>
  <w:style w:type="character" w:customStyle="1" w:styleId="rkovnatokazaodstavkomZnak">
    <w:name w:val="Črkovna točka_za odstavkom Znak"/>
    <w:link w:val="rkovnatokazaodstavkom"/>
    <w:rsid w:val="009E4432"/>
    <w:rPr>
      <w:rFonts w:ascii="Arial" w:hAnsi="Arial"/>
    </w:rPr>
  </w:style>
  <w:style w:type="paragraph" w:customStyle="1" w:styleId="rkovnatokazaodstavkom">
    <w:name w:val="Črkovna točka_za odstavkom"/>
    <w:basedOn w:val="Navaden"/>
    <w:link w:val="rkovnatokazaodstavkomZnak"/>
    <w:qFormat/>
    <w:rsid w:val="009E4432"/>
    <w:pPr>
      <w:numPr>
        <w:numId w:val="20"/>
      </w:numPr>
      <w:overflowPunct w:val="0"/>
      <w:autoSpaceDE w:val="0"/>
      <w:autoSpaceDN w:val="0"/>
      <w:adjustRightInd w:val="0"/>
      <w:spacing w:line="200" w:lineRule="exact"/>
      <w:jc w:val="both"/>
      <w:textAlignment w:val="baseline"/>
    </w:pPr>
    <w:rPr>
      <w:rFonts w:eastAsia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mop@gov.si" TargetMode="External"/><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17</Pages>
  <Words>6791</Words>
  <Characters>38712</Characters>
  <Application>Microsoft Office Word</Application>
  <DocSecurity>0</DocSecurity>
  <Lines>322</Lines>
  <Paragraphs>90</Paragraphs>
  <ScaleCrop>false</ScaleCrop>
  <HeadingPairs>
    <vt:vector size="2" baseType="variant">
      <vt:variant>
        <vt:lpstr>Naslov</vt:lpstr>
      </vt:variant>
      <vt:variant>
        <vt:i4>1</vt:i4>
      </vt:variant>
    </vt:vector>
  </HeadingPairs>
  <TitlesOfParts>
    <vt:vector size="1" baseType="lpstr">
      <vt:lpstr/>
    </vt:vector>
  </TitlesOfParts>
  <LinksUpToDate>false</LinksUpToDate>
  <CharactersWithSpaces>45413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2019-09-12T08:47:00Z</dcterms:created>
  <dcterms:modified xsi:type="dcterms:W3CDTF">2019-09-12T08:47:00Z</dcterms:modified>
</cp:coreProperties>
</file>