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916" w:rsidRPr="004E461E" w:rsidRDefault="007E5916" w:rsidP="00021042">
      <w:pPr>
        <w:jc w:val="both"/>
      </w:pPr>
      <w:r w:rsidRPr="004E461E">
        <w:t xml:space="preserve">Na podlagi </w:t>
      </w:r>
      <w:r>
        <w:t>prvega</w:t>
      </w:r>
      <w:r w:rsidR="00021042">
        <w:t xml:space="preserve"> odstavka 36</w:t>
      </w:r>
      <w:r w:rsidRPr="004E461E">
        <w:t>. člena</w:t>
      </w:r>
      <w:r>
        <w:t xml:space="preserve"> </w:t>
      </w:r>
      <w:r w:rsidRPr="004E461E">
        <w:t xml:space="preserve">Zakona o fitofarmacevtskih sredstvih (Uradni list RS, št. 83/12) izdaja </w:t>
      </w:r>
      <w:r>
        <w:t>ministrica</w:t>
      </w:r>
      <w:r w:rsidRPr="004E461E">
        <w:t xml:space="preserve"> za kmetijstvo</w:t>
      </w:r>
      <w:r>
        <w:t>, gozdarstvo in prehrano</w:t>
      </w:r>
    </w:p>
    <w:p w:rsidR="007E5916" w:rsidRPr="004E461E" w:rsidRDefault="007E5916" w:rsidP="00021042">
      <w:pPr>
        <w:jc w:val="both"/>
      </w:pPr>
    </w:p>
    <w:p w:rsidR="007E5916" w:rsidRPr="004E461E" w:rsidRDefault="007E5916" w:rsidP="00021042"/>
    <w:p w:rsidR="007E5916" w:rsidRPr="004E461E" w:rsidRDefault="007E5916" w:rsidP="00021042">
      <w:pPr>
        <w:jc w:val="center"/>
        <w:rPr>
          <w:b/>
        </w:rPr>
      </w:pPr>
      <w:r w:rsidRPr="004E461E">
        <w:rPr>
          <w:b/>
        </w:rPr>
        <w:t>PRAVILNIK</w:t>
      </w:r>
    </w:p>
    <w:p w:rsidR="007E5916" w:rsidRPr="004E461E" w:rsidRDefault="008368C0" w:rsidP="00021042">
      <w:pPr>
        <w:jc w:val="center"/>
        <w:rPr>
          <w:b/>
        </w:rPr>
      </w:pPr>
      <w:r>
        <w:rPr>
          <w:b/>
        </w:rPr>
        <w:t xml:space="preserve">o določitvi </w:t>
      </w:r>
      <w:r w:rsidR="00B23364">
        <w:rPr>
          <w:b/>
        </w:rPr>
        <w:t>usklajenih kazalnikov</w:t>
      </w:r>
      <w:r w:rsidR="007E5916">
        <w:rPr>
          <w:b/>
        </w:rPr>
        <w:t xml:space="preserve"> tveganja</w:t>
      </w:r>
    </w:p>
    <w:p w:rsidR="007E5916" w:rsidRPr="004E461E" w:rsidRDefault="007E5916" w:rsidP="00021042"/>
    <w:p w:rsidR="007E5916" w:rsidRPr="004E461E" w:rsidRDefault="007E5916" w:rsidP="00021042">
      <w:pPr>
        <w:jc w:val="center"/>
        <w:rPr>
          <w:bCs/>
        </w:rPr>
      </w:pPr>
      <w:r w:rsidRPr="004E461E">
        <w:rPr>
          <w:bCs/>
        </w:rPr>
        <w:t>1  člen</w:t>
      </w:r>
    </w:p>
    <w:p w:rsidR="007E5916" w:rsidRPr="004E461E" w:rsidRDefault="007E5916" w:rsidP="00021042">
      <w:pPr>
        <w:jc w:val="center"/>
        <w:rPr>
          <w:bCs/>
        </w:rPr>
      </w:pPr>
      <w:r w:rsidRPr="004E461E">
        <w:rPr>
          <w:bCs/>
        </w:rPr>
        <w:t>(vsebina)</w:t>
      </w:r>
    </w:p>
    <w:p w:rsidR="00D32CF7" w:rsidRPr="008368C0" w:rsidRDefault="00D32CF7" w:rsidP="00021042">
      <w:pPr>
        <w:jc w:val="both"/>
        <w:rPr>
          <w:bCs/>
          <w:color w:val="1F3864" w:themeColor="accent5" w:themeShade="80"/>
        </w:rPr>
      </w:pPr>
      <w:r>
        <w:rPr>
          <w:bCs/>
        </w:rPr>
        <w:t>S tem pravilnikom</w:t>
      </w:r>
      <w:r w:rsidRPr="00D32CF7">
        <w:rPr>
          <w:bCs/>
        </w:rPr>
        <w:t xml:space="preserve"> se določajo </w:t>
      </w:r>
      <w:r>
        <w:rPr>
          <w:bCs/>
        </w:rPr>
        <w:t>usklajeni kazalniki tveganja za izvajanje Direktive Komisije (EU) 2019/782 z dne 15. maja 2019 o spremembi Direktive 2009/128/ES Evropskega parlamenta in Sveta glede določitve usklajenih ka</w:t>
      </w:r>
      <w:r w:rsidR="008518AB">
        <w:rPr>
          <w:bCs/>
        </w:rPr>
        <w:t>zalniki tveganja</w:t>
      </w:r>
      <w:r w:rsidRPr="00D32CF7">
        <w:rPr>
          <w:bCs/>
        </w:rPr>
        <w:t xml:space="preserve"> (UL L št. </w:t>
      </w:r>
      <w:r w:rsidR="008518AB">
        <w:rPr>
          <w:bCs/>
        </w:rPr>
        <w:t>127 z dne 16. 5. 2019, str. 4</w:t>
      </w:r>
      <w:r w:rsidRPr="00D32CF7">
        <w:rPr>
          <w:bCs/>
        </w:rPr>
        <w:t xml:space="preserve">;  v nadaljnjem besedilu: </w:t>
      </w:r>
      <w:r w:rsidR="008518AB">
        <w:rPr>
          <w:bCs/>
        </w:rPr>
        <w:t>Direktiva</w:t>
      </w:r>
      <w:r w:rsidRPr="00D32CF7">
        <w:rPr>
          <w:bCs/>
        </w:rPr>
        <w:t xml:space="preserve"> 201</w:t>
      </w:r>
      <w:r w:rsidR="008518AB">
        <w:rPr>
          <w:bCs/>
        </w:rPr>
        <w:t>9</w:t>
      </w:r>
      <w:r w:rsidRPr="00D32CF7">
        <w:rPr>
          <w:bCs/>
        </w:rPr>
        <w:t>/</w:t>
      </w:r>
      <w:r w:rsidR="008518AB">
        <w:rPr>
          <w:bCs/>
        </w:rPr>
        <w:t>782/EU).</w:t>
      </w:r>
      <w:r w:rsidR="008368C0">
        <w:rPr>
          <w:bCs/>
        </w:rPr>
        <w:t xml:space="preserve"> </w:t>
      </w:r>
      <w:r w:rsidR="008368C0">
        <w:rPr>
          <w:bCs/>
          <w:color w:val="1F3864" w:themeColor="accent5" w:themeShade="80"/>
        </w:rPr>
        <w:t>(Opomba: zaenkrat sta dva, predvideva se jih dodati še več)</w:t>
      </w:r>
    </w:p>
    <w:p w:rsidR="007E5916" w:rsidRPr="004E461E" w:rsidRDefault="007E5916" w:rsidP="00021042">
      <w:pPr>
        <w:jc w:val="both"/>
        <w:rPr>
          <w:bCs/>
        </w:rPr>
      </w:pPr>
    </w:p>
    <w:p w:rsidR="007E5916" w:rsidRPr="004E461E" w:rsidRDefault="007E5916" w:rsidP="00021042">
      <w:pPr>
        <w:jc w:val="center"/>
        <w:rPr>
          <w:bCs/>
        </w:rPr>
      </w:pPr>
      <w:r w:rsidRPr="004E461E">
        <w:rPr>
          <w:bCs/>
        </w:rPr>
        <w:t>2. člen</w:t>
      </w:r>
    </w:p>
    <w:p w:rsidR="007E5916" w:rsidRPr="004E461E" w:rsidRDefault="007E5916" w:rsidP="00021042">
      <w:pPr>
        <w:jc w:val="center"/>
        <w:rPr>
          <w:bCs/>
        </w:rPr>
      </w:pPr>
      <w:r w:rsidRPr="004E461E">
        <w:rPr>
          <w:bCs/>
        </w:rPr>
        <w:t>(pomen izrazov)</w:t>
      </w:r>
    </w:p>
    <w:p w:rsidR="0049574D" w:rsidRDefault="0049574D" w:rsidP="00021042">
      <w:pPr>
        <w:tabs>
          <w:tab w:val="left" w:pos="426"/>
          <w:tab w:val="num" w:pos="1353"/>
        </w:tabs>
        <w:jc w:val="both"/>
        <w:rPr>
          <w:bCs/>
        </w:rPr>
      </w:pPr>
      <w:r w:rsidRPr="0049574D">
        <w:rPr>
          <w:bCs/>
        </w:rPr>
        <w:t xml:space="preserve">Poleg izrazov </w:t>
      </w:r>
      <w:r>
        <w:rPr>
          <w:bCs/>
        </w:rPr>
        <w:t>iz zakona</w:t>
      </w:r>
      <w:r w:rsidRPr="0049574D">
        <w:rPr>
          <w:bCs/>
        </w:rPr>
        <w:t>, ki ureja fitofarmacevtska sredstva (v nadaljnjem besedilu: FFS)</w:t>
      </w:r>
      <w:r w:rsidR="00021042">
        <w:rPr>
          <w:bCs/>
        </w:rPr>
        <w:t>,</w:t>
      </w:r>
      <w:r>
        <w:rPr>
          <w:bCs/>
        </w:rPr>
        <w:t xml:space="preserve"> se v tem</w:t>
      </w:r>
      <w:r w:rsidRPr="0049574D">
        <w:rPr>
          <w:bCs/>
        </w:rPr>
        <w:t xml:space="preserve"> </w:t>
      </w:r>
      <w:r>
        <w:rPr>
          <w:bCs/>
        </w:rPr>
        <w:t>pravilniku</w:t>
      </w:r>
      <w:r w:rsidRPr="0049574D">
        <w:rPr>
          <w:bCs/>
        </w:rPr>
        <w:t xml:space="preserve"> uporabljajo tudi izrazi z naslednjim pomenom</w:t>
      </w:r>
      <w:r>
        <w:rPr>
          <w:bCs/>
        </w:rPr>
        <w:t>:</w:t>
      </w:r>
    </w:p>
    <w:p w:rsidR="00C8377A" w:rsidRDefault="0049574D" w:rsidP="00021042">
      <w:pPr>
        <w:tabs>
          <w:tab w:val="left" w:pos="426"/>
          <w:tab w:val="num" w:pos="1353"/>
        </w:tabs>
        <w:jc w:val="both"/>
        <w:rPr>
          <w:bCs/>
        </w:rPr>
      </w:pPr>
      <w:r>
        <w:rPr>
          <w:bCs/>
        </w:rPr>
        <w:t xml:space="preserve">‒ 'usklajeni kazalniki tveganja' pomenijo kazalce </w:t>
      </w:r>
      <w:r w:rsidR="00C8377A">
        <w:rPr>
          <w:bCs/>
        </w:rPr>
        <w:t>tveganja v skladu s predpisi EU,</w:t>
      </w:r>
    </w:p>
    <w:p w:rsidR="0049574D" w:rsidRDefault="00C8377A" w:rsidP="00021042">
      <w:pPr>
        <w:tabs>
          <w:tab w:val="left" w:pos="426"/>
          <w:tab w:val="num" w:pos="1353"/>
        </w:tabs>
        <w:jc w:val="both"/>
        <w:rPr>
          <w:bCs/>
        </w:rPr>
      </w:pPr>
      <w:r w:rsidRPr="00C8377A">
        <w:rPr>
          <w:bCs/>
        </w:rPr>
        <w:t>‒</w:t>
      </w:r>
      <w:r>
        <w:rPr>
          <w:bCs/>
        </w:rPr>
        <w:t xml:space="preserve"> 'Uredba </w:t>
      </w:r>
      <w:r w:rsidRPr="00C8377A">
        <w:rPr>
          <w:bCs/>
        </w:rPr>
        <w:t>1107/2009/ES</w:t>
      </w:r>
      <w:r>
        <w:rPr>
          <w:bCs/>
        </w:rPr>
        <w:t xml:space="preserve">' pomeni </w:t>
      </w:r>
      <w:r w:rsidR="009D033D" w:rsidRPr="009D033D">
        <w:rPr>
          <w:bCs/>
        </w:rPr>
        <w:t>Uredb</w:t>
      </w:r>
      <w:r w:rsidR="009D033D">
        <w:rPr>
          <w:bCs/>
        </w:rPr>
        <w:t>o</w:t>
      </w:r>
      <w:r w:rsidR="009D033D" w:rsidRPr="009D033D">
        <w:rPr>
          <w:bCs/>
        </w:rPr>
        <w:t xml:space="preserve"> (ES) št. 1107/2009 Evropskega Parlamenta in Sveta z dne 21. oktobra 2009 o dajanju fitofarmacevtskih sredstev v promet in razveljavitvi direktiv Sveta 79/117/EGS in 91/414/EGS (UL L št. 309 z dne 24. 11. 2009, str. 1), zadnjič spremenjen</w:t>
      </w:r>
      <w:r w:rsidR="009D033D">
        <w:rPr>
          <w:bCs/>
        </w:rPr>
        <w:t>e z</w:t>
      </w:r>
      <w:r w:rsidR="009D033D" w:rsidRPr="009D033D">
        <w:rPr>
          <w:bCs/>
        </w:rPr>
        <w:t xml:space="preserve"> Uredbo Komisije (EU) 2018/605 z dne 19. aprila 2018 o spremembi Priloge II k Uredbi (ES) št. 1107/2009 z določitvijo znanstvenih meril za ugotavljanje lastnosti endokrinih motilcev (UL L št. 101 z dne 20. 4. 2018, str. 33)</w:t>
      </w:r>
      <w:r w:rsidR="009D033D">
        <w:rPr>
          <w:bCs/>
        </w:rPr>
        <w:t>,</w:t>
      </w:r>
    </w:p>
    <w:p w:rsidR="0059596A" w:rsidRDefault="00C8377A" w:rsidP="00021042">
      <w:pPr>
        <w:tabs>
          <w:tab w:val="left" w:pos="426"/>
          <w:tab w:val="num" w:pos="1353"/>
        </w:tabs>
        <w:jc w:val="both"/>
        <w:rPr>
          <w:bCs/>
        </w:rPr>
      </w:pPr>
      <w:r w:rsidRPr="00C8377A">
        <w:rPr>
          <w:bCs/>
        </w:rPr>
        <w:t>‒</w:t>
      </w:r>
      <w:r>
        <w:rPr>
          <w:bCs/>
        </w:rPr>
        <w:t xml:space="preserve"> 'Uredba 1185/2009/ES' pomeni</w:t>
      </w:r>
      <w:r w:rsidR="009D033D">
        <w:rPr>
          <w:bCs/>
        </w:rPr>
        <w:t xml:space="preserve"> </w:t>
      </w:r>
      <w:r w:rsidR="0059596A" w:rsidRPr="0059596A">
        <w:rPr>
          <w:bCs/>
        </w:rPr>
        <w:t>Uredb</w:t>
      </w:r>
      <w:r w:rsidR="0059596A">
        <w:rPr>
          <w:bCs/>
        </w:rPr>
        <w:t>o</w:t>
      </w:r>
      <w:r w:rsidR="0059596A" w:rsidRPr="0059596A">
        <w:rPr>
          <w:bCs/>
        </w:rPr>
        <w:t xml:space="preserve"> (ES) št. 1185/2009 Evropskega parlamenta in Sveta z dne 25. novembra 2009 o statističnih podatkih o pesticidih</w:t>
      </w:r>
      <w:r w:rsidR="0059596A">
        <w:rPr>
          <w:bCs/>
        </w:rPr>
        <w:t xml:space="preserve"> (</w:t>
      </w:r>
      <w:r w:rsidR="0059596A" w:rsidRPr="0059596A">
        <w:rPr>
          <w:bCs/>
        </w:rPr>
        <w:t xml:space="preserve">UL L št. </w:t>
      </w:r>
      <w:r w:rsidR="0059596A">
        <w:rPr>
          <w:bCs/>
        </w:rPr>
        <w:t>324</w:t>
      </w:r>
      <w:r w:rsidR="0059596A" w:rsidRPr="0059596A">
        <w:rPr>
          <w:bCs/>
        </w:rPr>
        <w:t xml:space="preserve"> z dne </w:t>
      </w:r>
      <w:r w:rsidR="0059596A">
        <w:rPr>
          <w:bCs/>
        </w:rPr>
        <w:t>10</w:t>
      </w:r>
      <w:r w:rsidR="0059596A" w:rsidRPr="0059596A">
        <w:rPr>
          <w:bCs/>
        </w:rPr>
        <w:t xml:space="preserve">. </w:t>
      </w:r>
      <w:r w:rsidR="0059596A">
        <w:rPr>
          <w:bCs/>
        </w:rPr>
        <w:t>12</w:t>
      </w:r>
      <w:r w:rsidR="0059596A" w:rsidRPr="0059596A">
        <w:rPr>
          <w:bCs/>
        </w:rPr>
        <w:t>. 20</w:t>
      </w:r>
      <w:r w:rsidR="0059596A">
        <w:rPr>
          <w:bCs/>
        </w:rPr>
        <w:t>09</w:t>
      </w:r>
      <w:r w:rsidR="0059596A" w:rsidRPr="0059596A">
        <w:rPr>
          <w:bCs/>
        </w:rPr>
        <w:t xml:space="preserve">, str. </w:t>
      </w:r>
      <w:r w:rsidR="0059596A">
        <w:rPr>
          <w:bCs/>
        </w:rPr>
        <w:t>1</w:t>
      </w:r>
      <w:r w:rsidR="0059596A" w:rsidRPr="0059596A">
        <w:rPr>
          <w:bCs/>
        </w:rPr>
        <w:t>)</w:t>
      </w:r>
      <w:r w:rsidR="0059596A">
        <w:rPr>
          <w:bCs/>
        </w:rPr>
        <w:t xml:space="preserve">, zadnjič spremenjene z </w:t>
      </w:r>
      <w:r w:rsidR="0059596A" w:rsidRPr="0059596A">
        <w:rPr>
          <w:bCs/>
        </w:rPr>
        <w:t>Uredb</w:t>
      </w:r>
      <w:r w:rsidR="0059596A">
        <w:rPr>
          <w:bCs/>
        </w:rPr>
        <w:t>o</w:t>
      </w:r>
      <w:r w:rsidR="0059596A" w:rsidRPr="0059596A">
        <w:rPr>
          <w:bCs/>
        </w:rPr>
        <w:t xml:space="preserve"> Komisije (EU) 2017/269 z dne 16. februarja 2017 o spremembi Uredbe (ES) št. 1185/2009 Evropskega parlamenta in Sveta o statističnih podatkih o pesticidih v zvezi s seznamom aktivnih snovi </w:t>
      </w:r>
      <w:r w:rsidR="0059596A">
        <w:rPr>
          <w:bCs/>
        </w:rPr>
        <w:t>(</w:t>
      </w:r>
      <w:r w:rsidR="0059596A" w:rsidRPr="0059596A">
        <w:rPr>
          <w:bCs/>
        </w:rPr>
        <w:t xml:space="preserve">UL L </w:t>
      </w:r>
      <w:r w:rsidR="0059596A">
        <w:rPr>
          <w:bCs/>
        </w:rPr>
        <w:t xml:space="preserve">št. 40 z dne </w:t>
      </w:r>
      <w:r w:rsidR="0059596A" w:rsidRPr="0059596A">
        <w:rPr>
          <w:bCs/>
        </w:rPr>
        <w:t>17.2.2017, str. 4</w:t>
      </w:r>
      <w:r w:rsidR="0059596A">
        <w:rPr>
          <w:bCs/>
        </w:rPr>
        <w:t>),</w:t>
      </w:r>
    </w:p>
    <w:p w:rsidR="00C8377A" w:rsidRPr="004E461E" w:rsidRDefault="00C8377A" w:rsidP="00021042">
      <w:pPr>
        <w:tabs>
          <w:tab w:val="left" w:pos="426"/>
          <w:tab w:val="num" w:pos="1353"/>
        </w:tabs>
        <w:jc w:val="both"/>
        <w:rPr>
          <w:bCs/>
        </w:rPr>
      </w:pPr>
      <w:r w:rsidRPr="00C8377A">
        <w:rPr>
          <w:bCs/>
        </w:rPr>
        <w:t>‒</w:t>
      </w:r>
      <w:r>
        <w:rPr>
          <w:bCs/>
        </w:rPr>
        <w:t xml:space="preserve"> 'Uredba </w:t>
      </w:r>
      <w:r w:rsidRPr="00C8377A">
        <w:rPr>
          <w:bCs/>
        </w:rPr>
        <w:t>540/2011/EU</w:t>
      </w:r>
      <w:r>
        <w:rPr>
          <w:bCs/>
        </w:rPr>
        <w:t xml:space="preserve">' pomeni </w:t>
      </w:r>
      <w:r w:rsidR="009D033D" w:rsidRPr="009D033D">
        <w:rPr>
          <w:bCs/>
        </w:rPr>
        <w:t>Izvedben</w:t>
      </w:r>
      <w:r w:rsidR="009D033D">
        <w:rPr>
          <w:bCs/>
        </w:rPr>
        <w:t>o</w:t>
      </w:r>
      <w:r w:rsidR="009D033D" w:rsidRPr="009D033D">
        <w:rPr>
          <w:bCs/>
        </w:rPr>
        <w:t xml:space="preserve"> uredb</w:t>
      </w:r>
      <w:r w:rsidR="009D033D">
        <w:rPr>
          <w:bCs/>
        </w:rPr>
        <w:t>o</w:t>
      </w:r>
      <w:r w:rsidR="009D033D" w:rsidRPr="009D033D">
        <w:rPr>
          <w:bCs/>
        </w:rPr>
        <w:t xml:space="preserve"> Komisije (EU) št. 540/2011 z dne 25. maja 2011 o izvajanju Uredbe (ES) št. 1107/2009 Evropskega parlamenta in Sveta glede seznama registriranih aktivnih snovi (UL L 153, 11.6.2011, str. 1) nazadnje spremenjene z Izvedbeno uredbo Komisije (EU) 2019/717 z dne 8. maja 2019 o obnovitvi odobritve aktivne snovi </w:t>
      </w:r>
      <w:proofErr w:type="spellStart"/>
      <w:r w:rsidR="009D033D" w:rsidRPr="009D033D">
        <w:rPr>
          <w:bCs/>
        </w:rPr>
        <w:t>izoksaflutol</w:t>
      </w:r>
      <w:proofErr w:type="spellEnd"/>
      <w:r w:rsidR="009D033D" w:rsidRPr="009D033D">
        <w:rPr>
          <w:bCs/>
        </w:rPr>
        <w:t xml:space="preserve"> v skladu z Uredbo (ES) št. 1107/2009 Evropskega parlamenta in Sveta o dajanju fitofarmacevtskih sredstev v promet ter o spremembi Priloge k Izvedbeni uredbi Komisije (EU) št. 540/2011 (UL L 122, 10.5.2019, str. 44)</w:t>
      </w:r>
      <w:r w:rsidR="009D033D">
        <w:rPr>
          <w:bCs/>
        </w:rPr>
        <w:t>.</w:t>
      </w:r>
    </w:p>
    <w:p w:rsidR="00021042" w:rsidRDefault="00021042" w:rsidP="00021042">
      <w:pPr>
        <w:jc w:val="both"/>
        <w:rPr>
          <w:rFonts w:eastAsia="Times New Roman"/>
          <w:bCs/>
          <w:color w:val="000000"/>
        </w:rPr>
      </w:pPr>
    </w:p>
    <w:p w:rsidR="00021042" w:rsidRDefault="00021042" w:rsidP="0021407D">
      <w:pPr>
        <w:jc w:val="center"/>
        <w:rPr>
          <w:rFonts w:eastAsia="Times New Roman"/>
          <w:bCs/>
          <w:color w:val="000000"/>
        </w:rPr>
      </w:pPr>
      <w:r w:rsidRPr="00021042">
        <w:rPr>
          <w:rFonts w:eastAsia="Times New Roman"/>
          <w:bCs/>
          <w:color w:val="000000"/>
        </w:rPr>
        <w:t>3. člen</w:t>
      </w:r>
    </w:p>
    <w:p w:rsidR="00021042" w:rsidRDefault="00021042" w:rsidP="0021407D">
      <w:pPr>
        <w:jc w:val="center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>(usklajen</w:t>
      </w:r>
      <w:r w:rsidR="008357CC">
        <w:rPr>
          <w:rFonts w:eastAsia="Times New Roman"/>
          <w:bCs/>
          <w:color w:val="000000"/>
        </w:rPr>
        <w:t>a</w:t>
      </w:r>
      <w:r>
        <w:rPr>
          <w:rFonts w:eastAsia="Times New Roman"/>
          <w:bCs/>
          <w:color w:val="000000"/>
        </w:rPr>
        <w:t xml:space="preserve"> kazalnik</w:t>
      </w:r>
      <w:r w:rsidR="008357CC">
        <w:rPr>
          <w:rFonts w:eastAsia="Times New Roman"/>
          <w:bCs/>
          <w:color w:val="000000"/>
        </w:rPr>
        <w:t>a</w:t>
      </w:r>
      <w:r>
        <w:rPr>
          <w:rFonts w:eastAsia="Times New Roman"/>
          <w:bCs/>
          <w:color w:val="000000"/>
        </w:rPr>
        <w:t xml:space="preserve"> tveganja</w:t>
      </w:r>
      <w:r w:rsidR="008357CC">
        <w:rPr>
          <w:rFonts w:eastAsia="Times New Roman"/>
          <w:bCs/>
          <w:color w:val="000000"/>
        </w:rPr>
        <w:t>, izračun in poročanje</w:t>
      </w:r>
      <w:r>
        <w:rPr>
          <w:rFonts w:eastAsia="Times New Roman"/>
          <w:bCs/>
          <w:color w:val="000000"/>
        </w:rPr>
        <w:t>)</w:t>
      </w:r>
    </w:p>
    <w:p w:rsidR="00021042" w:rsidRDefault="008368C0" w:rsidP="00021042">
      <w:pPr>
        <w:jc w:val="both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>(1) Usklajena kazalnika</w:t>
      </w:r>
      <w:r w:rsidR="00021042">
        <w:rPr>
          <w:rFonts w:eastAsia="Times New Roman"/>
          <w:bCs/>
          <w:color w:val="000000"/>
        </w:rPr>
        <w:t xml:space="preserve"> tveganja </w:t>
      </w:r>
      <w:r w:rsidR="00AF21E3">
        <w:rPr>
          <w:rFonts w:eastAsia="Times New Roman"/>
          <w:bCs/>
          <w:color w:val="000000"/>
        </w:rPr>
        <w:t xml:space="preserve">1 in 2 </w:t>
      </w:r>
      <w:r w:rsidR="00D41A78">
        <w:rPr>
          <w:rFonts w:eastAsia="Times New Roman"/>
          <w:bCs/>
          <w:color w:val="000000"/>
        </w:rPr>
        <w:t>za spremljanje trendov pri zmanjševanju tveganja zaradi uporabe fitofarmacevtskih sredstev v Republiki Sloveniji in v EU</w:t>
      </w:r>
      <w:r>
        <w:rPr>
          <w:rFonts w:eastAsia="Times New Roman"/>
          <w:bCs/>
          <w:color w:val="000000"/>
        </w:rPr>
        <w:t xml:space="preserve"> sta določena</w:t>
      </w:r>
      <w:r w:rsidR="00D41A78">
        <w:rPr>
          <w:rFonts w:eastAsia="Times New Roman"/>
          <w:bCs/>
          <w:color w:val="000000"/>
        </w:rPr>
        <w:t xml:space="preserve"> v Prilogi, ki je sestavni del tega pravilnika. </w:t>
      </w:r>
    </w:p>
    <w:p w:rsidR="003F054D" w:rsidRDefault="003F054D" w:rsidP="00021042">
      <w:pPr>
        <w:jc w:val="both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>(2) U</w:t>
      </w:r>
      <w:r w:rsidRPr="00EB0BFE">
        <w:rPr>
          <w:rFonts w:eastAsia="Times New Roman"/>
          <w:bCs/>
          <w:color w:val="000000"/>
        </w:rPr>
        <w:t>sklajen</w:t>
      </w:r>
      <w:r>
        <w:rPr>
          <w:rFonts w:eastAsia="Times New Roman"/>
          <w:bCs/>
          <w:color w:val="000000"/>
        </w:rPr>
        <w:t>a</w:t>
      </w:r>
      <w:r w:rsidRPr="00EB0BFE">
        <w:rPr>
          <w:rFonts w:eastAsia="Times New Roman"/>
          <w:bCs/>
          <w:color w:val="000000"/>
        </w:rPr>
        <w:t xml:space="preserve"> kazalnik</w:t>
      </w:r>
      <w:r>
        <w:rPr>
          <w:rFonts w:eastAsia="Times New Roman"/>
          <w:bCs/>
          <w:color w:val="000000"/>
        </w:rPr>
        <w:t>a</w:t>
      </w:r>
      <w:r w:rsidRPr="00EB0BFE">
        <w:rPr>
          <w:rFonts w:eastAsia="Times New Roman"/>
          <w:bCs/>
          <w:color w:val="000000"/>
        </w:rPr>
        <w:t xml:space="preserve"> tveganja 1 </w:t>
      </w:r>
      <w:r>
        <w:rPr>
          <w:rFonts w:eastAsia="Times New Roman"/>
          <w:bCs/>
          <w:color w:val="000000"/>
        </w:rPr>
        <w:t>in 2 iz prejšnjega odstavka se izračunata, objavita in pošljeta Evropski Komisiji.</w:t>
      </w:r>
    </w:p>
    <w:p w:rsidR="003F054D" w:rsidRDefault="003F054D" w:rsidP="00021042">
      <w:pPr>
        <w:jc w:val="both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>(3) Usklajeni k</w:t>
      </w:r>
      <w:r w:rsidRPr="00EA2743">
        <w:rPr>
          <w:rFonts w:eastAsia="Times New Roman"/>
          <w:bCs/>
          <w:color w:val="000000"/>
        </w:rPr>
        <w:t>azalnik</w:t>
      </w:r>
      <w:r>
        <w:rPr>
          <w:rFonts w:eastAsia="Times New Roman"/>
          <w:bCs/>
          <w:color w:val="000000"/>
        </w:rPr>
        <w:t xml:space="preserve"> tveganja 1</w:t>
      </w:r>
      <w:r w:rsidRPr="00EA2743">
        <w:rPr>
          <w:rFonts w:eastAsia="Times New Roman"/>
          <w:bCs/>
          <w:color w:val="000000"/>
        </w:rPr>
        <w:t xml:space="preserve"> temelji na statističnih podatkih o količinah aktivnih snovi, danih v promet v fitofarmacevtskih sredstvih</w:t>
      </w:r>
      <w:r w:rsidR="00AF21E3">
        <w:rPr>
          <w:rFonts w:eastAsia="Times New Roman"/>
          <w:bCs/>
          <w:color w:val="000000"/>
        </w:rPr>
        <w:t>,</w:t>
      </w:r>
      <w:r w:rsidRPr="00EA2743">
        <w:rPr>
          <w:rFonts w:eastAsia="Times New Roman"/>
          <w:bCs/>
          <w:color w:val="000000"/>
        </w:rPr>
        <w:t xml:space="preserve"> </w:t>
      </w:r>
      <w:r w:rsidR="00AF21E3">
        <w:rPr>
          <w:rFonts w:eastAsia="Times New Roman"/>
          <w:bCs/>
          <w:color w:val="000000"/>
        </w:rPr>
        <w:t>ki</w:t>
      </w:r>
      <w:r w:rsidR="00AF21E3">
        <w:rPr>
          <w:rFonts w:eastAsia="Times New Roman"/>
          <w:bCs/>
          <w:color w:val="000000"/>
        </w:rPr>
        <w:t xml:space="preserve"> se pošljejo Evropski komisiji</w:t>
      </w:r>
      <w:r w:rsidR="00AF21E3" w:rsidRPr="00D33BAB">
        <w:rPr>
          <w:rFonts w:eastAsia="Times New Roman"/>
          <w:bCs/>
          <w:color w:val="000000"/>
        </w:rPr>
        <w:t xml:space="preserve"> </w:t>
      </w:r>
      <w:r w:rsidRPr="00D33BAB">
        <w:rPr>
          <w:rFonts w:eastAsia="Times New Roman"/>
          <w:bCs/>
          <w:color w:val="000000"/>
        </w:rPr>
        <w:t xml:space="preserve">v skladu zakonom, ki ureja FFS in </w:t>
      </w:r>
      <w:r w:rsidR="0059596A">
        <w:rPr>
          <w:rFonts w:eastAsia="Times New Roman"/>
          <w:bCs/>
          <w:color w:val="000000"/>
        </w:rPr>
        <w:t>Uredbo 1185/2009/ES</w:t>
      </w:r>
      <w:r>
        <w:rPr>
          <w:rFonts w:eastAsia="Times New Roman"/>
          <w:bCs/>
          <w:color w:val="000000"/>
        </w:rPr>
        <w:t>.</w:t>
      </w:r>
      <w:r w:rsidRPr="00EA2743">
        <w:rPr>
          <w:rFonts w:eastAsia="Times New Roman"/>
          <w:bCs/>
          <w:color w:val="000000"/>
        </w:rPr>
        <w:t xml:space="preserve"> Navedeni podatki </w:t>
      </w:r>
      <w:r>
        <w:rPr>
          <w:rFonts w:eastAsia="Times New Roman"/>
          <w:bCs/>
          <w:color w:val="000000"/>
        </w:rPr>
        <w:t>se kategorizirajo</w:t>
      </w:r>
      <w:r w:rsidRPr="00EA2743">
        <w:rPr>
          <w:rFonts w:eastAsia="Times New Roman"/>
          <w:bCs/>
          <w:color w:val="000000"/>
        </w:rPr>
        <w:t xml:space="preserve"> v 4 skupine,</w:t>
      </w:r>
      <w:r>
        <w:rPr>
          <w:rFonts w:eastAsia="Times New Roman"/>
          <w:bCs/>
          <w:color w:val="000000"/>
        </w:rPr>
        <w:t xml:space="preserve"> ki so razdeljene v 7 kategorij, kot je določeno v preglednici 1 </w:t>
      </w:r>
      <w:r w:rsidR="00AF21E3">
        <w:rPr>
          <w:rFonts w:eastAsia="Times New Roman"/>
          <w:bCs/>
          <w:color w:val="000000"/>
        </w:rPr>
        <w:t xml:space="preserve">v </w:t>
      </w:r>
      <w:r>
        <w:rPr>
          <w:rFonts w:eastAsia="Times New Roman"/>
          <w:bCs/>
          <w:color w:val="000000"/>
        </w:rPr>
        <w:t>prilog</w:t>
      </w:r>
      <w:r w:rsidR="00AF21E3">
        <w:rPr>
          <w:rFonts w:eastAsia="Times New Roman"/>
          <w:bCs/>
          <w:color w:val="000000"/>
        </w:rPr>
        <w:t>i</w:t>
      </w:r>
      <w:r>
        <w:rPr>
          <w:rFonts w:eastAsia="Times New Roman"/>
          <w:bCs/>
          <w:color w:val="000000"/>
        </w:rPr>
        <w:t xml:space="preserve"> k temu pravilniku</w:t>
      </w:r>
      <w:r w:rsidR="00AF21E3">
        <w:rPr>
          <w:rFonts w:eastAsia="Times New Roman"/>
          <w:bCs/>
          <w:color w:val="000000"/>
        </w:rPr>
        <w:t>.</w:t>
      </w:r>
    </w:p>
    <w:p w:rsidR="003F054D" w:rsidRDefault="003F054D" w:rsidP="003F054D">
      <w:pPr>
        <w:jc w:val="both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 xml:space="preserve">(4) Usklajeni kazalnik tveganja 2 temelji na </w:t>
      </w:r>
      <w:r w:rsidR="00AF21E3">
        <w:rPr>
          <w:rFonts w:eastAsia="Times New Roman"/>
          <w:bCs/>
          <w:color w:val="000000"/>
        </w:rPr>
        <w:t xml:space="preserve">podatkih o </w:t>
      </w:r>
      <w:r>
        <w:rPr>
          <w:rFonts w:eastAsia="Times New Roman"/>
          <w:bCs/>
          <w:color w:val="000000"/>
        </w:rPr>
        <w:t>številu izdanih dovoljenj za FFS za nujne primere</w:t>
      </w:r>
      <w:r w:rsidR="00AF21E3">
        <w:rPr>
          <w:rFonts w:eastAsia="Times New Roman"/>
          <w:bCs/>
          <w:color w:val="000000"/>
        </w:rPr>
        <w:t>,</w:t>
      </w:r>
      <w:r>
        <w:rPr>
          <w:rFonts w:eastAsia="Times New Roman"/>
          <w:bCs/>
          <w:color w:val="000000"/>
        </w:rPr>
        <w:t xml:space="preserve"> </w:t>
      </w:r>
      <w:r w:rsidR="00AF21E3">
        <w:rPr>
          <w:rFonts w:eastAsia="Times New Roman"/>
          <w:bCs/>
          <w:color w:val="000000"/>
        </w:rPr>
        <w:t>ki se pošljejo Evropski k</w:t>
      </w:r>
      <w:r w:rsidR="00AF21E3">
        <w:rPr>
          <w:rFonts w:eastAsia="Times New Roman"/>
          <w:bCs/>
          <w:color w:val="000000"/>
        </w:rPr>
        <w:t>omisiji</w:t>
      </w:r>
      <w:r w:rsidR="00AF21E3">
        <w:rPr>
          <w:rFonts w:eastAsia="Times New Roman"/>
          <w:bCs/>
          <w:color w:val="000000"/>
        </w:rPr>
        <w:t xml:space="preserve"> </w:t>
      </w:r>
      <w:r>
        <w:rPr>
          <w:rFonts w:eastAsia="Times New Roman"/>
          <w:bCs/>
          <w:color w:val="000000"/>
        </w:rPr>
        <w:t>v</w:t>
      </w:r>
      <w:r w:rsidR="00AF21E3">
        <w:rPr>
          <w:rFonts w:eastAsia="Times New Roman"/>
          <w:bCs/>
          <w:color w:val="000000"/>
        </w:rPr>
        <w:t xml:space="preserve"> skladu z zakonom, ki ureja FFS</w:t>
      </w:r>
      <w:r>
        <w:rPr>
          <w:rFonts w:eastAsia="Times New Roman"/>
          <w:bCs/>
          <w:color w:val="000000"/>
        </w:rPr>
        <w:t xml:space="preserve">. </w:t>
      </w:r>
      <w:r w:rsidRPr="00BC70AF">
        <w:rPr>
          <w:rFonts w:eastAsia="Times New Roman"/>
          <w:bCs/>
          <w:color w:val="000000"/>
        </w:rPr>
        <w:t xml:space="preserve">Navedeni podatki se kategorizirajo v 4 skupine, ki so razdeljene v 7 kategorij, kot je določeno v preglednici </w:t>
      </w:r>
      <w:r>
        <w:rPr>
          <w:rFonts w:eastAsia="Times New Roman"/>
          <w:bCs/>
          <w:color w:val="000000"/>
        </w:rPr>
        <w:t>2</w:t>
      </w:r>
      <w:r w:rsidRPr="00BC70AF">
        <w:rPr>
          <w:rFonts w:eastAsia="Times New Roman"/>
          <w:bCs/>
          <w:color w:val="000000"/>
        </w:rPr>
        <w:t xml:space="preserve"> </w:t>
      </w:r>
      <w:r w:rsidR="00433704">
        <w:rPr>
          <w:rFonts w:eastAsia="Times New Roman"/>
          <w:bCs/>
          <w:color w:val="000000"/>
        </w:rPr>
        <w:t xml:space="preserve">v </w:t>
      </w:r>
      <w:r w:rsidRPr="00BC70AF">
        <w:rPr>
          <w:rFonts w:eastAsia="Times New Roman"/>
          <w:bCs/>
          <w:color w:val="000000"/>
        </w:rPr>
        <w:t>prilog</w:t>
      </w:r>
      <w:r w:rsidR="00433704">
        <w:rPr>
          <w:rFonts w:eastAsia="Times New Roman"/>
          <w:bCs/>
          <w:color w:val="000000"/>
        </w:rPr>
        <w:t>i</w:t>
      </w:r>
      <w:r w:rsidRPr="00BC70AF">
        <w:rPr>
          <w:rFonts w:eastAsia="Times New Roman"/>
          <w:bCs/>
          <w:color w:val="000000"/>
        </w:rPr>
        <w:t xml:space="preserve"> k temu pravilniku.</w:t>
      </w:r>
    </w:p>
    <w:p w:rsidR="003F054D" w:rsidRDefault="003F054D" w:rsidP="003F054D">
      <w:pPr>
        <w:jc w:val="both"/>
        <w:rPr>
          <w:rFonts w:eastAsia="Times New Roman"/>
          <w:bCs/>
          <w:color w:val="000000"/>
        </w:rPr>
      </w:pPr>
    </w:p>
    <w:p w:rsidR="00E62D60" w:rsidRDefault="00E62D60" w:rsidP="00C263FA">
      <w:pPr>
        <w:jc w:val="center"/>
        <w:rPr>
          <w:bCs/>
        </w:rPr>
      </w:pPr>
    </w:p>
    <w:p w:rsidR="00E62D60" w:rsidRDefault="00E62D60" w:rsidP="00C263FA">
      <w:pPr>
        <w:jc w:val="center"/>
        <w:rPr>
          <w:bCs/>
        </w:rPr>
      </w:pPr>
    </w:p>
    <w:p w:rsidR="00C263FA" w:rsidRPr="004E461E" w:rsidRDefault="003F054D" w:rsidP="00C263FA">
      <w:pPr>
        <w:jc w:val="center"/>
        <w:rPr>
          <w:bCs/>
        </w:rPr>
      </w:pPr>
      <w:bookmarkStart w:id="0" w:name="_GoBack"/>
      <w:bookmarkEnd w:id="0"/>
      <w:r>
        <w:rPr>
          <w:bCs/>
        </w:rPr>
        <w:lastRenderedPageBreak/>
        <w:t>4</w:t>
      </w:r>
      <w:r w:rsidR="00C263FA" w:rsidRPr="004E461E">
        <w:rPr>
          <w:bCs/>
        </w:rPr>
        <w:t>. člen</w:t>
      </w:r>
    </w:p>
    <w:p w:rsidR="00C263FA" w:rsidRPr="004E461E" w:rsidRDefault="00C263FA" w:rsidP="00C263FA">
      <w:pPr>
        <w:jc w:val="center"/>
        <w:rPr>
          <w:bCs/>
        </w:rPr>
      </w:pPr>
      <w:r w:rsidRPr="004E461E">
        <w:rPr>
          <w:bCs/>
        </w:rPr>
        <w:t>(začetek veljavnosti)</w:t>
      </w:r>
    </w:p>
    <w:p w:rsidR="00C263FA" w:rsidRPr="004E461E" w:rsidRDefault="00C263FA" w:rsidP="00C263FA">
      <w:pPr>
        <w:jc w:val="both"/>
      </w:pPr>
      <w:r w:rsidRPr="004E461E">
        <w:t>Ta pravilnik začne veljati petnajsti dan po objavi v Uradnem listu Republike Slovenije.</w:t>
      </w:r>
    </w:p>
    <w:p w:rsidR="00021042" w:rsidRPr="00021042" w:rsidRDefault="00021042" w:rsidP="00021042">
      <w:pPr>
        <w:jc w:val="both"/>
        <w:rPr>
          <w:rFonts w:eastAsia="Times New Roman"/>
          <w:bCs/>
          <w:color w:val="000000"/>
        </w:rPr>
      </w:pPr>
    </w:p>
    <w:p w:rsidR="000668D4" w:rsidRPr="00021042" w:rsidRDefault="000668D4" w:rsidP="00021042">
      <w:pPr>
        <w:rPr>
          <w:rFonts w:eastAsia="Times New Roman"/>
          <w:vanish/>
          <w:color w:val="000000"/>
        </w:rPr>
      </w:pPr>
    </w:p>
    <w:p w:rsidR="000668D4" w:rsidRPr="00021042" w:rsidRDefault="000668D4" w:rsidP="00021042">
      <w:pPr>
        <w:rPr>
          <w:rFonts w:eastAsia="Times New Roman"/>
          <w:vanish/>
          <w:color w:val="000000"/>
        </w:rPr>
      </w:pPr>
    </w:p>
    <w:p w:rsidR="000668D4" w:rsidRPr="00021042" w:rsidRDefault="000668D4" w:rsidP="00021042">
      <w:pPr>
        <w:rPr>
          <w:rFonts w:eastAsia="Times New Roman"/>
          <w:vanish/>
          <w:color w:val="000000"/>
        </w:rPr>
      </w:pPr>
    </w:p>
    <w:p w:rsidR="000668D4" w:rsidRPr="00021042" w:rsidRDefault="000668D4" w:rsidP="00021042">
      <w:pPr>
        <w:spacing w:before="120"/>
        <w:rPr>
          <w:rFonts w:eastAsia="Times New Roman"/>
        </w:rPr>
      </w:pPr>
    </w:p>
    <w:p w:rsidR="008518AB" w:rsidRPr="00021042" w:rsidRDefault="008518AB" w:rsidP="00021042">
      <w:pPr>
        <w:rPr>
          <w:rFonts w:eastAsia="Calibri"/>
          <w:bCs/>
          <w:lang w:eastAsia="en-US"/>
        </w:rPr>
      </w:pPr>
      <w:r w:rsidRPr="00021042">
        <w:rPr>
          <w:rFonts w:eastAsia="Calibri"/>
          <w:bCs/>
          <w:lang w:eastAsia="en-US"/>
        </w:rPr>
        <w:t>Št. 007-</w:t>
      </w:r>
      <w:r w:rsidR="00AF21E3">
        <w:rPr>
          <w:rFonts w:eastAsia="Calibri"/>
          <w:bCs/>
          <w:lang w:eastAsia="en-US"/>
        </w:rPr>
        <w:t>157</w:t>
      </w:r>
      <w:r w:rsidRPr="00021042">
        <w:rPr>
          <w:rFonts w:eastAsia="Calibri"/>
          <w:bCs/>
          <w:lang w:eastAsia="en-US"/>
        </w:rPr>
        <w:t>/2019</w:t>
      </w:r>
    </w:p>
    <w:p w:rsidR="008518AB" w:rsidRPr="00021042" w:rsidRDefault="008518AB" w:rsidP="00021042">
      <w:pPr>
        <w:rPr>
          <w:rFonts w:eastAsia="Calibri"/>
          <w:bCs/>
          <w:lang w:eastAsia="en-US"/>
        </w:rPr>
      </w:pPr>
      <w:r w:rsidRPr="00021042">
        <w:rPr>
          <w:rFonts w:eastAsia="Calibri"/>
          <w:bCs/>
          <w:lang w:eastAsia="en-US"/>
        </w:rPr>
        <w:t>Ljubljana, dne xx. xx  2019</w:t>
      </w:r>
    </w:p>
    <w:p w:rsidR="008518AB" w:rsidRPr="00021042" w:rsidRDefault="008518AB" w:rsidP="00021042">
      <w:pPr>
        <w:rPr>
          <w:rFonts w:eastAsia="Calibri"/>
          <w:bCs/>
          <w:lang w:eastAsia="en-US"/>
        </w:rPr>
      </w:pPr>
      <w:r w:rsidRPr="00021042">
        <w:rPr>
          <w:rFonts w:eastAsia="Calibri"/>
          <w:bCs/>
          <w:lang w:eastAsia="en-US"/>
        </w:rPr>
        <w:t xml:space="preserve">EVA </w:t>
      </w:r>
      <w:r w:rsidRPr="00021042">
        <w:rPr>
          <w:bCs/>
          <w:color w:val="000000"/>
        </w:rPr>
        <w:t>2019-2330-0072</w:t>
      </w:r>
    </w:p>
    <w:p w:rsidR="008518AB" w:rsidRPr="00021042" w:rsidRDefault="008518AB" w:rsidP="00021042">
      <w:pPr>
        <w:rPr>
          <w:rFonts w:eastAsia="Calibri"/>
          <w:bCs/>
          <w:lang w:eastAsia="en-US"/>
        </w:rPr>
      </w:pPr>
      <w:r w:rsidRPr="00021042">
        <w:rPr>
          <w:rFonts w:eastAsia="Calibri"/>
          <w:bCs/>
          <w:lang w:eastAsia="en-US"/>
        </w:rPr>
        <w:t xml:space="preserve"> </w:t>
      </w:r>
    </w:p>
    <w:p w:rsidR="008518AB" w:rsidRPr="00021042" w:rsidRDefault="008518AB" w:rsidP="00021042">
      <w:pPr>
        <w:jc w:val="center"/>
        <w:rPr>
          <w:rFonts w:eastAsia="Calibri"/>
          <w:bCs/>
          <w:lang w:eastAsia="en-US"/>
        </w:rPr>
      </w:pPr>
      <w:r w:rsidRPr="00021042">
        <w:rPr>
          <w:rFonts w:eastAsia="Calibri"/>
          <w:bCs/>
          <w:lang w:eastAsia="en-US"/>
        </w:rPr>
        <w:t xml:space="preserve">                                                                                                    Dr. Aleksandra Pivec</w:t>
      </w:r>
    </w:p>
    <w:p w:rsidR="008518AB" w:rsidRPr="00021042" w:rsidRDefault="008518AB" w:rsidP="00021042">
      <w:pPr>
        <w:jc w:val="center"/>
        <w:rPr>
          <w:rFonts w:eastAsia="Calibri"/>
          <w:bCs/>
          <w:lang w:eastAsia="en-US"/>
        </w:rPr>
      </w:pPr>
      <w:r w:rsidRPr="00021042">
        <w:rPr>
          <w:rFonts w:eastAsia="Calibri"/>
          <w:bCs/>
          <w:lang w:eastAsia="en-US"/>
        </w:rPr>
        <w:t xml:space="preserve">                                          </w:t>
      </w:r>
      <w:r w:rsidRPr="00021042">
        <w:rPr>
          <w:rFonts w:eastAsia="Calibri"/>
          <w:bCs/>
          <w:lang w:eastAsia="en-US"/>
        </w:rPr>
        <w:tab/>
      </w:r>
      <w:r w:rsidRPr="00021042">
        <w:rPr>
          <w:rFonts w:eastAsia="Calibri"/>
          <w:bCs/>
          <w:lang w:eastAsia="en-US"/>
        </w:rPr>
        <w:tab/>
      </w:r>
      <w:r w:rsidRPr="00021042">
        <w:rPr>
          <w:rFonts w:eastAsia="Calibri"/>
          <w:bCs/>
          <w:lang w:eastAsia="en-US"/>
        </w:rPr>
        <w:tab/>
      </w:r>
      <w:r w:rsidRPr="00021042">
        <w:rPr>
          <w:rFonts w:eastAsia="Calibri"/>
          <w:bCs/>
          <w:lang w:eastAsia="en-US"/>
        </w:rPr>
        <w:tab/>
      </w:r>
      <w:r w:rsidRPr="00021042">
        <w:rPr>
          <w:rFonts w:eastAsia="Calibri"/>
          <w:bCs/>
          <w:lang w:eastAsia="en-US"/>
        </w:rPr>
        <w:tab/>
        <w:t xml:space="preserve"> Ministrica </w:t>
      </w:r>
      <w:r w:rsidR="00D41A78">
        <w:rPr>
          <w:rFonts w:eastAsia="Calibri"/>
          <w:bCs/>
          <w:lang w:eastAsia="en-US"/>
        </w:rPr>
        <w:t>za kmetijs</w:t>
      </w:r>
      <w:r w:rsidRPr="00021042">
        <w:rPr>
          <w:rFonts w:eastAsia="Calibri"/>
          <w:bCs/>
          <w:lang w:eastAsia="en-US"/>
        </w:rPr>
        <w:t xml:space="preserve">tvo, </w:t>
      </w:r>
    </w:p>
    <w:p w:rsidR="008518AB" w:rsidRPr="00021042" w:rsidRDefault="008518AB" w:rsidP="00021042">
      <w:pPr>
        <w:ind w:left="4956" w:firstLine="708"/>
        <w:jc w:val="center"/>
        <w:rPr>
          <w:rFonts w:eastAsia="Times New Roman"/>
        </w:rPr>
      </w:pPr>
      <w:r w:rsidRPr="00021042">
        <w:rPr>
          <w:rFonts w:eastAsia="Calibri"/>
          <w:bCs/>
          <w:lang w:eastAsia="en-US"/>
        </w:rPr>
        <w:t>gozdarstvo in prehrano</w:t>
      </w:r>
      <w:r w:rsidRPr="00021042">
        <w:rPr>
          <w:rFonts w:eastAsia="Times New Roman"/>
        </w:rPr>
        <w:br w:type="page"/>
      </w:r>
    </w:p>
    <w:p w:rsidR="008518AB" w:rsidRPr="00021042" w:rsidRDefault="008518AB" w:rsidP="00021042">
      <w:pPr>
        <w:spacing w:before="120"/>
        <w:rPr>
          <w:rFonts w:eastAsia="Times New Roman"/>
        </w:rPr>
      </w:pPr>
    </w:p>
    <w:p w:rsidR="000668D4" w:rsidRDefault="000668D4" w:rsidP="00021042">
      <w:pPr>
        <w:spacing w:before="240"/>
        <w:jc w:val="center"/>
        <w:rPr>
          <w:rFonts w:eastAsia="Times New Roman"/>
          <w:bCs/>
          <w:color w:val="000000"/>
        </w:rPr>
      </w:pPr>
      <w:r w:rsidRPr="002B7F15">
        <w:rPr>
          <w:rFonts w:eastAsia="Times New Roman"/>
          <w:bCs/>
          <w:color w:val="000000"/>
        </w:rPr>
        <w:t>PRILOGA</w:t>
      </w:r>
    </w:p>
    <w:p w:rsidR="00594DAB" w:rsidRPr="002B7F15" w:rsidRDefault="00594DAB" w:rsidP="00021042">
      <w:pPr>
        <w:spacing w:before="240"/>
        <w:jc w:val="center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>I. USKLAJENI KAZALNIK</w:t>
      </w:r>
      <w:r w:rsidR="00B6164B">
        <w:rPr>
          <w:rFonts w:eastAsia="Times New Roman"/>
          <w:bCs/>
          <w:color w:val="000000"/>
        </w:rPr>
        <w:t xml:space="preserve"> TVEGANJA</w:t>
      </w:r>
      <w:r>
        <w:rPr>
          <w:rFonts w:eastAsia="Times New Roman"/>
          <w:bCs/>
          <w:color w:val="000000"/>
        </w:rPr>
        <w:t xml:space="preserve"> 1</w:t>
      </w:r>
    </w:p>
    <w:p w:rsidR="000668D4" w:rsidRDefault="00594DAB" w:rsidP="00021042">
      <w:pPr>
        <w:spacing w:before="12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1</w:t>
      </w:r>
      <w:r w:rsidR="000668D4" w:rsidRPr="00021042">
        <w:rPr>
          <w:rFonts w:eastAsia="Times New Roman"/>
          <w:color w:val="000000"/>
        </w:rPr>
        <w:t>.   </w:t>
      </w:r>
      <w:r>
        <w:rPr>
          <w:rFonts w:eastAsia="Times New Roman"/>
          <w:color w:val="000000"/>
        </w:rPr>
        <w:t>Z</w:t>
      </w:r>
      <w:r w:rsidRPr="00021042">
        <w:rPr>
          <w:rFonts w:eastAsia="Times New Roman"/>
          <w:color w:val="000000"/>
        </w:rPr>
        <w:t xml:space="preserve">a izračun usklajenega kazalnika tveganja </w:t>
      </w:r>
      <w:r>
        <w:rPr>
          <w:rFonts w:eastAsia="Times New Roman"/>
          <w:color w:val="000000"/>
        </w:rPr>
        <w:t xml:space="preserve">1 </w:t>
      </w:r>
      <w:r w:rsidRPr="00021042">
        <w:rPr>
          <w:rFonts w:eastAsia="Times New Roman"/>
          <w:color w:val="000000"/>
        </w:rPr>
        <w:t xml:space="preserve">se uporabljajo </w:t>
      </w:r>
      <w:r>
        <w:rPr>
          <w:rFonts w:eastAsia="Times New Roman"/>
          <w:color w:val="000000"/>
        </w:rPr>
        <w:t>n</w:t>
      </w:r>
      <w:r w:rsidR="000668D4" w:rsidRPr="00021042">
        <w:rPr>
          <w:rFonts w:eastAsia="Times New Roman"/>
          <w:color w:val="000000"/>
        </w:rPr>
        <w:t>aslednja splošna pravila:</w:t>
      </w:r>
    </w:p>
    <w:p w:rsidR="00FA7F2D" w:rsidRDefault="00FA7F2D" w:rsidP="00594DAB">
      <w:pPr>
        <w:spacing w:before="40" w:after="40"/>
        <w:ind w:left="709"/>
        <w:jc w:val="both"/>
        <w:rPr>
          <w:rFonts w:eastAsia="Times New Roman"/>
        </w:rPr>
      </w:pPr>
      <w:r>
        <w:rPr>
          <w:rFonts w:eastAsia="Times New Roman"/>
          <w:color w:val="000000"/>
        </w:rPr>
        <w:t xml:space="preserve">a) </w:t>
      </w:r>
      <w:r w:rsidRPr="00021042">
        <w:rPr>
          <w:rFonts w:eastAsia="Times New Roman"/>
        </w:rPr>
        <w:t xml:space="preserve">usklajeni kazalnik tveganja 1 se izračuna na podlagi kategorizacije aktivnih snovi v 4 skupine in 7 kategorij iz </w:t>
      </w:r>
      <w:r>
        <w:rPr>
          <w:rFonts w:eastAsia="Times New Roman"/>
        </w:rPr>
        <w:t>preglednice</w:t>
      </w:r>
      <w:r w:rsidRPr="00021042">
        <w:rPr>
          <w:rFonts w:eastAsia="Times New Roman"/>
        </w:rPr>
        <w:t> 1</w:t>
      </w:r>
      <w:r>
        <w:rPr>
          <w:rFonts w:eastAsia="Times New Roman"/>
        </w:rPr>
        <w:t>,</w:t>
      </w:r>
    </w:p>
    <w:p w:rsidR="003077FB" w:rsidRDefault="00FA7F2D" w:rsidP="00594DAB">
      <w:pPr>
        <w:spacing w:before="40" w:after="40"/>
        <w:ind w:left="709"/>
        <w:jc w:val="both"/>
        <w:rPr>
          <w:rFonts w:eastAsia="Times New Roman"/>
        </w:rPr>
      </w:pPr>
      <w:r>
        <w:rPr>
          <w:rFonts w:eastAsia="Times New Roman"/>
        </w:rPr>
        <w:t xml:space="preserve">b) </w:t>
      </w:r>
      <w:r w:rsidRPr="00021042">
        <w:rPr>
          <w:rFonts w:eastAsia="Times New Roman"/>
        </w:rPr>
        <w:t xml:space="preserve">aktivne snovi iz skupine 1 (kategoriji A in B) so tiste iz dela D Priloge </w:t>
      </w:r>
      <w:r w:rsidR="003077FB" w:rsidRPr="003077FB">
        <w:rPr>
          <w:rFonts w:eastAsia="Times New Roman"/>
        </w:rPr>
        <w:t>Izvedbeni uredbi 540/2011/EU,</w:t>
      </w:r>
    </w:p>
    <w:p w:rsidR="00FA7F2D" w:rsidRDefault="00FA7F2D" w:rsidP="00594DAB">
      <w:pPr>
        <w:spacing w:before="40" w:after="40"/>
        <w:ind w:left="709"/>
        <w:jc w:val="both"/>
        <w:rPr>
          <w:rFonts w:eastAsia="Times New Roman"/>
        </w:rPr>
      </w:pPr>
      <w:r>
        <w:rPr>
          <w:rFonts w:eastAsia="Times New Roman"/>
        </w:rPr>
        <w:t xml:space="preserve">c) </w:t>
      </w:r>
      <w:r w:rsidRPr="00021042">
        <w:rPr>
          <w:rFonts w:eastAsia="Times New Roman"/>
        </w:rPr>
        <w:t>aktivne snovi iz skupine 2 (kategoriji C in D) so tiste iz delov A in B Priloge k Izvedbeni uredbi 540/2011</w:t>
      </w:r>
      <w:r w:rsidR="00806A7E">
        <w:rPr>
          <w:rFonts w:eastAsia="Times New Roman"/>
        </w:rPr>
        <w:t>/EU</w:t>
      </w:r>
      <w:r>
        <w:rPr>
          <w:rFonts w:eastAsia="Times New Roman"/>
        </w:rPr>
        <w:t>,</w:t>
      </w:r>
    </w:p>
    <w:p w:rsidR="00FA7F2D" w:rsidRDefault="00FA7F2D" w:rsidP="00594DAB">
      <w:pPr>
        <w:spacing w:before="40" w:after="40"/>
        <w:ind w:left="709"/>
        <w:jc w:val="both"/>
        <w:rPr>
          <w:rFonts w:eastAsia="Times New Roman"/>
        </w:rPr>
      </w:pPr>
      <w:r>
        <w:rPr>
          <w:rFonts w:eastAsia="Times New Roman"/>
        </w:rPr>
        <w:t xml:space="preserve">d) </w:t>
      </w:r>
      <w:r w:rsidRPr="00021042">
        <w:rPr>
          <w:rFonts w:eastAsia="Times New Roman"/>
        </w:rPr>
        <w:t>aktivne snovi iz skupine 3 (kategoriji E in F) so tiste iz dela E Priloge k Izvedbeni uredbi 540/2011</w:t>
      </w:r>
      <w:r w:rsidR="00806A7E">
        <w:rPr>
          <w:rFonts w:eastAsia="Times New Roman"/>
        </w:rPr>
        <w:t>/EU</w:t>
      </w:r>
      <w:r>
        <w:rPr>
          <w:rFonts w:eastAsia="Times New Roman"/>
        </w:rPr>
        <w:t>,</w:t>
      </w:r>
    </w:p>
    <w:p w:rsidR="00FA7F2D" w:rsidRDefault="00FA7F2D" w:rsidP="00594DAB">
      <w:pPr>
        <w:spacing w:before="40" w:after="40"/>
        <w:ind w:left="709"/>
        <w:jc w:val="both"/>
        <w:rPr>
          <w:rFonts w:eastAsia="Times New Roman"/>
        </w:rPr>
      </w:pPr>
      <w:r>
        <w:rPr>
          <w:rFonts w:eastAsia="Times New Roman"/>
        </w:rPr>
        <w:t xml:space="preserve">e) </w:t>
      </w:r>
      <w:r w:rsidRPr="00021042">
        <w:rPr>
          <w:rFonts w:eastAsia="Times New Roman"/>
        </w:rPr>
        <w:t xml:space="preserve">aktivne snovi iz skupine 4 (kategorija G) so tiste, ki niso odobrene v skladu </w:t>
      </w:r>
      <w:r w:rsidR="006C035A">
        <w:rPr>
          <w:rFonts w:eastAsia="Times New Roman"/>
        </w:rPr>
        <w:t>s predpisi EU</w:t>
      </w:r>
      <w:r w:rsidRPr="00021042">
        <w:rPr>
          <w:rFonts w:eastAsia="Times New Roman"/>
        </w:rPr>
        <w:t xml:space="preserve"> in zato niso navedene v Prilogi k Izvedbeni uredbi 540/2011</w:t>
      </w:r>
      <w:r w:rsidR="00806A7E">
        <w:rPr>
          <w:rFonts w:eastAsia="Times New Roman"/>
        </w:rPr>
        <w:t>/EU</w:t>
      </w:r>
      <w:r>
        <w:rPr>
          <w:rFonts w:eastAsia="Times New Roman"/>
        </w:rPr>
        <w:t>,</w:t>
      </w:r>
    </w:p>
    <w:p w:rsidR="00FA7F2D" w:rsidRPr="00021042" w:rsidRDefault="00FA7F2D" w:rsidP="00594DAB">
      <w:pPr>
        <w:spacing w:before="40" w:after="40"/>
        <w:ind w:left="709"/>
        <w:jc w:val="both"/>
        <w:rPr>
          <w:rFonts w:eastAsia="Times New Roman"/>
          <w:color w:val="000000"/>
        </w:rPr>
      </w:pPr>
      <w:r>
        <w:rPr>
          <w:rFonts w:eastAsia="Times New Roman"/>
        </w:rPr>
        <w:t xml:space="preserve">f) uporabljajo se utežni faktorji iz </w:t>
      </w:r>
      <w:r w:rsidRPr="00FA7F2D">
        <w:rPr>
          <w:rFonts w:eastAsia="Times New Roman"/>
        </w:rPr>
        <w:t xml:space="preserve">vrstice (vi) v </w:t>
      </w:r>
      <w:r w:rsidR="00594DAB">
        <w:rPr>
          <w:rFonts w:eastAsia="Times New Roman"/>
        </w:rPr>
        <w:t>preglednici</w:t>
      </w:r>
      <w:r w:rsidRPr="00FA7F2D">
        <w:rPr>
          <w:rFonts w:eastAsia="Times New Roman"/>
        </w:rPr>
        <w:t xml:space="preserve"> 1</w:t>
      </w:r>
      <w:r w:rsidR="00594DAB">
        <w:rPr>
          <w:rFonts w:eastAsia="Times New Roman"/>
        </w:rPr>
        <w:t>.</w:t>
      </w:r>
    </w:p>
    <w:p w:rsidR="000668D4" w:rsidRPr="00021042" w:rsidRDefault="000668D4" w:rsidP="00021042">
      <w:pPr>
        <w:rPr>
          <w:rFonts w:eastAsia="Times New Roman"/>
          <w:vanish/>
          <w:color w:val="000000"/>
        </w:rPr>
      </w:pPr>
    </w:p>
    <w:p w:rsidR="000668D4" w:rsidRPr="00021042" w:rsidRDefault="000668D4" w:rsidP="00021042">
      <w:pPr>
        <w:rPr>
          <w:rFonts w:eastAsia="Times New Roman"/>
          <w:vanish/>
          <w:color w:val="000000"/>
        </w:rPr>
      </w:pPr>
    </w:p>
    <w:p w:rsidR="000668D4" w:rsidRPr="00021042" w:rsidRDefault="000668D4" w:rsidP="00021042">
      <w:pPr>
        <w:rPr>
          <w:rFonts w:eastAsia="Times New Roman"/>
          <w:vanish/>
          <w:color w:val="000000"/>
        </w:rPr>
      </w:pPr>
    </w:p>
    <w:p w:rsidR="000668D4" w:rsidRPr="00021042" w:rsidRDefault="000668D4" w:rsidP="00021042">
      <w:pPr>
        <w:rPr>
          <w:rFonts w:eastAsia="Times New Roman"/>
          <w:vanish/>
          <w:color w:val="000000"/>
        </w:rPr>
      </w:pPr>
    </w:p>
    <w:p w:rsidR="000668D4" w:rsidRPr="00021042" w:rsidRDefault="000668D4" w:rsidP="00021042">
      <w:pPr>
        <w:rPr>
          <w:rFonts w:eastAsia="Times New Roman"/>
          <w:vanish/>
          <w:color w:val="000000"/>
        </w:rPr>
      </w:pPr>
    </w:p>
    <w:p w:rsidR="000668D4" w:rsidRPr="00021042" w:rsidRDefault="00B6164B" w:rsidP="00021042">
      <w:pPr>
        <w:spacing w:before="12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2</w:t>
      </w:r>
      <w:r w:rsidR="000668D4" w:rsidRPr="00021042">
        <w:rPr>
          <w:rFonts w:eastAsia="Times New Roman"/>
          <w:color w:val="000000"/>
        </w:rPr>
        <w:t xml:space="preserve">.   Usklajeni kazalnik tveganja 1 se izračuna tako, da se letne količine aktivnih snovi, danih v promet za vsako skupino v </w:t>
      </w:r>
      <w:r>
        <w:rPr>
          <w:rFonts w:eastAsia="Times New Roman"/>
          <w:color w:val="000000"/>
        </w:rPr>
        <w:t>preglednici</w:t>
      </w:r>
      <w:r w:rsidR="000668D4" w:rsidRPr="00021042">
        <w:rPr>
          <w:rFonts w:eastAsia="Times New Roman"/>
          <w:color w:val="000000"/>
        </w:rPr>
        <w:t xml:space="preserve"> 1, pomnožijo z ustreznim utežnim faktorjem nevarnosti iz vrstice (vi), čemur sledi združevanje rezultatov teh izračunov.</w:t>
      </w:r>
    </w:p>
    <w:p w:rsidR="000668D4" w:rsidRPr="00021042" w:rsidRDefault="00B6164B" w:rsidP="00021042">
      <w:pPr>
        <w:spacing w:before="12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3</w:t>
      </w:r>
      <w:r w:rsidR="000668D4" w:rsidRPr="00021042">
        <w:rPr>
          <w:rFonts w:eastAsia="Times New Roman"/>
          <w:color w:val="000000"/>
        </w:rPr>
        <w:t xml:space="preserve">.   Lahko se izračunajo količine aktivnih snovi, danih v promet za vsako skupino in kategorijo v </w:t>
      </w:r>
      <w:r>
        <w:rPr>
          <w:rFonts w:eastAsia="Times New Roman"/>
          <w:color w:val="000000"/>
        </w:rPr>
        <w:t>preglednici</w:t>
      </w:r>
      <w:r w:rsidR="000668D4" w:rsidRPr="00021042">
        <w:rPr>
          <w:rFonts w:eastAsia="Times New Roman"/>
          <w:color w:val="000000"/>
        </w:rPr>
        <w:t xml:space="preserve"> 1.</w:t>
      </w:r>
    </w:p>
    <w:p w:rsidR="000668D4" w:rsidRPr="00806A7E" w:rsidRDefault="00FA7F2D" w:rsidP="00806A7E">
      <w:pPr>
        <w:spacing w:before="120"/>
        <w:jc w:val="both"/>
        <w:rPr>
          <w:rFonts w:eastAsia="Times New Roman"/>
          <w:color w:val="000000"/>
        </w:rPr>
      </w:pPr>
      <w:r w:rsidRPr="00890415">
        <w:rPr>
          <w:rFonts w:eastAsia="Times New Roman"/>
          <w:i/>
          <w:iCs/>
          <w:color w:val="000000"/>
        </w:rPr>
        <w:t>Preglednica</w:t>
      </w:r>
      <w:r w:rsidR="000668D4" w:rsidRPr="00890415">
        <w:rPr>
          <w:rFonts w:eastAsia="Times New Roman"/>
          <w:i/>
          <w:iCs/>
          <w:color w:val="000000"/>
        </w:rPr>
        <w:t xml:space="preserve"> 1</w:t>
      </w:r>
      <w:r w:rsidR="00806A7E">
        <w:rPr>
          <w:rFonts w:eastAsia="Times New Roman"/>
          <w:iCs/>
          <w:color w:val="000000"/>
        </w:rPr>
        <w:t xml:space="preserve">: </w:t>
      </w:r>
      <w:r w:rsidR="000668D4" w:rsidRPr="00806A7E">
        <w:rPr>
          <w:rFonts w:eastAsia="Times New Roman"/>
          <w:bCs/>
          <w:color w:val="000000"/>
        </w:rPr>
        <w:t>Kategorizacija aktivnih snovi in utežnih faktorjev nevarnosti za namene izračuna usklajenega kazalnika tveganja 1</w:t>
      </w:r>
    </w:p>
    <w:tbl>
      <w:tblPr>
        <w:tblW w:w="5000" w:type="pct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6"/>
        <w:gridCol w:w="1361"/>
        <w:gridCol w:w="821"/>
        <w:gridCol w:w="1361"/>
        <w:gridCol w:w="821"/>
        <w:gridCol w:w="1363"/>
        <w:gridCol w:w="1369"/>
        <w:gridCol w:w="1294"/>
      </w:tblGrid>
      <w:tr w:rsidR="003077FB" w:rsidRPr="00806A7E" w:rsidTr="00806A7E">
        <w:trPr>
          <w:tblCellSpacing w:w="0" w:type="dxa"/>
        </w:trPr>
        <w:tc>
          <w:tcPr>
            <w:tcW w:w="0" w:type="auto"/>
            <w:vMerge w:val="restart"/>
            <w:hideMark/>
          </w:tcPr>
          <w:p w:rsidR="000668D4" w:rsidRPr="00433704" w:rsidRDefault="00433704" w:rsidP="00B6164B">
            <w:pPr>
              <w:spacing w:before="40" w:after="40"/>
              <w:ind w:left="57" w:right="57"/>
              <w:jc w:val="center"/>
              <w:rPr>
                <w:rFonts w:eastAsia="Times New Roman"/>
                <w:bCs/>
                <w:sz w:val="18"/>
                <w:szCs w:val="18"/>
              </w:rPr>
            </w:pPr>
            <w:r w:rsidRPr="00433704">
              <w:rPr>
                <w:rFonts w:eastAsia="Times New Roman"/>
                <w:bCs/>
                <w:sz w:val="18"/>
                <w:szCs w:val="18"/>
              </w:rPr>
              <w:t>Vrstica</w:t>
            </w:r>
          </w:p>
        </w:tc>
        <w:tc>
          <w:tcPr>
            <w:tcW w:w="0" w:type="auto"/>
            <w:gridSpan w:val="7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06A7E">
              <w:rPr>
                <w:rFonts w:eastAsia="Times New Roman"/>
                <w:b/>
                <w:bCs/>
                <w:sz w:val="18"/>
                <w:szCs w:val="18"/>
              </w:rPr>
              <w:t>Skupine</w:t>
            </w:r>
          </w:p>
        </w:tc>
      </w:tr>
      <w:tr w:rsidR="00806A7E" w:rsidRPr="00806A7E" w:rsidTr="00806A7E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06A7E">
              <w:rPr>
                <w:rFonts w:eastAsia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0" w:type="auto"/>
            <w:gridSpan w:val="2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06A7E">
              <w:rPr>
                <w:rFonts w:eastAsia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0" w:type="auto"/>
            <w:gridSpan w:val="2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06A7E">
              <w:rPr>
                <w:rFonts w:eastAsia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06A7E">
              <w:rPr>
                <w:rFonts w:eastAsia="Times New Roman"/>
                <w:b/>
                <w:bCs/>
                <w:sz w:val="18"/>
                <w:szCs w:val="18"/>
              </w:rPr>
              <w:t>4</w:t>
            </w:r>
          </w:p>
        </w:tc>
      </w:tr>
      <w:tr w:rsidR="00806A7E" w:rsidRPr="00806A7E" w:rsidTr="00806A7E">
        <w:trPr>
          <w:tblCellSpacing w:w="0" w:type="dxa"/>
        </w:trPr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(i)</w:t>
            </w:r>
          </w:p>
        </w:tc>
        <w:tc>
          <w:tcPr>
            <w:tcW w:w="0" w:type="auto"/>
            <w:gridSpan w:val="2"/>
            <w:hideMark/>
          </w:tcPr>
          <w:p w:rsidR="000668D4" w:rsidRPr="00806A7E" w:rsidRDefault="000668D4" w:rsidP="003077F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aktivne snovi z majhnim tveganjem, ki so odobrene ali s</w:t>
            </w:r>
            <w:r w:rsidR="003077FB">
              <w:rPr>
                <w:rFonts w:eastAsia="Times New Roman"/>
                <w:sz w:val="18"/>
                <w:szCs w:val="18"/>
              </w:rPr>
              <w:t>e štejejo za odobrene v skladu z</w:t>
            </w:r>
            <w:r w:rsidRPr="00806A7E">
              <w:rPr>
                <w:rFonts w:eastAsia="Times New Roman"/>
                <w:sz w:val="18"/>
                <w:szCs w:val="18"/>
              </w:rPr>
              <w:t xml:space="preserve"> 22</w:t>
            </w:r>
            <w:r w:rsidR="003077FB">
              <w:rPr>
                <w:rFonts w:eastAsia="Times New Roman"/>
                <w:sz w:val="18"/>
                <w:szCs w:val="18"/>
              </w:rPr>
              <w:t>.</w:t>
            </w:r>
            <w:r w:rsidRPr="00806A7E">
              <w:rPr>
                <w:rFonts w:eastAsia="Times New Roman"/>
                <w:sz w:val="18"/>
                <w:szCs w:val="18"/>
              </w:rPr>
              <w:t xml:space="preserve"> </w:t>
            </w:r>
            <w:r w:rsidR="003077FB" w:rsidRPr="00806A7E">
              <w:rPr>
                <w:rFonts w:eastAsia="Times New Roman"/>
                <w:sz w:val="18"/>
                <w:szCs w:val="18"/>
              </w:rPr>
              <w:t xml:space="preserve">členom </w:t>
            </w:r>
            <w:r w:rsidRPr="00806A7E">
              <w:rPr>
                <w:rFonts w:eastAsia="Times New Roman"/>
                <w:sz w:val="18"/>
                <w:szCs w:val="18"/>
              </w:rPr>
              <w:t>Uredbe 1107/2009</w:t>
            </w:r>
            <w:r w:rsidR="003077FB">
              <w:rPr>
                <w:rFonts w:eastAsia="Times New Roman"/>
                <w:sz w:val="18"/>
                <w:szCs w:val="18"/>
              </w:rPr>
              <w:t>/ES</w:t>
            </w:r>
            <w:r w:rsidRPr="00806A7E">
              <w:rPr>
                <w:rFonts w:eastAsia="Times New Roman"/>
                <w:sz w:val="18"/>
                <w:szCs w:val="18"/>
              </w:rPr>
              <w:t xml:space="preserve"> in so navedene v delu D Priloge k Izvedbeni uredbi 540/2011</w:t>
            </w:r>
            <w:r w:rsidR="003077FB">
              <w:rPr>
                <w:rFonts w:eastAsia="Times New Roman"/>
                <w:sz w:val="18"/>
                <w:szCs w:val="18"/>
              </w:rPr>
              <w:t>/EU</w:t>
            </w:r>
          </w:p>
        </w:tc>
        <w:tc>
          <w:tcPr>
            <w:tcW w:w="0" w:type="auto"/>
            <w:gridSpan w:val="2"/>
            <w:hideMark/>
          </w:tcPr>
          <w:p w:rsidR="000668D4" w:rsidRPr="00806A7E" w:rsidRDefault="000668D4" w:rsidP="003077F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aktivne snovi, ki so odobrene ali se štejejo</w:t>
            </w:r>
            <w:r w:rsidR="003077FB">
              <w:rPr>
                <w:rFonts w:eastAsia="Times New Roman"/>
                <w:sz w:val="18"/>
                <w:szCs w:val="18"/>
              </w:rPr>
              <w:t xml:space="preserve"> za odobrene v skladu z Uredbo </w:t>
            </w:r>
            <w:r w:rsidRPr="00806A7E">
              <w:rPr>
                <w:rFonts w:eastAsia="Times New Roman"/>
                <w:sz w:val="18"/>
                <w:szCs w:val="18"/>
              </w:rPr>
              <w:t>1107/2009</w:t>
            </w:r>
            <w:r w:rsidR="003077FB">
              <w:rPr>
                <w:rFonts w:eastAsia="Times New Roman"/>
                <w:sz w:val="18"/>
                <w:szCs w:val="18"/>
              </w:rPr>
              <w:t>/ES</w:t>
            </w:r>
            <w:r w:rsidRPr="00806A7E">
              <w:rPr>
                <w:rFonts w:eastAsia="Times New Roman"/>
                <w:sz w:val="18"/>
                <w:szCs w:val="18"/>
              </w:rPr>
              <w:t xml:space="preserve"> in ne spadajo v druge kategorije ter so navedene v delih A in B Priloge k Izvedbeni uredbi </w:t>
            </w:r>
            <w:r w:rsidR="003077FB" w:rsidRPr="003077FB">
              <w:rPr>
                <w:rFonts w:eastAsia="Times New Roman"/>
                <w:sz w:val="18"/>
                <w:szCs w:val="18"/>
              </w:rPr>
              <w:t>540/2011/EU</w:t>
            </w:r>
          </w:p>
        </w:tc>
        <w:tc>
          <w:tcPr>
            <w:tcW w:w="0" w:type="auto"/>
            <w:gridSpan w:val="2"/>
            <w:hideMark/>
          </w:tcPr>
          <w:p w:rsidR="000668D4" w:rsidRPr="00806A7E" w:rsidRDefault="000668D4" w:rsidP="003077F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aktivne snovi, ki so odobrene ali se štejejo za odobrene v skladu s 24</w:t>
            </w:r>
            <w:r w:rsidR="003077FB">
              <w:rPr>
                <w:rFonts w:eastAsia="Times New Roman"/>
                <w:sz w:val="18"/>
                <w:szCs w:val="18"/>
              </w:rPr>
              <w:t>.</w:t>
            </w:r>
            <w:r w:rsidRPr="00806A7E">
              <w:rPr>
                <w:rFonts w:eastAsia="Times New Roman"/>
                <w:sz w:val="18"/>
                <w:szCs w:val="18"/>
              </w:rPr>
              <w:t xml:space="preserve"> </w:t>
            </w:r>
            <w:r w:rsidR="003077FB" w:rsidRPr="00806A7E">
              <w:rPr>
                <w:rFonts w:eastAsia="Times New Roman"/>
                <w:sz w:val="18"/>
                <w:szCs w:val="18"/>
              </w:rPr>
              <w:t xml:space="preserve">členom </w:t>
            </w:r>
            <w:r w:rsidRPr="00806A7E">
              <w:rPr>
                <w:rFonts w:eastAsia="Times New Roman"/>
                <w:sz w:val="18"/>
                <w:szCs w:val="18"/>
              </w:rPr>
              <w:t>Uredbe 1107/2009</w:t>
            </w:r>
            <w:r w:rsidR="003077FB">
              <w:rPr>
                <w:rFonts w:eastAsia="Times New Roman"/>
                <w:sz w:val="18"/>
                <w:szCs w:val="18"/>
              </w:rPr>
              <w:t>/ES</w:t>
            </w:r>
            <w:r w:rsidRPr="00806A7E">
              <w:rPr>
                <w:rFonts w:eastAsia="Times New Roman"/>
                <w:sz w:val="18"/>
                <w:szCs w:val="18"/>
              </w:rPr>
              <w:t xml:space="preserve"> in so kandidatke za zamenjavo ter so navedene v delu E Priloge k Izvedbeni uredbi </w:t>
            </w:r>
            <w:r w:rsidR="003077FB" w:rsidRPr="003077FB">
              <w:rPr>
                <w:rFonts w:eastAsia="Times New Roman"/>
                <w:sz w:val="18"/>
                <w:szCs w:val="18"/>
              </w:rPr>
              <w:t>540/2011/EU</w:t>
            </w:r>
          </w:p>
        </w:tc>
        <w:tc>
          <w:tcPr>
            <w:tcW w:w="0" w:type="auto"/>
            <w:hideMark/>
          </w:tcPr>
          <w:p w:rsidR="000668D4" w:rsidRPr="00806A7E" w:rsidRDefault="000668D4" w:rsidP="003077F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aktivne snovi, ki niso odobrene v skladu z Uredbo  1107/2009</w:t>
            </w:r>
            <w:r w:rsidR="003077FB">
              <w:rPr>
                <w:rFonts w:eastAsia="Times New Roman"/>
                <w:sz w:val="18"/>
                <w:szCs w:val="18"/>
              </w:rPr>
              <w:t>/ES</w:t>
            </w:r>
            <w:r w:rsidRPr="00806A7E">
              <w:rPr>
                <w:rFonts w:eastAsia="Times New Roman"/>
                <w:sz w:val="18"/>
                <w:szCs w:val="18"/>
              </w:rPr>
              <w:t xml:space="preserve"> in zato niso navedene v Prilogi k Izvedbeni uredbi </w:t>
            </w:r>
            <w:r w:rsidR="003077FB" w:rsidRPr="003077FB">
              <w:rPr>
                <w:rFonts w:eastAsia="Times New Roman"/>
                <w:sz w:val="18"/>
                <w:szCs w:val="18"/>
              </w:rPr>
              <w:t>540/2011/EU</w:t>
            </w:r>
          </w:p>
        </w:tc>
      </w:tr>
      <w:tr w:rsidR="000668D4" w:rsidRPr="00806A7E" w:rsidTr="00806A7E">
        <w:trPr>
          <w:tblCellSpacing w:w="0" w:type="dxa"/>
        </w:trPr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(ii)</w:t>
            </w:r>
          </w:p>
        </w:tc>
        <w:tc>
          <w:tcPr>
            <w:tcW w:w="0" w:type="auto"/>
            <w:gridSpan w:val="7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Kategorije</w:t>
            </w:r>
          </w:p>
        </w:tc>
      </w:tr>
      <w:tr w:rsidR="003077FB" w:rsidRPr="00806A7E" w:rsidTr="00806A7E">
        <w:trPr>
          <w:tblCellSpacing w:w="0" w:type="dxa"/>
        </w:trPr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(iii)</w:t>
            </w:r>
          </w:p>
        </w:tc>
        <w:tc>
          <w:tcPr>
            <w:tcW w:w="0" w:type="auto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A</w:t>
            </w:r>
          </w:p>
        </w:tc>
        <w:tc>
          <w:tcPr>
            <w:tcW w:w="0" w:type="auto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B</w:t>
            </w:r>
          </w:p>
        </w:tc>
        <w:tc>
          <w:tcPr>
            <w:tcW w:w="0" w:type="auto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C</w:t>
            </w:r>
          </w:p>
        </w:tc>
        <w:tc>
          <w:tcPr>
            <w:tcW w:w="0" w:type="auto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D</w:t>
            </w:r>
          </w:p>
        </w:tc>
        <w:tc>
          <w:tcPr>
            <w:tcW w:w="0" w:type="auto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E</w:t>
            </w:r>
          </w:p>
        </w:tc>
        <w:tc>
          <w:tcPr>
            <w:tcW w:w="0" w:type="auto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F</w:t>
            </w:r>
          </w:p>
        </w:tc>
        <w:tc>
          <w:tcPr>
            <w:tcW w:w="0" w:type="auto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G</w:t>
            </w:r>
          </w:p>
        </w:tc>
      </w:tr>
      <w:tr w:rsidR="003077FB" w:rsidRPr="00806A7E" w:rsidTr="00806A7E">
        <w:trPr>
          <w:tblCellSpacing w:w="0" w:type="dxa"/>
        </w:trPr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(iv)</w:t>
            </w:r>
          </w:p>
        </w:tc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mikroorganizmi</w:t>
            </w:r>
          </w:p>
        </w:tc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kemične aktivne snovi</w:t>
            </w:r>
          </w:p>
        </w:tc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mikroorganizmi</w:t>
            </w:r>
          </w:p>
        </w:tc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kemične aktivne snovi</w:t>
            </w:r>
          </w:p>
        </w:tc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ki niso razvrščene kot: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rakotvorne snovi kategorije 1A ali 1B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in/ali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strupene za razmnoževanje kategorije 1A ali 1B;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in/ali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endokrini motilci</w:t>
            </w:r>
          </w:p>
        </w:tc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ki so razvrščene kot: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rakotvorne snovi kategorije 1A ali 1B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in/ali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strupene za razmnoževanje kategorije 1A ali 1B;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in/ali</w:t>
            </w:r>
          </w:p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 xml:space="preserve">endokrini motilci, pri katerih je izpostavljenost </w:t>
            </w:r>
            <w:r w:rsidRPr="00806A7E">
              <w:rPr>
                <w:rFonts w:eastAsia="Times New Roman"/>
                <w:sz w:val="18"/>
                <w:szCs w:val="18"/>
              </w:rPr>
              <w:lastRenderedPageBreak/>
              <w:t>ljudi zanemarljiva</w:t>
            </w:r>
          </w:p>
        </w:tc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jc w:val="both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lastRenderedPageBreak/>
              <w:t> </w:t>
            </w:r>
          </w:p>
        </w:tc>
      </w:tr>
      <w:tr w:rsidR="000668D4" w:rsidRPr="00806A7E" w:rsidTr="00806A7E">
        <w:trPr>
          <w:tblCellSpacing w:w="0" w:type="dxa"/>
        </w:trPr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lastRenderedPageBreak/>
              <w:t>(v)</w:t>
            </w:r>
          </w:p>
        </w:tc>
        <w:tc>
          <w:tcPr>
            <w:tcW w:w="0" w:type="auto"/>
            <w:gridSpan w:val="7"/>
            <w:hideMark/>
          </w:tcPr>
          <w:p w:rsidR="000668D4" w:rsidRPr="00806A7E" w:rsidRDefault="000668D4" w:rsidP="00806A7E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Utežni faktorji nevarnosti, ki se uporabljajo za količine aktivnih snovi, danih v promet v sredstvih, ki so registrirana v skladu z Uredbo 1107/2009</w:t>
            </w:r>
            <w:r w:rsidR="00806A7E">
              <w:rPr>
                <w:rFonts w:eastAsia="Times New Roman"/>
                <w:sz w:val="18"/>
                <w:szCs w:val="18"/>
              </w:rPr>
              <w:t>/ES</w:t>
            </w:r>
          </w:p>
        </w:tc>
      </w:tr>
      <w:tr w:rsidR="00806A7E" w:rsidRPr="00806A7E" w:rsidTr="00806A7E">
        <w:trPr>
          <w:tblCellSpacing w:w="0" w:type="dxa"/>
        </w:trPr>
        <w:tc>
          <w:tcPr>
            <w:tcW w:w="0" w:type="auto"/>
            <w:hideMark/>
          </w:tcPr>
          <w:p w:rsidR="000668D4" w:rsidRPr="00806A7E" w:rsidRDefault="000668D4" w:rsidP="00B6164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(vi)</w:t>
            </w:r>
          </w:p>
        </w:tc>
        <w:tc>
          <w:tcPr>
            <w:tcW w:w="0" w:type="auto"/>
            <w:gridSpan w:val="2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gridSpan w:val="2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8</w:t>
            </w:r>
          </w:p>
        </w:tc>
        <w:tc>
          <w:tcPr>
            <w:tcW w:w="0" w:type="auto"/>
            <w:gridSpan w:val="2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16</w:t>
            </w:r>
          </w:p>
        </w:tc>
        <w:tc>
          <w:tcPr>
            <w:tcW w:w="0" w:type="auto"/>
            <w:hideMark/>
          </w:tcPr>
          <w:p w:rsidR="000668D4" w:rsidRPr="00806A7E" w:rsidRDefault="000668D4" w:rsidP="00EB0BFE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06A7E">
              <w:rPr>
                <w:rFonts w:eastAsia="Times New Roman"/>
                <w:sz w:val="18"/>
                <w:szCs w:val="18"/>
              </w:rPr>
              <w:t>64</w:t>
            </w:r>
          </w:p>
        </w:tc>
      </w:tr>
    </w:tbl>
    <w:p w:rsidR="000668D4" w:rsidRPr="00021042" w:rsidRDefault="0032252F" w:rsidP="00021042">
      <w:pPr>
        <w:spacing w:before="12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4</w:t>
      </w:r>
      <w:r w:rsidR="000668D4" w:rsidRPr="00021042">
        <w:rPr>
          <w:rFonts w:eastAsia="Times New Roman"/>
          <w:color w:val="000000"/>
        </w:rPr>
        <w:t>.   Izhodiščna vrednost za usklajeni kazalnik tveganja 1 se določi pri 100 in je enaka povprečnemu rezultatu navedenega izračuna za obdobje 2011–2013.</w:t>
      </w:r>
    </w:p>
    <w:p w:rsidR="000668D4" w:rsidRPr="00021042" w:rsidRDefault="0032252F" w:rsidP="00021042">
      <w:pPr>
        <w:spacing w:before="12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5</w:t>
      </w:r>
      <w:r w:rsidR="000668D4" w:rsidRPr="00021042">
        <w:rPr>
          <w:rFonts w:eastAsia="Times New Roman"/>
          <w:color w:val="000000"/>
        </w:rPr>
        <w:t>.   Rezultat usklajenega kazalnika tveganja 1 se izrazi glede na izhodiščno vrednost.</w:t>
      </w:r>
    </w:p>
    <w:p w:rsidR="00EB0BFE" w:rsidRDefault="00EB0BFE" w:rsidP="00021042">
      <w:pPr>
        <w:spacing w:before="120"/>
        <w:jc w:val="both"/>
        <w:rPr>
          <w:rFonts w:eastAsia="Times New Roman"/>
          <w:b/>
          <w:bCs/>
          <w:color w:val="000000"/>
        </w:rPr>
      </w:pPr>
    </w:p>
    <w:p w:rsidR="00EB0BFE" w:rsidRPr="00EB0BFE" w:rsidRDefault="00EB0BFE" w:rsidP="00EB0BFE">
      <w:pPr>
        <w:spacing w:before="120"/>
        <w:jc w:val="center"/>
        <w:rPr>
          <w:rFonts w:eastAsia="Times New Roman"/>
          <w:bCs/>
          <w:color w:val="000000"/>
        </w:rPr>
      </w:pPr>
      <w:r w:rsidRPr="00EB0BFE">
        <w:rPr>
          <w:rFonts w:eastAsia="Times New Roman"/>
          <w:bCs/>
          <w:color w:val="000000"/>
        </w:rPr>
        <w:t>II. USKLAJENI KAZALNIK 2</w:t>
      </w:r>
    </w:p>
    <w:p w:rsidR="00EB0BFE" w:rsidRDefault="00EB0BFE" w:rsidP="00021042">
      <w:pPr>
        <w:spacing w:before="120"/>
        <w:jc w:val="both"/>
        <w:rPr>
          <w:rFonts w:eastAsia="Times New Roman"/>
          <w:b/>
          <w:bCs/>
          <w:color w:val="000000"/>
        </w:rPr>
      </w:pPr>
    </w:p>
    <w:p w:rsidR="000668D4" w:rsidRDefault="00EB0BFE" w:rsidP="00021042">
      <w:pPr>
        <w:spacing w:before="12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1</w:t>
      </w:r>
      <w:r w:rsidR="000668D4" w:rsidRPr="00021042">
        <w:rPr>
          <w:rFonts w:eastAsia="Times New Roman"/>
          <w:color w:val="000000"/>
        </w:rPr>
        <w:t>.   </w:t>
      </w:r>
      <w:r w:rsidR="00BD5870">
        <w:rPr>
          <w:rFonts w:eastAsia="Times New Roman"/>
          <w:color w:val="000000"/>
        </w:rPr>
        <w:t>Z</w:t>
      </w:r>
      <w:r w:rsidRPr="00021042">
        <w:rPr>
          <w:rFonts w:eastAsia="Times New Roman"/>
          <w:color w:val="000000"/>
        </w:rPr>
        <w:t>a izračun usklajenega kazalnika tveganja 2</w:t>
      </w:r>
      <w:r>
        <w:rPr>
          <w:rFonts w:eastAsia="Times New Roman"/>
          <w:color w:val="000000"/>
        </w:rPr>
        <w:t xml:space="preserve"> </w:t>
      </w:r>
      <w:r w:rsidRPr="00021042">
        <w:rPr>
          <w:rFonts w:eastAsia="Times New Roman"/>
          <w:color w:val="000000"/>
        </w:rPr>
        <w:t xml:space="preserve">se uporabljajo </w:t>
      </w:r>
      <w:r>
        <w:rPr>
          <w:rFonts w:eastAsia="Times New Roman"/>
          <w:color w:val="000000"/>
        </w:rPr>
        <w:t>n</w:t>
      </w:r>
      <w:r w:rsidR="000668D4" w:rsidRPr="00021042">
        <w:rPr>
          <w:rFonts w:eastAsia="Times New Roman"/>
          <w:color w:val="000000"/>
        </w:rPr>
        <w:t>aslednja splošna pravila:</w:t>
      </w:r>
    </w:p>
    <w:p w:rsidR="00BD5870" w:rsidRDefault="00BD5870" w:rsidP="00E748DF">
      <w:pPr>
        <w:spacing w:before="120"/>
        <w:ind w:left="708"/>
        <w:jc w:val="both"/>
        <w:rPr>
          <w:rFonts w:eastAsia="Times New Roman"/>
        </w:rPr>
      </w:pPr>
      <w:r>
        <w:rPr>
          <w:rFonts w:eastAsia="Times New Roman"/>
          <w:color w:val="000000"/>
        </w:rPr>
        <w:t xml:space="preserve">a) </w:t>
      </w:r>
      <w:r w:rsidRPr="00021042">
        <w:rPr>
          <w:rFonts w:eastAsia="Times New Roman"/>
        </w:rPr>
        <w:t xml:space="preserve">usklajeni kazalnik tveganja 2 temelji na številu izdanih </w:t>
      </w:r>
      <w:r w:rsidR="0032252F">
        <w:rPr>
          <w:rFonts w:eastAsia="Times New Roman"/>
        </w:rPr>
        <w:t>dovoljenj za nujne primere v skladu z zakonom, ki ureja FFS</w:t>
      </w:r>
      <w:r w:rsidRPr="00021042">
        <w:rPr>
          <w:rFonts w:eastAsia="Times New Roman"/>
        </w:rPr>
        <w:t xml:space="preserve">. Izračuna se na podlagi kategorizacije aktivnih snovi v 4 skupine in 7 kategorij iz </w:t>
      </w:r>
      <w:r w:rsidR="0032252F">
        <w:rPr>
          <w:rFonts w:eastAsia="Times New Roman"/>
        </w:rPr>
        <w:t>preglednice</w:t>
      </w:r>
      <w:r w:rsidRPr="00021042">
        <w:rPr>
          <w:rFonts w:eastAsia="Times New Roman"/>
        </w:rPr>
        <w:t> 2 tega oddelka</w:t>
      </w:r>
      <w:r w:rsidR="00E748DF">
        <w:rPr>
          <w:rFonts w:eastAsia="Times New Roman"/>
        </w:rPr>
        <w:t>,</w:t>
      </w:r>
    </w:p>
    <w:p w:rsidR="00E748DF" w:rsidRDefault="00E748DF" w:rsidP="00E748DF">
      <w:pPr>
        <w:spacing w:before="120"/>
        <w:ind w:left="708"/>
        <w:jc w:val="both"/>
        <w:rPr>
          <w:rFonts w:eastAsia="Times New Roman"/>
        </w:rPr>
      </w:pPr>
      <w:r>
        <w:rPr>
          <w:rFonts w:eastAsia="Times New Roman"/>
        </w:rPr>
        <w:t xml:space="preserve">b) </w:t>
      </w:r>
      <w:r w:rsidRPr="00021042">
        <w:rPr>
          <w:rFonts w:eastAsia="Times New Roman"/>
        </w:rPr>
        <w:t>aktivne snovi iz skupine 1 (kategoriji A in B) so navedene v delu D Priloge k Izvedbeni uredbi 540/2011</w:t>
      </w:r>
      <w:r w:rsidR="0032252F">
        <w:rPr>
          <w:rFonts w:eastAsia="Times New Roman"/>
        </w:rPr>
        <w:t>/EU</w:t>
      </w:r>
      <w:r>
        <w:rPr>
          <w:rFonts w:eastAsia="Times New Roman"/>
        </w:rPr>
        <w:t>,</w:t>
      </w:r>
    </w:p>
    <w:p w:rsidR="00E748DF" w:rsidRDefault="00E748DF" w:rsidP="00E748DF">
      <w:pPr>
        <w:spacing w:before="120"/>
        <w:ind w:left="708"/>
        <w:jc w:val="both"/>
        <w:rPr>
          <w:rFonts w:eastAsia="Times New Roman"/>
        </w:rPr>
      </w:pPr>
      <w:r>
        <w:rPr>
          <w:rFonts w:eastAsia="Times New Roman"/>
        </w:rPr>
        <w:t xml:space="preserve">c) </w:t>
      </w:r>
      <w:r w:rsidRPr="00021042">
        <w:rPr>
          <w:rFonts w:eastAsia="Times New Roman"/>
        </w:rPr>
        <w:t>aktivne snovi iz skupine 2 (kategoriji C in D) so tiste iz delov A in B Priloge k Izvedbeni uredbi 540/2011</w:t>
      </w:r>
      <w:r w:rsidR="0032252F">
        <w:rPr>
          <w:rFonts w:eastAsia="Times New Roman"/>
        </w:rPr>
        <w:t>/EU</w:t>
      </w:r>
      <w:r>
        <w:rPr>
          <w:rFonts w:eastAsia="Times New Roman"/>
        </w:rPr>
        <w:t>,</w:t>
      </w:r>
    </w:p>
    <w:p w:rsidR="00E748DF" w:rsidRDefault="00E748DF" w:rsidP="00E748DF">
      <w:pPr>
        <w:spacing w:before="120"/>
        <w:ind w:left="708"/>
        <w:jc w:val="both"/>
        <w:rPr>
          <w:rFonts w:eastAsia="Times New Roman"/>
        </w:rPr>
      </w:pPr>
      <w:r>
        <w:rPr>
          <w:rFonts w:eastAsia="Times New Roman"/>
        </w:rPr>
        <w:t xml:space="preserve">d) </w:t>
      </w:r>
      <w:r w:rsidRPr="00021042">
        <w:rPr>
          <w:rFonts w:eastAsia="Times New Roman"/>
        </w:rPr>
        <w:t>aktivne snovi iz skupine 3 (kategoriji E in F) so tiste iz dela E Priloge k Izvedbeni uredbi 540/2011</w:t>
      </w:r>
      <w:r w:rsidR="0032252F">
        <w:rPr>
          <w:rFonts w:eastAsia="Times New Roman"/>
        </w:rPr>
        <w:t>/EU</w:t>
      </w:r>
      <w:r>
        <w:rPr>
          <w:rFonts w:eastAsia="Times New Roman"/>
        </w:rPr>
        <w:t>,</w:t>
      </w:r>
    </w:p>
    <w:p w:rsidR="00E748DF" w:rsidRDefault="00E748DF" w:rsidP="00E748DF">
      <w:pPr>
        <w:spacing w:before="120"/>
        <w:ind w:left="708"/>
        <w:jc w:val="both"/>
        <w:rPr>
          <w:rFonts w:eastAsia="Times New Roman"/>
        </w:rPr>
      </w:pPr>
      <w:r>
        <w:rPr>
          <w:rFonts w:eastAsia="Times New Roman"/>
        </w:rPr>
        <w:t xml:space="preserve">e) </w:t>
      </w:r>
      <w:r w:rsidRPr="00021042">
        <w:rPr>
          <w:rFonts w:eastAsia="Times New Roman"/>
        </w:rPr>
        <w:t>aktivne snovi iz skupine 4 (kategorija G) so tiste, ki niso odobrene v skladu z Uredbo (ES) št. 1107/2009 in zato niso navedene v Prilogi k Izvedbeni uredbi 540/2011</w:t>
      </w:r>
      <w:r w:rsidR="0032252F">
        <w:rPr>
          <w:rFonts w:eastAsia="Times New Roman"/>
        </w:rPr>
        <w:t>/EU</w:t>
      </w:r>
      <w:r>
        <w:rPr>
          <w:rFonts w:eastAsia="Times New Roman"/>
        </w:rPr>
        <w:t>,</w:t>
      </w:r>
    </w:p>
    <w:p w:rsidR="00E748DF" w:rsidRDefault="00E748DF" w:rsidP="00E748DF">
      <w:pPr>
        <w:spacing w:before="120"/>
        <w:ind w:left="708"/>
        <w:jc w:val="both"/>
        <w:rPr>
          <w:rFonts w:eastAsia="Times New Roman"/>
        </w:rPr>
      </w:pPr>
      <w:r>
        <w:rPr>
          <w:rFonts w:eastAsia="Times New Roman"/>
        </w:rPr>
        <w:t xml:space="preserve">f) </w:t>
      </w:r>
      <w:r w:rsidRPr="00021042">
        <w:rPr>
          <w:rFonts w:eastAsia="Times New Roman"/>
        </w:rPr>
        <w:t xml:space="preserve">uporabljajo se utežni faktorji iz vrstice (vi) v </w:t>
      </w:r>
      <w:r w:rsidR="0032252F">
        <w:rPr>
          <w:rFonts w:eastAsia="Times New Roman"/>
        </w:rPr>
        <w:t>preglednici</w:t>
      </w:r>
      <w:r w:rsidRPr="00021042">
        <w:rPr>
          <w:rFonts w:eastAsia="Times New Roman"/>
        </w:rPr>
        <w:t xml:space="preserve"> 2 tega oddelka</w:t>
      </w:r>
      <w:r>
        <w:rPr>
          <w:rFonts w:eastAsia="Times New Roman"/>
        </w:rPr>
        <w:t>.</w:t>
      </w:r>
    </w:p>
    <w:p w:rsidR="000668D4" w:rsidRPr="00021042" w:rsidRDefault="0032252F" w:rsidP="00021042">
      <w:pPr>
        <w:spacing w:before="12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2</w:t>
      </w:r>
      <w:r w:rsidR="000668D4" w:rsidRPr="00021042">
        <w:rPr>
          <w:rFonts w:eastAsia="Times New Roman"/>
          <w:color w:val="000000"/>
        </w:rPr>
        <w:t xml:space="preserve">.   Usklajeni kazalnik tveganja 2 se izračuna tako, da se število </w:t>
      </w:r>
      <w:r>
        <w:rPr>
          <w:rFonts w:eastAsia="Times New Roman"/>
          <w:color w:val="000000"/>
        </w:rPr>
        <w:t>dovoljenj za nujne primere,</w:t>
      </w:r>
      <w:r w:rsidR="000668D4" w:rsidRPr="00021042">
        <w:rPr>
          <w:rFonts w:eastAsia="Times New Roman"/>
          <w:color w:val="000000"/>
        </w:rPr>
        <w:t xml:space="preserve"> izdanih za </w:t>
      </w:r>
      <w:r>
        <w:rPr>
          <w:rFonts w:eastAsia="Times New Roman"/>
          <w:color w:val="000000"/>
        </w:rPr>
        <w:t>FFS</w:t>
      </w:r>
      <w:r w:rsidR="000668D4" w:rsidRPr="00021042">
        <w:rPr>
          <w:rFonts w:eastAsia="Times New Roman"/>
          <w:color w:val="000000"/>
        </w:rPr>
        <w:t xml:space="preserve"> v skladu </w:t>
      </w:r>
      <w:r>
        <w:rPr>
          <w:rFonts w:eastAsia="Times New Roman"/>
          <w:color w:val="000000"/>
        </w:rPr>
        <w:t xml:space="preserve">z zakonom, ki ureja FFS, </w:t>
      </w:r>
      <w:r w:rsidR="000668D4" w:rsidRPr="00021042">
        <w:rPr>
          <w:rFonts w:eastAsia="Times New Roman"/>
          <w:color w:val="000000"/>
        </w:rPr>
        <w:t xml:space="preserve"> za vsako skupino v </w:t>
      </w:r>
      <w:r w:rsidR="00857BFA">
        <w:rPr>
          <w:rFonts w:eastAsia="Times New Roman"/>
          <w:color w:val="000000"/>
        </w:rPr>
        <w:t>preglednici</w:t>
      </w:r>
      <w:r w:rsidR="000668D4" w:rsidRPr="00021042">
        <w:rPr>
          <w:rFonts w:eastAsia="Times New Roman"/>
          <w:color w:val="000000"/>
        </w:rPr>
        <w:t xml:space="preserve"> 2, pomnoži z ustreznim utežnim faktorjem nevarnosti iz vrstice (vi), čemur sledi združevanje rezultatov teh izračunov.</w:t>
      </w:r>
    </w:p>
    <w:p w:rsidR="000668D4" w:rsidRPr="00E748DF" w:rsidRDefault="00E748DF" w:rsidP="00E748DF">
      <w:pPr>
        <w:spacing w:before="120"/>
        <w:jc w:val="both"/>
        <w:rPr>
          <w:rFonts w:eastAsia="Times New Roman"/>
          <w:color w:val="000000"/>
        </w:rPr>
      </w:pPr>
      <w:r w:rsidRPr="00890415">
        <w:rPr>
          <w:rFonts w:eastAsia="Times New Roman"/>
          <w:i/>
          <w:iCs/>
          <w:color w:val="000000"/>
        </w:rPr>
        <w:t>Preglednica</w:t>
      </w:r>
      <w:r w:rsidR="000668D4" w:rsidRPr="00890415">
        <w:rPr>
          <w:rFonts w:eastAsia="Times New Roman"/>
          <w:i/>
          <w:iCs/>
          <w:color w:val="000000"/>
        </w:rPr>
        <w:t xml:space="preserve"> 2</w:t>
      </w:r>
      <w:r>
        <w:rPr>
          <w:rFonts w:eastAsia="Times New Roman"/>
          <w:color w:val="000000"/>
        </w:rPr>
        <w:t xml:space="preserve">: </w:t>
      </w:r>
      <w:r w:rsidR="000668D4" w:rsidRPr="00E748DF">
        <w:rPr>
          <w:rFonts w:eastAsia="Times New Roman"/>
          <w:bCs/>
          <w:color w:val="000000"/>
        </w:rPr>
        <w:t>Kategorizacija aktivnih snovi in utežnih faktorjev nevarnosti za namene izračuna usklajenega kazalnika tveganja 2</w:t>
      </w:r>
    </w:p>
    <w:tbl>
      <w:tblPr>
        <w:tblW w:w="5000" w:type="pct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"/>
        <w:gridCol w:w="1345"/>
        <w:gridCol w:w="795"/>
        <w:gridCol w:w="1345"/>
        <w:gridCol w:w="795"/>
        <w:gridCol w:w="1345"/>
        <w:gridCol w:w="1345"/>
        <w:gridCol w:w="1421"/>
      </w:tblGrid>
      <w:tr w:rsidR="000668D4" w:rsidRPr="00857BFA" w:rsidTr="00857BFA">
        <w:trPr>
          <w:tblCellSpacing w:w="0" w:type="dxa"/>
        </w:trPr>
        <w:tc>
          <w:tcPr>
            <w:tcW w:w="389" w:type="pct"/>
            <w:vMerge w:val="restart"/>
            <w:hideMark/>
          </w:tcPr>
          <w:p w:rsidR="000668D4" w:rsidRPr="00433704" w:rsidRDefault="00857BFA" w:rsidP="00857BFA">
            <w:pPr>
              <w:spacing w:before="40" w:after="40"/>
              <w:ind w:left="57" w:right="57"/>
              <w:jc w:val="center"/>
              <w:rPr>
                <w:rFonts w:eastAsia="Times New Roman"/>
                <w:bCs/>
                <w:sz w:val="18"/>
                <w:szCs w:val="18"/>
              </w:rPr>
            </w:pPr>
            <w:r w:rsidRPr="00433704">
              <w:rPr>
                <w:rFonts w:eastAsia="Times New Roman"/>
                <w:bCs/>
                <w:sz w:val="18"/>
                <w:szCs w:val="18"/>
              </w:rPr>
              <w:t>Vrst</w:t>
            </w:r>
            <w:r w:rsidR="00433704">
              <w:rPr>
                <w:rFonts w:eastAsia="Times New Roman"/>
                <w:bCs/>
                <w:sz w:val="18"/>
                <w:szCs w:val="18"/>
              </w:rPr>
              <w:t>ica</w:t>
            </w:r>
          </w:p>
        </w:tc>
        <w:tc>
          <w:tcPr>
            <w:tcW w:w="4611" w:type="pct"/>
            <w:gridSpan w:val="7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57BFA">
              <w:rPr>
                <w:rFonts w:eastAsia="Times New Roman"/>
                <w:b/>
                <w:bCs/>
                <w:sz w:val="18"/>
                <w:szCs w:val="18"/>
              </w:rPr>
              <w:t>Skupine</w:t>
            </w:r>
          </w:p>
        </w:tc>
      </w:tr>
      <w:tr w:rsidR="00857BFA" w:rsidRPr="00857BFA" w:rsidTr="00857BFA">
        <w:trPr>
          <w:tblCellSpacing w:w="0" w:type="dxa"/>
        </w:trPr>
        <w:tc>
          <w:tcPr>
            <w:tcW w:w="389" w:type="pct"/>
            <w:vMerge/>
            <w:vAlign w:val="center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1180" w:type="pct"/>
            <w:gridSpan w:val="2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57BFA">
              <w:rPr>
                <w:rFonts w:eastAsia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0" w:type="auto"/>
            <w:gridSpan w:val="2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57BFA">
              <w:rPr>
                <w:rFonts w:eastAsia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0" w:type="auto"/>
            <w:gridSpan w:val="2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57BFA">
              <w:rPr>
                <w:rFonts w:eastAsia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r w:rsidRPr="00857BFA">
              <w:rPr>
                <w:rFonts w:eastAsia="Times New Roman"/>
                <w:b/>
                <w:bCs/>
                <w:sz w:val="18"/>
                <w:szCs w:val="18"/>
              </w:rPr>
              <w:t>4</w:t>
            </w:r>
          </w:p>
        </w:tc>
      </w:tr>
      <w:tr w:rsidR="00857BFA" w:rsidRPr="00857BFA" w:rsidTr="00857BFA">
        <w:trPr>
          <w:tblCellSpacing w:w="0" w:type="dxa"/>
        </w:trPr>
        <w:tc>
          <w:tcPr>
            <w:tcW w:w="389" w:type="pct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(i)</w:t>
            </w:r>
          </w:p>
        </w:tc>
        <w:tc>
          <w:tcPr>
            <w:tcW w:w="1180" w:type="pct"/>
            <w:gridSpan w:val="2"/>
            <w:hideMark/>
          </w:tcPr>
          <w:p w:rsidR="000668D4" w:rsidRPr="00857BFA" w:rsidRDefault="000668D4" w:rsidP="003077F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aktivne snovi z majhnim tveganjem, ki so odobrene ali s</w:t>
            </w:r>
            <w:r w:rsidR="003077FB">
              <w:rPr>
                <w:rFonts w:eastAsia="Times New Roman"/>
                <w:sz w:val="18"/>
                <w:szCs w:val="18"/>
              </w:rPr>
              <w:t>e štejejo za odobrene v skladu z</w:t>
            </w:r>
            <w:r w:rsidRPr="00857BFA">
              <w:rPr>
                <w:rFonts w:eastAsia="Times New Roman"/>
                <w:sz w:val="18"/>
                <w:szCs w:val="18"/>
              </w:rPr>
              <w:t xml:space="preserve"> 22</w:t>
            </w:r>
            <w:r w:rsidR="003077FB">
              <w:rPr>
                <w:rFonts w:eastAsia="Times New Roman"/>
                <w:sz w:val="18"/>
                <w:szCs w:val="18"/>
              </w:rPr>
              <w:t>.</w:t>
            </w:r>
            <w:r w:rsidRPr="00857BFA">
              <w:rPr>
                <w:rFonts w:eastAsia="Times New Roman"/>
                <w:sz w:val="18"/>
                <w:szCs w:val="18"/>
              </w:rPr>
              <w:t xml:space="preserve"> </w:t>
            </w:r>
            <w:r w:rsidR="003077FB" w:rsidRPr="00857BFA">
              <w:rPr>
                <w:rFonts w:eastAsia="Times New Roman"/>
                <w:sz w:val="18"/>
                <w:szCs w:val="18"/>
              </w:rPr>
              <w:t xml:space="preserve">členom </w:t>
            </w:r>
            <w:r w:rsidRPr="00857BFA">
              <w:rPr>
                <w:rFonts w:eastAsia="Times New Roman"/>
                <w:sz w:val="18"/>
                <w:szCs w:val="18"/>
              </w:rPr>
              <w:t>Uredbe  1107/2009</w:t>
            </w:r>
            <w:r w:rsidR="003077FB">
              <w:rPr>
                <w:rFonts w:eastAsia="Times New Roman"/>
                <w:sz w:val="18"/>
                <w:szCs w:val="18"/>
              </w:rPr>
              <w:t>/ES</w:t>
            </w:r>
            <w:r w:rsidRPr="00857BFA">
              <w:rPr>
                <w:rFonts w:eastAsia="Times New Roman"/>
                <w:sz w:val="18"/>
                <w:szCs w:val="18"/>
              </w:rPr>
              <w:t xml:space="preserve"> in so navedene v del</w:t>
            </w:r>
            <w:r w:rsidR="00DE416D">
              <w:rPr>
                <w:rFonts w:eastAsia="Times New Roman"/>
                <w:sz w:val="18"/>
                <w:szCs w:val="18"/>
              </w:rPr>
              <w:t xml:space="preserve">u D Priloge k Izvedbeni uredbi </w:t>
            </w:r>
            <w:r w:rsidR="003077FB" w:rsidRPr="003077FB">
              <w:rPr>
                <w:rFonts w:eastAsia="Times New Roman"/>
                <w:sz w:val="18"/>
                <w:szCs w:val="18"/>
              </w:rPr>
              <w:t>540/2011/EU</w:t>
            </w:r>
          </w:p>
        </w:tc>
        <w:tc>
          <w:tcPr>
            <w:tcW w:w="0" w:type="auto"/>
            <w:gridSpan w:val="2"/>
            <w:hideMark/>
          </w:tcPr>
          <w:p w:rsidR="000668D4" w:rsidRPr="00857BFA" w:rsidRDefault="000668D4" w:rsidP="003077F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aktivne snovi, ki so odobrene ali se štejejo za odobrene v skladu z Uredbo 1107/2009</w:t>
            </w:r>
            <w:r w:rsidR="003077FB">
              <w:rPr>
                <w:rFonts w:eastAsia="Times New Roman"/>
                <w:sz w:val="18"/>
                <w:szCs w:val="18"/>
              </w:rPr>
              <w:t>/ES</w:t>
            </w:r>
            <w:r w:rsidRPr="00857BFA">
              <w:rPr>
                <w:rFonts w:eastAsia="Times New Roman"/>
                <w:sz w:val="18"/>
                <w:szCs w:val="18"/>
              </w:rPr>
              <w:t xml:space="preserve"> in ne spadajo v druge kategorije ter so navedene v delih A i</w:t>
            </w:r>
            <w:r w:rsidR="003077FB">
              <w:rPr>
                <w:rFonts w:eastAsia="Times New Roman"/>
                <w:sz w:val="18"/>
                <w:szCs w:val="18"/>
              </w:rPr>
              <w:t xml:space="preserve">n B Priloge k Izvedbeni uredbi </w:t>
            </w:r>
            <w:r w:rsidR="003077FB" w:rsidRPr="003077FB">
              <w:rPr>
                <w:rFonts w:eastAsia="Times New Roman"/>
                <w:sz w:val="18"/>
                <w:szCs w:val="18"/>
              </w:rPr>
              <w:t>540/2011/EU</w:t>
            </w:r>
          </w:p>
        </w:tc>
        <w:tc>
          <w:tcPr>
            <w:tcW w:w="0" w:type="auto"/>
            <w:gridSpan w:val="2"/>
            <w:hideMark/>
          </w:tcPr>
          <w:p w:rsidR="000668D4" w:rsidRPr="00857BFA" w:rsidRDefault="000668D4" w:rsidP="003077F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aktivne snovi, ki so odobrene ali se štejejo za odobrene v skladu s 24</w:t>
            </w:r>
            <w:r w:rsidR="003077FB">
              <w:rPr>
                <w:rFonts w:eastAsia="Times New Roman"/>
                <w:sz w:val="18"/>
                <w:szCs w:val="18"/>
              </w:rPr>
              <w:t>.</w:t>
            </w:r>
            <w:r w:rsidRPr="00857BFA">
              <w:rPr>
                <w:rFonts w:eastAsia="Times New Roman"/>
                <w:sz w:val="18"/>
                <w:szCs w:val="18"/>
              </w:rPr>
              <w:t xml:space="preserve"> </w:t>
            </w:r>
            <w:r w:rsidR="003077FB" w:rsidRPr="00857BFA">
              <w:rPr>
                <w:rFonts w:eastAsia="Times New Roman"/>
                <w:sz w:val="18"/>
                <w:szCs w:val="18"/>
              </w:rPr>
              <w:t xml:space="preserve">členom </w:t>
            </w:r>
            <w:r w:rsidRPr="00857BFA">
              <w:rPr>
                <w:rFonts w:eastAsia="Times New Roman"/>
                <w:sz w:val="18"/>
                <w:szCs w:val="18"/>
              </w:rPr>
              <w:t>Uredbe 1107/2009</w:t>
            </w:r>
            <w:r w:rsidR="003077FB">
              <w:rPr>
                <w:rFonts w:eastAsia="Times New Roman"/>
                <w:sz w:val="18"/>
                <w:szCs w:val="18"/>
              </w:rPr>
              <w:t>/ES</w:t>
            </w:r>
            <w:r w:rsidRPr="00857BFA">
              <w:rPr>
                <w:rFonts w:eastAsia="Times New Roman"/>
                <w:sz w:val="18"/>
                <w:szCs w:val="18"/>
              </w:rPr>
              <w:t xml:space="preserve"> in so kandidatke za zamenjavo ter so navedene v delu E Priloge k Izvedbeni uredbi </w:t>
            </w:r>
            <w:r w:rsidR="003077FB" w:rsidRPr="003077FB">
              <w:rPr>
                <w:rFonts w:eastAsia="Times New Roman"/>
                <w:sz w:val="18"/>
                <w:szCs w:val="18"/>
              </w:rPr>
              <w:t>540/2011/EU</w:t>
            </w:r>
          </w:p>
        </w:tc>
        <w:tc>
          <w:tcPr>
            <w:tcW w:w="0" w:type="auto"/>
            <w:hideMark/>
          </w:tcPr>
          <w:p w:rsidR="000668D4" w:rsidRPr="00857BFA" w:rsidRDefault="000668D4" w:rsidP="003077FB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aktivne snovi, ki niso odobrene v skladu z Uredbo. 1107/2009</w:t>
            </w:r>
            <w:r w:rsidR="003077FB">
              <w:rPr>
                <w:rFonts w:eastAsia="Times New Roman"/>
                <w:sz w:val="18"/>
                <w:szCs w:val="18"/>
              </w:rPr>
              <w:t>/ES</w:t>
            </w:r>
            <w:r w:rsidRPr="00857BFA">
              <w:rPr>
                <w:rFonts w:eastAsia="Times New Roman"/>
                <w:sz w:val="18"/>
                <w:szCs w:val="18"/>
              </w:rPr>
              <w:t xml:space="preserve"> in zato niso navedene v Prilogi k Izvedbeni uredbi </w:t>
            </w:r>
            <w:r w:rsidR="003077FB" w:rsidRPr="003077FB">
              <w:rPr>
                <w:rFonts w:eastAsia="Times New Roman"/>
                <w:sz w:val="18"/>
                <w:szCs w:val="18"/>
              </w:rPr>
              <w:t>540/2011/EU</w:t>
            </w:r>
          </w:p>
        </w:tc>
      </w:tr>
      <w:tr w:rsidR="000668D4" w:rsidRPr="00857BFA" w:rsidTr="00857BFA">
        <w:trPr>
          <w:tblCellSpacing w:w="0" w:type="dxa"/>
        </w:trPr>
        <w:tc>
          <w:tcPr>
            <w:tcW w:w="389" w:type="pct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(ii)</w:t>
            </w:r>
          </w:p>
        </w:tc>
        <w:tc>
          <w:tcPr>
            <w:tcW w:w="4611" w:type="pct"/>
            <w:gridSpan w:val="7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Kategorije</w:t>
            </w:r>
          </w:p>
        </w:tc>
      </w:tr>
      <w:tr w:rsidR="00857BFA" w:rsidRPr="00857BFA" w:rsidTr="00857BFA">
        <w:trPr>
          <w:tblCellSpacing w:w="0" w:type="dxa"/>
        </w:trPr>
        <w:tc>
          <w:tcPr>
            <w:tcW w:w="389" w:type="pct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(iii)</w:t>
            </w:r>
          </w:p>
        </w:tc>
        <w:tc>
          <w:tcPr>
            <w:tcW w:w="713" w:type="pct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A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B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C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D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E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F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G</w:t>
            </w:r>
          </w:p>
        </w:tc>
      </w:tr>
      <w:tr w:rsidR="00857BFA" w:rsidRPr="00857BFA" w:rsidTr="00857BFA">
        <w:trPr>
          <w:tblCellSpacing w:w="0" w:type="dxa"/>
        </w:trPr>
        <w:tc>
          <w:tcPr>
            <w:tcW w:w="389" w:type="pct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(iv)</w:t>
            </w:r>
          </w:p>
        </w:tc>
        <w:tc>
          <w:tcPr>
            <w:tcW w:w="713" w:type="pct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mikroorganizmi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kemične aktivne snovi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mikroorganizmi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kemične aktivne snovi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ki niso razvrščene kot: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rakotvorne snovi kategorije 1A ali 1B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in/ali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lastRenderedPageBreak/>
              <w:t>strupene za razmnoževanje kategorije 1A ali 1B;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in/ali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endokrini motilci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lastRenderedPageBreak/>
              <w:t>ki so razvrščene kot: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rakotvorne snovi kategorije 1A ali 1B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in/ali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lastRenderedPageBreak/>
              <w:t>strupene za razmnoževanje kategorije 1A ali 1B;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in/ali</w:t>
            </w:r>
          </w:p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endokrini motilci, pri katerih je izpostavljenost ljudi zanemarljiva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both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lastRenderedPageBreak/>
              <w:t> </w:t>
            </w:r>
          </w:p>
        </w:tc>
      </w:tr>
      <w:tr w:rsidR="000668D4" w:rsidRPr="00857BFA" w:rsidTr="00857BFA">
        <w:trPr>
          <w:tblCellSpacing w:w="0" w:type="dxa"/>
        </w:trPr>
        <w:tc>
          <w:tcPr>
            <w:tcW w:w="389" w:type="pct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lastRenderedPageBreak/>
              <w:t>(v)</w:t>
            </w:r>
          </w:p>
        </w:tc>
        <w:tc>
          <w:tcPr>
            <w:tcW w:w="4611" w:type="pct"/>
            <w:gridSpan w:val="7"/>
            <w:hideMark/>
          </w:tcPr>
          <w:p w:rsidR="000668D4" w:rsidRPr="00857BFA" w:rsidRDefault="000668D4" w:rsidP="00DE416D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Utežni faktorji nevarnosti, ki se uporabljajo za število registracij, izdanih v skladu s členom 53 Uredbe. 1107/2009</w:t>
            </w:r>
            <w:r w:rsidR="00DE416D">
              <w:rPr>
                <w:rFonts w:eastAsia="Times New Roman"/>
                <w:sz w:val="18"/>
                <w:szCs w:val="18"/>
              </w:rPr>
              <w:t>/ES</w:t>
            </w:r>
          </w:p>
        </w:tc>
      </w:tr>
      <w:tr w:rsidR="00857BFA" w:rsidRPr="00857BFA" w:rsidTr="00857BFA">
        <w:trPr>
          <w:tblCellSpacing w:w="0" w:type="dxa"/>
        </w:trPr>
        <w:tc>
          <w:tcPr>
            <w:tcW w:w="389" w:type="pct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(vi)</w:t>
            </w:r>
          </w:p>
        </w:tc>
        <w:tc>
          <w:tcPr>
            <w:tcW w:w="1180" w:type="pct"/>
            <w:gridSpan w:val="2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gridSpan w:val="2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8</w:t>
            </w:r>
          </w:p>
        </w:tc>
        <w:tc>
          <w:tcPr>
            <w:tcW w:w="0" w:type="auto"/>
            <w:gridSpan w:val="2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16</w:t>
            </w:r>
          </w:p>
        </w:tc>
        <w:tc>
          <w:tcPr>
            <w:tcW w:w="0" w:type="auto"/>
            <w:hideMark/>
          </w:tcPr>
          <w:p w:rsidR="000668D4" w:rsidRPr="00857BFA" w:rsidRDefault="000668D4" w:rsidP="00857BFA">
            <w:pPr>
              <w:spacing w:before="40" w:after="40"/>
              <w:ind w:left="57" w:right="57"/>
              <w:jc w:val="center"/>
              <w:rPr>
                <w:rFonts w:eastAsia="Times New Roman"/>
                <w:sz w:val="18"/>
                <w:szCs w:val="18"/>
              </w:rPr>
            </w:pPr>
            <w:r w:rsidRPr="00857BFA">
              <w:rPr>
                <w:rFonts w:eastAsia="Times New Roman"/>
                <w:sz w:val="18"/>
                <w:szCs w:val="18"/>
              </w:rPr>
              <w:t>64</w:t>
            </w:r>
          </w:p>
        </w:tc>
      </w:tr>
    </w:tbl>
    <w:p w:rsidR="000668D4" w:rsidRPr="00021042" w:rsidRDefault="0032252F" w:rsidP="00021042">
      <w:pPr>
        <w:spacing w:before="12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3</w:t>
      </w:r>
      <w:r w:rsidR="000668D4" w:rsidRPr="00021042">
        <w:rPr>
          <w:rFonts w:eastAsia="Times New Roman"/>
          <w:color w:val="000000"/>
        </w:rPr>
        <w:t>.   Izhodiščna vrednost za usklajeni ka</w:t>
      </w:r>
      <w:r w:rsidR="00433704">
        <w:rPr>
          <w:rFonts w:eastAsia="Times New Roman"/>
          <w:color w:val="000000"/>
        </w:rPr>
        <w:t xml:space="preserve">zalnik tveganja 2 se določi pri </w:t>
      </w:r>
      <w:r w:rsidR="000668D4" w:rsidRPr="00021042">
        <w:rPr>
          <w:rFonts w:eastAsia="Times New Roman"/>
          <w:color w:val="000000"/>
        </w:rPr>
        <w:t>100 in je enaka povprečnemu rezultatu navedenega izračuna za obdobje 2011–2013.</w:t>
      </w:r>
    </w:p>
    <w:p w:rsidR="000668D4" w:rsidRPr="00021042" w:rsidRDefault="0032252F" w:rsidP="00021042">
      <w:pPr>
        <w:spacing w:before="12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4</w:t>
      </w:r>
      <w:r w:rsidR="000668D4" w:rsidRPr="00021042">
        <w:rPr>
          <w:rFonts w:eastAsia="Times New Roman"/>
          <w:color w:val="000000"/>
        </w:rPr>
        <w:t>.   Rezultat usklajenega kazalnika tveganja 2 se izrazi glede na izhodiščno vrednost.</w:t>
      </w:r>
    </w:p>
    <w:p w:rsidR="000668D4" w:rsidRPr="00021042" w:rsidRDefault="000668D4" w:rsidP="00021042">
      <w:pPr>
        <w:spacing w:before="120"/>
        <w:jc w:val="both"/>
        <w:rPr>
          <w:rFonts w:eastAsia="Times New Roman"/>
          <w:color w:val="000000"/>
        </w:rPr>
      </w:pPr>
    </w:p>
    <w:p w:rsidR="00054B17" w:rsidRDefault="00054B17" w:rsidP="00021042"/>
    <w:p w:rsidR="003077FB" w:rsidRDefault="003077FB" w:rsidP="00021042"/>
    <w:p w:rsidR="003077FB" w:rsidRDefault="003077FB" w:rsidP="00021042"/>
    <w:p w:rsidR="003077FB" w:rsidRDefault="003077FB" w:rsidP="00021042"/>
    <w:sectPr w:rsidR="003077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8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8D4"/>
    <w:rsid w:val="00021042"/>
    <w:rsid w:val="00054B17"/>
    <w:rsid w:val="000668D4"/>
    <w:rsid w:val="000C76A3"/>
    <w:rsid w:val="0021407D"/>
    <w:rsid w:val="002B7F15"/>
    <w:rsid w:val="003077FB"/>
    <w:rsid w:val="0032252F"/>
    <w:rsid w:val="003F054D"/>
    <w:rsid w:val="00407C98"/>
    <w:rsid w:val="00433704"/>
    <w:rsid w:val="0049574D"/>
    <w:rsid w:val="00594DAB"/>
    <w:rsid w:val="0059596A"/>
    <w:rsid w:val="006C035A"/>
    <w:rsid w:val="00787F6E"/>
    <w:rsid w:val="007D45C6"/>
    <w:rsid w:val="007D5467"/>
    <w:rsid w:val="007E5916"/>
    <w:rsid w:val="00806A7E"/>
    <w:rsid w:val="008357CC"/>
    <w:rsid w:val="008368C0"/>
    <w:rsid w:val="008518AB"/>
    <w:rsid w:val="00857BFA"/>
    <w:rsid w:val="00877852"/>
    <w:rsid w:val="00890415"/>
    <w:rsid w:val="009D033D"/>
    <w:rsid w:val="009E4833"/>
    <w:rsid w:val="00A94D32"/>
    <w:rsid w:val="00AF21E3"/>
    <w:rsid w:val="00B23364"/>
    <w:rsid w:val="00B6164B"/>
    <w:rsid w:val="00BC70AF"/>
    <w:rsid w:val="00BD5870"/>
    <w:rsid w:val="00C263FA"/>
    <w:rsid w:val="00C8377A"/>
    <w:rsid w:val="00D201C8"/>
    <w:rsid w:val="00D32CF7"/>
    <w:rsid w:val="00D33BAB"/>
    <w:rsid w:val="00D41A78"/>
    <w:rsid w:val="00DE416D"/>
    <w:rsid w:val="00E62D60"/>
    <w:rsid w:val="00E748DF"/>
    <w:rsid w:val="00EA2743"/>
    <w:rsid w:val="00EB0BFE"/>
    <w:rsid w:val="00F22964"/>
    <w:rsid w:val="00F56758"/>
    <w:rsid w:val="00FA7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EEA05E-2138-4754-98EA-B9BEA8120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lang w:val="sl-SI" w:eastAsia="sl-SI" w:bidi="ar-SA"/>
      </w:rPr>
    </w:rPrDefault>
    <w:pPrDefault>
      <w:pPr>
        <w:spacing w:after="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386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40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06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08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60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21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4535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892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058304">
              <w:marLeft w:val="810"/>
              <w:marRight w:val="810"/>
              <w:marTop w:val="3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630776">
                  <w:marLeft w:val="4005"/>
                  <w:marRight w:val="81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961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08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95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4846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274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5</Pages>
  <Words>1455</Words>
  <Characters>8300</Characters>
  <Application>Microsoft Office Word</Application>
  <DocSecurity>0</DocSecurity>
  <Lines>69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</dc:creator>
  <cp:keywords/>
  <dc:description/>
  <cp:lastModifiedBy>Milena</cp:lastModifiedBy>
  <cp:revision>33</cp:revision>
  <dcterms:created xsi:type="dcterms:W3CDTF">2019-05-21T09:40:00Z</dcterms:created>
  <dcterms:modified xsi:type="dcterms:W3CDTF">2019-05-22T07:21:00Z</dcterms:modified>
</cp:coreProperties>
</file>