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2142" w:rsidRPr="001F5177" w:rsidRDefault="00382142" w:rsidP="00382142">
      <w:pPr>
        <w:tabs>
          <w:tab w:val="left" w:pos="0"/>
        </w:tabs>
        <w:spacing w:line="260" w:lineRule="atLeast"/>
        <w:ind w:left="5760"/>
        <w:jc w:val="center"/>
        <w:rPr>
          <w:rFonts w:cs="Arial"/>
          <w:b/>
          <w:szCs w:val="20"/>
        </w:rPr>
      </w:pPr>
      <w:r w:rsidRPr="001F5177">
        <w:rPr>
          <w:rFonts w:cs="Arial"/>
          <w:b/>
          <w:szCs w:val="20"/>
        </w:rPr>
        <w:t>PREDLOG</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xml:space="preserve">Na podlagi 10. in 12. člena Zakona o kmetijstvu (Uradni list RS, št. 45/08, 57/12, 90/12 – </w:t>
      </w:r>
      <w:proofErr w:type="spellStart"/>
      <w:r w:rsidRPr="001F5177">
        <w:rPr>
          <w:rFonts w:cs="Arial"/>
          <w:szCs w:val="20"/>
          <w:lang w:eastAsia="sl-SI"/>
        </w:rPr>
        <w:t>ZdZPVHVVR</w:t>
      </w:r>
      <w:proofErr w:type="spellEnd"/>
      <w:r w:rsidRPr="001F5177">
        <w:rPr>
          <w:rFonts w:cs="Arial"/>
          <w:szCs w:val="20"/>
          <w:lang w:eastAsia="sl-SI"/>
        </w:rPr>
        <w:t>, 26/14, 32/15, 27/17 in 22/18) izdaja Vlada Republike Slovenije</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bCs/>
          <w:spacing w:val="40"/>
          <w:szCs w:val="20"/>
          <w:lang w:eastAsia="sl-SI"/>
        </w:rPr>
      </w:pPr>
      <w:r w:rsidRPr="001F5177">
        <w:rPr>
          <w:rFonts w:cs="Arial"/>
          <w:b/>
          <w:bCs/>
          <w:spacing w:val="40"/>
          <w:szCs w:val="20"/>
          <w:lang w:eastAsia="sl-SI"/>
        </w:rPr>
        <w:t>UREDBO</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 xml:space="preserve">o izvajanju </w:t>
      </w:r>
      <w:proofErr w:type="spellStart"/>
      <w:r w:rsidRPr="001F5177">
        <w:rPr>
          <w:rFonts w:cs="Arial"/>
          <w:b/>
          <w:szCs w:val="20"/>
          <w:lang w:eastAsia="sl-SI"/>
        </w:rPr>
        <w:t>podukrepa</w:t>
      </w:r>
      <w:proofErr w:type="spellEnd"/>
      <w:r w:rsidRPr="001F5177">
        <w:rPr>
          <w:rFonts w:cs="Arial"/>
          <w:b/>
          <w:szCs w:val="20"/>
          <w:lang w:eastAsia="sl-SI"/>
        </w:rPr>
        <w:t xml:space="preserve"> Podpora za širokopasovno infrastrukturo, vključno z njeno vzpostavitvijo, izboljšanjem in razširitvijo, pasivno širokopasovno infrastrukturo ter zagotavljanjem dostopa do širokopasovnega interneta in rešitev v zvezi z e-upravo iz Programa razvoja podeželja Republike Slovenije za obdobje 2014–2020</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I. SPLOŠNE DOLOČBE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(vsebina)</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(1) Ta uredba ureja izvajanje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vključno z njeno vzpostavitvijo, izboljšanjem in razširitvijo, pasivno širokopasovno infrastrukturo ter zagotavljanjem dostopa do širokopasovnega interneta in rešitev v zvezi z e-upravo iz Programa razvoja podeželja Republike Slovenije za obdobje 2014–2020, potrjenega z Izvedbenim sklepom Komisije z dne 13. februarja 2015 o odobritvi programa razvoja podeželja Republike Slovenije za podporo iz Evropskega kmetijskega sklada za razvoj podeželja, št. CCI 2014 SI 06 RD NP 0012020, zadnjič spremenjenim z Izvedbenim sklepom Komisije št. C(2019) 2538 z dne 27. marca 2019 o odobritvi spremembe Programa razvoja podeželja Republike Slovenije za podporo iz Evropskega kmetijskega sklada za razvoj podeželja, (v nadaljnjem besedilu: PRP 2014–2020) in je dostopen na spletni strani Ministrstva za kmetijstvo, gozdarstvo in prehrano (v nadaljnjem besedilu: MKGP) ter na spletni strani programa razvoja podeželja (http://www.program-podezelja.si).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(2) S to uredbo se za </w:t>
      </w:r>
      <w:proofErr w:type="spellStart"/>
      <w:r w:rsidRPr="001F5177">
        <w:rPr>
          <w:rFonts w:cs="Arial"/>
          <w:szCs w:val="20"/>
          <w:lang w:eastAsia="sl-SI"/>
        </w:rPr>
        <w:t>podukrep</w:t>
      </w:r>
      <w:proofErr w:type="spellEnd"/>
      <w:r w:rsidRPr="001F5177">
        <w:rPr>
          <w:rFonts w:cs="Arial"/>
          <w:szCs w:val="20"/>
          <w:lang w:eastAsia="sl-SI"/>
        </w:rPr>
        <w:t xml:space="preserve"> iz prejšnjega odstavka določajo namen </w:t>
      </w:r>
      <w:proofErr w:type="spellStart"/>
      <w:r w:rsidRPr="001F5177">
        <w:rPr>
          <w:rFonts w:cs="Arial"/>
          <w:szCs w:val="20"/>
          <w:lang w:eastAsia="sl-SI"/>
        </w:rPr>
        <w:t>podukrepa</w:t>
      </w:r>
      <w:proofErr w:type="spellEnd"/>
      <w:r w:rsidRPr="001F5177">
        <w:rPr>
          <w:rFonts w:cs="Arial"/>
          <w:szCs w:val="20"/>
          <w:lang w:eastAsia="sl-SI"/>
        </w:rPr>
        <w:t xml:space="preserve">, namen podpore, upravičenci, upravičeni stroški, pogoji za dodelitev sredstev, merila za ocenjevanje vlog, pogoji za izplačilo sredstev, obveznosti upravičencev in finančne določbe: </w:t>
      </w:r>
    </w:p>
    <w:p w:rsidR="00382142" w:rsidRPr="001F5177" w:rsidRDefault="00382142" w:rsidP="00382142">
      <w:pPr>
        <w:numPr>
          <w:ilvl w:val="0"/>
          <w:numId w:val="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za izvajanje:</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2018/1719 Evropskega parlamenta in Sveta z dne 14. novembra 2018 o spremembi Uredbe (EU) št. 1303/2013 glede virov za ekonomsko, socialno in teritorialno kohezijo ter virov za cilj „naložbe za rast in delovna mesta“ (UL L št. 291 z dne 16.11.2018, str. 5), (v nadaljnjem besedilu: Uredba 1303/2013/EU);</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(v nadaljnjem besedilu: Uredba 1305/2013/EU);</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w:t>
      </w:r>
      <w:r w:rsidRPr="001F5177">
        <w:rPr>
          <w:rFonts w:cs="Arial"/>
          <w:szCs w:val="20"/>
          <w:lang w:eastAsia="sl-SI"/>
        </w:rPr>
        <w:lastRenderedPageBreak/>
        <w:t>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 </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 </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Izvedbene uredbe Komisije (EU) št. 808/2014 z dne 17. julija 2014 o določitvi pravil za uporabo Uredbe (EU) št. 1305/2013 Evropskega parlamenta in Sveta o podpori za razvoj podeželja iz Evropskega kmetijskega sklada za razvoj podeželja (EKSRP) (UL L št. 227 z dne 31. 7. 2014,str. 18), zadnjič spremenjene z Izvedbeno uredbo Komisije (EU) 2018/1077 z dne 30. julija 2018 o spremembi Izvedbene uredbe (EU) št. 808/2014 o določitvi pravil za uporabo Uredbe (EU) št. 1305/2013 Evropskega parlamenta in Sveta o podpori za razvoj podeželja iz Evropskega kmetijskega sklada za razvoj podeželja (EKSRP) (UL L št. 194 z dne 31. 7. 2018, str. 44), (v nadaljnjem besedilu: Uredba 808/2014/EU);</w:t>
      </w:r>
    </w:p>
    <w:p w:rsidR="00382142" w:rsidRPr="001F5177" w:rsidRDefault="00382142" w:rsidP="00382142">
      <w:pPr>
        <w:numPr>
          <w:ilvl w:val="0"/>
          <w:numId w:val="3"/>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2018/746 z dne 18. maja 2018 o spremembi Izvedbene uredbe (EU) št. 809/2014 glede spremembe zbirnih vlog in zahtevkov za plačilo ter pregledov (UL L št. 125 z dne 22. 5. 2018, str. 1), (v nadaljnjem besedilu: Uredba 809/2014/EU); </w:t>
      </w:r>
    </w:p>
    <w:p w:rsidR="00382142" w:rsidRPr="001F5177" w:rsidRDefault="00382142" w:rsidP="00382142">
      <w:pPr>
        <w:numPr>
          <w:ilvl w:val="0"/>
          <w:numId w:val="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v skladu z:</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Zakonom o elektronskih komunikacijah (Uradni list RS, št. 109/12, 110/13, 40/14-ZIN-B, 54/14-</w:t>
      </w:r>
      <w:proofErr w:type="spellStart"/>
      <w:r w:rsidRPr="001F5177">
        <w:rPr>
          <w:rFonts w:cs="Arial"/>
          <w:szCs w:val="20"/>
          <w:lang w:eastAsia="sl-SI"/>
        </w:rPr>
        <w:t>odl.US</w:t>
      </w:r>
      <w:proofErr w:type="spellEnd"/>
      <w:r w:rsidRPr="001F5177">
        <w:rPr>
          <w:rFonts w:cs="Arial"/>
          <w:szCs w:val="20"/>
          <w:lang w:eastAsia="sl-SI"/>
        </w:rPr>
        <w:t xml:space="preserve">, 81/15 in 40/17), (v nadaljnjem besedilu: ZEKom-1); </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Načrtom razvoja širokopasovnih omrežij naslednje generacije do leta 2020, z dne 10. 3. 2016 in Dodatkom k Načrtu razvoja širokopasovnih omrežij naslednje generacije do leta 2020</w:t>
      </w:r>
      <w:r w:rsidRPr="001F5177">
        <w:rPr>
          <w:rFonts w:cs="Arial"/>
          <w:b/>
          <w:szCs w:val="20"/>
          <w:lang w:eastAsia="sl-SI"/>
        </w:rPr>
        <w:t xml:space="preserve">, </w:t>
      </w:r>
      <w:r w:rsidRPr="001F5177">
        <w:rPr>
          <w:rFonts w:cs="Arial"/>
          <w:szCs w:val="20"/>
          <w:lang w:eastAsia="sl-SI"/>
        </w:rPr>
        <w:t xml:space="preserve">z dne 5. 7. 2018; </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Uredbo Komisije (ES) št. 651/2014 z dne 17. junija 2014 o razglasitvi nekaterih vrst pomoči za združljive z notranjim trgom pri uporabi členov 107 in 108 Pogodbe (UL L št. 187/2014 z dne 26. 6. 2014), zadnjič spremenjene z Uredbo Komisije (EU) 2017/1084 z dne 14. junija 2017 o spremembi Uredbe (EU) št. 651/2014, kar zadeva pomoč za pristaniško in letališko infrastrukturo, pragove za priglasitev za pomoč za kulturo in ohranjanje kulturne dediščine in pomoč za športno in večnamensko rekreacijsko infrastrukturo ter sheme regionalne pomoči za tekoče poslovanje za najbolj oddaljene regije, in o spremembi Uredbe (EU) št. 702/2014, kar zadeva izračun upravičenih stroškov (UL L št. 156 z dne 20. 6 .2017), (v nadaljnjem besedilu: Uredba 651/2014/EU);</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Smernicami Evropske unije za uporabo pravil o državni pomoči v zvezi s hitro postavitvijo širokopasovnih omrežij (UL C št. 25 z dne 26. 1. 2013, str. 1), zadnjič spremenjenimi s Sporočilom Komisije o spremembi sporočil Komisije o smernicah Evropske unije za uporabo pravil o državni pomoči v zvezi s hitro postavitvijo širokopasovnih omrežij, o smernicah o regionalni državni pomoči za obdobje 2014–2020, o državni pomoči za filmsko produkcijo in produkcijo drugih avdiovizualnih del, o smernicah o državni pomoči za spodbujanje naložb tveganega financiranja ter o smernicah o državni pomoči letališčem in letalskim prevoznikom (UL C št. 198 z dne 27. 6. 2014, str. 30);</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lastRenderedPageBreak/>
        <w:t>Dogovorom o razmejitvi med sofinanciranjem območij belih lis v okviru Operativnega programa za izvajanje evropske kohezijske politike v obdobju 2014–2020 iz Evropskega sklada za regionalni razvoj in Programa razvoja podeželja RS za obdobje 2014–2020 iz EKSRP z dne, 6. 12. 2017;</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Gradbenim zakonom (Uradni list RS, št. 61/17 in 72/17 – </w:t>
      </w:r>
      <w:proofErr w:type="spellStart"/>
      <w:r w:rsidRPr="001F5177">
        <w:rPr>
          <w:rFonts w:cs="Arial"/>
          <w:szCs w:val="20"/>
          <w:lang w:eastAsia="sl-SI"/>
        </w:rPr>
        <w:t>popr</w:t>
      </w:r>
      <w:proofErr w:type="spellEnd"/>
      <w:r w:rsidRPr="001F5177">
        <w:rPr>
          <w:rFonts w:cs="Arial"/>
          <w:szCs w:val="20"/>
          <w:lang w:eastAsia="sl-SI"/>
        </w:rPr>
        <w:t>.);</w:t>
      </w:r>
    </w:p>
    <w:p w:rsidR="00382142" w:rsidRPr="001F5177" w:rsidRDefault="00382142" w:rsidP="00382142">
      <w:pPr>
        <w:numPr>
          <w:ilvl w:val="0"/>
          <w:numId w:val="5"/>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bCs/>
          <w:szCs w:val="20"/>
          <w:lang w:eastAsia="sl-SI"/>
        </w:rPr>
        <w:t xml:space="preserve">Pravilnikom o podrobnejši vsebini dokumentacije in obrazcih, povezanih z graditvijo objektov (Uradni list RS, št. 36/18 in 51/18 – </w:t>
      </w:r>
      <w:proofErr w:type="spellStart"/>
      <w:r w:rsidRPr="001F5177">
        <w:rPr>
          <w:rFonts w:cs="Arial"/>
          <w:bCs/>
          <w:szCs w:val="20"/>
          <w:lang w:eastAsia="sl-SI"/>
        </w:rPr>
        <w:t>popr</w:t>
      </w:r>
      <w:proofErr w:type="spellEnd"/>
      <w:r w:rsidRPr="001F5177">
        <w:rPr>
          <w:rFonts w:cs="Arial"/>
          <w:bCs/>
          <w:szCs w:val="20"/>
          <w:lang w:eastAsia="sl-SI"/>
        </w:rPr>
        <w:t>.).</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(pomen izrazov)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Izrazi, uporabljeni v tej uredbi, pomenijo:</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bele lise so posamezna gospodinjstva na območjih, kjer je bilo ugotovljeno, da operaterji ne zagotavljajo širokopasovnih omrežij naslednje generacije, ki bi tem gospodinjstvom omogočala dostop do širokopasovnih elektronskih komunikacijskih storitev hitrosti najmanj 100 Mb/s in kjer v postopkih testiranja tržnega interesa ni bilo izraženega tržnega interesa za gradnjo takih širokopasovnih omrežij v naslednjih treh letih, ki bi omogočala dostop do širokopasovnih elektronskih komunikacijskih storitev hitrosti najmanj 100 Mb/s, in so objavljene na spletni strani Ministrstva za javno upravo v skladu z devetim odstavkom </w:t>
      </w:r>
      <w:proofErr w:type="spellStart"/>
      <w:r w:rsidRPr="001F5177">
        <w:rPr>
          <w:rFonts w:cs="Arial"/>
          <w:szCs w:val="20"/>
          <w:lang w:eastAsia="sl-SI"/>
        </w:rPr>
        <w:t>11.a</w:t>
      </w:r>
      <w:proofErr w:type="spellEnd"/>
      <w:r w:rsidRPr="001F5177">
        <w:rPr>
          <w:rFonts w:cs="Arial"/>
          <w:szCs w:val="20"/>
          <w:lang w:eastAsia="sl-SI"/>
        </w:rPr>
        <w:t xml:space="preserve"> člena ZEKom-1;</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gradbena dela v povezavi s širokopasovno infrastrukturo so gradbena dela iz točke (134) 2. člena Uredbe 651/2014/EU; </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proofErr w:type="spellStart"/>
      <w:r w:rsidRPr="001F5177">
        <w:rPr>
          <w:rFonts w:cs="Arial"/>
          <w:szCs w:val="20"/>
          <w:lang w:eastAsia="sl-SI"/>
        </w:rPr>
        <w:t>dostopovna</w:t>
      </w:r>
      <w:proofErr w:type="spellEnd"/>
      <w:r w:rsidRPr="001F5177">
        <w:rPr>
          <w:rFonts w:cs="Arial"/>
          <w:szCs w:val="20"/>
          <w:lang w:eastAsia="sl-SI"/>
        </w:rPr>
        <w:t xml:space="preserve"> omrežja naslednje generacije (v nadaljnjem besedilu: NGA) so omrežja iz točke (138) 2. člena Uredbe 651/2014/EU;</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pasivna širokopasovna infrastruktura je širokopasovno omrežje iz točke (137) 2. člena Uredbe 651/2014/EU;</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podjetje v težavah je podjetje iz točke (18) 2. člena Uredbe 651/2014/EU;</w:t>
      </w:r>
    </w:p>
    <w:p w:rsidR="00382142" w:rsidRPr="001F5177" w:rsidRDefault="00382142" w:rsidP="00382142">
      <w:pPr>
        <w:tabs>
          <w:tab w:val="left" w:pos="0"/>
          <w:tab w:val="num" w:pos="425"/>
        </w:tabs>
        <w:spacing w:after="240" w:line="240" w:lineRule="auto"/>
        <w:jc w:val="both"/>
        <w:rPr>
          <w:rFonts w:cs="Arial"/>
          <w:szCs w:val="20"/>
          <w:lang w:eastAsia="sl-SI"/>
        </w:rPr>
      </w:pPr>
      <w:r w:rsidRPr="001F5177">
        <w:rPr>
          <w:rFonts w:cs="Arial"/>
          <w:szCs w:val="20"/>
          <w:lang w:eastAsia="sl-SI"/>
        </w:rPr>
        <w:t>model širokopasovnega dostopa je lahko lokalni dostop – fizična ali virtualna razvezava lokalne zanke oziroma osrednji dostop – dostop z bitnim tokom.</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3.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(organi PRP in Odbor za spremljanje)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Organ upravljanja PRP 2014–2020 (v nadaljnjem besedilu: organ upravljanja) iz točke a) drugega odstavka 65. člena Uredbe 1305/2013/EU je MKGP. Naloge organa upravljanja opravljata MKGP in Agencija Republike Slovenije za kmetijske trge in razvoj podeželja (v nadaljnjem besedilu: ARSKTRP).</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Akreditirana plačilna agencija iz točke b) drugega odstavka 65. člena Uredbe 1305/2013/EU je ARSKTRP.</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(3) Certifikacijski organ iz točke c) drugega odstavka 65. člena Uredbe 1305/2013/EU je Urad Republike Slovenije za nadzor proračuna.</w:t>
      </w:r>
      <w:r w:rsidRPr="001F5177" w:rsidDel="003D6694">
        <w:rPr>
          <w:rFonts w:cs="Arial"/>
          <w:szCs w:val="20"/>
          <w:lang w:eastAsia="sl-SI"/>
        </w:rPr>
        <w:t xml:space="preserve">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(4) Odbor za spremljanje iz drugega odstavka 47. člena Uredbe 1303/2013/EU je Odbor za spremljanje Programa razvoja podeželja Republike Slovenije.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4.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w:t>
      </w:r>
      <w:proofErr w:type="spellStart"/>
      <w:r w:rsidRPr="001F5177">
        <w:rPr>
          <w:rFonts w:cs="Arial"/>
          <w:b/>
          <w:szCs w:val="20"/>
          <w:lang w:eastAsia="sl-SI"/>
        </w:rPr>
        <w:t>podukrep</w:t>
      </w:r>
      <w:proofErr w:type="spellEnd"/>
      <w:r w:rsidRPr="001F5177">
        <w:rPr>
          <w:rFonts w:cs="Arial"/>
          <w:b/>
          <w:szCs w:val="20"/>
          <w:lang w:eastAsia="sl-SI"/>
        </w:rPr>
        <w:t>)</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S to uredbo se v okviru ukrepa Osnovne storitve in obnova vasi na podeželskih območjih iz 20. člena Uredbe 1305/2013/EU ureja izvajanje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vključno z njeno vzpostavitvijo, izboljšanjem in razširitvijo, pasivno širokopasovno infrastrukturo ter zagotavljanjem dostopa do širokopasovnega interneta in rešitev v zvezi z e-upravo (v nadaljnjem besedilu: </w:t>
      </w:r>
      <w:proofErr w:type="spellStart"/>
      <w:r w:rsidRPr="001F5177">
        <w:rPr>
          <w:rFonts w:cs="Arial"/>
          <w:szCs w:val="20"/>
          <w:lang w:eastAsia="sl-SI"/>
        </w:rPr>
        <w:t>podukrep</w:t>
      </w:r>
      <w:proofErr w:type="spellEnd"/>
      <w:r w:rsidRPr="001F5177">
        <w:rPr>
          <w:rFonts w:cs="Arial"/>
          <w:szCs w:val="20"/>
          <w:lang w:eastAsia="sl-SI"/>
        </w:rPr>
        <w:t xml:space="preserve"> Podpora za širokopasovno infrastrukturo).</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 xml:space="preserve">II. VSEBINA PODUKREPA </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lastRenderedPageBreak/>
        <w:t>5.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 xml:space="preserve">(namen in cilj </w:t>
      </w:r>
      <w:proofErr w:type="spellStart"/>
      <w:r w:rsidRPr="001F5177">
        <w:rPr>
          <w:rFonts w:cs="Arial"/>
          <w:b/>
          <w:szCs w:val="20"/>
          <w:lang w:eastAsia="sl-SI"/>
        </w:rPr>
        <w:t>podukrepa</w:t>
      </w:r>
      <w:proofErr w:type="spellEnd"/>
      <w:r w:rsidRPr="001F5177">
        <w:rPr>
          <w:rFonts w:cs="Arial"/>
          <w:b/>
          <w:szCs w:val="20"/>
          <w:lang w:eastAsia="sl-SI"/>
        </w:rPr>
        <w:t xml:space="preserve"> Podpora za širokopasovno infrastrukturo)</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Podpora iz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je namenjena sofinanciranju gradnje odprtih širokopasovnih omrežij naslednje generacije, s ciljem omogočiti dostop do širokopasovnega omrežja naslednje generacije s prenosno hitrostjo najmanj 100 Mb/</w:t>
      </w:r>
      <w:r w:rsidRPr="001F5177">
        <w:rPr>
          <w:rFonts w:cs="Arial"/>
          <w:bCs/>
          <w:szCs w:val="20"/>
          <w:lang w:eastAsia="sl-SI"/>
        </w:rPr>
        <w:t>s</w:t>
      </w:r>
      <w:r w:rsidRPr="001F5177">
        <w:rPr>
          <w:rFonts w:cs="Arial"/>
          <w:szCs w:val="20"/>
          <w:lang w:eastAsia="sl-SI"/>
        </w:rPr>
        <w:t xml:space="preserve"> in dostop do elektronskih komunikacijskih storitev preko tega omrežja,  gospodinjstvom na območjih belih lis, na katerih širokopasovna omrežja še niso zgrajena in hkrati ni tržnega interesa za njihovo gradnjo.</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6.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(predmet podpore, vrste in lokacija naložb)</w:t>
      </w:r>
    </w:p>
    <w:p w:rsidR="00382142" w:rsidRPr="001F5177" w:rsidRDefault="00382142" w:rsidP="00382142">
      <w:pPr>
        <w:numPr>
          <w:ilvl w:val="0"/>
          <w:numId w:val="6"/>
        </w:numPr>
        <w:tabs>
          <w:tab w:val="left" w:pos="0"/>
        </w:tabs>
        <w:overflowPunct w:val="0"/>
        <w:autoSpaceDE w:val="0"/>
        <w:autoSpaceDN w:val="0"/>
        <w:adjustRightInd w:val="0"/>
        <w:spacing w:before="240" w:line="240" w:lineRule="auto"/>
        <w:ind w:left="0" w:firstLine="0"/>
        <w:jc w:val="both"/>
        <w:textAlignment w:val="baseline"/>
        <w:rPr>
          <w:rFonts w:cs="Arial"/>
          <w:szCs w:val="20"/>
          <w:lang w:eastAsia="ar-SA"/>
        </w:rPr>
      </w:pPr>
      <w:r w:rsidRPr="001F5177">
        <w:rPr>
          <w:rFonts w:cs="Arial"/>
          <w:szCs w:val="20"/>
          <w:lang w:eastAsia="ar-SA"/>
        </w:rPr>
        <w:t xml:space="preserve">Predmet </w:t>
      </w:r>
      <w:proofErr w:type="spellStart"/>
      <w:r w:rsidRPr="001F5177">
        <w:rPr>
          <w:rFonts w:cs="Arial"/>
          <w:szCs w:val="20"/>
          <w:lang w:eastAsia="ar-SA"/>
        </w:rPr>
        <w:t>podukrepa</w:t>
      </w:r>
      <w:proofErr w:type="spellEnd"/>
      <w:r w:rsidRPr="001F5177">
        <w:rPr>
          <w:rFonts w:cs="Arial"/>
          <w:szCs w:val="20"/>
          <w:lang w:eastAsia="ar-SA"/>
        </w:rPr>
        <w:t xml:space="preserve"> Podpora za širokopasovno infrastrukturo je sofinanciranje gradnje odprtih širokopasovnih omrežij</w:t>
      </w:r>
      <w:r w:rsidRPr="001F5177">
        <w:rPr>
          <w:rFonts w:cs="Arial"/>
          <w:szCs w:val="20"/>
          <w:lang w:eastAsia="sl-SI"/>
        </w:rPr>
        <w:t xml:space="preserve"> </w:t>
      </w:r>
      <w:r w:rsidRPr="001F5177">
        <w:rPr>
          <w:rFonts w:cs="Arial"/>
          <w:szCs w:val="20"/>
          <w:lang w:eastAsia="ar-SA"/>
        </w:rPr>
        <w:t>naslednje generacije, ki bodo najmanj 95 odstotkom gospodinjstvom iz naselij iz drugega odstavka tega člena hkrati omogočala širokopasovni dostop s prenosno hitrostjo najmanj 100 Mb/s in dostop do elektronskih komunikacijskih storitev preko teh omrežij na območju belih lis.</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(2) </w:t>
      </w:r>
      <w:r w:rsidRPr="001F5177">
        <w:rPr>
          <w:rFonts w:cs="Arial"/>
          <w:szCs w:val="20"/>
          <w:lang w:eastAsia="ar-SA"/>
        </w:rPr>
        <w:t>Podprte bodo naložbe v naseljih z manj kot 5.000 prebivalci v naslednjih treh statističnih regijah Republike Slovenije:</w:t>
      </w:r>
    </w:p>
    <w:p w:rsidR="00382142" w:rsidRPr="001F5177" w:rsidRDefault="00382142" w:rsidP="00382142">
      <w:pPr>
        <w:numPr>
          <w:ilvl w:val="0"/>
          <w:numId w:val="16"/>
        </w:numPr>
        <w:tabs>
          <w:tab w:val="left" w:pos="0"/>
        </w:tabs>
        <w:suppressAutoHyphen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Pomurska statistična regija,</w:t>
      </w:r>
    </w:p>
    <w:p w:rsidR="00382142" w:rsidRPr="001F5177" w:rsidRDefault="00382142" w:rsidP="00382142">
      <w:pPr>
        <w:numPr>
          <w:ilvl w:val="0"/>
          <w:numId w:val="16"/>
        </w:numPr>
        <w:tabs>
          <w:tab w:val="left" w:pos="0"/>
        </w:tabs>
        <w:suppressAutoHyphen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Podravska statistična regija in</w:t>
      </w:r>
    </w:p>
    <w:p w:rsidR="00382142" w:rsidRPr="001F5177" w:rsidRDefault="00382142" w:rsidP="00382142">
      <w:pPr>
        <w:numPr>
          <w:ilvl w:val="0"/>
          <w:numId w:val="16"/>
        </w:numPr>
        <w:tabs>
          <w:tab w:val="left" w:pos="0"/>
        </w:tabs>
        <w:suppressAutoHyphen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Koroška statistična regija.</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bCs/>
          <w:szCs w:val="20"/>
          <w:lang w:eastAsia="sl-SI"/>
        </w:rPr>
      </w:pPr>
      <w:r w:rsidRPr="001F5177">
        <w:rPr>
          <w:rFonts w:cs="Arial"/>
          <w:szCs w:val="20"/>
          <w:lang w:eastAsia="sl-SI"/>
        </w:rPr>
        <w:t>(3) </w:t>
      </w:r>
      <w:r w:rsidRPr="001F5177">
        <w:rPr>
          <w:rFonts w:cs="Arial"/>
          <w:szCs w:val="20"/>
          <w:lang w:eastAsia="ar-SA"/>
        </w:rPr>
        <w:t>Seznam belih lis</w:t>
      </w:r>
      <w:r w:rsidRPr="001F5177">
        <w:rPr>
          <w:rFonts w:cs="Arial"/>
          <w:bCs/>
          <w:szCs w:val="20"/>
          <w:lang w:eastAsia="sl-SI"/>
        </w:rPr>
        <w:t xml:space="preserve"> iz prejšnjega odstavka, se določi v javnem razpisu.</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7.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(upravičenec)</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ar-SA"/>
        </w:rPr>
      </w:pPr>
      <w:r w:rsidRPr="001F5177">
        <w:rPr>
          <w:rFonts w:cs="Arial"/>
          <w:szCs w:val="20"/>
          <w:lang w:eastAsia="ar-SA"/>
        </w:rPr>
        <w:t>(1) Upravičenec do podpore je:</w:t>
      </w:r>
    </w:p>
    <w:p w:rsidR="00382142" w:rsidRPr="001F5177" w:rsidRDefault="00382142" w:rsidP="00382142">
      <w:pPr>
        <w:numPr>
          <w:ilvl w:val="0"/>
          <w:numId w:val="9"/>
        </w:numPr>
        <w:tabs>
          <w:tab w:val="left" w:pos="0"/>
        </w:tab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fizična ali pravna oseba, ki je registrirana kot operater elektronskih komunikacij in, ki je skladno s 5. členom ZEKom-1</w:t>
      </w:r>
      <w:r w:rsidRPr="001F5177">
        <w:rPr>
          <w:rFonts w:cs="Arial"/>
          <w:szCs w:val="20"/>
          <w:lang w:eastAsia="sl-SI"/>
        </w:rPr>
        <w:t xml:space="preserve"> Agencijo RS za komunikacijska omrežja in storitve </w:t>
      </w:r>
      <w:r w:rsidRPr="001F5177">
        <w:rPr>
          <w:rFonts w:cs="Arial"/>
          <w:bCs/>
          <w:szCs w:val="20"/>
          <w:lang w:eastAsia="sl-SI"/>
        </w:rPr>
        <w:t>(v nadaljnjem besedilu: AKOS)</w:t>
      </w:r>
      <w:r w:rsidRPr="001F5177">
        <w:rPr>
          <w:rFonts w:cs="Arial"/>
          <w:szCs w:val="20"/>
          <w:lang w:eastAsia="sl-SI"/>
        </w:rPr>
        <w:t xml:space="preserve"> že obvestila o nameri zagotavljanja javnih komunikacijskih omrežij</w:t>
      </w:r>
      <w:r w:rsidRPr="001F5177">
        <w:rPr>
          <w:rFonts w:cs="Arial"/>
          <w:szCs w:val="20"/>
          <w:lang w:eastAsia="ar-SA"/>
        </w:rPr>
        <w:t>,</w:t>
      </w:r>
    </w:p>
    <w:p w:rsidR="00382142" w:rsidRPr="001F5177" w:rsidRDefault="00382142" w:rsidP="00382142">
      <w:pPr>
        <w:numPr>
          <w:ilvl w:val="0"/>
          <w:numId w:val="9"/>
        </w:numPr>
        <w:tabs>
          <w:tab w:val="left" w:pos="0"/>
        </w:tab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projektno partnerstvo</w:t>
      </w:r>
      <w:r w:rsidRPr="001F5177">
        <w:rPr>
          <w:rFonts w:cs="Arial"/>
          <w:bCs/>
          <w:szCs w:val="20"/>
          <w:lang w:eastAsia="ar-SA"/>
        </w:rPr>
        <w:t>.</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 xml:space="preserve">(2) Projektno partnerstvo iz druge alineje prejšnjega odstavka je partnerstvo dveh ali več fizičnih oziroma pravnih oseb, vzpostavljeno z družbeno pogodbo po obligacijskem pravu za katero se subsidiarno uporabljajo določila Obligacijskega zakonika (Uradni list RS, št. 97/07 – uradno prečiščeno besedilo, 64/16 – </w:t>
      </w:r>
      <w:proofErr w:type="spellStart"/>
      <w:r w:rsidRPr="001F5177">
        <w:rPr>
          <w:rFonts w:cs="Arial"/>
          <w:szCs w:val="20"/>
          <w:lang w:eastAsia="sl-SI"/>
        </w:rPr>
        <w:t>odl</w:t>
      </w:r>
      <w:proofErr w:type="spellEnd"/>
      <w:r w:rsidRPr="001F5177">
        <w:rPr>
          <w:rFonts w:cs="Arial"/>
          <w:szCs w:val="20"/>
          <w:lang w:eastAsia="sl-SI"/>
        </w:rPr>
        <w:t xml:space="preserve">. US in 20/18 – OROZ631), (v nadaljnjem besedilu: </w:t>
      </w:r>
      <w:proofErr w:type="spellStart"/>
      <w:r w:rsidRPr="001F5177">
        <w:rPr>
          <w:rFonts w:cs="Arial"/>
          <w:szCs w:val="20"/>
          <w:lang w:eastAsia="sl-SI"/>
        </w:rPr>
        <w:t>konzorcijska</w:t>
      </w:r>
      <w:proofErr w:type="spellEnd"/>
      <w:r w:rsidRPr="001F5177">
        <w:rPr>
          <w:rFonts w:cs="Arial"/>
          <w:szCs w:val="20"/>
          <w:lang w:eastAsia="sl-SI"/>
        </w:rPr>
        <w:t xml:space="preserve"> pogodba), ki vsebuje obvezne sestavine iz Priloge 1, ki je sestavni del te uredbe. </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 xml:space="preserve">(3) </w:t>
      </w:r>
      <w:proofErr w:type="spellStart"/>
      <w:r w:rsidRPr="001F5177">
        <w:rPr>
          <w:rFonts w:cs="Arial"/>
          <w:szCs w:val="20"/>
          <w:lang w:eastAsia="sl-SI"/>
        </w:rPr>
        <w:t>Konzorcijska</w:t>
      </w:r>
      <w:proofErr w:type="spellEnd"/>
      <w:r w:rsidRPr="001F5177">
        <w:rPr>
          <w:rFonts w:cs="Arial"/>
          <w:szCs w:val="20"/>
          <w:lang w:eastAsia="sl-SI"/>
        </w:rPr>
        <w:t xml:space="preserve"> pogodba se sklene najmanj za čas trajanja  naložbe.</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 xml:space="preserve">(4) Če je upravičenec iz prvega odstavka tega člena projektno partnerstvo, morajo biti vsi člani registrirani kot operaterji elektronskih komunikacij, ki so skladno s 5. členom ZEKom-1 </w:t>
      </w:r>
      <w:r w:rsidRPr="001F5177">
        <w:rPr>
          <w:rFonts w:cs="Arial"/>
          <w:bCs/>
          <w:szCs w:val="20"/>
          <w:lang w:eastAsia="sl-SI"/>
        </w:rPr>
        <w:t>AKOS</w:t>
      </w:r>
      <w:r w:rsidRPr="001F5177">
        <w:rPr>
          <w:rFonts w:cs="Arial"/>
          <w:szCs w:val="20"/>
          <w:lang w:eastAsia="sl-SI"/>
        </w:rPr>
        <w:t xml:space="preserve"> že obvestili o nameri zagotavljanja javnih komunikacijskih omrežij. </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sidDel="00703557">
        <w:rPr>
          <w:rFonts w:cs="Arial"/>
          <w:bCs/>
          <w:szCs w:val="20"/>
          <w:lang w:eastAsia="sl-SI"/>
        </w:rPr>
        <w:t xml:space="preserve"> </w:t>
      </w:r>
      <w:r w:rsidRPr="001F5177">
        <w:rPr>
          <w:rFonts w:cs="Arial"/>
          <w:szCs w:val="20"/>
          <w:lang w:eastAsia="sl-SI"/>
        </w:rPr>
        <w:t xml:space="preserve">(5) S </w:t>
      </w:r>
      <w:proofErr w:type="spellStart"/>
      <w:r w:rsidRPr="001F5177">
        <w:rPr>
          <w:rFonts w:cs="Arial"/>
          <w:szCs w:val="20"/>
          <w:lang w:eastAsia="sl-SI"/>
        </w:rPr>
        <w:t>konzorcijsko</w:t>
      </w:r>
      <w:proofErr w:type="spellEnd"/>
      <w:r w:rsidRPr="001F5177">
        <w:rPr>
          <w:rFonts w:cs="Arial"/>
          <w:szCs w:val="20"/>
          <w:lang w:eastAsia="sl-SI"/>
        </w:rPr>
        <w:t xml:space="preserve"> pogodbo člani projektnega partnerstva določijo vodilnega partnerja, ki nastopa v imenu projektnega partnerstva in ima naslednje naloge:</w:t>
      </w:r>
    </w:p>
    <w:p w:rsidR="00382142" w:rsidRPr="001F5177" w:rsidRDefault="00382142" w:rsidP="00382142">
      <w:pPr>
        <w:numPr>
          <w:ilvl w:val="0"/>
          <w:numId w:val="10"/>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vloži vlogo na javni razpis;</w:t>
      </w:r>
    </w:p>
    <w:p w:rsidR="00382142" w:rsidRPr="001F5177" w:rsidRDefault="00382142" w:rsidP="00382142">
      <w:pPr>
        <w:numPr>
          <w:ilvl w:val="0"/>
          <w:numId w:val="10"/>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zastopa projektno partnerstvo v vseh upravnih postopkih v razmerju do ARSKTRP in MKGP;</w:t>
      </w:r>
    </w:p>
    <w:p w:rsidR="00382142" w:rsidRPr="001F5177" w:rsidRDefault="00382142" w:rsidP="00382142">
      <w:pPr>
        <w:numPr>
          <w:ilvl w:val="0"/>
          <w:numId w:val="10"/>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koordinira pripravo celotne dokumentacije, ki je potrebna za vložitev vloge na javni razpis in zahtevka za izplačilo sredstev (npr. projektna in investicijska dokumentacija);</w:t>
      </w:r>
    </w:p>
    <w:p w:rsidR="00382142" w:rsidRPr="001F5177" w:rsidRDefault="00382142" w:rsidP="00382142">
      <w:pPr>
        <w:numPr>
          <w:ilvl w:val="0"/>
          <w:numId w:val="10"/>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vloži poročilo na ARSKTRP, kot to določa deseti odstavek 23. člena te uredbe;</w:t>
      </w:r>
    </w:p>
    <w:p w:rsidR="00382142" w:rsidRPr="001F5177" w:rsidRDefault="00382142" w:rsidP="00382142">
      <w:pPr>
        <w:numPr>
          <w:ilvl w:val="0"/>
          <w:numId w:val="10"/>
        </w:numPr>
        <w:tabs>
          <w:tab w:val="left" w:pos="0"/>
        </w:tab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sl-SI"/>
        </w:rPr>
        <w:t xml:space="preserve">sporoča na ARSKTRP vse morebitne spremembe </w:t>
      </w:r>
      <w:proofErr w:type="spellStart"/>
      <w:r w:rsidRPr="001F5177">
        <w:rPr>
          <w:rFonts w:cs="Arial"/>
          <w:szCs w:val="20"/>
          <w:lang w:eastAsia="sl-SI"/>
        </w:rPr>
        <w:t>konzorcijske</w:t>
      </w:r>
      <w:proofErr w:type="spellEnd"/>
      <w:r w:rsidRPr="001F5177">
        <w:rPr>
          <w:rFonts w:cs="Arial"/>
          <w:szCs w:val="20"/>
          <w:lang w:eastAsia="sl-SI"/>
        </w:rPr>
        <w:t xml:space="preserve"> pogodbe.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8.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(pogoji za pridobitev podpore)</w:t>
      </w:r>
    </w:p>
    <w:p w:rsidR="00382142" w:rsidRPr="001F5177" w:rsidRDefault="00382142" w:rsidP="00382142">
      <w:pPr>
        <w:tabs>
          <w:tab w:val="left" w:pos="0"/>
        </w:tabs>
        <w:suppressAutoHyphen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lastRenderedPageBreak/>
        <w:t xml:space="preserve">(1) Pogoji, ki jih mora izpolnjevati upravičenec do podpore ob vložitvi vloge na javni razpis, so: </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registriran mora biti kot operater elektronskih komunikacij, ki je v skladu s 5. členom ZEKom-1</w:t>
      </w:r>
      <w:r w:rsidRPr="001F5177">
        <w:rPr>
          <w:rFonts w:cs="Arial"/>
          <w:bCs/>
          <w:sz w:val="20"/>
          <w:szCs w:val="20"/>
        </w:rPr>
        <w:t xml:space="preserve"> AKOS</w:t>
      </w:r>
      <w:r w:rsidRPr="001F5177">
        <w:rPr>
          <w:rFonts w:cs="Arial"/>
          <w:sz w:val="20"/>
          <w:szCs w:val="20"/>
        </w:rPr>
        <w:t xml:space="preserve"> že obvestil o nameri zagotavljanja javnih komunikacijskih omrežij, kar je razvidno iz uradne evidence operaterjev, ki jo vodi AKOS;</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ni podjetje v težavah v skladu z 18. točko 2. člena Uredbe 651/2014/EU ter Smernicami o državni pomoči za reševanje in prestrukturiranje nefinančnih podjetij v težavah (UL C št. 249 z dne 31. 7. 2014, str. 1), kar izhaja iz izkazov uspeha in stanja evidence Agencije Republike Slovenije za javnopravne evidence in storitve (v nadaljnjem besedilu: AJPES);</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ni naslovnik neporavnanega naloga za izterjavo zaradi predhodne odločbe Evropske komisije, ki je pomoč razglasila za nezakonito in nezdružljivo z notranjim trgom, kar je razvidno iz spletne strani Evropske Komisije;</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 xml:space="preserve">ni naslovnik neporavnanega naloga za vračilo preveč izplačane pomoči po pravilu </w:t>
      </w:r>
      <w:r w:rsidRPr="001F5177">
        <w:rPr>
          <w:rFonts w:cs="Arial"/>
          <w:i/>
          <w:sz w:val="20"/>
          <w:szCs w:val="20"/>
        </w:rPr>
        <w:t xml:space="preserve">de </w:t>
      </w:r>
      <w:proofErr w:type="spellStart"/>
      <w:r w:rsidRPr="001F5177">
        <w:rPr>
          <w:rFonts w:cs="Arial"/>
          <w:i/>
          <w:sz w:val="20"/>
          <w:szCs w:val="20"/>
        </w:rPr>
        <w:t>minimis</w:t>
      </w:r>
      <w:proofErr w:type="spellEnd"/>
      <w:r w:rsidRPr="001F5177">
        <w:rPr>
          <w:rFonts w:cs="Arial"/>
          <w:sz w:val="20"/>
          <w:szCs w:val="20"/>
        </w:rPr>
        <w:t xml:space="preserve"> ali državne pomoči na podlagi predhodnega poziva Ministrstva za finance;</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 xml:space="preserve">nima neporavnanih zapadlih davčnih obveznosti in drugih denarnih nedavčnih obveznosti v skladu z zakonom, ki ureja finančno upravo, v višini, ki presega 50 </w:t>
      </w:r>
      <w:proofErr w:type="spellStart"/>
      <w:r w:rsidRPr="001F5177">
        <w:rPr>
          <w:rFonts w:cs="Arial"/>
          <w:sz w:val="20"/>
          <w:szCs w:val="20"/>
        </w:rPr>
        <w:t>eurov</w:t>
      </w:r>
      <w:proofErr w:type="spellEnd"/>
      <w:r w:rsidRPr="001F5177">
        <w:rPr>
          <w:rFonts w:cs="Arial"/>
          <w:sz w:val="20"/>
          <w:szCs w:val="20"/>
        </w:rPr>
        <w:t>;</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redno izplačuje plače in socialne prispevke, kar se izkazuje z obračunom davčnih odtegljajev in potrdilom o izplačilu plač za obdobje treh mesecev pred datumom vložitve vloge na javni razpis;</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ni v postopkih zaradi insolventnosti ali postopkih prisilnega prenehanja, kot jih določa zakon, ki ureja finančno poslovanje, postopke zaradi insolventnosti in prisilnega prenehanja, kar je razvidno iz evidence AJPES;</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predložiti mora dokumentacijo, ki je podrobneje opredeljena v 9. členu;</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izkazati mora ekonomsko upravičenost naložbe, zaprto finančno konstrukcijo za izvedbo naložbe in v vlogi na javni razpis izkazati za pokrivanje upravičenih stroškov naložbe lastna zasebna sredstva, ki pokrivajo več kot 50 odstotkov upravičenih stroškov naložbe;</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 xml:space="preserve">v vlogi na javni razpis mora predvideti dostop do širokopasovnega omrežja naslednje generacije s prenosno hitrostjo najmanj 100 Mb/s vsem gospodinjstvom na območju belih lis iz vloge na javni razpis, pri čemer se šteje, da je gospodinjstvu omogočen dostop do širokopasovnega omrežja naslednje generacije s prenosno hitrostjo najmanj 100 Mb/s, kadar je gospodinjstvo v roku 90 dni od podane pisne zahteve skladno s trenutno javno objavljenimi pogoji upravičenca priključeno na tako omrežje ali pa mu je pod enakimi pogoji mogoče zagotoviti takšen dostop preko zgrajene </w:t>
      </w:r>
      <w:proofErr w:type="spellStart"/>
      <w:r w:rsidRPr="001F5177">
        <w:rPr>
          <w:rFonts w:cs="Arial"/>
          <w:sz w:val="20"/>
          <w:szCs w:val="20"/>
        </w:rPr>
        <w:t>dostopovne</w:t>
      </w:r>
      <w:proofErr w:type="spellEnd"/>
      <w:r w:rsidRPr="001F5177">
        <w:rPr>
          <w:rFonts w:cs="Arial"/>
          <w:sz w:val="20"/>
          <w:szCs w:val="20"/>
        </w:rPr>
        <w:t xml:space="preserve"> točke brezžičnega omrežja, ali kadar je gospodinjstvo največ 200 m oddaljeno od mesta kabelske kanalizacije, kjer je možen priklop na omrežje pod enakimi pogoji, če na tej razdalji ni ovir, ki bi preprečevale izgradnjo povezave s hitrostjo najmanj 100 Mb/s;</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bCs/>
          <w:sz w:val="20"/>
          <w:szCs w:val="20"/>
        </w:rPr>
        <w:t>če je upravičenec projektno partnerstvo,</w:t>
      </w:r>
      <w:r w:rsidRPr="001F5177">
        <w:rPr>
          <w:rFonts w:cs="Arial"/>
          <w:sz w:val="20"/>
          <w:szCs w:val="20"/>
        </w:rPr>
        <w:t xml:space="preserve"> mora vodilni partner v vlogi predložiti s strani vseh članov podpisano </w:t>
      </w:r>
      <w:proofErr w:type="spellStart"/>
      <w:r w:rsidRPr="001F5177">
        <w:rPr>
          <w:rFonts w:cs="Arial"/>
          <w:sz w:val="20"/>
          <w:szCs w:val="20"/>
        </w:rPr>
        <w:t>konzorcijsko</w:t>
      </w:r>
      <w:proofErr w:type="spellEnd"/>
      <w:r w:rsidRPr="001F5177">
        <w:rPr>
          <w:rFonts w:cs="Arial"/>
          <w:sz w:val="20"/>
          <w:szCs w:val="20"/>
        </w:rPr>
        <w:t xml:space="preserve"> pogodbo, ki vsebuje obvezne sestavine iz Priloge 1 te uredbe, v kateri so določena njihova medsebojna razmerja, pravice in obveznosti;</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predložiti mora izjavo, da pred vložitvijo vloge na javni razpis ni začel z deli v okviru naložbe;</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v vlogi na javni razpis mora opredeliti časovno dinamiko vlaganja zahtevkov za izplačilo sredstev;</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za nakazilo dodeljenih sredstev mora imeti odprt transakcijski račun v skladu z zakonom, ki ureja kmetijstvo;</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predložiti mora izjavo, da bo z začetkom izvajanja naložbe začel za naložbo voditi ločeno računovodstvo oziroma ločene knjigovodske evidence;</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predložiti mora izjavo, da bo širokopasovno omrežje načrtovano in grajeno kot odprto komunikacijsko omrežje v skladu z ZEKom-1;</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predložiti mora izjavo, da bo širokopasovno omrežje načrtovano in grajeno kot odprto komunikacijsko omrežje v skladu z Uredbo 651/2014/EU;</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predložiti mora izjavo, da je seznanjen, da bo zgrajeno sofinancirano širokopasovne omrežje z javnimi sredstvi podvrženo nadzorom AKOS-a glede odprtosti širokopasovnega omrežja v skladu z ZEKom-1;</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 xml:space="preserve">predložiti mora izjavo, da bo upošteval vse določbe </w:t>
      </w:r>
      <w:r w:rsidRPr="001F5177">
        <w:rPr>
          <w:rFonts w:cs="Arial"/>
          <w:bCs/>
          <w:sz w:val="20"/>
          <w:szCs w:val="20"/>
        </w:rPr>
        <w:t xml:space="preserve">veljavne </w:t>
      </w:r>
      <w:r w:rsidRPr="001F5177">
        <w:rPr>
          <w:rFonts w:cs="Arial"/>
          <w:sz w:val="20"/>
          <w:szCs w:val="20"/>
        </w:rPr>
        <w:t xml:space="preserve">zakonodaje in </w:t>
      </w:r>
      <w:r w:rsidRPr="001F5177">
        <w:rPr>
          <w:rFonts w:cs="Arial"/>
          <w:bCs/>
          <w:sz w:val="20"/>
          <w:szCs w:val="20"/>
        </w:rPr>
        <w:t xml:space="preserve">veljavnih </w:t>
      </w:r>
      <w:proofErr w:type="spellStart"/>
      <w:r w:rsidRPr="001F5177">
        <w:rPr>
          <w:rFonts w:cs="Arial"/>
          <w:sz w:val="20"/>
          <w:szCs w:val="20"/>
        </w:rPr>
        <w:t>regulatornih</w:t>
      </w:r>
      <w:proofErr w:type="spellEnd"/>
      <w:r w:rsidRPr="001F5177">
        <w:rPr>
          <w:rFonts w:cs="Arial"/>
          <w:sz w:val="20"/>
          <w:szCs w:val="20"/>
        </w:rPr>
        <w:t xml:space="preserve"> ukrepov AKOS-a pri gradnji, upravljanju in vzdrževanju omrežja, pri čemer mora upravičenec vse morebitne finančne posledice pokriti iz lastnih sredstev in</w:t>
      </w:r>
    </w:p>
    <w:p w:rsidR="00382142" w:rsidRPr="001F5177" w:rsidRDefault="00382142" w:rsidP="00382142">
      <w:pPr>
        <w:pStyle w:val="tevilnatoka"/>
        <w:numPr>
          <w:ilvl w:val="0"/>
          <w:numId w:val="17"/>
        </w:numPr>
        <w:tabs>
          <w:tab w:val="left" w:pos="0"/>
        </w:tabs>
        <w:overflowPunct w:val="0"/>
        <w:autoSpaceDE w:val="0"/>
        <w:autoSpaceDN w:val="0"/>
        <w:adjustRightInd w:val="0"/>
        <w:textAlignment w:val="baseline"/>
        <w:rPr>
          <w:rFonts w:cs="Arial"/>
          <w:sz w:val="20"/>
          <w:szCs w:val="20"/>
        </w:rPr>
      </w:pPr>
      <w:r w:rsidRPr="001F5177">
        <w:rPr>
          <w:rFonts w:cs="Arial"/>
          <w:sz w:val="20"/>
          <w:szCs w:val="20"/>
        </w:rPr>
        <w:t>naložba mora biti v skladu s 3. točko 20. člena Uredbe 1305/2013/EU. Šteje se, da je ta pogoj izpolnjen, če upravičenec v vlogi na javni razpis izkaže, da je naložba v skladu s prostorskimi akti.</w:t>
      </w:r>
    </w:p>
    <w:p w:rsidR="00382142" w:rsidRPr="001F5177" w:rsidRDefault="00382142" w:rsidP="00382142">
      <w:pPr>
        <w:tabs>
          <w:tab w:val="left" w:pos="0"/>
        </w:tabs>
        <w:suppressAutoHyphen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(2) Če upravičenec ne izpolnjuje pogoja iz 5. točke prejšnjega odstavka, ga ARSKTRP v treh mesecih po zaprtju javnega razpisa pozove, da poravna zapadle neporavnane davčne obveznosti do države v 8 dneh od vročitve poziva. Če ima upravičenec naslednji dan po preteku roka za poravnavo zapadlih neporavnanih davčnih obveznosti 50 </w:t>
      </w:r>
      <w:proofErr w:type="spellStart"/>
      <w:r w:rsidRPr="001F5177">
        <w:rPr>
          <w:rFonts w:cs="Arial"/>
          <w:szCs w:val="20"/>
          <w:lang w:eastAsia="sl-SI"/>
        </w:rPr>
        <w:t>eurov</w:t>
      </w:r>
      <w:proofErr w:type="spellEnd"/>
      <w:r w:rsidRPr="001F5177">
        <w:rPr>
          <w:rFonts w:cs="Arial"/>
          <w:szCs w:val="20"/>
          <w:lang w:eastAsia="sl-SI"/>
        </w:rPr>
        <w:t xml:space="preserve"> ali manj zapadlih neporavnanih davčnih obveznosti do države, se šteje, da izpolnjuje pogoj iz 5. točke prejšnjega odstavka.</w:t>
      </w:r>
    </w:p>
    <w:p w:rsidR="00382142" w:rsidRPr="001F5177" w:rsidRDefault="00382142" w:rsidP="00382142">
      <w:pPr>
        <w:tabs>
          <w:tab w:val="left" w:pos="0"/>
        </w:tabs>
        <w:suppressAutoHyphen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lastRenderedPageBreak/>
        <w:t>(3) Če je upravičenec projektno partnerstvo morajo pogoje iz 1., 2., 3., 4., 5., 6., 7., 12., 14., 15., 16, 17. 18 in 19. točke prvega odstavka tega člena izpolnjevati vsi člani projektnega partnerstva.</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9.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szCs w:val="20"/>
          <w:lang w:eastAsia="sl-SI"/>
        </w:rPr>
      </w:pPr>
      <w:r w:rsidRPr="001F5177">
        <w:rPr>
          <w:rFonts w:cs="Arial"/>
          <w:b/>
          <w:szCs w:val="20"/>
          <w:lang w:eastAsia="sl-SI"/>
        </w:rPr>
        <w:t>(dokumentacija)</w:t>
      </w:r>
    </w:p>
    <w:p w:rsidR="00382142" w:rsidRPr="001F5177" w:rsidRDefault="00382142" w:rsidP="00382142">
      <w:pPr>
        <w:tabs>
          <w:tab w:val="left" w:pos="0"/>
        </w:tabs>
        <w:suppressAutoHyphen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(1) Upravičenec mora vlogi na javni razpis v skladu z 8. točko prvega odstavka prejšnjega člena</w:t>
      </w:r>
      <w:r w:rsidRPr="001F5177">
        <w:rPr>
          <w:rFonts w:cs="Arial"/>
          <w:b/>
          <w:szCs w:val="20"/>
          <w:lang w:eastAsia="sl-SI"/>
        </w:rPr>
        <w:t xml:space="preserve"> </w:t>
      </w:r>
      <w:r w:rsidRPr="001F5177">
        <w:rPr>
          <w:rFonts w:cs="Arial"/>
          <w:szCs w:val="20"/>
          <w:lang w:eastAsia="sl-SI"/>
        </w:rPr>
        <w:t>priložiti dokumentacijo, ki vsebuje:</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podatke o upravičencu iz prvega odstavka 7. člena te uredbe;</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opis naložbe, vključno z datumi začetka in zaključka naložbe (skice in tehnični opisi iz katerih so razvidne funkcionalne, oblikovne in tehnične značilnosti naložbe);</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poslovni načrt;</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seznam belih lis;</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seznam stroškov naložbe;</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delež zasebnih sredstev za izvedbo naložbe.</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(2) Upravičenec mora v vlogi na javni razpis navesti odgovorne osebe za zagotovitev neodvisnega nadzora nad izvedbo naložbe oziroma navesti pooblaščenega nadzornika gradnje, ki mora:</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opravljati gradbeni nadzor nad izvedbo del naložbe;</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 podpisom potrditi vsak zahtevek za izplačilo iz 23. člena te uredbe;</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zagotoviti nadzor nad vzpostavitvijo prvotnega stanja na javni ali zasebni površini. </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(3) Vsebina dokumentacije se lahko podrobneje opredeli z javnim razpisom.</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10.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(upravičeni stroški)</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(1) </w:t>
      </w:r>
      <w:r w:rsidRPr="001F5177">
        <w:rPr>
          <w:rFonts w:cs="Arial"/>
          <w:szCs w:val="20"/>
          <w:lang w:eastAsia="ar-SA"/>
        </w:rPr>
        <w:t xml:space="preserve">Do podpore v okviru </w:t>
      </w:r>
      <w:proofErr w:type="spellStart"/>
      <w:r w:rsidRPr="001F5177">
        <w:rPr>
          <w:rFonts w:cs="Arial"/>
          <w:szCs w:val="20"/>
          <w:lang w:eastAsia="ar-SA"/>
        </w:rPr>
        <w:t>podukrepa</w:t>
      </w:r>
      <w:proofErr w:type="spellEnd"/>
      <w:r w:rsidRPr="001F5177">
        <w:rPr>
          <w:rFonts w:cs="Arial"/>
          <w:szCs w:val="20"/>
          <w:lang w:eastAsia="ar-SA"/>
        </w:rPr>
        <w:t xml:space="preserve"> Podpora za širokopasovno infrastrukturo so v skladu s točkami (a), (b) in (c) drugega odstavka 52. člena Uredbe 651/2014/EU upravičeni stroški naložb za:</w:t>
      </w:r>
    </w:p>
    <w:p w:rsidR="00382142" w:rsidRPr="001F5177" w:rsidRDefault="00382142" w:rsidP="00382142">
      <w:pPr>
        <w:numPr>
          <w:ilvl w:val="0"/>
          <w:numId w:val="7"/>
        </w:numPr>
        <w:tabs>
          <w:tab w:val="left" w:pos="0"/>
        </w:tab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 xml:space="preserve">namestitev pasivne širokopasovne infrastrukture (hrbtenične in </w:t>
      </w:r>
      <w:proofErr w:type="spellStart"/>
      <w:r w:rsidRPr="001F5177">
        <w:rPr>
          <w:rFonts w:cs="Arial"/>
          <w:szCs w:val="20"/>
          <w:lang w:eastAsia="ar-SA"/>
        </w:rPr>
        <w:t>dostopovne</w:t>
      </w:r>
      <w:proofErr w:type="spellEnd"/>
      <w:r w:rsidRPr="001F5177">
        <w:rPr>
          <w:rFonts w:cs="Arial"/>
          <w:szCs w:val="20"/>
          <w:lang w:eastAsia="ar-SA"/>
        </w:rPr>
        <w:t>),</w:t>
      </w:r>
    </w:p>
    <w:p w:rsidR="00382142" w:rsidRPr="001F5177" w:rsidRDefault="00382142" w:rsidP="00382142">
      <w:pPr>
        <w:numPr>
          <w:ilvl w:val="0"/>
          <w:numId w:val="7"/>
        </w:numPr>
        <w:tabs>
          <w:tab w:val="left" w:pos="0"/>
        </w:tab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 xml:space="preserve">gradbena dela v povezavi s širokopasovno infrastrukturo (hrbtenično in </w:t>
      </w:r>
      <w:proofErr w:type="spellStart"/>
      <w:r w:rsidRPr="001F5177">
        <w:rPr>
          <w:rFonts w:cs="Arial"/>
          <w:szCs w:val="20"/>
          <w:lang w:eastAsia="ar-SA"/>
        </w:rPr>
        <w:t>dostopovno</w:t>
      </w:r>
      <w:proofErr w:type="spellEnd"/>
      <w:r w:rsidRPr="001F5177">
        <w:rPr>
          <w:rFonts w:cs="Arial"/>
          <w:szCs w:val="20"/>
          <w:lang w:eastAsia="ar-SA"/>
        </w:rPr>
        <w:t xml:space="preserve">), in </w:t>
      </w:r>
    </w:p>
    <w:p w:rsidR="00382142" w:rsidRPr="001F5177" w:rsidRDefault="00382142" w:rsidP="00382142">
      <w:pPr>
        <w:numPr>
          <w:ilvl w:val="0"/>
          <w:numId w:val="7"/>
        </w:numPr>
        <w:tabs>
          <w:tab w:val="left" w:pos="0"/>
        </w:tabs>
        <w:overflowPunct w:val="0"/>
        <w:autoSpaceDE w:val="0"/>
        <w:autoSpaceDN w:val="0"/>
        <w:adjustRightInd w:val="0"/>
        <w:spacing w:line="240" w:lineRule="auto"/>
        <w:ind w:left="0" w:firstLine="0"/>
        <w:jc w:val="both"/>
        <w:textAlignment w:val="baseline"/>
        <w:rPr>
          <w:rFonts w:cs="Arial"/>
          <w:szCs w:val="20"/>
          <w:lang w:eastAsia="ar-SA"/>
        </w:rPr>
      </w:pPr>
      <w:r w:rsidRPr="001F5177">
        <w:rPr>
          <w:rFonts w:cs="Arial"/>
          <w:szCs w:val="20"/>
          <w:lang w:eastAsia="ar-SA"/>
        </w:rPr>
        <w:t>namestitev NGA.</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ar-SA"/>
        </w:rPr>
      </w:pPr>
      <w:r w:rsidRPr="001F5177">
        <w:rPr>
          <w:rFonts w:cs="Arial"/>
          <w:szCs w:val="20"/>
          <w:lang w:eastAsia="sl-SI"/>
        </w:rPr>
        <w:t>(2</w:t>
      </w:r>
      <w:r w:rsidRPr="001F5177">
        <w:rPr>
          <w:rFonts w:cs="Arial"/>
          <w:szCs w:val="20"/>
          <w:lang w:eastAsia="ar-SA"/>
        </w:rPr>
        <w:t>) Upravičeni stroški iz prejšnjega odstavka se priznajo v obliki stroškov dela, materiala, opreme in storitev zunanjih izvajalcev.</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ar-SA"/>
        </w:rPr>
      </w:pPr>
      <w:r w:rsidRPr="001F5177">
        <w:rPr>
          <w:rFonts w:cs="Arial"/>
          <w:szCs w:val="20"/>
          <w:lang w:eastAsia="ar-SA"/>
        </w:rPr>
        <w:t>(3) Pri izračunu višine upravičenih stroškov se upošteva višina stroškov kot jih navaja upravičenec v vlogi na javni razpis v skladu s četrtim odstavkom 52. člena Uredbe 651/2014/EU.</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11.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(neupravičenost naložb in stroškov)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Poleg neupravičenih stroškov iz tretjega odstavka 69. člena Uredbe 1303/2013/EU se podpora ne dodeli za:</w:t>
      </w:r>
    </w:p>
    <w:p w:rsidR="00382142" w:rsidRPr="001F5177" w:rsidRDefault="00382142" w:rsidP="00382142">
      <w:pPr>
        <w:pStyle w:val="tevilnatoka"/>
        <w:numPr>
          <w:ilvl w:val="0"/>
          <w:numId w:val="18"/>
        </w:numPr>
        <w:tabs>
          <w:tab w:val="left" w:pos="0"/>
        </w:tabs>
        <w:overflowPunct w:val="0"/>
        <w:autoSpaceDE w:val="0"/>
        <w:autoSpaceDN w:val="0"/>
        <w:adjustRightInd w:val="0"/>
        <w:textAlignment w:val="baseline"/>
        <w:rPr>
          <w:rFonts w:cs="Arial"/>
          <w:sz w:val="20"/>
          <w:szCs w:val="20"/>
        </w:rPr>
      </w:pPr>
      <w:r w:rsidRPr="001F5177">
        <w:rPr>
          <w:rFonts w:cs="Arial"/>
          <w:sz w:val="20"/>
          <w:szCs w:val="20"/>
        </w:rPr>
        <w:t>naložbe zunaj območja Republike Slovenije;</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stroške priprave vloge na javni razpis in zahtevka za izplačilo sredstev;</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plačilo davkov, carin in dajatev pri uvozu;</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shd w:val="clear" w:color="auto" w:fill="FFFFFF"/>
          <w:lang w:eastAsia="sl-SI"/>
        </w:rPr>
        <w:t xml:space="preserve">davek na dodano vrednost, </w:t>
      </w:r>
      <w:r w:rsidRPr="001F5177">
        <w:rPr>
          <w:rFonts w:cs="Arial"/>
          <w:szCs w:val="20"/>
          <w:lang w:eastAsia="sl-SI"/>
        </w:rPr>
        <w:t>razen če ni izterljiv na podlagi predpisov, ki urejajo DDV</w:t>
      </w:r>
      <w:r w:rsidRPr="001F5177">
        <w:rPr>
          <w:rFonts w:cs="Arial"/>
          <w:szCs w:val="20"/>
          <w:shd w:val="clear" w:color="auto" w:fill="FFFFFF"/>
          <w:lang w:eastAsia="sl-SI"/>
        </w:rPr>
        <w:t>;</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obresti na dolgove, bančne stroške in stroške garancij;</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upravne takse;</w:t>
      </w:r>
    </w:p>
    <w:p w:rsidR="00382142" w:rsidRPr="001F5177" w:rsidRDefault="00382142" w:rsidP="00382142">
      <w:pPr>
        <w:numPr>
          <w:ilvl w:val="0"/>
          <w:numId w:val="2"/>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splošne stroške;</w:t>
      </w:r>
    </w:p>
    <w:p w:rsidR="00382142" w:rsidRPr="001F5177" w:rsidRDefault="00382142" w:rsidP="00382142">
      <w:pPr>
        <w:numPr>
          <w:ilvl w:val="0"/>
          <w:numId w:val="1"/>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stroške za pridobitev patentov, licenc, plačilnih pravic, avtorskih pravic in blagovnih in storitvenih znamk;</w:t>
      </w:r>
    </w:p>
    <w:p w:rsidR="00382142" w:rsidRPr="001F5177" w:rsidRDefault="00382142" w:rsidP="00382142">
      <w:pPr>
        <w:numPr>
          <w:ilvl w:val="0"/>
          <w:numId w:val="1"/>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druge stroške, povezane s pogodbami o zakupu, najemu, kot so marža najemodajalca, stroški refinanciranja obresti, režijski stroški in stroški zavarovanja;</w:t>
      </w:r>
    </w:p>
    <w:p w:rsidR="00382142" w:rsidRPr="001F5177" w:rsidRDefault="00382142" w:rsidP="00382142">
      <w:pPr>
        <w:numPr>
          <w:ilvl w:val="0"/>
          <w:numId w:val="1"/>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nakup rabljene opreme;</w:t>
      </w:r>
    </w:p>
    <w:p w:rsidR="00382142" w:rsidRPr="001F5177" w:rsidRDefault="00382142" w:rsidP="00382142">
      <w:pPr>
        <w:numPr>
          <w:ilvl w:val="0"/>
          <w:numId w:val="1"/>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prispevek v naravi;</w:t>
      </w:r>
    </w:p>
    <w:p w:rsidR="00382142" w:rsidRPr="001F5177" w:rsidRDefault="00382142" w:rsidP="00382142">
      <w:pPr>
        <w:numPr>
          <w:ilvl w:val="0"/>
          <w:numId w:val="1"/>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lastRenderedPageBreak/>
        <w:t>operativne stroške, ki nastanejo v obdobju, ko je omrežje zgrajeno, npr. stroški vzdrževanja, stroški upravljanja, stroški delovanja, stroški električne energije, stroški goriva, splošni in administrativni stroški (zavarovanje, varovanje, itd.), stroški zamenjave aktivne opreme, stroški dela, itd.</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12.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(časovni vidik upravičenosti stroškov)</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Stroški iz te uredbe so upravičeni do podpore, če so v skladu z drugim pododstavkom drugega odstavka 60. člena Uredbe 1305/2013/EU nastali po oddaji vloge na javni razpis.</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13.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(zaprtost finančne konstrukcije)</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(1) Upravičenec mora v vlogi na javni razpis izkazati zaprtost finančne konstrukcije, s katero se dokazuje, da so v celoti zagotovljena sredstva za izvedbo naložbe.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Upravičenec ob vlogi na javni razpis izkaže zaprtost finančne konstrukcije iz prejšnjega odstavka:</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s podpisano izjavo upravičenca, iz katere mora biti razvidno, da je sposoben izvesti naložbo in</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z dokumentom, s katerim dokazuje, da so v celoti zagotovljena sredstva za izvedbo naložbe. Pri tem se poleg lastnih sredstev upravičenca upoštevajo tudi pričakovana nepovratna sredstva, za katera upravičenec zaproša ob vložitvi vloge na javni razpis.</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(3) V kolikor se pri obravnavi vloge ugotovi, da predložena izjava in dokazila vlagatelja ne zadostujejo, agencija pozove vlagatelja za dodatna dokazila o zagotavljanju lastnih sredstev za izvedbo naložbe.</w:t>
      </w:r>
    </w:p>
    <w:p w:rsidR="00382142" w:rsidRPr="001F5177" w:rsidRDefault="00382142" w:rsidP="00382142">
      <w:pPr>
        <w:tabs>
          <w:tab w:val="left" w:pos="0"/>
        </w:tabs>
        <w:overflowPunct w:val="0"/>
        <w:autoSpaceDE w:val="0"/>
        <w:autoSpaceDN w:val="0"/>
        <w:adjustRightInd w:val="0"/>
        <w:spacing w:before="240" w:line="240" w:lineRule="auto"/>
        <w:jc w:val="both"/>
        <w:rPr>
          <w:rFonts w:cs="Arial"/>
          <w:szCs w:val="20"/>
          <w:lang w:eastAsia="sl-SI"/>
        </w:rPr>
      </w:pPr>
      <w:r w:rsidRPr="001F5177">
        <w:rPr>
          <w:rFonts w:cs="Arial"/>
          <w:szCs w:val="20"/>
          <w:lang w:eastAsia="sl-SI"/>
        </w:rPr>
        <w:t xml:space="preserve">(4) Če je upravičenec projektno partnerstvo, mora vsak član projektnega partnerstva izkazati zaprtost finančne konstrukcije glede na vrednost svojega prispevka k naložbi, ki je razviden iz </w:t>
      </w:r>
      <w:proofErr w:type="spellStart"/>
      <w:r w:rsidRPr="001F5177">
        <w:rPr>
          <w:rFonts w:cs="Arial"/>
          <w:szCs w:val="20"/>
          <w:lang w:eastAsia="sl-SI"/>
        </w:rPr>
        <w:t>konzorcijske</w:t>
      </w:r>
      <w:proofErr w:type="spellEnd"/>
      <w:r w:rsidRPr="001F5177">
        <w:rPr>
          <w:rFonts w:cs="Arial"/>
          <w:szCs w:val="20"/>
          <w:lang w:eastAsia="sl-SI"/>
        </w:rPr>
        <w:t xml:space="preserve"> pogodbe.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14. člen</w:t>
      </w:r>
    </w:p>
    <w:p w:rsidR="00382142" w:rsidRPr="001F5177" w:rsidRDefault="00382142" w:rsidP="00382142">
      <w:pPr>
        <w:tabs>
          <w:tab w:val="left" w:pos="0"/>
          <w:tab w:val="left" w:pos="567"/>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(merila za ocenjevanje vlog)</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(1) Med vlogami za podporo, ki dosežejo vstopni prag vsaj 30 odstotkov najvišjega možnega števila točk, se izberejo tiste, ki dosežejo najvišje število točk pri merilih za ocenjevanje vlog, do porabe razpisanih sredstev.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Merila za ocenjevanje vlog so:</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delež zasebnih sredstev za izvedbo naložbe na gospodinjstvo na beli lisi;</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število omogočenih modelov širokopasovnega dostopa;</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delež gospodinjstev na belih lisah, ki jim bo omogočen dostop do širokopasovnega omrežja naslednje generacije.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sidDel="00805091">
        <w:rPr>
          <w:rFonts w:cs="Arial"/>
          <w:szCs w:val="20"/>
          <w:lang w:eastAsia="sl-SI"/>
        </w:rPr>
        <w:t xml:space="preserve"> </w:t>
      </w:r>
      <w:r w:rsidRPr="001F5177">
        <w:rPr>
          <w:rFonts w:cs="Arial"/>
          <w:szCs w:val="20"/>
          <w:lang w:eastAsia="sl-SI"/>
        </w:rPr>
        <w:t xml:space="preserve">(3) Podrobnejša merila iz prejšnjega odstavka ter </w:t>
      </w:r>
      <w:proofErr w:type="spellStart"/>
      <w:r w:rsidRPr="001F5177">
        <w:rPr>
          <w:rFonts w:cs="Arial"/>
          <w:szCs w:val="20"/>
          <w:lang w:eastAsia="sl-SI"/>
        </w:rPr>
        <w:t>točkovalnik</w:t>
      </w:r>
      <w:proofErr w:type="spellEnd"/>
      <w:r w:rsidRPr="001F5177">
        <w:rPr>
          <w:rFonts w:cs="Arial"/>
          <w:szCs w:val="20"/>
          <w:lang w:eastAsia="sl-SI"/>
        </w:rPr>
        <w:t xml:space="preserve"> za ocenjevanje vlog se opredelijo v javnem razpisu.</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15.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(obveznosti upravičenca)</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rPr>
      </w:pPr>
      <w:r w:rsidRPr="001F5177">
        <w:rPr>
          <w:rFonts w:cs="Arial"/>
          <w:szCs w:val="20"/>
          <w:lang w:eastAsia="sl-SI"/>
        </w:rPr>
        <w:t>(1) Upravičenec mora naložbo zaključiti najpozneje v treh letih od vročitve odločbe o pravici do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(2) Upravičenec mora še najmanj deset let od dneva zadnjega izplačila sredstev: </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hraniti vso dokumentacijo, ki je bila podlaga za pridobitev sredstev po tej uredbi;</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omogočiti dostop do dokumentacije o naložbi ter omogočiti kontrolo naložbe na kraju samem ARSKTRP, MKGP, AKOS, revizijskemu organu, izvajalcu vrednotenja pooblaščenem s strani MKGP </w:t>
      </w:r>
      <w:r w:rsidRPr="001F5177">
        <w:rPr>
          <w:rFonts w:cs="Arial"/>
          <w:szCs w:val="20"/>
          <w:lang w:eastAsia="sl-SI"/>
        </w:rPr>
        <w:lastRenderedPageBreak/>
        <w:t>in drugim nadzornim organom Evropske unije in Republike Slovenije, v skladu z Uredbo 1303/2013/EU, Uredbo 1306/2013/EU, Uredbo 480/2014/EU, Uredbo 640/2014/EU in Uredbo 809/2014/EU;</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do 15. aprila vsako leto poslati ARSKTRP poročilo o uresničevanju obveznosti, ki vsebuje podatke o številu omogočenih priključkov gospodinjstvom na novozgrajenih širokopasovnih omrežjih z najmanj 100 Mb/s in številu novo priključenih gospodinjstev na novozgrajenih širokopasovnih omrežjih z najmanj 100 Mb/s;</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voditi ločeno računovodstvo oziroma ločene knjigovodske evidence in prikazovati neto prihodke naložbe skladno z devetim odstavkom 11. člena ZEKom-1.</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(3) Upravičenec mora ves čas trajanja naložbe izpolnjevati zahteve glede označevanja vira sofinanciranja iz 13. člena Uredbe 808/2014/EU in predpisa, ki ureja označevanje vira sofinanciranja iz PRP 2014–2020.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(4) Upravičenec mora ves čas trajanja naložbe in še pet let po izplačilu zadnjega zahtevka za izplačilo sredstev v skladu z 71. členom Uredbe 1303/2013/EU ohranjati trajnost naložbe.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16.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(finančne določbe)</w:t>
      </w:r>
    </w:p>
    <w:p w:rsidR="00382142" w:rsidRPr="001F5177" w:rsidRDefault="00382142" w:rsidP="00382142">
      <w:pPr>
        <w:numPr>
          <w:ilvl w:val="0"/>
          <w:numId w:val="13"/>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Za pokrivanje upravičenih stroškov naložbe za izgradnjo širokopasovne infrastrukture morajo zasebna sredstva upravičenca predstavljati več kot 50 odstotkov upravičenih stroškov naložbe.</w:t>
      </w:r>
    </w:p>
    <w:p w:rsidR="00382142" w:rsidRPr="001F5177" w:rsidRDefault="00382142" w:rsidP="00382142">
      <w:pPr>
        <w:numPr>
          <w:ilvl w:val="0"/>
          <w:numId w:val="13"/>
        </w:numPr>
        <w:tabs>
          <w:tab w:val="left" w:pos="0"/>
        </w:tabs>
        <w:overflowPunct w:val="0"/>
        <w:autoSpaceDE w:val="0"/>
        <w:autoSpaceDN w:val="0"/>
        <w:adjustRightInd w:val="0"/>
        <w:spacing w:before="240" w:line="240" w:lineRule="auto"/>
        <w:ind w:left="0" w:firstLine="0"/>
        <w:jc w:val="both"/>
        <w:textAlignment w:val="baseline"/>
        <w:rPr>
          <w:rFonts w:cs="Arial"/>
          <w:bCs/>
          <w:iCs/>
          <w:szCs w:val="20"/>
          <w:lang w:eastAsia="sl-SI"/>
        </w:rPr>
      </w:pPr>
      <w:r w:rsidRPr="001F5177">
        <w:rPr>
          <w:rFonts w:cs="Arial"/>
          <w:bCs/>
          <w:iCs/>
          <w:szCs w:val="20"/>
          <w:lang w:eastAsia="sl-SI"/>
        </w:rPr>
        <w:t xml:space="preserve"> </w:t>
      </w:r>
      <w:r w:rsidRPr="001F5177">
        <w:rPr>
          <w:rFonts w:cs="Arial"/>
          <w:szCs w:val="20"/>
          <w:lang w:eastAsia="sl-SI"/>
        </w:rPr>
        <w:t>Podpora se dodeli v skladu z 52. členom Uredbe 651/2014/EU.</w:t>
      </w:r>
    </w:p>
    <w:p w:rsidR="00382142" w:rsidRPr="001F5177" w:rsidRDefault="00382142" w:rsidP="00382142">
      <w:pPr>
        <w:numPr>
          <w:ilvl w:val="0"/>
          <w:numId w:val="13"/>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 xml:space="preserve"> Za </w:t>
      </w:r>
      <w:proofErr w:type="spellStart"/>
      <w:r w:rsidRPr="001F5177">
        <w:rPr>
          <w:rFonts w:cs="Arial"/>
          <w:szCs w:val="20"/>
          <w:lang w:eastAsia="sl-SI"/>
        </w:rPr>
        <w:t>podukrep</w:t>
      </w:r>
      <w:proofErr w:type="spellEnd"/>
      <w:r w:rsidRPr="001F5177">
        <w:rPr>
          <w:rFonts w:cs="Arial"/>
          <w:szCs w:val="20"/>
          <w:lang w:eastAsia="sl-SI"/>
        </w:rPr>
        <w:t xml:space="preserve"> Podpora za širokopasovno infrastrukturo je namenjenih 10.000.000,00 </w:t>
      </w:r>
      <w:proofErr w:type="spellStart"/>
      <w:r w:rsidRPr="001F5177">
        <w:rPr>
          <w:rFonts w:cs="Arial"/>
          <w:szCs w:val="20"/>
          <w:lang w:eastAsia="sl-SI"/>
        </w:rPr>
        <w:t>eurov</w:t>
      </w:r>
      <w:proofErr w:type="spellEnd"/>
      <w:r w:rsidRPr="001F5177">
        <w:rPr>
          <w:rFonts w:cs="Arial"/>
          <w:szCs w:val="20"/>
          <w:lang w:eastAsia="sl-SI"/>
        </w:rPr>
        <w:t>, ki se dodelijo v obliki nepovratne finančne pomoči.</w:t>
      </w:r>
    </w:p>
    <w:p w:rsidR="00382142" w:rsidRPr="001F5177" w:rsidRDefault="00382142" w:rsidP="00382142">
      <w:pPr>
        <w:numPr>
          <w:ilvl w:val="0"/>
          <w:numId w:val="13"/>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 xml:space="preserve"> Sredstva, namenjena izvajanju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se zagotovijo iz proračuna Republike Slovenije v višini 25 odstotkov in iz sredstev Evropskega kmetijskega sklada za razvoj podeželja v višini 75 odstotkov. </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III. PRIDOBITEV PODPORE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17.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(javni razpis)</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Podpora se dodeli z zaprtim javnim razpisom.</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Javni razpis objavi MKGP v Uradnem listu Republike Slovenije. Rok, do katerega se vlagajo vloge na javni razpis, se določi v javnem razpisu. Oddaja vlog na javni razpis se začne prvi delovni dan po izteku enaindvajsetih dni od objave javnega razpisa v Uradnem listu Republike Slovenije.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(3) MKGP objavi razpisno dokumentacijo za izvedbo javnega razpisa na svoji spletni strani. Navodila za izpolnjevanje prijavnega obrazca se objavijo na spletni strani MKGP in ARSKTRP.</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(4) V javnem razpisu se podrobneje določijo višina razpisanih sredstev, pogoji za dodelitev sredstev, merila in </w:t>
      </w:r>
      <w:proofErr w:type="spellStart"/>
      <w:r w:rsidRPr="001F5177">
        <w:rPr>
          <w:rFonts w:cs="Arial"/>
          <w:szCs w:val="20"/>
          <w:lang w:eastAsia="sl-SI"/>
        </w:rPr>
        <w:t>točkovalnik</w:t>
      </w:r>
      <w:proofErr w:type="spellEnd"/>
      <w:r w:rsidRPr="001F5177">
        <w:rPr>
          <w:rFonts w:cs="Arial"/>
          <w:szCs w:val="20"/>
          <w:lang w:eastAsia="sl-SI"/>
        </w:rPr>
        <w:t xml:space="preserve"> za ocenjevanje vlog, pogoji za izplačilo sredstev, postopki za vložitev vloge in zahtevka za izplačilo sredstev, obveznosti upravičenca, sankcije in vsebina dokumentacije.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(5) Za priloge, ki jih je treba priložiti k vlogi na posamezen javni razpis, se lahko v javnem razpisu določi obdobje veljavnosti, če obdobje veljavnosti ni predpisano z drugimi predpisi.</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18.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(vložitev vloge na javni razpis)</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lastRenderedPageBreak/>
        <w:t xml:space="preserve">(1) Vlogo na javni razpis sestavljajo prijavni obrazec in priloge.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(2) Javni razpis je lahko strukturiran po posameznih sklopih glede na statistične regije ali glede na območje belih lis združenih v smiselno celoto z namenom doseči </w:t>
      </w:r>
      <w:proofErr w:type="spellStart"/>
      <w:r w:rsidRPr="001F5177">
        <w:rPr>
          <w:rFonts w:cs="Arial"/>
          <w:szCs w:val="20"/>
          <w:lang w:eastAsia="sl-SI"/>
        </w:rPr>
        <w:t>čimvečji</w:t>
      </w:r>
      <w:proofErr w:type="spellEnd"/>
      <w:r w:rsidRPr="001F5177">
        <w:rPr>
          <w:rFonts w:cs="Arial"/>
          <w:szCs w:val="20"/>
          <w:lang w:eastAsia="sl-SI"/>
        </w:rPr>
        <w:t xml:space="preserve"> omogočen dostop do NGA.</w:t>
      </w:r>
      <w:r w:rsidRPr="001F5177" w:rsidDel="00FF5A61">
        <w:rPr>
          <w:rFonts w:cs="Arial"/>
          <w:szCs w:val="20"/>
          <w:lang w:eastAsia="sl-SI"/>
        </w:rPr>
        <w:t xml:space="preserve"> </w:t>
      </w:r>
    </w:p>
    <w:p w:rsidR="00382142" w:rsidRPr="001F5177" w:rsidRDefault="00382142" w:rsidP="00382142">
      <w:pPr>
        <w:shd w:val="clear" w:color="auto" w:fill="FFFFFF"/>
        <w:tabs>
          <w:tab w:val="left" w:pos="0"/>
        </w:tabs>
        <w:spacing w:before="240" w:line="240" w:lineRule="auto"/>
        <w:jc w:val="both"/>
        <w:rPr>
          <w:rFonts w:cs="Arial"/>
          <w:szCs w:val="20"/>
          <w:lang w:eastAsia="sl-SI"/>
        </w:rPr>
      </w:pPr>
      <w:r w:rsidRPr="001F5177">
        <w:rPr>
          <w:rFonts w:cs="Arial"/>
          <w:szCs w:val="20"/>
          <w:lang w:eastAsia="sl-SI"/>
        </w:rPr>
        <w:t xml:space="preserve">(3) Vloga na javni razpis se vloži na ARSKTRP v elektronski obliki, podpisana s kvalificiranim elektronskim podpisom. Priloge se predložijo kot </w:t>
      </w:r>
      <w:proofErr w:type="spellStart"/>
      <w:r w:rsidRPr="001F5177">
        <w:rPr>
          <w:rFonts w:cs="Arial"/>
          <w:szCs w:val="20"/>
          <w:lang w:eastAsia="sl-SI"/>
        </w:rPr>
        <w:t>skenogram</w:t>
      </w:r>
      <w:proofErr w:type="spellEnd"/>
      <w:r w:rsidRPr="001F5177">
        <w:rPr>
          <w:rFonts w:cs="Arial"/>
          <w:szCs w:val="20"/>
          <w:lang w:eastAsia="sl-SI"/>
        </w:rPr>
        <w:t>.</w:t>
      </w:r>
    </w:p>
    <w:p w:rsidR="00382142" w:rsidRPr="001F5177" w:rsidRDefault="00382142" w:rsidP="00382142">
      <w:pPr>
        <w:shd w:val="clear" w:color="auto" w:fill="FFFFFF"/>
        <w:tabs>
          <w:tab w:val="left" w:pos="0"/>
        </w:tabs>
        <w:spacing w:before="240" w:line="240" w:lineRule="auto"/>
        <w:jc w:val="both"/>
        <w:rPr>
          <w:rFonts w:cs="Arial"/>
          <w:szCs w:val="20"/>
          <w:lang w:eastAsia="sl-SI"/>
        </w:rPr>
      </w:pPr>
      <w:r w:rsidRPr="001F5177">
        <w:rPr>
          <w:rFonts w:cs="Arial"/>
          <w:szCs w:val="20"/>
          <w:lang w:eastAsia="sl-SI"/>
        </w:rPr>
        <w:t>(4) Za elektronsko izpolnjevanje in vložitev vloge iz prejšnjega odstavka ARSKTRP vzpostavi spletno vstopno mesto na naslovu http://e-kmetija.gov.si, na katerem se vodilni partner ali njegov pooblaščenec prijavi v informacijski sistem ARSKTRP. Upravičenec ali njegov pooblaščenec izvede elektronski vnos, vključno s kvalificiranim elektronskim podpisom, in vloži vlogo na javni razpis iz prejšnjega odstavka v informacijski sistem ARSKTRP.</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 xml:space="preserve">19. člen </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(obvezni prilogi k vlogi na javni razpis)</w:t>
      </w:r>
    </w:p>
    <w:p w:rsidR="00382142" w:rsidRPr="001F5177" w:rsidRDefault="00382142" w:rsidP="00382142">
      <w:pPr>
        <w:tabs>
          <w:tab w:val="left" w:pos="0"/>
        </w:tabs>
        <w:suppressAutoHyphen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Obvezni prilogi, ki jih mora upravičenec priložiti vlogi na javni razpis in brez katerih se v skladu z zakonom, ki ureja kmetijstvo, vloga zavrže brez pozivanja na dopolnitev, sta:</w:t>
      </w:r>
      <w:r w:rsidRPr="001F5177">
        <w:rPr>
          <w:rFonts w:cs="Arial"/>
          <w:b/>
          <w:szCs w:val="20"/>
          <w:lang w:eastAsia="sl-SI"/>
        </w:rPr>
        <w:t xml:space="preserve"> </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dokumentacija iz 9. člena te uredbe ter dokumentacija, ki je podrobneje določena v javnem razpisu;</w:t>
      </w:r>
    </w:p>
    <w:p w:rsidR="00382142" w:rsidRPr="001F5177" w:rsidRDefault="00382142" w:rsidP="00382142">
      <w:pPr>
        <w:numPr>
          <w:ilvl w:val="0"/>
          <w:numId w:val="8"/>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proofErr w:type="spellStart"/>
      <w:r w:rsidRPr="001F5177">
        <w:rPr>
          <w:rFonts w:cs="Arial"/>
          <w:szCs w:val="20"/>
          <w:lang w:eastAsia="sl-SI"/>
        </w:rPr>
        <w:t>konzorcijska</w:t>
      </w:r>
      <w:proofErr w:type="spellEnd"/>
      <w:r w:rsidRPr="001F5177">
        <w:rPr>
          <w:rFonts w:cs="Arial"/>
          <w:szCs w:val="20"/>
          <w:lang w:eastAsia="sl-SI"/>
        </w:rPr>
        <w:t xml:space="preserve"> pogodba, če je upravičenec projektno partnerstvo iz 2. alineje prvega odstavka 7. člena uredbe.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20.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(obravnava vloge na javni razpis)</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Obravnava vloge se začne s preveritvijo njene popolnosti. Če je vloga nepopolna ali nerazumljiva, ARSKTRP upravičenca pozove k dopolnitvi vloge. Za datum in čas prejema dopolnitve vloge se štejeta datum in čas (ura, minuta) pisne oddaje dopolnjene vloge. Po prejemu dopolnitve se vloga na javni razpis ponovno pregleda.</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Upravičenca popolne vloge, ki je vsebinsko nerazumljiva, ARSKTRP pozove, da jo pojasni. Upravičenec mora opraviti pojasnitev na način, določen v zahtevi za pojasnitev. Po prejemu pojasnitve se vloga na javni razpis ponovno pregleda.</w:t>
      </w:r>
      <w:r w:rsidRPr="001F5177" w:rsidDel="00FE331E">
        <w:rPr>
          <w:rFonts w:cs="Arial"/>
          <w:szCs w:val="20"/>
          <w:lang w:eastAsia="sl-SI"/>
        </w:rPr>
        <w:t xml:space="preserve">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(3) Vloga na javni razpis, ki je popolna in izpolnjuje pogoje, se oceni na podlagi meril, določenih s to uredbo in podrobneje opredeljenih v javnem razpisu.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(4) Sredstva se odobrijo vlogam, prispelim na javni razpis, ki izpolnjujejo pogoje za dodelitev sredstev in dosegajo vstopni prag iz prvega odstavka 14. člena te uredbe. Med vlogami, ki dosežejo vstopni prag, se izberejo tiste, ki dosežejo višje število točk, do porabe sredstev za posamezni javni razpis. Vloge, ki ne dosegajo minimalne vstopne meje ali ne izpolnjujejo pogojev, se zavrnejo.</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(5) Če sta dve ali več vlog na javni razpis </w:t>
      </w:r>
      <w:proofErr w:type="spellStart"/>
      <w:r w:rsidRPr="001F5177">
        <w:rPr>
          <w:rFonts w:cs="Arial"/>
          <w:szCs w:val="20"/>
          <w:lang w:eastAsia="sl-SI"/>
        </w:rPr>
        <w:t>točkovani</w:t>
      </w:r>
      <w:proofErr w:type="spellEnd"/>
      <w:r w:rsidRPr="001F5177">
        <w:rPr>
          <w:rFonts w:cs="Arial"/>
          <w:szCs w:val="20"/>
          <w:lang w:eastAsia="sl-SI"/>
        </w:rPr>
        <w:t xml:space="preserve"> z enakim številom točk in razpisana sredstva ne zadoščajo za odobritev vseh teh vlog v celoti, se vloge izberejo na podlagi ponderiranja meril za izbor vlog, ki se določijo v javnem razpisu.</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(6) Vloga na javni razpis, ki je popolna in izpolnjuje vstopne pogoje iz javnega razpisa, vendar razpisana sredstva ne zadoščajo za dodelitev sredstev v celoti, se zavrne.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(7) Sredstva se upravičencu odobrijo z odločbo o pravici do sredstev, ki jo izda ARSKTRP.</w:t>
      </w:r>
      <w:r w:rsidRPr="001F5177" w:rsidDel="0073484F">
        <w:rPr>
          <w:rFonts w:cs="Arial"/>
          <w:szCs w:val="20"/>
          <w:lang w:eastAsia="sl-SI"/>
        </w:rPr>
        <w:t xml:space="preserve"> </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21.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(združevanje podpor)</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shd w:val="clear" w:color="auto" w:fill="FFFFFF"/>
          <w:lang w:eastAsia="sl-SI"/>
        </w:rPr>
      </w:pPr>
      <w:r w:rsidRPr="001F5177">
        <w:rPr>
          <w:rFonts w:cs="Arial"/>
          <w:szCs w:val="20"/>
          <w:shd w:val="clear" w:color="auto" w:fill="FFFFFF"/>
          <w:lang w:eastAsia="sl-SI"/>
        </w:rPr>
        <w:lastRenderedPageBreak/>
        <w:t>Sredstva se ne odobrijo oziroma izplačajo upravičencu do podpore, ki je za iste upravičene stroške, kot jih navaja v vlogi na javni razpis in v zahtevku za izplačilo sredstev, že prejel sredstva državnega proračuna Republike Slovenije ali sredstva Evropske unije oziroma druga javna sredstva.</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22.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(odločba o pravici do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Datum vročitve odločbe o pravici do sredstev se šteje kot datum dodelitve podpore iz 28. točke 2. člena Uredbe 651/2014/EU.</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Če se upravičencu podpora dodeli na podlagi Uredbe 651/2014/EU in je ta podpora plačljiva na podlagi več zahtevkov za izplačilo sredstev, se pri odobritvi podpore izvede diskontiranje pomoči v skladu s tretjim odstavkom 7. člena Uredbe 651/2014/EU.</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(3) V odločbi o pravici do sredstev se upravičenca seznani z:</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obdelavo in varstvom osebnih podatkov v skladu s četrtim odstavkom 86. člena Uredbe 1305/2013/EU;</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nadzorom AKOS-a glede odprtosti širokopasovnega omrežja v skladu z ZEKom-1 in</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xml:space="preserve">- dolžnostjo upoštevati vse določbe </w:t>
      </w:r>
      <w:r w:rsidRPr="001F5177">
        <w:rPr>
          <w:rFonts w:cs="Arial"/>
          <w:bCs/>
          <w:szCs w:val="20"/>
          <w:lang w:eastAsia="sl-SI"/>
        </w:rPr>
        <w:t xml:space="preserve">veljavne </w:t>
      </w:r>
      <w:r w:rsidRPr="001F5177">
        <w:rPr>
          <w:rFonts w:cs="Arial"/>
          <w:szCs w:val="20"/>
          <w:lang w:eastAsia="sl-SI"/>
        </w:rPr>
        <w:t xml:space="preserve">zakonodaje in </w:t>
      </w:r>
      <w:r w:rsidRPr="001F5177">
        <w:rPr>
          <w:rFonts w:cs="Arial"/>
          <w:bCs/>
          <w:szCs w:val="20"/>
          <w:lang w:eastAsia="sl-SI"/>
        </w:rPr>
        <w:t xml:space="preserve">veljavnih </w:t>
      </w:r>
      <w:proofErr w:type="spellStart"/>
      <w:r w:rsidRPr="001F5177">
        <w:rPr>
          <w:rFonts w:cs="Arial"/>
          <w:szCs w:val="20"/>
          <w:lang w:eastAsia="sl-SI"/>
        </w:rPr>
        <w:t>regulatornih</w:t>
      </w:r>
      <w:proofErr w:type="spellEnd"/>
      <w:r w:rsidRPr="001F5177">
        <w:rPr>
          <w:rFonts w:cs="Arial"/>
          <w:szCs w:val="20"/>
          <w:lang w:eastAsia="sl-SI"/>
        </w:rPr>
        <w:t xml:space="preserve"> ukrepov AKOS-a pri gradnji, upravljanju in vzdrževanju omrežja, pri čemer mora upravičenec vse morebitne finančne posledice pokriti iz lastnih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(4) Spremembe obveznosti, ki izhajajo iz odločbe o pravici do sredstev, so dopustne pod pogoji iz 54. člena zakona, ki ureja kmetijstvo.</w:t>
      </w:r>
    </w:p>
    <w:p w:rsidR="00382142" w:rsidRPr="001F5177" w:rsidRDefault="00382142" w:rsidP="00382142">
      <w:pPr>
        <w:tabs>
          <w:tab w:val="left" w:pos="0"/>
        </w:tab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23.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(zahtevek za izplačilo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Sredstva se izplačajo na podlagi zahtevka upravičenca za izplačilo sredstev. Upravičenec lahko vloži tri zahtevke za izplačilo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Upravičenec ali njegov pooblaščenec vloži zahtevek za izplačilo sredstev na način iz tretjega odstavka 18. člena te uredbe. Zahtevek za izplačilo sredstev je treba natisniti in ga skupaj z dokazili in prilogami, ki jih določata javni razpis in ta uredba, poslati priporočeno po pošti na ARSKTRP ali vložiti v vložišču ARSKTRP.</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(3) V primeru enega zahtevka za izplačilo sredstev mora biti naložba pred vložitvijo zahtevka za izplačilo sredstev zaključena. V primeru dveh ali več zahtevkov za izplačilo sredstev, mora biti zaključen del naložbe, ki predstavlja zaključeno vsebinsko oziroma tehnološko celoto. Kot zaključek naložbe oziroma dela naložbe se šteje število izvedenih omogočenih dostopov do širokopasovnih elektronskih komunikacijskih storitev hitrosti najmanj 100 Mb/s gospodinjstvom na območjih belih lis skladno s predloženo dokumentacijo vključno s </w:t>
      </w:r>
      <w:proofErr w:type="spellStart"/>
      <w:r w:rsidRPr="001F5177">
        <w:rPr>
          <w:rFonts w:cs="Arial"/>
          <w:szCs w:val="20"/>
          <w:lang w:eastAsia="sl-SI"/>
        </w:rPr>
        <w:t>časovnico</w:t>
      </w:r>
      <w:proofErr w:type="spellEnd"/>
      <w:r w:rsidRPr="001F5177">
        <w:rPr>
          <w:rFonts w:cs="Arial"/>
          <w:szCs w:val="20"/>
          <w:lang w:eastAsia="sl-SI"/>
        </w:rPr>
        <w:t xml:space="preserve"> izvedbe.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(4) Upravičenec mora zahtevku za izplačilo sredstev priložiti naslednja dokazila:</w:t>
      </w:r>
    </w:p>
    <w:p w:rsidR="00382142" w:rsidRPr="001F5177" w:rsidRDefault="00382142" w:rsidP="00382142">
      <w:pPr>
        <w:pStyle w:val="tevilnatoka"/>
        <w:numPr>
          <w:ilvl w:val="0"/>
          <w:numId w:val="19"/>
        </w:numPr>
        <w:tabs>
          <w:tab w:val="left" w:pos="0"/>
        </w:tabs>
        <w:overflowPunct w:val="0"/>
        <w:autoSpaceDE w:val="0"/>
        <w:autoSpaceDN w:val="0"/>
        <w:adjustRightInd w:val="0"/>
        <w:textAlignment w:val="baseline"/>
        <w:rPr>
          <w:rFonts w:cs="Arial"/>
          <w:sz w:val="20"/>
          <w:szCs w:val="20"/>
        </w:rPr>
      </w:pPr>
      <w:r w:rsidRPr="001F5177">
        <w:rPr>
          <w:rFonts w:cs="Arial"/>
          <w:sz w:val="20"/>
          <w:szCs w:val="20"/>
        </w:rPr>
        <w:t xml:space="preserve">dokazilo o nastanku stroška (npr. računi, popisi izvedenih del, </w:t>
      </w:r>
      <w:proofErr w:type="spellStart"/>
      <w:r w:rsidRPr="001F5177">
        <w:rPr>
          <w:rFonts w:cs="Arial"/>
          <w:sz w:val="20"/>
          <w:szCs w:val="20"/>
        </w:rPr>
        <w:t>časovnice</w:t>
      </w:r>
      <w:proofErr w:type="spellEnd"/>
      <w:r w:rsidRPr="001F5177">
        <w:rPr>
          <w:rFonts w:cs="Arial"/>
          <w:sz w:val="20"/>
          <w:szCs w:val="20"/>
        </w:rPr>
        <w:t>, gradbene situacije);</w:t>
      </w:r>
    </w:p>
    <w:p w:rsidR="00382142" w:rsidRPr="001F5177" w:rsidRDefault="00382142" w:rsidP="00382142">
      <w:pPr>
        <w:pStyle w:val="tevilnatoka"/>
        <w:numPr>
          <w:ilvl w:val="0"/>
          <w:numId w:val="19"/>
        </w:numPr>
        <w:tabs>
          <w:tab w:val="left" w:pos="0"/>
        </w:tabs>
        <w:overflowPunct w:val="0"/>
        <w:autoSpaceDE w:val="0"/>
        <w:autoSpaceDN w:val="0"/>
        <w:adjustRightInd w:val="0"/>
        <w:textAlignment w:val="baseline"/>
        <w:rPr>
          <w:rFonts w:cs="Arial"/>
          <w:sz w:val="20"/>
          <w:szCs w:val="20"/>
        </w:rPr>
      </w:pPr>
      <w:r w:rsidRPr="001F5177">
        <w:rPr>
          <w:rFonts w:cs="Arial"/>
          <w:sz w:val="20"/>
          <w:szCs w:val="20"/>
        </w:rPr>
        <w:t>podatke o zgrajenem omrežju in pripadajoči infrastrukturi potrjene s strani pooblaščenega nadzornika gradnje iz drugega odstavka 9. člena te uredbe;</w:t>
      </w:r>
    </w:p>
    <w:p w:rsidR="00382142" w:rsidRPr="001F5177" w:rsidRDefault="00382142" w:rsidP="00382142">
      <w:pPr>
        <w:pStyle w:val="tevilnatoka"/>
        <w:numPr>
          <w:ilvl w:val="0"/>
          <w:numId w:val="19"/>
        </w:numPr>
        <w:tabs>
          <w:tab w:val="left" w:pos="0"/>
        </w:tabs>
        <w:overflowPunct w:val="0"/>
        <w:autoSpaceDE w:val="0"/>
        <w:autoSpaceDN w:val="0"/>
        <w:adjustRightInd w:val="0"/>
        <w:textAlignment w:val="baseline"/>
        <w:rPr>
          <w:rFonts w:cs="Arial"/>
          <w:sz w:val="20"/>
          <w:szCs w:val="20"/>
        </w:rPr>
      </w:pPr>
      <w:r w:rsidRPr="001F5177">
        <w:rPr>
          <w:rFonts w:cs="Arial"/>
          <w:sz w:val="20"/>
          <w:szCs w:val="20"/>
        </w:rPr>
        <w:t>potrdilo Geodetske uprave Republike Slovenije (v nadaljnjem besedilu: GURS) o vpisu vseh novozgrajenih komunikacijskih omrežij in pripadajoče infrastrukture ter novo omogočenih priključkov v evidenco skladno s 14. členom ZEKom-1;</w:t>
      </w:r>
    </w:p>
    <w:p w:rsidR="00382142" w:rsidRPr="001F5177" w:rsidRDefault="00382142" w:rsidP="00382142">
      <w:pPr>
        <w:pStyle w:val="tevilnatoka"/>
        <w:numPr>
          <w:ilvl w:val="0"/>
          <w:numId w:val="19"/>
        </w:numPr>
        <w:tabs>
          <w:tab w:val="left" w:pos="0"/>
        </w:tabs>
        <w:overflowPunct w:val="0"/>
        <w:autoSpaceDE w:val="0"/>
        <w:autoSpaceDN w:val="0"/>
        <w:adjustRightInd w:val="0"/>
        <w:textAlignment w:val="baseline"/>
        <w:rPr>
          <w:rFonts w:cs="Arial"/>
          <w:sz w:val="20"/>
          <w:szCs w:val="20"/>
        </w:rPr>
      </w:pPr>
      <w:r w:rsidRPr="001F5177">
        <w:rPr>
          <w:rFonts w:cs="Arial"/>
          <w:sz w:val="20"/>
          <w:szCs w:val="20"/>
        </w:rPr>
        <w:t>če gre za upravičenca, ki se v skladu s predpisi, ki urejajo javno naročanje šteje za naročnika, je treba k zahtevku za izplačilo sredstev priložiti kopijo celotne dokumentacije postopka izbire izvajalca oziroma dobavitelja po predpisu, ki ureja javno naročanje, s potrdilom, da je kopija enaka originalu;</w:t>
      </w:r>
    </w:p>
    <w:p w:rsidR="00382142" w:rsidRPr="001F5177" w:rsidRDefault="00382142" w:rsidP="00382142">
      <w:pPr>
        <w:pStyle w:val="tevilnatoka"/>
        <w:numPr>
          <w:ilvl w:val="0"/>
          <w:numId w:val="19"/>
        </w:numPr>
        <w:tabs>
          <w:tab w:val="left" w:pos="0"/>
        </w:tabs>
        <w:overflowPunct w:val="0"/>
        <w:autoSpaceDE w:val="0"/>
        <w:autoSpaceDN w:val="0"/>
        <w:adjustRightInd w:val="0"/>
        <w:textAlignment w:val="baseline"/>
        <w:rPr>
          <w:rFonts w:cs="Arial"/>
          <w:sz w:val="20"/>
          <w:szCs w:val="20"/>
        </w:rPr>
      </w:pPr>
      <w:r w:rsidRPr="001F5177">
        <w:rPr>
          <w:rFonts w:cs="Arial"/>
          <w:sz w:val="20"/>
          <w:szCs w:val="20"/>
        </w:rPr>
        <w:t>v primeru naložb v opremo mora upravičenec priložiti račun ali račun s specifikacijo;</w:t>
      </w:r>
    </w:p>
    <w:p w:rsidR="00382142" w:rsidRPr="001F5177" w:rsidRDefault="00382142" w:rsidP="00382142">
      <w:pPr>
        <w:pStyle w:val="tevilnatoka"/>
        <w:numPr>
          <w:ilvl w:val="0"/>
          <w:numId w:val="19"/>
        </w:numPr>
        <w:tabs>
          <w:tab w:val="left" w:pos="0"/>
        </w:tabs>
        <w:overflowPunct w:val="0"/>
        <w:autoSpaceDE w:val="0"/>
        <w:autoSpaceDN w:val="0"/>
        <w:adjustRightInd w:val="0"/>
        <w:textAlignment w:val="baseline"/>
        <w:rPr>
          <w:rFonts w:cs="Arial"/>
          <w:sz w:val="20"/>
          <w:szCs w:val="20"/>
        </w:rPr>
      </w:pPr>
      <w:r w:rsidRPr="001F5177">
        <w:rPr>
          <w:rFonts w:cs="Arial"/>
          <w:sz w:val="20"/>
          <w:szCs w:val="20"/>
        </w:rPr>
        <w:t xml:space="preserve">izjavo o prejetih javnih sredstvih za iste upravičene stroške; </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1953"/>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lastRenderedPageBreak/>
        <w:t>(5) V primeru vseh vrst gradenj mora upravičenec imeti knjigo obračunskih izmer v skladu z Gradbenim zakonom, ki jo mora hraniti na kraju samem, ter jo predložiti na zahtevo ARSKTRP.</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(6) Upravičenec mora izpolnjevati pogoje iz 4. 5., 7., 9. in 10. točke prvega odstavka in drugega ter tretjega odstavka 8. člena te uredbe.</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(6) Upravičenec do podpore mora izpolnjevati zahteve glede označevanja vira sofinanciranja iz 13. člena Uredbe 808/2014/EU in predpisa, ki ureja označevanje vira sofinanciranja iz PRP 2014 - 2020.</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(7) Podrobnejša določila glede zahtevanih prilog in dokazil ob vlaganju zahtevka za izplačilo sredstev se določijo v javnem razpisu.</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(8) Na podlagi vloženega popolnega zahtevka za izplačilo sredstev in po opravljeni kontroli iz 26. člena te uredbe se sredstva izplačajo na transakcijski račun upravičenca iz prve alineje prvega odstavka 7. člena te uredbe oziroma na transakcijski račun člana projektnega partnerstva iz druge alineje prvega odstavka 7. člena te uredbe, ki je dal finančni prispevek.</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(9) Računi in druga dokazila, ki se nanašajo na naložbo, se morajo glasiti na upravičenca. Če je upravičenec projektno partnerstvo, se račun glasi na vse člane projektnega partnerstva.</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(10) Upravičenec ali njegov pooblaščenec ob vložitvi zadnjega zahtevka za izplačilo sredstev ARSKTRP predloži končno poročilo, ki mora obsegati obvezne sestavine iz Priloge 2, ki je sestavni del te uredbe.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bookmarkStart w:id="0" w:name="_GoBack"/>
      <w:bookmarkEnd w:id="0"/>
      <w:r w:rsidRPr="001F5177">
        <w:rPr>
          <w:rFonts w:cs="Arial"/>
          <w:b/>
          <w:szCs w:val="20"/>
          <w:lang w:eastAsia="sl-SI"/>
        </w:rPr>
        <w:t>24.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(časovna dinamika vlaganja zahtevkov za izplačilo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Upravičenec vlaga zahtevke za izplačilo sredstev v skladu s časovno dinamiko, opredeljeno v odločbi o pravici do sredstev. Zahtevek za izplačilo sredstev je treba vložiti najkasneje na datum opredeljen v odločbi o pravici do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Upravičenec lahko predlaga spremembo časovne dinamike vlaganja zahtevkov za izplačilo sredstev po izdaji odločbe o pravici do sredstev in pred potekom roka za izpolnitev obveznosti iz odločbe o pravici do sredstev. Upravičenec vloži obrazložen zahtevek za spremembo časovne dinamike vlaganja zahtevkov za izplačilo določene v odločbi o pravici do sredstev v skladu s 54. členom zakona, ki ureja kmetijstvo. ARSKTRP lahko podaljša rok za vložitev zahtevka do največ 12 mesecev, vendar ne več kot do datuma vložitve zadnjega zahtevka za izplačilo sredstev, določenega v javnem razpisu.</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25.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(objava podatkov o prejemnikih sredstev)</w:t>
      </w:r>
    </w:p>
    <w:p w:rsidR="00382142" w:rsidRPr="001F5177" w:rsidRDefault="00382142" w:rsidP="00382142">
      <w:pPr>
        <w:numPr>
          <w:ilvl w:val="1"/>
          <w:numId w:val="4"/>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Podatki o upravičencih, ki so prejeli sredstva, se objavijo na spletni ARSKTRP v skladu s 111. in 113. členom Uredbe 1306/2013/EU.</w:t>
      </w:r>
    </w:p>
    <w:p w:rsidR="00382142" w:rsidRPr="001F5177" w:rsidRDefault="00382142" w:rsidP="00382142">
      <w:pPr>
        <w:numPr>
          <w:ilvl w:val="1"/>
          <w:numId w:val="4"/>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Na spletni strani MKGP se objavijo podatki v zvezi s shemo pomoči na podlagi te uredbe, v skladu s prvim in četrtim odstavkom 9. člena Uredbe 651/2014/EU.</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26.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(izvedba kontrol ter sistem kršitev in sankcij)</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Kontrola ukrepa se izvaja v skladu z Uredbo 1306/2013/EU in Uredbo 809/2014/EU. Za izvajanje kontrole je pristojna ARSKTRP.</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ARSKTRP v skladu s 1. točko 51. člena Uredbe 809/2014/EU, izvaja kontrole na kraju samem pred izdajo odločbe o pravici do sredstev.</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lastRenderedPageBreak/>
        <w:t xml:space="preserve">(3) MKGP lahko v skladu s prvim odstavkom 66. člena Uredbe 1305/2013/EU preverja pravilnost izvajanja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 xml:space="preserve">(4) V primerih kršitev obveznosti, ki zahtevajo vračilo sredstev, ARSKTRP upravičencu izda odločbo v skladu s </w:t>
      </w:r>
      <w:proofErr w:type="spellStart"/>
      <w:r w:rsidRPr="001F5177">
        <w:rPr>
          <w:rFonts w:cs="Arial"/>
          <w:szCs w:val="20"/>
          <w:lang w:eastAsia="sl-SI"/>
        </w:rPr>
        <w:t>41.a</w:t>
      </w:r>
      <w:proofErr w:type="spellEnd"/>
      <w:r w:rsidRPr="001F5177">
        <w:rPr>
          <w:rFonts w:cs="Arial"/>
          <w:szCs w:val="20"/>
          <w:lang w:eastAsia="sl-SI"/>
        </w:rPr>
        <w:t xml:space="preserve"> členom zakona, ki ureja kmetijstvo.</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(5) Neizpolnitev ali kršitev obveznosti se sankcionira v skladu s 63. členom Uredbe 1306/2013/EU, 63. členom Uredbe 809/2014/EU in zakonom, ki ureja kmetijstvo, razen v primeru višje sile in izjemnih okoliščin iz 27. člena te uredbe. Podrobnejša opredelitev kršitev in sankcij je opredeljena v Katalogu kršitev in sankcij iz Priloge 3, ki je sestavni del te uredbe.</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27.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(višja sila in izjemne okoliščine)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(1) O višji sili ali izjemnih okoliščinah iz drugega odstavka 2. člena Uredbe 1306/2013/EU mora upravičenec ali njegova pooblaščena oseba ARSKTRP pisno obvestiti in predložiti ustrezna dokazila v 15 delovnih dneh od dneva, ko je upravičenec oziroma njegova pooblaščena oseba to zmožna storiti.</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(2) O obstoju višje sile ali izjemnih okoliščin iz prejšnjega odstavka odloči ARSKTRP in na podlagi prejetih dokazil izda odločbo.</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28.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(hramba dokumentacije)</w:t>
      </w:r>
    </w:p>
    <w:p w:rsidR="00382142" w:rsidRPr="001F5177" w:rsidRDefault="00382142" w:rsidP="00382142">
      <w:pPr>
        <w:tabs>
          <w:tab w:val="left" w:pos="0"/>
        </w:tabs>
        <w:overflowPunct w:val="0"/>
        <w:autoSpaceDE w:val="0"/>
        <w:autoSpaceDN w:val="0"/>
        <w:adjustRightInd w:val="0"/>
        <w:spacing w:before="240" w:line="240" w:lineRule="auto"/>
        <w:jc w:val="both"/>
        <w:textAlignment w:val="baseline"/>
        <w:rPr>
          <w:rFonts w:cs="Arial"/>
          <w:szCs w:val="20"/>
          <w:lang w:eastAsia="sl-SI"/>
        </w:rPr>
      </w:pPr>
      <w:r w:rsidRPr="001F5177">
        <w:rPr>
          <w:rFonts w:cs="Arial"/>
          <w:szCs w:val="20"/>
          <w:lang w:eastAsia="sl-SI"/>
        </w:rPr>
        <w:t>ARSKTRP mora hraniti evidence o dodeljeni državni pomoči po tej uredbi še najmanj deset let od dneva zadnjega izplačila sredstev.</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IV. KONČNI DOLOČBI</w:t>
      </w:r>
    </w:p>
    <w:p w:rsidR="00382142" w:rsidRPr="001F5177" w:rsidRDefault="00382142" w:rsidP="00382142">
      <w:pPr>
        <w:tabs>
          <w:tab w:val="left" w:pos="0"/>
        </w:tabs>
        <w:suppressAutoHyphens/>
        <w:overflowPunct w:val="0"/>
        <w:autoSpaceDE w:val="0"/>
        <w:autoSpaceDN w:val="0"/>
        <w:adjustRightInd w:val="0"/>
        <w:spacing w:before="480" w:line="240" w:lineRule="auto"/>
        <w:jc w:val="center"/>
        <w:textAlignment w:val="baseline"/>
        <w:rPr>
          <w:rFonts w:cs="Arial"/>
          <w:b/>
          <w:szCs w:val="20"/>
          <w:lang w:eastAsia="sl-SI"/>
        </w:rPr>
      </w:pPr>
      <w:r w:rsidRPr="001F5177">
        <w:rPr>
          <w:rFonts w:cs="Arial"/>
          <w:b/>
          <w:szCs w:val="20"/>
          <w:lang w:eastAsia="sl-SI"/>
        </w:rPr>
        <w:t>29. člen</w:t>
      </w:r>
    </w:p>
    <w:p w:rsidR="00382142" w:rsidRPr="001F5177" w:rsidRDefault="00382142" w:rsidP="00382142">
      <w:pPr>
        <w:tabs>
          <w:tab w:val="left" w:pos="0"/>
        </w:tabs>
        <w:suppressAutoHyphens/>
        <w:overflowPunct w:val="0"/>
        <w:autoSpaceDE w:val="0"/>
        <w:autoSpaceDN w:val="0"/>
        <w:adjustRightInd w:val="0"/>
        <w:spacing w:line="240" w:lineRule="auto"/>
        <w:jc w:val="center"/>
        <w:textAlignment w:val="baseline"/>
        <w:rPr>
          <w:rFonts w:cs="Arial"/>
          <w:b/>
          <w:szCs w:val="20"/>
          <w:lang w:eastAsia="sl-SI"/>
        </w:rPr>
      </w:pPr>
      <w:r w:rsidRPr="001F5177">
        <w:rPr>
          <w:rFonts w:cs="Arial"/>
          <w:b/>
          <w:szCs w:val="20"/>
          <w:lang w:eastAsia="sl-SI"/>
        </w:rPr>
        <w:t>(začetek veljavnosti)</w:t>
      </w:r>
    </w:p>
    <w:p w:rsidR="00382142" w:rsidRPr="001F5177" w:rsidRDefault="00382142" w:rsidP="00382142">
      <w:pPr>
        <w:numPr>
          <w:ilvl w:val="0"/>
          <w:numId w:val="15"/>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Ta uredba začne veljati naslednji dan po objavi v Uradnem listu Republike Slovenije.</w:t>
      </w:r>
    </w:p>
    <w:p w:rsidR="00382142" w:rsidRPr="001F5177" w:rsidRDefault="00382142" w:rsidP="00382142">
      <w:pPr>
        <w:numPr>
          <w:ilvl w:val="0"/>
          <w:numId w:val="15"/>
        </w:numPr>
        <w:tabs>
          <w:tab w:val="left" w:pos="0"/>
        </w:tabs>
        <w:overflowPunct w:val="0"/>
        <w:autoSpaceDE w:val="0"/>
        <w:autoSpaceDN w:val="0"/>
        <w:adjustRightInd w:val="0"/>
        <w:spacing w:before="240" w:line="240" w:lineRule="auto"/>
        <w:ind w:left="0" w:firstLine="0"/>
        <w:jc w:val="both"/>
        <w:textAlignment w:val="baseline"/>
        <w:rPr>
          <w:rFonts w:cs="Arial"/>
          <w:szCs w:val="20"/>
          <w:lang w:eastAsia="sl-SI"/>
        </w:rPr>
      </w:pPr>
      <w:r w:rsidRPr="001F5177">
        <w:rPr>
          <w:rFonts w:cs="Arial"/>
          <w:szCs w:val="20"/>
          <w:lang w:eastAsia="sl-SI"/>
        </w:rPr>
        <w:t>Ta uredba se začne uporabljati naslednji dan po objavi naznanila ministra, pristojnega za kmetijstvo v Uradnem listu Republike Slovenije o prejemu potrdila Evropske komisije o prejemu povzetka informacij o shemi državne pomoči z identifikacijsko številko sheme pomoči.</w:t>
      </w:r>
    </w:p>
    <w:p w:rsidR="00382142" w:rsidRPr="001F5177" w:rsidRDefault="00382142" w:rsidP="00382142">
      <w:pPr>
        <w:tabs>
          <w:tab w:val="left" w:pos="0"/>
        </w:tabs>
        <w:overflowPunct w:val="0"/>
        <w:autoSpaceDE w:val="0"/>
        <w:autoSpaceDN w:val="0"/>
        <w:adjustRightInd w:val="0"/>
        <w:spacing w:before="12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12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12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napToGrid w:val="0"/>
          <w:szCs w:val="20"/>
          <w:lang w:eastAsia="sl-SI"/>
        </w:rPr>
      </w:pPr>
      <w:r w:rsidRPr="001F5177">
        <w:rPr>
          <w:rFonts w:cs="Arial"/>
          <w:snapToGrid w:val="0"/>
          <w:szCs w:val="20"/>
          <w:lang w:eastAsia="sl-SI"/>
        </w:rPr>
        <w:t>Št. 007-344/2018/</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napToGrid w:val="0"/>
          <w:szCs w:val="20"/>
          <w:lang w:eastAsia="sl-SI"/>
        </w:rPr>
      </w:pPr>
      <w:r w:rsidRPr="001F5177">
        <w:rPr>
          <w:rFonts w:cs="Arial"/>
          <w:snapToGrid w:val="0"/>
          <w:szCs w:val="20"/>
          <w:lang w:eastAsia="sl-SI"/>
        </w:rPr>
        <w:t xml:space="preserve">Ljubljana, dne … </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EVA 2019-2330-0028</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r w:rsidRPr="001F5177">
        <w:rPr>
          <w:rFonts w:cs="Arial"/>
          <w:szCs w:val="20"/>
          <w:lang w:eastAsia="sl-SI"/>
        </w:rPr>
        <w:t>Vlada Republike Slovenije</w:t>
      </w:r>
    </w:p>
    <w:p w:rsidR="00382142" w:rsidRPr="001F5177"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r w:rsidRPr="001F5177">
        <w:rPr>
          <w:rFonts w:cs="Arial"/>
          <w:szCs w:val="20"/>
          <w:lang w:eastAsia="sl-SI"/>
        </w:rPr>
        <w:t>Marjan Šarec</w:t>
      </w:r>
    </w:p>
    <w:p w:rsidR="00382142"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r w:rsidRPr="001F5177">
        <w:rPr>
          <w:rFonts w:cs="Arial"/>
          <w:szCs w:val="20"/>
          <w:lang w:eastAsia="sl-SI"/>
        </w:rPr>
        <w:t>predsednik</w:t>
      </w:r>
    </w:p>
    <w:p w:rsidR="00382142"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p>
    <w:p w:rsidR="00382142"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p>
    <w:p w:rsidR="00382142"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p>
    <w:p w:rsidR="00382142"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p>
    <w:p w:rsidR="00382142" w:rsidRDefault="00382142" w:rsidP="00382142">
      <w:pPr>
        <w:tabs>
          <w:tab w:val="left" w:pos="0"/>
        </w:tabs>
        <w:overflowPunct w:val="0"/>
        <w:autoSpaceDE w:val="0"/>
        <w:autoSpaceDN w:val="0"/>
        <w:adjustRightInd w:val="0"/>
        <w:spacing w:line="240" w:lineRule="auto"/>
        <w:jc w:val="center"/>
        <w:textAlignment w:val="baseline"/>
        <w:rPr>
          <w:rFonts w:cs="Arial"/>
          <w:szCs w:val="20"/>
          <w:lang w:eastAsia="sl-SI"/>
        </w:rPr>
      </w:pPr>
    </w:p>
    <w:p w:rsidR="00382142" w:rsidRDefault="00382142">
      <w:pPr>
        <w:spacing w:after="200" w:line="276" w:lineRule="auto"/>
        <w:rPr>
          <w:rFonts w:cs="Arial"/>
          <w:szCs w:val="20"/>
          <w:lang w:eastAsia="sl-SI"/>
        </w:rPr>
      </w:pPr>
      <w:r>
        <w:rPr>
          <w:rFonts w:cs="Arial"/>
          <w:szCs w:val="20"/>
          <w:lang w:eastAsia="sl-SI"/>
        </w:rPr>
        <w:br w:type="page"/>
      </w:r>
    </w:p>
    <w:p w:rsidR="00382142" w:rsidRPr="001F5177" w:rsidRDefault="00382142" w:rsidP="00382142">
      <w:pPr>
        <w:pBdr>
          <w:top w:val="single" w:sz="4" w:space="1" w:color="auto"/>
          <w:bottom w:val="single" w:sz="4" w:space="1" w:color="auto"/>
        </w:pBdr>
        <w:shd w:val="clear" w:color="auto" w:fill="D9D9D9"/>
        <w:tabs>
          <w:tab w:val="left" w:pos="0"/>
        </w:tabs>
        <w:overflowPunct w:val="0"/>
        <w:autoSpaceDE w:val="0"/>
        <w:autoSpaceDN w:val="0"/>
        <w:adjustRightInd w:val="0"/>
        <w:spacing w:line="240" w:lineRule="auto"/>
        <w:jc w:val="both"/>
        <w:textAlignment w:val="baseline"/>
        <w:rPr>
          <w:rFonts w:cs="Arial"/>
          <w:b/>
          <w:szCs w:val="20"/>
          <w:lang w:eastAsia="sl-SI"/>
        </w:rPr>
      </w:pPr>
      <w:r w:rsidRPr="001F5177">
        <w:rPr>
          <w:rFonts w:cs="Arial"/>
          <w:b/>
          <w:szCs w:val="20"/>
          <w:lang w:eastAsia="sl-SI"/>
        </w:rPr>
        <w:lastRenderedPageBreak/>
        <w:t xml:space="preserve">PRILOGA 1: Obvezne sestavine </w:t>
      </w:r>
      <w:proofErr w:type="spellStart"/>
      <w:r w:rsidRPr="001F5177">
        <w:rPr>
          <w:rFonts w:cs="Arial"/>
          <w:b/>
          <w:szCs w:val="20"/>
          <w:lang w:eastAsia="sl-SI"/>
        </w:rPr>
        <w:t>konzorcijske</w:t>
      </w:r>
      <w:proofErr w:type="spellEnd"/>
      <w:r w:rsidRPr="001F5177">
        <w:rPr>
          <w:rFonts w:cs="Arial"/>
          <w:b/>
          <w:szCs w:val="20"/>
          <w:lang w:eastAsia="sl-SI"/>
        </w:rPr>
        <w:t xml:space="preserve"> pogodbe</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xml:space="preserve">S </w:t>
      </w:r>
      <w:proofErr w:type="spellStart"/>
      <w:r w:rsidRPr="001F5177">
        <w:rPr>
          <w:rFonts w:cs="Arial"/>
          <w:szCs w:val="20"/>
          <w:lang w:eastAsia="sl-SI"/>
        </w:rPr>
        <w:t>konzorcijsko</w:t>
      </w:r>
      <w:proofErr w:type="spellEnd"/>
      <w:r w:rsidRPr="001F5177">
        <w:rPr>
          <w:rFonts w:cs="Arial"/>
          <w:szCs w:val="20"/>
          <w:lang w:eastAsia="sl-SI"/>
        </w:rPr>
        <w:t xml:space="preserve"> pogodbo se opredelijo:</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pogodbene stranke (ime in priimek ali firma, davčna številka, matična številka, sedež, naslov, transakcijski račun, pravnoorganizacijska oblika, itd.);</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vodilni partner in njegove obveznosti;</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namen sklenitve pogodbe, ki je izvedba naložbe v skladu s 5. členom te uredbe;</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da ima član projektnega partnerstva pravico do povračila od ARKSTRP priznanih stroškov naložbe glede na njegove stroške z izvedbo upravičenih aktivnosti, kar je razvidno iz naložbe;</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medsebojna razmerja, pravice in obveznosti članov projektnega partnerstva;</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xml:space="preserve">razmejitev med območji belih lis, lastništvo vseh delov odprtega širokopasovnega omrežja, vodenje, način in nadzor gradnje le tega, njegovo upravljanje in vzdrževanje; </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lastništvo vseh delov odprtega širokopasovnega omrežja, vodenje, način in nadzor gradnje le tega, njegovo upravljanje in vzdrževanje;</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način porazdelitve finančnih obveznosti po posameznih članih projektnega partnerstva v primeru ugotovljene kršitve, ki ima za posledico vračilo dela ali vseh izplačanih sredstev;</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načela dobre partnerske prakse;</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protikorupcijska klavzula;</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xml:space="preserve">razreševanje sporov; </w:t>
      </w:r>
    </w:p>
    <w:p w:rsidR="00382142" w:rsidRPr="001F5177" w:rsidRDefault="00382142" w:rsidP="00382142">
      <w:pPr>
        <w:numPr>
          <w:ilvl w:val="0"/>
          <w:numId w:val="11"/>
        </w:numPr>
        <w:tabs>
          <w:tab w:val="left" w:pos="0"/>
          <w:tab w:val="left" w:pos="142"/>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veljavnost pogodbe.</w:t>
      </w:r>
    </w:p>
    <w:p w:rsidR="00382142" w:rsidRPr="001F5177" w:rsidRDefault="00382142" w:rsidP="00382142">
      <w:pPr>
        <w:tabs>
          <w:tab w:val="left" w:pos="0"/>
          <w:tab w:val="left" w:pos="426"/>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851"/>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pBdr>
          <w:top w:val="single" w:sz="4" w:space="1" w:color="auto"/>
          <w:bottom w:val="single" w:sz="4" w:space="1" w:color="auto"/>
        </w:pBdr>
        <w:shd w:val="clear" w:color="auto" w:fill="D9D9D9"/>
        <w:tabs>
          <w:tab w:val="left" w:pos="0"/>
        </w:tabs>
        <w:overflowPunct w:val="0"/>
        <w:autoSpaceDE w:val="0"/>
        <w:autoSpaceDN w:val="0"/>
        <w:adjustRightInd w:val="0"/>
        <w:spacing w:line="240" w:lineRule="auto"/>
        <w:jc w:val="both"/>
        <w:textAlignment w:val="baseline"/>
        <w:rPr>
          <w:rFonts w:cs="Arial"/>
          <w:b/>
          <w:szCs w:val="20"/>
          <w:lang w:eastAsia="sl-SI"/>
        </w:rPr>
      </w:pPr>
      <w:r w:rsidRPr="001F5177">
        <w:rPr>
          <w:rFonts w:cs="Arial"/>
          <w:b/>
          <w:szCs w:val="20"/>
          <w:lang w:eastAsia="sl-SI"/>
        </w:rPr>
        <w:lastRenderedPageBreak/>
        <w:t>PRILOGA 2: Obvezne sestavine končnega poročila</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 w:val="left" w:pos="284"/>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Končno poročilo vsebuje naslednje sestavine:</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1. projekt izvedenih del;</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2. geodetske posnetke izvedenih del na celotni trasi izgrajenega širokopasovnega omrežja – elaborat geodetske izmere v elektronski obliki;</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3. izjavo, da so vsi ustrezni gradbeni dnevniki oz. delovni nalogi, nastali tekom izvajanja operacije, iz katerih so razvidna dejansko opravljena dela pri gradnji odprtega širokopasovnega omrežja naslednje generacije dostopni na vpogled na sedežu upravičenca;</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4. potrjeno poročilo o končnih izdatkih, ki odraža dejanske izdatke na naložbi;</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 xml:space="preserve">5. </w:t>
      </w:r>
      <w:proofErr w:type="spellStart"/>
      <w:r w:rsidRPr="001F5177">
        <w:rPr>
          <w:rFonts w:eastAsia="Calibri" w:cs="Arial"/>
          <w:szCs w:val="20"/>
          <w:lang w:eastAsia="sl-SI"/>
        </w:rPr>
        <w:t>sumarni</w:t>
      </w:r>
      <w:proofErr w:type="spellEnd"/>
      <w:r w:rsidRPr="001F5177">
        <w:rPr>
          <w:rFonts w:eastAsia="Calibri" w:cs="Arial"/>
          <w:szCs w:val="20"/>
          <w:lang w:eastAsia="sl-SI"/>
        </w:rPr>
        <w:t xml:space="preserve"> seznam vseh izdanih potrdil GURS-a o izvedenih vpisih vseh novozgrajenih komunikacijskih omrežij in pripadajoče infrastrukture ter novo omogočenih omrežnih priključnih točk na fiksni lokaciji v evidenco infrastrukturnih omrežij ter objektov;</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6. izjavo o ločeni računovodski in knjigovodski evidenci za naložbe in pregled glavne knjige;</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 xml:space="preserve">7. dokazila, da so bile upoštevane zahteve glede </w:t>
      </w:r>
      <w:r w:rsidRPr="001F5177">
        <w:rPr>
          <w:rFonts w:cs="Arial"/>
          <w:szCs w:val="20"/>
          <w:lang w:eastAsia="sl-SI"/>
        </w:rPr>
        <w:t>označevanja vira sofinanciranja iz 13. člena Uredbe 808/2014/EU in predpisa, ki ureja označevanje vira sofinanciranja iz PRP 2014–2020</w:t>
      </w:r>
      <w:r w:rsidRPr="001F5177">
        <w:rPr>
          <w:rFonts w:eastAsia="Calibri" w:cs="Arial"/>
          <w:szCs w:val="20"/>
          <w:lang w:eastAsia="sl-SI"/>
        </w:rPr>
        <w:t>;</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8. izjavo o zaključku naložbe;</w:t>
      </w:r>
    </w:p>
    <w:p w:rsidR="00382142" w:rsidRPr="001F5177" w:rsidRDefault="00382142" w:rsidP="00382142">
      <w:pPr>
        <w:tabs>
          <w:tab w:val="left" w:pos="0"/>
        </w:tabs>
        <w:contextualSpacing/>
        <w:jc w:val="both"/>
        <w:rPr>
          <w:rFonts w:eastAsia="Calibri" w:cs="Arial"/>
          <w:szCs w:val="20"/>
          <w:lang w:eastAsia="sl-SI"/>
        </w:rPr>
      </w:pPr>
      <w:r w:rsidRPr="001F5177">
        <w:rPr>
          <w:rFonts w:eastAsia="Calibri" w:cs="Arial"/>
          <w:szCs w:val="20"/>
          <w:lang w:eastAsia="sl-SI"/>
        </w:rPr>
        <w:t>9. zaključno poročilo o izvedbi naložbe, ki mora zajemati:</w:t>
      </w:r>
    </w:p>
    <w:p w:rsidR="00382142" w:rsidRPr="001F5177" w:rsidRDefault="00382142" w:rsidP="00382142">
      <w:pPr>
        <w:numPr>
          <w:ilvl w:val="0"/>
          <w:numId w:val="12"/>
        </w:numPr>
        <w:tabs>
          <w:tab w:val="left" w:pos="0"/>
        </w:tabs>
        <w:overflowPunct w:val="0"/>
        <w:autoSpaceDE w:val="0"/>
        <w:autoSpaceDN w:val="0"/>
        <w:adjustRightInd w:val="0"/>
        <w:spacing w:line="240" w:lineRule="auto"/>
        <w:ind w:left="0" w:firstLine="0"/>
        <w:contextualSpacing/>
        <w:jc w:val="both"/>
        <w:textAlignment w:val="baseline"/>
        <w:rPr>
          <w:rFonts w:eastAsia="Calibri" w:cs="Arial"/>
          <w:szCs w:val="20"/>
          <w:lang w:eastAsia="sl-SI"/>
        </w:rPr>
      </w:pPr>
      <w:r w:rsidRPr="001F5177">
        <w:rPr>
          <w:rFonts w:eastAsia="Calibri" w:cs="Arial"/>
          <w:szCs w:val="20"/>
          <w:lang w:eastAsia="sl-SI"/>
        </w:rPr>
        <w:t>vsebinsko poročilo o izvajanju in časovni opredelitvi izvajanja aktivnosti naložbe,</w:t>
      </w:r>
    </w:p>
    <w:p w:rsidR="00382142" w:rsidRPr="001F5177" w:rsidRDefault="00382142" w:rsidP="00382142">
      <w:pPr>
        <w:numPr>
          <w:ilvl w:val="0"/>
          <w:numId w:val="12"/>
        </w:numPr>
        <w:tabs>
          <w:tab w:val="left" w:pos="0"/>
        </w:tabs>
        <w:overflowPunct w:val="0"/>
        <w:autoSpaceDE w:val="0"/>
        <w:autoSpaceDN w:val="0"/>
        <w:adjustRightInd w:val="0"/>
        <w:spacing w:line="240" w:lineRule="auto"/>
        <w:ind w:left="0" w:firstLine="0"/>
        <w:contextualSpacing/>
        <w:jc w:val="both"/>
        <w:textAlignment w:val="baseline"/>
        <w:rPr>
          <w:rFonts w:eastAsia="Calibri" w:cs="Arial"/>
          <w:szCs w:val="20"/>
          <w:lang w:eastAsia="sl-SI"/>
        </w:rPr>
      </w:pPr>
      <w:r w:rsidRPr="001F5177">
        <w:rPr>
          <w:rFonts w:eastAsia="Calibri" w:cs="Arial"/>
          <w:szCs w:val="20"/>
          <w:lang w:eastAsia="sl-SI"/>
        </w:rPr>
        <w:t>podatke o naložbi, kot so bili podani v vlogi na javni razpis in dejansko realiziranem stanju,</w:t>
      </w:r>
    </w:p>
    <w:p w:rsidR="00382142" w:rsidRPr="001F5177" w:rsidRDefault="00382142" w:rsidP="00382142">
      <w:pPr>
        <w:numPr>
          <w:ilvl w:val="0"/>
          <w:numId w:val="12"/>
        </w:numPr>
        <w:tabs>
          <w:tab w:val="left" w:pos="0"/>
        </w:tabs>
        <w:overflowPunct w:val="0"/>
        <w:autoSpaceDE w:val="0"/>
        <w:autoSpaceDN w:val="0"/>
        <w:adjustRightInd w:val="0"/>
        <w:spacing w:line="240" w:lineRule="auto"/>
        <w:ind w:left="0" w:firstLine="0"/>
        <w:contextualSpacing/>
        <w:jc w:val="both"/>
        <w:textAlignment w:val="baseline"/>
        <w:rPr>
          <w:rFonts w:eastAsia="Calibri" w:cs="Arial"/>
          <w:szCs w:val="20"/>
          <w:lang w:eastAsia="sl-SI"/>
        </w:rPr>
      </w:pPr>
      <w:r w:rsidRPr="001F5177">
        <w:rPr>
          <w:rFonts w:eastAsia="Calibri" w:cs="Arial"/>
          <w:szCs w:val="20"/>
          <w:lang w:eastAsia="sl-SI"/>
        </w:rPr>
        <w:t>podatke o</w:t>
      </w:r>
      <w:r w:rsidRPr="001F5177">
        <w:rPr>
          <w:rFonts w:cs="Arial"/>
          <w:szCs w:val="20"/>
          <w:lang w:eastAsia="sl-SI"/>
        </w:rPr>
        <w:t xml:space="preserve"> številu </w:t>
      </w:r>
      <w:r w:rsidRPr="001F5177">
        <w:rPr>
          <w:rFonts w:eastAsia="Calibri" w:cs="Arial"/>
          <w:szCs w:val="20"/>
          <w:lang w:eastAsia="sl-SI"/>
        </w:rPr>
        <w:t>omogočenih gospodinjstev na novozgrajenih širokopasovnih omrežjih z najmanj 100 Mb/s,</w:t>
      </w:r>
    </w:p>
    <w:p w:rsidR="00382142" w:rsidRPr="001F5177" w:rsidRDefault="00382142" w:rsidP="00382142">
      <w:pPr>
        <w:numPr>
          <w:ilvl w:val="0"/>
          <w:numId w:val="12"/>
        </w:numPr>
        <w:tabs>
          <w:tab w:val="left" w:pos="0"/>
        </w:tabs>
        <w:overflowPunct w:val="0"/>
        <w:autoSpaceDE w:val="0"/>
        <w:autoSpaceDN w:val="0"/>
        <w:adjustRightInd w:val="0"/>
        <w:spacing w:line="240" w:lineRule="auto"/>
        <w:ind w:left="0" w:firstLine="0"/>
        <w:jc w:val="both"/>
        <w:textAlignment w:val="baseline"/>
        <w:rPr>
          <w:rFonts w:eastAsia="Calibri" w:cs="Arial"/>
          <w:szCs w:val="20"/>
          <w:lang w:eastAsia="sl-SI"/>
        </w:rPr>
      </w:pPr>
      <w:r w:rsidRPr="001F5177">
        <w:rPr>
          <w:rFonts w:eastAsia="Calibri" w:cs="Arial"/>
          <w:szCs w:val="20"/>
          <w:lang w:eastAsia="sl-SI"/>
        </w:rPr>
        <w:t>podatke o številu novo priključenih gospodinjstev na novozgrajenih širokopasovnih omrežjih z najmanj 100 Mb/s,</w:t>
      </w:r>
    </w:p>
    <w:p w:rsidR="00382142" w:rsidRPr="001F5177" w:rsidRDefault="00382142" w:rsidP="00382142">
      <w:pPr>
        <w:numPr>
          <w:ilvl w:val="0"/>
          <w:numId w:val="12"/>
        </w:numPr>
        <w:tabs>
          <w:tab w:val="left" w:pos="0"/>
        </w:tabs>
        <w:overflowPunct w:val="0"/>
        <w:autoSpaceDE w:val="0"/>
        <w:autoSpaceDN w:val="0"/>
        <w:adjustRightInd w:val="0"/>
        <w:spacing w:line="240" w:lineRule="auto"/>
        <w:ind w:left="0" w:firstLine="0"/>
        <w:contextualSpacing/>
        <w:jc w:val="both"/>
        <w:textAlignment w:val="baseline"/>
        <w:rPr>
          <w:rFonts w:eastAsia="Calibri" w:cs="Arial"/>
          <w:szCs w:val="20"/>
          <w:lang w:eastAsia="sl-SI"/>
        </w:rPr>
      </w:pPr>
      <w:r w:rsidRPr="001F5177">
        <w:rPr>
          <w:rFonts w:eastAsia="Calibri" w:cs="Arial"/>
          <w:szCs w:val="20"/>
          <w:lang w:eastAsia="sl-SI"/>
        </w:rPr>
        <w:t>zaključno poročilo nadzornika del iz drugega odstavka 9. člena te uredbe..</w:t>
      </w:r>
    </w:p>
    <w:p w:rsidR="00382142" w:rsidRPr="001F5177" w:rsidRDefault="00382142" w:rsidP="00382142">
      <w:pPr>
        <w:tabs>
          <w:tab w:val="left" w:pos="0"/>
          <w:tab w:val="left" w:pos="284"/>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tabs>
          <w:tab w:val="left" w:pos="0"/>
        </w:tabs>
        <w:overflowPunct w:val="0"/>
        <w:autoSpaceDE w:val="0"/>
        <w:autoSpaceDN w:val="0"/>
        <w:adjustRightInd w:val="0"/>
        <w:spacing w:before="380" w:after="60" w:line="200" w:lineRule="exact"/>
        <w:jc w:val="both"/>
        <w:textAlignment w:val="baseline"/>
        <w:rPr>
          <w:rFonts w:cs="Arial"/>
          <w:b/>
          <w:szCs w:val="20"/>
          <w:u w:val="single"/>
          <w:lang w:eastAsia="sl-SI"/>
        </w:rPr>
      </w:pPr>
    </w:p>
    <w:p w:rsidR="00382142" w:rsidRPr="001F5177" w:rsidRDefault="00382142" w:rsidP="00382142">
      <w:pPr>
        <w:pBdr>
          <w:top w:val="single" w:sz="4" w:space="1" w:color="auto"/>
          <w:bottom w:val="single" w:sz="4" w:space="1" w:color="auto"/>
        </w:pBdr>
        <w:shd w:val="clear" w:color="auto" w:fill="D9D9D9"/>
        <w:tabs>
          <w:tab w:val="left" w:pos="0"/>
        </w:tabs>
        <w:overflowPunct w:val="0"/>
        <w:autoSpaceDE w:val="0"/>
        <w:autoSpaceDN w:val="0"/>
        <w:adjustRightInd w:val="0"/>
        <w:spacing w:line="240" w:lineRule="auto"/>
        <w:jc w:val="both"/>
        <w:textAlignment w:val="baseline"/>
        <w:rPr>
          <w:rFonts w:cs="Arial"/>
          <w:b/>
          <w:szCs w:val="20"/>
          <w:lang w:eastAsia="sl-SI"/>
        </w:rPr>
      </w:pPr>
      <w:r w:rsidRPr="001F5177">
        <w:rPr>
          <w:rFonts w:cs="Arial"/>
          <w:b/>
          <w:szCs w:val="20"/>
          <w:lang w:eastAsia="sl-SI"/>
        </w:rPr>
        <w:t>PRILOGA 3: Katalog kršitev in sankcij</w:t>
      </w:r>
    </w:p>
    <w:p w:rsidR="00382142"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numPr>
          <w:ilvl w:val="0"/>
          <w:numId w:val="1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Če gre za projektno partnerstvo iz druge alineje prvega odstavka 7. člena te uredbe, se v primeru sankcije izključitve iz prejemanja podpore izključijo vsi člani tega projektnega partnerstva.</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numPr>
          <w:ilvl w:val="0"/>
          <w:numId w:val="1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Upravičenec, ki ne hrani dokumentacije (prva alineja drugega odstavka 15. člena te uredbe), mora v proračun Republike Slovenije vrniti deset odstotkov izplačanih sredstev.</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numPr>
          <w:ilvl w:val="0"/>
          <w:numId w:val="1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Upravičenec, ki iz neutemeljenega razloga ne omogoči kontrole na kraju samem oziroma ne omogoči dostopa do dokumentacije o naložbi (druga alineja drugega odstavka 15. člena te uredbe), mora v proračun Republike Slovenije vrniti vsa izplačana sredstva.</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Default="00382142" w:rsidP="00382142">
      <w:pPr>
        <w:numPr>
          <w:ilvl w:val="0"/>
          <w:numId w:val="1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Upravičenec, ki ne vodi ločeno računovodstva oziroma ločeno knjigovodskih evidenc in ne prikazuje neto prihodkov naložbe (četrta alineja drugega odstavka 15. člena te uredbe), mora v proračun Republike Slovenije vrniti deset odstotkov izplačanih sredstev.</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numPr>
          <w:ilvl w:val="0"/>
          <w:numId w:val="1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Če upravičenec ne označi naložbe ali označenosti ne zagotavlja v obdobju trajanja obveznosti v skladu s tretjim odstavkom 15. člena te uredbe, se določijo naslednje sankcije:</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po prvi ugotovljeni kršitvi dobi upravičenec opozorilo,</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po drugi ugotovljeni kršitvi mora upravičenec v proračun Republike Slovenije vrniti 20 odstotkov izplačanih sredstev,</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po tretji ugotovljeni kršitvi mora upravičenec v proračun Republike Slovenije vrniti 50</w:t>
      </w:r>
      <w:r w:rsidRPr="001F5177">
        <w:rPr>
          <w:rFonts w:cs="Arial"/>
          <w:szCs w:val="20"/>
          <w:lang w:eastAsia="sl-SI"/>
        </w:rPr>
        <w:br/>
        <w:t>odstotkov izplačanih sredstev,</w:t>
      </w:r>
    </w:p>
    <w:p w:rsidR="00382142"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r w:rsidRPr="001F5177">
        <w:rPr>
          <w:rFonts w:cs="Arial"/>
          <w:szCs w:val="20"/>
          <w:lang w:eastAsia="sl-SI"/>
        </w:rPr>
        <w:t>- po četrti ugotovljeni kršitvi mora upravičenec v proračun Republike Slovenije vrniti vsa izplačana sredstva.</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numPr>
          <w:ilvl w:val="0"/>
          <w:numId w:val="14"/>
        </w:numPr>
        <w:tabs>
          <w:tab w:val="left" w:pos="0"/>
        </w:tabs>
        <w:overflowPunct w:val="0"/>
        <w:autoSpaceDE w:val="0"/>
        <w:autoSpaceDN w:val="0"/>
        <w:adjustRightInd w:val="0"/>
        <w:spacing w:line="240" w:lineRule="auto"/>
        <w:ind w:left="0" w:firstLine="0"/>
        <w:jc w:val="both"/>
        <w:textAlignment w:val="baseline"/>
        <w:rPr>
          <w:rFonts w:cs="Arial"/>
          <w:szCs w:val="20"/>
          <w:lang w:eastAsia="sl-SI"/>
        </w:rPr>
      </w:pPr>
      <w:r w:rsidRPr="001F5177">
        <w:rPr>
          <w:rFonts w:cs="Arial"/>
          <w:szCs w:val="20"/>
          <w:lang w:eastAsia="sl-SI"/>
        </w:rPr>
        <w:t xml:space="preserve">Upravičenec, ki uvede bistvene spremembe, določene v 71. členu Uredbe 1303/2013/EU oziroma ne ohranja trajnosti naložbe iz četrtega odstavka 15. člena te uredbe ali premesti podprto naložbo iz Evropske unije, mora vsa prejeta sredstva vrniti v proračun Republike Slovenije. Upravičenca se izključi iz prejemanja podpore v okviru istega ukrepa ali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za koledarsko leto ugotovitve kršitve in naslednje koledarsko leto. Če gre za projektno partnerstvo iz druge alineje prvega odstavka 7. člena te uredbe, se iz prejemanja podpore v okviru </w:t>
      </w:r>
      <w:proofErr w:type="spellStart"/>
      <w:r w:rsidRPr="001F5177">
        <w:rPr>
          <w:rFonts w:cs="Arial"/>
          <w:szCs w:val="20"/>
          <w:lang w:eastAsia="sl-SI"/>
        </w:rPr>
        <w:t>podukrepa</w:t>
      </w:r>
      <w:proofErr w:type="spellEnd"/>
      <w:r w:rsidRPr="001F5177">
        <w:rPr>
          <w:rFonts w:cs="Arial"/>
          <w:szCs w:val="20"/>
          <w:lang w:eastAsia="sl-SI"/>
        </w:rPr>
        <w:t xml:space="preserve"> Podpora za širokopasovno infrastrukturo za koledarsko leto neizpolnitve obveznosti in naslednje koledarsko leto izključi vse člane tega projektnega partnerstva. </w:t>
      </w:r>
    </w:p>
    <w:p w:rsidR="00382142" w:rsidRPr="001F5177" w:rsidRDefault="00382142" w:rsidP="00382142">
      <w:pPr>
        <w:tabs>
          <w:tab w:val="left" w:pos="0"/>
        </w:tabs>
        <w:overflowPunct w:val="0"/>
        <w:autoSpaceDE w:val="0"/>
        <w:autoSpaceDN w:val="0"/>
        <w:adjustRightInd w:val="0"/>
        <w:spacing w:line="240" w:lineRule="auto"/>
        <w:jc w:val="both"/>
        <w:textAlignment w:val="baseline"/>
        <w:rPr>
          <w:rFonts w:cs="Arial"/>
          <w:szCs w:val="20"/>
          <w:lang w:eastAsia="sl-SI"/>
        </w:rPr>
      </w:pPr>
    </w:p>
    <w:p w:rsidR="00382142" w:rsidRPr="001F5177" w:rsidRDefault="00382142" w:rsidP="00382142">
      <w:pPr>
        <w:overflowPunct w:val="0"/>
        <w:autoSpaceDE w:val="0"/>
        <w:autoSpaceDN w:val="0"/>
        <w:adjustRightInd w:val="0"/>
        <w:spacing w:line="240" w:lineRule="auto"/>
        <w:ind w:left="5670"/>
        <w:jc w:val="center"/>
        <w:textAlignment w:val="baseline"/>
        <w:rPr>
          <w:rFonts w:cs="Arial"/>
          <w:szCs w:val="20"/>
          <w:lang w:eastAsia="sl-SI"/>
        </w:rPr>
      </w:pPr>
    </w:p>
    <w:p w:rsidR="000C3132" w:rsidRDefault="003F09CB"/>
    <w:sectPr w:rsidR="000C31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8434E"/>
    <w:multiLevelType w:val="multilevel"/>
    <w:tmpl w:val="AF68BA8E"/>
    <w:lvl w:ilvl="0">
      <w:numFmt w:val="bullet"/>
      <w:lvlText w:val="-"/>
      <w:lvlJc w:val="left"/>
      <w:pPr>
        <w:tabs>
          <w:tab w:val="num" w:pos="425"/>
        </w:tabs>
        <w:ind w:left="425" w:hanging="425"/>
      </w:pPr>
      <w:rPr>
        <w:rFonts w:ascii="Arial" w:eastAsia="Times New Roman"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059C6FA7"/>
    <w:multiLevelType w:val="hybridMultilevel"/>
    <w:tmpl w:val="72D4BF06"/>
    <w:lvl w:ilvl="0" w:tplc="FF726A24">
      <w:start w:val="2"/>
      <w:numFmt w:val="bullet"/>
      <w:lvlText w:val="-"/>
      <w:lvlJc w:val="left"/>
      <w:pPr>
        <w:ind w:left="644" w:hanging="360"/>
      </w:pPr>
      <w:rPr>
        <w:rFonts w:ascii="Times New Roman" w:eastAsia="Times New Roman" w:hAnsi="Times New Roman" w:cs="Times New Roman"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
    <w:nsid w:val="05E42854"/>
    <w:multiLevelType w:val="hybridMultilevel"/>
    <w:tmpl w:val="1820D55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nsid w:val="17513924"/>
    <w:multiLevelType w:val="hybridMultilevel"/>
    <w:tmpl w:val="4D08C1F2"/>
    <w:lvl w:ilvl="0" w:tplc="DE6084F4">
      <w:start w:val="1"/>
      <w:numFmt w:val="decimal"/>
      <w:lvlText w:val="(%1)"/>
      <w:lvlJc w:val="left"/>
      <w:pPr>
        <w:ind w:left="517"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8C505F1"/>
    <w:multiLevelType w:val="hybridMultilevel"/>
    <w:tmpl w:val="997A6B6E"/>
    <w:lvl w:ilvl="0" w:tplc="2E18ADE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nsid w:val="293816A5"/>
    <w:multiLevelType w:val="hybridMultilevel"/>
    <w:tmpl w:val="3766BC4C"/>
    <w:lvl w:ilvl="0" w:tplc="E36A0496">
      <w:start w:val="1"/>
      <w:numFmt w:val="decimal"/>
      <w:suff w:val="space"/>
      <w:lvlText w:val="%1."/>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9FF6638"/>
    <w:multiLevelType w:val="hybridMultilevel"/>
    <w:tmpl w:val="648CB82C"/>
    <w:lvl w:ilvl="0" w:tplc="FF726A24">
      <w:start w:val="2"/>
      <w:numFmt w:val="bullet"/>
      <w:lvlText w:val="-"/>
      <w:lvlJc w:val="left"/>
      <w:pPr>
        <w:ind w:left="1440" w:hanging="360"/>
      </w:pPr>
      <w:rPr>
        <w:rFonts w:ascii="Times New Roman" w:eastAsia="Times New Roman" w:hAnsi="Times New Roman" w:cs="Times New Roman"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7">
    <w:nsid w:val="2DA37274"/>
    <w:multiLevelType w:val="hybridMultilevel"/>
    <w:tmpl w:val="2EA254F4"/>
    <w:lvl w:ilvl="0" w:tplc="FF726A24">
      <w:start w:val="2"/>
      <w:numFmt w:val="bullet"/>
      <w:lvlText w:val="-"/>
      <w:lvlJc w:val="left"/>
      <w:pPr>
        <w:ind w:left="2476" w:hanging="1455"/>
      </w:pPr>
      <w:rPr>
        <w:rFonts w:ascii="Times New Roman" w:eastAsia="Times New Roman" w:hAnsi="Times New Roman" w:cs="Times New Roman" w:hint="default"/>
      </w:r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8">
    <w:nsid w:val="2FB43CA6"/>
    <w:multiLevelType w:val="hybridMultilevel"/>
    <w:tmpl w:val="5CCA4CB8"/>
    <w:lvl w:ilvl="0" w:tplc="12860AD0">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FD41F6C"/>
    <w:multiLevelType w:val="hybridMultilevel"/>
    <w:tmpl w:val="9AD447D4"/>
    <w:lvl w:ilvl="0" w:tplc="2F06808A">
      <w:start w:val="1"/>
      <w:numFmt w:val="decimal"/>
      <w:lvlText w:val="(%1)"/>
      <w:lvlJc w:val="left"/>
      <w:pPr>
        <w:ind w:left="2476" w:hanging="1455"/>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0">
    <w:nsid w:val="3EBB531E"/>
    <w:multiLevelType w:val="hybridMultilevel"/>
    <w:tmpl w:val="D1C4ED66"/>
    <w:lvl w:ilvl="0" w:tplc="52EECE56">
      <w:start w:val="1"/>
      <w:numFmt w:val="decimal"/>
      <w:lvlText w:val="(%1)"/>
      <w:lvlJc w:val="left"/>
      <w:pPr>
        <w:ind w:left="1496" w:hanging="360"/>
      </w:pPr>
      <w:rPr>
        <w:rFonts w:hint="default"/>
      </w:rPr>
    </w:lvl>
    <w:lvl w:ilvl="1" w:tplc="04240019">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1">
    <w:nsid w:val="4D283023"/>
    <w:multiLevelType w:val="multilevel"/>
    <w:tmpl w:val="E7624B22"/>
    <w:lvl w:ilvl="0">
      <w:numFmt w:val="bullet"/>
      <w:lvlText w:val="-"/>
      <w:lvlJc w:val="left"/>
      <w:pPr>
        <w:tabs>
          <w:tab w:val="num" w:pos="425"/>
        </w:tabs>
        <w:ind w:left="425" w:hanging="425"/>
      </w:pPr>
      <w:rPr>
        <w:rFonts w:ascii="Arial" w:eastAsia="Times New Roman"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4EAE2167"/>
    <w:multiLevelType w:val="multilevel"/>
    <w:tmpl w:val="9482AFCA"/>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AE5418F"/>
    <w:multiLevelType w:val="hybridMultilevel"/>
    <w:tmpl w:val="80082E60"/>
    <w:lvl w:ilvl="0" w:tplc="0424000F">
      <w:start w:val="1"/>
      <w:numFmt w:val="decimal"/>
      <w:lvlText w:val="%1."/>
      <w:lvlJc w:val="left"/>
      <w:pPr>
        <w:ind w:left="360" w:hanging="360"/>
      </w:pPr>
    </w:lvl>
    <w:lvl w:ilvl="1" w:tplc="52EECE56">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7B605EC0"/>
    <w:multiLevelType w:val="hybridMultilevel"/>
    <w:tmpl w:val="80E44682"/>
    <w:lvl w:ilvl="0" w:tplc="FF726A24">
      <w:start w:val="2"/>
      <w:numFmt w:val="bullet"/>
      <w:lvlText w:val="-"/>
      <w:lvlJc w:val="left"/>
      <w:pPr>
        <w:ind w:left="1293" w:hanging="360"/>
      </w:pPr>
      <w:rPr>
        <w:rFonts w:ascii="Times New Roman" w:eastAsia="Times New Roman" w:hAnsi="Times New Roman" w:cs="Times New Roman" w:hint="default"/>
      </w:rPr>
    </w:lvl>
    <w:lvl w:ilvl="1" w:tplc="04240003" w:tentative="1">
      <w:start w:val="1"/>
      <w:numFmt w:val="bullet"/>
      <w:lvlText w:val="o"/>
      <w:lvlJc w:val="left"/>
      <w:pPr>
        <w:ind w:left="2013" w:hanging="360"/>
      </w:pPr>
      <w:rPr>
        <w:rFonts w:ascii="Courier New" w:hAnsi="Courier New" w:cs="Courier New" w:hint="default"/>
      </w:rPr>
    </w:lvl>
    <w:lvl w:ilvl="2" w:tplc="04240005" w:tentative="1">
      <w:start w:val="1"/>
      <w:numFmt w:val="bullet"/>
      <w:lvlText w:val=""/>
      <w:lvlJc w:val="left"/>
      <w:pPr>
        <w:ind w:left="2733" w:hanging="360"/>
      </w:pPr>
      <w:rPr>
        <w:rFonts w:ascii="Wingdings" w:hAnsi="Wingdings" w:hint="default"/>
      </w:rPr>
    </w:lvl>
    <w:lvl w:ilvl="3" w:tplc="04240001" w:tentative="1">
      <w:start w:val="1"/>
      <w:numFmt w:val="bullet"/>
      <w:lvlText w:val=""/>
      <w:lvlJc w:val="left"/>
      <w:pPr>
        <w:ind w:left="3453" w:hanging="360"/>
      </w:pPr>
      <w:rPr>
        <w:rFonts w:ascii="Symbol" w:hAnsi="Symbol" w:hint="default"/>
      </w:rPr>
    </w:lvl>
    <w:lvl w:ilvl="4" w:tplc="04240003" w:tentative="1">
      <w:start w:val="1"/>
      <w:numFmt w:val="bullet"/>
      <w:lvlText w:val="o"/>
      <w:lvlJc w:val="left"/>
      <w:pPr>
        <w:ind w:left="4173" w:hanging="360"/>
      </w:pPr>
      <w:rPr>
        <w:rFonts w:ascii="Courier New" w:hAnsi="Courier New" w:cs="Courier New" w:hint="default"/>
      </w:rPr>
    </w:lvl>
    <w:lvl w:ilvl="5" w:tplc="04240005" w:tentative="1">
      <w:start w:val="1"/>
      <w:numFmt w:val="bullet"/>
      <w:lvlText w:val=""/>
      <w:lvlJc w:val="left"/>
      <w:pPr>
        <w:ind w:left="4893" w:hanging="360"/>
      </w:pPr>
      <w:rPr>
        <w:rFonts w:ascii="Wingdings" w:hAnsi="Wingdings" w:hint="default"/>
      </w:rPr>
    </w:lvl>
    <w:lvl w:ilvl="6" w:tplc="04240001" w:tentative="1">
      <w:start w:val="1"/>
      <w:numFmt w:val="bullet"/>
      <w:lvlText w:val=""/>
      <w:lvlJc w:val="left"/>
      <w:pPr>
        <w:ind w:left="5613" w:hanging="360"/>
      </w:pPr>
      <w:rPr>
        <w:rFonts w:ascii="Symbol" w:hAnsi="Symbol" w:hint="default"/>
      </w:rPr>
    </w:lvl>
    <w:lvl w:ilvl="7" w:tplc="04240003" w:tentative="1">
      <w:start w:val="1"/>
      <w:numFmt w:val="bullet"/>
      <w:lvlText w:val="o"/>
      <w:lvlJc w:val="left"/>
      <w:pPr>
        <w:ind w:left="6333" w:hanging="360"/>
      </w:pPr>
      <w:rPr>
        <w:rFonts w:ascii="Courier New" w:hAnsi="Courier New" w:cs="Courier New" w:hint="default"/>
      </w:rPr>
    </w:lvl>
    <w:lvl w:ilvl="8" w:tplc="04240005" w:tentative="1">
      <w:start w:val="1"/>
      <w:numFmt w:val="bullet"/>
      <w:lvlText w:val=""/>
      <w:lvlJc w:val="left"/>
      <w:pPr>
        <w:ind w:left="7053" w:hanging="360"/>
      </w:pPr>
      <w:rPr>
        <w:rFonts w:ascii="Wingdings" w:hAnsi="Wingdings" w:hint="default"/>
      </w:rPr>
    </w:lvl>
  </w:abstractNum>
  <w:num w:numId="1">
    <w:abstractNumId w:val="12"/>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3"/>
  </w:num>
  <w:num w:numId="5">
    <w:abstractNumId w:val="11"/>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lvlOverride w:ilvl="1"/>
    <w:lvlOverride w:ilvl="2"/>
    <w:lvlOverride w:ilvl="3"/>
    <w:lvlOverride w:ilvl="4"/>
    <w:lvlOverride w:ilvl="5"/>
    <w:lvlOverride w:ilvl="6"/>
    <w:lvlOverride w:ilvl="7"/>
    <w:lvlOverride w:ilvl="8"/>
  </w:num>
  <w:num w:numId="8">
    <w:abstractNumId w:val="1"/>
  </w:num>
  <w:num w:numId="9">
    <w:abstractNumId w:val="7"/>
  </w:num>
  <w:num w:numId="10">
    <w:abstractNumId w:val="14"/>
  </w:num>
  <w:num w:numId="11">
    <w:abstractNumId w:val="5"/>
  </w:num>
  <w:num w:numId="12">
    <w:abstractNumId w:val="8"/>
  </w:num>
  <w:num w:numId="13">
    <w:abstractNumId w:val="10"/>
  </w:num>
  <w:num w:numId="14">
    <w:abstractNumId w:val="3"/>
  </w:num>
  <w:num w:numId="15">
    <w:abstractNumId w:val="4"/>
  </w:num>
  <w:num w:numId="16">
    <w:abstractNumId w:val="2"/>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2142"/>
    <w:rsid w:val="00382142"/>
    <w:rsid w:val="003F09CB"/>
    <w:rsid w:val="0054667D"/>
    <w:rsid w:val="00D201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82142"/>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382142"/>
    <w:pPr>
      <w:widowControl w:val="0"/>
      <w:numPr>
        <w:ilvl w:val="2"/>
        <w:numId w:val="1"/>
      </w:numPr>
      <w:spacing w:line="240" w:lineRule="auto"/>
      <w:jc w:val="both"/>
    </w:pPr>
    <w:rPr>
      <w:sz w:val="22"/>
      <w:szCs w:val="16"/>
      <w:lang w:eastAsia="sl-SI"/>
    </w:rPr>
  </w:style>
  <w:style w:type="paragraph" w:customStyle="1" w:styleId="tevilnatoka">
    <w:name w:val="Številčna točka"/>
    <w:basedOn w:val="Navaden"/>
    <w:link w:val="tevilnatokaZnak"/>
    <w:qFormat/>
    <w:rsid w:val="00382142"/>
    <w:pPr>
      <w:numPr>
        <w:numId w:val="1"/>
      </w:numPr>
      <w:spacing w:line="240" w:lineRule="auto"/>
      <w:jc w:val="both"/>
    </w:pPr>
    <w:rPr>
      <w:sz w:val="22"/>
      <w:szCs w:val="22"/>
      <w:lang w:eastAsia="sl-SI"/>
    </w:rPr>
  </w:style>
  <w:style w:type="character" w:customStyle="1" w:styleId="tevilnatokaZnak">
    <w:name w:val="Številčna točka Znak"/>
    <w:link w:val="tevilnatoka"/>
    <w:rsid w:val="00382142"/>
    <w:rPr>
      <w:rFonts w:ascii="Arial" w:eastAsia="Times New Roman" w:hAnsi="Arial" w:cs="Times New Roman"/>
      <w:lang w:eastAsia="sl-SI"/>
    </w:rPr>
  </w:style>
  <w:style w:type="paragraph" w:customStyle="1" w:styleId="tevilnatoka11Nova">
    <w:name w:val="Številčna točka 1.1 Nova"/>
    <w:basedOn w:val="tevilnatoka"/>
    <w:qFormat/>
    <w:rsid w:val="00382142"/>
    <w:pPr>
      <w:numPr>
        <w:ilvl w:val="1"/>
      </w:numPr>
      <w:tabs>
        <w:tab w:val="clear" w:pos="425"/>
        <w:tab w:val="num" w:pos="360"/>
        <w:tab w:val="num" w:pos="1440"/>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82142"/>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382142"/>
    <w:pPr>
      <w:widowControl w:val="0"/>
      <w:numPr>
        <w:ilvl w:val="2"/>
        <w:numId w:val="1"/>
      </w:numPr>
      <w:spacing w:line="240" w:lineRule="auto"/>
      <w:jc w:val="both"/>
    </w:pPr>
    <w:rPr>
      <w:sz w:val="22"/>
      <w:szCs w:val="16"/>
      <w:lang w:eastAsia="sl-SI"/>
    </w:rPr>
  </w:style>
  <w:style w:type="paragraph" w:customStyle="1" w:styleId="tevilnatoka">
    <w:name w:val="Številčna točka"/>
    <w:basedOn w:val="Navaden"/>
    <w:link w:val="tevilnatokaZnak"/>
    <w:qFormat/>
    <w:rsid w:val="00382142"/>
    <w:pPr>
      <w:numPr>
        <w:numId w:val="1"/>
      </w:numPr>
      <w:spacing w:line="240" w:lineRule="auto"/>
      <w:jc w:val="both"/>
    </w:pPr>
    <w:rPr>
      <w:sz w:val="22"/>
      <w:szCs w:val="22"/>
      <w:lang w:eastAsia="sl-SI"/>
    </w:rPr>
  </w:style>
  <w:style w:type="character" w:customStyle="1" w:styleId="tevilnatokaZnak">
    <w:name w:val="Številčna točka Znak"/>
    <w:link w:val="tevilnatoka"/>
    <w:rsid w:val="00382142"/>
    <w:rPr>
      <w:rFonts w:ascii="Arial" w:eastAsia="Times New Roman" w:hAnsi="Arial" w:cs="Times New Roman"/>
      <w:lang w:eastAsia="sl-SI"/>
    </w:rPr>
  </w:style>
  <w:style w:type="paragraph" w:customStyle="1" w:styleId="tevilnatoka11Nova">
    <w:name w:val="Številčna točka 1.1 Nova"/>
    <w:basedOn w:val="tevilnatoka"/>
    <w:qFormat/>
    <w:rsid w:val="00382142"/>
    <w:pPr>
      <w:numPr>
        <w:ilvl w:val="1"/>
      </w:numPr>
      <w:tabs>
        <w:tab w:val="clear" w:pos="425"/>
        <w:tab w:val="num" w:pos="360"/>
        <w:tab w:val="num" w:pos="144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6654</Words>
  <Characters>37931</Characters>
  <Application>Microsoft Office Word</Application>
  <DocSecurity>0</DocSecurity>
  <Lines>316</Lines>
  <Paragraphs>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Ksenja Podpecan</dc:creator>
  <cp:lastModifiedBy>Ksenja Podpecan</cp:lastModifiedBy>
  <cp:revision>2</cp:revision>
  <dcterms:created xsi:type="dcterms:W3CDTF">2019-05-17T12:04:00Z</dcterms:created>
  <dcterms:modified xsi:type="dcterms:W3CDTF">2019-05-17T12:04:00Z</dcterms:modified>
</cp:coreProperties>
</file>