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Na podlagi 5. člena Zakona o tehničnih zahtevah za proizvode in o ugotavljanju skladnosti (Uradni list RS, št. 17/11)  izdaja minis</w:t>
      </w:r>
      <w:r w:rsidR="00206394">
        <w:rPr>
          <w:rFonts w:ascii="Arial" w:eastAsia="Arial" w:hAnsi="Arial" w:cs="Arial"/>
          <w:sz w:val="20"/>
          <w:szCs w:val="20"/>
        </w:rPr>
        <w:t>ter</w:t>
      </w:r>
      <w:r w:rsidRPr="00B433D4">
        <w:rPr>
          <w:rFonts w:ascii="Arial" w:eastAsia="Arial" w:hAnsi="Arial" w:cs="Arial"/>
          <w:sz w:val="20"/>
          <w:szCs w:val="20"/>
        </w:rPr>
        <w:t xml:space="preserve"> za zdravje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B433D4">
        <w:rPr>
          <w:rFonts w:ascii="Arial" w:eastAsia="Arial" w:hAnsi="Arial" w:cs="Arial"/>
          <w:b/>
          <w:sz w:val="20"/>
          <w:szCs w:val="20"/>
        </w:rPr>
        <w:br/>
        <w:t xml:space="preserve">o </w:t>
      </w:r>
      <w:r w:rsidR="008511B7">
        <w:rPr>
          <w:rFonts w:ascii="Arial" w:eastAsia="Arial" w:hAnsi="Arial" w:cs="Arial"/>
          <w:b/>
          <w:sz w:val="20"/>
          <w:szCs w:val="20"/>
        </w:rPr>
        <w:t>dopolnitvah</w:t>
      </w:r>
      <w:r w:rsidRPr="00B433D4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>člen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V Pravilniku o omejevanju uporabe določenih nevarnih snovi v električni in elektronski opremi (Uradni list RS, št. </w:t>
      </w:r>
      <w:r w:rsidR="001C089B" w:rsidRPr="001C089B">
        <w:rPr>
          <w:rFonts w:ascii="Arial" w:eastAsia="Arial" w:hAnsi="Arial" w:cs="Arial"/>
          <w:sz w:val="20"/>
          <w:szCs w:val="20"/>
        </w:rPr>
        <w:t>102/12, 20/14, 57/14, 53/15 in 60/16)</w:t>
      </w:r>
      <w:r w:rsidRPr="00B433D4">
        <w:rPr>
          <w:rFonts w:ascii="Arial" w:eastAsia="Arial" w:hAnsi="Arial" w:cs="Arial"/>
          <w:sz w:val="20"/>
          <w:szCs w:val="20"/>
        </w:rPr>
        <w:t xml:space="preserve"> se 1. člen spremeni tako, da se glasi:</w:t>
      </w:r>
    </w:p>
    <w:p w:rsidR="001C089B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»</w:t>
      </w:r>
      <w:r w:rsidR="001C089B">
        <w:rPr>
          <w:rFonts w:ascii="Arial" w:eastAsia="Arial" w:hAnsi="Arial" w:cs="Arial"/>
          <w:sz w:val="20"/>
          <w:szCs w:val="20"/>
        </w:rPr>
        <w:t>1. člen</w:t>
      </w: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21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</w:t>
      </w:r>
      <w:r w:rsidRPr="001E675A">
        <w:rPr>
          <w:rFonts w:ascii="Arial" w:eastAsia="Arial" w:hAnsi="Arial" w:cs="Arial"/>
          <w:sz w:val="20"/>
          <w:szCs w:val="20"/>
        </w:rPr>
        <w:t>spremenjeno</w:t>
      </w:r>
      <w:r w:rsidRPr="00B433D4">
        <w:rPr>
          <w:rFonts w:ascii="Arial" w:eastAsia="Arial" w:hAnsi="Arial" w:cs="Arial"/>
          <w:sz w:val="20"/>
          <w:szCs w:val="20"/>
        </w:rPr>
        <w:t xml:space="preserve"> z: </w:t>
      </w:r>
    </w:p>
    <w:p w:rsidR="00DD27B8" w:rsidRPr="00E102FF" w:rsidRDefault="00DE13A1" w:rsidP="0015168C">
      <w:pPr>
        <w:pBdr>
          <w:top w:val="nil"/>
          <w:left w:val="nil"/>
          <w:bottom w:val="nil"/>
          <w:right w:val="nil"/>
          <w:between w:val="nil"/>
        </w:pBdr>
        <w:spacing w:after="210"/>
        <w:ind w:left="720"/>
        <w:rPr>
          <w:rFonts w:ascii="Arial" w:eastAsia="Rambla" w:hAnsi="Arial" w:cs="Arial"/>
          <w:sz w:val="20"/>
          <w:szCs w:val="20"/>
          <w:highlight w:val="white"/>
        </w:rPr>
      </w:pPr>
      <w:r>
        <w:rPr>
          <w:rFonts w:ascii="Arial" w:eastAsia="Rambla" w:hAnsi="Arial" w:cs="Arial"/>
          <w:sz w:val="20"/>
          <w:szCs w:val="20"/>
          <w:highlight w:val="white"/>
        </w:rPr>
        <w:t xml:space="preserve">– </w:t>
      </w:r>
      <w:r w:rsidR="0015168C" w:rsidRPr="00B433D4">
        <w:rPr>
          <w:rFonts w:ascii="Arial" w:eastAsia="Rambla" w:hAnsi="Arial" w:cs="Arial"/>
          <w:sz w:val="20"/>
          <w:szCs w:val="20"/>
          <w:highlight w:val="white"/>
        </w:rPr>
        <w:t xml:space="preserve">Delegirano direktivo Komisije </w:t>
      </w:r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(EU) 2018/736 z dne 27. februarja 2018 o spremembi Priloge III k Direktivi 2011/65/EU Evropskega parlamenta in Sveta glede izjeme za določene električne in elektronske sestavne dele, ki vsebujejo svinec, v steklu ali keramiki zaradi prilagoditve znanstvenemu in tehničnemu napredku (</w:t>
      </w:r>
      <w:r w:rsidR="0015168C" w:rsidRPr="00E102FF">
        <w:rPr>
          <w:rFonts w:ascii="Arial" w:eastAsia="Rambla" w:hAnsi="Arial" w:cs="Arial"/>
          <w:i/>
          <w:iCs/>
          <w:sz w:val="20"/>
          <w:szCs w:val="20"/>
          <w:highlight w:val="white"/>
        </w:rPr>
        <w:t>UL L št. 123 z dne 18.5.2018,  str. 94</w:t>
      </w:r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)</w:t>
      </w:r>
      <w:r w:rsidR="00C30FCE" w:rsidRPr="00E102FF">
        <w:rPr>
          <w:rFonts w:ascii="Arial" w:eastAsia="Rambla" w:hAnsi="Arial" w:cs="Arial"/>
          <w:sz w:val="20"/>
          <w:szCs w:val="20"/>
          <w:highlight w:val="white"/>
        </w:rPr>
        <w:t xml:space="preserve">, </w:t>
      </w:r>
    </w:p>
    <w:p w:rsidR="00DD27B8" w:rsidRPr="00E102FF" w:rsidRDefault="00DE13A1" w:rsidP="00E102FF">
      <w:pPr>
        <w:pBdr>
          <w:top w:val="nil"/>
          <w:left w:val="nil"/>
          <w:bottom w:val="nil"/>
          <w:right w:val="nil"/>
          <w:between w:val="nil"/>
        </w:pBdr>
        <w:spacing w:after="210"/>
        <w:ind w:left="720"/>
        <w:rPr>
          <w:rFonts w:ascii="Arial" w:eastAsia="Rambla" w:hAnsi="Arial" w:cs="Arial"/>
          <w:sz w:val="20"/>
          <w:szCs w:val="20"/>
          <w:highlight w:val="white"/>
        </w:rPr>
      </w:pPr>
      <w:r>
        <w:rPr>
          <w:rFonts w:ascii="Arial" w:eastAsia="Rambla" w:hAnsi="Arial" w:cs="Arial"/>
          <w:sz w:val="20"/>
          <w:szCs w:val="20"/>
          <w:highlight w:val="white"/>
        </w:rPr>
        <w:t xml:space="preserve">– </w:t>
      </w:r>
      <w:r w:rsidR="00C30FCE" w:rsidRPr="00B433D4">
        <w:rPr>
          <w:rFonts w:ascii="Arial" w:eastAsia="Rambla" w:hAnsi="Arial" w:cs="Arial"/>
          <w:sz w:val="20"/>
          <w:szCs w:val="20"/>
          <w:highlight w:val="white"/>
        </w:rPr>
        <w:t>Delegiran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="00C30FCE" w:rsidRPr="00B433D4">
        <w:rPr>
          <w:rFonts w:ascii="Arial" w:eastAsia="Rambla" w:hAnsi="Arial" w:cs="Arial"/>
          <w:sz w:val="20"/>
          <w:szCs w:val="20"/>
          <w:highlight w:val="white"/>
        </w:rPr>
        <w:t xml:space="preserve"> direktiv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="00C30FCE" w:rsidRPr="00B433D4">
        <w:rPr>
          <w:rFonts w:ascii="Arial" w:eastAsia="Rambla" w:hAnsi="Arial" w:cs="Arial"/>
          <w:sz w:val="20"/>
          <w:szCs w:val="20"/>
          <w:highlight w:val="white"/>
        </w:rPr>
        <w:t xml:space="preserve"> Komisije (EU) </w:t>
      </w:r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 xml:space="preserve">2018/737 z dne 27. februarja 2018 o spremembi Priloge III k Direktivi 2011/65/EU Evropskega parlamenta in Sveta glede izjeme za svinec v spajkah za spajkanje </w:t>
      </w:r>
      <w:proofErr w:type="spellStart"/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metaliziranih</w:t>
      </w:r>
      <w:proofErr w:type="spellEnd"/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 xml:space="preserve"> lukenj </w:t>
      </w:r>
      <w:proofErr w:type="spellStart"/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diskoidalnih</w:t>
      </w:r>
      <w:proofErr w:type="spellEnd"/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 xml:space="preserve"> in strojno luknjanih ploščatih večplastnih kondenzatorjev zaradi prilagoditve znanstvenemu in tehničnemu napredku</w:t>
      </w:r>
      <w:r w:rsidR="00C30FCE" w:rsidRPr="00E102FF">
        <w:rPr>
          <w:rFonts w:ascii="Arial" w:eastAsia="Rambla" w:hAnsi="Arial" w:cs="Arial"/>
          <w:sz w:val="20"/>
          <w:szCs w:val="20"/>
          <w:highlight w:val="white"/>
        </w:rPr>
        <w:t xml:space="preserve"> (</w:t>
      </w:r>
      <w:r w:rsidR="0015168C" w:rsidRPr="00E102FF">
        <w:rPr>
          <w:rFonts w:ascii="Arial" w:eastAsia="Rambla" w:hAnsi="Arial" w:cs="Arial"/>
          <w:i/>
          <w:iCs/>
          <w:sz w:val="20"/>
          <w:szCs w:val="20"/>
          <w:highlight w:val="white"/>
        </w:rPr>
        <w:t>UL L št. 123 z dne 18.5.2018, str. 97</w:t>
      </w:r>
      <w:r w:rsidR="00C30FCE" w:rsidRPr="00E102FF">
        <w:rPr>
          <w:rFonts w:ascii="Arial" w:eastAsia="Rambla" w:hAnsi="Arial" w:cs="Arial"/>
          <w:sz w:val="20"/>
          <w:szCs w:val="20"/>
          <w:highlight w:val="white"/>
        </w:rPr>
        <w:t>),</w:t>
      </w:r>
    </w:p>
    <w:p w:rsidR="00DD27B8" w:rsidRPr="00E102FF" w:rsidRDefault="00DE13A1" w:rsidP="00E102FF">
      <w:pPr>
        <w:pBdr>
          <w:top w:val="nil"/>
          <w:left w:val="nil"/>
          <w:bottom w:val="nil"/>
          <w:right w:val="nil"/>
          <w:between w:val="nil"/>
        </w:pBdr>
        <w:spacing w:after="210"/>
        <w:ind w:left="720"/>
        <w:rPr>
          <w:rFonts w:ascii="Arial" w:eastAsia="Rambla" w:hAnsi="Arial" w:cs="Arial"/>
          <w:sz w:val="20"/>
          <w:szCs w:val="20"/>
          <w:highlight w:val="white"/>
        </w:rPr>
      </w:pPr>
      <w:r>
        <w:rPr>
          <w:rFonts w:ascii="Arial" w:eastAsia="Rambla" w:hAnsi="Arial" w:cs="Arial"/>
          <w:sz w:val="20"/>
          <w:szCs w:val="20"/>
          <w:highlight w:val="white"/>
        </w:rPr>
        <w:t xml:space="preserve"> </w:t>
      </w:r>
      <w:r w:rsidR="00C30FCE" w:rsidRPr="00B433D4">
        <w:rPr>
          <w:rFonts w:ascii="Arial" w:eastAsia="Rambla" w:hAnsi="Arial" w:cs="Arial"/>
          <w:sz w:val="20"/>
          <w:szCs w:val="20"/>
          <w:highlight w:val="white"/>
        </w:rPr>
        <w:t>Delegiran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="00C30FCE" w:rsidRPr="00B433D4">
        <w:rPr>
          <w:rFonts w:ascii="Arial" w:eastAsia="Rambla" w:hAnsi="Arial" w:cs="Arial"/>
          <w:sz w:val="20"/>
          <w:szCs w:val="20"/>
          <w:highlight w:val="white"/>
        </w:rPr>
        <w:t xml:space="preserve"> direktiv</w:t>
      </w:r>
      <w:r w:rsidR="001C089B" w:rsidRPr="00B433D4">
        <w:rPr>
          <w:rFonts w:ascii="Arial" w:eastAsia="Rambla" w:hAnsi="Arial" w:cs="Arial"/>
          <w:sz w:val="20"/>
          <w:szCs w:val="20"/>
          <w:highlight w:val="white"/>
        </w:rPr>
        <w:t>o</w:t>
      </w:r>
      <w:r w:rsidR="00C30FCE" w:rsidRPr="00B433D4">
        <w:rPr>
          <w:rFonts w:ascii="Arial" w:eastAsia="Rambla" w:hAnsi="Arial" w:cs="Arial"/>
          <w:sz w:val="20"/>
          <w:szCs w:val="20"/>
          <w:highlight w:val="white"/>
        </w:rPr>
        <w:t xml:space="preserve"> Komisije (EU) </w:t>
      </w:r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2018/738 z dne 27. februarja 2018 o spremembi Priloge III k Direktivi 2011/65/EU Evropskega parlamenta in Sveta glede izjeme za svinec v kovinsko-keramičnih (</w:t>
      </w:r>
      <w:proofErr w:type="spellStart"/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cermet</w:t>
      </w:r>
      <w:proofErr w:type="spellEnd"/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 xml:space="preserve">) </w:t>
      </w:r>
      <w:proofErr w:type="spellStart"/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potenciometrskih</w:t>
      </w:r>
      <w:proofErr w:type="spellEnd"/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 xml:space="preserve"> elementih zaradi prilagoditve znanstvenemu in tehničnemu napredku</w:t>
      </w:r>
      <w:r w:rsidR="00C30FCE" w:rsidRPr="00B433D4">
        <w:rPr>
          <w:rFonts w:ascii="Arial" w:eastAsia="Rambla" w:hAnsi="Arial" w:cs="Arial"/>
          <w:sz w:val="20"/>
          <w:szCs w:val="20"/>
          <w:highlight w:val="white"/>
        </w:rPr>
        <w:t> </w:t>
      </w:r>
      <w:r w:rsidR="00C30FCE" w:rsidRPr="00E102FF">
        <w:rPr>
          <w:rFonts w:ascii="Arial" w:eastAsia="Rambla" w:hAnsi="Arial" w:cs="Arial"/>
          <w:sz w:val="20"/>
          <w:szCs w:val="20"/>
          <w:highlight w:val="white"/>
        </w:rPr>
        <w:t xml:space="preserve"> (</w:t>
      </w:r>
      <w:r w:rsidR="0015168C" w:rsidRPr="00E102FF">
        <w:rPr>
          <w:rFonts w:ascii="Arial" w:eastAsia="Rambla" w:hAnsi="Arial" w:cs="Arial"/>
          <w:i/>
          <w:iCs/>
          <w:sz w:val="20"/>
          <w:szCs w:val="20"/>
          <w:highlight w:val="white"/>
        </w:rPr>
        <w:t>UL L št. 123 z dne 18.5.2018,  str. 100</w:t>
      </w:r>
      <w:r w:rsidR="00C30FCE" w:rsidRPr="00E102FF">
        <w:rPr>
          <w:rFonts w:ascii="Arial" w:eastAsia="Rambla" w:hAnsi="Arial" w:cs="Arial"/>
          <w:sz w:val="20"/>
          <w:szCs w:val="20"/>
          <w:highlight w:val="white"/>
        </w:rPr>
        <w:t>),</w:t>
      </w:r>
    </w:p>
    <w:p w:rsidR="00DD27B8" w:rsidRPr="00E102FF" w:rsidRDefault="00DE13A1" w:rsidP="00E102FF">
      <w:pPr>
        <w:pBdr>
          <w:top w:val="nil"/>
          <w:left w:val="nil"/>
          <w:bottom w:val="nil"/>
          <w:right w:val="nil"/>
          <w:between w:val="nil"/>
        </w:pBdr>
        <w:spacing w:after="210"/>
        <w:ind w:left="720"/>
        <w:rPr>
          <w:rFonts w:ascii="Arial" w:eastAsia="Rambla" w:hAnsi="Arial" w:cs="Arial"/>
          <w:sz w:val="20"/>
          <w:szCs w:val="20"/>
          <w:highlight w:val="white"/>
        </w:rPr>
      </w:pPr>
      <w:r w:rsidRPr="00E102FF">
        <w:rPr>
          <w:rFonts w:ascii="Arial" w:eastAsia="Rambla" w:hAnsi="Arial" w:cs="Arial"/>
          <w:sz w:val="20"/>
          <w:szCs w:val="20"/>
          <w:highlight w:val="white"/>
        </w:rPr>
        <w:t xml:space="preserve">– </w:t>
      </w:r>
      <w:r w:rsidR="00C30FCE" w:rsidRPr="00E102FF">
        <w:rPr>
          <w:rFonts w:ascii="Arial" w:eastAsia="Rambla" w:hAnsi="Arial" w:cs="Arial"/>
          <w:sz w:val="20"/>
          <w:szCs w:val="20"/>
          <w:highlight w:val="white"/>
        </w:rPr>
        <w:t xml:space="preserve">Delegirano direktivo </w:t>
      </w:r>
      <w:r w:rsidR="00C30FCE" w:rsidRPr="00B433D4">
        <w:rPr>
          <w:rFonts w:ascii="Arial" w:eastAsia="Rambla" w:hAnsi="Arial" w:cs="Arial"/>
          <w:sz w:val="20"/>
          <w:szCs w:val="20"/>
          <w:highlight w:val="white"/>
        </w:rPr>
        <w:t xml:space="preserve">Komisije (EU) </w:t>
      </w:r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2018/739 z dne 1. marca 2018 o spremembi Priloge III k Direktivi 2011/65/EU Evropskega parlamenta in Sveta glede izjeme za svinec v zlitinah z jeklom zaradi prilagoditve znanstvenemu in tehničnemu napredku</w:t>
      </w:r>
      <w:r w:rsidR="001C089B" w:rsidRPr="00E102FF">
        <w:rPr>
          <w:rFonts w:ascii="Arial" w:eastAsia="Rambla" w:hAnsi="Arial" w:cs="Arial"/>
          <w:sz w:val="20"/>
          <w:szCs w:val="20"/>
          <w:highlight w:val="white"/>
        </w:rPr>
        <w:t xml:space="preserve"> </w:t>
      </w:r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(</w:t>
      </w:r>
      <w:r w:rsidR="0015168C" w:rsidRPr="00E102FF">
        <w:rPr>
          <w:rFonts w:ascii="Arial" w:eastAsia="Rambla" w:hAnsi="Arial" w:cs="Arial"/>
          <w:i/>
          <w:iCs/>
          <w:sz w:val="20"/>
          <w:szCs w:val="20"/>
          <w:highlight w:val="white"/>
        </w:rPr>
        <w:t>UL L št. 123 z dne 18.5.2018,  str. 103</w:t>
      </w:r>
      <w:r w:rsidR="0015168C" w:rsidRPr="00E102FF">
        <w:rPr>
          <w:rFonts w:ascii="Arial" w:eastAsia="Rambla" w:hAnsi="Arial" w:cs="Arial"/>
          <w:sz w:val="20"/>
          <w:szCs w:val="20"/>
          <w:highlight w:val="white"/>
        </w:rPr>
        <w:t>)</w:t>
      </w:r>
      <w:r w:rsidR="007B782F" w:rsidRPr="00E102FF">
        <w:rPr>
          <w:rFonts w:ascii="Arial" w:eastAsia="Rambla" w:hAnsi="Arial" w:cs="Arial"/>
          <w:sz w:val="20"/>
          <w:szCs w:val="20"/>
          <w:highlight w:val="white"/>
        </w:rPr>
        <w:t>,</w:t>
      </w:r>
    </w:p>
    <w:p w:rsidR="0015168C" w:rsidRPr="00E102FF" w:rsidRDefault="0015168C" w:rsidP="00E102FF">
      <w:pPr>
        <w:pBdr>
          <w:top w:val="nil"/>
          <w:left w:val="nil"/>
          <w:bottom w:val="nil"/>
          <w:right w:val="nil"/>
          <w:between w:val="nil"/>
        </w:pBdr>
        <w:spacing w:after="210"/>
        <w:ind w:left="720"/>
        <w:rPr>
          <w:rFonts w:ascii="Arial" w:eastAsia="Rambla" w:hAnsi="Arial" w:cs="Arial"/>
          <w:sz w:val="20"/>
          <w:szCs w:val="20"/>
          <w:highlight w:val="white"/>
        </w:rPr>
      </w:pPr>
      <w:r w:rsidRPr="00E102FF">
        <w:rPr>
          <w:rFonts w:ascii="Arial" w:eastAsia="Rambla" w:hAnsi="Arial" w:cs="Arial"/>
          <w:sz w:val="20"/>
          <w:szCs w:val="20"/>
          <w:highlight w:val="white"/>
        </w:rPr>
        <w:t xml:space="preserve">– Delegirano direktivo 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Pr="00E102FF">
        <w:rPr>
          <w:rFonts w:ascii="Arial" w:eastAsia="Rambla" w:hAnsi="Arial" w:cs="Arial"/>
          <w:sz w:val="20"/>
          <w:szCs w:val="20"/>
          <w:highlight w:val="white"/>
        </w:rPr>
        <w:t xml:space="preserve"> 2018/740 z dne 1. marca 2018 o spremembi Priloge III k Direktivi 2011/65/EU Evropskega parlamenta in Sveta glede izjeme za svinec v zlitinah z aluminijem zaradi prilagoditve znanstvenemu in tehničnemu napredku (</w:t>
      </w:r>
      <w:r w:rsidRPr="00E102FF">
        <w:rPr>
          <w:rFonts w:ascii="Arial" w:eastAsia="Rambla" w:hAnsi="Arial" w:cs="Arial"/>
          <w:i/>
          <w:iCs/>
          <w:sz w:val="20"/>
          <w:szCs w:val="20"/>
          <w:highlight w:val="white"/>
        </w:rPr>
        <w:t>UL L št. 123 z dne 18.5.2018,  str. 106</w:t>
      </w:r>
      <w:r w:rsidRPr="00E102FF">
        <w:rPr>
          <w:rFonts w:ascii="Arial" w:eastAsia="Rambla" w:hAnsi="Arial" w:cs="Arial"/>
          <w:sz w:val="20"/>
          <w:szCs w:val="20"/>
          <w:highlight w:val="white"/>
        </w:rPr>
        <w:t>)</w:t>
      </w:r>
      <w:r w:rsidR="007B782F" w:rsidRPr="00E102FF">
        <w:rPr>
          <w:rFonts w:ascii="Arial" w:eastAsia="Rambla" w:hAnsi="Arial" w:cs="Arial"/>
          <w:sz w:val="20"/>
          <w:szCs w:val="20"/>
          <w:highlight w:val="white"/>
        </w:rPr>
        <w:t>,</w:t>
      </w:r>
    </w:p>
    <w:p w:rsidR="0015168C" w:rsidRPr="00E102FF" w:rsidRDefault="0015168C" w:rsidP="00E102FF">
      <w:pPr>
        <w:pBdr>
          <w:top w:val="nil"/>
          <w:left w:val="nil"/>
          <w:bottom w:val="nil"/>
          <w:right w:val="nil"/>
          <w:between w:val="nil"/>
        </w:pBdr>
        <w:spacing w:after="210"/>
        <w:ind w:left="720"/>
        <w:rPr>
          <w:rFonts w:ascii="Arial" w:eastAsia="Rambla" w:hAnsi="Arial" w:cs="Arial"/>
          <w:sz w:val="20"/>
          <w:szCs w:val="20"/>
          <w:highlight w:val="white"/>
        </w:rPr>
      </w:pPr>
      <w:r w:rsidRPr="00E102FF">
        <w:rPr>
          <w:rFonts w:ascii="Arial" w:eastAsia="Rambla" w:hAnsi="Arial" w:cs="Arial"/>
          <w:sz w:val="20"/>
          <w:szCs w:val="20"/>
          <w:highlight w:val="white"/>
        </w:rPr>
        <w:t xml:space="preserve">– Delegirano direktivo 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Pr="00E102FF">
        <w:rPr>
          <w:rFonts w:ascii="Arial" w:eastAsia="Rambla" w:hAnsi="Arial" w:cs="Arial"/>
          <w:sz w:val="20"/>
          <w:szCs w:val="20"/>
          <w:highlight w:val="white"/>
        </w:rPr>
        <w:t xml:space="preserve"> 2018/741 z dne 1. marca 2018 o spremembi Priloge III k Direktivi 2011/65/EU Evropskega parlamenta in Sveta glede izjeme za svinec v bakrovih zlitinah zaradi prilagoditve znanstvenemu in tehničnemu napredku</w:t>
      </w:r>
      <w:r w:rsidR="007B782F" w:rsidRPr="00E102FF">
        <w:rPr>
          <w:rFonts w:ascii="Arial" w:eastAsia="Rambla" w:hAnsi="Arial" w:cs="Arial"/>
          <w:sz w:val="20"/>
          <w:szCs w:val="20"/>
          <w:highlight w:val="white"/>
        </w:rPr>
        <w:t xml:space="preserve"> (</w:t>
      </w:r>
      <w:r w:rsidR="007B782F" w:rsidRPr="00E102FF">
        <w:rPr>
          <w:rFonts w:ascii="Arial" w:eastAsia="Rambla" w:hAnsi="Arial" w:cs="Arial"/>
          <w:i/>
          <w:iCs/>
          <w:sz w:val="20"/>
          <w:szCs w:val="20"/>
          <w:highlight w:val="white"/>
        </w:rPr>
        <w:t>UL L št. 123 z dne 18.5.2018,  str. 109</w:t>
      </w:r>
      <w:r w:rsidR="007B782F" w:rsidRPr="00E102FF">
        <w:rPr>
          <w:rFonts w:ascii="Arial" w:eastAsia="Rambla" w:hAnsi="Arial" w:cs="Arial"/>
          <w:sz w:val="20"/>
          <w:szCs w:val="20"/>
          <w:highlight w:val="white"/>
        </w:rPr>
        <w:t>)</w:t>
      </w:r>
      <w:r w:rsidR="0042588A">
        <w:rPr>
          <w:rFonts w:ascii="Arial" w:eastAsia="Rambla" w:hAnsi="Arial" w:cs="Arial"/>
          <w:sz w:val="20"/>
          <w:szCs w:val="20"/>
          <w:highlight w:val="white"/>
        </w:rPr>
        <w:t xml:space="preserve"> in</w:t>
      </w:r>
      <w:bookmarkStart w:id="0" w:name="_GoBack"/>
      <w:bookmarkEnd w:id="0"/>
    </w:p>
    <w:p w:rsidR="00DD27B8" w:rsidRPr="00E102FF" w:rsidRDefault="0015168C" w:rsidP="00E102FF">
      <w:pPr>
        <w:pBdr>
          <w:top w:val="nil"/>
          <w:left w:val="nil"/>
          <w:bottom w:val="nil"/>
          <w:right w:val="nil"/>
          <w:between w:val="nil"/>
        </w:pBdr>
        <w:spacing w:after="210"/>
        <w:ind w:left="720"/>
        <w:rPr>
          <w:rFonts w:ascii="Arial" w:eastAsia="Rambla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</w:rPr>
        <w:t xml:space="preserve">– </w:t>
      </w:r>
      <w:r w:rsidRPr="00E102FF">
        <w:rPr>
          <w:rFonts w:ascii="Arial" w:eastAsia="Rambla" w:hAnsi="Arial" w:cs="Arial"/>
          <w:sz w:val="20"/>
          <w:szCs w:val="20"/>
          <w:highlight w:val="white"/>
        </w:rPr>
        <w:t xml:space="preserve">Delegirano direktivo </w:t>
      </w:r>
      <w:r w:rsidRPr="00B433D4">
        <w:rPr>
          <w:rFonts w:ascii="Arial" w:eastAsia="Rambla" w:hAnsi="Arial" w:cs="Arial"/>
          <w:sz w:val="20"/>
          <w:szCs w:val="20"/>
          <w:highlight w:val="white"/>
        </w:rPr>
        <w:t>Komisije (EU)</w:t>
      </w:r>
      <w:r w:rsidR="007B782F" w:rsidRPr="00E102FF">
        <w:rPr>
          <w:rFonts w:ascii="Arial" w:eastAsia="Rambla" w:hAnsi="Arial" w:cs="Arial"/>
          <w:sz w:val="20"/>
          <w:szCs w:val="20"/>
          <w:highlight w:val="white"/>
        </w:rPr>
        <w:t xml:space="preserve"> 2018/742 z dne 1. marca 2018 o spremembi Priloge III k Direktivi 2011/65/EU Evropskega parlamenta in Sveta glede izjeme za svinec v spajkah z visokimi temperaturami taljenja zaradi prilagoditve znanstvenemu in tehničnemu napredku (</w:t>
      </w:r>
      <w:r w:rsidR="007B782F" w:rsidRPr="00E102FF">
        <w:rPr>
          <w:rFonts w:ascii="Arial" w:eastAsia="Rambla" w:hAnsi="Arial" w:cs="Arial"/>
          <w:i/>
          <w:iCs/>
          <w:sz w:val="20"/>
          <w:szCs w:val="20"/>
          <w:highlight w:val="white"/>
        </w:rPr>
        <w:t>UL L št. 123 z dne 18.5.2018,  str. 109</w:t>
      </w:r>
      <w:r w:rsidR="007B782F" w:rsidRPr="00E102FF">
        <w:rPr>
          <w:rFonts w:ascii="Arial" w:eastAsia="Rambla" w:hAnsi="Arial" w:cs="Arial"/>
          <w:sz w:val="20"/>
          <w:szCs w:val="20"/>
          <w:highlight w:val="white"/>
        </w:rPr>
        <w:t>)</w:t>
      </w:r>
      <w:r w:rsidR="0042588A">
        <w:rPr>
          <w:rFonts w:ascii="Arial" w:eastAsia="Rambla" w:hAnsi="Arial" w:cs="Arial"/>
          <w:sz w:val="20"/>
          <w:szCs w:val="20"/>
          <w:highlight w:val="white"/>
        </w:rPr>
        <w:t>.</w:t>
      </w:r>
      <w:r w:rsidR="00294C48" w:rsidRPr="00E102FF">
        <w:rPr>
          <w:rFonts w:ascii="Arial" w:eastAsia="Rambla" w:hAnsi="Arial" w:cs="Arial"/>
          <w:sz w:val="20"/>
          <w:szCs w:val="20"/>
          <w:highlight w:val="white"/>
        </w:rPr>
        <w:t xml:space="preserve"> </w:t>
      </w:r>
      <w:r w:rsidR="00DE13A1" w:rsidRPr="00E102FF">
        <w:rPr>
          <w:rFonts w:ascii="Arial" w:eastAsia="Rambla" w:hAnsi="Arial" w:cs="Arial"/>
          <w:sz w:val="20"/>
          <w:szCs w:val="20"/>
          <w:highlight w:val="white"/>
        </w:rPr>
        <w:t>«.</w:t>
      </w:r>
    </w:p>
    <w:p w:rsidR="00DD27B8" w:rsidRPr="00E102FF" w:rsidRDefault="00DD27B8" w:rsidP="00E102FF">
      <w:pPr>
        <w:pBdr>
          <w:top w:val="nil"/>
          <w:left w:val="nil"/>
          <w:bottom w:val="nil"/>
          <w:right w:val="nil"/>
          <w:between w:val="nil"/>
        </w:pBdr>
        <w:spacing w:after="210"/>
        <w:ind w:left="720"/>
        <w:rPr>
          <w:rFonts w:ascii="Arial" w:eastAsia="Rambla" w:hAnsi="Arial" w:cs="Arial"/>
          <w:sz w:val="20"/>
          <w:szCs w:val="20"/>
          <w:highlight w:val="white"/>
        </w:rPr>
      </w:pP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lastRenderedPageBreak/>
        <w:t>2. člen</w:t>
      </w:r>
    </w:p>
    <w:p w:rsidR="00151759" w:rsidRPr="00B433D4" w:rsidRDefault="007B782F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 xml:space="preserve"> </w:t>
      </w:r>
      <w:r w:rsidR="00151759">
        <w:rPr>
          <w:rFonts w:ascii="Arial" w:eastAsia="Arial" w:hAnsi="Arial" w:cs="Arial"/>
          <w:b/>
          <w:sz w:val="20"/>
          <w:szCs w:val="20"/>
        </w:rPr>
        <w:t>(začetek veljavnosti</w:t>
      </w:r>
      <w:r w:rsidR="00172ABE">
        <w:rPr>
          <w:rFonts w:ascii="Arial" w:eastAsia="Arial" w:hAnsi="Arial" w:cs="Arial"/>
          <w:b/>
          <w:sz w:val="20"/>
          <w:szCs w:val="20"/>
        </w:rPr>
        <w:t xml:space="preserve"> in uporabe</w:t>
      </w:r>
      <w:r w:rsidR="00151759">
        <w:rPr>
          <w:rFonts w:ascii="Arial" w:eastAsia="Arial" w:hAnsi="Arial" w:cs="Arial"/>
          <w:b/>
          <w:sz w:val="20"/>
          <w:szCs w:val="20"/>
        </w:rPr>
        <w:t>)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:rsidR="00DD27B8" w:rsidRPr="00B433D4" w:rsidRDefault="00C30FCE" w:rsidP="001E675A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5306DF">
        <w:rPr>
          <w:rFonts w:ascii="Arial" w:eastAsia="Arial" w:hAnsi="Arial" w:cs="Arial"/>
          <w:sz w:val="20"/>
          <w:szCs w:val="20"/>
        </w:rPr>
        <w:t>petnajsti dan po objavi</w:t>
      </w:r>
      <w:r w:rsidR="00737D3C">
        <w:rPr>
          <w:rFonts w:ascii="Arial" w:eastAsia="Arial" w:hAnsi="Arial" w:cs="Arial"/>
          <w:sz w:val="20"/>
          <w:szCs w:val="20"/>
        </w:rPr>
        <w:t xml:space="preserve"> v Uradnem listu Republike Slovenije</w:t>
      </w:r>
      <w:r w:rsidR="005306DF">
        <w:rPr>
          <w:rFonts w:ascii="Arial" w:eastAsia="Arial" w:hAnsi="Arial" w:cs="Arial"/>
          <w:sz w:val="20"/>
          <w:szCs w:val="20"/>
        </w:rPr>
        <w:t xml:space="preserve">, uporabljati pa se začne </w:t>
      </w:r>
      <w:r w:rsidR="005E12F4">
        <w:rPr>
          <w:rFonts w:ascii="Arial" w:eastAsia="Arial" w:hAnsi="Arial" w:cs="Arial"/>
          <w:sz w:val="20"/>
          <w:szCs w:val="20"/>
        </w:rPr>
        <w:t>1. julija</w:t>
      </w:r>
      <w:r w:rsidR="007E4D02">
        <w:rPr>
          <w:rFonts w:ascii="Arial" w:eastAsia="Arial" w:hAnsi="Arial" w:cs="Arial"/>
          <w:sz w:val="20"/>
          <w:szCs w:val="20"/>
        </w:rPr>
        <w:t xml:space="preserve"> 2019.</w:t>
      </w:r>
    </w:p>
    <w:p w:rsidR="00DD27B8" w:rsidRPr="00B433D4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Št. </w:t>
      </w:r>
      <w:r w:rsidR="006613BA">
        <w:rPr>
          <w:rFonts w:ascii="Arial" w:eastAsia="Arial" w:hAnsi="Arial" w:cs="Arial"/>
          <w:sz w:val="20"/>
          <w:szCs w:val="20"/>
        </w:rPr>
        <w:t>0070-15/2019</w:t>
      </w: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>Ljubljana,</w:t>
      </w:r>
      <w:r w:rsidR="00A1226E">
        <w:rPr>
          <w:rFonts w:ascii="Arial" w:eastAsia="Arial" w:hAnsi="Arial" w:cs="Arial"/>
          <w:sz w:val="20"/>
          <w:szCs w:val="20"/>
        </w:rPr>
        <w:t xml:space="preserve"> dne </w:t>
      </w:r>
    </w:p>
    <w:p w:rsidR="00DD27B8" w:rsidRPr="00B433D4" w:rsidRDefault="00C30FCE">
      <w:pPr>
        <w:jc w:val="left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EVA  </w:t>
      </w:r>
      <w:r w:rsidR="006613BA">
        <w:rPr>
          <w:rFonts w:ascii="Arial" w:eastAsia="Arial" w:hAnsi="Arial" w:cs="Arial"/>
          <w:sz w:val="20"/>
          <w:szCs w:val="20"/>
        </w:rPr>
        <w:t>2019-2011-0013</w:t>
      </w:r>
    </w:p>
    <w:p w:rsidR="00DD27B8" w:rsidRDefault="00DD27B8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151759" w:rsidRDefault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:rsidR="006613BA" w:rsidRPr="00151759" w:rsidRDefault="006613BA" w:rsidP="006613BA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ab/>
        <w:t xml:space="preserve">        </w:t>
      </w:r>
    </w:p>
    <w:p w:rsidR="00151759" w:rsidRPr="00151759" w:rsidRDefault="00151759" w:rsidP="00151759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sz w:val="20"/>
          <w:szCs w:val="20"/>
        </w:rPr>
      </w:pPr>
    </w:p>
    <w:p w:rsidR="00DD27B8" w:rsidRPr="00B433D4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B433D4">
        <w:rPr>
          <w:rFonts w:ascii="Arial" w:eastAsia="Arial" w:hAnsi="Arial" w:cs="Arial"/>
          <w:b/>
          <w:sz w:val="20"/>
          <w:szCs w:val="20"/>
        </w:rPr>
        <w:t xml:space="preserve">                     </w:t>
      </w:r>
    </w:p>
    <w:p w:rsidR="00DD27B8" w:rsidRPr="00B433D4" w:rsidRDefault="00C30FCE">
      <w:pPr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hAnsi="Arial" w:cs="Arial"/>
          <w:sz w:val="20"/>
          <w:szCs w:val="20"/>
        </w:rPr>
        <w:tab/>
      </w:r>
      <w:r w:rsidRPr="00B433D4">
        <w:rPr>
          <w:rFonts w:ascii="Arial" w:eastAsia="Arial" w:hAnsi="Arial" w:cs="Arial"/>
          <w:sz w:val="20"/>
          <w:szCs w:val="20"/>
        </w:rPr>
        <w:tab/>
        <w:t xml:space="preserve"> </w:t>
      </w:r>
    </w:p>
    <w:p w:rsidR="00DD27B8" w:rsidRPr="00B433D4" w:rsidRDefault="00C30FCE">
      <w:pPr>
        <w:ind w:left="4248" w:firstLine="708"/>
        <w:rPr>
          <w:rFonts w:ascii="Arial" w:eastAsia="Arial" w:hAnsi="Arial" w:cs="Arial"/>
          <w:sz w:val="20"/>
          <w:szCs w:val="20"/>
        </w:rPr>
      </w:pPr>
      <w:r w:rsidRPr="00B433D4">
        <w:rPr>
          <w:rFonts w:ascii="Arial" w:eastAsia="Arial" w:hAnsi="Arial" w:cs="Arial"/>
          <w:sz w:val="20"/>
          <w:szCs w:val="20"/>
        </w:rPr>
        <w:t xml:space="preserve">       </w:t>
      </w:r>
    </w:p>
    <w:p w:rsidR="00DD27B8" w:rsidRPr="00B433D4" w:rsidRDefault="00DD27B8">
      <w:pPr>
        <w:rPr>
          <w:rFonts w:ascii="Arial" w:eastAsia="Arial" w:hAnsi="Arial" w:cs="Arial"/>
          <w:sz w:val="20"/>
          <w:szCs w:val="20"/>
        </w:rPr>
      </w:pPr>
    </w:p>
    <w:p w:rsidR="00DD27B8" w:rsidRPr="00B433D4" w:rsidRDefault="00DD27B8">
      <w:pPr>
        <w:ind w:left="5664"/>
        <w:rPr>
          <w:rFonts w:ascii="Arial" w:hAnsi="Arial" w:cs="Arial"/>
          <w:sz w:val="20"/>
          <w:szCs w:val="20"/>
        </w:rPr>
      </w:pPr>
    </w:p>
    <w:sectPr w:rsidR="00DD27B8" w:rsidRPr="00B433D4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DD27B8"/>
    <w:rsid w:val="0015168C"/>
    <w:rsid w:val="00151759"/>
    <w:rsid w:val="00172ABE"/>
    <w:rsid w:val="001C089B"/>
    <w:rsid w:val="001E675A"/>
    <w:rsid w:val="0020292E"/>
    <w:rsid w:val="00206394"/>
    <w:rsid w:val="0023434F"/>
    <w:rsid w:val="00294C48"/>
    <w:rsid w:val="0042588A"/>
    <w:rsid w:val="005306DF"/>
    <w:rsid w:val="005E12F4"/>
    <w:rsid w:val="006613BA"/>
    <w:rsid w:val="00737D3C"/>
    <w:rsid w:val="007510F5"/>
    <w:rsid w:val="007B782F"/>
    <w:rsid w:val="007E4D02"/>
    <w:rsid w:val="008511B7"/>
    <w:rsid w:val="00A1226E"/>
    <w:rsid w:val="00B433D4"/>
    <w:rsid w:val="00C30FCE"/>
    <w:rsid w:val="00CF4847"/>
    <w:rsid w:val="00D81BC9"/>
    <w:rsid w:val="00DD27B8"/>
    <w:rsid w:val="00DE13A1"/>
    <w:rsid w:val="00E102FF"/>
    <w:rsid w:val="00E23AD5"/>
    <w:rsid w:val="00E809D8"/>
    <w:rsid w:val="00F42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</w:style>
  <w:style w:type="paragraph" w:styleId="Naslov1">
    <w:name w:val="heading 1"/>
    <w:basedOn w:val="Navaden"/>
    <w:next w:val="Navade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077CF3-6090-4104-909A-A5B6B559E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505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3379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5</cp:revision>
  <dcterms:created xsi:type="dcterms:W3CDTF">2019-03-14T12:40:00Z</dcterms:created>
  <dcterms:modified xsi:type="dcterms:W3CDTF">2019-03-15T13:41:00Z</dcterms:modified>
</cp:coreProperties>
</file>