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5205" w:rsidRDefault="00385205" w:rsidP="00385205">
      <w:pPr>
        <w:pStyle w:val="Glava"/>
        <w:tabs>
          <w:tab w:val="left" w:pos="5112"/>
        </w:tabs>
        <w:spacing w:before="120" w:line="240" w:lineRule="exact"/>
        <w:rPr>
          <w:rFonts w:cs="Arial"/>
          <w:sz w:val="16"/>
        </w:rPr>
      </w:pPr>
    </w:p>
    <w:p w:rsidR="00385205" w:rsidRPr="008F3500" w:rsidRDefault="00385205" w:rsidP="00385205">
      <w:pPr>
        <w:pStyle w:val="Glava"/>
        <w:tabs>
          <w:tab w:val="left" w:pos="5112"/>
        </w:tabs>
        <w:spacing w:before="120" w:line="240" w:lineRule="exact"/>
        <w:rPr>
          <w:rFonts w:cs="Arial"/>
          <w:sz w:val="16"/>
        </w:rPr>
      </w:pPr>
      <w:r>
        <w:rPr>
          <w:noProof/>
        </w:rPr>
        <w:drawing>
          <wp:anchor distT="0" distB="0" distL="114300" distR="114300" simplePos="0" relativeHeight="251660288" behindDoc="1" locked="0" layoutInCell="1" allowOverlap="1" wp14:anchorId="73CAC0D2" wp14:editId="44542E27">
            <wp:simplePos x="0" y="0"/>
            <wp:positionH relativeFrom="page">
              <wp:posOffset>612140</wp:posOffset>
            </wp:positionH>
            <wp:positionV relativeFrom="page">
              <wp:posOffset>648335</wp:posOffset>
            </wp:positionV>
            <wp:extent cx="23723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rPr>
        <mc:AlternateContent>
          <mc:Choice Requires="wps">
            <w:drawing>
              <wp:anchor distT="0" distB="0" distL="114300" distR="114300" simplePos="0" relativeHeight="251659264" behindDoc="0" locked="0" layoutInCell="0" allowOverlap="1" wp14:anchorId="6C7B5D5D" wp14:editId="53B9B8C3">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EFD182"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01 478 47 78</w:t>
      </w:r>
    </w:p>
    <w:p w:rsidR="00385205" w:rsidRPr="008F3500" w:rsidRDefault="00385205" w:rsidP="00385205">
      <w:pPr>
        <w:pStyle w:val="Glava"/>
        <w:tabs>
          <w:tab w:val="left" w:pos="5112"/>
        </w:tabs>
        <w:spacing w:line="240" w:lineRule="exact"/>
        <w:rPr>
          <w:rFonts w:cs="Arial"/>
          <w:sz w:val="16"/>
        </w:rPr>
      </w:pPr>
      <w:r w:rsidRPr="008F3500">
        <w:rPr>
          <w:rFonts w:cs="Arial"/>
          <w:sz w:val="16"/>
        </w:rPr>
        <w:tab/>
        <w:t xml:space="preserve">F: </w:t>
      </w:r>
      <w:r>
        <w:rPr>
          <w:rFonts w:cs="Arial"/>
          <w:sz w:val="16"/>
        </w:rPr>
        <w:t>01 478 83 31</w:t>
      </w:r>
    </w:p>
    <w:p w:rsidR="00385205" w:rsidRPr="008F3500" w:rsidRDefault="00385205" w:rsidP="00385205">
      <w:pPr>
        <w:pStyle w:val="Glava"/>
        <w:tabs>
          <w:tab w:val="left" w:pos="5112"/>
        </w:tabs>
        <w:spacing w:line="240" w:lineRule="exact"/>
        <w:rPr>
          <w:rFonts w:cs="Arial"/>
          <w:sz w:val="16"/>
        </w:rPr>
      </w:pPr>
      <w:r w:rsidRPr="008F3500">
        <w:rPr>
          <w:rFonts w:cs="Arial"/>
          <w:sz w:val="16"/>
        </w:rPr>
        <w:tab/>
        <w:t xml:space="preserve">E: </w:t>
      </w:r>
      <w:r>
        <w:rPr>
          <w:rFonts w:cs="Arial"/>
          <w:sz w:val="16"/>
        </w:rPr>
        <w:t>gp.mju@gov.si</w:t>
      </w:r>
    </w:p>
    <w:p w:rsidR="00385205" w:rsidRPr="008F3500" w:rsidRDefault="00385205" w:rsidP="00385205">
      <w:pPr>
        <w:pStyle w:val="Glava"/>
        <w:tabs>
          <w:tab w:val="left" w:pos="5112"/>
        </w:tabs>
        <w:spacing w:line="240" w:lineRule="exact"/>
        <w:rPr>
          <w:rFonts w:cs="Arial"/>
          <w:sz w:val="16"/>
        </w:rPr>
      </w:pPr>
      <w:r w:rsidRPr="008F3500">
        <w:rPr>
          <w:rFonts w:cs="Arial"/>
          <w:sz w:val="16"/>
        </w:rPr>
        <w:tab/>
      </w:r>
      <w:r>
        <w:rPr>
          <w:rFonts w:cs="Arial"/>
          <w:sz w:val="16"/>
        </w:rPr>
        <w:t>www.mju.gov.si</w:t>
      </w:r>
    </w:p>
    <w:p w:rsidR="00AE1F83" w:rsidRPr="00AE1F83" w:rsidRDefault="00AE1F83" w:rsidP="00AE1F83">
      <w:pPr>
        <w:spacing w:after="0" w:line="260" w:lineRule="exact"/>
        <w:contextualSpacing/>
        <w:rPr>
          <w:rFonts w:ascii="Arial" w:eastAsia="Times New Roman" w:hAnsi="Arial" w:cs="Arial"/>
          <w:b/>
          <w:sz w:val="20"/>
          <w:szCs w:val="20"/>
          <w:lang w:eastAsia="sl-SI"/>
        </w:rPr>
      </w:pPr>
    </w:p>
    <w:p w:rsidR="00AE1F83" w:rsidRPr="00AE1F83" w:rsidRDefault="00AE1F83" w:rsidP="00AE1F83">
      <w:pPr>
        <w:spacing w:after="0" w:line="260" w:lineRule="exact"/>
        <w:ind w:firstLine="708"/>
        <w:contextualSpacing/>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AE1F83" w:rsidTr="008B2A83">
        <w:trPr>
          <w:gridAfter w:val="2"/>
          <w:wAfter w:w="3067" w:type="dxa"/>
        </w:trPr>
        <w:tc>
          <w:tcPr>
            <w:tcW w:w="6096" w:type="dxa"/>
            <w:gridSpan w:val="2"/>
          </w:tcPr>
          <w:p w:rsidR="00AE1F83" w:rsidRPr="00AE1F83" w:rsidRDefault="002A30B0"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Številka: </w:t>
            </w:r>
            <w:r w:rsidR="00E30865">
              <w:rPr>
                <w:rFonts w:ascii="Arial" w:eastAsia="Times New Roman" w:hAnsi="Arial" w:cs="Arial"/>
                <w:sz w:val="20"/>
                <w:szCs w:val="20"/>
                <w:lang w:eastAsia="sl-SI"/>
              </w:rPr>
              <w:t>386-17/2018/</w:t>
            </w:r>
            <w:r w:rsidR="004C4554">
              <w:rPr>
                <w:rFonts w:ascii="Arial" w:eastAsia="Times New Roman" w:hAnsi="Arial" w:cs="Arial"/>
                <w:sz w:val="20"/>
                <w:szCs w:val="20"/>
                <w:lang w:eastAsia="sl-SI"/>
              </w:rPr>
              <w:t>35</w:t>
            </w:r>
            <w:bookmarkStart w:id="0" w:name="_GoBack"/>
            <w:bookmarkEnd w:id="0"/>
          </w:p>
        </w:tc>
      </w:tr>
      <w:tr w:rsidR="00AE1F83" w:rsidRPr="00AE1F83" w:rsidTr="008B2A83">
        <w:trPr>
          <w:gridAfter w:val="2"/>
          <w:wAfter w:w="3067" w:type="dxa"/>
        </w:trPr>
        <w:tc>
          <w:tcPr>
            <w:tcW w:w="6096" w:type="dxa"/>
            <w:gridSpan w:val="2"/>
          </w:tcPr>
          <w:p w:rsidR="00AE1F83" w:rsidRPr="00AE1F83" w:rsidRDefault="0015127C"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Ljubljana, </w:t>
            </w:r>
            <w:r w:rsidR="00AA37BF">
              <w:rPr>
                <w:rFonts w:ascii="Arial" w:eastAsia="Times New Roman" w:hAnsi="Arial" w:cs="Arial"/>
                <w:sz w:val="20"/>
                <w:szCs w:val="20"/>
                <w:lang w:eastAsia="sl-SI"/>
              </w:rPr>
              <w:t>11</w:t>
            </w:r>
            <w:r w:rsidR="002A30B0">
              <w:rPr>
                <w:rFonts w:ascii="Arial" w:eastAsia="Times New Roman" w:hAnsi="Arial" w:cs="Arial"/>
                <w:sz w:val="20"/>
                <w:szCs w:val="20"/>
                <w:lang w:eastAsia="sl-SI"/>
              </w:rPr>
              <w:t xml:space="preserve">. </w:t>
            </w:r>
            <w:r w:rsidR="00E676E0">
              <w:rPr>
                <w:rFonts w:ascii="Arial" w:eastAsia="Times New Roman" w:hAnsi="Arial" w:cs="Arial"/>
                <w:sz w:val="20"/>
                <w:szCs w:val="20"/>
                <w:lang w:eastAsia="sl-SI"/>
              </w:rPr>
              <w:t>2</w:t>
            </w:r>
            <w:r w:rsidR="002A30B0">
              <w:rPr>
                <w:rFonts w:ascii="Arial" w:eastAsia="Times New Roman" w:hAnsi="Arial" w:cs="Arial"/>
                <w:sz w:val="20"/>
                <w:szCs w:val="20"/>
                <w:lang w:eastAsia="sl-SI"/>
              </w:rPr>
              <w:t>. 201</w:t>
            </w:r>
            <w:r w:rsidR="00E30865">
              <w:rPr>
                <w:rFonts w:ascii="Arial" w:eastAsia="Times New Roman" w:hAnsi="Arial" w:cs="Arial"/>
                <w:sz w:val="20"/>
                <w:szCs w:val="20"/>
                <w:lang w:eastAsia="sl-SI"/>
              </w:rPr>
              <w:t>9</w:t>
            </w:r>
          </w:p>
        </w:tc>
      </w:tr>
      <w:tr w:rsidR="00AE1F83" w:rsidRPr="00AE1F83" w:rsidTr="008B2A83">
        <w:trPr>
          <w:gridAfter w:val="2"/>
          <w:wAfter w:w="3067" w:type="dxa"/>
        </w:trPr>
        <w:tc>
          <w:tcPr>
            <w:tcW w:w="6096" w:type="dxa"/>
            <w:gridSpan w:val="2"/>
          </w:tcPr>
          <w:p w:rsidR="00AE1F83" w:rsidRPr="00AE1F83" w:rsidRDefault="002A30B0"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iCs/>
                <w:sz w:val="20"/>
                <w:szCs w:val="20"/>
                <w:lang w:eastAsia="sl-SI"/>
              </w:rPr>
              <w:t xml:space="preserve">EVA </w:t>
            </w:r>
            <w:r w:rsidRPr="002A30B0">
              <w:rPr>
                <w:rFonts w:ascii="Arial" w:eastAsia="Times New Roman" w:hAnsi="Arial" w:cs="Arial"/>
                <w:iCs/>
                <w:sz w:val="20"/>
                <w:szCs w:val="20"/>
                <w:lang w:eastAsia="sl-SI"/>
              </w:rPr>
              <w:t>2018-3130-0029</w:t>
            </w:r>
          </w:p>
        </w:tc>
      </w:tr>
      <w:tr w:rsidR="00AE1F83" w:rsidRPr="00AE1F83" w:rsidTr="008B2A83">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4C4554" w:rsidP="00AE1F83">
            <w:pPr>
              <w:spacing w:after="0" w:line="260" w:lineRule="exact"/>
              <w:rPr>
                <w:rFonts w:ascii="Arial" w:eastAsia="Times New Roman" w:hAnsi="Arial" w:cs="Arial"/>
                <w:sz w:val="20"/>
                <w:szCs w:val="20"/>
              </w:rPr>
            </w:pPr>
            <w:hyperlink r:id="rId9" w:history="1">
              <w:r w:rsidR="00AE1F83" w:rsidRPr="00AE1F83">
                <w:rPr>
                  <w:rFonts w:ascii="Arial" w:eastAsia="Times New Roman" w:hAnsi="Arial" w:cs="Times New Roman"/>
                  <w:color w:val="0000FF"/>
                  <w:sz w:val="20"/>
                  <w:szCs w:val="20"/>
                  <w:u w:val="single"/>
                </w:rPr>
                <w:t>Gp.gs@gov.si</w:t>
              </w:r>
            </w:hyperlink>
          </w:p>
          <w:p w:rsidR="00AE1F83" w:rsidRPr="00AE1F83" w:rsidRDefault="00AE1F83" w:rsidP="00AE1F83">
            <w:pPr>
              <w:spacing w:after="0" w:line="260" w:lineRule="exact"/>
              <w:rPr>
                <w:rFonts w:ascii="Arial" w:eastAsia="Times New Roman" w:hAnsi="Arial" w:cs="Arial"/>
                <w:sz w:val="20"/>
                <w:szCs w:val="20"/>
              </w:rPr>
            </w:pPr>
          </w:p>
        </w:tc>
      </w:tr>
      <w:tr w:rsidR="00AE1F83" w:rsidRPr="00AE1F83" w:rsidTr="008B2A83">
        <w:tc>
          <w:tcPr>
            <w:tcW w:w="9163" w:type="dxa"/>
            <w:gridSpan w:val="4"/>
          </w:tcPr>
          <w:p w:rsidR="00AE1F83" w:rsidRPr="00AE1F83" w:rsidRDefault="002A30B0"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ZADEVA: </w:t>
            </w:r>
            <w:r w:rsidR="00D527DD">
              <w:rPr>
                <w:rFonts w:ascii="Arial" w:eastAsia="Times New Roman" w:hAnsi="Arial" w:cs="Arial"/>
                <w:b/>
                <w:sz w:val="20"/>
                <w:szCs w:val="20"/>
                <w:lang w:eastAsia="sl-SI"/>
              </w:rPr>
              <w:t>Uredba</w:t>
            </w:r>
            <w:r w:rsidRPr="002A30B0">
              <w:rPr>
                <w:rFonts w:ascii="Arial" w:eastAsia="Times New Roman" w:hAnsi="Arial" w:cs="Arial"/>
                <w:b/>
                <w:sz w:val="20"/>
                <w:szCs w:val="20"/>
                <w:lang w:eastAsia="sl-SI"/>
              </w:rPr>
              <w:t xml:space="preserve"> o določitvi bistvenih storitev in podrobnejši metodologiji za določitev izvajalcev bistvenih storitev</w:t>
            </w:r>
            <w:r w:rsidR="00AE1F83" w:rsidRPr="00AE1F83">
              <w:rPr>
                <w:rFonts w:ascii="Arial" w:eastAsia="Times New Roman" w:hAnsi="Arial" w:cs="Arial"/>
                <w:b/>
                <w:sz w:val="20"/>
                <w:szCs w:val="20"/>
                <w:lang w:eastAsia="sl-SI"/>
              </w:rPr>
              <w:t xml:space="preserve"> – predlog za obravnavo </w:t>
            </w:r>
          </w:p>
        </w:tc>
      </w:tr>
      <w:tr w:rsidR="00AE1F83" w:rsidRPr="00AE1F83" w:rsidTr="008B2A83">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AE1F83" w:rsidTr="008B2A83">
        <w:tc>
          <w:tcPr>
            <w:tcW w:w="9163" w:type="dxa"/>
            <w:gridSpan w:val="4"/>
          </w:tcPr>
          <w:p w:rsidR="00037079" w:rsidRPr="00AF3795" w:rsidRDefault="00D54E38" w:rsidP="00037079">
            <w:pPr>
              <w:pStyle w:val="Besedilo"/>
              <w:rPr>
                <w:sz w:val="20"/>
                <w:szCs w:val="20"/>
              </w:rPr>
            </w:pPr>
            <w:r w:rsidRPr="00D54E38">
              <w:rPr>
                <w:sz w:val="20"/>
                <w:szCs w:val="20"/>
              </w:rPr>
              <w:t xml:space="preserve">Na podlagi </w:t>
            </w:r>
            <w:r w:rsidR="00037079" w:rsidRPr="00AF3795">
              <w:rPr>
                <w:sz w:val="20"/>
                <w:szCs w:val="20"/>
              </w:rPr>
              <w:t xml:space="preserve">prvega odstavka 6. člena in četrtega odstavka 7. člena </w:t>
            </w:r>
            <w:r w:rsidR="00037079" w:rsidRPr="00906A02">
              <w:rPr>
                <w:rStyle w:val="Bodytext2"/>
                <w:rFonts w:ascii="Arial" w:hAnsi="Arial" w:cs="Arial"/>
                <w:sz w:val="20"/>
                <w:szCs w:val="20"/>
              </w:rPr>
              <w:t>Zakona</w:t>
            </w:r>
            <w:r w:rsidR="00037079" w:rsidRPr="00906A02">
              <w:rPr>
                <w:sz w:val="20"/>
                <w:szCs w:val="20"/>
              </w:rPr>
              <w:t xml:space="preserve"> o informacijski varnosti</w:t>
            </w:r>
            <w:r w:rsidR="00037079" w:rsidRPr="00AF3795">
              <w:rPr>
                <w:sz w:val="20"/>
                <w:szCs w:val="20"/>
              </w:rPr>
              <w:t xml:space="preserve"> (Uradni list RS, št. 30/18</w:t>
            </w:r>
            <w:r w:rsidR="004E23E9">
              <w:rPr>
                <w:sz w:val="20"/>
                <w:szCs w:val="20"/>
              </w:rPr>
              <w:t>; v nadaljevanju: ZInfV</w:t>
            </w:r>
            <w:r w:rsidR="00037079" w:rsidRPr="00AF3795">
              <w:rPr>
                <w:sz w:val="20"/>
                <w:szCs w:val="20"/>
              </w:rPr>
              <w:t>) izdaja Vlada Republike Slovenije</w:t>
            </w:r>
          </w:p>
          <w:p w:rsidR="00D54E38" w:rsidRPr="00D54E38" w:rsidRDefault="00D54E38" w:rsidP="00D54E38">
            <w:pPr>
              <w:spacing w:line="220" w:lineRule="atLeast"/>
              <w:rPr>
                <w:rFonts w:ascii="Arial" w:hAnsi="Arial" w:cs="Arial"/>
                <w:sz w:val="20"/>
                <w:szCs w:val="20"/>
              </w:rPr>
            </w:pPr>
          </w:p>
          <w:p w:rsidR="00D54E38" w:rsidRPr="00D54E38" w:rsidRDefault="00D54E38" w:rsidP="00D54E38">
            <w:pPr>
              <w:pStyle w:val="Naslov2"/>
              <w:spacing w:line="220" w:lineRule="atLeast"/>
              <w:jc w:val="center"/>
              <w:rPr>
                <w:rFonts w:ascii="Arial" w:hAnsi="Arial" w:cs="Arial"/>
                <w:color w:val="auto"/>
                <w:sz w:val="20"/>
                <w:szCs w:val="20"/>
              </w:rPr>
            </w:pPr>
            <w:r w:rsidRPr="00D54E38">
              <w:rPr>
                <w:rFonts w:ascii="Arial" w:hAnsi="Arial" w:cs="Arial"/>
                <w:color w:val="auto"/>
                <w:sz w:val="20"/>
                <w:szCs w:val="20"/>
              </w:rPr>
              <w:t>S K L E P</w:t>
            </w:r>
          </w:p>
          <w:p w:rsidR="00D54E38" w:rsidRPr="00D54E38" w:rsidRDefault="00D54E38" w:rsidP="00D54E38">
            <w:pPr>
              <w:spacing w:line="220" w:lineRule="atLeast"/>
              <w:rPr>
                <w:rFonts w:ascii="Arial" w:hAnsi="Arial" w:cs="Arial"/>
                <w:sz w:val="20"/>
                <w:szCs w:val="20"/>
              </w:rPr>
            </w:pPr>
          </w:p>
          <w:p w:rsidR="00D54E38" w:rsidRPr="00D54E38" w:rsidRDefault="00D54E38" w:rsidP="00D54E38">
            <w:pPr>
              <w:spacing w:line="240" w:lineRule="atLeast"/>
              <w:ind w:right="-108"/>
              <w:rPr>
                <w:rFonts w:ascii="Arial" w:hAnsi="Arial" w:cs="Arial"/>
                <w:sz w:val="20"/>
                <w:szCs w:val="20"/>
              </w:rPr>
            </w:pPr>
            <w:r w:rsidRPr="00D54E38">
              <w:rPr>
                <w:rFonts w:ascii="Arial" w:hAnsi="Arial" w:cs="Arial"/>
                <w:sz w:val="20"/>
                <w:szCs w:val="20"/>
              </w:rPr>
              <w:t xml:space="preserve">Vlada Republike Slovenije je izdala </w:t>
            </w:r>
            <w:r w:rsidRPr="00D54E38">
              <w:rPr>
                <w:rFonts w:ascii="Arial" w:hAnsi="Arial" w:cs="Arial"/>
                <w:bCs/>
                <w:sz w:val="20"/>
                <w:szCs w:val="20"/>
              </w:rPr>
              <w:t xml:space="preserve">Uredbo o </w:t>
            </w:r>
            <w:r w:rsidRPr="00D54E38">
              <w:rPr>
                <w:rFonts w:ascii="Arial" w:hAnsi="Arial" w:cs="Arial"/>
                <w:sz w:val="20"/>
                <w:szCs w:val="20"/>
              </w:rPr>
              <w:t xml:space="preserve">določitvi bistvenih storitev in podrobnejši metodologiji </w:t>
            </w:r>
            <w:r w:rsidRPr="00D54E38">
              <w:rPr>
                <w:rStyle w:val="Bodytext3"/>
                <w:rFonts w:ascii="Arial" w:hAnsi="Arial" w:cs="Arial"/>
                <w:b w:val="0"/>
                <w:bCs w:val="0"/>
                <w:color w:val="000000"/>
                <w:sz w:val="20"/>
                <w:szCs w:val="20"/>
              </w:rPr>
              <w:t>za določitev izvajalcev bistvenih storitev</w:t>
            </w:r>
            <w:r w:rsidRPr="00D54E38">
              <w:rPr>
                <w:rFonts w:ascii="Arial" w:hAnsi="Arial" w:cs="Arial"/>
                <w:bCs/>
                <w:sz w:val="20"/>
                <w:szCs w:val="20"/>
              </w:rPr>
              <w:t xml:space="preserve"> </w:t>
            </w:r>
            <w:r w:rsidRPr="00D54E38">
              <w:rPr>
                <w:rFonts w:ascii="Arial" w:hAnsi="Arial" w:cs="Arial"/>
                <w:sz w:val="20"/>
                <w:szCs w:val="20"/>
              </w:rPr>
              <w:t xml:space="preserve">in jo objavi v Uradnem listu Republike Slovenije.  </w:t>
            </w:r>
          </w:p>
          <w:p w:rsidR="00D54E38" w:rsidRPr="00D54E38" w:rsidRDefault="00D54E38" w:rsidP="00D54E38">
            <w:pPr>
              <w:spacing w:line="220" w:lineRule="atLeast"/>
              <w:jc w:val="both"/>
              <w:rPr>
                <w:rFonts w:ascii="Arial" w:hAnsi="Arial" w:cs="Arial"/>
                <w:sz w:val="20"/>
                <w:szCs w:val="20"/>
              </w:rPr>
            </w:pPr>
          </w:p>
          <w:p w:rsidR="00D54E38" w:rsidRPr="00D54E38" w:rsidRDefault="00D54E38" w:rsidP="00D54E38">
            <w:pPr>
              <w:tabs>
                <w:tab w:val="num" w:pos="900"/>
                <w:tab w:val="left" w:pos="9720"/>
                <w:tab w:val="left" w:pos="10204"/>
              </w:tabs>
              <w:ind w:right="304"/>
              <w:jc w:val="both"/>
              <w:rPr>
                <w:rFonts w:ascii="Arial" w:hAnsi="Arial" w:cs="Arial"/>
                <w:sz w:val="20"/>
                <w:szCs w:val="20"/>
              </w:rPr>
            </w:pPr>
            <w:r>
              <w:rPr>
                <w:rFonts w:ascii="Arial" w:hAnsi="Arial" w:cs="Arial"/>
                <w:sz w:val="20"/>
                <w:szCs w:val="20"/>
              </w:rPr>
              <w:t xml:space="preserve">                                                                                                       </w:t>
            </w:r>
            <w:r w:rsidR="00037079">
              <w:rPr>
                <w:rFonts w:ascii="Arial" w:hAnsi="Arial" w:cs="Arial"/>
                <w:sz w:val="20"/>
                <w:szCs w:val="20"/>
              </w:rPr>
              <w:t xml:space="preserve">     </w:t>
            </w:r>
            <w:r w:rsidR="00712419">
              <w:rPr>
                <w:rFonts w:ascii="Arial" w:hAnsi="Arial" w:cs="Arial"/>
                <w:sz w:val="20"/>
                <w:szCs w:val="20"/>
              </w:rPr>
              <w:t xml:space="preserve">  </w:t>
            </w:r>
            <w:r w:rsidR="00987D94">
              <w:rPr>
                <w:rFonts w:ascii="Arial" w:hAnsi="Arial" w:cs="Arial"/>
                <w:sz w:val="20"/>
                <w:szCs w:val="20"/>
              </w:rPr>
              <w:t xml:space="preserve">  </w:t>
            </w:r>
            <w:r w:rsidR="00712419">
              <w:rPr>
                <w:rFonts w:ascii="Arial" w:hAnsi="Arial" w:cs="Arial"/>
                <w:sz w:val="20"/>
                <w:szCs w:val="20"/>
              </w:rPr>
              <w:t>Stojan Tram</w:t>
            </w:r>
            <w:r w:rsidR="00037079">
              <w:rPr>
                <w:rFonts w:ascii="Arial" w:hAnsi="Arial" w:cs="Arial"/>
                <w:sz w:val="20"/>
                <w:szCs w:val="20"/>
              </w:rPr>
              <w:t>te</w:t>
            </w:r>
          </w:p>
          <w:p w:rsidR="00D54E38" w:rsidRPr="00C317E8" w:rsidRDefault="00D54E38" w:rsidP="00C317E8">
            <w:pPr>
              <w:tabs>
                <w:tab w:val="num" w:pos="900"/>
                <w:tab w:val="left" w:pos="9720"/>
                <w:tab w:val="left" w:pos="10204"/>
              </w:tabs>
              <w:ind w:left="1260" w:right="304"/>
              <w:jc w:val="both"/>
              <w:rPr>
                <w:rFonts w:ascii="Arial" w:hAnsi="Arial" w:cs="Arial"/>
                <w:sz w:val="20"/>
                <w:szCs w:val="20"/>
              </w:rPr>
            </w:pPr>
            <w:r w:rsidRPr="00D54E38">
              <w:rPr>
                <w:rFonts w:ascii="Arial" w:hAnsi="Arial" w:cs="Arial"/>
                <w:sz w:val="20"/>
                <w:szCs w:val="20"/>
              </w:rPr>
              <w:t xml:space="preserve">                                                                                  </w:t>
            </w:r>
            <w:r w:rsidR="00712419">
              <w:rPr>
                <w:rFonts w:ascii="Arial" w:hAnsi="Arial" w:cs="Arial"/>
                <w:sz w:val="20"/>
                <w:szCs w:val="20"/>
              </w:rPr>
              <w:t xml:space="preserve">  </w:t>
            </w:r>
            <w:r w:rsidR="00517C60">
              <w:rPr>
                <w:rFonts w:ascii="Arial" w:hAnsi="Arial" w:cs="Arial"/>
                <w:sz w:val="20"/>
                <w:szCs w:val="20"/>
              </w:rPr>
              <w:t>GENERALNI SEKRETAR</w:t>
            </w:r>
          </w:p>
          <w:p w:rsidR="00D54E38" w:rsidRDefault="00D54E38" w:rsidP="00136B82">
            <w:pPr>
              <w:rPr>
                <w:rFonts w:ascii="Arial" w:hAnsi="Arial" w:cs="Arial"/>
                <w:iCs/>
                <w:sz w:val="20"/>
                <w:szCs w:val="20"/>
              </w:rPr>
            </w:pPr>
            <w:r>
              <w:rPr>
                <w:rFonts w:ascii="Arial" w:hAnsi="Arial" w:cs="Arial"/>
                <w:iCs/>
                <w:sz w:val="20"/>
                <w:szCs w:val="20"/>
              </w:rPr>
              <w:t xml:space="preserve">Sklep prejmejo: </w:t>
            </w:r>
          </w:p>
          <w:p w:rsidR="00136B82" w:rsidRDefault="00D54E38" w:rsidP="00136B82">
            <w:pPr>
              <w:spacing w:after="0" w:line="260" w:lineRule="exact"/>
              <w:ind w:left="17"/>
              <w:rPr>
                <w:rFonts w:ascii="Arial" w:hAnsi="Arial" w:cs="Arial"/>
                <w:sz w:val="20"/>
                <w:szCs w:val="20"/>
              </w:rPr>
            </w:pPr>
            <w:r>
              <w:rPr>
                <w:rFonts w:ascii="Arial" w:hAnsi="Arial" w:cs="Arial"/>
                <w:iCs/>
                <w:sz w:val="20"/>
                <w:szCs w:val="20"/>
              </w:rPr>
              <w:t xml:space="preserve">- </w:t>
            </w:r>
            <w:r w:rsidRPr="00D54E38">
              <w:rPr>
                <w:rFonts w:ascii="Arial" w:hAnsi="Arial" w:cs="Arial"/>
                <w:sz w:val="20"/>
                <w:szCs w:val="20"/>
              </w:rPr>
              <w:t>ministrstva</w:t>
            </w:r>
          </w:p>
          <w:p w:rsidR="00136B82" w:rsidRDefault="00136B82" w:rsidP="00136B82">
            <w:pPr>
              <w:spacing w:after="0" w:line="260" w:lineRule="exact"/>
              <w:ind w:left="17"/>
              <w:rPr>
                <w:rFonts w:ascii="Arial" w:hAnsi="Arial" w:cs="Arial"/>
                <w:iCs/>
                <w:sz w:val="20"/>
                <w:szCs w:val="20"/>
              </w:rPr>
            </w:pPr>
            <w:r>
              <w:rPr>
                <w:rFonts w:ascii="Arial" w:hAnsi="Arial" w:cs="Arial"/>
                <w:sz w:val="20"/>
                <w:szCs w:val="20"/>
              </w:rPr>
              <w:t>- Urad Vlade RS za varovanje tajnih podatkov</w:t>
            </w:r>
          </w:p>
          <w:p w:rsidR="00AE1F83" w:rsidRPr="00D54E38" w:rsidRDefault="00D54E38" w:rsidP="00136B82">
            <w:pPr>
              <w:spacing w:after="0" w:line="260" w:lineRule="exact"/>
              <w:ind w:left="17"/>
              <w:rPr>
                <w:rFonts w:ascii="Arial" w:hAnsi="Arial" w:cs="Arial"/>
                <w:iCs/>
                <w:sz w:val="20"/>
                <w:szCs w:val="20"/>
              </w:rPr>
            </w:pPr>
            <w:r>
              <w:rPr>
                <w:rFonts w:ascii="Arial" w:hAnsi="Arial" w:cs="Arial"/>
                <w:iCs/>
                <w:sz w:val="20"/>
                <w:szCs w:val="20"/>
              </w:rPr>
              <w:t xml:space="preserve">- </w:t>
            </w:r>
            <w:r w:rsidRPr="00D54E38">
              <w:rPr>
                <w:rFonts w:ascii="Arial" w:hAnsi="Arial" w:cs="Arial"/>
                <w:sz w:val="20"/>
                <w:szCs w:val="20"/>
              </w:rPr>
              <w:t>Služba Vlade RS za zakonodajo</w:t>
            </w:r>
          </w:p>
        </w:tc>
      </w:tr>
      <w:tr w:rsidR="00AE1F83" w:rsidRPr="00AE1F83" w:rsidTr="008B2A83">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r w:rsidR="004D78BB">
              <w:rPr>
                <w:rFonts w:ascii="Arial" w:eastAsia="Times New Roman" w:hAnsi="Arial" w:cs="Arial"/>
                <w:b/>
                <w:sz w:val="20"/>
                <w:szCs w:val="20"/>
                <w:lang w:eastAsia="sl-SI"/>
              </w:rPr>
              <w:t xml:space="preserve"> </w:t>
            </w:r>
          </w:p>
        </w:tc>
      </w:tr>
      <w:tr w:rsidR="00AE1F83" w:rsidRPr="00AE1F83" w:rsidTr="008B2A83">
        <w:tc>
          <w:tcPr>
            <w:tcW w:w="9163" w:type="dxa"/>
            <w:gridSpan w:val="4"/>
          </w:tcPr>
          <w:p w:rsidR="00AE1F83" w:rsidRPr="00AE1F83" w:rsidRDefault="00B37B5D"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AE1F83" w:rsidTr="008B2A83">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AE1F83" w:rsidTr="008B2A83">
        <w:tc>
          <w:tcPr>
            <w:tcW w:w="9163" w:type="dxa"/>
            <w:gridSpan w:val="4"/>
          </w:tcPr>
          <w:p w:rsidR="004D78BB" w:rsidRPr="004D78BB" w:rsidRDefault="004D78BB" w:rsidP="00136B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78BB">
              <w:rPr>
                <w:rFonts w:ascii="Arial" w:eastAsia="Times New Roman" w:hAnsi="Arial" w:cs="Arial"/>
                <w:iCs/>
                <w:sz w:val="20"/>
                <w:szCs w:val="20"/>
                <w:lang w:eastAsia="sl-SI"/>
              </w:rPr>
              <w:t xml:space="preserve">- </w:t>
            </w:r>
            <w:r w:rsidR="00E30865">
              <w:rPr>
                <w:rFonts w:ascii="Arial" w:eastAsia="Times New Roman" w:hAnsi="Arial" w:cs="Arial"/>
                <w:iCs/>
                <w:sz w:val="20"/>
                <w:szCs w:val="20"/>
                <w:lang w:eastAsia="sl-SI"/>
              </w:rPr>
              <w:t>dr. Uroš Svete</w:t>
            </w:r>
            <w:r w:rsidRPr="004D78BB">
              <w:rPr>
                <w:rFonts w:ascii="Arial" w:eastAsia="Times New Roman" w:hAnsi="Arial" w:cs="Arial"/>
                <w:iCs/>
                <w:sz w:val="20"/>
                <w:szCs w:val="20"/>
                <w:lang w:eastAsia="sl-SI"/>
              </w:rPr>
              <w:t xml:space="preserve">, </w:t>
            </w:r>
            <w:r w:rsidR="00E30865">
              <w:rPr>
                <w:rFonts w:ascii="Arial" w:eastAsia="Times New Roman" w:hAnsi="Arial" w:cs="Arial"/>
                <w:iCs/>
                <w:sz w:val="20"/>
                <w:szCs w:val="20"/>
                <w:lang w:eastAsia="sl-SI"/>
              </w:rPr>
              <w:t>v.d. generalnega</w:t>
            </w:r>
            <w:r w:rsidRPr="004D78BB">
              <w:rPr>
                <w:rFonts w:ascii="Arial" w:eastAsia="Times New Roman" w:hAnsi="Arial" w:cs="Arial"/>
                <w:iCs/>
                <w:sz w:val="20"/>
                <w:szCs w:val="20"/>
                <w:lang w:eastAsia="sl-SI"/>
              </w:rPr>
              <w:t xml:space="preserve"> direktor</w:t>
            </w:r>
            <w:r w:rsidR="00E30865">
              <w:rPr>
                <w:rFonts w:ascii="Arial" w:eastAsia="Times New Roman" w:hAnsi="Arial" w:cs="Arial"/>
                <w:iCs/>
                <w:sz w:val="20"/>
                <w:szCs w:val="20"/>
                <w:lang w:eastAsia="sl-SI"/>
              </w:rPr>
              <w:t>ja</w:t>
            </w:r>
            <w:r w:rsidRPr="004D78BB">
              <w:rPr>
                <w:rFonts w:ascii="Arial" w:eastAsia="Times New Roman" w:hAnsi="Arial" w:cs="Arial"/>
                <w:iCs/>
                <w:sz w:val="20"/>
                <w:szCs w:val="20"/>
                <w:lang w:eastAsia="sl-SI"/>
              </w:rPr>
              <w:t>, Ministrstvo za javno upravo</w:t>
            </w:r>
          </w:p>
          <w:p w:rsidR="00AE1F83" w:rsidRDefault="004D78BB" w:rsidP="00136B8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D78BB">
              <w:rPr>
                <w:rFonts w:ascii="Arial" w:eastAsia="Times New Roman" w:hAnsi="Arial" w:cs="Arial"/>
                <w:iCs/>
                <w:sz w:val="20"/>
                <w:szCs w:val="20"/>
                <w:lang w:eastAsia="sl-SI"/>
              </w:rPr>
              <w:t>- Barbara Pernuš Grošelj, sekretarka, Ministrstvo za javno upravo</w:t>
            </w:r>
          </w:p>
          <w:p w:rsidR="006917B1" w:rsidRDefault="006917B1" w:rsidP="006917B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Marija Režun, višja svetovalka, Ministrstvo za javno upravo</w:t>
            </w:r>
          </w:p>
          <w:p w:rsidR="006917B1" w:rsidRPr="00AE1F83" w:rsidRDefault="006917B1" w:rsidP="006917B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Anja Ancelj, višja svetovalka, Ministrstvo za javno upravo</w:t>
            </w:r>
          </w:p>
        </w:tc>
      </w:tr>
      <w:tr w:rsidR="00AE1F83" w:rsidRPr="00AE1F83" w:rsidTr="008B2A83">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r w:rsidR="00B37B5D">
              <w:rPr>
                <w:rFonts w:ascii="Arial" w:eastAsia="Times New Roman" w:hAnsi="Arial" w:cs="Arial"/>
                <w:b/>
                <w:sz w:val="20"/>
                <w:szCs w:val="20"/>
                <w:lang w:eastAsia="sl-SI"/>
              </w:rPr>
              <w:t xml:space="preserve"> </w:t>
            </w:r>
          </w:p>
        </w:tc>
      </w:tr>
      <w:tr w:rsidR="00AE1F83" w:rsidRPr="00AE1F83" w:rsidTr="008B2A83">
        <w:tc>
          <w:tcPr>
            <w:tcW w:w="9163" w:type="dxa"/>
            <w:gridSpan w:val="4"/>
          </w:tcPr>
          <w:p w:rsidR="00AE1F83" w:rsidRPr="00AE1F83" w:rsidRDefault="00B37B5D"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AE1F83" w:rsidTr="008B2A83">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r w:rsidR="004D78BB">
              <w:rPr>
                <w:rFonts w:ascii="Arial" w:eastAsia="Times New Roman" w:hAnsi="Arial" w:cs="Arial"/>
                <w:b/>
                <w:sz w:val="20"/>
                <w:szCs w:val="20"/>
                <w:lang w:eastAsia="sl-SI"/>
              </w:rPr>
              <w:t xml:space="preserve"> </w:t>
            </w:r>
            <w:r w:rsidR="008518A3">
              <w:rPr>
                <w:rFonts w:ascii="Arial" w:eastAsia="Times New Roman" w:hAnsi="Arial" w:cs="Arial"/>
                <w:b/>
                <w:sz w:val="20"/>
                <w:szCs w:val="20"/>
                <w:lang w:eastAsia="sl-SI"/>
              </w:rPr>
              <w:t>/</w:t>
            </w:r>
          </w:p>
        </w:tc>
      </w:tr>
      <w:tr w:rsidR="00AE1F83" w:rsidRPr="00AE1F83" w:rsidTr="008B2A83">
        <w:tc>
          <w:tcPr>
            <w:tcW w:w="9163" w:type="dxa"/>
            <w:gridSpan w:val="4"/>
          </w:tcPr>
          <w:p w:rsidR="00C92A54" w:rsidRPr="00B37B5D" w:rsidRDefault="00AE1F83" w:rsidP="00F445C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B37B5D">
              <w:rPr>
                <w:rFonts w:ascii="Arial" w:eastAsia="Times New Roman" w:hAnsi="Arial" w:cs="Arial"/>
                <w:b/>
                <w:sz w:val="20"/>
                <w:szCs w:val="20"/>
                <w:lang w:eastAsia="sl-SI"/>
              </w:rPr>
              <w:t>5. Kratek povzetek gradiva:</w:t>
            </w:r>
          </w:p>
        </w:tc>
      </w:tr>
      <w:tr w:rsidR="00AE1F83" w:rsidRPr="00AE1F83" w:rsidTr="008B2A83">
        <w:tc>
          <w:tcPr>
            <w:tcW w:w="9163" w:type="dxa"/>
            <w:gridSpan w:val="4"/>
          </w:tcPr>
          <w:p w:rsidR="00AE1F83" w:rsidRPr="00F445CA" w:rsidRDefault="00F40A1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hAnsi="Arial" w:cs="Arial"/>
                <w:sz w:val="20"/>
                <w:szCs w:val="20"/>
              </w:rPr>
              <w:t>S predlagano</w:t>
            </w:r>
            <w:r w:rsidR="00F445CA" w:rsidRPr="00F445CA">
              <w:rPr>
                <w:rFonts w:ascii="Arial" w:hAnsi="Arial" w:cs="Arial"/>
                <w:sz w:val="20"/>
                <w:szCs w:val="20"/>
              </w:rPr>
              <w:t xml:space="preserve"> uredbo Vlada RS za </w:t>
            </w:r>
            <w:r w:rsidR="00E676E0">
              <w:rPr>
                <w:rFonts w:ascii="Arial" w:hAnsi="Arial" w:cs="Arial"/>
                <w:sz w:val="20"/>
                <w:szCs w:val="20"/>
              </w:rPr>
              <w:t>potrebe</w:t>
            </w:r>
            <w:r w:rsidR="00E676E0" w:rsidRPr="00F445CA">
              <w:rPr>
                <w:rFonts w:ascii="Arial" w:hAnsi="Arial" w:cs="Arial"/>
                <w:sz w:val="20"/>
                <w:szCs w:val="20"/>
              </w:rPr>
              <w:t xml:space="preserve"> </w:t>
            </w:r>
            <w:r w:rsidR="00F445CA" w:rsidRPr="00F445CA">
              <w:rPr>
                <w:rFonts w:ascii="Arial" w:hAnsi="Arial" w:cs="Arial"/>
                <w:sz w:val="20"/>
                <w:szCs w:val="20"/>
              </w:rPr>
              <w:t xml:space="preserve">izvajanja ZInfV določa seznam bistvenih storitev (skladno s prvim odstavkom 6. člena </w:t>
            </w:r>
            <w:r w:rsidR="00E30865">
              <w:rPr>
                <w:rFonts w:ascii="Arial" w:hAnsi="Arial" w:cs="Arial"/>
                <w:sz w:val="20"/>
                <w:szCs w:val="20"/>
              </w:rPr>
              <w:t>ZInfV)</w:t>
            </w:r>
            <w:r w:rsidR="00F445CA" w:rsidRPr="00F445CA">
              <w:rPr>
                <w:rFonts w:ascii="Arial" w:hAnsi="Arial" w:cs="Arial"/>
                <w:sz w:val="20"/>
                <w:szCs w:val="20"/>
              </w:rPr>
              <w:t xml:space="preserve"> in podrobnej</w:t>
            </w:r>
            <w:r w:rsidR="00F445CA">
              <w:rPr>
                <w:rFonts w:ascii="Arial" w:hAnsi="Arial" w:cs="Arial"/>
                <w:sz w:val="20"/>
                <w:szCs w:val="20"/>
              </w:rPr>
              <w:t>šo metodologijo za določitev izvajalcev bistvenih storitev</w:t>
            </w:r>
            <w:r w:rsidR="00F445CA" w:rsidRPr="00F445CA">
              <w:rPr>
                <w:rFonts w:ascii="Arial" w:hAnsi="Arial" w:cs="Arial"/>
                <w:sz w:val="20"/>
                <w:szCs w:val="20"/>
              </w:rPr>
              <w:t xml:space="preserve"> (skladno s četrtim odstavkom 7. člena),</w:t>
            </w:r>
            <w:r w:rsidR="00F445CA">
              <w:rPr>
                <w:rFonts w:ascii="Arial" w:hAnsi="Arial" w:cs="Arial"/>
                <w:sz w:val="20"/>
                <w:szCs w:val="20"/>
              </w:rPr>
              <w:t xml:space="preserve"> ki so kategorija zavezancev iz ZInfV,</w:t>
            </w:r>
            <w:r w:rsidR="00F445CA" w:rsidRPr="00F445CA">
              <w:rPr>
                <w:rFonts w:ascii="Arial" w:hAnsi="Arial" w:cs="Arial"/>
                <w:sz w:val="20"/>
                <w:szCs w:val="20"/>
              </w:rPr>
              <w:t xml:space="preserve"> vključno z vrednotenjem medpodročnih in področnih dejavnikov.</w:t>
            </w:r>
          </w:p>
        </w:tc>
      </w:tr>
      <w:tr w:rsidR="00AE1F83" w:rsidRPr="00AE1F83" w:rsidTr="008B2A83">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17672C">
              <w:rPr>
                <w:rFonts w:ascii="Arial" w:eastAsia="Times New Roman" w:hAnsi="Arial" w:cs="Arial"/>
                <w:sz w:val="20"/>
                <w:szCs w:val="20"/>
                <w:lang w:eastAsia="sl-SI"/>
              </w:rPr>
              <w:t>NE</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B87CA9"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190370" w:rsidRDefault="00615671"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045DA">
              <w:rPr>
                <w:rFonts w:ascii="Arial" w:eastAsia="Times New Roman" w:hAnsi="Arial" w:cs="Arial"/>
                <w:sz w:val="20"/>
                <w:szCs w:val="20"/>
                <w:lang w:eastAsia="sl-SI"/>
              </w:rPr>
              <w:t>NE</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190370" w:rsidRDefault="00A4476F"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7045DA">
              <w:rPr>
                <w:rFonts w:ascii="Arial" w:eastAsia="Times New Roman" w:hAnsi="Arial" w:cs="Arial"/>
                <w:sz w:val="20"/>
                <w:szCs w:val="20"/>
                <w:lang w:eastAsia="sl-SI"/>
              </w:rPr>
              <w:t>NE</w:t>
            </w:r>
          </w:p>
        </w:tc>
      </w:tr>
      <w:tr w:rsidR="00AE1F83" w:rsidRPr="00AE1F83" w:rsidTr="008B2A83">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F005CD"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1F83" w:rsidRPr="00AE1F83" w:rsidTr="008B2A83">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AE1F83" w:rsidTr="008B2A83">
        <w:tc>
          <w:tcPr>
            <w:tcW w:w="9163" w:type="dxa"/>
            <w:gridSpan w:val="4"/>
            <w:tcBorders>
              <w:top w:val="single" w:sz="4" w:space="0" w:color="auto"/>
              <w:left w:val="single" w:sz="4" w:space="0" w:color="auto"/>
              <w:bottom w:val="single" w:sz="4" w:space="0" w:color="auto"/>
              <w:right w:val="single" w:sz="4" w:space="0" w:color="auto"/>
            </w:tcBorders>
          </w:tcPr>
          <w:p w:rsidR="004D78BB"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AE1F83" w:rsidRPr="00E20C76" w:rsidRDefault="004D78BB" w:rsidP="00E20C76">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20C76">
              <w:rPr>
                <w:rFonts w:ascii="Arial" w:eastAsia="Times New Roman" w:hAnsi="Arial" w:cs="Arial"/>
                <w:sz w:val="20"/>
                <w:szCs w:val="20"/>
                <w:lang w:eastAsia="sl-SI"/>
              </w:rPr>
              <w:t xml:space="preserve">Presoja posledic Zakona o informacijski varnosti (Uradni list RS, št. 30/18; v nadaljevanju: ZInfV) za posamezna področja, na katerih se izvajajo bistvene storitve, je bila celovito predstavljena v predlogu ZInfV </w:t>
            </w:r>
            <w:r w:rsidR="00E20C76" w:rsidRPr="00E20C76">
              <w:rPr>
                <w:rFonts w:ascii="Arial" w:eastAsia="Times New Roman" w:hAnsi="Arial" w:cs="Arial"/>
                <w:sz w:val="20"/>
                <w:szCs w:val="20"/>
                <w:lang w:eastAsia="sl-SI"/>
              </w:rPr>
              <w:t>(</w:t>
            </w:r>
            <w:r w:rsidR="00E20C76" w:rsidRPr="00E20C76">
              <w:rPr>
                <w:rFonts w:ascii="Arial" w:hAnsi="Arial" w:cs="Arial"/>
                <w:color w:val="000000"/>
                <w:sz w:val="20"/>
                <w:szCs w:val="20"/>
              </w:rPr>
              <w:t xml:space="preserve">prva obravnava), ki ga je Vlada RS obravnavala in sprejela na 166. redni seji </w:t>
            </w:r>
            <w:r w:rsidR="00615671">
              <w:rPr>
                <w:rFonts w:ascii="Arial" w:hAnsi="Arial" w:cs="Arial"/>
                <w:color w:val="000000"/>
                <w:sz w:val="20"/>
                <w:szCs w:val="20"/>
              </w:rPr>
              <w:t xml:space="preserve">dne </w:t>
            </w:r>
            <w:r w:rsidR="00E20C76" w:rsidRPr="00E20C76">
              <w:rPr>
                <w:rFonts w:ascii="Arial" w:hAnsi="Arial" w:cs="Arial"/>
                <w:color w:val="000000"/>
                <w:sz w:val="20"/>
                <w:szCs w:val="20"/>
              </w:rPr>
              <w:t>2. 2. 2018</w:t>
            </w:r>
            <w:r w:rsidR="00615671">
              <w:rPr>
                <w:rFonts w:ascii="Arial" w:hAnsi="Arial" w:cs="Arial"/>
                <w:color w:val="000000"/>
                <w:sz w:val="20"/>
                <w:szCs w:val="20"/>
              </w:rPr>
              <w:t xml:space="preserve"> </w:t>
            </w:r>
            <w:r w:rsidR="00615671" w:rsidRPr="00E20C76">
              <w:rPr>
                <w:rFonts w:ascii="Arial" w:hAnsi="Arial" w:cs="Arial"/>
                <w:color w:val="000000"/>
                <w:sz w:val="20"/>
                <w:szCs w:val="20"/>
              </w:rPr>
              <w:t>(sklep št. 00714-2/2018/28</w:t>
            </w:r>
            <w:r w:rsidR="00E20C76" w:rsidRPr="00E20C76">
              <w:rPr>
                <w:rFonts w:ascii="Arial" w:hAnsi="Arial" w:cs="Arial"/>
                <w:sz w:val="20"/>
                <w:szCs w:val="20"/>
              </w:rPr>
              <w:t xml:space="preserve">) </w:t>
            </w:r>
            <w:r w:rsidRPr="00E20C76">
              <w:rPr>
                <w:rFonts w:ascii="Arial" w:eastAsia="Times New Roman" w:hAnsi="Arial" w:cs="Arial"/>
                <w:sz w:val="20"/>
                <w:szCs w:val="20"/>
                <w:lang w:eastAsia="sl-SI"/>
              </w:rPr>
              <w:t>in se nanaša tudi na predložen predlog uredbe, ki se izdaja kot podzakonski predpis ZInfV.</w:t>
            </w:r>
            <w:r w:rsidR="00B801F7" w:rsidRPr="00E20C76">
              <w:rPr>
                <w:rFonts w:ascii="Arial" w:eastAsia="Times New Roman" w:hAnsi="Arial" w:cs="Arial"/>
                <w:sz w:val="20"/>
                <w:szCs w:val="20"/>
                <w:lang w:eastAsia="sl-SI"/>
              </w:rPr>
              <w:t xml:space="preserve"> </w:t>
            </w: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AE1F83" w:rsidTr="008B2A83">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rsidTr="008B2A83">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rsidTr="008B2A83">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8B2A83">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8B2A83">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8B2A83">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p>
        </w:tc>
      </w:tr>
      <w:tr w:rsidR="00AE1F83" w:rsidRPr="00AE1F83" w:rsidTr="008B2A83">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AE1F83" w:rsidTr="008B2A83">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rsidTr="008B2A83">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II.a Pravice porabe za izvedbo predlaganih rešitev so zagotovljene:</w:t>
            </w:r>
          </w:p>
        </w:tc>
      </w:tr>
      <w:tr w:rsidR="00AE1F83" w:rsidRPr="00AE1F83" w:rsidTr="008B2A83">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8B2A83">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8B2A83">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AE1F83" w:rsidTr="008B2A83">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AE1F83" w:rsidTr="008B2A83">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8B2A83">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AE1F83" w:rsidTr="008B2A83">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rsidTr="008B2A83">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AE1F83" w:rsidTr="008B2A83">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AE1F83" w:rsidRDefault="00AE1F83" w:rsidP="00AE1F83">
            <w:pPr>
              <w:widowControl w:val="0"/>
              <w:spacing w:after="0" w:line="260" w:lineRule="exact"/>
              <w:rPr>
                <w:rFonts w:ascii="Arial" w:eastAsia="Times New Roman" w:hAnsi="Arial" w:cs="Arial"/>
                <w:b/>
                <w:sz w:val="20"/>
                <w:szCs w:val="20"/>
              </w:rPr>
            </w:pPr>
          </w:p>
          <w:p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 xml:space="preserve">obveznosti za druga javnofinančna sredstva (drugi viri), ki niso načrtovana na ukrepih oziroma </w:t>
            </w:r>
            <w:r w:rsidRPr="00AE1F83">
              <w:rPr>
                <w:rFonts w:ascii="Arial" w:eastAsia="Times New Roman" w:hAnsi="Arial" w:cs="Arial"/>
                <w:sz w:val="20"/>
                <w:szCs w:val="20"/>
                <w:lang w:eastAsia="sl-SI"/>
              </w:rPr>
              <w:lastRenderedPageBreak/>
              <w:t>projektih sprejetih proračunov.</w:t>
            </w:r>
          </w:p>
          <w:p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rsidR="00AE1F83" w:rsidRPr="00AE1F83" w:rsidRDefault="00AE1F83" w:rsidP="00316744">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r w:rsidR="00450A54">
              <w:rPr>
                <w:rFonts w:ascii="Arial" w:eastAsia="Times New Roman" w:hAnsi="Arial" w:cs="Arial"/>
                <w:b/>
                <w:sz w:val="20"/>
                <w:szCs w:val="20"/>
              </w:rPr>
              <w:t xml:space="preserve"> /</w:t>
            </w: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AE1F83" w:rsidRPr="00AE1F83" w:rsidRDefault="00AE1F83" w:rsidP="009C49DF">
            <w:pPr>
              <w:tabs>
                <w:tab w:val="left" w:pos="3780"/>
              </w:tabs>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r w:rsidR="009C49DF">
              <w:rPr>
                <w:rFonts w:ascii="Arial" w:eastAsia="Times New Roman" w:hAnsi="Arial" w:cs="Arial"/>
                <w:b/>
                <w:sz w:val="20"/>
                <w:szCs w:val="20"/>
              </w:rPr>
              <w:tab/>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AE1F83" w:rsidRDefault="00450A54"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Skup</w:t>
            </w:r>
            <w:r w:rsidR="00A638D6">
              <w:rPr>
                <w:rFonts w:ascii="Arial" w:eastAsia="Times New Roman" w:hAnsi="Arial" w:cs="Arial"/>
                <w:iCs/>
                <w:sz w:val="20"/>
                <w:szCs w:val="20"/>
                <w:lang w:eastAsia="sl-SI"/>
              </w:rPr>
              <w:t>nosti občin Slovenije SOS: DA</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w:t>
            </w:r>
            <w:r w:rsidR="00A638D6">
              <w:rPr>
                <w:rFonts w:ascii="Arial" w:eastAsia="Times New Roman" w:hAnsi="Arial" w:cs="Arial"/>
                <w:iCs/>
                <w:sz w:val="20"/>
                <w:szCs w:val="20"/>
                <w:lang w:eastAsia="sl-SI"/>
              </w:rPr>
              <w:t>ženju občin Slovenije ZOS: DA</w:t>
            </w:r>
          </w:p>
          <w:p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mes</w:t>
            </w:r>
            <w:r w:rsidR="00A638D6">
              <w:rPr>
                <w:rFonts w:ascii="Arial" w:eastAsia="Times New Roman" w:hAnsi="Arial" w:cs="Arial"/>
                <w:iCs/>
                <w:sz w:val="20"/>
                <w:szCs w:val="20"/>
                <w:lang w:eastAsia="sl-SI"/>
              </w:rPr>
              <w:t>tnih občin Slovenije ZMOS: DA</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p>
          <w:p w:rsidR="00AE1F83" w:rsidRPr="007045D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045DA">
              <w:rPr>
                <w:rFonts w:ascii="Arial" w:eastAsia="Times New Roman" w:hAnsi="Arial" w:cs="Arial"/>
                <w:b/>
                <w:iCs/>
                <w:sz w:val="20"/>
                <w:szCs w:val="20"/>
                <w:lang w:eastAsia="sl-SI"/>
              </w:rPr>
              <w:t>v celoti,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44207D" w:rsidRPr="00A40F07" w:rsidRDefault="00AE1F83" w:rsidP="00A40F07">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r w:rsidR="00190370">
              <w:rPr>
                <w:rFonts w:ascii="Arial" w:eastAsia="Times New Roman" w:hAnsi="Arial" w:cs="Arial"/>
                <w:iCs/>
                <w:sz w:val="20"/>
                <w:szCs w:val="20"/>
                <w:lang w:eastAsia="sl-SI"/>
              </w:rPr>
              <w:t xml:space="preserve"> Pripomb združenj ni bilo.</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9. Predstavitev sodelovanja javnosti:</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AE1F83" w:rsidRDefault="004B3761"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(Če je odgovor NE, navedite, zakaj ni bilo objavljeno.)</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Default="00AA5847"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Datum objave: 28. 9. 2018</w:t>
            </w:r>
          </w:p>
          <w:p w:rsidR="00EF3E7A" w:rsidRDefault="00EF3E7A" w:rsidP="00316744">
            <w:pPr>
              <w:pStyle w:val="Neotevilenodstavek"/>
              <w:spacing w:before="0" w:after="0" w:line="260" w:lineRule="exact"/>
              <w:rPr>
                <w:iCs/>
                <w:sz w:val="20"/>
                <w:szCs w:val="20"/>
              </w:rPr>
            </w:pPr>
          </w:p>
          <w:p w:rsidR="00C4190E" w:rsidRDefault="00C4190E" w:rsidP="00316744">
            <w:pPr>
              <w:pStyle w:val="Neotevilenodstavek"/>
              <w:spacing w:before="0" w:after="0" w:line="260" w:lineRule="exact"/>
              <w:rPr>
                <w:sz w:val="20"/>
                <w:szCs w:val="20"/>
              </w:rPr>
            </w:pPr>
            <w:r w:rsidRPr="00574059">
              <w:rPr>
                <w:sz w:val="20"/>
                <w:szCs w:val="20"/>
              </w:rPr>
              <w:t xml:space="preserve">V javno obravnavo osnutka predloga uredbe so bile vključene strokovna, zainteresirana in druge javnosti, saj je bilo gradivo osnutka predloga uredbe objavljeno na Državnem portalu Republike Slovenje, e-uprava v rubriki e-demokracija (https://e-uprava.gov.si/drzava-in-druzba/e-demokracija/predlogi-predpisov/ </w:t>
            </w:r>
            <w:r w:rsidR="00574059">
              <w:rPr>
                <w:sz w:val="20"/>
                <w:szCs w:val="20"/>
              </w:rPr>
              <w:t xml:space="preserve">predlog-predpisa.html?id=8587) </w:t>
            </w:r>
            <w:r w:rsidRPr="00574059">
              <w:rPr>
                <w:sz w:val="20"/>
                <w:szCs w:val="20"/>
              </w:rPr>
              <w:t>ter spletnih straneh MJU (</w:t>
            </w:r>
            <w:hyperlink r:id="rId10" w:history="1">
              <w:r w:rsidRPr="00574059">
                <w:rPr>
                  <w:sz w:val="20"/>
                  <w:szCs w:val="20"/>
                </w:rPr>
                <w:t>http://www.mju.gov.si/si/</w:t>
              </w:r>
            </w:hyperlink>
            <w:r w:rsidRPr="00574059">
              <w:rPr>
                <w:sz w:val="20"/>
                <w:szCs w:val="20"/>
              </w:rPr>
              <w:t>delovna_podrocja/ informacijska_druzba/javne_objave_predlogi/) z rokom za oddajo pripomb do dne 29. oktobra 2018. Hkrati so bili o javni obravnavi osnutka predloga uredbe še posebej obveščeni nekateri deležniki, kot tudi nekateri državni organi in resorji ter združenja oziroma skupnosti lokalne samouprave, in sicer:</w:t>
            </w:r>
          </w:p>
          <w:p w:rsidR="00316744" w:rsidRPr="00574059" w:rsidRDefault="00316744" w:rsidP="00316744">
            <w:pPr>
              <w:pStyle w:val="Neotevilenodstavek"/>
              <w:spacing w:before="0" w:after="0" w:line="260" w:lineRule="exact"/>
              <w:rPr>
                <w:sz w:val="20"/>
                <w:szCs w:val="20"/>
              </w:rPr>
            </w:pPr>
          </w:p>
          <w:p w:rsidR="00C4190E" w:rsidRDefault="00574059" w:rsidP="0031674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00C4190E" w:rsidRPr="00574059">
              <w:rPr>
                <w:rFonts w:ascii="Arial" w:eastAsia="Times New Roman" w:hAnsi="Arial" w:cs="Arial"/>
                <w:sz w:val="20"/>
                <w:szCs w:val="20"/>
                <w:lang w:eastAsia="sl-SI"/>
              </w:rPr>
              <w:t xml:space="preserve">gencija Republike Slovenije za energijo (AGEN RS), Agencija za komunikacijska omrežja in storitve RS (AKOS), </w:t>
            </w:r>
            <w:r w:rsidR="003440E2" w:rsidRPr="00574059">
              <w:rPr>
                <w:rFonts w:ascii="Arial" w:eastAsia="Times New Roman" w:hAnsi="Arial" w:cs="Arial"/>
                <w:sz w:val="20"/>
                <w:szCs w:val="20"/>
                <w:lang w:eastAsia="sl-SI"/>
              </w:rPr>
              <w:t xml:space="preserve">Akademska in raziskovalna mreža Slovenije (Arnes), </w:t>
            </w:r>
            <w:r w:rsidR="00C4190E" w:rsidRPr="00574059">
              <w:rPr>
                <w:rFonts w:ascii="Arial" w:eastAsia="Times New Roman" w:hAnsi="Arial" w:cs="Arial"/>
                <w:sz w:val="20"/>
                <w:szCs w:val="20"/>
                <w:lang w:eastAsia="sl-SI"/>
              </w:rPr>
              <w:t xml:space="preserve">Banka Slovenije (BS), Gospodarska zbornica Slovenije (GZS), </w:t>
            </w:r>
            <w:r w:rsidR="003440E2" w:rsidRPr="00574059">
              <w:rPr>
                <w:rFonts w:ascii="Arial" w:eastAsia="Times New Roman" w:hAnsi="Arial" w:cs="Arial"/>
                <w:sz w:val="20"/>
                <w:szCs w:val="20"/>
                <w:lang w:eastAsia="sl-SI"/>
              </w:rPr>
              <w:t xml:space="preserve">Trgovinska zbornica (TZ), </w:t>
            </w:r>
            <w:r w:rsidR="00C4190E" w:rsidRPr="00574059">
              <w:rPr>
                <w:rFonts w:ascii="Arial" w:eastAsia="Times New Roman" w:hAnsi="Arial" w:cs="Arial"/>
                <w:sz w:val="20"/>
                <w:szCs w:val="20"/>
                <w:lang w:eastAsia="sl-SI"/>
              </w:rPr>
              <w:t xml:space="preserve">SI CERT, Urad Vlade za varovanje tajnih podatkov (UVTP), Združenje bank Slovenije (ZB), </w:t>
            </w:r>
            <w:r w:rsidR="003440E2" w:rsidRPr="00574059">
              <w:rPr>
                <w:rFonts w:ascii="Arial" w:eastAsia="Times New Roman" w:hAnsi="Arial" w:cs="Arial"/>
                <w:sz w:val="20"/>
                <w:szCs w:val="20"/>
                <w:lang w:eastAsia="sl-SI"/>
              </w:rPr>
              <w:t xml:space="preserve">Slovenski inštitut za revizijo (SIR), </w:t>
            </w:r>
            <w:r w:rsidR="00C4190E" w:rsidRPr="00574059">
              <w:rPr>
                <w:rFonts w:ascii="Arial" w:eastAsia="Times New Roman" w:hAnsi="Arial" w:cs="Arial"/>
                <w:sz w:val="20"/>
                <w:szCs w:val="20"/>
                <w:lang w:eastAsia="sl-SI"/>
              </w:rPr>
              <w:t xml:space="preserve">Ministrstvo za finance (MF), Ministrstvo za gospodarski razvoj in tehnologijo (MGRT), Ministrstvo za infrastrukturo (MzI), </w:t>
            </w:r>
            <w:r w:rsidR="00AD6501" w:rsidRPr="00574059">
              <w:rPr>
                <w:rFonts w:ascii="Arial" w:eastAsia="Times New Roman" w:hAnsi="Arial" w:cs="Arial"/>
                <w:sz w:val="20"/>
                <w:szCs w:val="20"/>
                <w:lang w:eastAsia="sl-SI"/>
              </w:rPr>
              <w:t xml:space="preserve">Ministrstvo za kmetijstvo, gozdarstvo in prehrano (MKGP), </w:t>
            </w:r>
            <w:r w:rsidR="00C4190E" w:rsidRPr="00574059">
              <w:rPr>
                <w:rFonts w:ascii="Arial" w:eastAsia="Times New Roman" w:hAnsi="Arial" w:cs="Arial"/>
                <w:sz w:val="20"/>
                <w:szCs w:val="20"/>
                <w:lang w:eastAsia="sl-SI"/>
              </w:rPr>
              <w:t>Ministrstvo za okolje in prostor (MOP), Ministrstvo za zdravje (MZ)</w:t>
            </w:r>
            <w:r w:rsidR="003440E2" w:rsidRPr="00574059">
              <w:rPr>
                <w:rFonts w:ascii="Arial" w:eastAsia="Times New Roman" w:hAnsi="Arial" w:cs="Arial"/>
                <w:sz w:val="20"/>
                <w:szCs w:val="20"/>
                <w:lang w:eastAsia="sl-SI"/>
              </w:rPr>
              <w:t>.</w:t>
            </w:r>
          </w:p>
          <w:p w:rsidR="00EF3E7A" w:rsidRPr="00574059" w:rsidRDefault="00EF3E7A" w:rsidP="00316744">
            <w:pPr>
              <w:spacing w:after="0" w:line="260" w:lineRule="exact"/>
              <w:jc w:val="both"/>
              <w:rPr>
                <w:rFonts w:ascii="Arial" w:eastAsia="Times New Roman" w:hAnsi="Arial" w:cs="Arial"/>
                <w:sz w:val="20"/>
                <w:szCs w:val="20"/>
                <w:lang w:eastAsia="sl-SI"/>
              </w:rPr>
            </w:pPr>
          </w:p>
          <w:p w:rsidR="00C4190E" w:rsidRPr="0072255B" w:rsidRDefault="00090E6F" w:rsidP="0031674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Skupnost</w:t>
            </w:r>
            <w:r w:rsidR="00C4190E" w:rsidRPr="00574059">
              <w:rPr>
                <w:rFonts w:ascii="Arial" w:eastAsia="Times New Roman" w:hAnsi="Arial" w:cs="Arial"/>
                <w:sz w:val="20"/>
                <w:szCs w:val="20"/>
                <w:lang w:eastAsia="sl-SI"/>
              </w:rPr>
              <w:t xml:space="preserve"> občin Slovenije (SOS), Združenje občin Slovenije</w:t>
            </w:r>
            <w:r w:rsidR="001D3BF3">
              <w:rPr>
                <w:rFonts w:ascii="Arial" w:eastAsia="Times New Roman" w:hAnsi="Arial" w:cs="Arial"/>
                <w:sz w:val="20"/>
                <w:szCs w:val="20"/>
                <w:lang w:eastAsia="sl-SI"/>
              </w:rPr>
              <w:t xml:space="preserve"> (ZOS)</w:t>
            </w:r>
            <w:r w:rsidR="00C4190E" w:rsidRPr="00574059">
              <w:rPr>
                <w:rFonts w:ascii="Arial" w:eastAsia="Times New Roman" w:hAnsi="Arial" w:cs="Arial"/>
                <w:sz w:val="20"/>
                <w:szCs w:val="20"/>
                <w:lang w:eastAsia="sl-SI"/>
              </w:rPr>
              <w:t xml:space="preserve">, Združenje mestnih občin </w:t>
            </w:r>
            <w:r w:rsidR="001D3BF3">
              <w:rPr>
                <w:rFonts w:ascii="Arial" w:eastAsia="Times New Roman" w:hAnsi="Arial" w:cs="Arial"/>
                <w:sz w:val="20"/>
                <w:szCs w:val="20"/>
                <w:lang w:eastAsia="sl-SI"/>
              </w:rPr>
              <w:t>Slovenije (ZMOS)</w:t>
            </w:r>
            <w:r>
              <w:rPr>
                <w:rFonts w:ascii="Arial" w:eastAsia="Times New Roman" w:hAnsi="Arial" w:cs="Arial"/>
                <w:sz w:val="20"/>
                <w:szCs w:val="20"/>
                <w:lang w:eastAsia="sl-SI"/>
              </w:rPr>
              <w:t xml:space="preserve"> </w:t>
            </w:r>
            <w:r w:rsidR="00C4190E" w:rsidRPr="00574059">
              <w:rPr>
                <w:rFonts w:ascii="Arial" w:eastAsia="Times New Roman" w:hAnsi="Arial" w:cs="Arial"/>
                <w:sz w:val="20"/>
                <w:szCs w:val="20"/>
                <w:lang w:eastAsia="sl-SI"/>
              </w:rPr>
              <w:t>pa so bili hkrati z dopisom</w:t>
            </w:r>
            <w:r w:rsidR="00C6739E">
              <w:rPr>
                <w:rFonts w:ascii="Arial" w:eastAsia="Times New Roman" w:hAnsi="Arial" w:cs="Arial"/>
                <w:sz w:val="20"/>
                <w:szCs w:val="20"/>
                <w:lang w:eastAsia="sl-SI"/>
              </w:rPr>
              <w:t>,</w:t>
            </w:r>
            <w:r w:rsidR="00C4190E" w:rsidRPr="00574059">
              <w:rPr>
                <w:rFonts w:ascii="Arial" w:eastAsia="Times New Roman" w:hAnsi="Arial" w:cs="Arial"/>
                <w:sz w:val="20"/>
                <w:szCs w:val="20"/>
                <w:lang w:eastAsia="sl-SI"/>
              </w:rPr>
              <w:t xml:space="preserve"> s katerim so bili obveščeni, da poteka javna obravnava osnutka uredbe</w:t>
            </w:r>
            <w:r w:rsidR="00C6739E">
              <w:rPr>
                <w:rFonts w:ascii="Arial" w:eastAsia="Times New Roman" w:hAnsi="Arial" w:cs="Arial"/>
                <w:sz w:val="20"/>
                <w:szCs w:val="20"/>
                <w:lang w:eastAsia="sl-SI"/>
              </w:rPr>
              <w:t>,</w:t>
            </w:r>
            <w:r w:rsidR="00C4190E" w:rsidRPr="00574059">
              <w:rPr>
                <w:rFonts w:ascii="Arial" w:eastAsia="Times New Roman" w:hAnsi="Arial" w:cs="Arial"/>
                <w:sz w:val="20"/>
                <w:szCs w:val="20"/>
                <w:lang w:eastAsia="sl-SI"/>
              </w:rPr>
              <w:t xml:space="preserve"> tudi naprošeni, da z javno obravnavo in možnostjo podaje pripomb seznanijo tudi še druge morebitne zainteresirane deležnike z njihovega področja dela, za katere ocenjujejo, da bi jih predvidena ureditev lahko zadevala.</w:t>
            </w:r>
          </w:p>
          <w:p w:rsidR="00AE1F83" w:rsidRPr="00316744" w:rsidRDefault="00AE1F83" w:rsidP="00D859A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16744">
              <w:rPr>
                <w:rFonts w:ascii="Arial" w:eastAsia="Times New Roman" w:hAnsi="Arial" w:cs="Arial"/>
                <w:sz w:val="20"/>
                <w:szCs w:val="20"/>
                <w:lang w:eastAsia="sl-SI"/>
              </w:rPr>
              <w:t>Mnenja, predlogi in pripombe z navedbo predlagateljev (imen in priimkov fizičnih oseb, ki niso poslovni subjekti, ne navajajte):</w:t>
            </w:r>
          </w:p>
          <w:p w:rsidR="008B2A83" w:rsidRDefault="008B2A83" w:rsidP="008B2A83">
            <w:pPr>
              <w:pStyle w:val="Odstavekseznama"/>
              <w:widowControl w:val="0"/>
              <w:numPr>
                <w:ilvl w:val="0"/>
                <w:numId w:val="32"/>
              </w:numPr>
              <w:overflowPunct w:val="0"/>
              <w:autoSpaceDE w:val="0"/>
              <w:autoSpaceDN w:val="0"/>
              <w:adjustRightInd w:val="0"/>
              <w:jc w:val="both"/>
              <w:textAlignment w:val="baseline"/>
              <w:rPr>
                <w:rFonts w:cs="Arial"/>
                <w:szCs w:val="20"/>
                <w:lang w:eastAsia="sl-SI"/>
              </w:rPr>
            </w:pPr>
            <w:r w:rsidRPr="008B2A83">
              <w:rPr>
                <w:rFonts w:cs="Arial"/>
                <w:szCs w:val="20"/>
                <w:lang w:eastAsia="sl-SI"/>
              </w:rPr>
              <w:t>Združenje za informatiko in telekomunikacije</w:t>
            </w:r>
            <w:r w:rsidR="00A34EFC">
              <w:rPr>
                <w:rFonts w:cs="Arial"/>
                <w:szCs w:val="20"/>
                <w:lang w:eastAsia="sl-SI"/>
              </w:rPr>
              <w:t>,</w:t>
            </w:r>
            <w:r w:rsidRPr="008B2A83">
              <w:rPr>
                <w:rFonts w:cs="Arial"/>
                <w:szCs w:val="20"/>
                <w:lang w:eastAsia="sl-SI"/>
              </w:rPr>
              <w:t xml:space="preserve"> </w:t>
            </w:r>
            <w:r w:rsidR="00A34EFC">
              <w:rPr>
                <w:rFonts w:cs="Arial"/>
                <w:szCs w:val="20"/>
                <w:lang w:eastAsia="sl-SI"/>
              </w:rPr>
              <w:t>Gospodarska zbornica</w:t>
            </w:r>
            <w:r w:rsidRPr="008B2A83">
              <w:rPr>
                <w:rFonts w:cs="Arial"/>
                <w:szCs w:val="20"/>
                <w:lang w:eastAsia="sl-SI"/>
              </w:rPr>
              <w:t xml:space="preserve"> Slovenije</w:t>
            </w:r>
            <w:r w:rsidR="00C6739E">
              <w:rPr>
                <w:rFonts w:cs="Arial"/>
                <w:szCs w:val="20"/>
                <w:lang w:eastAsia="sl-SI"/>
              </w:rPr>
              <w:t>,</w:t>
            </w:r>
          </w:p>
          <w:p w:rsidR="00A34EFC" w:rsidRDefault="008B2A83" w:rsidP="008B2A83">
            <w:pPr>
              <w:pStyle w:val="Odstavekseznama"/>
              <w:widowControl w:val="0"/>
              <w:numPr>
                <w:ilvl w:val="0"/>
                <w:numId w:val="32"/>
              </w:numPr>
              <w:overflowPunct w:val="0"/>
              <w:autoSpaceDE w:val="0"/>
              <w:autoSpaceDN w:val="0"/>
              <w:adjustRightInd w:val="0"/>
              <w:jc w:val="both"/>
              <w:textAlignment w:val="baseline"/>
              <w:rPr>
                <w:rFonts w:cs="Arial"/>
                <w:szCs w:val="20"/>
                <w:lang w:eastAsia="sl-SI"/>
              </w:rPr>
            </w:pPr>
            <w:r w:rsidRPr="00A34EFC">
              <w:rPr>
                <w:rFonts w:cs="Arial"/>
                <w:szCs w:val="20"/>
                <w:lang w:eastAsia="sl-SI"/>
              </w:rPr>
              <w:t>Urgentni center, Univerz</w:t>
            </w:r>
            <w:r w:rsidR="00A34EFC">
              <w:rPr>
                <w:rFonts w:cs="Arial"/>
                <w:szCs w:val="20"/>
                <w:lang w:eastAsia="sl-SI"/>
              </w:rPr>
              <w:t>itetni klinični center Maribor</w:t>
            </w:r>
            <w:r w:rsidR="00C6739E">
              <w:rPr>
                <w:rFonts w:cs="Arial"/>
                <w:szCs w:val="20"/>
                <w:lang w:eastAsia="sl-SI"/>
              </w:rPr>
              <w:t>,</w:t>
            </w:r>
          </w:p>
          <w:p w:rsidR="00A34EFC" w:rsidRPr="00A34EFC" w:rsidRDefault="008B2A83" w:rsidP="008B2A83">
            <w:pPr>
              <w:pStyle w:val="Odstavekseznama"/>
              <w:widowControl w:val="0"/>
              <w:numPr>
                <w:ilvl w:val="0"/>
                <w:numId w:val="32"/>
              </w:numPr>
              <w:overflowPunct w:val="0"/>
              <w:autoSpaceDE w:val="0"/>
              <w:autoSpaceDN w:val="0"/>
              <w:adjustRightInd w:val="0"/>
              <w:jc w:val="both"/>
              <w:textAlignment w:val="baseline"/>
              <w:rPr>
                <w:rFonts w:cs="Arial"/>
                <w:szCs w:val="20"/>
                <w:lang w:eastAsia="sl-SI"/>
              </w:rPr>
            </w:pPr>
            <w:r w:rsidRPr="00A34EFC">
              <w:rPr>
                <w:rFonts w:cs="Arial"/>
                <w:szCs w:val="20"/>
                <w:lang w:eastAsia="sl-SI"/>
              </w:rPr>
              <w:t>Zdr</w:t>
            </w:r>
            <w:r w:rsidR="00A34EFC" w:rsidRPr="00A34EFC">
              <w:rPr>
                <w:rFonts w:cs="Arial"/>
                <w:szCs w:val="20"/>
                <w:lang w:eastAsia="sl-SI"/>
              </w:rPr>
              <w:t>u</w:t>
            </w:r>
            <w:r w:rsidRPr="00A34EFC">
              <w:rPr>
                <w:rFonts w:cs="Arial"/>
                <w:szCs w:val="20"/>
                <w:lang w:eastAsia="sl-SI"/>
              </w:rPr>
              <w:t>ž</w:t>
            </w:r>
            <w:r w:rsidR="00A34EFC" w:rsidRPr="00A34EFC">
              <w:rPr>
                <w:rFonts w:cs="Arial"/>
                <w:szCs w:val="20"/>
                <w:lang w:eastAsia="sl-SI"/>
              </w:rPr>
              <w:t>enje bank Slovenije</w:t>
            </w:r>
            <w:r w:rsidR="00C6739E">
              <w:rPr>
                <w:rFonts w:cs="Arial"/>
                <w:szCs w:val="20"/>
                <w:lang w:eastAsia="sl-SI"/>
              </w:rPr>
              <w:t>,</w:t>
            </w:r>
          </w:p>
          <w:p w:rsidR="00A34EFC" w:rsidRPr="00A34EFC" w:rsidRDefault="00A34EFC" w:rsidP="008B2A83">
            <w:pPr>
              <w:pStyle w:val="Odstavekseznama"/>
              <w:widowControl w:val="0"/>
              <w:numPr>
                <w:ilvl w:val="0"/>
                <w:numId w:val="32"/>
              </w:numPr>
              <w:overflowPunct w:val="0"/>
              <w:autoSpaceDE w:val="0"/>
              <w:autoSpaceDN w:val="0"/>
              <w:adjustRightInd w:val="0"/>
              <w:jc w:val="both"/>
              <w:textAlignment w:val="baseline"/>
              <w:rPr>
                <w:rFonts w:cs="Arial"/>
                <w:szCs w:val="20"/>
                <w:lang w:eastAsia="sl-SI"/>
              </w:rPr>
            </w:pPr>
            <w:r w:rsidRPr="00A34EFC">
              <w:rPr>
                <w:rFonts w:cs="Arial"/>
                <w:szCs w:val="20"/>
                <w:lang w:eastAsia="sl-SI"/>
              </w:rPr>
              <w:t>Agencija za energijo</w:t>
            </w:r>
            <w:r w:rsidR="00C6739E">
              <w:rPr>
                <w:rFonts w:cs="Arial"/>
                <w:szCs w:val="20"/>
                <w:lang w:eastAsia="sl-SI"/>
              </w:rPr>
              <w:t>,</w:t>
            </w:r>
          </w:p>
          <w:p w:rsidR="00A34EFC" w:rsidRPr="008B2A83" w:rsidRDefault="00A34EFC" w:rsidP="008B2A83">
            <w:pPr>
              <w:pStyle w:val="Odstavekseznama"/>
              <w:widowControl w:val="0"/>
              <w:numPr>
                <w:ilvl w:val="0"/>
                <w:numId w:val="32"/>
              </w:numPr>
              <w:overflowPunct w:val="0"/>
              <w:autoSpaceDE w:val="0"/>
              <w:autoSpaceDN w:val="0"/>
              <w:adjustRightInd w:val="0"/>
              <w:jc w:val="both"/>
              <w:textAlignment w:val="baseline"/>
              <w:rPr>
                <w:rFonts w:cs="Arial"/>
                <w:szCs w:val="20"/>
                <w:lang w:eastAsia="sl-SI"/>
              </w:rPr>
            </w:pPr>
            <w:r>
              <w:rPr>
                <w:rFonts w:cs="Arial"/>
                <w:szCs w:val="20"/>
                <w:lang w:eastAsia="sl-SI"/>
              </w:rPr>
              <w:t>Trgovinska zbornica Slovenije</w:t>
            </w:r>
          </w:p>
          <w:p w:rsidR="003837E6" w:rsidRDefault="003837E6"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952712" w:rsidRDefault="00952712"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Osnutek predloga uredbe je bil dne 5. 10. 2018 posredovan v mnenje Evropski centralni banki na podlagi členov 127(4) in 282(5) Pogodbe o delovanju Evropske unije ter tretje, pete in šeste alineje člena 2(1) Odločbe Sveta 98/415/ES </w:t>
            </w:r>
            <w:r w:rsidRPr="00952712">
              <w:rPr>
                <w:rFonts w:ascii="Arial" w:eastAsia="Times New Roman" w:hAnsi="Arial" w:cs="Arial"/>
                <w:iCs/>
                <w:sz w:val="20"/>
                <w:szCs w:val="20"/>
                <w:lang w:eastAsia="sl-SI"/>
              </w:rPr>
              <w:t>z dne 29. junija 1998 o posvetovanju nacionalnih organov z Evropsko centralno banko glede osnutkov pravnih predpisov (UL L 189, 3.7.1998, str. 42).</w:t>
            </w:r>
          </w:p>
          <w:p w:rsidR="00952712" w:rsidRPr="00AE1F83" w:rsidRDefault="00952712"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AE1F83" w:rsidRPr="007045D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7045DA">
              <w:rPr>
                <w:rFonts w:ascii="Arial" w:eastAsia="Times New Roman" w:hAnsi="Arial" w:cs="Arial"/>
                <w:b/>
                <w:iCs/>
                <w:sz w:val="20"/>
                <w:szCs w:val="20"/>
                <w:lang w:eastAsia="sl-SI"/>
              </w:rPr>
              <w:t>večinoma,</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AE1F83" w:rsidRPr="00AE1F83"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rsidR="00AE1F83" w:rsidRPr="00AE1F83" w:rsidRDefault="00AE1F83" w:rsidP="0044207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 xml:space="preserve">10. Pri pripravi gradiva so bile upoštevane zahteve iz Resolucije o </w:t>
            </w:r>
            <w:r w:rsidRPr="00AE1F83">
              <w:rPr>
                <w:rFonts w:ascii="Arial" w:eastAsia="Times New Roman" w:hAnsi="Arial" w:cs="Arial"/>
                <w:b/>
                <w:sz w:val="20"/>
                <w:szCs w:val="20"/>
                <w:lang w:eastAsia="sl-SI"/>
              </w:rPr>
              <w:lastRenderedPageBreak/>
              <w:t>normativni dejavnosti:</w:t>
            </w:r>
          </w:p>
        </w:tc>
        <w:tc>
          <w:tcPr>
            <w:tcW w:w="2431" w:type="dxa"/>
            <w:gridSpan w:val="2"/>
            <w:vAlign w:val="center"/>
          </w:tcPr>
          <w:p w:rsidR="00AE1F83" w:rsidRPr="00AE1F83" w:rsidRDefault="00D859AD"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lastRenderedPageBreak/>
              <w:t>DA</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AE1F83" w:rsidRDefault="00E30865"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AE1F83" w:rsidRPr="00AE1F83" w:rsidTr="008B2A8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AE1F83" w:rsidRPr="00AE1F83" w:rsidRDefault="00D859AD"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AE1F83" w:rsidRPr="00AE1F83">
              <w:rPr>
                <w:rFonts w:ascii="Arial" w:eastAsia="Times New Roman" w:hAnsi="Arial" w:cs="Arial"/>
                <w:sz w:val="20"/>
                <w:szCs w:val="20"/>
                <w:lang w:eastAsia="sl-SI"/>
              </w:rPr>
              <w:t>PODPIS PREDLAGATELJA</w:t>
            </w:r>
          </w:p>
          <w:p w:rsidR="00AE1F83" w:rsidRDefault="00D859AD"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Rudi Medved</w:t>
            </w:r>
          </w:p>
          <w:p w:rsidR="00D859AD" w:rsidRPr="00D859AD" w:rsidRDefault="00D859AD"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minister</w:t>
            </w:r>
          </w:p>
        </w:tc>
      </w:tr>
    </w:tbl>
    <w:p w:rsidR="00316744" w:rsidRDefault="00316744" w:rsidP="00D859AD">
      <w:pPr>
        <w:jc w:val="both"/>
        <w:rPr>
          <w:rFonts w:ascii="Arial" w:hAnsi="Arial" w:cs="Arial"/>
          <w:sz w:val="20"/>
          <w:szCs w:val="20"/>
        </w:rPr>
      </w:pPr>
    </w:p>
    <w:p w:rsidR="0036453E" w:rsidRDefault="00D859AD" w:rsidP="00603D37">
      <w:pPr>
        <w:jc w:val="both"/>
        <w:rPr>
          <w:rFonts w:ascii="Arial" w:hAnsi="Arial" w:cs="Arial"/>
          <w:snapToGrid w:val="0"/>
          <w:sz w:val="20"/>
          <w:szCs w:val="20"/>
        </w:rPr>
      </w:pPr>
      <w:r w:rsidRPr="00D859AD">
        <w:rPr>
          <w:rFonts w:ascii="Arial" w:hAnsi="Arial" w:cs="Arial"/>
          <w:sz w:val="20"/>
          <w:szCs w:val="20"/>
        </w:rPr>
        <w:t>Priloga:</w:t>
      </w:r>
      <w:r w:rsidRPr="00D859AD">
        <w:rPr>
          <w:rFonts w:ascii="Arial" w:hAnsi="Arial" w:cs="Arial"/>
          <w:b/>
          <w:snapToGrid w:val="0"/>
          <w:sz w:val="20"/>
          <w:szCs w:val="20"/>
        </w:rPr>
        <w:t xml:space="preserve"> </w:t>
      </w:r>
      <w:r w:rsidRPr="00D859AD">
        <w:rPr>
          <w:rFonts w:ascii="Arial" w:hAnsi="Arial" w:cs="Arial"/>
          <w:snapToGrid w:val="0"/>
          <w:sz w:val="20"/>
          <w:szCs w:val="20"/>
        </w:rPr>
        <w:t>Predlog Uredbe o določitvi bistvenih storitev in podrobnejši metodologiji za določitev izvajalcev bistvenih storitev</w:t>
      </w:r>
      <w:bookmarkStart w:id="1" w:name="_Hlk525660513"/>
    </w:p>
    <w:p w:rsidR="0036453E" w:rsidRDefault="0036453E">
      <w:pPr>
        <w:rPr>
          <w:rFonts w:ascii="Arial" w:hAnsi="Arial" w:cs="Arial"/>
          <w:snapToGrid w:val="0"/>
          <w:sz w:val="20"/>
          <w:szCs w:val="20"/>
        </w:rPr>
      </w:pPr>
      <w:r>
        <w:rPr>
          <w:rFonts w:ascii="Arial" w:hAnsi="Arial" w:cs="Arial"/>
          <w:snapToGrid w:val="0"/>
          <w:sz w:val="20"/>
          <w:szCs w:val="20"/>
        </w:rPr>
        <w:br w:type="page"/>
      </w:r>
    </w:p>
    <w:p w:rsidR="00D053B8" w:rsidRPr="00D053B8" w:rsidRDefault="00D053B8" w:rsidP="00603D37">
      <w:pPr>
        <w:jc w:val="both"/>
        <w:rPr>
          <w:rFonts w:ascii="Arial" w:hAnsi="Arial" w:cs="Arial"/>
          <w:snapToGrid w:val="0"/>
          <w:sz w:val="20"/>
          <w:szCs w:val="20"/>
        </w:rPr>
      </w:pPr>
    </w:p>
    <w:p w:rsidR="00D053B8" w:rsidRPr="00B24BE2" w:rsidRDefault="00D053B8" w:rsidP="0015127C">
      <w:pPr>
        <w:tabs>
          <w:tab w:val="left" w:pos="708"/>
        </w:tabs>
        <w:jc w:val="right"/>
        <w:rPr>
          <w:rFonts w:ascii="Arial" w:hAnsi="Arial" w:cs="Arial"/>
          <w:b/>
          <w:sz w:val="20"/>
          <w:szCs w:val="20"/>
        </w:rPr>
      </w:pPr>
      <w:r w:rsidRPr="00B24BE2">
        <w:rPr>
          <w:rFonts w:ascii="Arial" w:hAnsi="Arial" w:cs="Arial"/>
          <w:b/>
          <w:sz w:val="20"/>
          <w:szCs w:val="20"/>
        </w:rPr>
        <w:t>PREDLOG</w:t>
      </w:r>
    </w:p>
    <w:p w:rsidR="00D053B8" w:rsidRPr="006F4D38" w:rsidRDefault="00D053B8" w:rsidP="006F4D38">
      <w:pPr>
        <w:tabs>
          <w:tab w:val="left" w:pos="708"/>
        </w:tabs>
        <w:jc w:val="right"/>
        <w:rPr>
          <w:rFonts w:ascii="Arial" w:hAnsi="Arial" w:cs="Arial"/>
          <w:b/>
          <w:sz w:val="20"/>
          <w:szCs w:val="20"/>
        </w:rPr>
      </w:pPr>
      <w:r w:rsidRPr="00B24BE2">
        <w:rPr>
          <w:rFonts w:ascii="Arial" w:hAnsi="Arial" w:cs="Arial"/>
          <w:b/>
          <w:sz w:val="20"/>
          <w:szCs w:val="20"/>
        </w:rPr>
        <w:t>(EVA</w:t>
      </w:r>
      <w:r>
        <w:rPr>
          <w:rFonts w:ascii="Arial" w:hAnsi="Arial" w:cs="Arial"/>
          <w:b/>
          <w:sz w:val="20"/>
          <w:szCs w:val="20"/>
        </w:rPr>
        <w:t xml:space="preserve"> 2018-3130-0029</w:t>
      </w:r>
      <w:r w:rsidR="006F4D38">
        <w:rPr>
          <w:rFonts w:ascii="Arial" w:hAnsi="Arial" w:cs="Arial"/>
          <w:b/>
          <w:sz w:val="20"/>
          <w:szCs w:val="20"/>
        </w:rPr>
        <w:t>)</w:t>
      </w:r>
    </w:p>
    <w:p w:rsidR="00D053B8" w:rsidRDefault="00D053B8" w:rsidP="00D053B8">
      <w:pPr>
        <w:pStyle w:val="Bodytext30"/>
        <w:shd w:val="clear" w:color="auto" w:fill="auto"/>
        <w:tabs>
          <w:tab w:val="left" w:pos="284"/>
        </w:tabs>
        <w:spacing w:after="0" w:line="240" w:lineRule="auto"/>
        <w:ind w:firstLine="0"/>
        <w:jc w:val="center"/>
        <w:rPr>
          <w:rStyle w:val="Bodytext3"/>
          <w:rFonts w:ascii="Arial" w:hAnsi="Arial" w:cs="Arial"/>
          <w:color w:val="000000"/>
          <w:sz w:val="20"/>
          <w:szCs w:val="20"/>
        </w:rPr>
      </w:pPr>
    </w:p>
    <w:p w:rsidR="00EA6C68" w:rsidRPr="00B24BE2" w:rsidRDefault="00EA6C68" w:rsidP="00EA6C68">
      <w:pPr>
        <w:pStyle w:val="Besedilo"/>
        <w:rPr>
          <w:sz w:val="20"/>
          <w:szCs w:val="20"/>
        </w:rPr>
      </w:pPr>
      <w:r w:rsidRPr="00B24BE2">
        <w:rPr>
          <w:sz w:val="20"/>
          <w:szCs w:val="20"/>
        </w:rPr>
        <w:t xml:space="preserve">Na podlagi prvega odstavka 6. člena in četrtega odstavka 7. člena </w:t>
      </w:r>
      <w:r w:rsidRPr="00B24BE2">
        <w:rPr>
          <w:rStyle w:val="Bodytext2"/>
          <w:rFonts w:ascii="Arial" w:hAnsi="Arial" w:cs="Arial"/>
          <w:sz w:val="20"/>
          <w:szCs w:val="20"/>
        </w:rPr>
        <w:t>Zakona</w:t>
      </w:r>
      <w:r w:rsidRPr="00B24BE2">
        <w:rPr>
          <w:sz w:val="20"/>
          <w:szCs w:val="20"/>
        </w:rPr>
        <w:t xml:space="preserve"> o informacijski varnosti (Uradni list RS, št. 30/18) izdaja Vlada Republike Slovenije</w:t>
      </w:r>
    </w:p>
    <w:p w:rsidR="00EA6C68" w:rsidRPr="00B24BE2" w:rsidRDefault="00EA6C68" w:rsidP="00EA6C68">
      <w:pPr>
        <w:pStyle w:val="Bodytext20"/>
        <w:shd w:val="clear" w:color="auto" w:fill="auto"/>
        <w:tabs>
          <w:tab w:val="left" w:leader="underscore" w:pos="200"/>
          <w:tab w:val="left" w:leader="underscore" w:pos="802"/>
        </w:tabs>
        <w:spacing w:before="0" w:after="0" w:line="300" w:lineRule="exact"/>
        <w:ind w:firstLine="0"/>
        <w:rPr>
          <w:rStyle w:val="Bodytext2"/>
          <w:rFonts w:ascii="Arial" w:hAnsi="Arial" w:cs="Arial"/>
          <w:color w:val="000000"/>
          <w:sz w:val="20"/>
          <w:szCs w:val="20"/>
        </w:rPr>
      </w:pPr>
    </w:p>
    <w:p w:rsidR="00EA6C68" w:rsidRPr="00B24BE2" w:rsidRDefault="00EA6C68" w:rsidP="00EA6C68">
      <w:pPr>
        <w:pStyle w:val="Bodytext30"/>
        <w:shd w:val="clear" w:color="auto" w:fill="auto"/>
        <w:tabs>
          <w:tab w:val="left" w:pos="284"/>
        </w:tabs>
        <w:spacing w:after="0" w:line="240" w:lineRule="auto"/>
        <w:ind w:firstLine="0"/>
        <w:jc w:val="center"/>
        <w:rPr>
          <w:rStyle w:val="Bodytext3"/>
          <w:rFonts w:ascii="Arial" w:hAnsi="Arial" w:cs="Arial"/>
          <w:color w:val="000000"/>
          <w:sz w:val="20"/>
          <w:szCs w:val="20"/>
        </w:rPr>
      </w:pPr>
      <w:r w:rsidRPr="00B24BE2">
        <w:rPr>
          <w:rStyle w:val="Bodytext3"/>
          <w:rFonts w:ascii="Arial" w:hAnsi="Arial" w:cs="Arial"/>
          <w:b/>
          <w:bCs/>
          <w:color w:val="000000"/>
          <w:sz w:val="20"/>
          <w:szCs w:val="20"/>
        </w:rPr>
        <w:t xml:space="preserve">UREDBO </w:t>
      </w:r>
    </w:p>
    <w:p w:rsidR="00EA6C68" w:rsidRPr="00B24BE2" w:rsidRDefault="00EA6C68" w:rsidP="00EA6C68">
      <w:pPr>
        <w:pStyle w:val="Bodytext30"/>
        <w:shd w:val="clear" w:color="auto" w:fill="auto"/>
        <w:tabs>
          <w:tab w:val="left" w:pos="284"/>
        </w:tabs>
        <w:spacing w:after="0" w:line="240" w:lineRule="auto"/>
        <w:ind w:firstLine="0"/>
        <w:jc w:val="center"/>
        <w:rPr>
          <w:rStyle w:val="Bodytext3"/>
          <w:rFonts w:ascii="Arial" w:hAnsi="Arial" w:cs="Arial"/>
          <w:sz w:val="20"/>
          <w:szCs w:val="20"/>
        </w:rPr>
      </w:pPr>
      <w:r w:rsidRPr="00B24BE2">
        <w:rPr>
          <w:rStyle w:val="Bodytext3"/>
          <w:rFonts w:ascii="Arial" w:hAnsi="Arial" w:cs="Arial"/>
          <w:b/>
          <w:bCs/>
          <w:color w:val="000000"/>
          <w:sz w:val="20"/>
          <w:szCs w:val="20"/>
        </w:rPr>
        <w:t>o določitvi bistvenih storitev in podrobnejši metodologiji za določitev izvajalcev bistvenih storitev</w:t>
      </w:r>
    </w:p>
    <w:p w:rsidR="00EA6C68" w:rsidRPr="00B24BE2" w:rsidRDefault="00EA6C68" w:rsidP="00EA6C68">
      <w:pPr>
        <w:pStyle w:val="Poglavja"/>
        <w:numPr>
          <w:ilvl w:val="0"/>
          <w:numId w:val="25"/>
        </w:numPr>
        <w:rPr>
          <w:rStyle w:val="Bodytext3"/>
          <w:rFonts w:ascii="Arial" w:eastAsiaTheme="minorHAnsi" w:hAnsi="Arial" w:cs="Arial"/>
          <w:b/>
          <w:bCs/>
          <w:color w:val="auto"/>
          <w:sz w:val="20"/>
          <w:szCs w:val="20"/>
          <w:lang w:eastAsia="en-US"/>
        </w:rPr>
      </w:pPr>
      <w:r w:rsidRPr="00B24BE2">
        <w:rPr>
          <w:rStyle w:val="Bodytext3"/>
          <w:rFonts w:ascii="Arial" w:hAnsi="Arial" w:cs="Arial"/>
          <w:b/>
          <w:bCs/>
          <w:sz w:val="20"/>
          <w:szCs w:val="20"/>
        </w:rPr>
        <w:t>SPLOŠNE DOLOČBE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(vsebina)</w:t>
      </w:r>
    </w:p>
    <w:p w:rsidR="00EA6C68" w:rsidRPr="00B24BE2" w:rsidRDefault="00EA6C68" w:rsidP="00EA6C68">
      <w:pPr>
        <w:pStyle w:val="Besedilo"/>
        <w:rPr>
          <w:rStyle w:val="Bodytext2"/>
          <w:rFonts w:ascii="Arial" w:hAnsi="Arial" w:cs="Arial"/>
          <w:sz w:val="20"/>
          <w:szCs w:val="20"/>
        </w:rPr>
      </w:pPr>
      <w:r w:rsidRPr="00B24BE2">
        <w:rPr>
          <w:rStyle w:val="Bodytext2"/>
          <w:rFonts w:ascii="Arial" w:hAnsi="Arial" w:cs="Arial"/>
          <w:sz w:val="20"/>
          <w:szCs w:val="20"/>
        </w:rPr>
        <w:t>Ta uredba določa tiste storitve iz Uredbe o standardni klasifikaciji dejavnosti (Uradni list RS, št. 69/07 in 17/08, v nadaljnjem besedilu: SKD 2008), ki se za potrebe izvajanja Zakona o informacijski varnosti (Uradni list RS, št. 30/18, v nadaljnjem besedilu: ZInfV) štejejo za bistvene, in metodologijo za določitev izvajalcev bistvenih storitev (v nadaljnjem besedilu: IBS), vključno z vrednotenjem medpodročnih in področnih dejavnikov.</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w:t>
      </w:r>
      <w:r>
        <w:rPr>
          <w:rStyle w:val="Bodytext3"/>
          <w:rFonts w:ascii="Arial" w:hAnsi="Arial" w:cs="Arial"/>
          <w:b/>
          <w:bCs/>
          <w:sz w:val="20"/>
          <w:szCs w:val="20"/>
        </w:rPr>
        <w:t>Banka Slovenije</w:t>
      </w:r>
      <w:r w:rsidRPr="00B24BE2">
        <w:rPr>
          <w:rStyle w:val="Bodytext3"/>
          <w:rFonts w:ascii="Arial" w:hAnsi="Arial" w:cs="Arial"/>
          <w:b/>
          <w:bCs/>
          <w:sz w:val="20"/>
          <w:szCs w:val="20"/>
        </w:rPr>
        <w:t>)</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Ta uredba se ne uporablja za storitve, katerih zagotavljanje je odvisno od informacijskih sistemov, ki jih upravlja Evropski sistem centralnih bank.</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Ta uredba se ne uporablja za storitve, katerih zagotavljanje je odvisno od informacijskih sistemov v upravljanju Banke Slovenije, ki jih nadzira Evropski sistem centralnih bank.</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Ta uredba ne posega v nadzor informacijskih sistemov s področja pristojnosti Banke Slovenije ali Evropskega sistema centralnih bank, ki ga urejajo predpisi Evropske unije in na njihovi podlagi sprejeti predpisi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(uporabljeni izrazi)</w:t>
      </w:r>
    </w:p>
    <w:p w:rsidR="00EA6C68" w:rsidRPr="00E676E0" w:rsidRDefault="00EA6C68" w:rsidP="007045DA">
      <w:pPr>
        <w:pStyle w:val="Toke"/>
        <w:numPr>
          <w:ilvl w:val="0"/>
          <w:numId w:val="34"/>
        </w:numPr>
        <w:rPr>
          <w:rStyle w:val="Bodytext3"/>
          <w:rFonts w:ascii="Arial" w:eastAsiaTheme="minorHAnsi" w:hAnsi="Arial" w:cs="Arial"/>
          <w:b w:val="0"/>
          <w:bCs w:val="0"/>
          <w:color w:val="auto"/>
          <w:sz w:val="20"/>
          <w:szCs w:val="20"/>
          <w:lang w:eastAsia="en-US"/>
        </w:rPr>
      </w:pPr>
      <w:r w:rsidRPr="00E676E0">
        <w:rPr>
          <w:rStyle w:val="Bodytext3"/>
          <w:rFonts w:ascii="Arial" w:hAnsi="Arial" w:cs="Arial"/>
          <w:b w:val="0"/>
          <w:bCs w:val="0"/>
          <w:sz w:val="20"/>
          <w:szCs w:val="20"/>
        </w:rPr>
        <w:t>Izrazi, uporabljeni v tej uredbi, imajo za potrebe te uredbe naslednji pomen:</w:t>
      </w:r>
    </w:p>
    <w:p w:rsidR="00EA6C68" w:rsidRDefault="00EA6C68" w:rsidP="00EA6C68">
      <w:pPr>
        <w:pStyle w:val="Toke"/>
        <w:numPr>
          <w:ilvl w:val="0"/>
          <w:numId w:val="28"/>
        </w:numPr>
        <w:rPr>
          <w:rStyle w:val="Bodytext3"/>
          <w:rFonts w:ascii="Arial" w:hAnsi="Arial" w:cs="Arial"/>
          <w:b w:val="0"/>
          <w:bCs w:val="0"/>
          <w:sz w:val="20"/>
          <w:szCs w:val="20"/>
        </w:rPr>
      </w:pPr>
      <w:r>
        <w:rPr>
          <w:rStyle w:val="Bodytext3"/>
          <w:rFonts w:ascii="Arial" w:hAnsi="Arial" w:cs="Arial"/>
          <w:b w:val="0"/>
          <w:bCs w:val="0"/>
          <w:sz w:val="20"/>
          <w:szCs w:val="20"/>
        </w:rPr>
        <w:t xml:space="preserve">negativni vpliv na finančno stabilnost države je negativni vpliv zaradi nedelovanja plačilnega prometa ali pomanjkanja gotovine ali spremembe rasti BDP kot posledica </w:t>
      </w:r>
      <w:r>
        <w:rPr>
          <w:rStyle w:val="Bodytext3"/>
          <w:rFonts w:ascii="Arial" w:hAnsi="Arial" w:cs="Arial"/>
          <w:b w:val="0"/>
          <w:bCs w:val="0"/>
          <w:sz w:val="20"/>
          <w:szCs w:val="20"/>
        </w:rPr>
        <w:lastRenderedPageBreak/>
        <w:t>incidenta, pri tem nedelovanje plačilnega prometa ali pomanjkanje gotovine traja vsaj celotni poslovni dan;</w:t>
      </w:r>
    </w:p>
    <w:p w:rsidR="00EA6C68" w:rsidRPr="00B24BE2" w:rsidRDefault="00EA6C68" w:rsidP="00EA6C68">
      <w:pPr>
        <w:pStyle w:val="Toke"/>
        <w:numPr>
          <w:ilvl w:val="0"/>
          <w:numId w:val="28"/>
        </w:numPr>
        <w:rPr>
          <w:rStyle w:val="Bodytext3"/>
          <w:rFonts w:ascii="Arial" w:hAnsi="Arial" w:cs="Arial"/>
          <w:b w:val="0"/>
          <w:bCs w:val="0"/>
          <w:sz w:val="20"/>
          <w:szCs w:val="20"/>
        </w:rPr>
      </w:pPr>
      <w:r w:rsidRPr="00B24BE2">
        <w:rPr>
          <w:rStyle w:val="Bodytext3"/>
          <w:rFonts w:ascii="Arial" w:hAnsi="Arial" w:cs="Arial"/>
          <w:b w:val="0"/>
          <w:bCs w:val="0"/>
          <w:sz w:val="20"/>
          <w:szCs w:val="20"/>
        </w:rPr>
        <w:t xml:space="preserve">uporabnik ali uporabnica (v nadaljnjem besedilu: uporabnik) </w:t>
      </w:r>
      <w:r>
        <w:rPr>
          <w:rStyle w:val="Bodytext3"/>
          <w:rFonts w:ascii="Arial" w:hAnsi="Arial" w:cs="Arial"/>
          <w:b w:val="0"/>
          <w:bCs w:val="0"/>
          <w:sz w:val="20"/>
          <w:szCs w:val="20"/>
        </w:rPr>
        <w:t>je</w:t>
      </w:r>
      <w:r w:rsidRPr="00B24BE2">
        <w:rPr>
          <w:rStyle w:val="Bodytext3"/>
          <w:rFonts w:ascii="Arial" w:hAnsi="Arial" w:cs="Arial"/>
          <w:b w:val="0"/>
          <w:bCs w:val="0"/>
          <w:sz w:val="20"/>
          <w:szCs w:val="20"/>
        </w:rPr>
        <w:t xml:space="preserve"> fizičn</w:t>
      </w:r>
      <w:r>
        <w:rPr>
          <w:rStyle w:val="Bodytext3"/>
          <w:rFonts w:ascii="Arial" w:hAnsi="Arial" w:cs="Arial"/>
          <w:b w:val="0"/>
          <w:bCs w:val="0"/>
          <w:sz w:val="20"/>
          <w:szCs w:val="20"/>
        </w:rPr>
        <w:t>a</w:t>
      </w:r>
      <w:r w:rsidRPr="00B24BE2">
        <w:rPr>
          <w:rStyle w:val="Bodytext3"/>
          <w:rFonts w:ascii="Arial" w:hAnsi="Arial" w:cs="Arial"/>
          <w:b w:val="0"/>
          <w:bCs w:val="0"/>
          <w:sz w:val="20"/>
          <w:szCs w:val="20"/>
        </w:rPr>
        <w:t xml:space="preserve"> ali pravn</w:t>
      </w:r>
      <w:r>
        <w:rPr>
          <w:rStyle w:val="Bodytext3"/>
          <w:rFonts w:ascii="Arial" w:hAnsi="Arial" w:cs="Arial"/>
          <w:b w:val="0"/>
          <w:bCs w:val="0"/>
          <w:sz w:val="20"/>
          <w:szCs w:val="20"/>
        </w:rPr>
        <w:t>a</w:t>
      </w:r>
      <w:r w:rsidRPr="00B24BE2">
        <w:rPr>
          <w:rStyle w:val="Bodytext3"/>
          <w:rFonts w:ascii="Arial" w:hAnsi="Arial" w:cs="Arial"/>
          <w:b w:val="0"/>
          <w:bCs w:val="0"/>
          <w:sz w:val="20"/>
          <w:szCs w:val="20"/>
        </w:rPr>
        <w:t xml:space="preserve"> osebo, ki uporablja posamezno bistveno storitev neposredno, posredno ali s posredovanjem oziroma je odvisna od nje.</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Drugi izrazi, uporabljeni v tej uredbi, imajo enak pomen, kot je določen v zakonu, ki ureja informacijsko varnost in v predpisih s področja delovanja IBS.</w:t>
      </w:r>
    </w:p>
    <w:p w:rsidR="00EA6C68" w:rsidRPr="00B24BE2" w:rsidRDefault="00EA6C68" w:rsidP="00EA6C68">
      <w:pPr>
        <w:pStyle w:val="Poglavja"/>
        <w:numPr>
          <w:ilvl w:val="0"/>
          <w:numId w:val="25"/>
        </w:numPr>
        <w:rPr>
          <w:rStyle w:val="Bodytext3"/>
          <w:rFonts w:ascii="Arial" w:hAnsi="Arial" w:cs="Arial"/>
          <w:b/>
          <w:bCs/>
          <w:sz w:val="20"/>
          <w:szCs w:val="20"/>
        </w:rPr>
      </w:pPr>
      <w:r>
        <w:rPr>
          <w:rStyle w:val="Bodytext3"/>
          <w:rFonts w:ascii="Arial" w:hAnsi="Arial" w:cs="Arial"/>
          <w:b/>
          <w:bCs/>
          <w:sz w:val="20"/>
          <w:szCs w:val="20"/>
        </w:rPr>
        <w:t>DOLOČITEV BISTVENIH STORITEV</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(področja in podpodročja na katerih se izvajajo bistvene storitve)</w:t>
      </w:r>
    </w:p>
    <w:p w:rsidR="00EA6C68" w:rsidRPr="00E676E0" w:rsidRDefault="00EA6C68" w:rsidP="007045DA">
      <w:pPr>
        <w:pStyle w:val="Toke"/>
        <w:numPr>
          <w:ilvl w:val="0"/>
          <w:numId w:val="35"/>
        </w:numPr>
        <w:rPr>
          <w:rStyle w:val="Bodytext3"/>
          <w:rFonts w:ascii="Arial" w:eastAsiaTheme="minorHAnsi" w:hAnsi="Arial" w:cs="Arial"/>
          <w:b w:val="0"/>
          <w:bCs w:val="0"/>
          <w:color w:val="auto"/>
          <w:sz w:val="20"/>
          <w:szCs w:val="20"/>
          <w:lang w:eastAsia="en-US"/>
        </w:rPr>
      </w:pPr>
      <w:bookmarkStart w:id="2" w:name="_Hlk525717693"/>
      <w:r w:rsidRPr="00E676E0">
        <w:rPr>
          <w:rStyle w:val="Bodytext3"/>
          <w:rFonts w:ascii="Arial" w:hAnsi="Arial" w:cs="Arial"/>
          <w:b w:val="0"/>
          <w:bCs w:val="0"/>
          <w:sz w:val="20"/>
          <w:szCs w:val="20"/>
        </w:rPr>
        <w:t>Področja, na katerih se izvajajo bistvene storitve</w:t>
      </w:r>
      <w:r w:rsidR="00C6739E">
        <w:rPr>
          <w:rStyle w:val="Bodytext3"/>
          <w:rFonts w:ascii="Arial" w:hAnsi="Arial" w:cs="Arial"/>
          <w:b w:val="0"/>
          <w:bCs w:val="0"/>
          <w:sz w:val="20"/>
          <w:szCs w:val="20"/>
        </w:rPr>
        <w:t>,</w:t>
      </w:r>
      <w:r w:rsidRPr="00E676E0">
        <w:rPr>
          <w:rStyle w:val="Bodytext3"/>
          <w:rFonts w:ascii="Arial" w:hAnsi="Arial" w:cs="Arial"/>
          <w:b w:val="0"/>
          <w:bCs w:val="0"/>
          <w:sz w:val="20"/>
          <w:szCs w:val="20"/>
        </w:rPr>
        <w:t xml:space="preserve"> so:</w:t>
      </w:r>
    </w:p>
    <w:p w:rsidR="00EA6C68" w:rsidRPr="00B24BE2" w:rsidRDefault="00EA6C68" w:rsidP="00EA6C68">
      <w:pPr>
        <w:pStyle w:val="Alineje"/>
        <w:rPr>
          <w:szCs w:val="20"/>
        </w:rPr>
      </w:pPr>
      <w:r w:rsidRPr="00B24BE2">
        <w:rPr>
          <w:szCs w:val="20"/>
        </w:rPr>
        <w:t>energija,</w:t>
      </w:r>
    </w:p>
    <w:p w:rsidR="00EA6C68" w:rsidRPr="00B24BE2" w:rsidRDefault="00EA6C68" w:rsidP="00EA6C68">
      <w:pPr>
        <w:pStyle w:val="Alineje"/>
        <w:rPr>
          <w:szCs w:val="20"/>
        </w:rPr>
      </w:pPr>
      <w:r w:rsidRPr="00B24BE2">
        <w:rPr>
          <w:szCs w:val="20"/>
        </w:rPr>
        <w:t>digitalna infrastruktura,</w:t>
      </w:r>
    </w:p>
    <w:p w:rsidR="00EA6C68" w:rsidRPr="00B24BE2" w:rsidRDefault="00EA6C68" w:rsidP="00EA6C68">
      <w:pPr>
        <w:pStyle w:val="Alineje"/>
        <w:rPr>
          <w:szCs w:val="20"/>
        </w:rPr>
      </w:pPr>
      <w:r w:rsidRPr="00B24BE2">
        <w:rPr>
          <w:szCs w:val="20"/>
        </w:rPr>
        <w:t>oskrba s pitno vodo in njena distribucija,</w:t>
      </w:r>
    </w:p>
    <w:p w:rsidR="00EA6C68" w:rsidRPr="00B24BE2" w:rsidRDefault="00EA6C68" w:rsidP="00EA6C68">
      <w:pPr>
        <w:pStyle w:val="Alineje"/>
        <w:rPr>
          <w:szCs w:val="20"/>
        </w:rPr>
      </w:pPr>
      <w:r w:rsidRPr="00B24BE2">
        <w:rPr>
          <w:szCs w:val="20"/>
        </w:rPr>
        <w:t>zdravstvo,</w:t>
      </w:r>
    </w:p>
    <w:p w:rsidR="00EA6C68" w:rsidRPr="00B24BE2" w:rsidRDefault="00EA6C68" w:rsidP="00EA6C68">
      <w:pPr>
        <w:pStyle w:val="Alineje"/>
        <w:rPr>
          <w:szCs w:val="20"/>
        </w:rPr>
      </w:pPr>
      <w:r w:rsidRPr="00B24BE2">
        <w:rPr>
          <w:szCs w:val="20"/>
        </w:rPr>
        <w:t>promet,</w:t>
      </w:r>
    </w:p>
    <w:p w:rsidR="00EA6C68" w:rsidRPr="00B24BE2" w:rsidRDefault="00EA6C68" w:rsidP="00EA6C68">
      <w:pPr>
        <w:pStyle w:val="Alineje"/>
        <w:rPr>
          <w:szCs w:val="20"/>
        </w:rPr>
      </w:pPr>
      <w:r w:rsidRPr="00B24BE2">
        <w:rPr>
          <w:szCs w:val="20"/>
        </w:rPr>
        <w:t>bančništvo,</w:t>
      </w:r>
    </w:p>
    <w:p w:rsidR="00EA6C68" w:rsidRPr="00B24BE2" w:rsidRDefault="00EA6C68" w:rsidP="00EA6C68">
      <w:pPr>
        <w:pStyle w:val="Alineje"/>
        <w:rPr>
          <w:szCs w:val="20"/>
        </w:rPr>
      </w:pPr>
      <w:r w:rsidRPr="00B24BE2">
        <w:rPr>
          <w:szCs w:val="20"/>
        </w:rPr>
        <w:t>infrastruktura finančnega trga,</w:t>
      </w:r>
    </w:p>
    <w:p w:rsidR="00EA6C68" w:rsidRPr="00B24BE2" w:rsidRDefault="00EA6C68" w:rsidP="00EA6C68">
      <w:pPr>
        <w:pStyle w:val="Alineje"/>
        <w:rPr>
          <w:szCs w:val="20"/>
        </w:rPr>
      </w:pPr>
      <w:r w:rsidRPr="00B24BE2">
        <w:rPr>
          <w:szCs w:val="20"/>
        </w:rPr>
        <w:t>preskrba s hrano in</w:t>
      </w:r>
    </w:p>
    <w:p w:rsidR="00EA6C68" w:rsidRPr="00B24BE2" w:rsidRDefault="00EA6C68" w:rsidP="00EA6C68">
      <w:pPr>
        <w:pStyle w:val="Alineje"/>
        <w:rPr>
          <w:szCs w:val="20"/>
        </w:rPr>
      </w:pPr>
      <w:r w:rsidRPr="00B24BE2">
        <w:rPr>
          <w:szCs w:val="20"/>
        </w:rPr>
        <w:t>varstvo okolja.</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Na področju energija iz prejšnjega odstavka so naslednja podpodročja:</w:t>
      </w:r>
    </w:p>
    <w:p w:rsidR="00EA6C68" w:rsidRPr="00B24BE2" w:rsidRDefault="00EA6C68" w:rsidP="00EA6C68">
      <w:pPr>
        <w:pStyle w:val="Alineje"/>
        <w:ind w:hanging="295"/>
        <w:rPr>
          <w:szCs w:val="20"/>
        </w:rPr>
      </w:pPr>
      <w:r w:rsidRPr="00B24BE2">
        <w:rPr>
          <w:szCs w:val="20"/>
        </w:rPr>
        <w:t>elektrika,</w:t>
      </w:r>
    </w:p>
    <w:p w:rsidR="00EA6C68" w:rsidRPr="00B24BE2" w:rsidRDefault="00EA6C68" w:rsidP="00EA6C68">
      <w:pPr>
        <w:pStyle w:val="Alineje"/>
        <w:ind w:hanging="295"/>
        <w:rPr>
          <w:szCs w:val="20"/>
        </w:rPr>
      </w:pPr>
      <w:r w:rsidRPr="00B24BE2">
        <w:rPr>
          <w:szCs w:val="20"/>
        </w:rPr>
        <w:t>nafta,</w:t>
      </w:r>
    </w:p>
    <w:p w:rsidR="00EA6C68" w:rsidRPr="00B24BE2" w:rsidRDefault="00EA6C68" w:rsidP="00EA6C68">
      <w:pPr>
        <w:pStyle w:val="Alineje"/>
        <w:ind w:hanging="295"/>
        <w:rPr>
          <w:szCs w:val="20"/>
        </w:rPr>
      </w:pPr>
      <w:r w:rsidRPr="00B24BE2">
        <w:rPr>
          <w:szCs w:val="20"/>
        </w:rPr>
        <w:t>plin.</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Na področju promet iz prvega odstavka tega člena so naslednja podpodročja:</w:t>
      </w:r>
    </w:p>
    <w:p w:rsidR="00EA6C68" w:rsidRPr="00B24BE2" w:rsidRDefault="00EA6C68" w:rsidP="00EA6C68">
      <w:pPr>
        <w:pStyle w:val="Alineje"/>
        <w:ind w:hanging="295"/>
        <w:rPr>
          <w:szCs w:val="20"/>
        </w:rPr>
      </w:pPr>
      <w:r w:rsidRPr="00B24BE2">
        <w:rPr>
          <w:szCs w:val="20"/>
        </w:rPr>
        <w:t>zračni promet,</w:t>
      </w:r>
    </w:p>
    <w:p w:rsidR="00EA6C68" w:rsidRPr="00B24BE2" w:rsidRDefault="00EA6C68" w:rsidP="00EA6C68">
      <w:pPr>
        <w:pStyle w:val="Alineje"/>
        <w:ind w:hanging="295"/>
        <w:rPr>
          <w:szCs w:val="20"/>
        </w:rPr>
      </w:pPr>
      <w:r w:rsidRPr="00B24BE2">
        <w:rPr>
          <w:szCs w:val="20"/>
        </w:rPr>
        <w:t>železniški promet,</w:t>
      </w:r>
    </w:p>
    <w:p w:rsidR="00EA6C68" w:rsidRPr="00B24BE2" w:rsidRDefault="00EA6C68" w:rsidP="00EA6C68">
      <w:pPr>
        <w:pStyle w:val="Alineje"/>
        <w:ind w:hanging="295"/>
        <w:rPr>
          <w:szCs w:val="20"/>
        </w:rPr>
      </w:pPr>
      <w:r w:rsidRPr="00B24BE2">
        <w:rPr>
          <w:szCs w:val="20"/>
        </w:rPr>
        <w:t>vodni promet,</w:t>
      </w:r>
    </w:p>
    <w:p w:rsidR="00EA6C68" w:rsidRPr="00B24BE2" w:rsidRDefault="00EA6C68" w:rsidP="00EA6C68">
      <w:pPr>
        <w:pStyle w:val="Alineje"/>
        <w:ind w:hanging="295"/>
        <w:rPr>
          <w:szCs w:val="20"/>
        </w:rPr>
      </w:pPr>
      <w:r w:rsidRPr="00B24BE2">
        <w:rPr>
          <w:szCs w:val="20"/>
        </w:rPr>
        <w:t>cestni promet</w:t>
      </w:r>
    </w:p>
    <w:bookmarkEnd w:id="2"/>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(določitev bistvenih storitev)</w:t>
      </w:r>
    </w:p>
    <w:p w:rsidR="00EA6C68" w:rsidRDefault="00EA6C68" w:rsidP="00EA6C68">
      <w:pPr>
        <w:pStyle w:val="Besedilo"/>
        <w:rPr>
          <w:rStyle w:val="Bodytext2"/>
          <w:rFonts w:ascii="Arial" w:hAnsi="Arial" w:cs="Arial"/>
          <w:sz w:val="20"/>
          <w:szCs w:val="20"/>
        </w:rPr>
      </w:pPr>
      <w:r w:rsidRPr="00B24BE2">
        <w:rPr>
          <w:rStyle w:val="Bodytext2"/>
          <w:rFonts w:ascii="Arial" w:hAnsi="Arial" w:cs="Arial"/>
          <w:sz w:val="20"/>
          <w:szCs w:val="20"/>
        </w:rPr>
        <w:t xml:space="preserve">Seznam bistvenih storitev </w:t>
      </w:r>
      <w:r>
        <w:rPr>
          <w:rStyle w:val="Bodytext2"/>
          <w:rFonts w:ascii="Arial" w:hAnsi="Arial" w:cs="Arial"/>
          <w:sz w:val="20"/>
          <w:szCs w:val="20"/>
        </w:rPr>
        <w:t xml:space="preserve">na področjih in podpodročjih iz prejšnjega člena </w:t>
      </w:r>
      <w:r w:rsidRPr="00B24BE2">
        <w:rPr>
          <w:rStyle w:val="Bodytext2"/>
          <w:rFonts w:ascii="Arial" w:hAnsi="Arial" w:cs="Arial"/>
          <w:sz w:val="20"/>
          <w:szCs w:val="20"/>
        </w:rPr>
        <w:t>je naveden v prilogi, ki je sestavni del te uredbe</w:t>
      </w:r>
      <w:r w:rsidR="00190370">
        <w:rPr>
          <w:rStyle w:val="Bodytext2"/>
          <w:rFonts w:ascii="Arial" w:hAnsi="Arial" w:cs="Arial"/>
          <w:sz w:val="20"/>
          <w:szCs w:val="20"/>
        </w:rPr>
        <w:t xml:space="preserve"> (v nadaljnjem besedilu: priloga)</w:t>
      </w:r>
      <w:r w:rsidRPr="00B24BE2">
        <w:rPr>
          <w:rStyle w:val="Bodytext2"/>
          <w:rFonts w:ascii="Arial" w:hAnsi="Arial" w:cs="Arial"/>
          <w:sz w:val="20"/>
          <w:szCs w:val="20"/>
        </w:rPr>
        <w:t>.</w:t>
      </w:r>
    </w:p>
    <w:p w:rsidR="00EA6C68" w:rsidRDefault="00EA6C68" w:rsidP="00EA6C68">
      <w:pPr>
        <w:pStyle w:val="Besedilo"/>
        <w:rPr>
          <w:rStyle w:val="Bodytext2"/>
          <w:rFonts w:ascii="Arial" w:hAnsi="Arial" w:cs="Arial"/>
          <w:sz w:val="20"/>
          <w:szCs w:val="20"/>
        </w:rPr>
      </w:pPr>
    </w:p>
    <w:p w:rsidR="00EA6C68" w:rsidRPr="007045DA" w:rsidRDefault="00EA6C68" w:rsidP="00EA6C68">
      <w:pPr>
        <w:pStyle w:val="Poglavja"/>
        <w:numPr>
          <w:ilvl w:val="0"/>
          <w:numId w:val="25"/>
        </w:numPr>
        <w:rPr>
          <w:rStyle w:val="Bodytext3"/>
          <w:rFonts w:ascii="Arial" w:hAnsi="Arial" w:cs="Arial"/>
          <w:b/>
          <w:sz w:val="20"/>
          <w:szCs w:val="20"/>
        </w:rPr>
      </w:pPr>
      <w:r w:rsidRPr="007045DA">
        <w:rPr>
          <w:rStyle w:val="Bodytext3"/>
          <w:rFonts w:ascii="Arial" w:hAnsi="Arial" w:cs="Arial"/>
          <w:b/>
          <w:sz w:val="20"/>
          <w:szCs w:val="20"/>
        </w:rPr>
        <w:lastRenderedPageBreak/>
        <w:t>METODOLOGIJA ZA DOLOČITEV IBS</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(metodologij</w:t>
      </w:r>
      <w:r>
        <w:rPr>
          <w:rStyle w:val="Bodytext3"/>
          <w:rFonts w:ascii="Arial" w:hAnsi="Arial" w:cs="Arial"/>
          <w:b/>
          <w:bCs/>
          <w:sz w:val="20"/>
          <w:szCs w:val="20"/>
        </w:rPr>
        <w:t>a</w:t>
      </w:r>
      <w:r w:rsidRPr="00B24BE2">
        <w:rPr>
          <w:rStyle w:val="Bodytext3"/>
          <w:rFonts w:ascii="Arial" w:hAnsi="Arial" w:cs="Arial"/>
          <w:b/>
          <w:bCs/>
          <w:sz w:val="20"/>
          <w:szCs w:val="20"/>
        </w:rPr>
        <w:t>)</w:t>
      </w:r>
    </w:p>
    <w:p w:rsidR="00EA6C68" w:rsidRPr="00E676E0" w:rsidRDefault="00EA6C68" w:rsidP="007045DA">
      <w:pPr>
        <w:pStyle w:val="Toke"/>
        <w:numPr>
          <w:ilvl w:val="0"/>
          <w:numId w:val="36"/>
        </w:numPr>
        <w:rPr>
          <w:rStyle w:val="Bodytext3"/>
          <w:rFonts w:ascii="Arial" w:eastAsiaTheme="minorHAnsi" w:hAnsi="Arial" w:cs="Arial"/>
          <w:b w:val="0"/>
          <w:bCs w:val="0"/>
          <w:color w:val="auto"/>
          <w:sz w:val="20"/>
          <w:szCs w:val="20"/>
          <w:lang w:eastAsia="en-US"/>
        </w:rPr>
      </w:pPr>
      <w:r w:rsidRPr="00E676E0">
        <w:rPr>
          <w:rStyle w:val="Bodytext3"/>
          <w:rFonts w:ascii="Arial" w:hAnsi="Arial" w:cs="Arial"/>
          <w:b w:val="0"/>
          <w:bCs w:val="0"/>
          <w:sz w:val="20"/>
          <w:szCs w:val="20"/>
        </w:rPr>
        <w:t>Pri določitvi IBS se upošteva:</w:t>
      </w:r>
    </w:p>
    <w:p w:rsidR="00EA6C68" w:rsidRPr="00B24BE2" w:rsidRDefault="00EA6C68" w:rsidP="00EA6C68">
      <w:pPr>
        <w:pStyle w:val="Alineje"/>
        <w:ind w:hanging="295"/>
        <w:rPr>
          <w:szCs w:val="20"/>
        </w:rPr>
      </w:pPr>
      <w:r w:rsidRPr="00B24BE2">
        <w:rPr>
          <w:color w:val="000000"/>
          <w:szCs w:val="20"/>
          <w:shd w:val="clear" w:color="auto" w:fill="FFFFFF"/>
        </w:rPr>
        <w:t>ali subjekt zagotavlja bistveno storitev iz seznama v prilogi,</w:t>
      </w:r>
    </w:p>
    <w:p w:rsidR="00EA6C68" w:rsidRPr="00B24BE2" w:rsidRDefault="00EA6C68" w:rsidP="00EA6C68">
      <w:pPr>
        <w:pStyle w:val="Alineje"/>
        <w:ind w:hanging="295"/>
        <w:rPr>
          <w:szCs w:val="20"/>
        </w:rPr>
      </w:pPr>
      <w:r w:rsidRPr="00B24BE2">
        <w:rPr>
          <w:szCs w:val="20"/>
        </w:rPr>
        <w:t xml:space="preserve">ali je zagotavljanje te bistvene storitve odvisno od omrežij in informacijskih sistemov in </w:t>
      </w:r>
    </w:p>
    <w:p w:rsidR="00EA6C68" w:rsidRPr="00B24BE2" w:rsidRDefault="00EA6C68" w:rsidP="00EA6C68">
      <w:pPr>
        <w:pStyle w:val="Alineje"/>
        <w:ind w:hanging="295"/>
        <w:rPr>
          <w:szCs w:val="20"/>
        </w:rPr>
      </w:pPr>
      <w:r w:rsidRPr="00B24BE2">
        <w:rPr>
          <w:szCs w:val="20"/>
        </w:rPr>
        <w:t>ali bi incident imel pomemben negativni vpliv na zagotavljanje te storitve.</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 xml:space="preserve">Pri določitvi, ali bi incident imel pomemben negativen vpliv iz prejšnjega odstavka, se upoštevajo medpodročni in področni dejavniki. </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Pri določitvi, ali bi incident imel pomemben negativen vpliv iz prvega odstavka tega člena, se upoštevajo vsaj trije medpodročni dejavniki in hkrati še vsaj dva področna dejavnika.</w:t>
      </w:r>
    </w:p>
    <w:p w:rsidR="00EA6C68"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Pri določitvi izvajalcev bistvenih storitev s področja bančništva je potrebno predhodno soglasje Banke Slovenije, če je zagotavljanje teh storitev odvisno od informacijskih sistemov Banke Slovenije, ki niso informacijski sistemi iz prvega ali drugega odstavka 2. člena te uredbe in jih Banka Slovenije uporablja za izvajanje svojih nalog po Zakonu o Banki Slovenije (Uradni list RS, št. 72/06 – uradno prečiščeno besedilo, 59/11 in 55/17; v nadaljnjem besedilu: ZBS-1)</w:t>
      </w:r>
      <w:r>
        <w:rPr>
          <w:rStyle w:val="Bodytext3"/>
          <w:rFonts w:ascii="Arial" w:hAnsi="Arial" w:cs="Arial"/>
          <w:b w:val="0"/>
          <w:bCs w:val="0"/>
          <w:sz w:val="20"/>
          <w:szCs w:val="20"/>
        </w:rPr>
        <w:t xml:space="preserve"> oziroma drugih nacionalnih predpisih</w:t>
      </w:r>
      <w:r w:rsidRPr="00B24BE2">
        <w:rPr>
          <w:rStyle w:val="Bodytext3"/>
          <w:rFonts w:ascii="Arial" w:hAnsi="Arial" w:cs="Arial"/>
          <w:b w:val="0"/>
          <w:bCs w:val="0"/>
          <w:sz w:val="20"/>
          <w:szCs w:val="20"/>
        </w:rPr>
        <w:t>, Statutu Evropskega sistema centralnih bank in Evropske centralne banke (UL C št. 326 z dne 26. 10. 2012, str. 230; v nadaljnjem besedilu: Statut) in predpisih Evropske unije.</w:t>
      </w:r>
    </w:p>
    <w:p w:rsidR="00EA6C68" w:rsidRDefault="00EA6C68" w:rsidP="00EA6C68">
      <w:pPr>
        <w:pStyle w:val="Toke"/>
        <w:numPr>
          <w:ilvl w:val="0"/>
          <w:numId w:val="0"/>
        </w:numPr>
        <w:ind w:left="6"/>
        <w:rPr>
          <w:rStyle w:val="Bodytext3"/>
          <w:rFonts w:ascii="Arial" w:hAnsi="Arial" w:cs="Arial"/>
          <w:b w:val="0"/>
          <w:bCs w:val="0"/>
          <w:sz w:val="20"/>
          <w:szCs w:val="20"/>
        </w:rPr>
      </w:pPr>
    </w:p>
    <w:p w:rsidR="00EA6C68" w:rsidRPr="00B24BE2" w:rsidRDefault="00EA6C68" w:rsidP="00EA6C68">
      <w:pPr>
        <w:pStyle w:val="Poglavja"/>
        <w:rPr>
          <w:rStyle w:val="Bodytext3"/>
          <w:rFonts w:ascii="Arial" w:hAnsi="Arial" w:cs="Arial"/>
          <w:sz w:val="20"/>
          <w:szCs w:val="20"/>
        </w:rPr>
      </w:pPr>
      <w:r>
        <w:rPr>
          <w:rStyle w:val="Bodytext3"/>
          <w:rFonts w:ascii="Arial" w:hAnsi="Arial" w:cs="Arial"/>
          <w:b/>
          <w:bCs/>
          <w:sz w:val="20"/>
          <w:szCs w:val="20"/>
        </w:rPr>
        <w:t>1. Medpodročni dejavniki</w:t>
      </w:r>
    </w:p>
    <w:p w:rsidR="00EA6C68" w:rsidRPr="00B24BE2" w:rsidRDefault="00EA6C68" w:rsidP="00EA6C68">
      <w:pPr>
        <w:pStyle w:val="leni"/>
        <w:rPr>
          <w:rStyle w:val="Bodytext3"/>
          <w:rFonts w:ascii="Arial" w:hAnsi="Arial" w:cs="Arial"/>
          <w:b/>
          <w:bCs/>
          <w:sz w:val="20"/>
          <w:szCs w:val="20"/>
        </w:rPr>
      </w:pPr>
      <w:bookmarkStart w:id="3" w:name="_Hlk525658699"/>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(medpodročni</w:t>
      </w:r>
      <w:r w:rsidRPr="00B24BE2">
        <w:rPr>
          <w:sz w:val="20"/>
          <w:szCs w:val="20"/>
        </w:rPr>
        <w:t xml:space="preserve"> </w:t>
      </w:r>
      <w:r w:rsidRPr="00B24BE2">
        <w:rPr>
          <w:rStyle w:val="Bodytext3"/>
          <w:rFonts w:ascii="Arial" w:hAnsi="Arial" w:cs="Arial"/>
          <w:b/>
          <w:bCs/>
          <w:sz w:val="20"/>
          <w:szCs w:val="20"/>
        </w:rPr>
        <w:t>dejavniki)</w:t>
      </w:r>
    </w:p>
    <w:p w:rsidR="00EA6C68" w:rsidRPr="007045DA" w:rsidRDefault="00EA6C68" w:rsidP="007045DA">
      <w:pPr>
        <w:pStyle w:val="Toke"/>
        <w:numPr>
          <w:ilvl w:val="0"/>
          <w:numId w:val="37"/>
        </w:numPr>
        <w:rPr>
          <w:rStyle w:val="Bodytext3"/>
          <w:rFonts w:ascii="Arial" w:hAnsi="Arial" w:cs="Arial"/>
          <w:b w:val="0"/>
          <w:bCs w:val="0"/>
          <w:sz w:val="20"/>
          <w:szCs w:val="20"/>
        </w:rPr>
      </w:pPr>
      <w:r w:rsidRPr="00E676E0">
        <w:rPr>
          <w:rStyle w:val="Bodytext3"/>
          <w:rFonts w:ascii="Arial" w:hAnsi="Arial" w:cs="Arial"/>
          <w:b w:val="0"/>
          <w:bCs w:val="0"/>
          <w:sz w:val="20"/>
          <w:szCs w:val="20"/>
        </w:rPr>
        <w:t>Šteje se, da so medpodročni dejavniki iz drugega odstavka prejšnjega člena izpolnjeni, če:</w:t>
      </w:r>
    </w:p>
    <w:p w:rsidR="00EA6C68" w:rsidRPr="00B24BE2" w:rsidRDefault="00EA6C68" w:rsidP="00EA6C68">
      <w:pPr>
        <w:pStyle w:val="Alineje"/>
        <w:numPr>
          <w:ilvl w:val="0"/>
          <w:numId w:val="26"/>
        </w:numPr>
        <w:rPr>
          <w:szCs w:val="20"/>
        </w:rPr>
      </w:pPr>
      <w:r w:rsidRPr="00B24BE2">
        <w:rPr>
          <w:szCs w:val="20"/>
        </w:rPr>
        <w:t>je število uporabnikov, ki so odvisni od zadevne bistvene storitve subjekta enako ali večje, kot je to opredeljeno pri področnih dejavnikih glede števila uporabnikov, ki bi jih prizadela motnja pri zagotavljanju zadevne bistvene storitve;</w:t>
      </w:r>
    </w:p>
    <w:p w:rsidR="00EA6C68" w:rsidRPr="00B24BE2" w:rsidRDefault="00EA6C68" w:rsidP="00EA6C68">
      <w:pPr>
        <w:pStyle w:val="Alineje"/>
        <w:numPr>
          <w:ilvl w:val="0"/>
          <w:numId w:val="26"/>
        </w:numPr>
        <w:rPr>
          <w:szCs w:val="20"/>
        </w:rPr>
      </w:pPr>
      <w:r w:rsidRPr="00B24BE2">
        <w:rPr>
          <w:szCs w:val="20"/>
        </w:rPr>
        <w:t>so od zadevne bistvene storitve odvisne storitve drugih področij ali podpodročij iz 4. člena te uredbe;</w:t>
      </w:r>
    </w:p>
    <w:p w:rsidR="00EA6C68" w:rsidRPr="00B24BE2" w:rsidRDefault="00EA6C68" w:rsidP="00EA6C68">
      <w:pPr>
        <w:pStyle w:val="Alineje"/>
        <w:numPr>
          <w:ilvl w:val="0"/>
          <w:numId w:val="26"/>
        </w:numPr>
        <w:rPr>
          <w:szCs w:val="20"/>
        </w:rPr>
      </w:pPr>
      <w:r w:rsidRPr="00B24BE2">
        <w:rPr>
          <w:szCs w:val="20"/>
        </w:rPr>
        <w:t xml:space="preserve">stopnja in trajanje vpliva, ki bi ga incidenti lahko imeli na gospodarske in družbene dejavnosti ali na javno varnost, </w:t>
      </w:r>
      <w:r>
        <w:rPr>
          <w:szCs w:val="20"/>
        </w:rPr>
        <w:t xml:space="preserve">je glede trajanja vpliva </w:t>
      </w:r>
      <w:r w:rsidRPr="00B24BE2">
        <w:rPr>
          <w:szCs w:val="20"/>
        </w:rPr>
        <w:t>enaka ali presega kriterije področnih dejavnikov zadevne bistvene storitve</w:t>
      </w:r>
      <w:r>
        <w:rPr>
          <w:szCs w:val="20"/>
        </w:rPr>
        <w:t xml:space="preserve"> ter je hkrati podana velika ali srednja stopnja vpliva, kot je opredeljena v drugem odstavku tega člena</w:t>
      </w:r>
      <w:r w:rsidRPr="00B24BE2">
        <w:rPr>
          <w:szCs w:val="20"/>
        </w:rPr>
        <w:t>;</w:t>
      </w:r>
    </w:p>
    <w:p w:rsidR="00EA6C68" w:rsidRPr="00B24BE2" w:rsidRDefault="00EA6C68" w:rsidP="00EA6C68">
      <w:pPr>
        <w:pStyle w:val="Alineje"/>
        <w:numPr>
          <w:ilvl w:val="0"/>
          <w:numId w:val="26"/>
        </w:numPr>
        <w:rPr>
          <w:szCs w:val="20"/>
        </w:rPr>
      </w:pPr>
      <w:r w:rsidRPr="00B24BE2">
        <w:rPr>
          <w:szCs w:val="20"/>
        </w:rPr>
        <w:lastRenderedPageBreak/>
        <w:t xml:space="preserve">tržni delež posameznega subjekta, ki zagotavlja bistveno storitev, je </w:t>
      </w:r>
      <w:r>
        <w:rPr>
          <w:szCs w:val="20"/>
        </w:rPr>
        <w:t>25</w:t>
      </w:r>
      <w:r w:rsidRPr="00B24BE2">
        <w:rPr>
          <w:szCs w:val="20"/>
        </w:rPr>
        <w:t xml:space="preserve"> odstotkov ali več na trgu, ki se nanaša na posamezno bistveno storitev na območju, </w:t>
      </w:r>
      <w:r>
        <w:rPr>
          <w:szCs w:val="20"/>
        </w:rPr>
        <w:t>ki</w:t>
      </w:r>
      <w:r w:rsidRPr="00B24BE2">
        <w:rPr>
          <w:szCs w:val="20"/>
        </w:rPr>
        <w:t xml:space="preserve"> je za posamezno bistveno storitev opredeljeno pri področnih dejavnikih;</w:t>
      </w:r>
    </w:p>
    <w:p w:rsidR="00EA6C68" w:rsidRPr="00B24BE2" w:rsidRDefault="00EA6C68" w:rsidP="00EA6C68">
      <w:pPr>
        <w:pStyle w:val="Alineje"/>
        <w:numPr>
          <w:ilvl w:val="0"/>
          <w:numId w:val="26"/>
        </w:numPr>
        <w:rPr>
          <w:szCs w:val="20"/>
        </w:rPr>
      </w:pPr>
      <w:r w:rsidRPr="00B24BE2">
        <w:rPr>
          <w:szCs w:val="20"/>
        </w:rPr>
        <w:t>geografsko razširjenost, kar zadeva območje, ki bi ga incident lahko prizadel, zajema območje z več kot 100.000 prebivalci oziroma gre za območje, enako ali večje, kot je to za posamezno bistveno storitev opredeljeno pri področnih dejavnikih;</w:t>
      </w:r>
    </w:p>
    <w:p w:rsidR="00EA6C68" w:rsidRDefault="00EA6C68" w:rsidP="00EA6C68">
      <w:pPr>
        <w:pStyle w:val="Alineje"/>
        <w:numPr>
          <w:ilvl w:val="0"/>
          <w:numId w:val="26"/>
        </w:numPr>
        <w:rPr>
          <w:szCs w:val="20"/>
        </w:rPr>
      </w:pPr>
      <w:r>
        <w:rPr>
          <w:szCs w:val="20"/>
        </w:rPr>
        <w:t xml:space="preserve">pomen subjekta </w:t>
      </w:r>
      <w:r w:rsidRPr="00B24BE2">
        <w:rPr>
          <w:szCs w:val="20"/>
        </w:rPr>
        <w:t>za ohranitev zadostne ravni bistvene storitve</w:t>
      </w:r>
      <w:r>
        <w:rPr>
          <w:szCs w:val="20"/>
        </w:rPr>
        <w:t>, ob upoštevanju</w:t>
      </w:r>
      <w:r w:rsidRPr="00B24BE2">
        <w:rPr>
          <w:szCs w:val="20"/>
        </w:rPr>
        <w:t xml:space="preserve"> razpoložljiv</w:t>
      </w:r>
      <w:r>
        <w:rPr>
          <w:szCs w:val="20"/>
        </w:rPr>
        <w:t>osti</w:t>
      </w:r>
      <w:r w:rsidRPr="00B24BE2">
        <w:rPr>
          <w:szCs w:val="20"/>
        </w:rPr>
        <w:t xml:space="preserve"> alternativni</w:t>
      </w:r>
      <w:r>
        <w:rPr>
          <w:szCs w:val="20"/>
        </w:rPr>
        <w:t>h</w:t>
      </w:r>
      <w:r w:rsidRPr="00B24BE2">
        <w:rPr>
          <w:szCs w:val="20"/>
        </w:rPr>
        <w:t xml:space="preserve"> način</w:t>
      </w:r>
      <w:r>
        <w:rPr>
          <w:szCs w:val="20"/>
        </w:rPr>
        <w:t>ov</w:t>
      </w:r>
      <w:r w:rsidRPr="00B24BE2">
        <w:rPr>
          <w:szCs w:val="20"/>
        </w:rPr>
        <w:t xml:space="preserve"> za zagotavljanje storitve</w:t>
      </w:r>
      <w:r>
        <w:rPr>
          <w:szCs w:val="20"/>
        </w:rPr>
        <w:t xml:space="preserve">, upošteva </w:t>
      </w:r>
      <w:r w:rsidRPr="005B2FF5">
        <w:rPr>
          <w:szCs w:val="20"/>
        </w:rPr>
        <w:t>pragov</w:t>
      </w:r>
      <w:r>
        <w:rPr>
          <w:szCs w:val="20"/>
        </w:rPr>
        <w:t>e</w:t>
      </w:r>
      <w:r w:rsidRPr="005B2FF5">
        <w:rPr>
          <w:szCs w:val="20"/>
        </w:rPr>
        <w:t>, kot so določeni za posamezno bistveno storitev iz priloge te uredbe po področjih oziroma podpodročjih iz 4. člena te uredbe</w:t>
      </w:r>
      <w:r w:rsidRPr="00B24BE2">
        <w:rPr>
          <w:szCs w:val="20"/>
        </w:rPr>
        <w:t>.</w:t>
      </w:r>
    </w:p>
    <w:p w:rsidR="00EA6C68" w:rsidRDefault="00EA6C68" w:rsidP="00EA6C68">
      <w:pPr>
        <w:pStyle w:val="Toke"/>
        <w:numPr>
          <w:ilvl w:val="0"/>
          <w:numId w:val="15"/>
        </w:numPr>
        <w:spacing w:before="0"/>
        <w:rPr>
          <w:rStyle w:val="Bodytext3"/>
          <w:rFonts w:ascii="Arial" w:hAnsi="Arial" w:cs="Arial"/>
          <w:b w:val="0"/>
          <w:bCs w:val="0"/>
          <w:sz w:val="20"/>
          <w:szCs w:val="20"/>
        </w:rPr>
      </w:pPr>
      <w:r>
        <w:rPr>
          <w:rStyle w:val="Bodytext3"/>
          <w:rFonts w:ascii="Arial" w:hAnsi="Arial" w:cs="Arial"/>
          <w:b w:val="0"/>
          <w:bCs w:val="0"/>
          <w:sz w:val="20"/>
          <w:szCs w:val="20"/>
        </w:rPr>
        <w:t>Stopnja vpliva iz prejšnjega odstavka je:</w:t>
      </w:r>
    </w:p>
    <w:p w:rsidR="00EA6C68" w:rsidRDefault="00EA6C68" w:rsidP="00EA6C68">
      <w:pPr>
        <w:pStyle w:val="Toke"/>
        <w:numPr>
          <w:ilvl w:val="0"/>
          <w:numId w:val="27"/>
        </w:numPr>
        <w:spacing w:before="0"/>
        <w:rPr>
          <w:rStyle w:val="Bodytext3"/>
          <w:rFonts w:ascii="Arial" w:hAnsi="Arial" w:cs="Arial"/>
          <w:b w:val="0"/>
          <w:bCs w:val="0"/>
          <w:sz w:val="20"/>
          <w:szCs w:val="20"/>
        </w:rPr>
      </w:pPr>
      <w:r>
        <w:rPr>
          <w:rStyle w:val="Bodytext3"/>
          <w:rFonts w:ascii="Arial" w:hAnsi="Arial" w:cs="Arial"/>
          <w:b w:val="0"/>
          <w:bCs w:val="0"/>
          <w:sz w:val="20"/>
          <w:szCs w:val="20"/>
        </w:rPr>
        <w:t>velika, če obstaja možnost nastanka smrtnih žrtev, ponesrečenih ljudi oziroma poslabšanja zdravstvenega stanja ljudi kot posledica incidenta,</w:t>
      </w:r>
    </w:p>
    <w:p w:rsidR="00EA6C68" w:rsidRDefault="00EA6C68" w:rsidP="00EA6C68">
      <w:pPr>
        <w:pStyle w:val="Toke"/>
        <w:numPr>
          <w:ilvl w:val="0"/>
          <w:numId w:val="27"/>
        </w:numPr>
        <w:spacing w:before="0"/>
        <w:rPr>
          <w:rStyle w:val="Bodytext3"/>
          <w:rFonts w:ascii="Arial" w:hAnsi="Arial" w:cs="Arial"/>
          <w:b w:val="0"/>
          <w:bCs w:val="0"/>
          <w:sz w:val="20"/>
          <w:szCs w:val="20"/>
        </w:rPr>
      </w:pPr>
      <w:r>
        <w:rPr>
          <w:rStyle w:val="Bodytext3"/>
          <w:rFonts w:ascii="Arial" w:hAnsi="Arial" w:cs="Arial"/>
          <w:b w:val="0"/>
          <w:bCs w:val="0"/>
          <w:sz w:val="20"/>
          <w:szCs w:val="20"/>
        </w:rPr>
        <w:t>srednja, če obstaja možnost nastanka gospodarske škode ali izpada dohodka, ki znaša več kot 1.000.000 eurov na dan oziroma možnost negativnega vpliva na finančno stabilnost države,</w:t>
      </w:r>
    </w:p>
    <w:p w:rsidR="00EA6C68" w:rsidRPr="00CE0F70" w:rsidRDefault="00EA6C68" w:rsidP="00EA6C68">
      <w:pPr>
        <w:pStyle w:val="Toke"/>
        <w:numPr>
          <w:ilvl w:val="0"/>
          <w:numId w:val="27"/>
        </w:numPr>
        <w:spacing w:before="0"/>
        <w:rPr>
          <w:rStyle w:val="Bodytext3"/>
          <w:rFonts w:ascii="Arial" w:hAnsi="Arial" w:cs="Arial"/>
          <w:b w:val="0"/>
          <w:bCs w:val="0"/>
          <w:sz w:val="20"/>
          <w:szCs w:val="20"/>
        </w:rPr>
      </w:pPr>
      <w:r>
        <w:rPr>
          <w:rStyle w:val="Bodytext3"/>
          <w:rFonts w:ascii="Arial" w:hAnsi="Arial" w:cs="Arial"/>
          <w:b w:val="0"/>
          <w:bCs w:val="0"/>
          <w:sz w:val="20"/>
          <w:szCs w:val="20"/>
        </w:rPr>
        <w:t>majhna, če obstaja možnost nastanka gospodarske škode ali izpada dohodka, ki znaša do 1.000.000 eurov na dan.</w:t>
      </w:r>
    </w:p>
    <w:bookmarkEnd w:id="3"/>
    <w:p w:rsidR="00EA6C68" w:rsidRPr="00B24BE2" w:rsidRDefault="00EA6C68" w:rsidP="00EA6C68">
      <w:pPr>
        <w:pStyle w:val="Poglavja"/>
        <w:ind w:left="360"/>
        <w:rPr>
          <w:sz w:val="20"/>
          <w:szCs w:val="20"/>
        </w:rPr>
      </w:pPr>
      <w:r>
        <w:rPr>
          <w:rStyle w:val="Bodytext3"/>
          <w:rFonts w:ascii="Arial" w:hAnsi="Arial" w:cs="Arial"/>
          <w:b/>
          <w:bCs/>
          <w:sz w:val="20"/>
          <w:szCs w:val="20"/>
        </w:rPr>
        <w:t xml:space="preserve">2. </w:t>
      </w:r>
      <w:r w:rsidRPr="00B24BE2">
        <w:rPr>
          <w:rStyle w:val="Bodytext3"/>
          <w:rFonts w:ascii="Arial" w:hAnsi="Arial" w:cs="Arial"/>
          <w:b/>
          <w:bCs/>
          <w:sz w:val="20"/>
          <w:szCs w:val="20"/>
        </w:rPr>
        <w:t>Področni dejavniki</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(področni</w:t>
      </w:r>
      <w:r w:rsidRPr="00B24BE2">
        <w:rPr>
          <w:sz w:val="20"/>
          <w:szCs w:val="20"/>
        </w:rPr>
        <w:t xml:space="preserve"> </w:t>
      </w:r>
      <w:r w:rsidRPr="00B24BE2">
        <w:rPr>
          <w:rStyle w:val="Bodytext3"/>
          <w:rFonts w:ascii="Arial" w:hAnsi="Arial" w:cs="Arial"/>
          <w:b/>
          <w:bCs/>
          <w:sz w:val="20"/>
          <w:szCs w:val="20"/>
        </w:rPr>
        <w:t>dejavniki)</w:t>
      </w:r>
    </w:p>
    <w:p w:rsidR="00EA6C68" w:rsidRPr="00B24BE2" w:rsidRDefault="00EA6C68" w:rsidP="00EA6C68">
      <w:pPr>
        <w:pStyle w:val="Besedilo"/>
        <w:rPr>
          <w:rStyle w:val="Bodytext2"/>
          <w:rFonts w:ascii="Arial" w:hAnsi="Arial" w:cs="Arial"/>
          <w:sz w:val="20"/>
          <w:szCs w:val="20"/>
        </w:rPr>
      </w:pPr>
      <w:r w:rsidRPr="00B24BE2">
        <w:rPr>
          <w:rStyle w:val="Bodytext2"/>
          <w:rFonts w:ascii="Arial" w:hAnsi="Arial" w:cs="Arial"/>
          <w:sz w:val="20"/>
          <w:szCs w:val="20"/>
        </w:rPr>
        <w:t>Pri določitvi IBS se kot področni dejavniki upoštevajo dejavniki, kot so določeni za posamezno bistveno storitev iz priloge te uredbe po področjih oziroma podpodročjih iz 4. člena te uredbe.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(dejavniki na področju energije)</w:t>
      </w:r>
    </w:p>
    <w:p w:rsidR="00EA6C68" w:rsidRPr="00E676E0" w:rsidRDefault="00EA6C68" w:rsidP="007045DA">
      <w:pPr>
        <w:pStyle w:val="Toke"/>
        <w:numPr>
          <w:ilvl w:val="0"/>
          <w:numId w:val="38"/>
        </w:numPr>
        <w:rPr>
          <w:rStyle w:val="Bodytext3"/>
          <w:rFonts w:ascii="Arial" w:eastAsiaTheme="minorHAnsi" w:hAnsi="Arial" w:cs="Arial"/>
          <w:b w:val="0"/>
          <w:bCs w:val="0"/>
          <w:color w:val="auto"/>
          <w:sz w:val="20"/>
          <w:szCs w:val="20"/>
          <w:lang w:eastAsia="en-US"/>
        </w:rPr>
      </w:pPr>
      <w:r w:rsidRPr="00E676E0">
        <w:rPr>
          <w:rStyle w:val="Bodytext3"/>
          <w:rFonts w:ascii="Arial" w:hAnsi="Arial" w:cs="Arial"/>
          <w:b w:val="0"/>
          <w:bCs w:val="0"/>
          <w:sz w:val="20"/>
          <w:szCs w:val="20"/>
        </w:rPr>
        <w:t>Dejavniki na podpodročju elektrike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 xml:space="preserve">1. Prenos električne energije: </w:t>
      </w:r>
    </w:p>
    <w:p w:rsidR="00EA6C68" w:rsidRPr="00B24BE2" w:rsidRDefault="00EA6C68" w:rsidP="00EA6C68">
      <w:pPr>
        <w:pStyle w:val="Alineje"/>
        <w:ind w:hanging="295"/>
        <w:rPr>
          <w:szCs w:val="20"/>
        </w:rPr>
      </w:pPr>
      <w:r w:rsidRPr="00B24BE2">
        <w:rPr>
          <w:szCs w:val="20"/>
        </w:rPr>
        <w:t>motnja pri zagotavljanju storitve iz te točke preko prenosnega omrežja izvajalca bi prizadela vsaj 100.000 uporabnikov</w:t>
      </w:r>
      <w:r>
        <w:rPr>
          <w:szCs w:val="20"/>
        </w:rPr>
        <w:t xml:space="preserve"> hkrati</w:t>
      </w:r>
      <w:r w:rsidRPr="00B24BE2">
        <w:rPr>
          <w:szCs w:val="20"/>
        </w:rPr>
        <w:t>;</w:t>
      </w:r>
    </w:p>
    <w:p w:rsidR="00EA6C68" w:rsidRPr="00B24BE2" w:rsidRDefault="00EA6C68" w:rsidP="00EA6C68">
      <w:pPr>
        <w:pStyle w:val="Alineje"/>
        <w:ind w:hanging="295"/>
        <w:rPr>
          <w:szCs w:val="20"/>
        </w:rPr>
      </w:pPr>
      <w:r w:rsidRPr="00B24BE2">
        <w:rPr>
          <w:szCs w:val="20"/>
        </w:rPr>
        <w:t xml:space="preserve">incident lahko </w:t>
      </w:r>
      <w:r>
        <w:rPr>
          <w:szCs w:val="20"/>
        </w:rPr>
        <w:t>onemogoči napajanje z električno energijo uporabnikov iz prejšnje alineje za vsaj tri ure</w:t>
      </w:r>
      <w:r w:rsidRPr="00B24BE2">
        <w:rPr>
          <w:szCs w:val="20"/>
        </w:rPr>
        <w:t>;</w:t>
      </w:r>
    </w:p>
    <w:p w:rsidR="00EA6C68" w:rsidRPr="00B24BE2" w:rsidRDefault="00EA6C68" w:rsidP="00EA6C68">
      <w:pPr>
        <w:pStyle w:val="Alineje"/>
        <w:ind w:hanging="295"/>
        <w:rPr>
          <w:szCs w:val="20"/>
        </w:rPr>
      </w:pPr>
      <w:r>
        <w:rPr>
          <w:szCs w:val="20"/>
        </w:rPr>
        <w:t>motnja pri zagotavljanju storitve iz te točke</w:t>
      </w:r>
      <w:r w:rsidRPr="00B24BE2">
        <w:rPr>
          <w:szCs w:val="20"/>
        </w:rPr>
        <w:t xml:space="preserv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Distribucija električne energije:</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r>
        <w:rPr>
          <w:szCs w:val="20"/>
        </w:rPr>
        <w:t xml:space="preserve"> hkrati</w:t>
      </w:r>
      <w:r w:rsidRPr="00B24BE2">
        <w:rPr>
          <w:szCs w:val="20"/>
        </w:rPr>
        <w:t>;</w:t>
      </w:r>
    </w:p>
    <w:p w:rsidR="00EA6C68" w:rsidRPr="00B24BE2" w:rsidRDefault="00EA6C68" w:rsidP="00EA6C68">
      <w:pPr>
        <w:pStyle w:val="Alineje"/>
        <w:ind w:hanging="295"/>
        <w:rPr>
          <w:szCs w:val="20"/>
        </w:rPr>
      </w:pPr>
      <w:r w:rsidRPr="00B24BE2">
        <w:rPr>
          <w:szCs w:val="20"/>
        </w:rPr>
        <w:t xml:space="preserve">incident lahko </w:t>
      </w:r>
      <w:r>
        <w:rPr>
          <w:szCs w:val="20"/>
        </w:rPr>
        <w:t>onemogoči napajanje z električno energijo uporabnikov iz prejšnje alineje za vsaj tri ure</w:t>
      </w:r>
      <w:r w:rsidRPr="00B24BE2">
        <w:rPr>
          <w:szCs w:val="20"/>
        </w:rPr>
        <w:t>;</w:t>
      </w:r>
    </w:p>
    <w:p w:rsidR="00EA6C68" w:rsidRPr="00B24BE2" w:rsidRDefault="00EA6C68" w:rsidP="00EA6C68">
      <w:pPr>
        <w:pStyle w:val="Alineje"/>
        <w:ind w:hanging="295"/>
        <w:rPr>
          <w:szCs w:val="20"/>
        </w:rPr>
      </w:pPr>
      <w:r w:rsidRPr="00B24BE2">
        <w:rPr>
          <w:szCs w:val="20"/>
        </w:rPr>
        <w:lastRenderedPageBreak/>
        <w:t xml:space="preserve">motnja pri zagotavljanju storitve iz te točke ima vpliv na območju Republike Slovenije.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Trgovanje z električno energijo (prodaja električne energije odjemalcem):</w:t>
      </w:r>
    </w:p>
    <w:p w:rsidR="00EA6C68" w:rsidRPr="00B24BE2" w:rsidRDefault="00EA6C68" w:rsidP="00EA6C68">
      <w:pPr>
        <w:pStyle w:val="Alineje"/>
        <w:ind w:hanging="295"/>
        <w:rPr>
          <w:szCs w:val="20"/>
        </w:rPr>
      </w:pPr>
      <w:r w:rsidRPr="00B24BE2">
        <w:rPr>
          <w:szCs w:val="20"/>
        </w:rPr>
        <w:t xml:space="preserve">motnja pri zagotavljanju storitve iz te točke bi prizadela vsaj 100.000 uporabnikov </w:t>
      </w:r>
      <w:r>
        <w:rPr>
          <w:szCs w:val="20"/>
        </w:rPr>
        <w:t>hkrati</w:t>
      </w:r>
      <w:r w:rsidRPr="00B24BE2">
        <w:rPr>
          <w:szCs w:val="20"/>
        </w:rPr>
        <w:t>;</w:t>
      </w:r>
    </w:p>
    <w:p w:rsidR="00EA6C68" w:rsidRPr="00B24BE2" w:rsidRDefault="00EA6C68" w:rsidP="00EA6C68">
      <w:pPr>
        <w:pStyle w:val="Alineje"/>
        <w:ind w:hanging="295"/>
        <w:rPr>
          <w:szCs w:val="20"/>
        </w:rPr>
      </w:pPr>
      <w:r w:rsidRPr="00B24BE2">
        <w:rPr>
          <w:szCs w:val="20"/>
        </w:rPr>
        <w:t xml:space="preserve">incident lahko </w:t>
      </w:r>
      <w:r>
        <w:rPr>
          <w:szCs w:val="20"/>
        </w:rPr>
        <w:t>onemogoči napajanje z električno energijo uporabnikov iz prejšnje alineje za vsaj tri ure</w:t>
      </w:r>
      <w:r w:rsidRPr="00B24BE2">
        <w:rPr>
          <w:szCs w:val="20"/>
        </w:rPr>
        <w:t>;</w:t>
      </w:r>
    </w:p>
    <w:p w:rsidR="00EA6C68"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Pr>
          <w:rFonts w:cs="Arial"/>
          <w:szCs w:val="20"/>
        </w:rPr>
        <w:t>4</w:t>
      </w:r>
      <w:r w:rsidRPr="00B24BE2">
        <w:rPr>
          <w:rFonts w:cs="Arial"/>
          <w:szCs w:val="20"/>
        </w:rPr>
        <w:t xml:space="preserve">. </w:t>
      </w:r>
      <w:r w:rsidRPr="00EA519B">
        <w:rPr>
          <w:rFonts w:cs="Arial"/>
          <w:szCs w:val="20"/>
        </w:rPr>
        <w:t>Proizvodnja električne energije</w:t>
      </w:r>
      <w:r>
        <w:rPr>
          <w:rFonts w:cs="Arial"/>
          <w:szCs w:val="20"/>
        </w:rPr>
        <w:t xml:space="preserve"> v hidroelektrarnah, termoelektrarnah, jedrskih elektrarnah (v delu in za potrebe delovanja prenosnega oziroma distribucijskih sistemov):</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r>
        <w:rPr>
          <w:szCs w:val="20"/>
        </w:rPr>
        <w:t xml:space="preserve"> hkrati</w:t>
      </w:r>
      <w:r w:rsidRPr="00B24BE2">
        <w:rPr>
          <w:szCs w:val="20"/>
        </w:rPr>
        <w:t>;</w:t>
      </w:r>
    </w:p>
    <w:p w:rsidR="00EA6C68" w:rsidRPr="00B24BE2" w:rsidRDefault="00EA6C68" w:rsidP="00EA6C68">
      <w:pPr>
        <w:pStyle w:val="Alineje"/>
        <w:ind w:hanging="295"/>
        <w:rPr>
          <w:szCs w:val="20"/>
        </w:rPr>
      </w:pPr>
      <w:r w:rsidRPr="00B24BE2">
        <w:rPr>
          <w:szCs w:val="20"/>
        </w:rPr>
        <w:t>incident lahko</w:t>
      </w:r>
      <w:r>
        <w:rPr>
          <w:szCs w:val="20"/>
        </w:rPr>
        <w:t xml:space="preserve"> onemogoči napajanje z električno energijo uporabnikov iz prejšnje alineje za vsaj tri ure ali</w:t>
      </w:r>
      <w:r w:rsidRPr="00B24BE2">
        <w:rPr>
          <w:szCs w:val="20"/>
        </w:rPr>
        <w:t xml:space="preserve"> </w:t>
      </w:r>
      <w:r>
        <w:rPr>
          <w:szCs w:val="20"/>
        </w:rPr>
        <w:t>lahko povzroči motnjo pri zagotavljanju storitve iz te točke za tri dni</w:t>
      </w:r>
      <w:r w:rsidRPr="00B24BE2">
        <w:rPr>
          <w:szCs w:val="20"/>
        </w:rPr>
        <w:t>;</w:t>
      </w:r>
    </w:p>
    <w:p w:rsidR="00EA6C68"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line="300" w:lineRule="exact"/>
        <w:jc w:val="both"/>
        <w:rPr>
          <w:rFonts w:cs="Arial"/>
          <w:szCs w:val="20"/>
        </w:rPr>
      </w:pP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 xml:space="preserve">Dejavniki na podpodročju nafte za bistvene storitve iz priloge: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1. Trgovina na drobno z lastnimi motornimi gorivi:</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w:t>
      </w:r>
      <w:r>
        <w:rPr>
          <w:szCs w:val="20"/>
        </w:rPr>
        <w:t xml:space="preserve"> Republike Slovenije</w:t>
      </w:r>
      <w:r w:rsidRPr="00B24BE2">
        <w:rPr>
          <w:szCs w:val="20"/>
        </w:rPr>
        <w:t>.</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Posredništvo pri prodaji motornih goriv na drobno:</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w:t>
      </w:r>
      <w:r>
        <w:rPr>
          <w:szCs w:val="20"/>
        </w:rPr>
        <w:t xml:space="preserve"> Republike Slovenije</w:t>
      </w:r>
      <w:r w:rsidRPr="00B24BE2">
        <w:rPr>
          <w:szCs w:val="20"/>
        </w:rPr>
        <w:t>.</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Skladiščenje (obratovanje skladišč za nafto in naftne derivate - cisterne):</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Dejavniki na podpodročju plina za bistveni storitvi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1. Distribucija plinastih goriv po plinovodni mreži:</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 xml:space="preserve">motnja pri zagotavljanju storitve iz te točke ima vpliv na območju, večjem od deset odstotkov površine Republike Slovenije.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Trgovanje s plinastimi gorivi po plinovodni mreži (prodaja plina uporabnikom prek plinovodne mreže):</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lastRenderedPageBreak/>
        <w:t xml:space="preserve">motnja pri zagotavljanju storitve iz te točke ima vpliv na območju Republike Slovenije.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Cevovodni transport (transport plina po cevovodih - plinovodih):</w:t>
      </w:r>
    </w:p>
    <w:p w:rsidR="00EA6C68" w:rsidRPr="00B24BE2" w:rsidRDefault="00EA6C68" w:rsidP="00EA6C68">
      <w:pPr>
        <w:pStyle w:val="Alineje"/>
        <w:ind w:hanging="295"/>
        <w:rPr>
          <w:szCs w:val="20"/>
        </w:rPr>
      </w:pPr>
      <w:r w:rsidRPr="00B24BE2">
        <w:rPr>
          <w:szCs w:val="20"/>
        </w:rPr>
        <w:t>motnja pri zagotavljanju storitve iz te točke bi prizadela vsaj 100.000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r w:rsidRPr="00B24BE2">
        <w:rPr>
          <w:rStyle w:val="Bodytext3"/>
          <w:rFonts w:ascii="Arial" w:hAnsi="Arial" w:cs="Arial"/>
          <w:b/>
          <w:bCs/>
          <w:sz w:val="20"/>
          <w:szCs w:val="20"/>
        </w:rPr>
        <w:tab/>
      </w:r>
    </w:p>
    <w:p w:rsidR="00EA6C68" w:rsidRPr="00B24BE2" w:rsidRDefault="00EA6C68" w:rsidP="00EA6C68">
      <w:pPr>
        <w:pStyle w:val="leninaslov"/>
        <w:rPr>
          <w:rStyle w:val="Bodytext3"/>
          <w:rFonts w:ascii="Arial" w:hAnsi="Arial" w:cs="Arial"/>
          <w:b/>
          <w:bCs/>
          <w:sz w:val="20"/>
          <w:szCs w:val="20"/>
          <w:lang w:eastAsia="en-US"/>
        </w:rPr>
      </w:pPr>
      <w:r w:rsidRPr="00B24BE2">
        <w:rPr>
          <w:rStyle w:val="Bodytext3"/>
          <w:rFonts w:ascii="Arial" w:hAnsi="Arial" w:cs="Arial"/>
          <w:b/>
          <w:sz w:val="20"/>
          <w:szCs w:val="20"/>
        </w:rPr>
        <w:t>(dejavnik</w:t>
      </w:r>
      <w:r w:rsidRPr="00B24BE2">
        <w:rPr>
          <w:rStyle w:val="Bodytext3"/>
          <w:rFonts w:ascii="Arial" w:hAnsi="Arial" w:cs="Arial"/>
          <w:b/>
          <w:bCs/>
          <w:sz w:val="20"/>
          <w:szCs w:val="20"/>
        </w:rPr>
        <w:t>i na področju digitalne infrastrukture)</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1.Telekomunikacijske dejavnosti po vodih (storitev stičišč omrežij</w:t>
      </w:r>
      <w:r>
        <w:rPr>
          <w:rFonts w:cs="Arial"/>
          <w:szCs w:val="20"/>
        </w:rPr>
        <w:t xml:space="preserve"> – t. i. IXP, </w:t>
      </w:r>
      <w:r w:rsidRPr="00B24BE2">
        <w:rPr>
          <w:rFonts w:cs="Arial"/>
          <w:szCs w:val="20"/>
        </w:rPr>
        <w:t>razen za izvajalce storitev, ki so izključeni na podlagi tretjega odstavka 2. člena ZInfV):</w:t>
      </w:r>
    </w:p>
    <w:p w:rsidR="00EA6C68" w:rsidRPr="00B24BE2" w:rsidRDefault="00EA6C68" w:rsidP="00EA6C68">
      <w:pPr>
        <w:pStyle w:val="Alineje"/>
        <w:ind w:hanging="295"/>
        <w:rPr>
          <w:szCs w:val="20"/>
        </w:rPr>
      </w:pPr>
      <w:r w:rsidRPr="00B24BE2">
        <w:rPr>
          <w:szCs w:val="20"/>
        </w:rPr>
        <w:t>motnja pri zagotavljanju storitve iz te točke bi lahko prizadela več kot 100.000 uporabnikov;</w:t>
      </w:r>
    </w:p>
    <w:p w:rsidR="00EA6C68" w:rsidRPr="00B24BE2" w:rsidRDefault="00EA6C68" w:rsidP="00EA6C68">
      <w:pPr>
        <w:pStyle w:val="Alineje"/>
        <w:ind w:hanging="295"/>
        <w:rPr>
          <w:szCs w:val="20"/>
        </w:rPr>
      </w:pPr>
      <w:r w:rsidRPr="00B24BE2">
        <w:rPr>
          <w:szCs w:val="20"/>
        </w:rPr>
        <w:t>incident lahko povzroči prekinitev zagotavljanja storitve iz te točke za več kot šest ur;</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Telekomunikacijske dejavnosti po vodih (storitve sistema domenskih imen</w:t>
      </w:r>
      <w:r>
        <w:rPr>
          <w:rFonts w:cs="Arial"/>
          <w:szCs w:val="20"/>
        </w:rPr>
        <w:t xml:space="preserve"> – t. i. DNS, </w:t>
      </w:r>
      <w:r w:rsidRPr="00B24BE2">
        <w:rPr>
          <w:rFonts w:cs="Arial"/>
          <w:szCs w:val="20"/>
        </w:rPr>
        <w:t>razen za izvajalce storitev, ki so izključeni na podlagi tretjega odstavka 2. člena ZInfV):</w:t>
      </w:r>
    </w:p>
    <w:p w:rsidR="00EA6C68" w:rsidRPr="00B24BE2" w:rsidRDefault="00EA6C68" w:rsidP="00EA6C68">
      <w:pPr>
        <w:pStyle w:val="Alineje"/>
        <w:ind w:hanging="295"/>
        <w:rPr>
          <w:szCs w:val="20"/>
        </w:rPr>
      </w:pPr>
      <w:r w:rsidRPr="00B24BE2">
        <w:rPr>
          <w:szCs w:val="20"/>
        </w:rPr>
        <w:t>motnja pri zagotavljanju storitev iz te točke bi lahko prizadela več kot 100.000 uporabnikov;</w:t>
      </w:r>
    </w:p>
    <w:p w:rsidR="00EA6C68" w:rsidRPr="00B24BE2" w:rsidRDefault="00EA6C68" w:rsidP="00EA6C68">
      <w:pPr>
        <w:pStyle w:val="Alineje"/>
        <w:ind w:hanging="295"/>
        <w:rPr>
          <w:szCs w:val="20"/>
        </w:rPr>
      </w:pPr>
      <w:r w:rsidRPr="00B24BE2">
        <w:rPr>
          <w:szCs w:val="20"/>
        </w:rPr>
        <w:t>incident lahko povzroči prekinitev zagotavljanja storitve sistema domenskih imen najvišje ravni za več kot šest ur ali lahko povzroči prekinitev zagotavljanja drugih storitev iz te točke za več kot 12 ur;</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Telekomunikacijske dejavnosti po vodih (storitev registra domenskih imen najvišje ravni</w:t>
      </w:r>
      <w:r>
        <w:rPr>
          <w:rFonts w:cs="Arial"/>
          <w:szCs w:val="20"/>
        </w:rPr>
        <w:t xml:space="preserve"> – t. i. register TLD</w:t>
      </w:r>
      <w:r w:rsidRPr="00B24BE2">
        <w:rPr>
          <w:rFonts w:cs="Arial"/>
          <w:szCs w:val="20"/>
        </w:rPr>
        <w:t>):</w:t>
      </w:r>
    </w:p>
    <w:p w:rsidR="00EA6C68" w:rsidRPr="00B24BE2" w:rsidRDefault="00EA6C68" w:rsidP="00EA6C68">
      <w:pPr>
        <w:pStyle w:val="Alineje"/>
        <w:ind w:hanging="295"/>
        <w:rPr>
          <w:szCs w:val="20"/>
        </w:rPr>
      </w:pPr>
      <w:r w:rsidRPr="00B24BE2">
        <w:rPr>
          <w:szCs w:val="20"/>
        </w:rPr>
        <w:t>motnja pri zagotavljanju storitve iz te točke bi lahko prizadela več kot 100.000 uporabnikov;</w:t>
      </w:r>
    </w:p>
    <w:p w:rsidR="00EA6C68" w:rsidRPr="00B24BE2" w:rsidRDefault="00EA6C68" w:rsidP="00EA6C68">
      <w:pPr>
        <w:pStyle w:val="Alineje"/>
        <w:ind w:hanging="295"/>
        <w:rPr>
          <w:szCs w:val="20"/>
        </w:rPr>
      </w:pPr>
      <w:r w:rsidRPr="00B24BE2">
        <w:rPr>
          <w:szCs w:val="20"/>
        </w:rPr>
        <w:t>incident lahko povzroči prekinitev zagotavljanja storitve iz te točke za več kot 24 ur;</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sz w:val="20"/>
          <w:szCs w:val="20"/>
        </w:rPr>
      </w:pPr>
      <w:r w:rsidRPr="00B24BE2">
        <w:rPr>
          <w:rStyle w:val="Bodytext3"/>
          <w:rFonts w:ascii="Arial" w:hAnsi="Arial" w:cs="Arial"/>
          <w:b/>
          <w:sz w:val="20"/>
          <w:szCs w:val="20"/>
        </w:rPr>
        <w:t xml:space="preserve">(dejavniki na področju oskrbe s pitno </w:t>
      </w:r>
      <w:r w:rsidRPr="00B24BE2">
        <w:rPr>
          <w:rStyle w:val="Bodytext3"/>
          <w:rFonts w:ascii="Arial" w:hAnsi="Arial" w:cs="Arial"/>
          <w:b/>
          <w:bCs/>
          <w:sz w:val="20"/>
          <w:szCs w:val="20"/>
        </w:rPr>
        <w:t>vodo</w:t>
      </w:r>
      <w:r w:rsidRPr="00B24BE2">
        <w:rPr>
          <w:rStyle w:val="Bodytext3"/>
          <w:rFonts w:ascii="Arial" w:hAnsi="Arial" w:cs="Arial"/>
          <w:b/>
          <w:sz w:val="20"/>
          <w:szCs w:val="20"/>
        </w:rPr>
        <w:t xml:space="preserve"> in njene distribucije)</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Zbiranje, prečiščevanje in distribucija vode (zbiranje, prečiščevanje in distribucija vode za gospodinjstva):</w:t>
      </w:r>
    </w:p>
    <w:p w:rsidR="00EA6C68" w:rsidRPr="00B24BE2" w:rsidRDefault="00EA6C68" w:rsidP="00EA6C68">
      <w:pPr>
        <w:pStyle w:val="Alineje"/>
        <w:ind w:hanging="295"/>
        <w:rPr>
          <w:szCs w:val="20"/>
        </w:rPr>
      </w:pPr>
      <w:r w:rsidRPr="00B24BE2">
        <w:rPr>
          <w:szCs w:val="20"/>
        </w:rPr>
        <w:t>motnja pri zagotavljanju storitev iz te točke bi lahko prizadela več kot 100.000 uporabnikov (obvezen dejavnik);</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teden dni;</w:t>
      </w:r>
    </w:p>
    <w:p w:rsidR="00EA6C68" w:rsidRPr="00B24BE2" w:rsidRDefault="00EA6C68" w:rsidP="00EA6C68">
      <w:pPr>
        <w:pStyle w:val="Alineje"/>
        <w:ind w:hanging="295"/>
        <w:rPr>
          <w:szCs w:val="20"/>
        </w:rPr>
      </w:pPr>
      <w:r w:rsidRPr="00B24BE2">
        <w:rPr>
          <w:szCs w:val="20"/>
        </w:rPr>
        <w:t>motnja pri zagotavljanju storitev iz te točke ima vpliv na območju, večjem od deset odstotkov površine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lastRenderedPageBreak/>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(dejavniki na področju zdravstva)</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1. Bolnišnična zdravstvena dejavnost (storitve bolnišničnega zdravstvenega varstva, namenjene hospitaliziranim pacientom</w:t>
      </w:r>
      <w:r>
        <w:rPr>
          <w:rFonts w:cs="Arial"/>
          <w:szCs w:val="20"/>
        </w:rPr>
        <w:t>, vključno z nujno medicinsko pomočjo</w:t>
      </w:r>
      <w:r w:rsidRPr="00B24BE2">
        <w:rPr>
          <w:rFonts w:cs="Arial"/>
          <w:szCs w:val="20"/>
        </w:rPr>
        <w:t xml:space="preserve">): </w:t>
      </w:r>
    </w:p>
    <w:p w:rsidR="00EA6C68" w:rsidRPr="00B24BE2" w:rsidRDefault="00EA6C68" w:rsidP="00EA6C68">
      <w:pPr>
        <w:pStyle w:val="Alineje"/>
        <w:ind w:hanging="295"/>
        <w:rPr>
          <w:szCs w:val="20"/>
        </w:rPr>
      </w:pPr>
      <w:r w:rsidRPr="00B24BE2">
        <w:rPr>
          <w:szCs w:val="20"/>
        </w:rPr>
        <w:t xml:space="preserve">motnja pri zagotavljanju storitev iz te točke bi lahko </w:t>
      </w:r>
      <w:r>
        <w:rPr>
          <w:szCs w:val="20"/>
        </w:rPr>
        <w:t>v bolnišnični dejavnosti</w:t>
      </w:r>
      <w:r w:rsidRPr="00B24BE2">
        <w:rPr>
          <w:szCs w:val="20"/>
        </w:rPr>
        <w:t xml:space="preserve"> prizadela več kot 1.000 fizičnih oseb, šteto glede na število postelj pri posameznem izvajalcu te storitve</w:t>
      </w:r>
      <w:r>
        <w:rPr>
          <w:szCs w:val="20"/>
        </w:rPr>
        <w:t>, oziroma v dejavnosti nujne medicinske pomoči 100.000 oseb, šteto glede na število obravnav letno v dejavnosti nujne medicinske pomoči</w:t>
      </w:r>
      <w:r w:rsidRPr="00B24BE2">
        <w:rPr>
          <w:szCs w:val="20"/>
        </w:rPr>
        <w:t xml:space="preserve"> (obvezen dejavnik);</w:t>
      </w:r>
    </w:p>
    <w:p w:rsidR="00EA6C68" w:rsidRPr="00B24BE2" w:rsidRDefault="00EA6C68" w:rsidP="00EA6C68">
      <w:pPr>
        <w:pStyle w:val="Alineje"/>
        <w:ind w:hanging="295"/>
        <w:rPr>
          <w:szCs w:val="20"/>
        </w:rPr>
      </w:pPr>
      <w:r w:rsidRPr="00B24BE2">
        <w:rPr>
          <w:szCs w:val="20"/>
        </w:rPr>
        <w:t xml:space="preserve">incident lahko povzroči </w:t>
      </w:r>
      <w:r>
        <w:rPr>
          <w:szCs w:val="20"/>
        </w:rPr>
        <w:t>motnjo pri</w:t>
      </w:r>
      <w:r w:rsidRPr="00B24BE2">
        <w:rPr>
          <w:szCs w:val="20"/>
        </w:rPr>
        <w:t xml:space="preserve"> zagotavljanj</w:t>
      </w:r>
      <w:r>
        <w:rPr>
          <w:szCs w:val="20"/>
        </w:rPr>
        <w:t>u</w:t>
      </w:r>
      <w:r w:rsidRPr="00B24BE2">
        <w:rPr>
          <w:szCs w:val="20"/>
        </w:rPr>
        <w:t xml:space="preserve"> storitev iz te točke za več kot teden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Splošna zunajbolnišnična zdravstvena dejavnost (svetovanje, diagnostika in zdravljenje, ki ga opravljajo zdravniki splošne medicine ali zdravniki pediatri):</w:t>
      </w:r>
    </w:p>
    <w:p w:rsidR="00EA6C68" w:rsidRPr="00B24BE2" w:rsidRDefault="00EA6C68" w:rsidP="00EA6C68">
      <w:pPr>
        <w:pStyle w:val="Alineje"/>
        <w:ind w:hanging="295"/>
        <w:rPr>
          <w:szCs w:val="20"/>
        </w:rPr>
      </w:pPr>
      <w:r w:rsidRPr="00B24BE2">
        <w:rPr>
          <w:szCs w:val="20"/>
        </w:rPr>
        <w:t xml:space="preserve">motnja pri zagotavljanju storitev iz te točke bi lahko prizadela več kot 100.000 fizičnih oseb, šteto glede na število opredeljenih zavarovanih oseb pri posameznem izvajalcu te storitve (obvezen dejavnik); </w:t>
      </w:r>
    </w:p>
    <w:p w:rsidR="00EA6C68" w:rsidRPr="00B24BE2" w:rsidRDefault="00EA6C68" w:rsidP="00EA6C68">
      <w:pPr>
        <w:pStyle w:val="Alineje"/>
        <w:ind w:hanging="295"/>
        <w:rPr>
          <w:szCs w:val="20"/>
        </w:rPr>
      </w:pPr>
      <w:r w:rsidRPr="00B24BE2">
        <w:rPr>
          <w:szCs w:val="20"/>
        </w:rPr>
        <w:t xml:space="preserve">incident lahko povzroči </w:t>
      </w:r>
      <w:r>
        <w:rPr>
          <w:szCs w:val="20"/>
        </w:rPr>
        <w:t>motnjo pri</w:t>
      </w:r>
      <w:r w:rsidRPr="00B24BE2">
        <w:rPr>
          <w:szCs w:val="20"/>
        </w:rPr>
        <w:t xml:space="preserve"> zagotavljanj</w:t>
      </w:r>
      <w:r>
        <w:rPr>
          <w:szCs w:val="20"/>
        </w:rPr>
        <w:t>u</w:t>
      </w:r>
      <w:r w:rsidRPr="00B24BE2">
        <w:rPr>
          <w:szCs w:val="20"/>
        </w:rPr>
        <w:t xml:space="preserve"> storitev iz te točke za več kot teden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Specialistična zunajbolnišnična zdravstvena dejavnost (specialistično svetovanje, diagnostika in zdravljenje):</w:t>
      </w:r>
    </w:p>
    <w:p w:rsidR="00EA6C68" w:rsidRPr="00B24BE2" w:rsidRDefault="00EA6C68" w:rsidP="00EA6C68">
      <w:pPr>
        <w:pStyle w:val="Alineje"/>
        <w:ind w:hanging="295"/>
        <w:rPr>
          <w:szCs w:val="20"/>
        </w:rPr>
      </w:pPr>
      <w:r w:rsidRPr="00B24BE2">
        <w:rPr>
          <w:szCs w:val="20"/>
        </w:rPr>
        <w:t>motnja pri zagotavljanju storitev iz te točke bi lahko prizadela več kot 400.000 fizičnih oseb, šteto glede na število obiskov pacientov pri posameznem izvajalcu te storitve na letni ravni (obvezen dejavnik);</w:t>
      </w:r>
    </w:p>
    <w:p w:rsidR="00EA6C68" w:rsidRPr="00B24BE2" w:rsidRDefault="00EA6C68" w:rsidP="00EA6C68">
      <w:pPr>
        <w:pStyle w:val="Alineje"/>
        <w:ind w:hanging="295"/>
        <w:rPr>
          <w:szCs w:val="20"/>
        </w:rPr>
      </w:pPr>
      <w:r w:rsidRPr="00B24BE2">
        <w:rPr>
          <w:szCs w:val="20"/>
        </w:rPr>
        <w:t xml:space="preserve">incident lahko povzroči </w:t>
      </w:r>
      <w:r>
        <w:rPr>
          <w:szCs w:val="20"/>
        </w:rPr>
        <w:t>motnjo pri</w:t>
      </w:r>
      <w:r w:rsidRPr="00B24BE2">
        <w:rPr>
          <w:szCs w:val="20"/>
        </w:rPr>
        <w:t xml:space="preserve"> zagotavljanj</w:t>
      </w:r>
      <w:r>
        <w:rPr>
          <w:szCs w:val="20"/>
        </w:rPr>
        <w:t>u</w:t>
      </w:r>
      <w:r w:rsidRPr="00B24BE2">
        <w:rPr>
          <w:szCs w:val="20"/>
        </w:rPr>
        <w:t xml:space="preserve"> storitev iz te točke za več kot teden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 xml:space="preserve">4. </w:t>
      </w:r>
      <w:r w:rsidRPr="00B24BE2">
        <w:rPr>
          <w:rFonts w:cs="Arial"/>
          <w:color w:val="000000"/>
          <w:szCs w:val="20"/>
        </w:rPr>
        <w:t xml:space="preserve">Trgovina </w:t>
      </w:r>
      <w:r w:rsidRPr="00B24BE2">
        <w:rPr>
          <w:rFonts w:cs="Arial"/>
          <w:szCs w:val="20"/>
        </w:rPr>
        <w:t>na</w:t>
      </w:r>
      <w:r w:rsidRPr="00B24BE2">
        <w:rPr>
          <w:rFonts w:cs="Arial"/>
          <w:color w:val="000000"/>
          <w:szCs w:val="20"/>
        </w:rPr>
        <w:t xml:space="preserve"> drobno v specializiranih prodajalnah s farmacevtskimi izdelki (</w:t>
      </w:r>
      <w:r w:rsidRPr="00B24BE2">
        <w:rPr>
          <w:rFonts w:cs="Arial"/>
          <w:szCs w:val="20"/>
        </w:rPr>
        <w:t>lekarniška dejavnost –  izdajanje zdravil na recept</w:t>
      </w:r>
      <w:r w:rsidRPr="00B24BE2">
        <w:rPr>
          <w:rFonts w:cs="Arial"/>
          <w:color w:val="000000"/>
          <w:szCs w:val="20"/>
        </w:rPr>
        <w:t>):</w:t>
      </w:r>
    </w:p>
    <w:p w:rsidR="00EA6C68" w:rsidRPr="00B24BE2" w:rsidRDefault="00EA6C68" w:rsidP="00EA6C68">
      <w:pPr>
        <w:pStyle w:val="Alineje"/>
        <w:ind w:hanging="295"/>
        <w:rPr>
          <w:szCs w:val="20"/>
        </w:rPr>
      </w:pPr>
      <w:r w:rsidRPr="00B24BE2">
        <w:rPr>
          <w:szCs w:val="20"/>
        </w:rPr>
        <w:t xml:space="preserve">motnja pri zagotavljanju storitev iz te točke bi lahko prizadela več kot 100.000 fizičnih oseb, šteto glede na število </w:t>
      </w:r>
      <w:r>
        <w:rPr>
          <w:szCs w:val="20"/>
        </w:rPr>
        <w:t>izdaj</w:t>
      </w:r>
      <w:r w:rsidRPr="00B24BE2">
        <w:rPr>
          <w:szCs w:val="20"/>
        </w:rPr>
        <w:t xml:space="preserve"> zdravil na recept v obdobju enega meseca pri posameznem izvajalcu teh storitev (obvezen dejavnik);</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teden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Alineje"/>
        <w:numPr>
          <w:ilvl w:val="0"/>
          <w:numId w:val="0"/>
        </w:numPr>
        <w:rPr>
          <w:szCs w:val="20"/>
          <w:highlight w:val="yellow"/>
        </w:rPr>
      </w:pP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(dejavniki na področju prometa)</w:t>
      </w:r>
    </w:p>
    <w:p w:rsidR="00EA6C68" w:rsidRPr="00E676E0" w:rsidRDefault="00EA6C68" w:rsidP="007045DA">
      <w:pPr>
        <w:pStyle w:val="Toke"/>
        <w:numPr>
          <w:ilvl w:val="0"/>
          <w:numId w:val="39"/>
        </w:numPr>
        <w:rPr>
          <w:rStyle w:val="Bodytext3"/>
          <w:rFonts w:ascii="Arial" w:eastAsiaTheme="minorHAnsi" w:hAnsi="Arial" w:cs="Arial"/>
          <w:b w:val="0"/>
          <w:bCs w:val="0"/>
          <w:color w:val="auto"/>
          <w:sz w:val="20"/>
          <w:szCs w:val="20"/>
          <w:lang w:eastAsia="en-US"/>
        </w:rPr>
      </w:pPr>
      <w:r w:rsidRPr="00E676E0">
        <w:rPr>
          <w:rStyle w:val="Bodytext3"/>
          <w:rFonts w:ascii="Arial" w:hAnsi="Arial" w:cs="Arial"/>
          <w:b w:val="0"/>
          <w:bCs w:val="0"/>
          <w:sz w:val="20"/>
          <w:szCs w:val="20"/>
        </w:rPr>
        <w:t xml:space="preserve">Dejavniki na podpodročju zračni promet za bistvene storitve iz priloge: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lastRenderedPageBreak/>
        <w:t xml:space="preserve">1. Potniški zračni promet: </w:t>
      </w:r>
    </w:p>
    <w:p w:rsidR="00EA6C68" w:rsidRPr="00B24BE2" w:rsidRDefault="00EA6C68" w:rsidP="00EA6C68">
      <w:pPr>
        <w:pStyle w:val="Alineje"/>
        <w:ind w:hanging="295"/>
        <w:rPr>
          <w:szCs w:val="20"/>
        </w:rPr>
      </w:pPr>
      <w:r w:rsidRPr="00B24BE2">
        <w:rPr>
          <w:szCs w:val="20"/>
        </w:rPr>
        <w:t>motnja pri zagotavljanju storitve iz te točke bi prizadela vsaj 2.000 fizičnih oseb;</w:t>
      </w:r>
    </w:p>
    <w:p w:rsidR="00EA6C68" w:rsidRPr="00B24BE2" w:rsidRDefault="00EA6C68" w:rsidP="00EA6C68">
      <w:pPr>
        <w:pStyle w:val="Alineje"/>
        <w:ind w:hanging="295"/>
        <w:rPr>
          <w:szCs w:val="20"/>
        </w:rPr>
      </w:pPr>
      <w:r w:rsidRPr="00B24BE2">
        <w:rPr>
          <w:szCs w:val="20"/>
        </w:rPr>
        <w:t>incident lahko onemogoči zagotavljanje storitve iz te točke v zračnem prostoru Republike Slovenije za več kot 12 ur;</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Tovorni zračni promet:</w:t>
      </w:r>
    </w:p>
    <w:p w:rsidR="00EA6C68" w:rsidRPr="00B24BE2" w:rsidRDefault="00EA6C68" w:rsidP="00EA6C68">
      <w:pPr>
        <w:pStyle w:val="Alineje"/>
        <w:ind w:hanging="295"/>
        <w:rPr>
          <w:szCs w:val="20"/>
        </w:rPr>
      </w:pPr>
      <w:r w:rsidRPr="00B24BE2">
        <w:rPr>
          <w:szCs w:val="20"/>
        </w:rPr>
        <w:t>motnja pri zagotavljanju storitve iz te točke bi prizadela vsaj 10.000 uporabnikov;</w:t>
      </w:r>
    </w:p>
    <w:p w:rsidR="00EA6C68" w:rsidRPr="00B24BE2" w:rsidRDefault="00EA6C68" w:rsidP="00EA6C68">
      <w:pPr>
        <w:pStyle w:val="Alineje"/>
        <w:ind w:hanging="295"/>
        <w:rPr>
          <w:szCs w:val="20"/>
        </w:rPr>
      </w:pPr>
      <w:r w:rsidRPr="00B24BE2">
        <w:rPr>
          <w:szCs w:val="20"/>
        </w:rPr>
        <w:t>incident lahko onemogoči zagotavljanju storitve iz te točke v zračnem prostoru Republike Slovenije za več kot 12 ur;</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Spremljajoče storitvene dejavnosti v zračnem prometu (obratovanje letaliških terminalov in podobnih objektov, obratovanje letališč, kontrola zračnega prometa in dejavnost služb na letališčih, vključno s protipožarno varnostjo):</w:t>
      </w:r>
    </w:p>
    <w:p w:rsidR="00EA6C68" w:rsidRPr="00B24BE2" w:rsidRDefault="00EA6C68" w:rsidP="00EA6C68">
      <w:pPr>
        <w:pStyle w:val="Alineje"/>
        <w:ind w:hanging="295"/>
        <w:rPr>
          <w:szCs w:val="20"/>
        </w:rPr>
      </w:pPr>
      <w:r w:rsidRPr="00B24BE2">
        <w:rPr>
          <w:szCs w:val="20"/>
        </w:rPr>
        <w:t>motnja pri zagotavljanju storitev iz te točke bi prizadela vsaj 2.000 uporabnikov;</w:t>
      </w:r>
    </w:p>
    <w:p w:rsidR="00EA6C68" w:rsidRPr="00B24BE2" w:rsidRDefault="00EA6C68" w:rsidP="00EA6C68">
      <w:pPr>
        <w:pStyle w:val="Alineje"/>
        <w:ind w:hanging="295"/>
        <w:rPr>
          <w:szCs w:val="20"/>
        </w:rPr>
      </w:pPr>
      <w:r w:rsidRPr="00B24BE2">
        <w:rPr>
          <w:szCs w:val="20"/>
        </w:rPr>
        <w:t>incident lahko onemogoči zagotavljanje storitev iz te točke v zračnem prostoru Republike Slovenije za več kot 12 ur;</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ind w:left="1440"/>
        <w:jc w:val="both"/>
        <w:rPr>
          <w:rFonts w:cs="Arial"/>
          <w:szCs w:val="20"/>
        </w:rPr>
      </w:pP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 xml:space="preserve">Dejavniki na podpodročju železniški promet za bistvene storitve iz priloge: </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 xml:space="preserve">1. Železniški potniški promet: </w:t>
      </w:r>
    </w:p>
    <w:p w:rsidR="00EA6C68" w:rsidRPr="00B24BE2" w:rsidRDefault="00EA6C68" w:rsidP="00EA6C68">
      <w:pPr>
        <w:pStyle w:val="Alineje"/>
        <w:ind w:hanging="295"/>
        <w:rPr>
          <w:szCs w:val="20"/>
        </w:rPr>
      </w:pPr>
      <w:r w:rsidRPr="00B24BE2">
        <w:rPr>
          <w:szCs w:val="20"/>
        </w:rPr>
        <w:t>motnja pri zagotavljanju storitve iz te točke na glavnih progah bi prizadela vsaj 10.000 fizičnih oseb;</w:t>
      </w:r>
    </w:p>
    <w:p w:rsidR="00EA6C68" w:rsidRPr="00B24BE2" w:rsidRDefault="00EA6C68" w:rsidP="00EA6C68">
      <w:pPr>
        <w:pStyle w:val="Alineje"/>
        <w:ind w:hanging="295"/>
        <w:rPr>
          <w:szCs w:val="20"/>
        </w:rPr>
      </w:pPr>
      <w:r w:rsidRPr="00B24BE2">
        <w:rPr>
          <w:szCs w:val="20"/>
        </w:rPr>
        <w:t>incident lahko onemogoči zagotavljanje vsega železniškega potniškega prometa na glavnih progah za najmanj teden dni;</w:t>
      </w:r>
    </w:p>
    <w:p w:rsidR="00EA6C68" w:rsidRPr="00B24BE2" w:rsidRDefault="00EA6C68" w:rsidP="00EA6C68">
      <w:pPr>
        <w:pStyle w:val="Alineje"/>
        <w:ind w:hanging="295"/>
        <w:rPr>
          <w:szCs w:val="20"/>
        </w:rPr>
      </w:pPr>
      <w:r w:rsidRPr="00B24BE2">
        <w:rPr>
          <w:szCs w:val="20"/>
        </w:rPr>
        <w:t>motnja pri zagotavljanju storitve iz te točke</w:t>
      </w:r>
      <w:r w:rsidRPr="00B24BE2" w:rsidDel="00720DBF">
        <w:rPr>
          <w:szCs w:val="20"/>
        </w:rPr>
        <w:t xml:space="preserve"> </w:t>
      </w:r>
      <w:r w:rsidRPr="00B24BE2">
        <w:rPr>
          <w:szCs w:val="20"/>
        </w:rPr>
        <w:t>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Železniški tovorni promet:</w:t>
      </w:r>
    </w:p>
    <w:p w:rsidR="00EA6C68" w:rsidRPr="00B24BE2" w:rsidRDefault="00EA6C68" w:rsidP="00EA6C68">
      <w:pPr>
        <w:pStyle w:val="Alineje"/>
        <w:ind w:hanging="295"/>
        <w:rPr>
          <w:szCs w:val="20"/>
        </w:rPr>
      </w:pPr>
      <w:r w:rsidRPr="00B24BE2">
        <w:rPr>
          <w:szCs w:val="20"/>
        </w:rPr>
        <w:t>motnja pri zagotavljanju storitve iz te točke na železniških tovornih koridorjih bi prizadela vsaj 20.000 uporabnikov;</w:t>
      </w:r>
    </w:p>
    <w:p w:rsidR="00EA6C68" w:rsidRPr="00B24BE2" w:rsidRDefault="00EA6C68" w:rsidP="00EA6C68">
      <w:pPr>
        <w:pStyle w:val="Alineje"/>
        <w:ind w:hanging="295"/>
        <w:rPr>
          <w:szCs w:val="20"/>
        </w:rPr>
      </w:pPr>
      <w:r w:rsidRPr="00B24BE2">
        <w:rPr>
          <w:szCs w:val="20"/>
        </w:rPr>
        <w:t>incident lahko onemogoči zagotavljanje vsega železniškega tovornega prometa na železniških tovornih koridorjih za najmanj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Spremljajoče storitvene dejavnosti v železniškem kopenskem prometu (obratovanje železniških postaj, ranžirnih postaj terminalov tovornega prometa in druge železniške infrastrukture):</w:t>
      </w:r>
    </w:p>
    <w:p w:rsidR="00EA6C68" w:rsidRPr="00B24BE2" w:rsidRDefault="00EA6C68" w:rsidP="00EA6C68">
      <w:pPr>
        <w:pStyle w:val="Alineje"/>
        <w:ind w:hanging="295"/>
        <w:rPr>
          <w:szCs w:val="20"/>
        </w:rPr>
      </w:pPr>
      <w:r w:rsidRPr="00B24BE2">
        <w:rPr>
          <w:szCs w:val="20"/>
        </w:rPr>
        <w:t>motnja pri zagotavljanju storitev iz te točke na železniških tovornih koridorjih in glavnih progah bi prizadela vsaj 10.000 uporabnikov;</w:t>
      </w:r>
    </w:p>
    <w:p w:rsidR="00EA6C68" w:rsidRPr="00B24BE2" w:rsidRDefault="00EA6C68" w:rsidP="00EA6C68">
      <w:pPr>
        <w:pStyle w:val="Alineje"/>
        <w:ind w:hanging="295"/>
        <w:rPr>
          <w:szCs w:val="20"/>
        </w:rPr>
      </w:pPr>
      <w:r w:rsidRPr="00B24BE2">
        <w:rPr>
          <w:szCs w:val="20"/>
        </w:rPr>
        <w:t>incident lahko onemogoči zagotavljanje storitev iz te točke na železniških tovornih koridorjih in glavnih progah</w:t>
      </w:r>
      <w:r w:rsidRPr="00B24BE2" w:rsidDel="000131E2">
        <w:rPr>
          <w:szCs w:val="20"/>
        </w:rPr>
        <w:t xml:space="preserve"> </w:t>
      </w:r>
      <w:r w:rsidRPr="00B24BE2">
        <w:rPr>
          <w:szCs w:val="20"/>
        </w:rPr>
        <w:t xml:space="preserve"> za najmanj teden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lastRenderedPageBreak/>
        <w:t>Dejavniki na podpodročju vodni promet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 xml:space="preserve">1. Pomorski potniški promet: </w:t>
      </w:r>
    </w:p>
    <w:p w:rsidR="00EA6C68" w:rsidRPr="00B24BE2" w:rsidRDefault="00EA6C68" w:rsidP="00EA6C68">
      <w:pPr>
        <w:pStyle w:val="Alineje"/>
        <w:ind w:hanging="295"/>
        <w:rPr>
          <w:szCs w:val="20"/>
        </w:rPr>
      </w:pPr>
      <w:r w:rsidRPr="00B24BE2">
        <w:rPr>
          <w:szCs w:val="20"/>
        </w:rPr>
        <w:t>motnja pri zagotavljanju storitve iz te točke bi prizadela vsaj 2.000 fizičnih oseb;</w:t>
      </w:r>
    </w:p>
    <w:p w:rsidR="00EA6C68" w:rsidRPr="00B24BE2" w:rsidRDefault="00EA6C68" w:rsidP="00EA6C68">
      <w:pPr>
        <w:pStyle w:val="Alineje"/>
        <w:ind w:hanging="295"/>
        <w:rPr>
          <w:szCs w:val="20"/>
        </w:rPr>
      </w:pPr>
      <w:r w:rsidRPr="00B24BE2">
        <w:rPr>
          <w:szCs w:val="20"/>
        </w:rPr>
        <w:t>incident lahko onemogoči zagotavljanje storitve iz te točke za najmanj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Pomorski tovorni promet:</w:t>
      </w:r>
    </w:p>
    <w:p w:rsidR="00EA6C68" w:rsidRPr="00B24BE2" w:rsidRDefault="00EA6C68" w:rsidP="00EA6C68">
      <w:pPr>
        <w:pStyle w:val="Alineje"/>
        <w:ind w:hanging="295"/>
        <w:rPr>
          <w:szCs w:val="20"/>
        </w:rPr>
      </w:pPr>
      <w:r w:rsidRPr="00B24BE2">
        <w:rPr>
          <w:szCs w:val="20"/>
        </w:rPr>
        <w:t>motnja pri zagotavljanju storitve iz te točke bi prizadela vsaj 10.000 uporabnikov;</w:t>
      </w:r>
    </w:p>
    <w:p w:rsidR="00EA6C68" w:rsidRPr="00B24BE2" w:rsidRDefault="00EA6C68" w:rsidP="00EA6C68">
      <w:pPr>
        <w:pStyle w:val="Alineje"/>
        <w:ind w:hanging="295"/>
        <w:rPr>
          <w:szCs w:val="20"/>
        </w:rPr>
      </w:pPr>
      <w:r w:rsidRPr="00B24BE2">
        <w:rPr>
          <w:szCs w:val="20"/>
        </w:rPr>
        <w:t>incident lahko onemogoči zagotavljanje storitve iz te točke za najmanj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3. Spremljajoče storitvene dejavnosti v vodnem prometu (obratovanje pristanišč in pomolov, obratovanje vodnih zapornic in navigacija, vključno z delovanjem obalnih postaj za pomorsko radijsko komunikacijo in opreme ter sistemov za nadzor in upravljanje pomorskega prometa, pilotaža, sidranje, reševanje plovil, obratovanje svetilnikov in drugih objektov za varnost plovbe):</w:t>
      </w:r>
    </w:p>
    <w:p w:rsidR="00EA6C68" w:rsidRPr="00B24BE2" w:rsidRDefault="00EA6C68" w:rsidP="00EA6C68">
      <w:pPr>
        <w:pStyle w:val="Alineje"/>
        <w:ind w:hanging="295"/>
        <w:rPr>
          <w:szCs w:val="20"/>
        </w:rPr>
      </w:pPr>
      <w:r w:rsidRPr="00B24BE2">
        <w:rPr>
          <w:szCs w:val="20"/>
        </w:rPr>
        <w:t>motnja pri zagotavljanju storitev iz te točke bi prizadela vsaj 20.000 uporabnikov;</w:t>
      </w:r>
    </w:p>
    <w:p w:rsidR="00EA6C68" w:rsidRPr="00B24BE2" w:rsidRDefault="00EA6C68" w:rsidP="00EA6C68">
      <w:pPr>
        <w:pStyle w:val="Alineje"/>
        <w:ind w:hanging="295"/>
        <w:rPr>
          <w:szCs w:val="20"/>
        </w:rPr>
      </w:pPr>
      <w:r w:rsidRPr="00B24BE2">
        <w:rPr>
          <w:szCs w:val="20"/>
        </w:rPr>
        <w:t>incident lahko onemogoči zagotavljanje storitev iz te točke  za 24 ur ali več;</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Toke"/>
        <w:numPr>
          <w:ilvl w:val="0"/>
          <w:numId w:val="15"/>
        </w:numPr>
        <w:ind w:left="426"/>
        <w:rPr>
          <w:rStyle w:val="Bodytext3"/>
          <w:rFonts w:ascii="Arial" w:hAnsi="Arial" w:cs="Arial"/>
          <w:b w:val="0"/>
          <w:bCs w:val="0"/>
          <w:sz w:val="20"/>
          <w:szCs w:val="20"/>
        </w:rPr>
      </w:pPr>
      <w:r w:rsidRPr="00B24BE2">
        <w:rPr>
          <w:rStyle w:val="Bodytext3"/>
          <w:rFonts w:ascii="Arial" w:hAnsi="Arial" w:cs="Arial"/>
          <w:b w:val="0"/>
          <w:bCs w:val="0"/>
          <w:sz w:val="20"/>
          <w:szCs w:val="20"/>
        </w:rPr>
        <w:t>Dejavniki na podpodročju cestni promet za bistveno storitev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Spremljajoče storitvene dejavnosti v cestnem kopenskem prometu (obratovanje cestne infrastrukture, cestninskih postaj, mostov in tunelov za avtoceste in hitre ceste):</w:t>
      </w:r>
    </w:p>
    <w:p w:rsidR="00EA6C68" w:rsidRPr="00B24BE2" w:rsidRDefault="00EA6C68" w:rsidP="00EA6C68">
      <w:pPr>
        <w:pStyle w:val="Alineje"/>
        <w:ind w:hanging="295"/>
        <w:rPr>
          <w:szCs w:val="20"/>
        </w:rPr>
      </w:pPr>
      <w:r w:rsidRPr="00B24BE2">
        <w:rPr>
          <w:szCs w:val="20"/>
        </w:rPr>
        <w:t>motnja pri zagotavljanju storitev iz tega odstavka bi prizadela vsaj 20.000 uporabnikov;</w:t>
      </w:r>
    </w:p>
    <w:p w:rsidR="00EA6C68" w:rsidRPr="00B24BE2" w:rsidRDefault="00EA6C68" w:rsidP="00EA6C68">
      <w:pPr>
        <w:pStyle w:val="Alineje"/>
        <w:ind w:hanging="295"/>
        <w:rPr>
          <w:szCs w:val="20"/>
        </w:rPr>
      </w:pPr>
      <w:r w:rsidRPr="00B24BE2">
        <w:rPr>
          <w:szCs w:val="20"/>
        </w:rPr>
        <w:t>incident lahko onemogoči zagotavljanju storitev iz tega odstavka za 24 ur;</w:t>
      </w:r>
    </w:p>
    <w:p w:rsidR="00EA6C68" w:rsidRPr="00B24BE2" w:rsidRDefault="00EA6C68" w:rsidP="00EA6C68">
      <w:pPr>
        <w:pStyle w:val="Alineje"/>
        <w:ind w:hanging="295"/>
        <w:rPr>
          <w:szCs w:val="20"/>
        </w:rPr>
      </w:pPr>
      <w:r w:rsidRPr="00B24BE2">
        <w:rPr>
          <w:szCs w:val="20"/>
        </w:rPr>
        <w:t>motnja pri zagotavljanju storitev iz tega odstavka ima vpliv na območju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sz w:val="20"/>
          <w:szCs w:val="20"/>
        </w:rPr>
      </w:pPr>
      <w:r w:rsidRPr="00B24BE2">
        <w:rPr>
          <w:rStyle w:val="Bodytext3"/>
          <w:rFonts w:ascii="Arial" w:hAnsi="Arial" w:cs="Arial"/>
          <w:b/>
          <w:sz w:val="20"/>
          <w:szCs w:val="20"/>
        </w:rPr>
        <w:t xml:space="preserve">(dejavniki na področju </w:t>
      </w:r>
      <w:r w:rsidRPr="00B24BE2">
        <w:rPr>
          <w:rStyle w:val="Bodytext3"/>
          <w:rFonts w:ascii="Arial" w:hAnsi="Arial" w:cs="Arial"/>
          <w:b/>
          <w:bCs/>
          <w:sz w:val="20"/>
          <w:szCs w:val="20"/>
        </w:rPr>
        <w:t>bančništva</w:t>
      </w:r>
      <w:r w:rsidRPr="00B24BE2">
        <w:rPr>
          <w:rStyle w:val="Bodytext3"/>
          <w:rFonts w:ascii="Arial" w:hAnsi="Arial" w:cs="Arial"/>
          <w:b/>
          <w:sz w:val="20"/>
          <w:szCs w:val="20"/>
        </w:rPr>
        <w:t>)</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 xml:space="preserve">1. Centralno bančništvo (delovanje v vlogi bančnika državnega sektorja, vključno glede podračunov za pokojninsko, zdravstveno in socialno zavarovanje): </w:t>
      </w:r>
    </w:p>
    <w:p w:rsidR="00EA6C68" w:rsidRPr="00B24BE2" w:rsidRDefault="00EA6C68" w:rsidP="00EA6C68">
      <w:pPr>
        <w:pStyle w:val="Alineje"/>
        <w:ind w:hanging="295"/>
        <w:rPr>
          <w:szCs w:val="20"/>
        </w:rPr>
      </w:pPr>
      <w:r w:rsidRPr="00B24BE2">
        <w:rPr>
          <w:szCs w:val="20"/>
        </w:rPr>
        <w:t>motnja pri zagotavljanju storitve iz te točke bi prizadela več kot 50.000 uporabnikov;</w:t>
      </w:r>
    </w:p>
    <w:p w:rsidR="00EA6C68" w:rsidRPr="00B24BE2" w:rsidRDefault="00EA6C68" w:rsidP="00EA6C68">
      <w:pPr>
        <w:pStyle w:val="Alineje"/>
        <w:ind w:hanging="295"/>
        <w:rPr>
          <w:szCs w:val="20"/>
        </w:rPr>
      </w:pPr>
      <w:r w:rsidRPr="00B24BE2">
        <w:rPr>
          <w:szCs w:val="20"/>
        </w:rPr>
        <w:t>incident lahko povzroči motnjo pri zagotavljanju storitve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2. Drugo denarno posredništvo (sprejemanje depozitov in dajanje kreditov s strani bank, hranilnic in kreditnih zadrug):</w:t>
      </w:r>
    </w:p>
    <w:p w:rsidR="00EA6C68" w:rsidRPr="00B24BE2" w:rsidRDefault="00EA6C68" w:rsidP="00EA6C68">
      <w:pPr>
        <w:pStyle w:val="Alineje"/>
        <w:ind w:hanging="295"/>
        <w:rPr>
          <w:szCs w:val="20"/>
        </w:rPr>
      </w:pPr>
      <w:r w:rsidRPr="00B24BE2">
        <w:rPr>
          <w:szCs w:val="20"/>
        </w:rPr>
        <w:t>motnja pri zagotavljanju storitev iz te točke bi prizadela več kot 100.000 uporabnikov;</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tri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lastRenderedPageBreak/>
        <w:t>3. Druge pomožne dejavnosti za finančne storitve, razen za zavarovalništvo in pokojninske sklade (dejavnost obdelave finančnih transakcij in dejavnost poravnav, vključno s transakcijami s kreditnimi karticami - plačilni promet):</w:t>
      </w:r>
    </w:p>
    <w:p w:rsidR="00EA6C68" w:rsidRPr="00B24BE2" w:rsidRDefault="00EA6C68" w:rsidP="00EA6C68">
      <w:pPr>
        <w:pStyle w:val="Alineje"/>
        <w:ind w:hanging="295"/>
        <w:rPr>
          <w:szCs w:val="20"/>
        </w:rPr>
      </w:pPr>
      <w:r w:rsidRPr="00B24BE2">
        <w:rPr>
          <w:szCs w:val="20"/>
        </w:rPr>
        <w:t>motnja pri zagotavljanju storitev iz te točke bi prizadela več kot 10.000 uporabnikov;</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en dan;</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sz w:val="20"/>
          <w:szCs w:val="20"/>
        </w:rPr>
      </w:pPr>
      <w:r w:rsidRPr="00B24BE2">
        <w:rPr>
          <w:rStyle w:val="Bodytext3"/>
          <w:rFonts w:ascii="Arial" w:hAnsi="Arial" w:cs="Arial"/>
          <w:b/>
          <w:sz w:val="20"/>
          <w:szCs w:val="20"/>
        </w:rPr>
        <w:t xml:space="preserve">(dejavniki na področju infrastrukture </w:t>
      </w:r>
      <w:r w:rsidRPr="00B24BE2">
        <w:rPr>
          <w:rStyle w:val="Bodytext3"/>
          <w:rFonts w:ascii="Arial" w:hAnsi="Arial" w:cs="Arial"/>
          <w:b/>
          <w:bCs/>
          <w:sz w:val="20"/>
          <w:szCs w:val="20"/>
        </w:rPr>
        <w:t>finančnega</w:t>
      </w:r>
      <w:r w:rsidRPr="00B24BE2">
        <w:rPr>
          <w:rStyle w:val="Bodytext3"/>
          <w:rFonts w:ascii="Arial" w:hAnsi="Arial" w:cs="Arial"/>
          <w:b/>
          <w:sz w:val="20"/>
          <w:szCs w:val="20"/>
        </w:rPr>
        <w:t xml:space="preserve"> trga)</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1. Upravljanje finančnih trgov</w:t>
      </w:r>
      <w:r w:rsidRPr="00B24BE2" w:rsidDel="002F7AC5">
        <w:rPr>
          <w:rFonts w:cs="Arial"/>
          <w:szCs w:val="20"/>
        </w:rPr>
        <w:t xml:space="preserve"> </w:t>
      </w:r>
      <w:r w:rsidRPr="00B24BE2">
        <w:rPr>
          <w:rFonts w:cs="Arial"/>
          <w:szCs w:val="20"/>
        </w:rPr>
        <w:t>(poslovanje in nadzor finančnih trgov razen tistega, ki ga opravljajo državni organi: zbirna hramba vrednostnih papirjev, ugotavljanje in izpolnjevanje obveznosti iz poslov z vrednostnimi papirji ter vodenje centralnega registra imetnikov nematerializiranih vrednostnih papirjev):</w:t>
      </w:r>
    </w:p>
    <w:p w:rsidR="00EA6C68" w:rsidRPr="00B24BE2" w:rsidRDefault="00EA6C68" w:rsidP="00EA6C68">
      <w:pPr>
        <w:pStyle w:val="Alineje"/>
        <w:ind w:hanging="295"/>
        <w:rPr>
          <w:szCs w:val="20"/>
        </w:rPr>
      </w:pPr>
      <w:r w:rsidRPr="00B24BE2">
        <w:rPr>
          <w:szCs w:val="20"/>
        </w:rPr>
        <w:t>motnja pri zagotavljanju storitev iz te točke bi prizadela več kot 10.000 uporabnikov;</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tri delovne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Alineje"/>
        <w:numPr>
          <w:ilvl w:val="0"/>
          <w:numId w:val="0"/>
        </w:numPr>
        <w:rPr>
          <w:szCs w:val="20"/>
        </w:rPr>
      </w:pPr>
    </w:p>
    <w:p w:rsidR="00EA6C68" w:rsidRPr="00B24BE2" w:rsidRDefault="00EA6C68" w:rsidP="00EA6C68">
      <w:pPr>
        <w:pStyle w:val="Alineje"/>
        <w:numPr>
          <w:ilvl w:val="0"/>
          <w:numId w:val="0"/>
        </w:numPr>
        <w:spacing w:before="240" w:after="120"/>
        <w:ind w:left="425"/>
        <w:rPr>
          <w:szCs w:val="20"/>
        </w:rPr>
      </w:pPr>
      <w:r w:rsidRPr="00B24BE2">
        <w:rPr>
          <w:szCs w:val="20"/>
        </w:rPr>
        <w:t>2. Posredništvo pri trgovanju z vrednostnimi papirji (trgovanja z vrednostnimi papirji, s katerimi se trguje na mestu trgovanja v skladu z zakonom, ki ureja trg finančnih instrumentov in s tem povezane dejavnosti, borzno posredništvo vrednostnih papirjev):</w:t>
      </w:r>
    </w:p>
    <w:p w:rsidR="00EA6C68" w:rsidRPr="00B24BE2" w:rsidRDefault="00EA6C68" w:rsidP="00EA6C68">
      <w:pPr>
        <w:pStyle w:val="Alineje"/>
        <w:rPr>
          <w:szCs w:val="20"/>
        </w:rPr>
      </w:pPr>
      <w:r w:rsidRPr="00B24BE2">
        <w:rPr>
          <w:szCs w:val="20"/>
        </w:rPr>
        <w:t xml:space="preserve">motnja pri zagotavljanju storitev iz te točke bi prizadela več kot </w:t>
      </w:r>
      <w:r>
        <w:rPr>
          <w:szCs w:val="20"/>
        </w:rPr>
        <w:t>5</w:t>
      </w:r>
      <w:r w:rsidRPr="00B24BE2">
        <w:rPr>
          <w:szCs w:val="20"/>
        </w:rPr>
        <w:t>0.000 uporabnikov;</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tri delovne dni;</w:t>
      </w:r>
    </w:p>
    <w:p w:rsidR="00EA6C68" w:rsidRPr="00B24BE2" w:rsidRDefault="00EA6C68" w:rsidP="00EA6C68">
      <w:pPr>
        <w:pStyle w:val="Alineje"/>
        <w:ind w:hanging="295"/>
        <w:rPr>
          <w:szCs w:val="20"/>
        </w:rPr>
      </w:pPr>
      <w:r w:rsidRPr="00B24BE2">
        <w:rPr>
          <w:szCs w:val="20"/>
        </w:rPr>
        <w:t>motnja pri zagotavljanju storitev iz te točke ima vpliv na območju Republike Slovenije.</w:t>
      </w:r>
    </w:p>
    <w:p w:rsidR="00EA6C68" w:rsidRPr="00B24BE2" w:rsidRDefault="00EA6C68" w:rsidP="00EA6C68">
      <w:pPr>
        <w:pStyle w:val="Alineje"/>
        <w:numPr>
          <w:ilvl w:val="0"/>
          <w:numId w:val="0"/>
        </w:numPr>
        <w:rPr>
          <w:szCs w:val="20"/>
        </w:rPr>
      </w:pPr>
    </w:p>
    <w:p w:rsidR="00EA6C68" w:rsidRPr="00B24BE2" w:rsidRDefault="00EA6C68" w:rsidP="00EA6C68">
      <w:pPr>
        <w:pStyle w:val="Alineje"/>
        <w:numPr>
          <w:ilvl w:val="0"/>
          <w:numId w:val="0"/>
        </w:numPr>
        <w:rPr>
          <w:szCs w:val="20"/>
        </w:rPr>
      </w:pP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sz w:val="20"/>
          <w:szCs w:val="20"/>
        </w:rPr>
      </w:pPr>
      <w:r w:rsidRPr="00B24BE2">
        <w:rPr>
          <w:rStyle w:val="Bodytext3"/>
          <w:rFonts w:ascii="Arial" w:hAnsi="Arial" w:cs="Arial"/>
          <w:b/>
          <w:sz w:val="20"/>
          <w:szCs w:val="20"/>
        </w:rPr>
        <w:t xml:space="preserve">(dejavniki na področju </w:t>
      </w:r>
      <w:r w:rsidRPr="00B24BE2">
        <w:rPr>
          <w:rStyle w:val="Bodytext3"/>
          <w:rFonts w:ascii="Arial" w:hAnsi="Arial" w:cs="Arial"/>
          <w:b/>
          <w:bCs/>
          <w:sz w:val="20"/>
          <w:szCs w:val="20"/>
        </w:rPr>
        <w:t>preskrbe</w:t>
      </w:r>
      <w:r w:rsidRPr="00B24BE2">
        <w:rPr>
          <w:rStyle w:val="Bodytext3"/>
          <w:rFonts w:ascii="Arial" w:hAnsi="Arial" w:cs="Arial"/>
          <w:b/>
          <w:sz w:val="20"/>
          <w:szCs w:val="20"/>
        </w:rPr>
        <w:t xml:space="preserve"> s hrano)</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Skladiščenje (obratovanje skladišč za osnovne prehrambne proizvode):</w:t>
      </w:r>
    </w:p>
    <w:p w:rsidR="00EA6C68" w:rsidRPr="00B24BE2" w:rsidRDefault="00EA6C68" w:rsidP="00EA6C68">
      <w:pPr>
        <w:pStyle w:val="Alineje"/>
        <w:ind w:hanging="295"/>
        <w:rPr>
          <w:szCs w:val="20"/>
        </w:rPr>
      </w:pPr>
      <w:r w:rsidRPr="00B24BE2">
        <w:rPr>
          <w:szCs w:val="20"/>
        </w:rPr>
        <w:t>motnja pri zagotavljanju storitve iz te točke bi lahko prizadela več kot 100.000 uporabnikov;</w:t>
      </w:r>
    </w:p>
    <w:p w:rsidR="00EA6C68" w:rsidRPr="00B24BE2" w:rsidRDefault="00EA6C68" w:rsidP="00EA6C68">
      <w:pPr>
        <w:pStyle w:val="Alineje"/>
        <w:ind w:hanging="295"/>
        <w:rPr>
          <w:szCs w:val="20"/>
        </w:rPr>
      </w:pPr>
      <w:r w:rsidRPr="00B24BE2">
        <w:rPr>
          <w:szCs w:val="20"/>
        </w:rPr>
        <w:t>incident lahko povzroči prekinitev zagotavljanja storitev iz te točke za več kot teden dni;</w:t>
      </w:r>
    </w:p>
    <w:p w:rsidR="00EA6C68" w:rsidRPr="00B24BE2" w:rsidRDefault="00EA6C68" w:rsidP="00EA6C68">
      <w:pPr>
        <w:pStyle w:val="Alineje"/>
        <w:ind w:hanging="295"/>
        <w:rPr>
          <w:szCs w:val="20"/>
        </w:rPr>
      </w:pPr>
      <w:r w:rsidRPr="00B24BE2">
        <w:rPr>
          <w:szCs w:val="20"/>
        </w:rPr>
        <w:t>motnja pri zagotavljanju storitve iz te točke ima vpliv na območju Republike Slovenije.</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lastRenderedPageBreak/>
        <w:t>člen</w:t>
      </w:r>
    </w:p>
    <w:p w:rsidR="00EA6C68" w:rsidRPr="00B24BE2" w:rsidRDefault="00EA6C68" w:rsidP="00EA6C68">
      <w:pPr>
        <w:pStyle w:val="leninaslov"/>
        <w:rPr>
          <w:rStyle w:val="Bodytext3"/>
          <w:rFonts w:ascii="Arial" w:hAnsi="Arial" w:cs="Arial"/>
          <w:b/>
          <w:sz w:val="20"/>
          <w:szCs w:val="20"/>
        </w:rPr>
      </w:pPr>
      <w:r w:rsidRPr="00B24BE2">
        <w:rPr>
          <w:rStyle w:val="Bodytext3"/>
          <w:rFonts w:ascii="Arial" w:hAnsi="Arial" w:cs="Arial"/>
          <w:b/>
          <w:sz w:val="20"/>
          <w:szCs w:val="20"/>
        </w:rPr>
        <w:t xml:space="preserve">(dejavniki na področju </w:t>
      </w:r>
      <w:r w:rsidRPr="00B24BE2">
        <w:rPr>
          <w:rStyle w:val="Bodytext3"/>
          <w:rFonts w:ascii="Arial" w:hAnsi="Arial" w:cs="Arial"/>
          <w:b/>
          <w:bCs/>
          <w:sz w:val="20"/>
          <w:szCs w:val="20"/>
        </w:rPr>
        <w:t>varstva</w:t>
      </w:r>
      <w:r w:rsidRPr="00B24BE2">
        <w:rPr>
          <w:rStyle w:val="Bodytext3"/>
          <w:rFonts w:ascii="Arial" w:hAnsi="Arial" w:cs="Arial"/>
          <w:b/>
          <w:sz w:val="20"/>
          <w:szCs w:val="20"/>
        </w:rPr>
        <w:t xml:space="preserve"> okolja)</w:t>
      </w:r>
    </w:p>
    <w:p w:rsidR="00EA6C68" w:rsidRPr="00B24BE2" w:rsidRDefault="00EA6C68" w:rsidP="00EA6C68">
      <w:pPr>
        <w:pStyle w:val="Toke"/>
        <w:keepNext/>
        <w:numPr>
          <w:ilvl w:val="0"/>
          <w:numId w:val="0"/>
        </w:numPr>
        <w:ind w:left="6"/>
        <w:rPr>
          <w:rStyle w:val="Bodytext3"/>
          <w:rFonts w:ascii="Arial" w:hAnsi="Arial" w:cs="Arial"/>
          <w:b w:val="0"/>
          <w:bCs w:val="0"/>
          <w:sz w:val="20"/>
          <w:szCs w:val="20"/>
        </w:rPr>
      </w:pPr>
      <w:r w:rsidRPr="00B24BE2">
        <w:rPr>
          <w:rStyle w:val="Bodytext3"/>
          <w:rFonts w:ascii="Arial" w:hAnsi="Arial" w:cs="Arial"/>
          <w:b w:val="0"/>
          <w:bCs w:val="0"/>
          <w:sz w:val="20"/>
          <w:szCs w:val="20"/>
        </w:rPr>
        <w:t>Dejavniki za bistvene storitve iz priloge:</w:t>
      </w:r>
    </w:p>
    <w:p w:rsidR="00EA6C68" w:rsidRPr="00B24BE2" w:rsidRDefault="00EA6C68" w:rsidP="00EA6C68">
      <w:pPr>
        <w:pStyle w:val="Odstavekseznama"/>
        <w:spacing w:before="240" w:after="120" w:line="300" w:lineRule="exact"/>
        <w:ind w:left="425"/>
        <w:jc w:val="both"/>
        <w:rPr>
          <w:rFonts w:cs="Arial"/>
          <w:szCs w:val="20"/>
        </w:rPr>
      </w:pPr>
      <w:r w:rsidRPr="00B24BE2">
        <w:rPr>
          <w:rFonts w:cs="Arial"/>
          <w:szCs w:val="20"/>
        </w:rPr>
        <w:t>Ravnanje z nevarnimi odpadki:</w:t>
      </w:r>
    </w:p>
    <w:p w:rsidR="00EA6C68" w:rsidRPr="00B24BE2" w:rsidRDefault="00EA6C68" w:rsidP="00EA6C68">
      <w:pPr>
        <w:pStyle w:val="Alineje"/>
        <w:ind w:hanging="295"/>
        <w:rPr>
          <w:szCs w:val="20"/>
        </w:rPr>
      </w:pPr>
      <w:r w:rsidRPr="00B24BE2">
        <w:rPr>
          <w:szCs w:val="20"/>
        </w:rPr>
        <w:t>motnja pri zagotavljanju storitve iz te točke bi lahko povzročila onesnaženje ali radioaktivno kontaminacijo okolja z neposrednim kratkoročnim vplivom na zdravje več kot 50.000 fizičnih oseb;</w:t>
      </w:r>
    </w:p>
    <w:p w:rsidR="00EA6C68" w:rsidRPr="00B24BE2" w:rsidRDefault="00EA6C68" w:rsidP="00EA6C68">
      <w:pPr>
        <w:pStyle w:val="Alineje"/>
        <w:ind w:hanging="295"/>
        <w:rPr>
          <w:szCs w:val="20"/>
        </w:rPr>
      </w:pPr>
      <w:r w:rsidRPr="00B24BE2">
        <w:rPr>
          <w:szCs w:val="20"/>
        </w:rPr>
        <w:t>incident lahko povzroči prekinitev zagotavljanja storitve iz te točke za več kot 24 ur;</w:t>
      </w:r>
    </w:p>
    <w:p w:rsidR="00EA6C68" w:rsidRPr="00B24BE2" w:rsidRDefault="00EA6C68" w:rsidP="00EA6C68">
      <w:pPr>
        <w:pStyle w:val="Alineje"/>
        <w:ind w:hanging="295"/>
        <w:rPr>
          <w:szCs w:val="20"/>
        </w:rPr>
      </w:pPr>
      <w:r w:rsidRPr="00B24BE2">
        <w:rPr>
          <w:szCs w:val="20"/>
        </w:rPr>
        <w:t>motnja pri zagotavljanju storitve iz te točke ima vpliv na območju z več kot 50.000 prebivalci ali na območju, ki je večje od 100 ha.</w:t>
      </w:r>
    </w:p>
    <w:p w:rsidR="00EA6C68" w:rsidRPr="00B24BE2" w:rsidRDefault="00EA6C68" w:rsidP="00EA6C68">
      <w:pPr>
        <w:pStyle w:val="Poglavja"/>
        <w:numPr>
          <w:ilvl w:val="0"/>
          <w:numId w:val="25"/>
        </w:numPr>
        <w:rPr>
          <w:rStyle w:val="Bodytext3"/>
          <w:rFonts w:ascii="Arial" w:hAnsi="Arial" w:cs="Arial"/>
          <w:b/>
          <w:bCs/>
          <w:color w:val="auto"/>
          <w:sz w:val="20"/>
          <w:szCs w:val="20"/>
          <w:lang w:eastAsia="en-US"/>
        </w:rPr>
      </w:pPr>
      <w:r w:rsidRPr="00B24BE2">
        <w:rPr>
          <w:rStyle w:val="Bodytext3"/>
          <w:rFonts w:ascii="Arial" w:hAnsi="Arial" w:cs="Arial"/>
          <w:b/>
          <w:bCs/>
          <w:sz w:val="20"/>
          <w:szCs w:val="20"/>
        </w:rPr>
        <w:t>KONČNA DOLOČBA</w:t>
      </w:r>
    </w:p>
    <w:p w:rsidR="00EA6C68" w:rsidRPr="00B24BE2" w:rsidRDefault="00EA6C68" w:rsidP="00EA6C68">
      <w:pPr>
        <w:pStyle w:val="leni"/>
        <w:rPr>
          <w:rStyle w:val="Bodytext3"/>
          <w:rFonts w:ascii="Arial" w:hAnsi="Arial" w:cs="Arial"/>
          <w:b/>
          <w:bCs/>
          <w:sz w:val="20"/>
          <w:szCs w:val="20"/>
        </w:rPr>
      </w:pPr>
      <w:r w:rsidRPr="00B24BE2">
        <w:rPr>
          <w:rStyle w:val="Bodytext3"/>
          <w:rFonts w:ascii="Arial" w:hAnsi="Arial" w:cs="Arial"/>
          <w:b/>
          <w:bCs/>
          <w:sz w:val="20"/>
          <w:szCs w:val="20"/>
        </w:rPr>
        <w:t>člen</w:t>
      </w:r>
    </w:p>
    <w:p w:rsidR="00EA6C68" w:rsidRPr="00B24BE2" w:rsidRDefault="00EA6C68" w:rsidP="00EA6C68">
      <w:pPr>
        <w:pStyle w:val="leninaslov"/>
        <w:rPr>
          <w:rStyle w:val="Bodytext3"/>
          <w:rFonts w:ascii="Arial" w:hAnsi="Arial" w:cs="Arial"/>
          <w:b/>
          <w:bCs/>
          <w:sz w:val="20"/>
          <w:szCs w:val="20"/>
        </w:rPr>
      </w:pPr>
      <w:r w:rsidRPr="00B24BE2">
        <w:rPr>
          <w:rStyle w:val="Bodytext3"/>
          <w:rFonts w:ascii="Arial" w:hAnsi="Arial" w:cs="Arial"/>
          <w:b/>
          <w:bCs/>
          <w:sz w:val="20"/>
          <w:szCs w:val="20"/>
        </w:rPr>
        <w:t>(začetek veljavnosti)</w:t>
      </w:r>
    </w:p>
    <w:p w:rsidR="00EA6C68" w:rsidRPr="00B24BE2" w:rsidRDefault="00EA6C68" w:rsidP="00EA6C68">
      <w:pPr>
        <w:pStyle w:val="Besedilo"/>
        <w:rPr>
          <w:sz w:val="20"/>
          <w:szCs w:val="20"/>
        </w:rPr>
      </w:pPr>
      <w:r w:rsidRPr="00B24BE2">
        <w:rPr>
          <w:rStyle w:val="Bodytext2"/>
          <w:rFonts w:ascii="Arial" w:hAnsi="Arial" w:cs="Arial"/>
          <w:sz w:val="20"/>
          <w:szCs w:val="20"/>
        </w:rPr>
        <w:t xml:space="preserve">Ta uredba začne </w:t>
      </w:r>
      <w:r w:rsidRPr="00B24BE2">
        <w:rPr>
          <w:rFonts w:eastAsia="DejaVu Sans"/>
          <w:kern w:val="1"/>
          <w:sz w:val="20"/>
          <w:szCs w:val="20"/>
          <w:lang w:eastAsia="zh-CN" w:bidi="hi-IN"/>
        </w:rPr>
        <w:t>veljati</w:t>
      </w:r>
      <w:r w:rsidRPr="00B24BE2">
        <w:rPr>
          <w:rStyle w:val="Bodytext2"/>
          <w:rFonts w:ascii="Arial" w:hAnsi="Arial" w:cs="Arial"/>
          <w:sz w:val="20"/>
          <w:szCs w:val="20"/>
        </w:rPr>
        <w:t xml:space="preserve"> naslednji </w:t>
      </w:r>
      <w:r w:rsidRPr="00B24BE2">
        <w:rPr>
          <w:sz w:val="20"/>
          <w:szCs w:val="20"/>
        </w:rPr>
        <w:t xml:space="preserve">dan po objavi v Uradnem listu </w:t>
      </w:r>
      <w:r w:rsidRPr="00B24BE2">
        <w:rPr>
          <w:rStyle w:val="Bodytext2"/>
          <w:rFonts w:ascii="Arial" w:hAnsi="Arial" w:cs="Arial"/>
          <w:sz w:val="20"/>
          <w:szCs w:val="20"/>
        </w:rPr>
        <w:t>Republike</w:t>
      </w:r>
      <w:r w:rsidRPr="00B24BE2">
        <w:rPr>
          <w:sz w:val="20"/>
          <w:szCs w:val="20"/>
        </w:rPr>
        <w:t xml:space="preserve"> Slovenije</w:t>
      </w:r>
      <w:r w:rsidRPr="00B24BE2">
        <w:rPr>
          <w:rStyle w:val="Bodytext2"/>
          <w:rFonts w:ascii="Arial" w:hAnsi="Arial" w:cs="Arial"/>
          <w:sz w:val="20"/>
          <w:szCs w:val="20"/>
        </w:rPr>
        <w:t>.</w:t>
      </w:r>
    </w:p>
    <w:p w:rsidR="00EA6C68" w:rsidRPr="00B24BE2" w:rsidRDefault="00EA6C68" w:rsidP="00EA6C68">
      <w:pPr>
        <w:pStyle w:val="Bodytext20"/>
        <w:shd w:val="clear" w:color="auto" w:fill="auto"/>
        <w:spacing w:before="0" w:after="0" w:line="240" w:lineRule="auto"/>
        <w:ind w:firstLine="0"/>
        <w:jc w:val="right"/>
        <w:rPr>
          <w:rStyle w:val="Bodytext2"/>
          <w:rFonts w:ascii="Arial" w:hAnsi="Arial" w:cs="Arial"/>
          <w:b/>
          <w:color w:val="000000"/>
          <w:sz w:val="20"/>
          <w:szCs w:val="20"/>
        </w:rPr>
      </w:pPr>
    </w:p>
    <w:p w:rsidR="00EA6C68" w:rsidRPr="00B24BE2" w:rsidRDefault="00EA6C68" w:rsidP="00EA6C68">
      <w:pPr>
        <w:pStyle w:val="Bodytext20"/>
        <w:shd w:val="clear" w:color="auto" w:fill="auto"/>
        <w:spacing w:before="0" w:after="0" w:line="240" w:lineRule="auto"/>
        <w:ind w:firstLine="0"/>
        <w:jc w:val="right"/>
        <w:rPr>
          <w:rStyle w:val="Bodytext2"/>
          <w:rFonts w:ascii="Arial" w:hAnsi="Arial" w:cs="Arial"/>
          <w:b/>
          <w:color w:val="000000"/>
          <w:sz w:val="20"/>
          <w:szCs w:val="20"/>
        </w:rPr>
      </w:pPr>
    </w:p>
    <w:p w:rsidR="00EA6C68" w:rsidRPr="00B24BE2" w:rsidRDefault="00EA6C68" w:rsidP="00EA6C68">
      <w:pPr>
        <w:rPr>
          <w:rFonts w:ascii="Arial" w:hAnsi="Arial" w:cs="Arial"/>
          <w:sz w:val="20"/>
          <w:szCs w:val="20"/>
        </w:rPr>
      </w:pPr>
      <w:r w:rsidRPr="00B24BE2">
        <w:rPr>
          <w:rFonts w:ascii="Arial" w:hAnsi="Arial" w:cs="Arial"/>
          <w:sz w:val="20"/>
          <w:szCs w:val="20"/>
        </w:rPr>
        <w:t>Št. ………</w:t>
      </w:r>
    </w:p>
    <w:p w:rsidR="00EA6C68" w:rsidRPr="00B24BE2" w:rsidRDefault="00EA6C68" w:rsidP="00EA6C68">
      <w:pPr>
        <w:rPr>
          <w:rFonts w:ascii="Arial" w:hAnsi="Arial" w:cs="Arial"/>
          <w:sz w:val="20"/>
          <w:szCs w:val="20"/>
        </w:rPr>
      </w:pPr>
      <w:r w:rsidRPr="00B24BE2">
        <w:rPr>
          <w:rFonts w:ascii="Arial" w:hAnsi="Arial" w:cs="Arial"/>
          <w:sz w:val="20"/>
          <w:szCs w:val="20"/>
        </w:rPr>
        <w:t>Ljubljana, dne xx. xx. xxxx</w:t>
      </w:r>
    </w:p>
    <w:p w:rsidR="00EA6C68" w:rsidRDefault="00EA6C68" w:rsidP="00EA6C68">
      <w:pPr>
        <w:rPr>
          <w:rFonts w:ascii="Arial" w:hAnsi="Arial" w:cs="Arial"/>
          <w:sz w:val="20"/>
          <w:szCs w:val="20"/>
        </w:rPr>
      </w:pPr>
      <w:r w:rsidRPr="00B24BE2">
        <w:rPr>
          <w:rFonts w:ascii="Arial" w:hAnsi="Arial" w:cs="Arial"/>
          <w:sz w:val="20"/>
          <w:szCs w:val="20"/>
        </w:rPr>
        <w:t>EVA 2018-3130-0029</w:t>
      </w:r>
    </w:p>
    <w:p w:rsidR="00EA6C68" w:rsidRDefault="00EA6C68" w:rsidP="00EA6C68">
      <w:pPr>
        <w:rPr>
          <w:rFonts w:ascii="Arial" w:hAnsi="Arial" w:cs="Arial"/>
          <w:sz w:val="20"/>
          <w:szCs w:val="20"/>
        </w:rPr>
      </w:pPr>
    </w:p>
    <w:p w:rsidR="00EA6C68" w:rsidRPr="00B5056B" w:rsidRDefault="00EA6C68" w:rsidP="00EA6C68">
      <w:pPr>
        <w:ind w:left="5664" w:firstLine="708"/>
        <w:jc w:val="both"/>
        <w:rPr>
          <w:rFonts w:ascii="Arial" w:hAnsi="Arial" w:cs="Arial"/>
          <w:color w:val="000000" w:themeColor="text1"/>
          <w:sz w:val="20"/>
          <w:szCs w:val="20"/>
        </w:rPr>
      </w:pPr>
      <w:r w:rsidRPr="00B5056B">
        <w:rPr>
          <w:rFonts w:ascii="Arial" w:hAnsi="Arial" w:cs="Arial"/>
          <w:color w:val="000000" w:themeColor="text1"/>
          <w:sz w:val="20"/>
          <w:szCs w:val="20"/>
        </w:rPr>
        <w:t>Vlada Republike Slovenije</w:t>
      </w:r>
    </w:p>
    <w:p w:rsidR="00EA6C68" w:rsidRPr="00B5056B" w:rsidRDefault="00EA6C68" w:rsidP="00EA6C68">
      <w:pPr>
        <w:ind w:left="6372" w:firstLine="708"/>
        <w:jc w:val="both"/>
        <w:rPr>
          <w:rFonts w:ascii="Arial" w:hAnsi="Arial" w:cs="Arial"/>
          <w:color w:val="000000" w:themeColor="text1"/>
          <w:sz w:val="20"/>
          <w:szCs w:val="20"/>
        </w:rPr>
      </w:pPr>
      <w:r w:rsidRPr="00B5056B">
        <w:rPr>
          <w:rFonts w:ascii="Arial" w:hAnsi="Arial" w:cs="Arial"/>
          <w:color w:val="000000" w:themeColor="text1"/>
          <w:sz w:val="20"/>
          <w:szCs w:val="20"/>
        </w:rPr>
        <w:t>Marjan Šarec</w:t>
      </w:r>
    </w:p>
    <w:p w:rsidR="00D053B8" w:rsidRPr="00B5056B" w:rsidRDefault="00D053B8" w:rsidP="00891B53">
      <w:pPr>
        <w:ind w:left="6372" w:firstLine="708"/>
        <w:jc w:val="both"/>
        <w:rPr>
          <w:rFonts w:ascii="Arial" w:hAnsi="Arial" w:cs="Arial"/>
          <w:color w:val="000000" w:themeColor="text1"/>
          <w:sz w:val="20"/>
          <w:szCs w:val="20"/>
        </w:rPr>
      </w:pPr>
      <w:r w:rsidRPr="00B5056B">
        <w:rPr>
          <w:rFonts w:ascii="Arial" w:hAnsi="Arial" w:cs="Arial"/>
          <w:color w:val="000000" w:themeColor="text1"/>
          <w:sz w:val="20"/>
          <w:szCs w:val="20"/>
        </w:rPr>
        <w:t>Predsednik</w:t>
      </w:r>
    </w:p>
    <w:p w:rsidR="00D053B8" w:rsidRPr="00B24BE2" w:rsidRDefault="00D053B8" w:rsidP="00D053B8">
      <w:pPr>
        <w:pStyle w:val="Bodytext20"/>
        <w:shd w:val="clear" w:color="auto" w:fill="auto"/>
        <w:spacing w:before="0" w:after="0" w:line="240" w:lineRule="auto"/>
        <w:ind w:firstLine="0"/>
        <w:jc w:val="right"/>
        <w:rPr>
          <w:rStyle w:val="Bodytext2"/>
          <w:rFonts w:ascii="Arial" w:hAnsi="Arial" w:cs="Arial"/>
          <w:b/>
          <w:color w:val="000000"/>
          <w:sz w:val="20"/>
          <w:szCs w:val="20"/>
        </w:rPr>
        <w:sectPr w:rsidR="00D053B8" w:rsidRPr="00B24BE2" w:rsidSect="008B2A83">
          <w:headerReference w:type="default" r:id="rId11"/>
          <w:pgSz w:w="11900" w:h="16840" w:code="9"/>
          <w:pgMar w:top="1418" w:right="1418" w:bottom="1418" w:left="1418" w:header="0" w:footer="851" w:gutter="0"/>
          <w:cols w:space="720"/>
          <w:noEndnote/>
          <w:docGrid w:linePitch="360"/>
        </w:sectPr>
      </w:pPr>
    </w:p>
    <w:p w:rsidR="00D053B8" w:rsidRDefault="00D053B8" w:rsidP="00D053B8">
      <w:pPr>
        <w:pStyle w:val="Bodytext20"/>
        <w:shd w:val="clear" w:color="auto" w:fill="auto"/>
        <w:spacing w:before="0" w:after="0" w:line="240" w:lineRule="auto"/>
        <w:ind w:firstLine="0"/>
        <w:jc w:val="right"/>
        <w:rPr>
          <w:rStyle w:val="Bodytext2"/>
          <w:rFonts w:ascii="Arial" w:hAnsi="Arial" w:cs="Arial"/>
          <w:b/>
          <w:color w:val="000000"/>
          <w:sz w:val="20"/>
          <w:szCs w:val="20"/>
        </w:rPr>
      </w:pPr>
      <w:r w:rsidRPr="00B24BE2">
        <w:rPr>
          <w:rStyle w:val="Bodytext2"/>
          <w:rFonts w:ascii="Arial" w:hAnsi="Arial" w:cs="Arial"/>
          <w:b/>
          <w:color w:val="000000"/>
          <w:sz w:val="20"/>
          <w:szCs w:val="20"/>
        </w:rPr>
        <w:lastRenderedPageBreak/>
        <w:t>Priloga</w:t>
      </w:r>
    </w:p>
    <w:p w:rsidR="0015127C" w:rsidRPr="00B24BE2" w:rsidRDefault="0015127C" w:rsidP="00D053B8">
      <w:pPr>
        <w:pStyle w:val="Bodytext20"/>
        <w:shd w:val="clear" w:color="auto" w:fill="auto"/>
        <w:spacing w:before="0" w:after="0" w:line="240" w:lineRule="auto"/>
        <w:ind w:firstLine="0"/>
        <w:jc w:val="right"/>
        <w:rPr>
          <w:rStyle w:val="Bodytext2"/>
          <w:rFonts w:ascii="Arial" w:hAnsi="Arial" w:cs="Arial"/>
          <w:b/>
          <w:color w:val="000000"/>
          <w:sz w:val="20"/>
          <w:szCs w:val="20"/>
        </w:rPr>
      </w:pPr>
    </w:p>
    <w:p w:rsidR="00D053B8" w:rsidRPr="00B24BE2" w:rsidRDefault="00D053B8" w:rsidP="00D053B8">
      <w:pPr>
        <w:pStyle w:val="Bodytext20"/>
        <w:shd w:val="clear" w:color="auto" w:fill="auto"/>
        <w:tabs>
          <w:tab w:val="left" w:pos="282"/>
        </w:tabs>
        <w:spacing w:before="0" w:after="0" w:line="240" w:lineRule="auto"/>
        <w:ind w:firstLine="0"/>
        <w:jc w:val="left"/>
        <w:rPr>
          <w:rStyle w:val="Bodytext2"/>
          <w:rFonts w:ascii="Arial" w:hAnsi="Arial" w:cs="Arial"/>
          <w:color w:val="000000"/>
          <w:sz w:val="20"/>
          <w:szCs w:val="20"/>
        </w:rPr>
      </w:pPr>
    </w:p>
    <w:tbl>
      <w:tblPr>
        <w:tblStyle w:val="Tabelamrea"/>
        <w:tblW w:w="5000" w:type="pct"/>
        <w:tblLook w:val="04A0" w:firstRow="1" w:lastRow="0" w:firstColumn="1" w:lastColumn="0" w:noHBand="0" w:noVBand="1"/>
      </w:tblPr>
      <w:tblGrid>
        <w:gridCol w:w="2270"/>
        <w:gridCol w:w="2155"/>
        <w:gridCol w:w="1262"/>
        <w:gridCol w:w="2916"/>
        <w:gridCol w:w="2452"/>
        <w:gridCol w:w="2939"/>
      </w:tblGrid>
      <w:tr w:rsidR="009D47BD" w:rsidRPr="00B24BE2" w:rsidTr="008B2A83">
        <w:tc>
          <w:tcPr>
            <w:tcW w:w="811" w:type="pct"/>
            <w:shd w:val="clear" w:color="auto" w:fill="000000" w:themeFill="text1"/>
          </w:tcPr>
          <w:p w:rsidR="009D47BD" w:rsidRPr="00B24BE2" w:rsidRDefault="009D47BD" w:rsidP="008B2A83">
            <w:pPr>
              <w:rPr>
                <w:rFonts w:ascii="Arial" w:hAnsi="Arial" w:cs="Arial"/>
                <w:b/>
                <w:color w:val="FFFFFF" w:themeColor="background1"/>
                <w:sz w:val="20"/>
                <w:szCs w:val="20"/>
              </w:rPr>
            </w:pPr>
            <w:r w:rsidRPr="00B24BE2">
              <w:rPr>
                <w:rFonts w:ascii="Arial" w:hAnsi="Arial" w:cs="Arial"/>
                <w:b/>
                <w:color w:val="FFFFFF" w:themeColor="background1"/>
                <w:sz w:val="20"/>
                <w:szCs w:val="20"/>
              </w:rPr>
              <w:t>Področje</w:t>
            </w:r>
          </w:p>
        </w:tc>
        <w:tc>
          <w:tcPr>
            <w:tcW w:w="770" w:type="pct"/>
            <w:shd w:val="clear" w:color="auto" w:fill="000000" w:themeFill="text1"/>
          </w:tcPr>
          <w:p w:rsidR="009D47BD" w:rsidRPr="00B24BE2" w:rsidRDefault="009D47BD" w:rsidP="008B2A83">
            <w:pPr>
              <w:rPr>
                <w:rFonts w:ascii="Arial" w:hAnsi="Arial" w:cs="Arial"/>
                <w:b/>
                <w:color w:val="FFFFFF" w:themeColor="background1"/>
                <w:sz w:val="20"/>
                <w:szCs w:val="20"/>
              </w:rPr>
            </w:pPr>
            <w:r w:rsidRPr="00B24BE2">
              <w:rPr>
                <w:rFonts w:ascii="Arial" w:hAnsi="Arial" w:cs="Arial"/>
                <w:b/>
                <w:color w:val="FFFFFF" w:themeColor="background1"/>
                <w:sz w:val="20"/>
                <w:szCs w:val="20"/>
              </w:rPr>
              <w:t>Podpodročje</w:t>
            </w:r>
          </w:p>
        </w:tc>
        <w:tc>
          <w:tcPr>
            <w:tcW w:w="451" w:type="pct"/>
            <w:shd w:val="clear" w:color="auto" w:fill="000000" w:themeFill="text1"/>
          </w:tcPr>
          <w:p w:rsidR="009D47BD" w:rsidRPr="00B24BE2" w:rsidRDefault="009D47BD" w:rsidP="008B2A83">
            <w:pPr>
              <w:rPr>
                <w:rFonts w:ascii="Arial" w:hAnsi="Arial" w:cs="Arial"/>
                <w:b/>
                <w:color w:val="FFFFFF" w:themeColor="background1"/>
                <w:sz w:val="20"/>
                <w:szCs w:val="20"/>
              </w:rPr>
            </w:pPr>
            <w:r w:rsidRPr="00B24BE2">
              <w:rPr>
                <w:rFonts w:ascii="Arial" w:hAnsi="Arial" w:cs="Arial"/>
                <w:b/>
                <w:color w:val="FFFFFF" w:themeColor="background1"/>
                <w:sz w:val="20"/>
                <w:szCs w:val="20"/>
              </w:rPr>
              <w:t>SKD</w:t>
            </w:r>
          </w:p>
        </w:tc>
        <w:tc>
          <w:tcPr>
            <w:tcW w:w="1042" w:type="pct"/>
            <w:shd w:val="clear" w:color="auto" w:fill="000000" w:themeFill="text1"/>
          </w:tcPr>
          <w:p w:rsidR="009D47BD" w:rsidRPr="00B24BE2" w:rsidRDefault="009D47BD" w:rsidP="008B2A83">
            <w:pPr>
              <w:rPr>
                <w:rFonts w:ascii="Arial" w:hAnsi="Arial" w:cs="Arial"/>
                <w:b/>
                <w:color w:val="FFFFFF" w:themeColor="background1"/>
                <w:sz w:val="20"/>
                <w:szCs w:val="20"/>
              </w:rPr>
            </w:pPr>
            <w:r w:rsidRPr="00B24BE2">
              <w:rPr>
                <w:rFonts w:ascii="Arial" w:hAnsi="Arial" w:cs="Arial"/>
                <w:b/>
                <w:color w:val="FFFFFF" w:themeColor="background1"/>
                <w:sz w:val="20"/>
                <w:szCs w:val="20"/>
              </w:rPr>
              <w:t>Naziv</w:t>
            </w:r>
          </w:p>
        </w:tc>
        <w:tc>
          <w:tcPr>
            <w:tcW w:w="876" w:type="pct"/>
            <w:shd w:val="clear" w:color="auto" w:fill="000000" w:themeFill="text1"/>
          </w:tcPr>
          <w:p w:rsidR="009D47BD" w:rsidRPr="00B24BE2" w:rsidRDefault="009D47BD" w:rsidP="008B2A83">
            <w:pPr>
              <w:rPr>
                <w:rFonts w:ascii="Arial" w:hAnsi="Arial" w:cs="Arial"/>
                <w:b/>
                <w:color w:val="FFFFFF" w:themeColor="background1"/>
                <w:sz w:val="20"/>
                <w:szCs w:val="20"/>
              </w:rPr>
            </w:pPr>
            <w:r w:rsidRPr="00B24BE2">
              <w:rPr>
                <w:rFonts w:ascii="Arial" w:hAnsi="Arial" w:cs="Arial"/>
                <w:b/>
                <w:color w:val="FFFFFF" w:themeColor="background1"/>
                <w:sz w:val="20"/>
                <w:szCs w:val="20"/>
              </w:rPr>
              <w:t>Opomba - omejitev</w:t>
            </w:r>
          </w:p>
        </w:tc>
        <w:tc>
          <w:tcPr>
            <w:tcW w:w="1050" w:type="pct"/>
            <w:shd w:val="clear" w:color="auto" w:fill="000000" w:themeFill="text1"/>
          </w:tcPr>
          <w:p w:rsidR="009D47BD" w:rsidRPr="00B24BE2" w:rsidRDefault="009D47BD" w:rsidP="008B2A83">
            <w:pPr>
              <w:rPr>
                <w:rFonts w:ascii="Arial" w:hAnsi="Arial" w:cs="Arial"/>
                <w:b/>
                <w:color w:val="FFFFFF" w:themeColor="background1"/>
                <w:sz w:val="20"/>
                <w:szCs w:val="20"/>
              </w:rPr>
            </w:pPr>
            <w:r>
              <w:rPr>
                <w:rFonts w:ascii="Arial" w:hAnsi="Arial" w:cs="Arial"/>
                <w:b/>
                <w:color w:val="FFFFFF" w:themeColor="background1"/>
                <w:sz w:val="20"/>
                <w:szCs w:val="20"/>
              </w:rPr>
              <w:t>Pomen subjekta</w:t>
            </w:r>
          </w:p>
        </w:tc>
      </w:tr>
      <w:tr w:rsidR="009D47BD" w:rsidRPr="00B24BE2" w:rsidTr="008B2A83">
        <w:tc>
          <w:tcPr>
            <w:tcW w:w="811" w:type="pct"/>
            <w:vMerge w:val="restart"/>
            <w:shd w:val="clear" w:color="auto" w:fill="EDEDED" w:themeFill="accent3" w:themeFillTint="33"/>
          </w:tcPr>
          <w:p w:rsidR="009D47BD" w:rsidRPr="00B24BE2" w:rsidRDefault="009D47BD" w:rsidP="008B2A83">
            <w:pPr>
              <w:rPr>
                <w:rFonts w:ascii="Arial" w:hAnsi="Arial" w:cs="Arial"/>
                <w:b/>
                <w:sz w:val="20"/>
                <w:szCs w:val="20"/>
              </w:rPr>
            </w:pPr>
            <w:r w:rsidRPr="00B24BE2">
              <w:rPr>
                <w:rFonts w:ascii="Arial" w:hAnsi="Arial" w:cs="Arial"/>
                <w:b/>
                <w:sz w:val="20"/>
                <w:szCs w:val="20"/>
              </w:rPr>
              <w:t>Energija</w:t>
            </w: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Elektrika</w:t>
            </w: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Pr>
                <w:rFonts w:ascii="Arial" w:hAnsi="Arial" w:cs="Arial"/>
                <w:sz w:val="20"/>
                <w:szCs w:val="20"/>
              </w:rPr>
              <w:t>35.111</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Pr>
                <w:rFonts w:ascii="Arial" w:hAnsi="Arial" w:cs="Arial"/>
                <w:sz w:val="20"/>
                <w:szCs w:val="20"/>
              </w:rPr>
              <w:t>Proizvodnja električne energije v hidroelektrarnah</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FF5DF7">
              <w:rPr>
                <w:rFonts w:ascii="Arial" w:hAnsi="Arial" w:cs="Arial"/>
                <w:sz w:val="20"/>
                <w:szCs w:val="20"/>
              </w:rPr>
              <w:t>V delu in za potrebe delovanja prenosnega oziroma distribucijskih sistemov.</w:t>
            </w:r>
          </w:p>
        </w:tc>
        <w:tc>
          <w:tcPr>
            <w:tcW w:w="1050" w:type="pct"/>
            <w:shd w:val="clear" w:color="auto" w:fill="EDEDED" w:themeFill="accent3" w:themeFillTint="33"/>
          </w:tcPr>
          <w:p w:rsidR="009D47BD" w:rsidRPr="00FF5DF7" w:rsidRDefault="009D47BD" w:rsidP="008B2A83">
            <w:pPr>
              <w:jc w:val="both"/>
              <w:rPr>
                <w:rFonts w:ascii="Arial" w:hAnsi="Arial" w:cs="Arial"/>
                <w:sz w:val="20"/>
                <w:szCs w:val="20"/>
              </w:rPr>
            </w:pPr>
            <w:r>
              <w:rPr>
                <w:rFonts w:ascii="Arial" w:hAnsi="Arial" w:cs="Arial"/>
                <w:sz w:val="20"/>
                <w:szCs w:val="20"/>
              </w:rPr>
              <w:t>Inštalirana moč proizvodnje presega 350 MW.</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Default="009D47BD" w:rsidP="008B2A83">
            <w:pPr>
              <w:rPr>
                <w:rFonts w:ascii="Arial" w:hAnsi="Arial" w:cs="Arial"/>
                <w:sz w:val="20"/>
                <w:szCs w:val="20"/>
              </w:rPr>
            </w:pPr>
            <w:r>
              <w:rPr>
                <w:rFonts w:ascii="Arial" w:hAnsi="Arial" w:cs="Arial"/>
                <w:sz w:val="20"/>
                <w:szCs w:val="20"/>
              </w:rPr>
              <w:t>35.112</w:t>
            </w:r>
          </w:p>
        </w:tc>
        <w:tc>
          <w:tcPr>
            <w:tcW w:w="1042" w:type="pct"/>
            <w:shd w:val="clear" w:color="auto" w:fill="EDEDED" w:themeFill="accent3" w:themeFillTint="33"/>
          </w:tcPr>
          <w:p w:rsidR="009D47BD" w:rsidRDefault="009D47BD" w:rsidP="008B2A83">
            <w:pPr>
              <w:rPr>
                <w:rFonts w:ascii="Arial" w:hAnsi="Arial" w:cs="Arial"/>
                <w:sz w:val="20"/>
                <w:szCs w:val="20"/>
              </w:rPr>
            </w:pPr>
            <w:r w:rsidRPr="00FF5DF7">
              <w:rPr>
                <w:rFonts w:ascii="Arial" w:hAnsi="Arial" w:cs="Arial"/>
                <w:sz w:val="20"/>
                <w:szCs w:val="20"/>
              </w:rPr>
              <w:t>Proizvodnja električne energije v termoelektrarnah, jedrskih elektrarnah</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FF5DF7">
              <w:rPr>
                <w:rFonts w:ascii="Arial" w:hAnsi="Arial" w:cs="Arial"/>
                <w:sz w:val="20"/>
                <w:szCs w:val="20"/>
              </w:rPr>
              <w:t>V delu in za potrebe delovanja prenosnega oziroma distribucijskih sistemov.</w:t>
            </w:r>
          </w:p>
        </w:tc>
        <w:tc>
          <w:tcPr>
            <w:tcW w:w="1050" w:type="pct"/>
            <w:shd w:val="clear" w:color="auto" w:fill="EDEDED" w:themeFill="accent3" w:themeFillTint="33"/>
          </w:tcPr>
          <w:p w:rsidR="009D47BD" w:rsidRPr="00FF5DF7" w:rsidRDefault="009D47BD" w:rsidP="008B2A83">
            <w:pPr>
              <w:jc w:val="both"/>
              <w:rPr>
                <w:rFonts w:ascii="Arial" w:hAnsi="Arial" w:cs="Arial"/>
                <w:sz w:val="20"/>
                <w:szCs w:val="20"/>
              </w:rPr>
            </w:pPr>
            <w:r>
              <w:rPr>
                <w:rFonts w:ascii="Arial" w:hAnsi="Arial" w:cs="Arial"/>
                <w:sz w:val="20"/>
                <w:szCs w:val="20"/>
              </w:rPr>
              <w:t>Inštalirana moč proizvodnje presega 350 MW.</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35.120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Prenos električne energije</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Da, brez izjeme.</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35.130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Distribucija električne energije</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p>
        </w:tc>
        <w:tc>
          <w:tcPr>
            <w:tcW w:w="1050" w:type="pct"/>
            <w:shd w:val="clear" w:color="auto" w:fill="EDEDED" w:themeFill="accent3" w:themeFillTint="33"/>
          </w:tcPr>
          <w:p w:rsidR="009D47BD" w:rsidRPr="00AE6B90" w:rsidRDefault="009D47BD" w:rsidP="008B2A83">
            <w:pPr>
              <w:jc w:val="both"/>
              <w:rPr>
                <w:rFonts w:ascii="Arial" w:hAnsi="Arial" w:cs="Arial"/>
                <w:sz w:val="20"/>
                <w:szCs w:val="20"/>
              </w:rPr>
            </w:pPr>
            <w:r>
              <w:rPr>
                <w:rFonts w:ascii="Arial" w:hAnsi="Arial" w:cs="Arial"/>
                <w:sz w:val="20"/>
                <w:szCs w:val="20"/>
              </w:rPr>
              <w:t>Da, brez izjeme.</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35.140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Trgovanje z električno energijo</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Prodaja električne energije odjemalcem.</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 xml:space="preserve">Letni promet presega 500.000 </w:t>
            </w:r>
            <w:r w:rsidR="00780D53">
              <w:rPr>
                <w:rFonts w:ascii="Arial" w:hAnsi="Arial" w:cs="Arial"/>
                <w:sz w:val="20"/>
                <w:szCs w:val="20"/>
              </w:rPr>
              <w:t xml:space="preserve">ton ekvivalentne nafte (t. i. </w:t>
            </w:r>
            <w:r>
              <w:rPr>
                <w:rFonts w:ascii="Arial" w:hAnsi="Arial" w:cs="Arial"/>
                <w:sz w:val="20"/>
                <w:szCs w:val="20"/>
              </w:rPr>
              <w:t>toe</w:t>
            </w:r>
            <w:r w:rsidR="00780D53">
              <w:rPr>
                <w:rFonts w:ascii="Arial" w:hAnsi="Arial" w:cs="Arial"/>
                <w:sz w:val="20"/>
                <w:szCs w:val="20"/>
              </w:rPr>
              <w:t>)</w:t>
            </w:r>
            <w:r>
              <w:rPr>
                <w:rFonts w:ascii="Arial" w:hAnsi="Arial" w:cs="Arial"/>
                <w:sz w:val="20"/>
                <w:szCs w:val="20"/>
              </w:rPr>
              <w:t xml:space="preserve"> elektrike.</w:t>
            </w:r>
          </w:p>
        </w:tc>
      </w:tr>
      <w:tr w:rsidR="009D47BD" w:rsidRPr="00B24BE2" w:rsidTr="008B2A83">
        <w:trPr>
          <w:trHeight w:val="516"/>
        </w:trPr>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Nafta</w:t>
            </w:r>
          </w:p>
        </w:tc>
        <w:tc>
          <w:tcPr>
            <w:tcW w:w="451" w:type="pct"/>
            <w:shd w:val="clear" w:color="auto" w:fill="EDEDED" w:themeFill="accent3" w:themeFillTint="33"/>
          </w:tcPr>
          <w:p w:rsidR="009D47BD" w:rsidRPr="00B24BE2" w:rsidRDefault="009D47BD" w:rsidP="008B2A83">
            <w:pPr>
              <w:rPr>
                <w:rFonts w:ascii="Arial" w:hAnsi="Arial" w:cs="Arial"/>
                <w:strike/>
                <w:sz w:val="20"/>
                <w:szCs w:val="20"/>
                <w:highlight w:val="yellow"/>
              </w:rPr>
            </w:pPr>
            <w:r w:rsidRPr="00B24BE2">
              <w:rPr>
                <w:rFonts w:ascii="Arial" w:hAnsi="Arial" w:cs="Arial"/>
                <w:sz w:val="20"/>
                <w:szCs w:val="20"/>
              </w:rPr>
              <w:t>47.301</w:t>
            </w:r>
          </w:p>
        </w:tc>
        <w:tc>
          <w:tcPr>
            <w:tcW w:w="1042" w:type="pct"/>
            <w:shd w:val="clear" w:color="auto" w:fill="EDEDED" w:themeFill="accent3" w:themeFillTint="33"/>
          </w:tcPr>
          <w:p w:rsidR="009D47BD" w:rsidRPr="00B24BE2" w:rsidRDefault="009D47BD" w:rsidP="008B2A83">
            <w:pPr>
              <w:rPr>
                <w:rFonts w:ascii="Arial" w:hAnsi="Arial" w:cs="Arial"/>
                <w:strike/>
                <w:sz w:val="20"/>
                <w:szCs w:val="20"/>
                <w:highlight w:val="yellow"/>
              </w:rPr>
            </w:pPr>
            <w:r w:rsidRPr="00B24BE2">
              <w:rPr>
                <w:rFonts w:ascii="Arial" w:hAnsi="Arial" w:cs="Arial"/>
                <w:sz w:val="20"/>
                <w:szCs w:val="20"/>
              </w:rPr>
              <w:t>Trgovina na drobno z lastnimi motornimi gorivi</w:t>
            </w:r>
          </w:p>
        </w:tc>
        <w:tc>
          <w:tcPr>
            <w:tcW w:w="876" w:type="pct"/>
            <w:shd w:val="clear" w:color="auto" w:fill="EDEDED" w:themeFill="accent3" w:themeFillTint="33"/>
          </w:tcPr>
          <w:p w:rsidR="009D47BD" w:rsidRPr="00B24BE2" w:rsidRDefault="009D47BD" w:rsidP="008B2A83">
            <w:pPr>
              <w:jc w:val="both"/>
              <w:rPr>
                <w:rFonts w:ascii="Arial" w:hAnsi="Arial" w:cs="Arial"/>
                <w:strike/>
                <w:sz w:val="20"/>
                <w:szCs w:val="20"/>
                <w:highlight w:val="yellow"/>
              </w:rPr>
            </w:pPr>
          </w:p>
        </w:tc>
        <w:tc>
          <w:tcPr>
            <w:tcW w:w="1050" w:type="pct"/>
            <w:shd w:val="clear" w:color="auto" w:fill="EDEDED" w:themeFill="accent3" w:themeFillTint="33"/>
          </w:tcPr>
          <w:p w:rsidR="009D47BD" w:rsidRPr="00B24BE2" w:rsidRDefault="009D47BD" w:rsidP="008B2A83">
            <w:pPr>
              <w:jc w:val="both"/>
              <w:rPr>
                <w:rFonts w:ascii="Arial" w:hAnsi="Arial" w:cs="Arial"/>
                <w:strike/>
                <w:sz w:val="20"/>
                <w:szCs w:val="20"/>
                <w:highlight w:val="yellow"/>
              </w:rPr>
            </w:pPr>
            <w:r>
              <w:rPr>
                <w:rFonts w:ascii="Arial" w:hAnsi="Arial" w:cs="Arial"/>
                <w:sz w:val="20"/>
                <w:szCs w:val="20"/>
              </w:rPr>
              <w:t xml:space="preserve">Letni promet presega 500.000 </w:t>
            </w:r>
            <w:r w:rsidR="00780D53">
              <w:rPr>
                <w:rFonts w:ascii="Arial" w:hAnsi="Arial" w:cs="Arial"/>
                <w:sz w:val="20"/>
                <w:szCs w:val="20"/>
              </w:rPr>
              <w:t xml:space="preserve">ton ekvivalentne nafte (t. i. </w:t>
            </w:r>
            <w:r>
              <w:rPr>
                <w:rFonts w:ascii="Arial" w:hAnsi="Arial" w:cs="Arial"/>
                <w:sz w:val="20"/>
                <w:szCs w:val="20"/>
              </w:rPr>
              <w:t>toe</w:t>
            </w:r>
            <w:r w:rsidR="00780D53">
              <w:rPr>
                <w:rFonts w:ascii="Arial" w:hAnsi="Arial" w:cs="Arial"/>
                <w:sz w:val="20"/>
                <w:szCs w:val="20"/>
              </w:rPr>
              <w:t>)</w:t>
            </w:r>
            <w:r>
              <w:rPr>
                <w:rFonts w:ascii="Arial" w:hAnsi="Arial" w:cs="Arial"/>
                <w:sz w:val="20"/>
                <w:szCs w:val="20"/>
              </w:rPr>
              <w:t xml:space="preserve"> lastnih motornih goriv.</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47.302</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Posredništvo pri prodaji motornih goriv na drobno</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 xml:space="preserve">Letni promet presega 500.000 </w:t>
            </w:r>
            <w:r w:rsidR="00780D53">
              <w:rPr>
                <w:rFonts w:ascii="Arial" w:hAnsi="Arial" w:cs="Arial"/>
                <w:sz w:val="20"/>
                <w:szCs w:val="20"/>
              </w:rPr>
              <w:t xml:space="preserve">ton ekvivalentne nafte (t. i. </w:t>
            </w:r>
            <w:r>
              <w:rPr>
                <w:rFonts w:ascii="Arial" w:hAnsi="Arial" w:cs="Arial"/>
                <w:sz w:val="20"/>
                <w:szCs w:val="20"/>
              </w:rPr>
              <w:t>toe</w:t>
            </w:r>
            <w:r w:rsidR="00780D53">
              <w:rPr>
                <w:rFonts w:ascii="Arial" w:hAnsi="Arial" w:cs="Arial"/>
                <w:sz w:val="20"/>
                <w:szCs w:val="20"/>
              </w:rPr>
              <w:t>)</w:t>
            </w:r>
            <w:r>
              <w:rPr>
                <w:rFonts w:ascii="Arial" w:hAnsi="Arial" w:cs="Arial"/>
                <w:sz w:val="20"/>
                <w:szCs w:val="20"/>
              </w:rPr>
              <w:t xml:space="preserve"> motornih goriv.</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52.100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Skladiščenje</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Obratovanje skladišč za nafto in naftne derivate (cisterne).</w:t>
            </w:r>
          </w:p>
        </w:tc>
        <w:tc>
          <w:tcPr>
            <w:tcW w:w="1050" w:type="pct"/>
            <w:shd w:val="clear" w:color="auto" w:fill="EDEDED" w:themeFill="accent3" w:themeFillTint="33"/>
          </w:tcPr>
          <w:p w:rsidR="009D47BD" w:rsidRPr="003625DE" w:rsidRDefault="009D47BD" w:rsidP="008B2A83">
            <w:pPr>
              <w:jc w:val="both"/>
              <w:rPr>
                <w:rFonts w:ascii="Arial" w:hAnsi="Arial" w:cs="Arial"/>
                <w:sz w:val="20"/>
                <w:szCs w:val="20"/>
              </w:rPr>
            </w:pPr>
            <w:r>
              <w:rPr>
                <w:rFonts w:ascii="Arial" w:hAnsi="Arial" w:cs="Arial"/>
                <w:sz w:val="20"/>
                <w:szCs w:val="20"/>
              </w:rPr>
              <w:t>Kapaciteta skladišča na eni lokaciji je najmanj 60.000 m</w:t>
            </w:r>
            <w:r>
              <w:rPr>
                <w:rFonts w:ascii="Arial" w:hAnsi="Arial" w:cs="Arial"/>
                <w:sz w:val="20"/>
                <w:szCs w:val="20"/>
                <w:vertAlign w:val="superscript"/>
              </w:rPr>
              <w:t>3</w:t>
            </w:r>
            <w:r>
              <w:rPr>
                <w:rFonts w:ascii="Arial" w:hAnsi="Arial" w:cs="Arial"/>
                <w:sz w:val="20"/>
                <w:szCs w:val="20"/>
              </w:rPr>
              <w:t>.</w:t>
            </w:r>
          </w:p>
        </w:tc>
      </w:tr>
      <w:tr w:rsidR="009D47BD" w:rsidRPr="00B24BE2" w:rsidTr="008B2A83">
        <w:trPr>
          <w:trHeight w:val="510"/>
        </w:trPr>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Plin</w:t>
            </w:r>
          </w:p>
        </w:tc>
        <w:tc>
          <w:tcPr>
            <w:tcW w:w="451" w:type="pct"/>
            <w:shd w:val="clear" w:color="auto" w:fill="EDEDED" w:themeFill="accent3" w:themeFillTint="33"/>
          </w:tcPr>
          <w:p w:rsidR="009D47BD" w:rsidRPr="00B24BE2" w:rsidRDefault="009D47BD" w:rsidP="008B2A83">
            <w:pPr>
              <w:rPr>
                <w:rFonts w:ascii="Arial" w:hAnsi="Arial" w:cs="Arial"/>
                <w:strike/>
                <w:sz w:val="20"/>
                <w:szCs w:val="20"/>
                <w:highlight w:val="yellow"/>
              </w:rPr>
            </w:pPr>
            <w:r w:rsidRPr="00B24BE2">
              <w:rPr>
                <w:rFonts w:ascii="Arial" w:hAnsi="Arial" w:cs="Arial"/>
                <w:sz w:val="20"/>
                <w:szCs w:val="20"/>
              </w:rPr>
              <w:t>35.220</w:t>
            </w:r>
          </w:p>
        </w:tc>
        <w:tc>
          <w:tcPr>
            <w:tcW w:w="1042" w:type="pct"/>
            <w:shd w:val="clear" w:color="auto" w:fill="EDEDED" w:themeFill="accent3" w:themeFillTint="33"/>
          </w:tcPr>
          <w:p w:rsidR="009D47BD" w:rsidRPr="00B24BE2" w:rsidRDefault="009D47BD" w:rsidP="008B2A83">
            <w:pPr>
              <w:rPr>
                <w:rFonts w:ascii="Arial" w:hAnsi="Arial" w:cs="Arial"/>
                <w:strike/>
                <w:sz w:val="20"/>
                <w:szCs w:val="20"/>
                <w:highlight w:val="yellow"/>
              </w:rPr>
            </w:pPr>
            <w:r w:rsidRPr="00B24BE2">
              <w:rPr>
                <w:rFonts w:ascii="Arial" w:hAnsi="Arial" w:cs="Arial"/>
                <w:sz w:val="20"/>
                <w:szCs w:val="20"/>
              </w:rPr>
              <w:t>Distribucija plinastih goriv po plinovodni mreži</w:t>
            </w:r>
          </w:p>
        </w:tc>
        <w:tc>
          <w:tcPr>
            <w:tcW w:w="876" w:type="pct"/>
            <w:shd w:val="clear" w:color="auto" w:fill="EDEDED" w:themeFill="accent3" w:themeFillTint="33"/>
          </w:tcPr>
          <w:p w:rsidR="009D47BD" w:rsidRPr="00B24BE2" w:rsidRDefault="009D47BD" w:rsidP="008B2A83">
            <w:pPr>
              <w:jc w:val="both"/>
              <w:rPr>
                <w:rFonts w:ascii="Arial" w:hAnsi="Arial" w:cs="Arial"/>
                <w:strike/>
                <w:sz w:val="20"/>
                <w:szCs w:val="20"/>
                <w:highlight w:val="yellow"/>
              </w:rPr>
            </w:pPr>
          </w:p>
        </w:tc>
        <w:tc>
          <w:tcPr>
            <w:tcW w:w="1050" w:type="pct"/>
            <w:shd w:val="clear" w:color="auto" w:fill="EDEDED" w:themeFill="accent3" w:themeFillTint="33"/>
          </w:tcPr>
          <w:p w:rsidR="009D47BD" w:rsidRPr="00B24BE2" w:rsidRDefault="009D47BD" w:rsidP="008B2A83">
            <w:pPr>
              <w:jc w:val="both"/>
              <w:rPr>
                <w:rFonts w:ascii="Arial" w:hAnsi="Arial" w:cs="Arial"/>
                <w:strike/>
                <w:sz w:val="20"/>
                <w:szCs w:val="20"/>
                <w:highlight w:val="yellow"/>
              </w:rPr>
            </w:pPr>
            <w:r>
              <w:rPr>
                <w:rFonts w:ascii="Arial" w:hAnsi="Arial" w:cs="Arial"/>
                <w:sz w:val="20"/>
                <w:szCs w:val="20"/>
              </w:rPr>
              <w:t xml:space="preserve">Letni promet presega 200.000 </w:t>
            </w:r>
            <w:r w:rsidR="00780D53">
              <w:rPr>
                <w:rFonts w:ascii="Arial" w:hAnsi="Arial" w:cs="Arial"/>
                <w:sz w:val="20"/>
                <w:szCs w:val="20"/>
              </w:rPr>
              <w:t xml:space="preserve">ton ekvivalentne nafte (t. i. </w:t>
            </w:r>
            <w:r>
              <w:rPr>
                <w:rFonts w:ascii="Arial" w:hAnsi="Arial" w:cs="Arial"/>
                <w:sz w:val="20"/>
                <w:szCs w:val="20"/>
              </w:rPr>
              <w:t>toe</w:t>
            </w:r>
            <w:r w:rsidR="00780D53">
              <w:rPr>
                <w:rFonts w:ascii="Arial" w:hAnsi="Arial" w:cs="Arial"/>
                <w:sz w:val="20"/>
                <w:szCs w:val="20"/>
              </w:rPr>
              <w:t>)</w:t>
            </w:r>
            <w:r>
              <w:rPr>
                <w:rFonts w:ascii="Arial" w:hAnsi="Arial" w:cs="Arial"/>
                <w:sz w:val="20"/>
                <w:szCs w:val="20"/>
              </w:rPr>
              <w:t xml:space="preserve"> plinastih goriv.</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35.230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Trgovanje s plinastimi gorivi po plinovodni mreži</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Prodaja plina uporabnikom prek plinovodne mreže.</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 xml:space="preserve">Letni promet presega 200.000 </w:t>
            </w:r>
            <w:r w:rsidR="00780D53">
              <w:rPr>
                <w:rFonts w:ascii="Arial" w:hAnsi="Arial" w:cs="Arial"/>
                <w:sz w:val="20"/>
                <w:szCs w:val="20"/>
              </w:rPr>
              <w:t xml:space="preserve">ton ekvivalentne nafte (t. i. </w:t>
            </w:r>
            <w:r>
              <w:rPr>
                <w:rFonts w:ascii="Arial" w:hAnsi="Arial" w:cs="Arial"/>
                <w:sz w:val="20"/>
                <w:szCs w:val="20"/>
              </w:rPr>
              <w:t>toe</w:t>
            </w:r>
            <w:r w:rsidR="00780D53">
              <w:rPr>
                <w:rFonts w:ascii="Arial" w:hAnsi="Arial" w:cs="Arial"/>
                <w:sz w:val="20"/>
                <w:szCs w:val="20"/>
              </w:rPr>
              <w:t>)</w:t>
            </w:r>
            <w:r>
              <w:rPr>
                <w:rFonts w:ascii="Arial" w:hAnsi="Arial" w:cs="Arial"/>
                <w:sz w:val="20"/>
                <w:szCs w:val="20"/>
              </w:rPr>
              <w:t xml:space="preserve"> plinastih goriv.</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49.500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Cevovodni transport</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eastAsia="Times New Roman" w:hAnsi="Arial" w:cs="Arial"/>
                <w:sz w:val="20"/>
                <w:szCs w:val="20"/>
                <w:lang w:eastAsia="sl-SI"/>
              </w:rPr>
              <w:t>Transport plina po cevovodih (plinovodih).</w:t>
            </w:r>
          </w:p>
        </w:tc>
        <w:tc>
          <w:tcPr>
            <w:tcW w:w="1050" w:type="pct"/>
            <w:shd w:val="clear" w:color="auto" w:fill="EDEDED" w:themeFill="accent3" w:themeFillTint="33"/>
          </w:tcPr>
          <w:p w:rsidR="009D47BD" w:rsidRPr="00B24BE2" w:rsidRDefault="009D47BD" w:rsidP="008B2A83">
            <w:pPr>
              <w:jc w:val="both"/>
              <w:rPr>
                <w:rFonts w:ascii="Arial" w:eastAsia="Times New Roman" w:hAnsi="Arial" w:cs="Arial"/>
                <w:sz w:val="20"/>
                <w:szCs w:val="20"/>
                <w:lang w:eastAsia="sl-SI"/>
              </w:rPr>
            </w:pPr>
            <w:r>
              <w:rPr>
                <w:rFonts w:ascii="Arial" w:hAnsi="Arial" w:cs="Arial"/>
                <w:sz w:val="20"/>
                <w:szCs w:val="20"/>
              </w:rPr>
              <w:t>Da, brez izjeme.</w:t>
            </w:r>
          </w:p>
        </w:tc>
      </w:tr>
      <w:tr w:rsidR="009D47BD" w:rsidRPr="00B24BE2" w:rsidTr="008B2A83">
        <w:tc>
          <w:tcPr>
            <w:tcW w:w="811" w:type="pct"/>
            <w:vMerge w:val="restart"/>
            <w:shd w:val="clear" w:color="auto" w:fill="EDEDED" w:themeFill="accent3" w:themeFillTint="33"/>
          </w:tcPr>
          <w:p w:rsidR="009D47BD" w:rsidRPr="00B24BE2" w:rsidRDefault="009D47BD" w:rsidP="008B2A83">
            <w:pPr>
              <w:rPr>
                <w:rFonts w:ascii="Arial" w:hAnsi="Arial" w:cs="Arial"/>
                <w:b/>
                <w:sz w:val="20"/>
                <w:szCs w:val="20"/>
              </w:rPr>
            </w:pPr>
            <w:r w:rsidRPr="00B24BE2">
              <w:rPr>
                <w:rFonts w:ascii="Arial" w:hAnsi="Arial" w:cs="Arial"/>
                <w:b/>
                <w:sz w:val="20"/>
                <w:szCs w:val="20"/>
              </w:rPr>
              <w:t>Digitalna infrastruktura</w:t>
            </w: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61.100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Telekomunikacijske dejavnosti po vodih</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Storitev zagotavljanja stičišč omrežij</w:t>
            </w:r>
            <w:r>
              <w:rPr>
                <w:rFonts w:ascii="Arial" w:hAnsi="Arial" w:cs="Arial"/>
                <w:sz w:val="20"/>
                <w:szCs w:val="20"/>
              </w:rPr>
              <w:t xml:space="preserve"> – t. i. IXP</w:t>
            </w:r>
            <w:r w:rsidRPr="00B24BE2">
              <w:rPr>
                <w:rFonts w:ascii="Arial" w:hAnsi="Arial" w:cs="Arial"/>
                <w:sz w:val="20"/>
                <w:szCs w:val="20"/>
              </w:rPr>
              <w:t xml:space="preserve"> (razen za izvajalce storitev, ki so izključeni </w:t>
            </w:r>
            <w:r w:rsidRPr="00B24BE2">
              <w:rPr>
                <w:rFonts w:ascii="Arial" w:hAnsi="Arial" w:cs="Arial"/>
                <w:sz w:val="20"/>
                <w:szCs w:val="20"/>
              </w:rPr>
              <w:lastRenderedPageBreak/>
              <w:t>na podlagi tretjega odstavka 2. člena ZInfV).</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lastRenderedPageBreak/>
              <w:t>Število članov stičišča omrežij presega 15.</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61.100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Telekomunikacijske dejavnosti po vodih</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Storitev sistema domenskih imen</w:t>
            </w:r>
            <w:r>
              <w:rPr>
                <w:rFonts w:ascii="Arial" w:hAnsi="Arial" w:cs="Arial"/>
                <w:sz w:val="20"/>
                <w:szCs w:val="20"/>
              </w:rPr>
              <w:t xml:space="preserve"> – t. i. DNS</w:t>
            </w:r>
            <w:r w:rsidRPr="00B24BE2">
              <w:rPr>
                <w:rFonts w:ascii="Arial" w:hAnsi="Arial" w:cs="Arial"/>
                <w:sz w:val="20"/>
                <w:szCs w:val="20"/>
              </w:rPr>
              <w:t xml:space="preserve"> (razen za izvajalce storitev, ki so izključeni na podlagi tretjega odstavka 2. člena ZInfV).</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 xml:space="preserve">Brez izjeme za storitev </w:t>
            </w:r>
            <w:r w:rsidRPr="00375147">
              <w:rPr>
                <w:rFonts w:ascii="Arial" w:hAnsi="Arial" w:cs="Arial"/>
                <w:sz w:val="20"/>
                <w:szCs w:val="20"/>
              </w:rPr>
              <w:t>sistema domenskih imen najvišje ravni</w:t>
            </w:r>
            <w:r>
              <w:rPr>
                <w:rFonts w:ascii="Arial" w:hAnsi="Arial" w:cs="Arial"/>
                <w:sz w:val="20"/>
                <w:szCs w:val="20"/>
              </w:rPr>
              <w:t xml:space="preserve">, za ostale storitve </w:t>
            </w:r>
            <w:r w:rsidRPr="00375147">
              <w:rPr>
                <w:rFonts w:ascii="Arial" w:hAnsi="Arial" w:cs="Arial"/>
                <w:sz w:val="20"/>
                <w:szCs w:val="20"/>
              </w:rPr>
              <w:t xml:space="preserve"> </w:t>
            </w:r>
            <w:r>
              <w:rPr>
                <w:rFonts w:ascii="Arial" w:hAnsi="Arial" w:cs="Arial"/>
                <w:sz w:val="20"/>
                <w:szCs w:val="20"/>
              </w:rPr>
              <w:t xml:space="preserve"> sistema domenskih imen pa subjekt zagotavlja storitev za  vsaj 20 % vseh registriranih domen pod domeno .si. </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61.100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Telekomunikacijske dejavnosti po vodih</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Storitev registra domenskih imen najvišje ravni</w:t>
            </w:r>
            <w:r>
              <w:rPr>
                <w:rFonts w:ascii="Arial" w:hAnsi="Arial" w:cs="Arial"/>
                <w:sz w:val="20"/>
                <w:szCs w:val="20"/>
              </w:rPr>
              <w:t xml:space="preserve"> – t. i. register TLD</w:t>
            </w:r>
            <w:r w:rsidRPr="00B24BE2">
              <w:rPr>
                <w:rFonts w:ascii="Arial" w:hAnsi="Arial" w:cs="Arial"/>
                <w:sz w:val="20"/>
                <w:szCs w:val="20"/>
              </w:rPr>
              <w:t>.</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Brez izjeme za storitev registra</w:t>
            </w:r>
            <w:r w:rsidRPr="00375147">
              <w:rPr>
                <w:rFonts w:ascii="Arial" w:hAnsi="Arial" w:cs="Arial"/>
                <w:sz w:val="20"/>
                <w:szCs w:val="20"/>
              </w:rPr>
              <w:t xml:space="preserve"> domenskih imen najvišje ravni</w:t>
            </w:r>
            <w:r>
              <w:rPr>
                <w:rFonts w:ascii="Arial" w:hAnsi="Arial" w:cs="Arial"/>
                <w:sz w:val="20"/>
                <w:szCs w:val="20"/>
              </w:rPr>
              <w:t>.</w:t>
            </w:r>
          </w:p>
        </w:tc>
      </w:tr>
      <w:tr w:rsidR="009D47BD" w:rsidRPr="00B24BE2" w:rsidTr="008B2A83">
        <w:tc>
          <w:tcPr>
            <w:tcW w:w="811" w:type="pct"/>
          </w:tcPr>
          <w:p w:rsidR="009D47BD" w:rsidRPr="00B24BE2" w:rsidRDefault="009D47BD" w:rsidP="008B2A83">
            <w:pPr>
              <w:rPr>
                <w:rFonts w:ascii="Arial" w:hAnsi="Arial" w:cs="Arial"/>
                <w:b/>
                <w:sz w:val="20"/>
                <w:szCs w:val="20"/>
              </w:rPr>
            </w:pPr>
            <w:r w:rsidRPr="00B24BE2">
              <w:rPr>
                <w:rFonts w:ascii="Arial" w:hAnsi="Arial" w:cs="Arial"/>
                <w:b/>
                <w:sz w:val="20"/>
                <w:szCs w:val="20"/>
              </w:rPr>
              <w:t>Oskrba s pitno vodo in njena distribucija</w:t>
            </w:r>
          </w:p>
        </w:tc>
        <w:tc>
          <w:tcPr>
            <w:tcW w:w="770" w:type="pct"/>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36.000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Zbiranje, prečiščevanje in distribucija vode</w:t>
            </w:r>
          </w:p>
        </w:tc>
        <w:tc>
          <w:tcPr>
            <w:tcW w:w="876" w:type="pct"/>
          </w:tcPr>
          <w:p w:rsidR="009D47BD" w:rsidRPr="00B24BE2" w:rsidRDefault="009D47BD" w:rsidP="008B2A83">
            <w:pPr>
              <w:jc w:val="both"/>
              <w:rPr>
                <w:rFonts w:ascii="Arial" w:hAnsi="Arial" w:cs="Arial"/>
                <w:sz w:val="20"/>
                <w:szCs w:val="20"/>
              </w:rPr>
            </w:pPr>
            <w:r w:rsidRPr="00B24BE2">
              <w:rPr>
                <w:rFonts w:ascii="Arial" w:hAnsi="Arial" w:cs="Arial"/>
                <w:sz w:val="20"/>
                <w:szCs w:val="20"/>
              </w:rPr>
              <w:t>Zbiranje, prečiščevanje  in distribucija vode za gospodinjstva.</w:t>
            </w:r>
          </w:p>
        </w:tc>
        <w:tc>
          <w:tcPr>
            <w:tcW w:w="1050" w:type="pct"/>
          </w:tcPr>
          <w:p w:rsidR="009D47BD" w:rsidRPr="00B24BE2" w:rsidRDefault="009D47BD" w:rsidP="008B2A83">
            <w:pPr>
              <w:jc w:val="both"/>
              <w:rPr>
                <w:rFonts w:ascii="Arial" w:hAnsi="Arial" w:cs="Arial"/>
                <w:sz w:val="20"/>
                <w:szCs w:val="20"/>
              </w:rPr>
            </w:pPr>
            <w:r w:rsidRPr="00647DF3">
              <w:rPr>
                <w:rFonts w:ascii="Arial" w:hAnsi="Arial" w:cs="Arial"/>
                <w:sz w:val="20"/>
                <w:szCs w:val="20"/>
              </w:rPr>
              <w:t>Letna količina prodane vode</w:t>
            </w:r>
            <w:r>
              <w:rPr>
                <w:rFonts w:ascii="Arial" w:hAnsi="Arial" w:cs="Arial"/>
                <w:sz w:val="20"/>
                <w:szCs w:val="20"/>
              </w:rPr>
              <w:t xml:space="preserve"> presega 10.000.000 m</w:t>
            </w:r>
            <w:r>
              <w:rPr>
                <w:rFonts w:ascii="Arial" w:hAnsi="Arial" w:cs="Arial"/>
                <w:sz w:val="20"/>
                <w:szCs w:val="20"/>
                <w:vertAlign w:val="superscript"/>
              </w:rPr>
              <w:t>3</w:t>
            </w:r>
            <w:r>
              <w:rPr>
                <w:rFonts w:ascii="Arial" w:hAnsi="Arial" w:cs="Arial"/>
                <w:sz w:val="20"/>
                <w:szCs w:val="20"/>
              </w:rPr>
              <w:t>.</w:t>
            </w:r>
          </w:p>
        </w:tc>
      </w:tr>
      <w:tr w:rsidR="009D47BD" w:rsidRPr="00B24BE2" w:rsidTr="008B2A83">
        <w:tc>
          <w:tcPr>
            <w:tcW w:w="811" w:type="pct"/>
            <w:vMerge w:val="restart"/>
            <w:shd w:val="clear" w:color="auto" w:fill="EDEDED" w:themeFill="accent3" w:themeFillTint="33"/>
          </w:tcPr>
          <w:p w:rsidR="009D47BD" w:rsidRPr="00B24BE2" w:rsidRDefault="009D47BD" w:rsidP="008B2A83">
            <w:pPr>
              <w:rPr>
                <w:rFonts w:ascii="Arial" w:hAnsi="Arial" w:cs="Arial"/>
                <w:b/>
                <w:sz w:val="20"/>
                <w:szCs w:val="20"/>
              </w:rPr>
            </w:pPr>
            <w:r w:rsidRPr="00B24BE2">
              <w:rPr>
                <w:rFonts w:ascii="Arial" w:hAnsi="Arial" w:cs="Arial"/>
                <w:b/>
                <w:sz w:val="20"/>
                <w:szCs w:val="20"/>
              </w:rPr>
              <w:t>Zdravstvo</w:t>
            </w: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 xml:space="preserve">47.730 </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 xml:space="preserve">Trgovina na drobno v specializiranih prodajalnah s farmacevtskimi izdelki </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Lekarniška dejavnost – izdajanje zdravil na recept.</w:t>
            </w:r>
          </w:p>
        </w:tc>
        <w:tc>
          <w:tcPr>
            <w:tcW w:w="1050" w:type="pct"/>
            <w:shd w:val="clear" w:color="auto" w:fill="EDEDED" w:themeFill="accent3" w:themeFillTint="33"/>
          </w:tcPr>
          <w:p w:rsidR="009D47BD" w:rsidRDefault="009D47BD" w:rsidP="008B2A83">
            <w:pPr>
              <w:jc w:val="both"/>
              <w:rPr>
                <w:rFonts w:ascii="Arial" w:hAnsi="Arial" w:cs="Arial"/>
                <w:sz w:val="20"/>
                <w:szCs w:val="20"/>
              </w:rPr>
            </w:pPr>
            <w:r>
              <w:rPr>
                <w:rFonts w:ascii="Arial" w:hAnsi="Arial" w:cs="Arial"/>
                <w:sz w:val="20"/>
                <w:szCs w:val="20"/>
              </w:rPr>
              <w:t>Število izdanih zdravil na recept letno presega 1.000.000 .</w:t>
            </w:r>
          </w:p>
          <w:p w:rsidR="009D47BD" w:rsidRPr="00B24BE2" w:rsidRDefault="009D47BD" w:rsidP="008B2A83">
            <w:pPr>
              <w:jc w:val="both"/>
              <w:rPr>
                <w:rFonts w:ascii="Arial" w:hAnsi="Arial" w:cs="Arial"/>
                <w:sz w:val="20"/>
                <w:szCs w:val="20"/>
              </w:rPr>
            </w:pP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86.100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Bolnišnična zdravstvena dejavnost</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Storitve bolnišničnega zdravstvenega varstva, namenjene hospitaliziranim pacientom</w:t>
            </w:r>
            <w:r>
              <w:rPr>
                <w:rFonts w:ascii="Arial" w:hAnsi="Arial" w:cs="Arial"/>
                <w:sz w:val="20"/>
                <w:szCs w:val="20"/>
              </w:rPr>
              <w:t>, vključno z nujno medicinsko pomočjo</w:t>
            </w:r>
            <w:r w:rsidRPr="00B24BE2">
              <w:rPr>
                <w:rFonts w:ascii="Arial" w:hAnsi="Arial" w:cs="Arial"/>
                <w:sz w:val="20"/>
                <w:szCs w:val="20"/>
              </w:rPr>
              <w:t>.</w:t>
            </w:r>
          </w:p>
        </w:tc>
        <w:tc>
          <w:tcPr>
            <w:tcW w:w="1050" w:type="pct"/>
            <w:shd w:val="clear" w:color="auto" w:fill="EDEDED" w:themeFill="accent3" w:themeFillTint="33"/>
          </w:tcPr>
          <w:p w:rsidR="009D47BD" w:rsidRDefault="009D47BD" w:rsidP="008B2A83">
            <w:pPr>
              <w:jc w:val="both"/>
              <w:rPr>
                <w:rFonts w:ascii="Arial" w:hAnsi="Arial" w:cs="Arial"/>
                <w:sz w:val="20"/>
                <w:szCs w:val="20"/>
              </w:rPr>
            </w:pPr>
            <w:r>
              <w:rPr>
                <w:rFonts w:ascii="Arial" w:hAnsi="Arial" w:cs="Arial"/>
                <w:sz w:val="20"/>
                <w:szCs w:val="20"/>
              </w:rPr>
              <w:t xml:space="preserve">Število opravljenih obravnav v nujni medicinski pomoči letno presega 100.000. </w:t>
            </w:r>
          </w:p>
          <w:p w:rsidR="009D47BD" w:rsidRPr="00B24BE2" w:rsidRDefault="009D47BD" w:rsidP="008B2A83">
            <w:pPr>
              <w:jc w:val="both"/>
              <w:rPr>
                <w:rFonts w:ascii="Arial" w:hAnsi="Arial" w:cs="Arial"/>
                <w:sz w:val="20"/>
                <w:szCs w:val="20"/>
              </w:rPr>
            </w:pP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86.210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Splošna zunajbolnišnična zdravstvena dejavnost</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Svetovanje, diagnostika in zdravljenje, ki ga opravljajo zdravniki splošne medicine ali zdravniki pediatri.</w:t>
            </w:r>
          </w:p>
        </w:tc>
        <w:tc>
          <w:tcPr>
            <w:tcW w:w="1050" w:type="pct"/>
            <w:shd w:val="clear" w:color="auto" w:fill="EDEDED" w:themeFill="accent3" w:themeFillTint="33"/>
          </w:tcPr>
          <w:p w:rsidR="009D47BD" w:rsidRDefault="009D47BD" w:rsidP="008B2A83">
            <w:pPr>
              <w:jc w:val="both"/>
              <w:rPr>
                <w:rFonts w:ascii="Arial" w:hAnsi="Arial" w:cs="Arial"/>
                <w:sz w:val="20"/>
                <w:szCs w:val="20"/>
              </w:rPr>
            </w:pPr>
            <w:r>
              <w:rPr>
                <w:rFonts w:ascii="Arial" w:hAnsi="Arial" w:cs="Arial"/>
                <w:sz w:val="20"/>
                <w:szCs w:val="20"/>
              </w:rPr>
              <w:t>Število opravljenih obravnav letno presega 100.000.</w:t>
            </w:r>
          </w:p>
          <w:p w:rsidR="009D47BD" w:rsidRPr="00B24BE2" w:rsidRDefault="009D47BD" w:rsidP="008B2A83">
            <w:pPr>
              <w:jc w:val="both"/>
              <w:rPr>
                <w:rFonts w:ascii="Arial" w:hAnsi="Arial" w:cs="Arial"/>
                <w:sz w:val="20"/>
                <w:szCs w:val="20"/>
              </w:rPr>
            </w:pP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86.220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Specialistična zunajbolnišnična zdravstvena dejavnost</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Specialistično svetovanje, diagnostika in zdravljenje.</w:t>
            </w:r>
          </w:p>
        </w:tc>
        <w:tc>
          <w:tcPr>
            <w:tcW w:w="1050" w:type="pct"/>
            <w:shd w:val="clear" w:color="auto" w:fill="EDEDED" w:themeFill="accent3" w:themeFillTint="33"/>
          </w:tcPr>
          <w:p w:rsidR="009D47BD" w:rsidRDefault="009D47BD" w:rsidP="008B2A83">
            <w:pPr>
              <w:jc w:val="both"/>
              <w:rPr>
                <w:rFonts w:ascii="Arial" w:hAnsi="Arial" w:cs="Arial"/>
                <w:sz w:val="20"/>
                <w:szCs w:val="20"/>
              </w:rPr>
            </w:pPr>
            <w:r>
              <w:rPr>
                <w:rFonts w:ascii="Arial" w:hAnsi="Arial" w:cs="Arial"/>
                <w:sz w:val="20"/>
                <w:szCs w:val="20"/>
              </w:rPr>
              <w:t>Število opravljenih obravnav letno presega 400.000.</w:t>
            </w:r>
          </w:p>
          <w:p w:rsidR="009D47BD" w:rsidRPr="00B24BE2" w:rsidRDefault="009D47BD" w:rsidP="008B2A83">
            <w:pPr>
              <w:jc w:val="both"/>
              <w:rPr>
                <w:rFonts w:ascii="Arial" w:hAnsi="Arial" w:cs="Arial"/>
                <w:sz w:val="20"/>
                <w:szCs w:val="20"/>
              </w:rPr>
            </w:pPr>
          </w:p>
        </w:tc>
      </w:tr>
      <w:tr w:rsidR="009D47BD" w:rsidRPr="00B24BE2" w:rsidTr="008B2A83">
        <w:tc>
          <w:tcPr>
            <w:tcW w:w="811" w:type="pct"/>
            <w:vMerge w:val="restart"/>
          </w:tcPr>
          <w:p w:rsidR="009D47BD" w:rsidRPr="00B24BE2" w:rsidRDefault="009D47BD" w:rsidP="008B2A83">
            <w:pPr>
              <w:rPr>
                <w:rFonts w:ascii="Arial" w:hAnsi="Arial" w:cs="Arial"/>
                <w:b/>
                <w:sz w:val="20"/>
                <w:szCs w:val="20"/>
              </w:rPr>
            </w:pPr>
            <w:r w:rsidRPr="00B24BE2">
              <w:rPr>
                <w:rFonts w:ascii="Arial" w:hAnsi="Arial" w:cs="Arial"/>
                <w:b/>
                <w:sz w:val="20"/>
                <w:szCs w:val="20"/>
              </w:rPr>
              <w:t>Promet</w:t>
            </w:r>
          </w:p>
        </w:tc>
        <w:tc>
          <w:tcPr>
            <w:tcW w:w="770" w:type="pct"/>
            <w:vMerge w:val="restart"/>
          </w:tcPr>
          <w:p w:rsidR="009D47BD" w:rsidRPr="00B24BE2" w:rsidRDefault="009D47BD" w:rsidP="008B2A83">
            <w:pPr>
              <w:rPr>
                <w:rFonts w:ascii="Arial" w:hAnsi="Arial" w:cs="Arial"/>
                <w:sz w:val="20"/>
                <w:szCs w:val="20"/>
              </w:rPr>
            </w:pPr>
            <w:r w:rsidRPr="00B24BE2">
              <w:rPr>
                <w:rFonts w:ascii="Arial" w:hAnsi="Arial" w:cs="Arial"/>
                <w:sz w:val="20"/>
                <w:szCs w:val="20"/>
              </w:rPr>
              <w:t>Zračni promet</w:t>
            </w: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51.100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Potniški zračni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Število prepeljanih potnikov na letni ravni presega 10.000.000.</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51.210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Tovorni zračni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Količina prepeljanih ton tovora na letni ravni presega 15.000.000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52.230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Spremljajoče storitvene dejavnosti v zračnem prometu</w:t>
            </w:r>
          </w:p>
        </w:tc>
        <w:tc>
          <w:tcPr>
            <w:tcW w:w="876" w:type="pct"/>
          </w:tcPr>
          <w:p w:rsidR="009D47BD" w:rsidRPr="00B24BE2" w:rsidRDefault="009D47BD" w:rsidP="008B2A83">
            <w:pPr>
              <w:jc w:val="both"/>
              <w:rPr>
                <w:rFonts w:ascii="Arial" w:hAnsi="Arial" w:cs="Arial"/>
                <w:sz w:val="20"/>
                <w:szCs w:val="20"/>
              </w:rPr>
            </w:pPr>
            <w:r w:rsidRPr="00B24BE2">
              <w:rPr>
                <w:rFonts w:ascii="Arial" w:hAnsi="Arial" w:cs="Arial"/>
                <w:sz w:val="20"/>
                <w:szCs w:val="20"/>
              </w:rPr>
              <w:t>Obratovanje letaliških terminalov in podobnih objektov, obratovanje letališč, kontrola zračnega prometa in dejavnost služb na letališčih, vključno s protipožarno varnostjo.</w:t>
            </w:r>
          </w:p>
        </w:tc>
        <w:tc>
          <w:tcPr>
            <w:tcW w:w="1050" w:type="pct"/>
          </w:tcPr>
          <w:p w:rsidR="009D47BD" w:rsidRPr="00AC63C8" w:rsidRDefault="009D47BD" w:rsidP="009D47BD">
            <w:pPr>
              <w:pStyle w:val="Odstavekseznama"/>
              <w:numPr>
                <w:ilvl w:val="0"/>
                <w:numId w:val="29"/>
              </w:numPr>
              <w:spacing w:line="240" w:lineRule="auto"/>
              <w:jc w:val="both"/>
              <w:rPr>
                <w:rFonts w:cs="Arial"/>
                <w:szCs w:val="20"/>
              </w:rPr>
            </w:pPr>
            <w:r w:rsidRPr="00AC63C8">
              <w:rPr>
                <w:rFonts w:cs="Arial"/>
                <w:szCs w:val="20"/>
              </w:rPr>
              <w:t xml:space="preserve">Brez izjeme za storitev kontrole zračnega prometa nad </w:t>
            </w:r>
            <w:r w:rsidR="00780D53">
              <w:rPr>
                <w:rFonts w:cs="Arial"/>
                <w:szCs w:val="20"/>
              </w:rPr>
              <w:t xml:space="preserve">nivojem leta 19.500 čevljev (t. i. </w:t>
            </w:r>
            <w:r w:rsidRPr="00AC63C8">
              <w:rPr>
                <w:rFonts w:cs="Arial"/>
                <w:szCs w:val="20"/>
              </w:rPr>
              <w:t>FL</w:t>
            </w:r>
            <w:r w:rsidR="00780D53">
              <w:rPr>
                <w:rFonts w:cs="Arial"/>
                <w:szCs w:val="20"/>
              </w:rPr>
              <w:t xml:space="preserve"> 195)</w:t>
            </w:r>
            <w:r w:rsidRPr="00AC63C8">
              <w:rPr>
                <w:rFonts w:cs="Arial"/>
                <w:szCs w:val="20"/>
              </w:rPr>
              <w:t>;</w:t>
            </w:r>
          </w:p>
          <w:p w:rsidR="009D47BD" w:rsidRPr="002B4F54" w:rsidRDefault="009D47BD" w:rsidP="009D47BD">
            <w:pPr>
              <w:pStyle w:val="Odstavekseznama"/>
              <w:numPr>
                <w:ilvl w:val="0"/>
                <w:numId w:val="29"/>
              </w:numPr>
              <w:spacing w:line="240" w:lineRule="auto"/>
              <w:jc w:val="both"/>
              <w:rPr>
                <w:rFonts w:cs="Arial"/>
                <w:szCs w:val="20"/>
              </w:rPr>
            </w:pPr>
            <w:r>
              <w:rPr>
                <w:rFonts w:cs="Arial"/>
                <w:szCs w:val="20"/>
              </w:rPr>
              <w:t>š</w:t>
            </w:r>
            <w:r w:rsidRPr="00AC63C8">
              <w:rPr>
                <w:rFonts w:cs="Arial"/>
                <w:szCs w:val="20"/>
              </w:rPr>
              <w:t xml:space="preserve">tevilo </w:t>
            </w:r>
            <w:r w:rsidRPr="002B4F54">
              <w:rPr>
                <w:rFonts w:cs="Arial"/>
                <w:szCs w:val="20"/>
              </w:rPr>
              <w:t>potnikov, ki so potovali preko letališča, na letni ravni presega 1.000.000; ali</w:t>
            </w:r>
          </w:p>
          <w:p w:rsidR="009D47BD" w:rsidRPr="002B4F54" w:rsidRDefault="009D47BD" w:rsidP="009D47BD">
            <w:pPr>
              <w:pStyle w:val="Odstavekseznama"/>
              <w:numPr>
                <w:ilvl w:val="0"/>
                <w:numId w:val="29"/>
              </w:numPr>
              <w:spacing w:line="240" w:lineRule="auto"/>
              <w:jc w:val="both"/>
              <w:rPr>
                <w:rFonts w:cs="Arial"/>
                <w:szCs w:val="20"/>
              </w:rPr>
            </w:pPr>
            <w:r>
              <w:rPr>
                <w:rFonts w:cs="Arial"/>
                <w:szCs w:val="20"/>
              </w:rPr>
              <w:t>k</w:t>
            </w:r>
            <w:r w:rsidRPr="00AC63C8">
              <w:rPr>
                <w:rFonts w:cs="Arial"/>
                <w:szCs w:val="20"/>
              </w:rPr>
              <w:t xml:space="preserve">oličina oskrbljenih ton tovora na letališču </w:t>
            </w:r>
            <w:r w:rsidRPr="002B4F54">
              <w:rPr>
                <w:rFonts w:cs="Arial"/>
                <w:szCs w:val="20"/>
              </w:rPr>
              <w:t>na letni ravni presega 10.000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val="restart"/>
          </w:tcPr>
          <w:p w:rsidR="009D47BD" w:rsidRPr="00B24BE2" w:rsidRDefault="009D47BD" w:rsidP="008B2A83">
            <w:pPr>
              <w:rPr>
                <w:rFonts w:ascii="Arial" w:hAnsi="Arial" w:cs="Arial"/>
                <w:sz w:val="20"/>
                <w:szCs w:val="20"/>
              </w:rPr>
            </w:pPr>
            <w:r w:rsidRPr="00B24BE2">
              <w:rPr>
                <w:rFonts w:ascii="Arial" w:hAnsi="Arial" w:cs="Arial"/>
                <w:sz w:val="20"/>
                <w:szCs w:val="20"/>
              </w:rPr>
              <w:t>Železniški promet</w:t>
            </w: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49.100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Železniški potniški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Število prepeljanih potnikov na letni ravni presega 10.000.000.</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49.200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Železniški tovorni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Količina prepeljanih ton tovora na letni ravni presega 15.000.000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52.210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Spremljajoče storitvene dejavnosti v kopenskem prometu</w:t>
            </w:r>
          </w:p>
        </w:tc>
        <w:tc>
          <w:tcPr>
            <w:tcW w:w="876" w:type="pct"/>
          </w:tcPr>
          <w:p w:rsidR="009D47BD" w:rsidRPr="00B24BE2" w:rsidRDefault="009D47BD" w:rsidP="008B2A83">
            <w:pPr>
              <w:pStyle w:val="Odstavekseznama"/>
              <w:numPr>
                <w:ilvl w:val="0"/>
                <w:numId w:val="12"/>
              </w:numPr>
              <w:spacing w:line="240" w:lineRule="auto"/>
              <w:ind w:left="204" w:hanging="204"/>
              <w:jc w:val="both"/>
              <w:rPr>
                <w:rFonts w:cs="Arial"/>
                <w:szCs w:val="20"/>
              </w:rPr>
            </w:pPr>
            <w:r w:rsidRPr="00B24BE2">
              <w:rPr>
                <w:rFonts w:cs="Arial"/>
                <w:szCs w:val="20"/>
              </w:rPr>
              <w:t>Obratovanje železniških postaj;</w:t>
            </w:r>
          </w:p>
          <w:p w:rsidR="009D47BD" w:rsidRPr="00B24BE2" w:rsidRDefault="009D47BD" w:rsidP="008B2A83">
            <w:pPr>
              <w:pStyle w:val="Odstavekseznama"/>
              <w:numPr>
                <w:ilvl w:val="0"/>
                <w:numId w:val="12"/>
              </w:numPr>
              <w:spacing w:line="240" w:lineRule="auto"/>
              <w:ind w:left="204" w:hanging="204"/>
              <w:jc w:val="both"/>
              <w:rPr>
                <w:rFonts w:cs="Arial"/>
                <w:szCs w:val="20"/>
              </w:rPr>
            </w:pPr>
            <w:r w:rsidRPr="00B24BE2">
              <w:rPr>
                <w:rFonts w:cs="Arial"/>
                <w:szCs w:val="20"/>
              </w:rPr>
              <w:t>Obratovanje ranžirnih postaj terminalov tovornega prometa in druge železniške infrastrukture.</w:t>
            </w:r>
          </w:p>
        </w:tc>
        <w:tc>
          <w:tcPr>
            <w:tcW w:w="1050" w:type="pct"/>
          </w:tcPr>
          <w:p w:rsidR="009D47BD" w:rsidRPr="001E722F" w:rsidRDefault="009D47BD" w:rsidP="009D47BD">
            <w:pPr>
              <w:pStyle w:val="Odstavekseznama"/>
              <w:numPr>
                <w:ilvl w:val="0"/>
                <w:numId w:val="30"/>
              </w:numPr>
              <w:spacing w:line="240" w:lineRule="auto"/>
              <w:jc w:val="both"/>
              <w:rPr>
                <w:rFonts w:cs="Arial"/>
                <w:szCs w:val="20"/>
              </w:rPr>
            </w:pPr>
            <w:r w:rsidRPr="001E722F">
              <w:rPr>
                <w:rFonts w:cs="Arial"/>
                <w:szCs w:val="20"/>
              </w:rPr>
              <w:t>Število prepeljanih potnikov na letni ravni presega 10.000.000; ali</w:t>
            </w:r>
          </w:p>
          <w:p w:rsidR="009D47BD" w:rsidRPr="00057831" w:rsidRDefault="009D47BD" w:rsidP="009D47BD">
            <w:pPr>
              <w:pStyle w:val="Odstavekseznama"/>
              <w:numPr>
                <w:ilvl w:val="0"/>
                <w:numId w:val="30"/>
              </w:numPr>
              <w:spacing w:line="240" w:lineRule="auto"/>
              <w:jc w:val="both"/>
              <w:rPr>
                <w:rFonts w:cs="Arial"/>
                <w:szCs w:val="20"/>
              </w:rPr>
            </w:pPr>
            <w:r w:rsidRPr="001E722F">
              <w:rPr>
                <w:rFonts w:cs="Arial"/>
                <w:szCs w:val="20"/>
              </w:rPr>
              <w:t xml:space="preserve">količina </w:t>
            </w:r>
            <w:r>
              <w:rPr>
                <w:rFonts w:cs="Arial"/>
                <w:szCs w:val="20"/>
              </w:rPr>
              <w:t>oskrbljenih</w:t>
            </w:r>
            <w:r w:rsidRPr="001E722F">
              <w:rPr>
                <w:rFonts w:cs="Arial"/>
                <w:szCs w:val="20"/>
              </w:rPr>
              <w:t xml:space="preserve"> ton tovora na letni ravni presega 15.000.000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val="restart"/>
          </w:tcPr>
          <w:p w:rsidR="009D47BD" w:rsidRPr="00B24BE2" w:rsidRDefault="009D47BD" w:rsidP="008B2A83">
            <w:pPr>
              <w:rPr>
                <w:rFonts w:ascii="Arial" w:hAnsi="Arial" w:cs="Arial"/>
                <w:sz w:val="20"/>
                <w:szCs w:val="20"/>
              </w:rPr>
            </w:pPr>
            <w:r w:rsidRPr="00B24BE2">
              <w:rPr>
                <w:rFonts w:ascii="Arial" w:hAnsi="Arial" w:cs="Arial"/>
                <w:sz w:val="20"/>
                <w:szCs w:val="20"/>
              </w:rPr>
              <w:t>Vodni promet</w:t>
            </w: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50.100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Pomorski potniški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Default="009D47BD" w:rsidP="008B2A83">
            <w:pPr>
              <w:jc w:val="both"/>
              <w:rPr>
                <w:rFonts w:ascii="Arial" w:hAnsi="Arial" w:cs="Arial"/>
                <w:sz w:val="20"/>
                <w:szCs w:val="20"/>
              </w:rPr>
            </w:pPr>
            <w:r>
              <w:rPr>
                <w:rFonts w:ascii="Arial" w:hAnsi="Arial" w:cs="Arial"/>
                <w:sz w:val="20"/>
                <w:szCs w:val="20"/>
              </w:rPr>
              <w:t>Število prepeljanih potnikov na letni ravni presega</w:t>
            </w:r>
          </w:p>
          <w:p w:rsidR="009D47BD" w:rsidRPr="00B24BE2" w:rsidRDefault="009D47BD" w:rsidP="008B2A83">
            <w:pPr>
              <w:jc w:val="both"/>
              <w:rPr>
                <w:rFonts w:ascii="Arial" w:hAnsi="Arial" w:cs="Arial"/>
                <w:sz w:val="20"/>
                <w:szCs w:val="20"/>
              </w:rPr>
            </w:pPr>
            <w:r>
              <w:rPr>
                <w:rFonts w:ascii="Arial" w:hAnsi="Arial" w:cs="Arial"/>
                <w:sz w:val="20"/>
                <w:szCs w:val="20"/>
              </w:rPr>
              <w:t>1.000.000</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50.200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Pomorski tovorni promet</w:t>
            </w:r>
          </w:p>
        </w:tc>
        <w:tc>
          <w:tcPr>
            <w:tcW w:w="876" w:type="pct"/>
          </w:tcPr>
          <w:p w:rsidR="009D47BD" w:rsidRPr="00B24BE2" w:rsidRDefault="009D47BD" w:rsidP="008B2A83">
            <w:pPr>
              <w:jc w:val="both"/>
              <w:rPr>
                <w:rFonts w:ascii="Arial" w:hAnsi="Arial" w:cs="Arial"/>
                <w:sz w:val="20"/>
                <w:szCs w:val="20"/>
              </w:rPr>
            </w:pP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Količina prepeljanih ton tovora na letni ravni presega 10.000.000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52.220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Spremljajoče storitvene dejavnosti v vodnem prometu</w:t>
            </w:r>
          </w:p>
        </w:tc>
        <w:tc>
          <w:tcPr>
            <w:tcW w:w="876" w:type="pct"/>
          </w:tcPr>
          <w:p w:rsidR="009D47BD" w:rsidRPr="00B24BE2" w:rsidRDefault="009D47BD" w:rsidP="008B2A83">
            <w:pPr>
              <w:jc w:val="both"/>
              <w:rPr>
                <w:rFonts w:ascii="Arial" w:hAnsi="Arial" w:cs="Arial"/>
                <w:sz w:val="20"/>
                <w:szCs w:val="20"/>
              </w:rPr>
            </w:pPr>
            <w:r w:rsidRPr="00B24BE2">
              <w:rPr>
                <w:rFonts w:ascii="Arial" w:hAnsi="Arial" w:cs="Arial"/>
                <w:sz w:val="20"/>
                <w:szCs w:val="20"/>
              </w:rPr>
              <w:t xml:space="preserve">Obratovanje pristanišč in pomolov, obratovanje vodnih zapornic in navigacija, vključno z delovanjem obalnih postaj za pomorsko </w:t>
            </w:r>
            <w:r w:rsidRPr="00B24BE2">
              <w:rPr>
                <w:rFonts w:ascii="Arial" w:hAnsi="Arial" w:cs="Arial"/>
                <w:sz w:val="20"/>
                <w:szCs w:val="20"/>
              </w:rPr>
              <w:lastRenderedPageBreak/>
              <w:t>radijsko komunikacijo in opreme ter sistemov za nadzor in upravljanje pomorskega prometa, pilotaža, sidranje, reševanje plovil, obratovanje svetilnikov in drugih objektov za varnost plovbe.</w:t>
            </w:r>
          </w:p>
        </w:tc>
        <w:tc>
          <w:tcPr>
            <w:tcW w:w="1050" w:type="pct"/>
          </w:tcPr>
          <w:p w:rsidR="009D47BD" w:rsidRPr="001E722F" w:rsidRDefault="009D47BD" w:rsidP="009D47BD">
            <w:pPr>
              <w:pStyle w:val="Odstavekseznama"/>
              <w:numPr>
                <w:ilvl w:val="0"/>
                <w:numId w:val="30"/>
              </w:numPr>
              <w:spacing w:line="240" w:lineRule="auto"/>
              <w:jc w:val="both"/>
              <w:rPr>
                <w:rFonts w:cs="Arial"/>
                <w:szCs w:val="20"/>
              </w:rPr>
            </w:pPr>
            <w:r w:rsidRPr="001E722F">
              <w:rPr>
                <w:rFonts w:cs="Arial"/>
                <w:szCs w:val="20"/>
              </w:rPr>
              <w:lastRenderedPageBreak/>
              <w:t xml:space="preserve">Število prepeljanih potnikov na letni ravni presega </w:t>
            </w:r>
            <w:r>
              <w:rPr>
                <w:rFonts w:cs="Arial"/>
                <w:szCs w:val="20"/>
              </w:rPr>
              <w:t>1.000.000</w:t>
            </w:r>
            <w:r w:rsidRPr="001E722F">
              <w:rPr>
                <w:rFonts w:cs="Arial"/>
                <w:szCs w:val="20"/>
              </w:rPr>
              <w:t>; ali</w:t>
            </w:r>
          </w:p>
          <w:p w:rsidR="009D47BD" w:rsidRPr="008517E4" w:rsidRDefault="009D47BD" w:rsidP="009D47BD">
            <w:pPr>
              <w:pStyle w:val="Odstavekseznama"/>
              <w:numPr>
                <w:ilvl w:val="0"/>
                <w:numId w:val="30"/>
              </w:numPr>
              <w:spacing w:line="240" w:lineRule="auto"/>
              <w:jc w:val="both"/>
              <w:rPr>
                <w:rFonts w:cs="Arial"/>
                <w:szCs w:val="20"/>
              </w:rPr>
            </w:pPr>
            <w:r w:rsidRPr="008517E4">
              <w:rPr>
                <w:rFonts w:cs="Arial"/>
                <w:szCs w:val="20"/>
              </w:rPr>
              <w:t xml:space="preserve">količina </w:t>
            </w:r>
            <w:r>
              <w:rPr>
                <w:rFonts w:cs="Arial"/>
                <w:szCs w:val="20"/>
              </w:rPr>
              <w:t>oskrbljenih</w:t>
            </w:r>
            <w:r w:rsidRPr="008517E4">
              <w:rPr>
                <w:rFonts w:cs="Arial"/>
                <w:szCs w:val="20"/>
              </w:rPr>
              <w:t xml:space="preserve"> ton tovora na letni ravni presega</w:t>
            </w:r>
            <w:r>
              <w:rPr>
                <w:rFonts w:cs="Arial"/>
                <w:szCs w:val="20"/>
              </w:rPr>
              <w:t xml:space="preserve"> 10.000.000</w:t>
            </w:r>
            <w:r w:rsidRPr="008517E4">
              <w:rPr>
                <w:rFonts w:cs="Arial"/>
                <w:szCs w:val="20"/>
              </w:rPr>
              <w:t xml:space="preserve"> ton.</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tcPr>
          <w:p w:rsidR="009D47BD" w:rsidRPr="00B24BE2" w:rsidRDefault="009D47BD" w:rsidP="008B2A83">
            <w:pPr>
              <w:rPr>
                <w:rFonts w:ascii="Arial" w:hAnsi="Arial" w:cs="Arial"/>
                <w:sz w:val="20"/>
                <w:szCs w:val="20"/>
              </w:rPr>
            </w:pPr>
            <w:r w:rsidRPr="00B24BE2">
              <w:rPr>
                <w:rFonts w:ascii="Arial" w:hAnsi="Arial" w:cs="Arial"/>
                <w:sz w:val="20"/>
                <w:szCs w:val="20"/>
              </w:rPr>
              <w:t>Cestni promet</w:t>
            </w: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52.210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Spremljajoče storitvene dejavnosti v kopenskem prometu</w:t>
            </w:r>
          </w:p>
        </w:tc>
        <w:tc>
          <w:tcPr>
            <w:tcW w:w="876" w:type="pct"/>
          </w:tcPr>
          <w:p w:rsidR="009D47BD" w:rsidRPr="00B24BE2" w:rsidRDefault="009D47BD" w:rsidP="008B2A83">
            <w:pPr>
              <w:jc w:val="both"/>
              <w:rPr>
                <w:rFonts w:ascii="Arial" w:hAnsi="Arial" w:cs="Arial"/>
                <w:sz w:val="20"/>
                <w:szCs w:val="20"/>
              </w:rPr>
            </w:pPr>
            <w:r w:rsidRPr="00B24BE2">
              <w:rPr>
                <w:rFonts w:ascii="Arial" w:hAnsi="Arial" w:cs="Arial"/>
                <w:sz w:val="20"/>
                <w:szCs w:val="20"/>
              </w:rPr>
              <w:t>Obratovanje cestne infrastrukture, cestninskih postaj, mostov in tunelov za avtoceste in hitre ceste.</w:t>
            </w: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 xml:space="preserve">Da, brez izjeme za storitev obratovanja </w:t>
            </w:r>
            <w:r w:rsidRPr="00781D0F">
              <w:rPr>
                <w:rFonts w:ascii="Arial" w:hAnsi="Arial" w:cs="Arial"/>
                <w:sz w:val="20"/>
                <w:szCs w:val="20"/>
              </w:rPr>
              <w:t>cestne infrastrukture, cestninskih postaj, mostov in tunelov za avtoceste in hitre ceste</w:t>
            </w:r>
            <w:r>
              <w:rPr>
                <w:rFonts w:ascii="Arial" w:hAnsi="Arial" w:cs="Arial"/>
                <w:sz w:val="20"/>
                <w:szCs w:val="20"/>
              </w:rPr>
              <w:t>.</w:t>
            </w:r>
          </w:p>
        </w:tc>
      </w:tr>
      <w:tr w:rsidR="009D47BD" w:rsidRPr="00B24BE2" w:rsidTr="008B2A83">
        <w:tc>
          <w:tcPr>
            <w:tcW w:w="811" w:type="pct"/>
            <w:vMerge w:val="restart"/>
            <w:shd w:val="clear" w:color="auto" w:fill="EDEDED" w:themeFill="accent3" w:themeFillTint="33"/>
          </w:tcPr>
          <w:p w:rsidR="009D47BD" w:rsidRPr="00B24BE2" w:rsidRDefault="009D47BD" w:rsidP="008B2A83">
            <w:pPr>
              <w:rPr>
                <w:rFonts w:ascii="Arial" w:hAnsi="Arial" w:cs="Arial"/>
                <w:b/>
                <w:sz w:val="20"/>
                <w:szCs w:val="20"/>
              </w:rPr>
            </w:pPr>
            <w:r w:rsidRPr="00B24BE2">
              <w:rPr>
                <w:rFonts w:ascii="Arial" w:hAnsi="Arial" w:cs="Arial"/>
                <w:b/>
                <w:sz w:val="20"/>
                <w:szCs w:val="20"/>
              </w:rPr>
              <w:t>Bančništvo</w:t>
            </w:r>
          </w:p>
        </w:tc>
        <w:tc>
          <w:tcPr>
            <w:tcW w:w="770" w:type="pct"/>
            <w:vMerge w:val="restart"/>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64.110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Centralno bančništvo</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Delovanje v vlogi bančnika državnega sektorja, vključno glede podračunov za pokojninsko, zdravstveno in socialno zavarovanje (razen storitev iz prvega in drugega odstavka 2. člena te uredbe).</w:t>
            </w:r>
            <w:r w:rsidRPr="00B24BE2" w:rsidDel="006B0570">
              <w:rPr>
                <w:rFonts w:ascii="Arial" w:hAnsi="Arial" w:cs="Arial"/>
                <w:sz w:val="20"/>
                <w:szCs w:val="20"/>
              </w:rPr>
              <w:t xml:space="preserve"> </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Da, brez izjeme.</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64.190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Drugo denarno posredništvo</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Sprejemanje depozitov in dajanje kreditov s strani bank, hranilnic, kreditnih zadrug.</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Sistemsko pomembna banka po Zakonu o bančništvu.</w:t>
            </w:r>
          </w:p>
        </w:tc>
      </w:tr>
      <w:tr w:rsidR="009D47BD" w:rsidRPr="00B24BE2" w:rsidTr="008B2A83">
        <w:tc>
          <w:tcPr>
            <w:tcW w:w="811" w:type="pct"/>
            <w:vMerge/>
            <w:shd w:val="clear" w:color="auto" w:fill="EDEDED" w:themeFill="accent3" w:themeFillTint="33"/>
          </w:tcPr>
          <w:p w:rsidR="009D47BD" w:rsidRPr="00B24BE2" w:rsidRDefault="009D47BD" w:rsidP="008B2A83">
            <w:pPr>
              <w:rPr>
                <w:rFonts w:ascii="Arial" w:hAnsi="Arial" w:cs="Arial"/>
                <w:b/>
                <w:sz w:val="20"/>
                <w:szCs w:val="20"/>
              </w:rPr>
            </w:pPr>
          </w:p>
        </w:tc>
        <w:tc>
          <w:tcPr>
            <w:tcW w:w="770" w:type="pct"/>
            <w:vMerge/>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66.190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Druge pomožne dejavnosti za finančne storitve, razen za zavarovalništvo in pokojninske sklade</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Dejavnost obdelave finančnih transakcij in dejavnost poravnav, vključno s transakcijami s kreditnimi karticami (plačilni promet) (razen storitev iz prvega in drugega odstavka 2. člena te uredbe).</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Vrednost transakcij letno presega 1 milijardo eurov.</w:t>
            </w:r>
          </w:p>
        </w:tc>
      </w:tr>
      <w:tr w:rsidR="009D47BD" w:rsidRPr="00B24BE2" w:rsidTr="008B2A83">
        <w:tc>
          <w:tcPr>
            <w:tcW w:w="811" w:type="pct"/>
            <w:vMerge w:val="restart"/>
          </w:tcPr>
          <w:p w:rsidR="009D47BD" w:rsidRPr="00B24BE2" w:rsidRDefault="009D47BD" w:rsidP="008B2A83">
            <w:pPr>
              <w:rPr>
                <w:rFonts w:ascii="Arial" w:hAnsi="Arial" w:cs="Arial"/>
                <w:b/>
                <w:sz w:val="20"/>
                <w:szCs w:val="20"/>
              </w:rPr>
            </w:pPr>
            <w:r w:rsidRPr="00B24BE2">
              <w:rPr>
                <w:rFonts w:ascii="Arial" w:hAnsi="Arial" w:cs="Arial"/>
                <w:b/>
                <w:sz w:val="20"/>
                <w:szCs w:val="20"/>
              </w:rPr>
              <w:t>Infrastruktura finančnega trga</w:t>
            </w:r>
          </w:p>
        </w:tc>
        <w:tc>
          <w:tcPr>
            <w:tcW w:w="770" w:type="pct"/>
            <w:vMerge w:val="restart"/>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66.110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Upravljanje finančnih trgov</w:t>
            </w:r>
          </w:p>
        </w:tc>
        <w:tc>
          <w:tcPr>
            <w:tcW w:w="876" w:type="pct"/>
          </w:tcPr>
          <w:p w:rsidR="009D47BD" w:rsidRPr="00B24BE2" w:rsidRDefault="009D47BD" w:rsidP="008B2A83">
            <w:pPr>
              <w:rPr>
                <w:rFonts w:ascii="Arial" w:hAnsi="Arial" w:cs="Arial"/>
                <w:sz w:val="20"/>
                <w:szCs w:val="20"/>
              </w:rPr>
            </w:pPr>
            <w:r w:rsidRPr="00B24BE2">
              <w:rPr>
                <w:rFonts w:ascii="Arial" w:hAnsi="Arial" w:cs="Arial"/>
                <w:sz w:val="20"/>
                <w:szCs w:val="20"/>
              </w:rPr>
              <w:t xml:space="preserve">Poslovanje in nadzor finančnih trgov razen </w:t>
            </w:r>
            <w:r w:rsidRPr="00B24BE2">
              <w:rPr>
                <w:rFonts w:ascii="Arial" w:hAnsi="Arial" w:cs="Arial"/>
                <w:sz w:val="20"/>
                <w:szCs w:val="20"/>
              </w:rPr>
              <w:lastRenderedPageBreak/>
              <w:t>tistega, ki ga opravljajo državni organi.</w:t>
            </w:r>
          </w:p>
        </w:tc>
        <w:tc>
          <w:tcPr>
            <w:tcW w:w="1050" w:type="pct"/>
          </w:tcPr>
          <w:p w:rsidR="009D47BD" w:rsidRPr="00B24BE2" w:rsidRDefault="009D47BD" w:rsidP="008B2A83">
            <w:pPr>
              <w:rPr>
                <w:rFonts w:ascii="Arial" w:hAnsi="Arial" w:cs="Arial"/>
                <w:sz w:val="20"/>
                <w:szCs w:val="20"/>
              </w:rPr>
            </w:pPr>
            <w:r>
              <w:rPr>
                <w:rFonts w:ascii="Arial" w:hAnsi="Arial" w:cs="Arial"/>
                <w:sz w:val="20"/>
                <w:szCs w:val="20"/>
              </w:rPr>
              <w:lastRenderedPageBreak/>
              <w:t xml:space="preserve">Tržni delež subjekta, ki zagotavlja bistveno storitev, </w:t>
            </w:r>
            <w:r>
              <w:rPr>
                <w:rFonts w:ascii="Arial" w:hAnsi="Arial" w:cs="Arial"/>
                <w:sz w:val="20"/>
                <w:szCs w:val="20"/>
              </w:rPr>
              <w:lastRenderedPageBreak/>
              <w:t>presega 25 odstotkov na območju Republike Slovenije.</w:t>
            </w:r>
          </w:p>
        </w:tc>
      </w:tr>
      <w:tr w:rsidR="009D47BD" w:rsidRPr="00B24BE2" w:rsidTr="008B2A83">
        <w:tc>
          <w:tcPr>
            <w:tcW w:w="811" w:type="pct"/>
            <w:vMerge/>
          </w:tcPr>
          <w:p w:rsidR="009D47BD" w:rsidRPr="00B24BE2" w:rsidRDefault="009D47BD" w:rsidP="008B2A83">
            <w:pPr>
              <w:rPr>
                <w:rFonts w:ascii="Arial" w:hAnsi="Arial" w:cs="Arial"/>
                <w:b/>
                <w:sz w:val="20"/>
                <w:szCs w:val="20"/>
              </w:rPr>
            </w:pPr>
          </w:p>
        </w:tc>
        <w:tc>
          <w:tcPr>
            <w:tcW w:w="770" w:type="pct"/>
            <w:vMerge/>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66.120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Posredništvo pri trgovanju z vrednostnimi papirji in borznim blagom</w:t>
            </w:r>
          </w:p>
        </w:tc>
        <w:tc>
          <w:tcPr>
            <w:tcW w:w="876" w:type="pct"/>
          </w:tcPr>
          <w:p w:rsidR="009D47BD" w:rsidRPr="00B24BE2" w:rsidRDefault="009D47BD" w:rsidP="008B2A83">
            <w:pPr>
              <w:jc w:val="both"/>
              <w:rPr>
                <w:rFonts w:ascii="Arial" w:hAnsi="Arial" w:cs="Arial"/>
                <w:sz w:val="20"/>
                <w:szCs w:val="20"/>
              </w:rPr>
            </w:pPr>
            <w:r w:rsidRPr="00B24BE2">
              <w:rPr>
                <w:rFonts w:ascii="Arial" w:hAnsi="Arial" w:cs="Arial"/>
                <w:sz w:val="20"/>
                <w:szCs w:val="20"/>
              </w:rPr>
              <w:t>Trgovanje na finančnih trgih za tuj račun in s tem povezane dejavnosti.</w:t>
            </w:r>
          </w:p>
        </w:tc>
        <w:tc>
          <w:tcPr>
            <w:tcW w:w="1050" w:type="pct"/>
          </w:tcPr>
          <w:p w:rsidR="009D47BD" w:rsidRPr="00B24BE2" w:rsidRDefault="009D47BD" w:rsidP="008B2A83">
            <w:pPr>
              <w:jc w:val="both"/>
              <w:rPr>
                <w:rFonts w:ascii="Arial" w:hAnsi="Arial" w:cs="Arial"/>
                <w:sz w:val="20"/>
                <w:szCs w:val="20"/>
              </w:rPr>
            </w:pPr>
            <w:r>
              <w:rPr>
                <w:rFonts w:ascii="Arial" w:hAnsi="Arial" w:cs="Arial"/>
                <w:sz w:val="20"/>
                <w:szCs w:val="20"/>
              </w:rPr>
              <w:t xml:space="preserve">Letni promet presega 100.000.000 milijonov eurov. </w:t>
            </w:r>
          </w:p>
        </w:tc>
      </w:tr>
      <w:tr w:rsidR="009D47BD" w:rsidRPr="00B24BE2" w:rsidTr="008B2A83">
        <w:trPr>
          <w:trHeight w:val="567"/>
        </w:trPr>
        <w:tc>
          <w:tcPr>
            <w:tcW w:w="811" w:type="pct"/>
            <w:shd w:val="clear" w:color="auto" w:fill="EDEDED" w:themeFill="accent3" w:themeFillTint="33"/>
          </w:tcPr>
          <w:p w:rsidR="009D47BD" w:rsidRPr="00B24BE2" w:rsidRDefault="009D47BD" w:rsidP="008B2A83">
            <w:pPr>
              <w:rPr>
                <w:rFonts w:ascii="Arial" w:hAnsi="Arial" w:cs="Arial"/>
                <w:b/>
                <w:sz w:val="20"/>
                <w:szCs w:val="20"/>
              </w:rPr>
            </w:pPr>
            <w:r w:rsidRPr="00B24BE2">
              <w:rPr>
                <w:rFonts w:ascii="Arial" w:hAnsi="Arial" w:cs="Arial"/>
                <w:b/>
                <w:sz w:val="20"/>
                <w:szCs w:val="20"/>
              </w:rPr>
              <w:t>Preskrba s hrano</w:t>
            </w:r>
          </w:p>
        </w:tc>
        <w:tc>
          <w:tcPr>
            <w:tcW w:w="770" w:type="pct"/>
            <w:shd w:val="clear" w:color="auto" w:fill="EDEDED" w:themeFill="accent3" w:themeFillTint="33"/>
          </w:tcPr>
          <w:p w:rsidR="009D47BD" w:rsidRPr="00B24BE2" w:rsidRDefault="009D47BD" w:rsidP="008B2A83">
            <w:pPr>
              <w:rPr>
                <w:rFonts w:ascii="Arial" w:hAnsi="Arial" w:cs="Arial"/>
                <w:sz w:val="20"/>
                <w:szCs w:val="20"/>
              </w:rPr>
            </w:pPr>
          </w:p>
        </w:tc>
        <w:tc>
          <w:tcPr>
            <w:tcW w:w="451"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52.100</w:t>
            </w:r>
          </w:p>
        </w:tc>
        <w:tc>
          <w:tcPr>
            <w:tcW w:w="1042" w:type="pct"/>
            <w:shd w:val="clear" w:color="auto" w:fill="EDEDED" w:themeFill="accent3" w:themeFillTint="33"/>
          </w:tcPr>
          <w:p w:rsidR="009D47BD" w:rsidRPr="00B24BE2" w:rsidRDefault="009D47BD" w:rsidP="008B2A83">
            <w:pPr>
              <w:rPr>
                <w:rFonts w:ascii="Arial" w:hAnsi="Arial" w:cs="Arial"/>
                <w:sz w:val="20"/>
                <w:szCs w:val="20"/>
              </w:rPr>
            </w:pPr>
            <w:r w:rsidRPr="00B24BE2">
              <w:rPr>
                <w:rFonts w:ascii="Arial" w:hAnsi="Arial" w:cs="Arial"/>
                <w:sz w:val="20"/>
                <w:szCs w:val="20"/>
              </w:rPr>
              <w:t>Skladiščenje</w:t>
            </w:r>
          </w:p>
        </w:tc>
        <w:tc>
          <w:tcPr>
            <w:tcW w:w="876" w:type="pct"/>
            <w:shd w:val="clear" w:color="auto" w:fill="EDEDED" w:themeFill="accent3" w:themeFillTint="33"/>
          </w:tcPr>
          <w:p w:rsidR="009D47BD" w:rsidRPr="00B24BE2" w:rsidRDefault="009D47BD" w:rsidP="008B2A83">
            <w:pPr>
              <w:jc w:val="both"/>
              <w:rPr>
                <w:rFonts w:ascii="Arial" w:hAnsi="Arial" w:cs="Arial"/>
                <w:sz w:val="20"/>
                <w:szCs w:val="20"/>
              </w:rPr>
            </w:pPr>
            <w:r w:rsidRPr="00B24BE2">
              <w:rPr>
                <w:rFonts w:ascii="Arial" w:hAnsi="Arial" w:cs="Arial"/>
                <w:sz w:val="20"/>
                <w:szCs w:val="20"/>
              </w:rPr>
              <w:t>Obratovanje skladišč za osnovne prehrambne proizvode.</w:t>
            </w:r>
          </w:p>
        </w:tc>
        <w:tc>
          <w:tcPr>
            <w:tcW w:w="1050" w:type="pct"/>
            <w:shd w:val="clear" w:color="auto" w:fill="EDEDED" w:themeFill="accent3" w:themeFillTint="33"/>
          </w:tcPr>
          <w:p w:rsidR="009D47BD" w:rsidRPr="00B24BE2" w:rsidRDefault="009D47BD" w:rsidP="008B2A83">
            <w:pPr>
              <w:jc w:val="both"/>
              <w:rPr>
                <w:rFonts w:ascii="Arial" w:hAnsi="Arial" w:cs="Arial"/>
                <w:sz w:val="20"/>
                <w:szCs w:val="20"/>
              </w:rPr>
            </w:pPr>
            <w:r>
              <w:rPr>
                <w:rFonts w:ascii="Arial" w:hAnsi="Arial" w:cs="Arial"/>
                <w:sz w:val="20"/>
                <w:szCs w:val="20"/>
              </w:rPr>
              <w:t xml:space="preserve">Skupna kapaciteta skladišča za </w:t>
            </w:r>
            <w:r w:rsidR="006E594C">
              <w:rPr>
                <w:rFonts w:ascii="Arial" w:hAnsi="Arial" w:cs="Arial"/>
                <w:sz w:val="20"/>
                <w:szCs w:val="20"/>
              </w:rPr>
              <w:t>prehrambne</w:t>
            </w:r>
            <w:r>
              <w:rPr>
                <w:rFonts w:ascii="Arial" w:hAnsi="Arial" w:cs="Arial"/>
                <w:sz w:val="20"/>
                <w:szCs w:val="20"/>
              </w:rPr>
              <w:t xml:space="preserve"> izdelke presega 50.000 m</w:t>
            </w:r>
            <w:r>
              <w:rPr>
                <w:rFonts w:ascii="Arial" w:hAnsi="Arial" w:cs="Arial"/>
                <w:sz w:val="20"/>
                <w:szCs w:val="20"/>
                <w:vertAlign w:val="superscript"/>
              </w:rPr>
              <w:t>3</w:t>
            </w:r>
            <w:r>
              <w:rPr>
                <w:rFonts w:ascii="Arial" w:hAnsi="Arial" w:cs="Arial"/>
                <w:sz w:val="20"/>
                <w:szCs w:val="20"/>
              </w:rPr>
              <w:t>.</w:t>
            </w:r>
          </w:p>
        </w:tc>
      </w:tr>
      <w:tr w:rsidR="009D47BD" w:rsidRPr="00B24BE2" w:rsidTr="008B2A83">
        <w:trPr>
          <w:trHeight w:val="258"/>
        </w:trPr>
        <w:tc>
          <w:tcPr>
            <w:tcW w:w="811" w:type="pct"/>
          </w:tcPr>
          <w:p w:rsidR="009D47BD" w:rsidRPr="00B24BE2" w:rsidRDefault="009D47BD" w:rsidP="008B2A83">
            <w:pPr>
              <w:rPr>
                <w:rFonts w:ascii="Arial" w:hAnsi="Arial" w:cs="Arial"/>
                <w:b/>
                <w:sz w:val="20"/>
                <w:szCs w:val="20"/>
              </w:rPr>
            </w:pPr>
            <w:r w:rsidRPr="00B24BE2">
              <w:rPr>
                <w:rFonts w:ascii="Arial" w:hAnsi="Arial" w:cs="Arial"/>
                <w:b/>
                <w:sz w:val="20"/>
                <w:szCs w:val="20"/>
              </w:rPr>
              <w:t>Varstvo okolja</w:t>
            </w:r>
          </w:p>
        </w:tc>
        <w:tc>
          <w:tcPr>
            <w:tcW w:w="770" w:type="pct"/>
          </w:tcPr>
          <w:p w:rsidR="009D47BD" w:rsidRPr="00B24BE2" w:rsidRDefault="009D47BD" w:rsidP="008B2A83">
            <w:pPr>
              <w:rPr>
                <w:rFonts w:ascii="Arial" w:hAnsi="Arial" w:cs="Arial"/>
                <w:sz w:val="20"/>
                <w:szCs w:val="20"/>
              </w:rPr>
            </w:pPr>
          </w:p>
        </w:tc>
        <w:tc>
          <w:tcPr>
            <w:tcW w:w="451" w:type="pct"/>
          </w:tcPr>
          <w:p w:rsidR="009D47BD" w:rsidRPr="00B24BE2" w:rsidRDefault="009D47BD" w:rsidP="008B2A83">
            <w:pPr>
              <w:rPr>
                <w:rFonts w:ascii="Arial" w:hAnsi="Arial" w:cs="Arial"/>
                <w:sz w:val="20"/>
                <w:szCs w:val="20"/>
              </w:rPr>
            </w:pPr>
            <w:r w:rsidRPr="00B24BE2">
              <w:rPr>
                <w:rFonts w:ascii="Arial" w:hAnsi="Arial" w:cs="Arial"/>
                <w:sz w:val="20"/>
                <w:szCs w:val="20"/>
              </w:rPr>
              <w:t>38.220</w:t>
            </w:r>
          </w:p>
        </w:tc>
        <w:tc>
          <w:tcPr>
            <w:tcW w:w="1042" w:type="pct"/>
          </w:tcPr>
          <w:p w:rsidR="009D47BD" w:rsidRPr="00B24BE2" w:rsidRDefault="009D47BD" w:rsidP="008B2A83">
            <w:pPr>
              <w:rPr>
                <w:rFonts w:ascii="Arial" w:hAnsi="Arial" w:cs="Arial"/>
                <w:sz w:val="20"/>
                <w:szCs w:val="20"/>
              </w:rPr>
            </w:pPr>
            <w:r w:rsidRPr="00B24BE2">
              <w:rPr>
                <w:rFonts w:ascii="Arial" w:hAnsi="Arial" w:cs="Arial"/>
                <w:sz w:val="20"/>
                <w:szCs w:val="20"/>
              </w:rPr>
              <w:t>Ravnanje z nevarnimi odpadki</w:t>
            </w:r>
          </w:p>
        </w:tc>
        <w:tc>
          <w:tcPr>
            <w:tcW w:w="876" w:type="pct"/>
          </w:tcPr>
          <w:p w:rsidR="009D47BD" w:rsidRPr="00B24BE2" w:rsidRDefault="009D47BD" w:rsidP="008B2A83">
            <w:pPr>
              <w:jc w:val="both"/>
              <w:rPr>
                <w:rFonts w:ascii="Arial" w:hAnsi="Arial" w:cs="Arial"/>
                <w:b/>
                <w:sz w:val="20"/>
                <w:szCs w:val="20"/>
              </w:rPr>
            </w:pPr>
          </w:p>
        </w:tc>
        <w:tc>
          <w:tcPr>
            <w:tcW w:w="1050" w:type="pct"/>
          </w:tcPr>
          <w:p w:rsidR="009D47BD" w:rsidRPr="00BC53C9" w:rsidRDefault="009D47BD" w:rsidP="009D47BD">
            <w:pPr>
              <w:pStyle w:val="Odstavekseznama"/>
              <w:numPr>
                <w:ilvl w:val="0"/>
                <w:numId w:val="31"/>
              </w:numPr>
              <w:spacing w:line="240" w:lineRule="auto"/>
              <w:jc w:val="both"/>
              <w:rPr>
                <w:rFonts w:cs="Arial"/>
                <w:b/>
                <w:szCs w:val="20"/>
              </w:rPr>
            </w:pPr>
            <w:r w:rsidRPr="00BC53C9">
              <w:rPr>
                <w:rFonts w:cs="Arial"/>
                <w:szCs w:val="20"/>
              </w:rPr>
              <w:t>Brez izjeme za radioaktivne odpadke</w:t>
            </w:r>
            <w:r>
              <w:rPr>
                <w:rFonts w:cs="Arial"/>
                <w:szCs w:val="20"/>
              </w:rPr>
              <w:t>; ali</w:t>
            </w:r>
          </w:p>
          <w:p w:rsidR="009D47BD" w:rsidRPr="00BC53C9" w:rsidRDefault="009D47BD" w:rsidP="009D47BD">
            <w:pPr>
              <w:pStyle w:val="Odstavekseznama"/>
              <w:numPr>
                <w:ilvl w:val="0"/>
                <w:numId w:val="31"/>
              </w:numPr>
              <w:spacing w:line="240" w:lineRule="auto"/>
              <w:jc w:val="both"/>
              <w:rPr>
                <w:rFonts w:cs="Arial"/>
                <w:b/>
                <w:szCs w:val="20"/>
              </w:rPr>
            </w:pPr>
            <w:r>
              <w:rPr>
                <w:rFonts w:cs="Arial"/>
                <w:szCs w:val="20"/>
              </w:rPr>
              <w:t>količina nevarnih odpadkov presega 10.000 ton.</w:t>
            </w:r>
          </w:p>
        </w:tc>
      </w:tr>
    </w:tbl>
    <w:p w:rsidR="00D053B8" w:rsidRPr="00B24BE2" w:rsidRDefault="00D053B8" w:rsidP="00BC6D81">
      <w:pPr>
        <w:pStyle w:val="Bodytext20"/>
        <w:shd w:val="clear" w:color="auto" w:fill="auto"/>
        <w:spacing w:before="0" w:after="0" w:line="240" w:lineRule="auto"/>
        <w:ind w:firstLine="0"/>
        <w:rPr>
          <w:rFonts w:ascii="Arial" w:hAnsi="Arial" w:cs="Arial"/>
          <w:sz w:val="20"/>
          <w:szCs w:val="20"/>
        </w:rPr>
        <w:sectPr w:rsidR="00D053B8" w:rsidRPr="00B24BE2" w:rsidSect="008B2A83">
          <w:footerReference w:type="default" r:id="rId12"/>
          <w:pgSz w:w="16840" w:h="11900" w:orient="landscape" w:code="9"/>
          <w:pgMar w:top="1418" w:right="1418" w:bottom="1418" w:left="1418" w:header="0" w:footer="851" w:gutter="0"/>
          <w:pgNumType w:start="1"/>
          <w:cols w:space="720"/>
          <w:noEndnote/>
          <w:docGrid w:linePitch="360"/>
        </w:sectPr>
      </w:pPr>
    </w:p>
    <w:p w:rsidR="00D053B8" w:rsidRPr="00B24BE2" w:rsidRDefault="005E2613" w:rsidP="00D053B8">
      <w:pPr>
        <w:tabs>
          <w:tab w:val="left" w:pos="708"/>
        </w:tabs>
        <w:jc w:val="both"/>
        <w:rPr>
          <w:rFonts w:ascii="Arial" w:hAnsi="Arial" w:cs="Arial"/>
          <w:b/>
          <w:sz w:val="20"/>
          <w:szCs w:val="20"/>
        </w:rPr>
      </w:pPr>
      <w:r>
        <w:rPr>
          <w:rFonts w:ascii="Arial" w:hAnsi="Arial" w:cs="Arial"/>
          <w:b/>
          <w:sz w:val="20"/>
          <w:szCs w:val="20"/>
        </w:rPr>
        <w:lastRenderedPageBreak/>
        <w:t>OBRAZLOŽITEV</w:t>
      </w:r>
    </w:p>
    <w:bookmarkEnd w:id="1"/>
    <w:p w:rsidR="00646638" w:rsidRPr="000E49F4" w:rsidRDefault="00646638" w:rsidP="00646638">
      <w:pPr>
        <w:tabs>
          <w:tab w:val="left" w:pos="708"/>
        </w:tabs>
        <w:jc w:val="both"/>
        <w:rPr>
          <w:rFonts w:ascii="Arial" w:hAnsi="Arial" w:cs="Arial"/>
        </w:rPr>
      </w:pPr>
      <w:r w:rsidRPr="000E49F4">
        <w:rPr>
          <w:rFonts w:ascii="Arial" w:hAnsi="Arial" w:cs="Arial"/>
        </w:rPr>
        <w:t>I. UVOD</w:t>
      </w:r>
    </w:p>
    <w:p w:rsidR="00646638" w:rsidRPr="000E49F4" w:rsidRDefault="00646638" w:rsidP="00646638">
      <w:pPr>
        <w:tabs>
          <w:tab w:val="left" w:pos="708"/>
        </w:tabs>
        <w:ind w:left="720"/>
        <w:jc w:val="both"/>
        <w:rPr>
          <w:rFonts w:ascii="Arial" w:hAnsi="Arial" w:cs="Arial"/>
        </w:rPr>
      </w:pPr>
    </w:p>
    <w:p w:rsidR="00646638" w:rsidRPr="000E49F4" w:rsidRDefault="00646638" w:rsidP="00646638">
      <w:pPr>
        <w:numPr>
          <w:ilvl w:val="0"/>
          <w:numId w:val="21"/>
        </w:numPr>
        <w:tabs>
          <w:tab w:val="clear" w:pos="720"/>
          <w:tab w:val="num" w:pos="-360"/>
        </w:tabs>
        <w:spacing w:after="0" w:line="260" w:lineRule="exact"/>
        <w:ind w:left="360"/>
        <w:jc w:val="both"/>
        <w:rPr>
          <w:rFonts w:ascii="Arial" w:hAnsi="Arial" w:cs="Arial"/>
        </w:rPr>
      </w:pPr>
      <w:r w:rsidRPr="000E49F4">
        <w:rPr>
          <w:rFonts w:ascii="Arial" w:hAnsi="Arial" w:cs="Arial"/>
        </w:rPr>
        <w:t>Pravna podlaga (besedilo, vsebina zakonske določbe, ki je podlaga za izdajo uredbe)</w:t>
      </w:r>
    </w:p>
    <w:p w:rsidR="00646638" w:rsidRPr="000E49F4" w:rsidRDefault="00646638" w:rsidP="00646638">
      <w:pPr>
        <w:spacing w:line="260" w:lineRule="exact"/>
        <w:jc w:val="both"/>
        <w:rPr>
          <w:rFonts w:ascii="Arial" w:hAnsi="Arial" w:cs="Arial"/>
        </w:rPr>
      </w:pPr>
    </w:p>
    <w:p w:rsidR="00646638" w:rsidRPr="000E49F4" w:rsidRDefault="00646638" w:rsidP="00646638">
      <w:pPr>
        <w:spacing w:line="260" w:lineRule="exact"/>
        <w:jc w:val="both"/>
        <w:rPr>
          <w:rFonts w:ascii="Arial" w:hAnsi="Arial" w:cs="Arial"/>
        </w:rPr>
      </w:pPr>
      <w:r>
        <w:rPr>
          <w:rFonts w:ascii="Arial" w:hAnsi="Arial" w:cs="Arial"/>
        </w:rPr>
        <w:t>Predlagana</w:t>
      </w:r>
      <w:r w:rsidRPr="000E49F4">
        <w:rPr>
          <w:rFonts w:ascii="Arial" w:hAnsi="Arial" w:cs="Arial"/>
        </w:rPr>
        <w:t xml:space="preserve"> uredba se izdaja na podlagi prvega odstavka 6. člena in četrtega odstavka 7. člena Zakona o informacijski varnosti (Uradni list RS, št. 30/18; v nadaljnjem besedilu: ZInfV).</w:t>
      </w:r>
    </w:p>
    <w:p w:rsidR="00646638" w:rsidRPr="000E49F4" w:rsidRDefault="00646638" w:rsidP="00646638">
      <w:pPr>
        <w:spacing w:line="260" w:lineRule="exact"/>
        <w:jc w:val="both"/>
        <w:rPr>
          <w:rFonts w:ascii="Arial" w:hAnsi="Arial" w:cs="Arial"/>
        </w:rPr>
      </w:pPr>
      <w:r w:rsidRPr="000E49F4">
        <w:rPr>
          <w:rFonts w:ascii="Arial" w:hAnsi="Arial" w:cs="Arial"/>
        </w:rPr>
        <w:t>Prvi odstavek 6. člena ZInfV določa:</w:t>
      </w:r>
    </w:p>
    <w:p w:rsidR="00646638" w:rsidRPr="000E49F4" w:rsidRDefault="00646638" w:rsidP="00646638">
      <w:pPr>
        <w:spacing w:line="260" w:lineRule="exact"/>
        <w:jc w:val="both"/>
        <w:rPr>
          <w:rFonts w:ascii="Arial" w:hAnsi="Arial" w:cs="Arial"/>
        </w:rPr>
      </w:pPr>
      <w:r w:rsidRPr="000E49F4">
        <w:rPr>
          <w:rFonts w:ascii="Arial" w:hAnsi="Arial" w:cs="Arial"/>
        </w:rPr>
        <w:t>»(1) Za namen določitve izvajalcev bistvenih storitev Vlada Republike Slovenije (v nadaljnjem besedilu: vlada) določi seznam bistvenih storitev iz predpisa, ki ureja standardno klasifikacijo dejavnosti.«.</w:t>
      </w:r>
    </w:p>
    <w:p w:rsidR="00646638" w:rsidRPr="000E49F4" w:rsidRDefault="00646638" w:rsidP="00646638">
      <w:pPr>
        <w:spacing w:line="260" w:lineRule="exact"/>
        <w:jc w:val="both"/>
        <w:rPr>
          <w:rFonts w:ascii="Arial" w:hAnsi="Arial" w:cs="Arial"/>
        </w:rPr>
      </w:pPr>
      <w:r w:rsidRPr="000E49F4">
        <w:rPr>
          <w:rFonts w:ascii="Arial" w:hAnsi="Arial" w:cs="Arial"/>
        </w:rPr>
        <w:t>Četrti odstavek 7. člena ZInfV določa:</w:t>
      </w:r>
    </w:p>
    <w:p w:rsidR="00646638" w:rsidRDefault="00646638" w:rsidP="00646638">
      <w:pPr>
        <w:spacing w:line="260" w:lineRule="exact"/>
        <w:jc w:val="both"/>
        <w:rPr>
          <w:rFonts w:ascii="Arial" w:hAnsi="Arial" w:cs="Arial"/>
        </w:rPr>
      </w:pPr>
      <w:r w:rsidRPr="000E49F4">
        <w:rPr>
          <w:rFonts w:ascii="Arial" w:hAnsi="Arial" w:cs="Arial"/>
        </w:rPr>
        <w:t>»(4) Metodologijo za določitev izvajalcev bistvenih stor</w:t>
      </w:r>
      <w:r w:rsidR="00BF45FB">
        <w:rPr>
          <w:rFonts w:ascii="Arial" w:hAnsi="Arial" w:cs="Arial"/>
        </w:rPr>
        <w:t>itev podrobneje določi vlada.«.</w:t>
      </w:r>
    </w:p>
    <w:p w:rsidR="00BF45FB" w:rsidRPr="000E49F4" w:rsidRDefault="00BF45FB" w:rsidP="00646638">
      <w:pPr>
        <w:spacing w:line="260" w:lineRule="exact"/>
        <w:jc w:val="both"/>
        <w:rPr>
          <w:rFonts w:ascii="Arial" w:hAnsi="Arial" w:cs="Arial"/>
        </w:rPr>
      </w:pPr>
    </w:p>
    <w:p w:rsidR="00646638" w:rsidRPr="000E49F4" w:rsidRDefault="00646638" w:rsidP="00646638">
      <w:pPr>
        <w:numPr>
          <w:ilvl w:val="0"/>
          <w:numId w:val="21"/>
        </w:numPr>
        <w:tabs>
          <w:tab w:val="clear" w:pos="720"/>
          <w:tab w:val="num" w:pos="-360"/>
        </w:tabs>
        <w:spacing w:after="0" w:line="260" w:lineRule="exact"/>
        <w:ind w:left="360"/>
        <w:jc w:val="both"/>
        <w:rPr>
          <w:rFonts w:ascii="Arial" w:hAnsi="Arial" w:cs="Arial"/>
        </w:rPr>
      </w:pPr>
      <w:r w:rsidRPr="000E49F4">
        <w:rPr>
          <w:rFonts w:ascii="Arial" w:hAnsi="Arial" w:cs="Arial"/>
        </w:rPr>
        <w:t>Rok za izdajo uredbe, določen z zakonom</w:t>
      </w:r>
    </w:p>
    <w:p w:rsidR="00646638" w:rsidRPr="000E49F4" w:rsidRDefault="00646638" w:rsidP="00646638">
      <w:pPr>
        <w:jc w:val="both"/>
        <w:rPr>
          <w:rFonts w:ascii="Arial" w:hAnsi="Arial" w:cs="Arial"/>
        </w:rPr>
      </w:pPr>
    </w:p>
    <w:p w:rsidR="00C13413" w:rsidRDefault="00646638" w:rsidP="00C13413">
      <w:pPr>
        <w:jc w:val="both"/>
        <w:rPr>
          <w:rFonts w:ascii="Arial" w:hAnsi="Arial" w:cs="Arial"/>
        </w:rPr>
      </w:pPr>
      <w:r w:rsidRPr="000E49F4">
        <w:rPr>
          <w:rFonts w:ascii="Arial" w:hAnsi="Arial" w:cs="Arial"/>
        </w:rPr>
        <w:t>Drugi odstavek 42. člena ZInfV določa, da se podzakonska predpisa iz prvega odstavka 6. člena in četrtega odstavka 7. člena zakona sprejmeta v šestih mesecih od uveljavitve zakona.</w:t>
      </w:r>
    </w:p>
    <w:p w:rsidR="00B51570" w:rsidRPr="000E49F4" w:rsidRDefault="00B51570" w:rsidP="00C13413">
      <w:pPr>
        <w:jc w:val="both"/>
        <w:rPr>
          <w:rFonts w:ascii="Arial" w:hAnsi="Arial" w:cs="Arial"/>
        </w:rPr>
      </w:pPr>
    </w:p>
    <w:p w:rsidR="00646638" w:rsidRPr="000E49F4" w:rsidRDefault="00646638" w:rsidP="00646638">
      <w:pPr>
        <w:numPr>
          <w:ilvl w:val="0"/>
          <w:numId w:val="21"/>
        </w:numPr>
        <w:tabs>
          <w:tab w:val="clear" w:pos="720"/>
          <w:tab w:val="num" w:pos="0"/>
        </w:tabs>
        <w:spacing w:after="0" w:line="260" w:lineRule="exact"/>
        <w:ind w:left="360"/>
        <w:jc w:val="both"/>
        <w:rPr>
          <w:rFonts w:ascii="Arial" w:hAnsi="Arial" w:cs="Arial"/>
        </w:rPr>
      </w:pPr>
      <w:r w:rsidRPr="000E49F4">
        <w:rPr>
          <w:rFonts w:ascii="Arial" w:hAnsi="Arial" w:cs="Arial"/>
        </w:rPr>
        <w:t>Splošna obrazložitev predloga uredbe, če je potrebna</w:t>
      </w:r>
    </w:p>
    <w:p w:rsidR="00646638" w:rsidRPr="000E49F4" w:rsidRDefault="00646638" w:rsidP="00646638">
      <w:pPr>
        <w:spacing w:line="260" w:lineRule="exact"/>
        <w:jc w:val="both"/>
        <w:rPr>
          <w:rFonts w:ascii="Arial" w:hAnsi="Arial" w:cs="Arial"/>
        </w:rPr>
      </w:pPr>
    </w:p>
    <w:p w:rsidR="00646638" w:rsidRPr="000E49F4" w:rsidRDefault="00646638" w:rsidP="00646638">
      <w:pPr>
        <w:spacing w:line="260" w:lineRule="exact"/>
        <w:jc w:val="both"/>
        <w:rPr>
          <w:rFonts w:ascii="Arial" w:hAnsi="Arial" w:cs="Arial"/>
        </w:rPr>
      </w:pPr>
      <w:r w:rsidRPr="000E49F4">
        <w:rPr>
          <w:rFonts w:ascii="Arial" w:hAnsi="Arial" w:cs="Arial"/>
        </w:rPr>
        <w:t xml:space="preserve">Naraščajoči trend obsega kibernetskih incidentov in velika odvisnost gospodarstva in celotne družbe od neprekinjenega delovanja omrežij in informacijskih sistemov zahtevajo celovito ureditev in tudi okrepitev področja zagotavljanja informacijske varnosti, upoštevaje zaveze iz sprejetih strateških domačih in mednarodnih dokumentov, in sicer Resolucije o strategiji nacionalne varnosti RS, Strategije kibernetske varnosti Evropske unije »Odprt, varen in zavarovan kibernetski prostor«, nacionalne Strategije kibernetske varnosti in še posebej Direktive (EU) 2016/1148/ES Evropskega parlamenta in Sveta z dne 6. julija 2016 o ukrepih za visoko skupno raven varnosti omrežij in informacijskih sistemov v Uniji (UL L št. 194 z dne 19. 7. 2016, str. 1; v nadaljnjem besedilu: Direktiva 2016/1148/ES). </w:t>
      </w:r>
    </w:p>
    <w:p w:rsidR="00646638" w:rsidRPr="000E49F4" w:rsidRDefault="00646638" w:rsidP="00646638">
      <w:pPr>
        <w:spacing w:line="260" w:lineRule="exact"/>
        <w:jc w:val="both"/>
        <w:rPr>
          <w:rFonts w:ascii="Arial" w:hAnsi="Arial" w:cs="Arial"/>
        </w:rPr>
      </w:pPr>
      <w:r w:rsidRPr="000E49F4">
        <w:rPr>
          <w:rFonts w:ascii="Arial" w:hAnsi="Arial" w:cs="Arial"/>
        </w:rPr>
        <w:t>ZInfV ureja področje informacijske varnosti in ukrepe za doseganje visoke ravni varnosti omrežij in informacijskih sistemov v Republiki Sloveniji</w:t>
      </w:r>
      <w:r>
        <w:rPr>
          <w:rFonts w:ascii="Arial" w:hAnsi="Arial" w:cs="Arial"/>
        </w:rPr>
        <w:t xml:space="preserve"> (</w:t>
      </w:r>
      <w:r w:rsidRPr="001410D0">
        <w:rPr>
          <w:rFonts w:ascii="Arial" w:hAnsi="Arial" w:cs="Arial"/>
        </w:rPr>
        <w:t xml:space="preserve">v nadaljnjem besedilu: </w:t>
      </w:r>
      <w:r>
        <w:rPr>
          <w:rFonts w:ascii="Arial" w:hAnsi="Arial" w:cs="Arial"/>
        </w:rPr>
        <w:t>RS)</w:t>
      </w:r>
      <w:r w:rsidRPr="000E49F4">
        <w:rPr>
          <w:rFonts w:ascii="Arial" w:hAnsi="Arial" w:cs="Arial"/>
        </w:rPr>
        <w:t>, ki so bistvenega pomena za nemoteno delovanje države v vseh varnostnih razmerah ter zagotavljajo bistvene storitve za ohranitev ključnih družbenih in gospodarskih dejavnosti v RS. ZInfV predvideva, da so med zavezanci po tem zakonu tudi izvajalci bistvenih storitev (v nadaljnjem besedilu: IBS) in določa osnovna merila za njihovo določitev s strani Vlade Republike Slovenije (v nadaljnjem besedilu: Vlada RS). Vlada RS v prvem koraku z uredbo najprej določi seznam bistvenih storitev ter podrobnejšo metodologijo za določitev posamezn</w:t>
      </w:r>
      <w:r>
        <w:rPr>
          <w:rFonts w:ascii="Arial" w:hAnsi="Arial" w:cs="Arial"/>
        </w:rPr>
        <w:t>ega IBS</w:t>
      </w:r>
      <w:r w:rsidRPr="000E49F4">
        <w:rPr>
          <w:rFonts w:ascii="Arial" w:hAnsi="Arial" w:cs="Arial"/>
        </w:rPr>
        <w:t xml:space="preserve">, kar bo Vlada RS storila v naslednjem koraku s konkretno določitvijo posameznega IBS. </w:t>
      </w:r>
    </w:p>
    <w:p w:rsidR="00646638" w:rsidRPr="000E49F4" w:rsidRDefault="00646638" w:rsidP="00646638">
      <w:pPr>
        <w:spacing w:line="260" w:lineRule="exact"/>
        <w:jc w:val="both"/>
        <w:rPr>
          <w:rFonts w:ascii="Arial" w:hAnsi="Arial" w:cs="Arial"/>
        </w:rPr>
      </w:pPr>
    </w:p>
    <w:p w:rsidR="00646638" w:rsidRPr="000E49F4" w:rsidRDefault="00F40A13" w:rsidP="00646638">
      <w:pPr>
        <w:spacing w:line="260" w:lineRule="exact"/>
        <w:jc w:val="both"/>
        <w:rPr>
          <w:rFonts w:ascii="Arial" w:hAnsi="Arial" w:cs="Arial"/>
        </w:rPr>
      </w:pPr>
      <w:r>
        <w:rPr>
          <w:rFonts w:ascii="Arial" w:hAnsi="Arial" w:cs="Arial"/>
        </w:rPr>
        <w:lastRenderedPageBreak/>
        <w:t>S predlagano</w:t>
      </w:r>
      <w:r w:rsidR="00646638" w:rsidRPr="000E49F4">
        <w:rPr>
          <w:rFonts w:ascii="Arial" w:hAnsi="Arial" w:cs="Arial"/>
        </w:rPr>
        <w:t xml:space="preserve"> uredbo Vlada RS torej določa: </w:t>
      </w:r>
    </w:p>
    <w:p w:rsidR="00646638" w:rsidRPr="00C13413" w:rsidRDefault="00646638" w:rsidP="00C13413">
      <w:pPr>
        <w:pStyle w:val="Odstavekseznama"/>
        <w:numPr>
          <w:ilvl w:val="0"/>
          <w:numId w:val="12"/>
        </w:numPr>
        <w:jc w:val="both"/>
        <w:rPr>
          <w:rFonts w:cs="Arial"/>
          <w:sz w:val="22"/>
          <w:szCs w:val="22"/>
        </w:rPr>
      </w:pPr>
      <w:r w:rsidRPr="00C13413">
        <w:rPr>
          <w:rFonts w:cs="Arial"/>
          <w:sz w:val="22"/>
          <w:szCs w:val="22"/>
        </w:rPr>
        <w:t xml:space="preserve">seznam bistvenih storitev (skladno s prvim odstavkom 6. člena ZInfV) in </w:t>
      </w:r>
    </w:p>
    <w:p w:rsidR="00646638" w:rsidRPr="00C13413" w:rsidRDefault="00646638" w:rsidP="00C13413">
      <w:pPr>
        <w:pStyle w:val="Odstavekseznama"/>
        <w:numPr>
          <w:ilvl w:val="0"/>
          <w:numId w:val="12"/>
        </w:numPr>
        <w:jc w:val="both"/>
        <w:rPr>
          <w:rFonts w:cs="Arial"/>
          <w:sz w:val="22"/>
          <w:szCs w:val="22"/>
        </w:rPr>
      </w:pPr>
      <w:r w:rsidRPr="00C13413">
        <w:rPr>
          <w:rFonts w:cs="Arial"/>
          <w:sz w:val="22"/>
          <w:szCs w:val="22"/>
        </w:rPr>
        <w:t xml:space="preserve">podrobnejšo metodologijo za določitev IBS (skladno s četrtim odstavkom 7. člena ZInfV), vključno z vrednotenjem medpodročnih in področnih dejavnikov. </w:t>
      </w:r>
    </w:p>
    <w:p w:rsidR="00C13413" w:rsidRPr="00C13413" w:rsidRDefault="00C13413" w:rsidP="00C13413">
      <w:pPr>
        <w:pStyle w:val="Odstavekseznama"/>
        <w:jc w:val="both"/>
        <w:rPr>
          <w:rFonts w:cs="Arial"/>
        </w:rPr>
      </w:pPr>
    </w:p>
    <w:p w:rsidR="00646638" w:rsidRPr="000E49F4" w:rsidRDefault="00646638" w:rsidP="00646638">
      <w:pPr>
        <w:spacing w:line="260" w:lineRule="exact"/>
        <w:jc w:val="both"/>
        <w:rPr>
          <w:rFonts w:ascii="Arial" w:hAnsi="Arial" w:cs="Arial"/>
        </w:rPr>
      </w:pPr>
      <w:r w:rsidRPr="000E49F4">
        <w:rPr>
          <w:rFonts w:ascii="Arial" w:hAnsi="Arial" w:cs="Arial"/>
        </w:rPr>
        <w:t>Pri določanju postopka določitve IBS so bili tako v ZInfV (prvi odstavek 7. člena ZInfV</w:t>
      </w:r>
      <w:r>
        <w:rPr>
          <w:rFonts w:ascii="Arial" w:hAnsi="Arial" w:cs="Arial"/>
        </w:rPr>
        <w:t>) kot v predlagani</w:t>
      </w:r>
      <w:r w:rsidRPr="000E49F4">
        <w:rPr>
          <w:rFonts w:ascii="Arial" w:hAnsi="Arial" w:cs="Arial"/>
        </w:rPr>
        <w:t xml:space="preserve"> uredbi upoštevani koraki, kot izhajajo iz Direktive 2016/1148/ES. Iz uvodne izjave št. 20 Direktive 2016/1148/ES</w:t>
      </w:r>
      <w:r w:rsidRPr="000E49F4" w:rsidDel="00BC77B8">
        <w:rPr>
          <w:rFonts w:ascii="Arial" w:hAnsi="Arial" w:cs="Arial"/>
        </w:rPr>
        <w:t xml:space="preserve"> </w:t>
      </w:r>
      <w:r w:rsidRPr="000E49F4">
        <w:rPr>
          <w:rFonts w:ascii="Arial" w:hAnsi="Arial" w:cs="Arial"/>
        </w:rPr>
        <w:t xml:space="preserve">namreč smiselno izhaja, da je pri določanju IBS najprej treba za vsako področje oceniti, katere storitve </w:t>
      </w:r>
      <w:bookmarkStart w:id="4" w:name="_Hlk525734684"/>
      <w:r w:rsidRPr="000E49F4">
        <w:rPr>
          <w:rFonts w:ascii="Arial" w:hAnsi="Arial" w:cs="Arial"/>
        </w:rPr>
        <w:t>štejemo za bistvene za ohranitev ključnih družbenih in gospodarskih dejavnosti, v naslednjem koraku pri določitvi posameznega IBS pa preučiti, ali subjekt zagotavlja storitev, ki je vključena na seznam bistvenih storitev. Glede na uvodno izjavo št. 23 Direktive 2016/1148/ES</w:t>
      </w:r>
      <w:r w:rsidRPr="000E49F4" w:rsidDel="00BC77B8">
        <w:rPr>
          <w:rFonts w:ascii="Arial" w:hAnsi="Arial" w:cs="Arial"/>
        </w:rPr>
        <w:t xml:space="preserve"> </w:t>
      </w:r>
      <w:r w:rsidRPr="000E49F4">
        <w:rPr>
          <w:rFonts w:ascii="Arial" w:hAnsi="Arial" w:cs="Arial"/>
        </w:rPr>
        <w:t>je bilo pri oceni bistvenostih storitev pomembno tudi to, da gre za stori</w:t>
      </w:r>
      <w:r>
        <w:rPr>
          <w:rFonts w:ascii="Arial" w:hAnsi="Arial" w:cs="Arial"/>
        </w:rPr>
        <w:t>tve, ki se v RS</w:t>
      </w:r>
      <w:r w:rsidRPr="000E49F4">
        <w:rPr>
          <w:rFonts w:ascii="Arial" w:hAnsi="Arial" w:cs="Arial"/>
        </w:rPr>
        <w:t xml:space="preserve"> dejansko zagotavljajo (zato nekatere storitve, ki bi glede na Prilogo II Direktive 2016/1148/ES načeloma sodile na seznam bistvenih storitev, niso bil</w:t>
      </w:r>
      <w:r>
        <w:rPr>
          <w:rFonts w:ascii="Arial" w:hAnsi="Arial" w:cs="Arial"/>
        </w:rPr>
        <w:t>e vključene v predlagano</w:t>
      </w:r>
      <w:r w:rsidRPr="000E49F4">
        <w:rPr>
          <w:rFonts w:ascii="Arial" w:hAnsi="Arial" w:cs="Arial"/>
        </w:rPr>
        <w:t xml:space="preserve"> uredbo v </w:t>
      </w:r>
      <w:r w:rsidR="00E95510">
        <w:rPr>
          <w:rFonts w:ascii="Arial" w:hAnsi="Arial" w:cs="Arial"/>
        </w:rPr>
        <w:t>njeni prilogi</w:t>
      </w:r>
      <w:r w:rsidRPr="000E49F4">
        <w:rPr>
          <w:rFonts w:ascii="Arial" w:hAnsi="Arial" w:cs="Arial"/>
        </w:rPr>
        <w:t>).</w:t>
      </w:r>
      <w:bookmarkEnd w:id="4"/>
    </w:p>
    <w:p w:rsidR="00646638" w:rsidRPr="000E49F4" w:rsidRDefault="00646638" w:rsidP="00646638">
      <w:pPr>
        <w:spacing w:line="260" w:lineRule="exact"/>
        <w:jc w:val="both"/>
        <w:rPr>
          <w:rFonts w:ascii="Arial" w:hAnsi="Arial" w:cs="Arial"/>
        </w:rPr>
      </w:pPr>
      <w:r w:rsidRPr="000E49F4">
        <w:rPr>
          <w:rFonts w:ascii="Arial" w:hAnsi="Arial" w:cs="Arial"/>
        </w:rPr>
        <w:t>Pri oceni, katere storitve štejemo za bistvene na posameznem področju, je bila kot izhodišče vzeta Priloga</w:t>
      </w:r>
      <w:r>
        <w:rPr>
          <w:rFonts w:ascii="Arial" w:hAnsi="Arial" w:cs="Arial"/>
        </w:rPr>
        <w:t xml:space="preserve"> II Direktive </w:t>
      </w:r>
      <w:r w:rsidRPr="000E49F4">
        <w:rPr>
          <w:rFonts w:ascii="Arial" w:hAnsi="Arial" w:cs="Arial"/>
        </w:rPr>
        <w:t xml:space="preserve">2016/1148/ES, ki predvideva, katere vrste subjekti izvajajo bistvene storitve, poleg tega pa je bila glede na nacionalno ureditev po ZInfV ocena bistvenosti storitev narejena tudi za področji preskrbe s hrano in varstva okolja. </w:t>
      </w:r>
    </w:p>
    <w:p w:rsidR="00CB2953" w:rsidRDefault="00646638" w:rsidP="00646638">
      <w:pPr>
        <w:spacing w:line="260" w:lineRule="exact"/>
        <w:jc w:val="both"/>
        <w:rPr>
          <w:rFonts w:ascii="Arial" w:hAnsi="Arial" w:cs="Arial"/>
        </w:rPr>
      </w:pPr>
      <w:r w:rsidRPr="000E49F4">
        <w:rPr>
          <w:rFonts w:ascii="Arial" w:hAnsi="Arial" w:cs="Arial"/>
        </w:rPr>
        <w:t>Predlog uredbe v nadaljevanju tudi ovrednoti medpodročne in področne dejavnike (ki sicer že izhajajo iz ZInfV), ki vplivajo na ugotovitev, ali bi incident imel pomemben vpliv na zagotavljanje bistvene storitve, kar je eno izmed meril za določitev IBS</w:t>
      </w:r>
      <w:r w:rsidR="00E95510">
        <w:rPr>
          <w:rFonts w:ascii="Arial" w:hAnsi="Arial" w:cs="Arial"/>
        </w:rPr>
        <w:t xml:space="preserve"> na podlagi drugega odstavka 6. člena ZInfV</w:t>
      </w:r>
      <w:r w:rsidRPr="000E49F4">
        <w:rPr>
          <w:rFonts w:ascii="Arial" w:hAnsi="Arial" w:cs="Arial"/>
        </w:rPr>
        <w:t>.</w:t>
      </w:r>
      <w:r w:rsidR="00E95510">
        <w:rPr>
          <w:rFonts w:ascii="Arial" w:hAnsi="Arial" w:cs="Arial"/>
        </w:rPr>
        <w:t xml:space="preserve"> Ob tem pojasnjujemo, da ZInfV v tretjem odstavku 6. člena ne glede na merila oziroma ureditev iz 7. člena tega zakona pozna</w:t>
      </w:r>
      <w:r w:rsidRPr="000E49F4">
        <w:rPr>
          <w:rFonts w:ascii="Arial" w:hAnsi="Arial" w:cs="Arial"/>
        </w:rPr>
        <w:t xml:space="preserve"> </w:t>
      </w:r>
      <w:r w:rsidR="00E95510">
        <w:rPr>
          <w:rFonts w:ascii="Arial" w:hAnsi="Arial" w:cs="Arial"/>
        </w:rPr>
        <w:t>še posebno podlago za določitev IBS, za izvajanje katere ni predvidena uredba, temveč se ti IBS določijo s strani Vlade RS neposredno na podlagi te določbe, seveda ob upoštevanju konteksta ZInfV, ki v 5. členu določa področja delovanja IBS, v 2. členu pa določena področja izrecno izloči iz uporabe ZInfV.</w:t>
      </w:r>
    </w:p>
    <w:p w:rsidR="00CB2953" w:rsidRPr="000E49F4" w:rsidRDefault="00CB2953" w:rsidP="00646638">
      <w:pPr>
        <w:spacing w:line="260" w:lineRule="exact"/>
        <w:jc w:val="both"/>
        <w:rPr>
          <w:rFonts w:ascii="Arial" w:hAnsi="Arial" w:cs="Arial"/>
        </w:rPr>
      </w:pPr>
    </w:p>
    <w:p w:rsidR="00646638" w:rsidRDefault="00646638" w:rsidP="00646638">
      <w:pPr>
        <w:numPr>
          <w:ilvl w:val="0"/>
          <w:numId w:val="21"/>
        </w:numPr>
        <w:tabs>
          <w:tab w:val="clear" w:pos="720"/>
          <w:tab w:val="num" w:pos="0"/>
        </w:tabs>
        <w:spacing w:after="0" w:line="260" w:lineRule="exact"/>
        <w:ind w:left="360"/>
        <w:jc w:val="both"/>
        <w:rPr>
          <w:rFonts w:ascii="Arial" w:hAnsi="Arial" w:cs="Arial"/>
        </w:rPr>
      </w:pPr>
      <w:r w:rsidRPr="000E49F4">
        <w:rPr>
          <w:rFonts w:ascii="Arial" w:hAnsi="Arial" w:cs="Arial"/>
        </w:rPr>
        <w:t>Predstavitev presoje posledic za posamezna področja, če te niso mogle biti celovito predstavljene v predlogu zakona</w:t>
      </w:r>
    </w:p>
    <w:p w:rsidR="00CB2953" w:rsidRPr="00CB2953" w:rsidRDefault="00CB2953" w:rsidP="00CB2953">
      <w:pPr>
        <w:spacing w:after="0" w:line="260" w:lineRule="exact"/>
        <w:ind w:left="360"/>
        <w:jc w:val="both"/>
        <w:rPr>
          <w:rFonts w:ascii="Arial" w:hAnsi="Arial" w:cs="Arial"/>
        </w:rPr>
      </w:pPr>
    </w:p>
    <w:p w:rsidR="00646638" w:rsidRPr="000E49F4" w:rsidRDefault="00646638" w:rsidP="00646638">
      <w:pPr>
        <w:jc w:val="both"/>
        <w:rPr>
          <w:rFonts w:ascii="Arial" w:hAnsi="Arial" w:cs="Arial"/>
        </w:rPr>
      </w:pPr>
      <w:r w:rsidRPr="000E49F4">
        <w:rPr>
          <w:rFonts w:ascii="Arial" w:hAnsi="Arial" w:cs="Arial"/>
        </w:rPr>
        <w:t>Presoja posledic ZInfV za posamezna področja je bila celovito predstavljena v predlogu zakona</w:t>
      </w:r>
      <w:r>
        <w:rPr>
          <w:rFonts w:ascii="Arial" w:hAnsi="Arial" w:cs="Arial"/>
        </w:rPr>
        <w:t xml:space="preserve"> (ZInfV) in se nanaša tudi na predlagano</w:t>
      </w:r>
      <w:r w:rsidRPr="000E49F4">
        <w:rPr>
          <w:rFonts w:ascii="Arial" w:hAnsi="Arial" w:cs="Arial"/>
        </w:rPr>
        <w:t xml:space="preserve"> Uredbo o določitvi bistvenih storitev in podrobnejši meto</w:t>
      </w:r>
      <w:r w:rsidR="00F40A13">
        <w:rPr>
          <w:rFonts w:ascii="Arial" w:hAnsi="Arial" w:cs="Arial"/>
        </w:rPr>
        <w:t>dologiji za določitev IBS</w:t>
      </w:r>
      <w:r w:rsidRPr="000E49F4">
        <w:rPr>
          <w:rFonts w:ascii="Arial" w:hAnsi="Arial" w:cs="Arial"/>
        </w:rPr>
        <w:t>, ki se izdaja kot podzakonski predpis ZInfV.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tabs>
          <w:tab w:val="left" w:pos="708"/>
        </w:tabs>
        <w:jc w:val="both"/>
        <w:rPr>
          <w:rFonts w:ascii="Arial" w:hAnsi="Arial" w:cs="Arial"/>
        </w:rPr>
      </w:pPr>
      <w:r w:rsidRPr="000E49F4">
        <w:rPr>
          <w:rFonts w:ascii="Arial" w:hAnsi="Arial" w:cs="Arial"/>
        </w:rPr>
        <w:t>II. VSEBINSKA OBRAZLOŽITEV PREDLAGANIH REŠITEV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SPLOŠNE DOLOČBE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Namen Uredbe o določitvi bistvenih storitev in podrobnejši metodologiji za določitev </w:t>
      </w:r>
      <w:r>
        <w:rPr>
          <w:rFonts w:ascii="Arial" w:hAnsi="Arial" w:cs="Arial"/>
          <w:sz w:val="22"/>
          <w:szCs w:val="22"/>
        </w:rPr>
        <w:t xml:space="preserve">IBS </w:t>
      </w:r>
      <w:r w:rsidRPr="000E49F4">
        <w:rPr>
          <w:rFonts w:ascii="Arial" w:hAnsi="Arial" w:cs="Arial"/>
          <w:sz w:val="22"/>
          <w:szCs w:val="22"/>
        </w:rPr>
        <w:t>(v nadaljnjem besedilu: uredba)</w:t>
      </w:r>
      <w:r w:rsidR="00E95510">
        <w:rPr>
          <w:rFonts w:ascii="Arial" w:hAnsi="Arial" w:cs="Arial"/>
          <w:sz w:val="22"/>
          <w:szCs w:val="22"/>
        </w:rPr>
        <w:t xml:space="preserve"> na podlagi drugega odstavka 6. člena ZInfV</w:t>
      </w:r>
      <w:r w:rsidRPr="000E49F4">
        <w:rPr>
          <w:rFonts w:ascii="Arial" w:hAnsi="Arial" w:cs="Arial"/>
          <w:sz w:val="22"/>
          <w:szCs w:val="22"/>
        </w:rPr>
        <w:t xml:space="preserve"> je določitev: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numPr>
          <w:ilvl w:val="0"/>
          <w:numId w:val="22"/>
        </w:numPr>
        <w:shd w:val="clear" w:color="auto" w:fill="auto"/>
        <w:spacing w:before="0" w:after="0" w:line="240" w:lineRule="auto"/>
        <w:ind w:left="720"/>
        <w:rPr>
          <w:rFonts w:ascii="Arial" w:hAnsi="Arial" w:cs="Arial"/>
          <w:sz w:val="22"/>
          <w:szCs w:val="22"/>
        </w:rPr>
      </w:pPr>
      <w:r w:rsidRPr="000E49F4">
        <w:rPr>
          <w:rFonts w:ascii="Arial" w:hAnsi="Arial" w:cs="Arial"/>
          <w:sz w:val="22"/>
          <w:szCs w:val="22"/>
        </w:rPr>
        <w:t xml:space="preserve">storitev, ki se za potrebe izvajanja ZInfV štejejo za bistvene in so določene glede na Uredbo o standardni klasifikaciji dejavnosti (Uradni list RS, št. 69/07 in 17/08) (skladno s prvim odstavkom 6. člena ZInfV), in </w:t>
      </w:r>
    </w:p>
    <w:p w:rsidR="00646638" w:rsidRPr="000E49F4" w:rsidRDefault="00646638" w:rsidP="00646638">
      <w:pPr>
        <w:pStyle w:val="Bodytext20"/>
        <w:numPr>
          <w:ilvl w:val="0"/>
          <w:numId w:val="22"/>
        </w:numPr>
        <w:shd w:val="clear" w:color="auto" w:fill="auto"/>
        <w:spacing w:before="0" w:after="0" w:line="240" w:lineRule="auto"/>
        <w:ind w:left="720"/>
        <w:rPr>
          <w:rFonts w:ascii="Arial" w:hAnsi="Arial" w:cs="Arial"/>
          <w:sz w:val="22"/>
          <w:szCs w:val="22"/>
        </w:rPr>
      </w:pPr>
      <w:r w:rsidRPr="000E49F4">
        <w:rPr>
          <w:rFonts w:ascii="Arial" w:hAnsi="Arial" w:cs="Arial"/>
          <w:sz w:val="22"/>
          <w:szCs w:val="22"/>
        </w:rPr>
        <w:t>podrobnejše metodologije za določitev IBS (skladno s 7. člen</w:t>
      </w:r>
      <w:r w:rsidR="00E95510">
        <w:rPr>
          <w:rFonts w:ascii="Arial" w:hAnsi="Arial" w:cs="Arial"/>
          <w:sz w:val="22"/>
          <w:szCs w:val="22"/>
        </w:rPr>
        <w:t>om</w:t>
      </w:r>
      <w:r w:rsidRPr="000E49F4">
        <w:rPr>
          <w:rFonts w:ascii="Arial" w:hAnsi="Arial" w:cs="Arial"/>
          <w:sz w:val="22"/>
          <w:szCs w:val="22"/>
        </w:rPr>
        <w:t xml:space="preserve">), </w:t>
      </w:r>
      <w:bookmarkStart w:id="5" w:name="_Hlk525561686"/>
      <w:r w:rsidRPr="000E49F4">
        <w:rPr>
          <w:rFonts w:ascii="Arial" w:hAnsi="Arial" w:cs="Arial"/>
          <w:sz w:val="22"/>
          <w:szCs w:val="22"/>
        </w:rPr>
        <w:t>vključno z vrednotenjem medpodročnih in področnih dejavnikov.</w:t>
      </w:r>
    </w:p>
    <w:bookmarkEnd w:id="5"/>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Default="00E95510" w:rsidP="00AB0AD5">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lastRenderedPageBreak/>
        <w:t>Z</w:t>
      </w:r>
      <w:r w:rsidR="004A04BA">
        <w:rPr>
          <w:rFonts w:ascii="Arial" w:hAnsi="Arial" w:cs="Arial"/>
          <w:sz w:val="22"/>
          <w:szCs w:val="22"/>
        </w:rPr>
        <w:t>InfV v prvem odstavku 6. člena V</w:t>
      </w:r>
      <w:r>
        <w:rPr>
          <w:rFonts w:ascii="Arial" w:hAnsi="Arial" w:cs="Arial"/>
          <w:sz w:val="22"/>
          <w:szCs w:val="22"/>
        </w:rPr>
        <w:t xml:space="preserve">lado </w:t>
      </w:r>
      <w:r w:rsidR="004A04BA">
        <w:rPr>
          <w:rFonts w:ascii="Arial" w:hAnsi="Arial" w:cs="Arial"/>
          <w:sz w:val="22"/>
          <w:szCs w:val="22"/>
        </w:rPr>
        <w:t xml:space="preserve">RS </w:t>
      </w:r>
      <w:r>
        <w:rPr>
          <w:rFonts w:ascii="Arial" w:hAnsi="Arial" w:cs="Arial"/>
          <w:sz w:val="22"/>
          <w:szCs w:val="22"/>
        </w:rPr>
        <w:t xml:space="preserve">pooblašča, da določi seznam bistvenih storitev, kar se z vidika jasnosti določa tudi na način, da se izrecno pove, katere storitve niso predmet urejanja te uredbe na področju bančništva. Zaradi jasnosti oziroma zagotavljanja neodvisnosti </w:t>
      </w:r>
      <w:r w:rsidR="00FE481E">
        <w:rPr>
          <w:rFonts w:ascii="Arial" w:hAnsi="Arial" w:cs="Arial"/>
          <w:sz w:val="22"/>
          <w:szCs w:val="22"/>
        </w:rPr>
        <w:t>Banke Slovenije (</w:t>
      </w:r>
      <w:r w:rsidR="00FE481E" w:rsidRPr="001410D0">
        <w:rPr>
          <w:rFonts w:ascii="Arial" w:hAnsi="Arial" w:cs="Arial"/>
          <w:sz w:val="22"/>
          <w:szCs w:val="22"/>
        </w:rPr>
        <w:t xml:space="preserve">v nadaljnjem besedilu: </w:t>
      </w:r>
      <w:r w:rsidR="00FE481E">
        <w:rPr>
          <w:rFonts w:ascii="Arial" w:hAnsi="Arial" w:cs="Arial"/>
          <w:sz w:val="22"/>
          <w:szCs w:val="22"/>
        </w:rPr>
        <w:t>BS)</w:t>
      </w:r>
      <w:r w:rsidR="00FE481E" w:rsidRPr="000E49F4">
        <w:rPr>
          <w:rFonts w:ascii="Arial" w:hAnsi="Arial" w:cs="Arial"/>
          <w:sz w:val="22"/>
          <w:szCs w:val="22"/>
        </w:rPr>
        <w:t xml:space="preserve"> </w:t>
      </w:r>
      <w:r>
        <w:rPr>
          <w:rFonts w:ascii="Arial" w:hAnsi="Arial" w:cs="Arial"/>
          <w:sz w:val="22"/>
          <w:szCs w:val="22"/>
        </w:rPr>
        <w:t>je to področje urejeno s posebnim členom. Določbe o neodvisnosti so toliko pomembnejše, saj je morebiten vpliv BS na področju bančništva</w:t>
      </w:r>
      <w:r w:rsidR="00AB0AD5">
        <w:rPr>
          <w:rFonts w:ascii="Arial" w:hAnsi="Arial" w:cs="Arial"/>
          <w:sz w:val="22"/>
          <w:szCs w:val="22"/>
        </w:rPr>
        <w:t xml:space="preserve"> razviden šele </w:t>
      </w:r>
      <w:r w:rsidR="00646638">
        <w:rPr>
          <w:rFonts w:ascii="Arial" w:hAnsi="Arial" w:cs="Arial"/>
          <w:sz w:val="22"/>
          <w:szCs w:val="22"/>
        </w:rPr>
        <w:t>iz predlagane</w:t>
      </w:r>
      <w:r w:rsidR="00646638" w:rsidRPr="000E49F4">
        <w:rPr>
          <w:rFonts w:ascii="Arial" w:hAnsi="Arial" w:cs="Arial"/>
          <w:sz w:val="22"/>
          <w:szCs w:val="22"/>
        </w:rPr>
        <w:t xml:space="preserve"> uredbe. </w:t>
      </w:r>
      <w:r w:rsidR="00AB0AD5">
        <w:rPr>
          <w:rFonts w:ascii="Arial" w:hAnsi="Arial" w:cs="Arial"/>
          <w:sz w:val="22"/>
          <w:szCs w:val="22"/>
        </w:rPr>
        <w:t xml:space="preserve">Z vidika jasnosti pojasnjujemo, da ta uredba ne posega v nadzor informacijskih sistemov </w:t>
      </w:r>
      <w:bookmarkStart w:id="6" w:name="_Hlk525734109"/>
      <w:r w:rsidR="00646638" w:rsidRPr="000E49F4">
        <w:rPr>
          <w:rFonts w:ascii="Arial" w:hAnsi="Arial" w:cs="Arial"/>
          <w:sz w:val="22"/>
          <w:szCs w:val="22"/>
        </w:rPr>
        <w:t>s podro</w:t>
      </w:r>
      <w:r w:rsidR="00646638">
        <w:rPr>
          <w:rFonts w:ascii="Arial" w:hAnsi="Arial" w:cs="Arial"/>
          <w:sz w:val="22"/>
          <w:szCs w:val="22"/>
        </w:rPr>
        <w:t>čja pristojnosti BS ali E</w:t>
      </w:r>
      <w:r w:rsidR="00AB0AD5">
        <w:rPr>
          <w:rFonts w:ascii="Arial" w:hAnsi="Arial" w:cs="Arial"/>
          <w:sz w:val="22"/>
          <w:szCs w:val="22"/>
        </w:rPr>
        <w:t>vropskega sistema centralnih bank</w:t>
      </w:r>
      <w:r w:rsidR="00646638" w:rsidRPr="000E49F4">
        <w:rPr>
          <w:rFonts w:ascii="Arial" w:hAnsi="Arial" w:cs="Arial"/>
          <w:sz w:val="22"/>
          <w:szCs w:val="22"/>
        </w:rPr>
        <w:t>, ki ga urejajo predpisi Evropske unije in na njihovi podlagi sprej</w:t>
      </w:r>
      <w:r w:rsidR="000418C7">
        <w:rPr>
          <w:rFonts w:ascii="Arial" w:hAnsi="Arial" w:cs="Arial"/>
          <w:sz w:val="22"/>
          <w:szCs w:val="22"/>
        </w:rPr>
        <w:t>eti predpisi RS</w:t>
      </w:r>
      <w:r w:rsidR="00646638" w:rsidRPr="000E49F4">
        <w:rPr>
          <w:rFonts w:ascii="Arial" w:hAnsi="Arial" w:cs="Arial"/>
          <w:sz w:val="22"/>
          <w:szCs w:val="22"/>
        </w:rPr>
        <w:t>.</w:t>
      </w:r>
      <w:r w:rsidR="00AB0AD5">
        <w:rPr>
          <w:rFonts w:ascii="Arial" w:hAnsi="Arial" w:cs="Arial"/>
          <w:sz w:val="22"/>
          <w:szCs w:val="22"/>
        </w:rPr>
        <w:t xml:space="preserve"> Tudi iz Direktive 2016/1411/ES je razvidno, da njen namen v okviru bančništva ni bil zajeti centralno bančništvo. Ker pa uredba del storitev BS zajema, je toliko pomembnejše izpostaviti storitve</w:t>
      </w:r>
      <w:r w:rsidR="009225C4">
        <w:rPr>
          <w:rFonts w:ascii="Arial" w:hAnsi="Arial" w:cs="Arial"/>
          <w:sz w:val="22"/>
          <w:szCs w:val="22"/>
        </w:rPr>
        <w:t xml:space="preserve"> </w:t>
      </w:r>
      <w:r w:rsidR="00AB0AD5">
        <w:rPr>
          <w:rFonts w:ascii="Arial" w:hAnsi="Arial" w:cs="Arial"/>
          <w:sz w:val="22"/>
          <w:szCs w:val="22"/>
        </w:rPr>
        <w:t>BS, ki z uredbo niso zajete.</w:t>
      </w:r>
      <w:r w:rsidR="00646638" w:rsidRPr="000E49F4">
        <w:rPr>
          <w:rFonts w:ascii="Arial" w:hAnsi="Arial" w:cs="Arial"/>
          <w:sz w:val="22"/>
          <w:szCs w:val="22"/>
        </w:rPr>
        <w:t xml:space="preserve"> </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bookmarkEnd w:id="6"/>
    <w:p w:rsidR="00646638" w:rsidRPr="000E49F4" w:rsidRDefault="00AB0AD5" w:rsidP="00646638">
      <w:pPr>
        <w:pStyle w:val="Bodytext20"/>
        <w:shd w:val="clear" w:color="auto" w:fill="auto"/>
        <w:spacing w:before="0" w:after="0" w:line="240" w:lineRule="auto"/>
        <w:ind w:firstLine="0"/>
        <w:rPr>
          <w:rFonts w:ascii="Arial" w:hAnsi="Arial" w:cs="Arial"/>
          <w:b/>
          <w:sz w:val="22"/>
          <w:szCs w:val="22"/>
        </w:rPr>
      </w:pPr>
      <w:r>
        <w:rPr>
          <w:rFonts w:ascii="Arial" w:hAnsi="Arial" w:cs="Arial"/>
          <w:b/>
          <w:sz w:val="22"/>
          <w:szCs w:val="22"/>
        </w:rPr>
        <w:t>DOLOČITEV BISTVENIH STORITEV IN METODOLOGIJA</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jc w:val="both"/>
        <w:rPr>
          <w:rFonts w:ascii="Arial" w:hAnsi="Arial" w:cs="Arial"/>
        </w:rPr>
      </w:pPr>
      <w:r w:rsidRPr="000E49F4">
        <w:rPr>
          <w:rFonts w:ascii="Arial" w:hAnsi="Arial" w:cs="Arial"/>
        </w:rPr>
        <w:t>Uredba vsebinsko sledi Prilogi II Direktive 2016/1148/ES</w:t>
      </w:r>
      <w:r w:rsidRPr="000E49F4" w:rsidDel="00BC77B8">
        <w:rPr>
          <w:rFonts w:ascii="Arial" w:hAnsi="Arial" w:cs="Arial"/>
        </w:rPr>
        <w:t xml:space="preserve"> </w:t>
      </w:r>
      <w:r w:rsidRPr="000E49F4">
        <w:rPr>
          <w:rFonts w:ascii="Arial" w:hAnsi="Arial" w:cs="Arial"/>
        </w:rPr>
        <w:t>in bistvene storitve razdeli na področja oziroma podpodročja. Seznam bi</w:t>
      </w:r>
      <w:r>
        <w:rPr>
          <w:rFonts w:ascii="Arial" w:hAnsi="Arial" w:cs="Arial"/>
        </w:rPr>
        <w:t>stvenih storitev je s predlagano</w:t>
      </w:r>
      <w:r w:rsidRPr="000E49F4">
        <w:rPr>
          <w:rFonts w:ascii="Arial" w:hAnsi="Arial" w:cs="Arial"/>
        </w:rPr>
        <w:t xml:space="preserve"> uredbo določen s </w:t>
      </w:r>
      <w:r w:rsidR="009A5BF3">
        <w:rPr>
          <w:rFonts w:ascii="Arial" w:hAnsi="Arial" w:cs="Arial"/>
        </w:rPr>
        <w:t>p</w:t>
      </w:r>
      <w:r w:rsidRPr="000E49F4">
        <w:rPr>
          <w:rFonts w:ascii="Arial" w:hAnsi="Arial" w:cs="Arial"/>
        </w:rPr>
        <w:t>rilogo k uredbi, iz katere je razvidno:</w:t>
      </w:r>
    </w:p>
    <w:p w:rsidR="00646638" w:rsidRPr="00AD4DF6" w:rsidRDefault="00646638" w:rsidP="00646638">
      <w:pPr>
        <w:pStyle w:val="Odstavekseznama"/>
        <w:numPr>
          <w:ilvl w:val="0"/>
          <w:numId w:val="24"/>
        </w:numPr>
        <w:spacing w:after="160" w:line="259" w:lineRule="auto"/>
        <w:jc w:val="both"/>
        <w:rPr>
          <w:rFonts w:cs="Arial"/>
          <w:sz w:val="22"/>
          <w:szCs w:val="22"/>
        </w:rPr>
      </w:pPr>
      <w:r w:rsidRPr="00AD4DF6">
        <w:rPr>
          <w:rFonts w:cs="Arial"/>
          <w:sz w:val="22"/>
          <w:szCs w:val="22"/>
        </w:rPr>
        <w:t xml:space="preserve">področje glede na drugi odstavek 5. člena ZInfV (energija, digitalna infrastruktura, oskrba s pitno vodo in njena distribucija, zdravstvo, promet, bančništvo, infrastruktura finančnega trga, preskrba s hrano in varstvo okolja), </w:t>
      </w:r>
    </w:p>
    <w:p w:rsidR="00646638" w:rsidRPr="00AD4DF6" w:rsidRDefault="00646638" w:rsidP="00646638">
      <w:pPr>
        <w:pStyle w:val="Odstavekseznama"/>
        <w:numPr>
          <w:ilvl w:val="0"/>
          <w:numId w:val="24"/>
        </w:numPr>
        <w:spacing w:after="160" w:line="259" w:lineRule="auto"/>
        <w:jc w:val="both"/>
        <w:rPr>
          <w:rFonts w:cs="Arial"/>
          <w:sz w:val="22"/>
          <w:szCs w:val="22"/>
        </w:rPr>
      </w:pPr>
      <w:r w:rsidRPr="00AD4DF6">
        <w:rPr>
          <w:rFonts w:cs="Arial"/>
          <w:sz w:val="22"/>
          <w:szCs w:val="22"/>
        </w:rPr>
        <w:t>podpodročje (</w:t>
      </w:r>
      <w:r w:rsidRPr="00AD4DF6">
        <w:rPr>
          <w:rFonts w:cs="Arial"/>
          <w:color w:val="000000"/>
          <w:sz w:val="22"/>
          <w:szCs w:val="22"/>
        </w:rPr>
        <w:t xml:space="preserve">kjer je to potrebno glede na Prilogo II Direktive </w:t>
      </w:r>
      <w:r w:rsidRPr="00AD4DF6">
        <w:rPr>
          <w:rFonts w:cs="Arial"/>
          <w:sz w:val="22"/>
          <w:szCs w:val="22"/>
        </w:rPr>
        <w:t>2016/1148/ES</w:t>
      </w:r>
      <w:r w:rsidRPr="00AD4DF6">
        <w:rPr>
          <w:rFonts w:cs="Arial"/>
          <w:color w:val="000000"/>
          <w:sz w:val="22"/>
          <w:szCs w:val="22"/>
        </w:rPr>
        <w:t xml:space="preserve">; in sicer sta to </w:t>
      </w:r>
      <w:r w:rsidRPr="00AD4DF6">
        <w:rPr>
          <w:rFonts w:cs="Arial"/>
          <w:sz w:val="22"/>
          <w:szCs w:val="22"/>
        </w:rPr>
        <w:t xml:space="preserve">področji energije- elektrika, nafta, plin in prometa- zračni, železniški, vodni, cestni), </w:t>
      </w:r>
    </w:p>
    <w:p w:rsidR="00646638" w:rsidRPr="00AD4DF6" w:rsidRDefault="00646638" w:rsidP="00646638">
      <w:pPr>
        <w:pStyle w:val="Odstavekseznama"/>
        <w:numPr>
          <w:ilvl w:val="0"/>
          <w:numId w:val="24"/>
        </w:numPr>
        <w:spacing w:after="160" w:line="259" w:lineRule="auto"/>
        <w:jc w:val="both"/>
        <w:rPr>
          <w:rFonts w:cs="Arial"/>
          <w:sz w:val="22"/>
          <w:szCs w:val="22"/>
        </w:rPr>
      </w:pPr>
      <w:r w:rsidRPr="00AD4DF6">
        <w:rPr>
          <w:rFonts w:cs="Arial"/>
          <w:sz w:val="22"/>
          <w:szCs w:val="22"/>
        </w:rPr>
        <w:t xml:space="preserve">šifra podrazreda standardne klasifikacije dejavnosti </w:t>
      </w:r>
      <w:r w:rsidR="005977B4">
        <w:rPr>
          <w:rFonts w:cs="Arial"/>
          <w:sz w:val="22"/>
          <w:szCs w:val="22"/>
        </w:rPr>
        <w:t xml:space="preserve">(v nadaljnjem besedilu: SKD) </w:t>
      </w:r>
      <w:r w:rsidRPr="00AD4DF6">
        <w:rPr>
          <w:rFonts w:cs="Arial"/>
          <w:sz w:val="22"/>
          <w:szCs w:val="22"/>
        </w:rPr>
        <w:t xml:space="preserve">in naziv (iz Uredbe o standardni klasifikaciji dejavnosti- Uradni list RS, št. 69/07 in 17/08), </w:t>
      </w:r>
    </w:p>
    <w:p w:rsidR="00646638" w:rsidRPr="00AD4DF6" w:rsidRDefault="00646638" w:rsidP="00646638">
      <w:pPr>
        <w:pStyle w:val="Odstavekseznama"/>
        <w:numPr>
          <w:ilvl w:val="0"/>
          <w:numId w:val="24"/>
        </w:numPr>
        <w:spacing w:after="160" w:line="259" w:lineRule="auto"/>
        <w:jc w:val="both"/>
        <w:rPr>
          <w:rFonts w:cs="Arial"/>
          <w:sz w:val="22"/>
          <w:szCs w:val="22"/>
        </w:rPr>
      </w:pPr>
      <w:r w:rsidRPr="00AD4DF6">
        <w:rPr>
          <w:rFonts w:cs="Arial"/>
          <w:sz w:val="22"/>
          <w:szCs w:val="22"/>
        </w:rPr>
        <w:t>po potrebi omejitve, na katere dejavnosti znotraj podrazreda oziroma naziva iz SKD se bistvena storitev nanaša ter</w:t>
      </w:r>
    </w:p>
    <w:p w:rsidR="00646638" w:rsidRPr="00AD4DF6" w:rsidRDefault="00646638" w:rsidP="00646638">
      <w:pPr>
        <w:pStyle w:val="Odstavekseznama"/>
        <w:numPr>
          <w:ilvl w:val="0"/>
          <w:numId w:val="24"/>
        </w:numPr>
        <w:spacing w:after="160" w:line="259" w:lineRule="auto"/>
        <w:jc w:val="both"/>
        <w:rPr>
          <w:rFonts w:cs="Arial"/>
          <w:sz w:val="22"/>
          <w:szCs w:val="22"/>
        </w:rPr>
      </w:pPr>
      <w:r w:rsidRPr="00AD4DF6">
        <w:rPr>
          <w:rFonts w:cs="Arial"/>
          <w:sz w:val="22"/>
          <w:szCs w:val="22"/>
        </w:rPr>
        <w:t>pomen subjekta, ki izvaja bistvene storitve, za namen določitve katerega je postavljen prag (npr. inštalir</w:t>
      </w:r>
      <w:r w:rsidR="003F07A7">
        <w:rPr>
          <w:rFonts w:cs="Arial"/>
          <w:sz w:val="22"/>
          <w:szCs w:val="22"/>
        </w:rPr>
        <w:t>a</w:t>
      </w:r>
      <w:r w:rsidRPr="00AD4DF6">
        <w:rPr>
          <w:rFonts w:cs="Arial"/>
          <w:sz w:val="22"/>
          <w:szCs w:val="22"/>
        </w:rPr>
        <w:t>na moč, letni promet, kapaciteta, število prepeljanih potnikov, število obravnavanih oseb, itd…).</w:t>
      </w:r>
    </w:p>
    <w:p w:rsidR="00646638" w:rsidRPr="000E49F4" w:rsidRDefault="00646638" w:rsidP="00AD4DF6">
      <w:pPr>
        <w:jc w:val="both"/>
        <w:rPr>
          <w:rFonts w:ascii="Arial" w:hAnsi="Arial" w:cs="Arial"/>
        </w:rPr>
      </w:pPr>
      <w:r w:rsidRPr="000E49F4">
        <w:rPr>
          <w:rFonts w:ascii="Arial" w:hAnsi="Arial" w:cs="Arial"/>
        </w:rPr>
        <w:t>Z navedenim se tudi konkretizirajo določbe uvodne izjave št. 22 Direktive 2016/1148/ES, ki pravi, da je možno</w:t>
      </w:r>
      <w:r w:rsidRPr="000E49F4">
        <w:rPr>
          <w:rFonts w:ascii="Arial" w:hAnsi="Arial" w:cs="Arial"/>
          <w:i/>
        </w:rPr>
        <w:t>, »da subjekti v sektorjih in podsektorjih iz te direktive zagotavljajo tako bistvene storitve kakor tudi druge storitve, ki ne štejejo za bistvene. […] Za izvajalce bistvenih storitev bi morale veljati posebne varnostne zahteve, vendar le za tiste storitve, ki štejejo za bistvene. Države članice bi za namen določitve izvajalcev bistvenih storitev zato morale sestaviti seznam storitev, ki štejejo za bistvene«.</w:t>
      </w:r>
    </w:p>
    <w:p w:rsidR="00646638" w:rsidRPr="00AD4DF6" w:rsidRDefault="00646638" w:rsidP="00AD4DF6">
      <w:pPr>
        <w:jc w:val="both"/>
        <w:rPr>
          <w:rFonts w:ascii="Arial" w:hAnsi="Arial" w:cs="Arial"/>
          <w:i/>
        </w:rPr>
      </w:pPr>
      <w:r w:rsidRPr="000E49F4">
        <w:rPr>
          <w:rFonts w:ascii="Arial" w:hAnsi="Arial" w:cs="Arial"/>
        </w:rPr>
        <w:t>Ocena o tem, ali subjekt zagotavlja bistveno storitev, temelji na kriterijih, kot izhajajo že iz 7. člena ZInfV, podrobnejšo metodologijo za določitev IBS pa ZInfV prepušča vladi, da jo podrobneje določi, kar se z navedeno uredbo tudi uresničuje. V naslednjem koraku pa bo po uveljavitvi uredbe vlada določila konkretne IBS. Pri določ</w:t>
      </w:r>
      <w:r>
        <w:rPr>
          <w:rFonts w:ascii="Arial" w:hAnsi="Arial" w:cs="Arial"/>
        </w:rPr>
        <w:t>itvi IBS se skladno s predlagano</w:t>
      </w:r>
      <w:r w:rsidRPr="000E49F4">
        <w:rPr>
          <w:rFonts w:ascii="Arial" w:hAnsi="Arial" w:cs="Arial"/>
        </w:rPr>
        <w:t xml:space="preserve"> uredbo tako upošteva</w:t>
      </w:r>
      <w:r w:rsidR="003F07A7">
        <w:rPr>
          <w:rFonts w:ascii="Arial" w:hAnsi="Arial" w:cs="Arial"/>
        </w:rPr>
        <w:t>,</w:t>
      </w:r>
      <w:r w:rsidRPr="000E49F4">
        <w:rPr>
          <w:rFonts w:ascii="Arial" w:hAnsi="Arial" w:cs="Arial"/>
        </w:rPr>
        <w:t xml:space="preserve"> ali subjekt zagotavlja bistveno storitev iz seznama v prilogi, in ali je zagotavljanje bistvene storitve odvisno od omrežij in informacijskih sistemov ter ali bi incident imel pomemben negativni vpliv na zagotavljanje te storitve. O navedenem tudi uvodna izjava Direktive 2016/1148/ES št. 20: </w:t>
      </w:r>
      <w:r w:rsidRPr="000E49F4">
        <w:rPr>
          <w:rFonts w:ascii="Arial" w:hAnsi="Arial" w:cs="Arial"/>
          <w:i/>
        </w:rPr>
        <w:t>»Države članice bi morale pri določanju izvajalcev bistvenih storitev vsaj za vsak podsektor iz te direktive oceniti, katere storitve morajo šteti za bistvene za ohranitev ključnih družbenih in gospodarskih dejavnosti ter ali subjekti, ki so bili uvrščeni na</w:t>
      </w:r>
      <w:r w:rsidR="003F07A7">
        <w:rPr>
          <w:rFonts w:ascii="Arial" w:hAnsi="Arial" w:cs="Arial"/>
          <w:i/>
        </w:rPr>
        <w:t xml:space="preserve"> </w:t>
      </w:r>
      <w:r w:rsidRPr="000E49F4">
        <w:rPr>
          <w:rFonts w:ascii="Arial" w:hAnsi="Arial" w:cs="Arial"/>
          <w:i/>
        </w:rPr>
        <w:t xml:space="preserve">seznam sektorjev in podsektorjev iz te direktive ter ponujajo te storitve, izpolnjujejo merila za določitev izvajalcev. Pri oceni, ali subjekt ponuja storitev, ki je bistvena za ohranitev ključnih družbenih ali gospodarskih dejavnosti, je dovolj, da se preuči, ali ta subjekt ponuja storitev, ki </w:t>
      </w:r>
      <w:r w:rsidRPr="000E49F4">
        <w:rPr>
          <w:rFonts w:ascii="Arial" w:hAnsi="Arial" w:cs="Arial"/>
          <w:i/>
        </w:rPr>
        <w:lastRenderedPageBreak/>
        <w:t>je vključena na seznam bistvenih storitev. Dokazati bi bilo tudi treba, da je zagotavljanje bistvene storitve odvisno od omrežij in informacijskih sistemov. Nazadnje, države članice bi morale pri oceni, ali bi incident pomembno negativno vplival na zagotavljanje storitve, upoštevati več medsektorskih dejavnikov ter po potrebi tudi dejavnike, značilne za posamezni sektor.«.</w:t>
      </w:r>
    </w:p>
    <w:p w:rsidR="00646638" w:rsidRPr="00F40A13" w:rsidRDefault="00646638" w:rsidP="00646638">
      <w:pPr>
        <w:jc w:val="both"/>
        <w:rPr>
          <w:rFonts w:ascii="Arial" w:hAnsi="Arial" w:cs="Arial"/>
        </w:rPr>
      </w:pPr>
      <w:r w:rsidRPr="000E49F4">
        <w:rPr>
          <w:rFonts w:ascii="Arial" w:hAnsi="Arial" w:cs="Arial"/>
        </w:rPr>
        <w:t>Pri določanju, kako pomemben je negativen vpliv tega incidenta</w:t>
      </w:r>
      <w:r w:rsidR="003F07A7">
        <w:rPr>
          <w:rFonts w:ascii="Arial" w:hAnsi="Arial" w:cs="Arial"/>
        </w:rPr>
        <w:t>,</w:t>
      </w:r>
      <w:r w:rsidRPr="000E49F4">
        <w:rPr>
          <w:rFonts w:ascii="Arial" w:hAnsi="Arial" w:cs="Arial"/>
        </w:rPr>
        <w:t xml:space="preserve"> se že skladno z ZInfV upoštevajo vsaj trije medpodročni dejavniki ter še dva od prav tako v </w:t>
      </w:r>
      <w:r>
        <w:rPr>
          <w:rFonts w:ascii="Arial" w:hAnsi="Arial" w:cs="Arial"/>
        </w:rPr>
        <w:t xml:space="preserve">predlogu uredbe naštetih </w:t>
      </w:r>
      <w:r w:rsidRPr="000E49F4">
        <w:rPr>
          <w:rFonts w:ascii="Arial" w:hAnsi="Arial" w:cs="Arial"/>
        </w:rPr>
        <w:t>področnih dejavnikov (ki so navedeni za vsako področje ali podpodročje posebej). Z namenom, da se zagotovi z Zakonom o Banki Slovenije (ZBS-1)</w:t>
      </w:r>
      <w:r w:rsidR="007045DA">
        <w:rPr>
          <w:rStyle w:val="Sprotnaopomba-sklic"/>
          <w:rFonts w:ascii="Arial" w:hAnsi="Arial" w:cs="Arial"/>
        </w:rPr>
        <w:footnoteReference w:id="1"/>
      </w:r>
      <w:r w:rsidRPr="000E49F4">
        <w:rPr>
          <w:rFonts w:ascii="Arial" w:hAnsi="Arial" w:cs="Arial"/>
        </w:rPr>
        <w:t xml:space="preserve"> določena finančna in upravlj</w:t>
      </w:r>
      <w:r>
        <w:rPr>
          <w:rFonts w:ascii="Arial" w:hAnsi="Arial" w:cs="Arial"/>
        </w:rPr>
        <w:t>avska avtonomija BS</w:t>
      </w:r>
      <w:r w:rsidRPr="000E49F4">
        <w:rPr>
          <w:rFonts w:ascii="Arial" w:hAnsi="Arial" w:cs="Arial"/>
        </w:rPr>
        <w:t xml:space="preserve"> kot neodvisne pravne osebe javnega prava, ki pri opravljanju svojih nalog ni vezana na sklepe, stališča in navodila državnih ali katerihkoli drugih organov, je pri določitvi IBS s področja bančništva predviden i</w:t>
      </w:r>
      <w:r>
        <w:rPr>
          <w:rFonts w:ascii="Arial" w:hAnsi="Arial" w:cs="Arial"/>
        </w:rPr>
        <w:t>nstitut soglasja BS</w:t>
      </w:r>
      <w:r w:rsidRPr="000E49F4">
        <w:rPr>
          <w:rFonts w:ascii="Arial" w:hAnsi="Arial" w:cs="Arial"/>
        </w:rPr>
        <w:t>, če je zagotavljanje teh storitev odvisno od njenih informacijskih sistemov, ki niso informacijski sistemi iz prvega ali drugega odstavka 2. člena te uredbe,</w:t>
      </w:r>
      <w:r>
        <w:rPr>
          <w:rFonts w:ascii="Arial" w:hAnsi="Arial" w:cs="Arial"/>
        </w:rPr>
        <w:t xml:space="preserve"> in jih BS</w:t>
      </w:r>
      <w:r w:rsidRPr="000E49F4">
        <w:rPr>
          <w:rFonts w:ascii="Arial" w:hAnsi="Arial" w:cs="Arial"/>
        </w:rPr>
        <w:t xml:space="preserve"> uporablja za izvajanje svojih nalog po ZBS-1 ter drugih relevantnih predpisih</w:t>
      </w:r>
      <w:r w:rsidR="000C64BA">
        <w:rPr>
          <w:rFonts w:ascii="Arial" w:hAnsi="Arial" w:cs="Arial"/>
        </w:rPr>
        <w:t>.</w:t>
      </w:r>
      <w:r w:rsidR="000C64BA">
        <w:rPr>
          <w:rStyle w:val="Sprotnaopomba-sklic"/>
          <w:rFonts w:ascii="Arial" w:hAnsi="Arial" w:cs="Arial"/>
        </w:rPr>
        <w:footnoteReference w:id="2"/>
      </w:r>
      <w:r w:rsidRPr="000E49F4">
        <w:rPr>
          <w:rFonts w:ascii="Arial" w:hAnsi="Arial" w:cs="Arial"/>
        </w:rPr>
        <w:t xml:space="preserve"> Podobna določba je z namenom spoštova</w:t>
      </w:r>
      <w:r w:rsidR="00F40A13">
        <w:rPr>
          <w:rFonts w:ascii="Arial" w:hAnsi="Arial" w:cs="Arial"/>
        </w:rPr>
        <w:t>nja neodvisnosti BS</w:t>
      </w:r>
      <w:r w:rsidRPr="000E49F4">
        <w:rPr>
          <w:rFonts w:ascii="Arial" w:hAnsi="Arial" w:cs="Arial"/>
        </w:rPr>
        <w:t xml:space="preserve"> tudi v </w:t>
      </w:r>
      <w:r>
        <w:rPr>
          <w:rFonts w:ascii="Arial" w:hAnsi="Arial" w:cs="Arial"/>
        </w:rPr>
        <w:t>Z</w:t>
      </w:r>
      <w:r w:rsidR="003F07A7">
        <w:rPr>
          <w:rFonts w:ascii="Arial" w:hAnsi="Arial" w:cs="Arial"/>
        </w:rPr>
        <w:t>akonu o kritični infrastrukturi (Uradni list R</w:t>
      </w:r>
      <w:r w:rsidR="000C64BA">
        <w:rPr>
          <w:rFonts w:ascii="Arial" w:hAnsi="Arial" w:cs="Arial"/>
        </w:rPr>
        <w:t>S</w:t>
      </w:r>
      <w:r w:rsidR="003F07A7">
        <w:rPr>
          <w:rFonts w:ascii="Arial" w:hAnsi="Arial" w:cs="Arial"/>
        </w:rPr>
        <w:t>, št. 75/17; v nadaljnjem besedilu: Z</w:t>
      </w:r>
      <w:r>
        <w:rPr>
          <w:rFonts w:ascii="Arial" w:hAnsi="Arial" w:cs="Arial"/>
        </w:rPr>
        <w:t>KI</w:t>
      </w:r>
      <w:r w:rsidR="003F07A7">
        <w:rPr>
          <w:rFonts w:ascii="Arial" w:hAnsi="Arial" w:cs="Arial"/>
        </w:rPr>
        <w:t>)</w:t>
      </w:r>
      <w:r w:rsidRPr="000E49F4">
        <w:rPr>
          <w:rFonts w:ascii="Arial" w:hAnsi="Arial" w:cs="Arial"/>
        </w:rPr>
        <w:t xml:space="preserve">. Glede tega tudi uvodna izjava Direktive 2016/1148/ES št. 14: </w:t>
      </w:r>
      <w:r w:rsidRPr="000E49F4">
        <w:rPr>
          <w:rFonts w:ascii="Arial" w:hAnsi="Arial" w:cs="Arial"/>
          <w:i/>
        </w:rPr>
        <w:t>»Evropska centralna banka je v mnenju z dne 25. julija 2014 (1) navedla, da ta direktiva ne posega v ureditev po pravu Unije, vzpostavljeno za nadzor, ki ga Eurosistem opravlja nad plačilnimi sistemi in sistemi poravnave. Primerno bi bilo, da organi, pristojni za tovrsten nadzor, in pristojni organi iz te direktive izmenjavajo izkušnje o zadevah glede varnosti omrežij in informacijskih sistemov. Enako velja za članice Evropskega sistema centralnih bank, ki niso del Eurosistema, vendar nadzorujejo plačilne sisteme in sisteme poravnave na podlagi nacionalnega prava in predpisov.«.</w:t>
      </w:r>
      <w:r w:rsidR="00833889">
        <w:rPr>
          <w:rFonts w:ascii="Arial" w:hAnsi="Arial" w:cs="Arial"/>
          <w:i/>
        </w:rPr>
        <w:t xml:space="preserve"> </w:t>
      </w:r>
      <w:r w:rsidR="00833889" w:rsidRPr="00833889">
        <w:rPr>
          <w:rFonts w:ascii="Arial" w:hAnsi="Arial" w:cs="Arial"/>
        </w:rPr>
        <w:t>Ker bodo pri konkretni določitvi</w:t>
      </w:r>
      <w:r w:rsidR="00833889">
        <w:rPr>
          <w:rFonts w:ascii="Arial" w:hAnsi="Arial" w:cs="Arial"/>
        </w:rPr>
        <w:t xml:space="preserve"> IBS po drugem odstavku 6. člena ZInfV pri pripravi vladnega gradiva za odločitev </w:t>
      </w:r>
      <w:r w:rsidR="00F07E90">
        <w:rPr>
          <w:rFonts w:ascii="Arial" w:hAnsi="Arial" w:cs="Arial"/>
        </w:rPr>
        <w:t>V</w:t>
      </w:r>
      <w:r w:rsidR="00833889">
        <w:rPr>
          <w:rFonts w:ascii="Arial" w:hAnsi="Arial" w:cs="Arial"/>
        </w:rPr>
        <w:t xml:space="preserve">lade </w:t>
      </w:r>
      <w:r w:rsidR="00F07E90">
        <w:rPr>
          <w:rFonts w:ascii="Arial" w:hAnsi="Arial" w:cs="Arial"/>
        </w:rPr>
        <w:t xml:space="preserve">RS </w:t>
      </w:r>
      <w:r w:rsidR="00833889">
        <w:rPr>
          <w:rFonts w:ascii="Arial" w:hAnsi="Arial" w:cs="Arial"/>
        </w:rPr>
        <w:t xml:space="preserve">sodelovali resorji in bodo imeli vpliv na odločitev, </w:t>
      </w:r>
      <w:r w:rsidR="00856E59">
        <w:rPr>
          <w:rFonts w:ascii="Arial" w:hAnsi="Arial" w:cs="Arial"/>
        </w:rPr>
        <w:t>BS pa v tak postopek ni vključena, smo menili, da je zato primerna takšna ureditev.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MEDPODROČNI DEJAVNIKI</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jc w:val="both"/>
        <w:rPr>
          <w:rFonts w:ascii="Arial" w:hAnsi="Arial" w:cs="Arial"/>
        </w:rPr>
      </w:pPr>
      <w:r w:rsidRPr="000E49F4">
        <w:rPr>
          <w:rFonts w:ascii="Arial" w:hAnsi="Arial" w:cs="Arial"/>
        </w:rPr>
        <w:t>Pri določitvi IBS se med drugim upošteva tudi merilo, ali bi incident imel pomemben negativen vpliv na zagotavljanje te storitve (skladno s prvim odstavkom 7. člena ZInfV). Glede na drugi odstavek 7. člena ZInfV se pri določanju, kako pomemben je negativen vpliv tega incidenta, upoštevajo vsaj trije od v ZInfV navedenih medpodročnih dejavnikov (izpolnjena morata biti pa še dva podpodročna dejavnika</w:t>
      </w:r>
      <w:r>
        <w:rPr>
          <w:rFonts w:ascii="Arial" w:hAnsi="Arial" w:cs="Arial"/>
        </w:rPr>
        <w:t xml:space="preserve"> skladno s tretjim odstavkom 7. člena ZInfV</w:t>
      </w:r>
      <w:r w:rsidRPr="000E49F4">
        <w:rPr>
          <w:rFonts w:ascii="Arial" w:hAnsi="Arial" w:cs="Arial"/>
        </w:rPr>
        <w:t>):</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število uporabnikov, ki so odvisni od storitve subjekta;</w:t>
      </w: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odvisnost drugih področij iz drugega odstavka 5. člena ZInfV od storitve subjekta;</w:t>
      </w: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stopnja in trajanje vpliva, ki bi ga incidenti lahko imeli na gospodarske in družbene</w:t>
      </w:r>
      <w:r w:rsidR="00A528D7">
        <w:rPr>
          <w:rFonts w:ascii="Arial" w:hAnsi="Arial" w:cs="Arial"/>
          <w:sz w:val="22"/>
          <w:szCs w:val="22"/>
        </w:rPr>
        <w:t xml:space="preserve"> </w:t>
      </w:r>
      <w:r w:rsidRPr="000E49F4">
        <w:rPr>
          <w:rFonts w:ascii="Arial" w:hAnsi="Arial" w:cs="Arial"/>
          <w:sz w:val="22"/>
          <w:szCs w:val="22"/>
        </w:rPr>
        <w:t>dejavnosti ali javno varnost;</w:t>
      </w: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tržni delež subjekta;</w:t>
      </w: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geografska razširjenost, kar zadeva območje, ki bi ga incident lahko prizadel;</w:t>
      </w:r>
    </w:p>
    <w:p w:rsidR="00646638" w:rsidRPr="000E49F4" w:rsidRDefault="00646638" w:rsidP="007045DA">
      <w:pPr>
        <w:pStyle w:val="tevilnatoka"/>
        <w:numPr>
          <w:ilvl w:val="0"/>
          <w:numId w:val="40"/>
        </w:numPr>
        <w:shd w:val="clear" w:color="auto" w:fill="FFFFFF"/>
        <w:spacing w:before="0" w:beforeAutospacing="0" w:after="0" w:afterAutospacing="0"/>
        <w:jc w:val="both"/>
        <w:rPr>
          <w:rFonts w:ascii="Arial" w:hAnsi="Arial" w:cs="Arial"/>
          <w:sz w:val="22"/>
          <w:szCs w:val="22"/>
        </w:rPr>
      </w:pPr>
      <w:r w:rsidRPr="000E49F4">
        <w:rPr>
          <w:rFonts w:ascii="Arial" w:hAnsi="Arial" w:cs="Arial"/>
          <w:sz w:val="22"/>
          <w:szCs w:val="22"/>
        </w:rPr>
        <w:t>pomen subjekta za ohranitev zadostne ravni storitve, ob upoštevanju razpoložljivosti alternativnih načinov za zagotavljanje storitve.</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jc w:val="both"/>
        <w:rPr>
          <w:rFonts w:ascii="Arial" w:hAnsi="Arial" w:cs="Arial"/>
        </w:rPr>
      </w:pPr>
      <w:r>
        <w:rPr>
          <w:rFonts w:ascii="Arial" w:hAnsi="Arial" w:cs="Arial"/>
        </w:rPr>
        <w:lastRenderedPageBreak/>
        <w:t>Predlog uredbe</w:t>
      </w:r>
      <w:r w:rsidRPr="000E49F4">
        <w:rPr>
          <w:rFonts w:ascii="Arial" w:hAnsi="Arial" w:cs="Arial"/>
        </w:rPr>
        <w:t xml:space="preserve"> v členu, ki našteva »Medpodročne dejavnike«</w:t>
      </w:r>
      <w:r>
        <w:rPr>
          <w:rFonts w:ascii="Arial" w:hAnsi="Arial" w:cs="Arial"/>
        </w:rPr>
        <w:t xml:space="preserve"> (7. člen)</w:t>
      </w:r>
      <w:r w:rsidRPr="000E49F4">
        <w:rPr>
          <w:rFonts w:ascii="Arial" w:hAnsi="Arial" w:cs="Arial"/>
        </w:rPr>
        <w:t>, sledi zgoraj navedenim dejavnikom iz ZInfV, i</w:t>
      </w:r>
      <w:r w:rsidR="00A2404E">
        <w:rPr>
          <w:rFonts w:ascii="Arial" w:hAnsi="Arial" w:cs="Arial"/>
        </w:rPr>
        <w:t>n jih v okviru, ki ga dopušča ZI</w:t>
      </w:r>
      <w:r w:rsidRPr="000E49F4">
        <w:rPr>
          <w:rFonts w:ascii="Arial" w:hAnsi="Arial" w:cs="Arial"/>
        </w:rPr>
        <w:t>nfV, podrobneje opredeljuje. Medpodročni dejavniki so podrobneje oblikovani splošno oziroma, kjer smo ocenili za potrebno, ob sklicevanju na področne dejavnike. Pri vredn</w:t>
      </w:r>
      <w:r>
        <w:rPr>
          <w:rFonts w:ascii="Arial" w:hAnsi="Arial" w:cs="Arial"/>
        </w:rPr>
        <w:t>otenju teh kriterijev predlagana</w:t>
      </w:r>
      <w:r w:rsidRPr="000E49F4">
        <w:rPr>
          <w:rFonts w:ascii="Arial" w:hAnsi="Arial" w:cs="Arial"/>
        </w:rPr>
        <w:t xml:space="preserve"> uredba sledi tudi izhodiščem (uvodnim izjavam) </w:t>
      </w:r>
      <w:r>
        <w:rPr>
          <w:rFonts w:ascii="Arial" w:hAnsi="Arial" w:cs="Arial"/>
        </w:rPr>
        <w:t xml:space="preserve">iz Direktive </w:t>
      </w:r>
      <w:r w:rsidRPr="000E49F4">
        <w:rPr>
          <w:rFonts w:ascii="Arial" w:hAnsi="Arial" w:cs="Arial"/>
        </w:rPr>
        <w:t>2016/1148/ES.</w:t>
      </w:r>
    </w:p>
    <w:p w:rsidR="00646638" w:rsidRPr="000E49F4" w:rsidRDefault="00646638" w:rsidP="00AD4DF6">
      <w:pPr>
        <w:jc w:val="both"/>
        <w:rPr>
          <w:rFonts w:ascii="Arial" w:hAnsi="Arial" w:cs="Arial"/>
        </w:rPr>
      </w:pPr>
      <w:r w:rsidRPr="000E49F4">
        <w:rPr>
          <w:rFonts w:ascii="Arial" w:hAnsi="Arial" w:cs="Arial"/>
        </w:rPr>
        <w:t>Tako je 1. medpodročni kriterij iz ZInfV v uredbi podrobneje specificiran in se glasi:</w:t>
      </w:r>
    </w:p>
    <w:p w:rsidR="00646638" w:rsidRPr="00BB4822" w:rsidRDefault="00646638" w:rsidP="00646638">
      <w:pPr>
        <w:pStyle w:val="Bodytext20"/>
        <w:numPr>
          <w:ilvl w:val="0"/>
          <w:numId w:val="23"/>
        </w:numPr>
        <w:shd w:val="clear" w:color="auto" w:fill="auto"/>
        <w:spacing w:before="0" w:after="0" w:line="240" w:lineRule="auto"/>
        <w:rPr>
          <w:rFonts w:ascii="Arial" w:hAnsi="Arial" w:cs="Arial"/>
          <w:sz w:val="22"/>
          <w:szCs w:val="22"/>
        </w:rPr>
      </w:pPr>
      <w:r w:rsidRPr="000E49F4">
        <w:rPr>
          <w:rFonts w:ascii="Arial" w:hAnsi="Arial" w:cs="Arial"/>
          <w:sz w:val="22"/>
          <w:szCs w:val="22"/>
        </w:rPr>
        <w:t>je število uporabnikov, ki so odvisni od zadevne bistvene storitve subjekta enako ali večje, kot je to opredeljeno pri področnih dejavnikih glede števila uporabnikov, ki bi jih prizadela motnja pri zagotavljanju zadevne bistvene storitve;</w:t>
      </w:r>
    </w:p>
    <w:p w:rsidR="00646638" w:rsidRPr="000E49F4" w:rsidRDefault="00646638" w:rsidP="00646638">
      <w:pPr>
        <w:pStyle w:val="Bodytext20"/>
        <w:shd w:val="clear" w:color="auto" w:fill="auto"/>
        <w:spacing w:before="0" w:after="0" w:line="240" w:lineRule="auto"/>
        <w:ind w:left="-80"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left="-80" w:firstLine="0"/>
        <w:rPr>
          <w:rFonts w:ascii="Arial" w:hAnsi="Arial" w:cs="Arial"/>
          <w:i/>
          <w:sz w:val="22"/>
          <w:szCs w:val="22"/>
        </w:rPr>
      </w:pPr>
      <w:r w:rsidRPr="000E49F4">
        <w:rPr>
          <w:rFonts w:ascii="Arial" w:hAnsi="Arial" w:cs="Arial"/>
          <w:sz w:val="22"/>
          <w:szCs w:val="22"/>
        </w:rPr>
        <w:t>Glede kriterija števila uporabnikov, ki so odvisni od storitve subjekta, je bilo potrebno zaradi različnosti in specifičnosti posameznih z uredbo zajetih področij odkazati na opredelitev tega kriterija na posameznem področju (tako da se glede izpolnjevanja kriterija št. oseb napoti na področne dejavnike posamezne bistvene storitve). Glede tega tudi uvodna izjava Direktive</w:t>
      </w:r>
      <w:r>
        <w:rPr>
          <w:rFonts w:ascii="Arial" w:hAnsi="Arial" w:cs="Arial"/>
          <w:sz w:val="22"/>
          <w:szCs w:val="22"/>
        </w:rPr>
        <w:t xml:space="preserve"> </w:t>
      </w:r>
      <w:r w:rsidRPr="000E49F4">
        <w:rPr>
          <w:rFonts w:ascii="Arial" w:hAnsi="Arial" w:cs="Arial"/>
          <w:sz w:val="22"/>
          <w:szCs w:val="22"/>
        </w:rPr>
        <w:t xml:space="preserve">2016/1148/ES št. 27: </w:t>
      </w:r>
      <w:r w:rsidRPr="000E49F4">
        <w:rPr>
          <w:rFonts w:ascii="Arial" w:hAnsi="Arial" w:cs="Arial"/>
          <w:i/>
          <w:sz w:val="22"/>
          <w:szCs w:val="22"/>
        </w:rPr>
        <w:t>»Države članice bi pri ugotavljanju, ali bi incident pomembno negativno vplival na zagotavljanje bistvene storitve, morale upoštevati več različnih faktorjev, kot je število uporabnikov, ki so od storitve odvisni pri zasebnih ali poslovnih namenih. Zadevna storitev se lahko uporablja neposredno, posredno ali s posredovanjem.«.</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2. medpodročni kriterij iz ZInfV je v uredbi podrobneje specificiran in se glasi:</w:t>
      </w:r>
    </w:p>
    <w:p w:rsidR="00646638" w:rsidRPr="000E49F4" w:rsidRDefault="00646638" w:rsidP="00646638">
      <w:pPr>
        <w:pStyle w:val="Bodytext20"/>
        <w:shd w:val="clear" w:color="auto" w:fill="auto"/>
        <w:spacing w:before="0" w:after="0" w:line="240" w:lineRule="auto"/>
        <w:ind w:left="280" w:firstLine="0"/>
        <w:rPr>
          <w:rFonts w:ascii="Arial" w:hAnsi="Arial" w:cs="Arial"/>
          <w:sz w:val="22"/>
          <w:szCs w:val="22"/>
        </w:rPr>
      </w:pPr>
    </w:p>
    <w:p w:rsidR="00646638" w:rsidRPr="00913C29" w:rsidRDefault="00646638" w:rsidP="00646638">
      <w:pPr>
        <w:pStyle w:val="Bodytext20"/>
        <w:numPr>
          <w:ilvl w:val="0"/>
          <w:numId w:val="23"/>
        </w:numPr>
        <w:shd w:val="clear" w:color="auto" w:fill="auto"/>
        <w:spacing w:before="0" w:after="0" w:line="240" w:lineRule="auto"/>
        <w:rPr>
          <w:rFonts w:ascii="Arial" w:hAnsi="Arial" w:cs="Arial"/>
          <w:sz w:val="22"/>
          <w:szCs w:val="22"/>
        </w:rPr>
      </w:pPr>
      <w:r w:rsidRPr="000E49F4">
        <w:rPr>
          <w:rFonts w:ascii="Arial" w:hAnsi="Arial" w:cs="Arial"/>
          <w:sz w:val="22"/>
          <w:szCs w:val="22"/>
        </w:rPr>
        <w:t xml:space="preserve">so od zadevne bistvene storitve odvisne storitve drugih področij ali podpodročij iz 4. člena te  </w:t>
      </w:r>
      <w:r w:rsidRPr="00913C29">
        <w:rPr>
          <w:rFonts w:ascii="Arial" w:hAnsi="Arial" w:cs="Arial"/>
          <w:sz w:val="22"/>
          <w:szCs w:val="22"/>
        </w:rPr>
        <w:t>uredbe;</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jc w:val="both"/>
        <w:rPr>
          <w:rFonts w:ascii="Arial" w:hAnsi="Arial" w:cs="Arial"/>
        </w:rPr>
      </w:pPr>
      <w:r w:rsidRPr="000E49F4">
        <w:rPr>
          <w:rFonts w:ascii="Arial" w:hAnsi="Arial" w:cs="Arial"/>
        </w:rPr>
        <w:t>Pri presojanju obstoja tega kriterija bo potrebno pretehtati medsebojno vplivanje posamezne bistvene storitve na storitve posameznih področij oziroma podpodročij. Tipičen primer bi bil npr. vpliv bistvene storitve s področja energetike na storitve s skoraj vseh ostalih področij. Gre pa za vprašanje, ki se bo presojalo pri konkretni določitvi posameznih</w:t>
      </w:r>
      <w:r w:rsidR="00F40A13">
        <w:rPr>
          <w:rFonts w:ascii="Arial" w:hAnsi="Arial" w:cs="Arial"/>
        </w:rPr>
        <w:t xml:space="preserve"> IBS</w:t>
      </w:r>
      <w:r w:rsidRPr="000E49F4">
        <w:rPr>
          <w:rFonts w:ascii="Arial" w:hAnsi="Arial" w:cs="Arial"/>
        </w:rPr>
        <w:t xml:space="preserve"> in ne vnaprej za vse primere enako.</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3. medpodročni kriterij iz ZInfV je v uredbi podrobneje specificiran in se glasi:</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Default="00646638" w:rsidP="00646638">
      <w:pPr>
        <w:pStyle w:val="Bodytext20"/>
        <w:numPr>
          <w:ilvl w:val="0"/>
          <w:numId w:val="23"/>
        </w:numPr>
        <w:shd w:val="clear" w:color="auto" w:fill="auto"/>
        <w:spacing w:before="0" w:after="0" w:line="240" w:lineRule="auto"/>
        <w:rPr>
          <w:rFonts w:ascii="Arial" w:hAnsi="Arial" w:cs="Arial"/>
          <w:sz w:val="22"/>
          <w:szCs w:val="22"/>
        </w:rPr>
      </w:pPr>
      <w:r w:rsidRPr="000E49F4">
        <w:rPr>
          <w:rFonts w:ascii="Arial" w:hAnsi="Arial" w:cs="Arial"/>
          <w:sz w:val="22"/>
          <w:szCs w:val="22"/>
        </w:rPr>
        <w:t xml:space="preserve">stopnja in trajanje vpliva, ki bi ga incidenti lahko imeli na gospodarske in družbene dejavnosti ali na javno varnost, je </w:t>
      </w:r>
      <w:r>
        <w:rPr>
          <w:rFonts w:ascii="Arial" w:hAnsi="Arial" w:cs="Arial"/>
          <w:sz w:val="22"/>
          <w:szCs w:val="22"/>
        </w:rPr>
        <w:t xml:space="preserve">glede trajanja vpliva </w:t>
      </w:r>
      <w:r w:rsidRPr="000E49F4">
        <w:rPr>
          <w:rFonts w:ascii="Arial" w:hAnsi="Arial" w:cs="Arial"/>
          <w:sz w:val="22"/>
          <w:szCs w:val="22"/>
        </w:rPr>
        <w:t>enaka ali presega kriterije področnih dejavnikov zadevne bistvene storitve</w:t>
      </w:r>
      <w:r>
        <w:rPr>
          <w:rFonts w:ascii="Arial" w:hAnsi="Arial" w:cs="Arial"/>
          <w:sz w:val="22"/>
          <w:szCs w:val="22"/>
        </w:rPr>
        <w:t xml:space="preserve"> ter je hkrati podana velika ali srednja stopnja vpliva, kot je opredeljena v drugem odstavku 7. člena te uredbe</w:t>
      </w:r>
      <w:r w:rsidRPr="000E49F4">
        <w:rPr>
          <w:rFonts w:ascii="Arial" w:hAnsi="Arial" w:cs="Arial"/>
          <w:sz w:val="22"/>
          <w:szCs w:val="22"/>
        </w:rPr>
        <w:t>;</w:t>
      </w:r>
    </w:p>
    <w:p w:rsidR="00145A63" w:rsidRPr="00145A63" w:rsidRDefault="00145A63" w:rsidP="00145A63">
      <w:pPr>
        <w:pStyle w:val="Bodytext20"/>
        <w:shd w:val="clear" w:color="auto" w:fill="auto"/>
        <w:spacing w:before="0" w:after="0" w:line="240" w:lineRule="auto"/>
        <w:ind w:left="280" w:firstLine="0"/>
        <w:rPr>
          <w:rFonts w:ascii="Arial" w:hAnsi="Arial" w:cs="Arial"/>
          <w:sz w:val="22"/>
          <w:szCs w:val="22"/>
        </w:rPr>
      </w:pPr>
    </w:p>
    <w:p w:rsidR="00646638" w:rsidRDefault="00646638" w:rsidP="00646638">
      <w:pPr>
        <w:jc w:val="both"/>
        <w:rPr>
          <w:rFonts w:ascii="Arial" w:hAnsi="Arial" w:cs="Arial"/>
        </w:rPr>
      </w:pPr>
      <w:r w:rsidRPr="000E49F4">
        <w:rPr>
          <w:rFonts w:ascii="Arial" w:hAnsi="Arial" w:cs="Arial"/>
        </w:rPr>
        <w:t>Pri presojanju obstoja tega kriterija bo potrebno oceniti domet vpliva incidenta, ki bi ga hipotetično lahko imel na navedena področja. Morebiten vpliv se bo</w:t>
      </w:r>
      <w:r w:rsidR="00856E59">
        <w:rPr>
          <w:rFonts w:ascii="Arial" w:hAnsi="Arial" w:cs="Arial"/>
        </w:rPr>
        <w:t xml:space="preserve"> na podlagi drugega odstavka 7. člena uredbe</w:t>
      </w:r>
      <w:r w:rsidRPr="000E49F4">
        <w:rPr>
          <w:rFonts w:ascii="Arial" w:hAnsi="Arial" w:cs="Arial"/>
        </w:rPr>
        <w:t xml:space="preserve"> presojal v konkretnih postopkih na posameznih primerih in ne vnaprej za vse primere enako. </w:t>
      </w:r>
      <w:r>
        <w:rPr>
          <w:rFonts w:ascii="Arial" w:hAnsi="Arial" w:cs="Arial"/>
        </w:rPr>
        <w:t xml:space="preserve">Pri tem pa bo morala biti hkrati izpolnjena vsaj srednja stopnja vpliva, lahko pa je podana velika. Stopnja vpliva je v drugem odstavku razvrščena v tri kategorije- velika, srednja </w:t>
      </w:r>
      <w:r w:rsidR="00E040B3">
        <w:rPr>
          <w:rFonts w:ascii="Arial" w:hAnsi="Arial" w:cs="Arial"/>
        </w:rPr>
        <w:t xml:space="preserve">in </w:t>
      </w:r>
      <w:r>
        <w:rPr>
          <w:rFonts w:ascii="Arial" w:hAnsi="Arial" w:cs="Arial"/>
        </w:rPr>
        <w:t>majhna.</w:t>
      </w:r>
    </w:p>
    <w:p w:rsidR="00646638" w:rsidRPr="000E49F4" w:rsidRDefault="00646638" w:rsidP="00646638">
      <w:pPr>
        <w:jc w:val="both"/>
        <w:rPr>
          <w:rFonts w:ascii="Arial" w:hAnsi="Arial" w:cs="Arial"/>
          <w:i/>
        </w:rPr>
      </w:pPr>
      <w:r w:rsidRPr="000E49F4">
        <w:rPr>
          <w:rFonts w:ascii="Arial" w:hAnsi="Arial" w:cs="Arial"/>
        </w:rPr>
        <w:t xml:space="preserve">V tem smislu </w:t>
      </w:r>
      <w:r>
        <w:rPr>
          <w:rFonts w:ascii="Arial" w:hAnsi="Arial" w:cs="Arial"/>
        </w:rPr>
        <w:t xml:space="preserve">tudi uvodna izjava Direktive </w:t>
      </w:r>
      <w:r w:rsidRPr="000E49F4">
        <w:rPr>
          <w:rFonts w:ascii="Arial" w:hAnsi="Arial" w:cs="Arial"/>
        </w:rPr>
        <w:t xml:space="preserve">2016/1148/ES št. 27: </w:t>
      </w:r>
      <w:r w:rsidRPr="000E49F4">
        <w:rPr>
          <w:rFonts w:ascii="Arial" w:hAnsi="Arial" w:cs="Arial"/>
          <w:i/>
        </w:rPr>
        <w:t>»…..Države članice bi morale pri oceni morebitnega vpliva, ki bi ga incident glede na svoj obseg in trajanje lahko imel na ekonomske in družbene dejavnosti ali javno varnost, oceniti, koliko časa bo verjetno poteklo, preden bi prekinitev povzročila negativne posledice.«.</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lastRenderedPageBreak/>
        <w:t xml:space="preserve">      4. kriterij iz ZInfV je v uredbi podrobneje specificiran in se glasi:</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F25BE4" w:rsidRDefault="00646638" w:rsidP="00646638">
      <w:pPr>
        <w:pStyle w:val="Bodytext20"/>
        <w:numPr>
          <w:ilvl w:val="0"/>
          <w:numId w:val="23"/>
        </w:numPr>
        <w:shd w:val="clear" w:color="auto" w:fill="auto"/>
        <w:spacing w:before="0" w:after="0" w:line="240" w:lineRule="auto"/>
        <w:rPr>
          <w:rFonts w:ascii="Arial" w:hAnsi="Arial" w:cs="Arial"/>
          <w:sz w:val="22"/>
          <w:szCs w:val="22"/>
        </w:rPr>
      </w:pPr>
      <w:r w:rsidRPr="000E49F4">
        <w:rPr>
          <w:rFonts w:ascii="Arial" w:hAnsi="Arial" w:cs="Arial"/>
          <w:sz w:val="22"/>
          <w:szCs w:val="22"/>
        </w:rPr>
        <w:t>tržni delež posameznega subjekta, ki zag</w:t>
      </w:r>
      <w:r>
        <w:rPr>
          <w:rFonts w:ascii="Arial" w:hAnsi="Arial" w:cs="Arial"/>
          <w:sz w:val="22"/>
          <w:szCs w:val="22"/>
        </w:rPr>
        <w:t>otavlja bistveno storitev, je 25</w:t>
      </w:r>
      <w:r w:rsidRPr="000E49F4">
        <w:rPr>
          <w:rFonts w:ascii="Arial" w:hAnsi="Arial" w:cs="Arial"/>
          <w:sz w:val="22"/>
          <w:szCs w:val="22"/>
        </w:rPr>
        <w:t xml:space="preserve"> odstotkov ali več na trgu, ki se nanaša na posamezno bistveno storitev na </w:t>
      </w:r>
      <w:r>
        <w:rPr>
          <w:rFonts w:ascii="Arial" w:hAnsi="Arial" w:cs="Arial"/>
          <w:sz w:val="22"/>
          <w:szCs w:val="22"/>
        </w:rPr>
        <w:t xml:space="preserve">območju, ki je </w:t>
      </w:r>
      <w:r w:rsidRPr="000E49F4">
        <w:rPr>
          <w:rFonts w:ascii="Arial" w:hAnsi="Arial" w:cs="Arial"/>
          <w:sz w:val="22"/>
          <w:szCs w:val="22"/>
        </w:rPr>
        <w:t>za posamezno bistveno storitev opredeljeno pri področnih dejavnikih;</w:t>
      </w:r>
    </w:p>
    <w:p w:rsidR="00646638" w:rsidRPr="000E49F4" w:rsidRDefault="00646638" w:rsidP="00646638">
      <w:pPr>
        <w:jc w:val="both"/>
        <w:rPr>
          <w:rFonts w:ascii="Arial" w:hAnsi="Arial" w:cs="Arial"/>
        </w:rPr>
      </w:pPr>
    </w:p>
    <w:p w:rsidR="00646638" w:rsidRPr="000E49F4" w:rsidRDefault="00646638" w:rsidP="00646638">
      <w:pPr>
        <w:jc w:val="both"/>
        <w:rPr>
          <w:rFonts w:ascii="Arial" w:hAnsi="Arial" w:cs="Arial"/>
        </w:rPr>
      </w:pPr>
      <w:r w:rsidRPr="000E49F4">
        <w:rPr>
          <w:rFonts w:ascii="Arial" w:hAnsi="Arial" w:cs="Arial"/>
        </w:rPr>
        <w:t>Pri presojanju obstoja tega kriterija bo potrebno najprej ugotoviti območje</w:t>
      </w:r>
      <w:r w:rsidR="00694F9F">
        <w:rPr>
          <w:rFonts w:ascii="Arial" w:hAnsi="Arial" w:cs="Arial"/>
        </w:rPr>
        <w:t>,</w:t>
      </w:r>
      <w:r w:rsidRPr="000E49F4">
        <w:rPr>
          <w:rFonts w:ascii="Arial" w:hAnsi="Arial" w:cs="Arial"/>
        </w:rPr>
        <w:t xml:space="preserve"> na katerem deluje oziroma lahko zagotavlja bistvene storitve potencialni </w:t>
      </w:r>
      <w:r>
        <w:rPr>
          <w:rFonts w:ascii="Arial" w:hAnsi="Arial" w:cs="Arial"/>
        </w:rPr>
        <w:t xml:space="preserve">IBS </w:t>
      </w:r>
      <w:r w:rsidRPr="000E49F4">
        <w:rPr>
          <w:rFonts w:ascii="Arial" w:hAnsi="Arial" w:cs="Arial"/>
        </w:rPr>
        <w:t xml:space="preserve">(torej pri področnih dejavnikih tretji kriterij- »geografsko razširjenost, kar zadeva območje, na katerega vpliva incident« za posamezno storitev), nato pa določiti višino </w:t>
      </w:r>
      <w:r w:rsidR="002D08ED">
        <w:rPr>
          <w:rFonts w:ascii="Arial" w:hAnsi="Arial" w:cs="Arial"/>
        </w:rPr>
        <w:t>(</w:t>
      </w:r>
      <w:r w:rsidRPr="000E49F4">
        <w:rPr>
          <w:rFonts w:ascii="Arial" w:hAnsi="Arial" w:cs="Arial"/>
        </w:rPr>
        <w:t>tržnega</w:t>
      </w:r>
      <w:r w:rsidR="002D08ED">
        <w:rPr>
          <w:rFonts w:ascii="Arial" w:hAnsi="Arial" w:cs="Arial"/>
        </w:rPr>
        <w:t>)</w:t>
      </w:r>
      <w:r w:rsidRPr="000E49F4">
        <w:rPr>
          <w:rFonts w:ascii="Arial" w:hAnsi="Arial" w:cs="Arial"/>
        </w:rPr>
        <w:t xml:space="preserve"> deleža posameznega subjekta na zadevnem geografskem območju. </w:t>
      </w: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5. kriterij iz ZInfV je v uredbi podrobneje specificiran in se glasi:</w:t>
      </w:r>
    </w:p>
    <w:p w:rsidR="00646638" w:rsidRPr="000E49F4" w:rsidRDefault="00646638" w:rsidP="00646638">
      <w:pPr>
        <w:pStyle w:val="Bodytext20"/>
        <w:shd w:val="clear" w:color="auto" w:fill="auto"/>
        <w:spacing w:before="0" w:after="0" w:line="240" w:lineRule="auto"/>
        <w:ind w:left="720" w:firstLine="0"/>
        <w:rPr>
          <w:rFonts w:ascii="Arial" w:hAnsi="Arial" w:cs="Arial"/>
          <w:sz w:val="22"/>
          <w:szCs w:val="22"/>
        </w:rPr>
      </w:pPr>
    </w:p>
    <w:p w:rsidR="00646638" w:rsidRPr="000E49F4" w:rsidRDefault="00646638" w:rsidP="00646638">
      <w:pPr>
        <w:pStyle w:val="Bodytext20"/>
        <w:numPr>
          <w:ilvl w:val="0"/>
          <w:numId w:val="23"/>
        </w:numPr>
        <w:shd w:val="clear" w:color="auto" w:fill="auto"/>
        <w:spacing w:before="0" w:after="0" w:line="240" w:lineRule="auto"/>
        <w:rPr>
          <w:rFonts w:ascii="Arial" w:hAnsi="Arial" w:cs="Arial"/>
          <w:sz w:val="22"/>
          <w:szCs w:val="22"/>
        </w:rPr>
      </w:pPr>
      <w:r w:rsidRPr="000E49F4">
        <w:rPr>
          <w:rFonts w:ascii="Arial" w:hAnsi="Arial" w:cs="Arial"/>
          <w:sz w:val="22"/>
          <w:szCs w:val="22"/>
        </w:rPr>
        <w:t>geografsko razširjenost, kar zadeva območje, ki bi ga incident lahko prizadel, zajema območje z več kot 100.000 prebivalci oziroma gre za območje, enako ali večje, kot je to za posamezno bistveno storitev opredeljeno pri področnih dejavnikih;</w:t>
      </w:r>
    </w:p>
    <w:p w:rsidR="00646638" w:rsidRPr="000E49F4" w:rsidRDefault="00646638" w:rsidP="00646638">
      <w:pPr>
        <w:jc w:val="both"/>
        <w:rPr>
          <w:rFonts w:ascii="Arial" w:hAnsi="Arial" w:cs="Arial"/>
        </w:rPr>
      </w:pPr>
    </w:p>
    <w:p w:rsidR="00646638" w:rsidRPr="000E49F4" w:rsidRDefault="00646638" w:rsidP="00646638">
      <w:pPr>
        <w:jc w:val="both"/>
        <w:rPr>
          <w:rFonts w:ascii="Arial" w:hAnsi="Arial" w:cs="Arial"/>
        </w:rPr>
      </w:pPr>
      <w:r w:rsidRPr="000E49F4">
        <w:rPr>
          <w:rFonts w:ascii="Arial" w:hAnsi="Arial" w:cs="Arial"/>
        </w:rPr>
        <w:t xml:space="preserve">Glede kriterija geografske razširjenosti, kar zadeva območje, ki bi ga incident lahko prizadel, je bilo potrebno zaradi različnosti in specifičnosti posameznih z uredbo zajetih področij poleg univerzalnega kriterija (območje z več kot 100.000 prebivalci) odkazati tudi na opredelitev tega kriterija na posameznem področju (tako da se glede </w:t>
      </w:r>
      <w:r w:rsidR="00694F9F">
        <w:rPr>
          <w:rFonts w:ascii="Arial" w:hAnsi="Arial" w:cs="Arial"/>
        </w:rPr>
        <w:t xml:space="preserve">presoje </w:t>
      </w:r>
      <w:r w:rsidRPr="000E49F4">
        <w:rPr>
          <w:rFonts w:ascii="Arial" w:hAnsi="Arial" w:cs="Arial"/>
        </w:rPr>
        <w:t>izpolnjevanja tega kriterija napoti tudi na področne dejavnike posamezne bistvene storitve).</w:t>
      </w:r>
    </w:p>
    <w:p w:rsidR="00646638" w:rsidRPr="000E49F4" w:rsidRDefault="00646638" w:rsidP="00646638">
      <w:pPr>
        <w:jc w:val="both"/>
        <w:rPr>
          <w:rFonts w:ascii="Arial" w:hAnsi="Arial" w:cs="Arial"/>
        </w:rPr>
      </w:pPr>
    </w:p>
    <w:p w:rsidR="00646638" w:rsidRPr="000E49F4" w:rsidRDefault="00646638" w:rsidP="00646638">
      <w:pPr>
        <w:jc w:val="both"/>
        <w:rPr>
          <w:rFonts w:ascii="Arial" w:hAnsi="Arial" w:cs="Arial"/>
        </w:rPr>
      </w:pPr>
      <w:r w:rsidRPr="000E49F4">
        <w:rPr>
          <w:rFonts w:ascii="Arial" w:hAnsi="Arial" w:cs="Arial"/>
        </w:rPr>
        <w:t>6. kriterij iz ZInfV je v uredbi podrobneje specificiran in se glasi:</w:t>
      </w:r>
    </w:p>
    <w:p w:rsidR="00646638" w:rsidRPr="000E49F4" w:rsidRDefault="00646638" w:rsidP="00646638">
      <w:pPr>
        <w:pStyle w:val="Bodytext20"/>
        <w:shd w:val="clear" w:color="auto" w:fill="auto"/>
        <w:spacing w:before="0" w:after="0" w:line="240" w:lineRule="auto"/>
        <w:ind w:left="720" w:firstLine="0"/>
        <w:rPr>
          <w:rFonts w:ascii="Arial" w:hAnsi="Arial" w:cs="Arial"/>
          <w:sz w:val="22"/>
          <w:szCs w:val="22"/>
        </w:rPr>
      </w:pPr>
    </w:p>
    <w:p w:rsidR="00646638" w:rsidRPr="00254792" w:rsidRDefault="00646638" w:rsidP="00646638">
      <w:pPr>
        <w:pStyle w:val="Bodytext20"/>
        <w:numPr>
          <w:ilvl w:val="0"/>
          <w:numId w:val="23"/>
        </w:numPr>
        <w:shd w:val="clear" w:color="auto" w:fill="auto"/>
        <w:spacing w:before="0" w:after="0" w:line="240" w:lineRule="auto"/>
        <w:rPr>
          <w:rFonts w:ascii="Arial" w:eastAsia="Times New Roman" w:hAnsi="Arial" w:cs="Arial"/>
          <w:sz w:val="22"/>
          <w:szCs w:val="22"/>
          <w:lang w:eastAsia="sl-SI"/>
        </w:rPr>
      </w:pPr>
      <w:r w:rsidRPr="00254792">
        <w:rPr>
          <w:rFonts w:ascii="Arial" w:eastAsia="Times New Roman" w:hAnsi="Arial" w:cs="Arial"/>
          <w:sz w:val="22"/>
          <w:szCs w:val="22"/>
          <w:lang w:eastAsia="sl-SI"/>
        </w:rPr>
        <w:t>pomen subjekta za ohranitev zadostne ravni bistvene storitve, ob upoštevanju razpoložljivosti alternativnih načinov za zagotavljanje storitve, upošteva pragove, kot so določeni za posamezno bistveno storitev iz priloge te uredbe po področjih oziroma podpodročjih iz 4. člena te uredbe.</w:t>
      </w:r>
    </w:p>
    <w:p w:rsidR="00646638" w:rsidRPr="00870681" w:rsidRDefault="00646638" w:rsidP="00646638">
      <w:pPr>
        <w:ind w:left="-80"/>
        <w:jc w:val="both"/>
        <w:rPr>
          <w:rFonts w:ascii="Arial" w:hAnsi="Arial" w:cs="Arial"/>
        </w:rPr>
      </w:pPr>
    </w:p>
    <w:p w:rsidR="00646638" w:rsidRPr="000E49F4" w:rsidRDefault="00646638" w:rsidP="00646638">
      <w:pPr>
        <w:jc w:val="both"/>
        <w:rPr>
          <w:rFonts w:ascii="Arial" w:hAnsi="Arial" w:cs="Arial"/>
        </w:rPr>
      </w:pPr>
      <w:r w:rsidRPr="000E49F4">
        <w:rPr>
          <w:rFonts w:ascii="Arial" w:hAnsi="Arial" w:cs="Arial"/>
        </w:rPr>
        <w:t>Ker so medpodročni dejavniki navedeni za vsa področja, kjer delujejo IBS, na splošno</w:t>
      </w:r>
      <w:r>
        <w:rPr>
          <w:rFonts w:ascii="Arial" w:hAnsi="Arial" w:cs="Arial"/>
        </w:rPr>
        <w:t xml:space="preserve">, je v prilogi določen prag </w:t>
      </w:r>
      <w:r w:rsidR="002D08ED">
        <w:rPr>
          <w:rFonts w:ascii="Arial" w:hAnsi="Arial" w:cs="Arial"/>
        </w:rPr>
        <w:t xml:space="preserve">pri posamezni bistveni storitvi </w:t>
      </w:r>
      <w:r>
        <w:rPr>
          <w:rFonts w:ascii="Arial" w:hAnsi="Arial" w:cs="Arial"/>
        </w:rPr>
        <w:t>(npr. inštalir</w:t>
      </w:r>
      <w:r w:rsidR="00694F9F">
        <w:rPr>
          <w:rFonts w:ascii="Arial" w:hAnsi="Arial" w:cs="Arial"/>
        </w:rPr>
        <w:t>a</w:t>
      </w:r>
      <w:r>
        <w:rPr>
          <w:rFonts w:ascii="Arial" w:hAnsi="Arial" w:cs="Arial"/>
        </w:rPr>
        <w:t>na moč proizvodnje, letni promet, število opravljenih obravnav, prepeljanih potnikov… itd., ), ki ga je potrebno doseči,</w:t>
      </w:r>
      <w:r w:rsidR="002D08ED">
        <w:rPr>
          <w:rFonts w:ascii="Arial" w:hAnsi="Arial" w:cs="Arial"/>
        </w:rPr>
        <w:t xml:space="preserve"> da bi se izpolnilo merilo pomena</w:t>
      </w:r>
      <w:r>
        <w:rPr>
          <w:rFonts w:ascii="Arial" w:hAnsi="Arial" w:cs="Arial"/>
        </w:rPr>
        <w:t>.</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PODROČNI DEJAVNIKI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določit</w:t>
      </w:r>
      <w:r>
        <w:rPr>
          <w:rFonts w:ascii="Arial" w:hAnsi="Arial" w:cs="Arial"/>
          <w:sz w:val="22"/>
          <w:szCs w:val="22"/>
        </w:rPr>
        <w:t>vi IBS</w:t>
      </w:r>
      <w:r w:rsidRPr="000E49F4">
        <w:rPr>
          <w:rFonts w:ascii="Arial" w:hAnsi="Arial" w:cs="Arial"/>
          <w:sz w:val="22"/>
          <w:szCs w:val="22"/>
        </w:rPr>
        <w:t xml:space="preserve"> se upošteva tudi merilo, ali bi incident imel pomemben negativen vpliv na zagotavljanje te storitve (skladno s prvim odstavkom 7. člena ZInfV). Glede na tretji odstavek 7. člena ZInfV se pri odločanju, ali bi incident imel pomemben negativen vpliv, upoštevata vsaj dva od treh zakonsko predvidenih </w:t>
      </w:r>
      <w:r>
        <w:rPr>
          <w:rFonts w:ascii="Arial" w:hAnsi="Arial" w:cs="Arial"/>
          <w:sz w:val="22"/>
          <w:szCs w:val="22"/>
        </w:rPr>
        <w:t>področnih dejavnikov.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V </w:t>
      </w:r>
      <w:r>
        <w:rPr>
          <w:rFonts w:ascii="Arial" w:hAnsi="Arial" w:cs="Arial"/>
          <w:sz w:val="22"/>
          <w:szCs w:val="22"/>
        </w:rPr>
        <w:t xml:space="preserve">predlagani </w:t>
      </w:r>
      <w:r w:rsidRPr="000E49F4">
        <w:rPr>
          <w:rFonts w:ascii="Arial" w:hAnsi="Arial" w:cs="Arial"/>
          <w:sz w:val="22"/>
          <w:szCs w:val="22"/>
        </w:rPr>
        <w:t xml:space="preserve">uredbi v poglavju »Področni dejavniki« so zakonski dejavniki podrobneje opredeljeni po področjih oz. podpodročjih za vsako bistveno storitev posebej ter ovrednoteni glede na naravo oziroma značilnosti posamezne bistvene storitve. Pri vrednotenju teh dejavnikov </w:t>
      </w:r>
      <w:r>
        <w:rPr>
          <w:rFonts w:ascii="Arial" w:hAnsi="Arial" w:cs="Arial"/>
          <w:sz w:val="22"/>
          <w:szCs w:val="22"/>
        </w:rPr>
        <w:t>se predlagan</w:t>
      </w:r>
      <w:r w:rsidR="00694F9F">
        <w:rPr>
          <w:rFonts w:ascii="Arial" w:hAnsi="Arial" w:cs="Arial"/>
          <w:sz w:val="22"/>
          <w:szCs w:val="22"/>
        </w:rPr>
        <w:t>a</w:t>
      </w:r>
      <w:r w:rsidRPr="000E49F4">
        <w:rPr>
          <w:rFonts w:ascii="Arial" w:hAnsi="Arial" w:cs="Arial"/>
          <w:sz w:val="22"/>
          <w:szCs w:val="22"/>
        </w:rPr>
        <w:t xml:space="preserve"> uredba skuša, kjer je to primerno, navezati na vrednotenje meril s </w:t>
      </w:r>
      <w:r w:rsidRPr="000E49F4">
        <w:rPr>
          <w:rFonts w:ascii="Arial" w:hAnsi="Arial" w:cs="Arial"/>
          <w:sz w:val="22"/>
          <w:szCs w:val="22"/>
        </w:rPr>
        <w:lastRenderedPageBreak/>
        <w:t>področja določanja kritične infrastrukture, sledi pa tudi izhodiščem (uvodnim izjavam)</w:t>
      </w:r>
      <w:r>
        <w:rPr>
          <w:rFonts w:ascii="Arial" w:hAnsi="Arial" w:cs="Arial"/>
          <w:sz w:val="22"/>
          <w:szCs w:val="22"/>
        </w:rPr>
        <w:t xml:space="preserve"> iz Direktive </w:t>
      </w:r>
      <w:r w:rsidRPr="000E49F4">
        <w:rPr>
          <w:rFonts w:ascii="Arial" w:hAnsi="Arial" w:cs="Arial"/>
          <w:sz w:val="22"/>
          <w:szCs w:val="22"/>
        </w:rPr>
        <w:t>2016/1148/ES.</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color w:val="FF0000"/>
          <w:sz w:val="22"/>
          <w:szCs w:val="22"/>
        </w:rPr>
      </w:pPr>
      <w:r w:rsidRPr="000E49F4">
        <w:rPr>
          <w:rFonts w:ascii="Arial" w:hAnsi="Arial" w:cs="Arial"/>
          <w:sz w:val="22"/>
          <w:szCs w:val="22"/>
        </w:rPr>
        <w:t>Uredba pri vrednotenju dejavnika »število uporabnikov« smiselno izhaja iz napotka uvodne izjave št. 27 Direktive 2016/1148/ES, da gre za »</w:t>
      </w:r>
      <w:r w:rsidRPr="000E49F4">
        <w:rPr>
          <w:rFonts w:ascii="Arial" w:hAnsi="Arial" w:cs="Arial"/>
          <w:i/>
          <w:sz w:val="22"/>
          <w:szCs w:val="22"/>
        </w:rPr>
        <w:t xml:space="preserve">število uporabnikov, ki so od storitve odvisni pri zasebnih ali poslovnih namenih. Zadevna storitev se lahko uporablja neposredno, posredno ali s posredovanjem.« </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dejavnika »trajanje incidenta« uredba upošteva časovno obdobje od prekinitve ustreznega zagotavljanja storitve v smislu razpoložljivosti, avtentičnosti, celovitosti ali zaupnosti do trenutka njene ponovne vzpostavitve</w:t>
      </w:r>
      <w:r w:rsidRPr="000E49F4">
        <w:rPr>
          <w:rStyle w:val="Sprotnaopomba-sklic"/>
          <w:rFonts w:ascii="Arial" w:hAnsi="Arial" w:cs="Arial"/>
          <w:sz w:val="22"/>
          <w:szCs w:val="22"/>
        </w:rPr>
        <w:footnoteReference w:id="3"/>
      </w:r>
      <w:r w:rsidRPr="000E49F4">
        <w:rPr>
          <w:rFonts w:ascii="Arial" w:hAnsi="Arial" w:cs="Arial"/>
          <w:sz w:val="22"/>
          <w:szCs w:val="22"/>
        </w:rPr>
        <w:t xml:space="preserve"> oziroma koliko časa bi verjetno poteklo</w:t>
      </w:r>
      <w:r w:rsidR="00694F9F">
        <w:rPr>
          <w:rFonts w:ascii="Arial" w:hAnsi="Arial" w:cs="Arial"/>
          <w:sz w:val="22"/>
          <w:szCs w:val="22"/>
        </w:rPr>
        <w:t>,</w:t>
      </w:r>
      <w:r w:rsidRPr="000E49F4">
        <w:rPr>
          <w:rFonts w:ascii="Arial" w:hAnsi="Arial" w:cs="Arial"/>
          <w:sz w:val="22"/>
          <w:szCs w:val="22"/>
        </w:rPr>
        <w:t xml:space="preserve"> preden bi incident imel pomemben negativen vpliv na zagotavljanje bistvene storitve (kar izhaja tudi iz uvodne izjave št. 27 Direktive 2016/1148/ES).</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dejavniku »geografska razširjenost, kar zadeva območje, na katerega vpliva incident« uredba upošteva geografsko območje, na katerem deluje oziroma lahko zagotavlja bistvene stori</w:t>
      </w:r>
      <w:r>
        <w:rPr>
          <w:rFonts w:ascii="Arial" w:hAnsi="Arial" w:cs="Arial"/>
          <w:sz w:val="22"/>
          <w:szCs w:val="22"/>
        </w:rPr>
        <w:t>tve IBS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energije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vseh bistvenih storitvah na področju energije je minimalni prag za hipotetično število uporabnikov, ki bi jih lahko prizadela motnja pri zagotavljanju teh bistvenih storitev, postavljen relativno visoko na 100.000 uporabnikov, pri tem pa je potrebno opozoriti, da se pri oceni izpolnjenosti tega dejavnika upoštevajo vsi uporabniki, ki storitev uporabljajo neposredno, posredno ali s posredovanjem oziroma so odvisni od nje.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dejavniku trajanje incidenta je potrebno presoditi, ali je dejavnik izpolnjen ne samo glede trajanja (od</w:t>
      </w:r>
      <w:r>
        <w:rPr>
          <w:rFonts w:ascii="Arial" w:hAnsi="Arial" w:cs="Arial"/>
          <w:sz w:val="22"/>
          <w:szCs w:val="22"/>
        </w:rPr>
        <w:t xml:space="preserve"> treh ur, treh</w:t>
      </w:r>
      <w:r w:rsidRPr="000E49F4">
        <w:rPr>
          <w:rFonts w:ascii="Arial" w:hAnsi="Arial" w:cs="Arial"/>
          <w:sz w:val="22"/>
          <w:szCs w:val="22"/>
        </w:rPr>
        <w:t xml:space="preserve"> dni do več kot teden dni), temveč tudi glede posledice, ki jo povzroči incident (pri prenosu elektr</w:t>
      </w:r>
      <w:r>
        <w:rPr>
          <w:rFonts w:ascii="Arial" w:hAnsi="Arial" w:cs="Arial"/>
          <w:sz w:val="22"/>
          <w:szCs w:val="22"/>
        </w:rPr>
        <w:t xml:space="preserve">ične energije </w:t>
      </w:r>
      <w:r w:rsidR="00694F9F">
        <w:rPr>
          <w:rFonts w:ascii="Arial" w:hAnsi="Arial" w:cs="Arial"/>
          <w:sz w:val="22"/>
          <w:szCs w:val="22"/>
        </w:rPr>
        <w:t xml:space="preserve">onemogoči </w:t>
      </w:r>
      <w:r>
        <w:rPr>
          <w:rFonts w:ascii="Arial" w:hAnsi="Arial" w:cs="Arial"/>
          <w:sz w:val="22"/>
          <w:szCs w:val="22"/>
        </w:rPr>
        <w:t>napajanj</w:t>
      </w:r>
      <w:r w:rsidR="00694F9F">
        <w:rPr>
          <w:rFonts w:ascii="Arial" w:hAnsi="Arial" w:cs="Arial"/>
          <w:sz w:val="22"/>
          <w:szCs w:val="22"/>
        </w:rPr>
        <w:t>e</w:t>
      </w:r>
      <w:r>
        <w:rPr>
          <w:rFonts w:ascii="Arial" w:hAnsi="Arial" w:cs="Arial"/>
          <w:sz w:val="22"/>
          <w:szCs w:val="22"/>
        </w:rPr>
        <w:t xml:space="preserve"> z električno energijo</w:t>
      </w:r>
      <w:r w:rsidRPr="000E49F4">
        <w:rPr>
          <w:rFonts w:ascii="Arial" w:hAnsi="Arial" w:cs="Arial"/>
          <w:sz w:val="22"/>
          <w:szCs w:val="22"/>
        </w:rPr>
        <w:t>, pri drugih bistvenih storitvah pa lahko incident povzroči le motnjo pri zagotavljanju storitve).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Dejavnik geografske razširjenosti je lahko na področju energije izpolnjen, če ima motnja pri zagotavljanju nekaterih bistvenih storitev bodisi vpliv na območju, večjem od deset odstotkov površine </w:t>
      </w:r>
      <w:r w:rsidR="00F40A13">
        <w:rPr>
          <w:rFonts w:ascii="Arial" w:hAnsi="Arial" w:cs="Arial"/>
          <w:sz w:val="22"/>
          <w:szCs w:val="22"/>
        </w:rPr>
        <w:t xml:space="preserve">RS </w:t>
      </w:r>
      <w:r>
        <w:rPr>
          <w:rFonts w:ascii="Arial" w:hAnsi="Arial" w:cs="Arial"/>
          <w:sz w:val="22"/>
          <w:szCs w:val="22"/>
        </w:rPr>
        <w:t>(za distribucijo</w:t>
      </w:r>
      <w:r w:rsidRPr="00D23827">
        <w:rPr>
          <w:rFonts w:ascii="Arial" w:hAnsi="Arial" w:cs="Arial"/>
          <w:sz w:val="22"/>
          <w:szCs w:val="22"/>
        </w:rPr>
        <w:t xml:space="preserve"> plin</w:t>
      </w:r>
      <w:r>
        <w:rPr>
          <w:rFonts w:ascii="Arial" w:hAnsi="Arial" w:cs="Arial"/>
          <w:sz w:val="22"/>
          <w:szCs w:val="22"/>
        </w:rPr>
        <w:t>astih goriv po plinovodni mreži)</w:t>
      </w:r>
      <w:r w:rsidRPr="000E49F4">
        <w:rPr>
          <w:rFonts w:ascii="Arial" w:hAnsi="Arial" w:cs="Arial"/>
          <w:sz w:val="22"/>
          <w:szCs w:val="22"/>
        </w:rPr>
        <w:t xml:space="preserve"> bodisi na celo</w:t>
      </w:r>
      <w:r w:rsidR="00F40A13">
        <w:rPr>
          <w:rFonts w:ascii="Arial" w:hAnsi="Arial" w:cs="Arial"/>
          <w:sz w:val="22"/>
          <w:szCs w:val="22"/>
        </w:rPr>
        <w:t>tnem območju RS</w:t>
      </w:r>
      <w:r>
        <w:rPr>
          <w:rFonts w:ascii="Arial" w:hAnsi="Arial" w:cs="Arial"/>
          <w:sz w:val="22"/>
          <w:szCs w:val="22"/>
        </w:rPr>
        <w:t xml:space="preserve"> (druga podpodročja)</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digitalne infrastrukture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vseh treh bistvenih storitvah na področju digitalne infrastrukture je minimalni prag za hipotetično število uporabnikov, ki bi jih lahko prizadela motnja pri zagotavljanju teh bistvenih storitev, postavljen relativno visoko na 100.000 uporabnikov, pri tem pa je potrebno opozoriti, da se pri oceni izpolnjenosti tega dejavnika upoštevajo vsi uporabniki, ki storitev uporabljajo neposredno, posredno ali s posredovanjem oziroma so odvisni od nje.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tega področja je dejavnik trajanja incidenta ovrednoten relativno kratko – na več kot šest ur, več kot 12 ur ali več kot 24 ur.</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se bistvene storitve na področju digitalne infrastrukture zagotavljajo geografsko neomejeno na območju </w:t>
      </w:r>
      <w:r w:rsidR="00F40A13">
        <w:rPr>
          <w:rFonts w:ascii="Arial" w:hAnsi="Arial" w:cs="Arial"/>
          <w:sz w:val="22"/>
          <w:szCs w:val="22"/>
        </w:rPr>
        <w:t xml:space="preserve">RS </w:t>
      </w:r>
      <w:r w:rsidRPr="000E49F4">
        <w:rPr>
          <w:rFonts w:ascii="Arial" w:hAnsi="Arial" w:cs="Arial"/>
          <w:sz w:val="22"/>
          <w:szCs w:val="22"/>
        </w:rPr>
        <w:t>je tako ovrednoten tudi dejavnik geografske razširjenosti.</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lastRenderedPageBreak/>
        <w:t>Dejavniki na področju oskrbe s pitno vodo in njene distribucije</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uvrstitvi storitev na seznam bistvenih storitev na področju oskrbe s pitno vodo in njene distribucije uredba sledi Prilogi II Direktive 2016/1148/ES, ki določa vrste subjektov v sektorju oskrba s pitno vodo in njena distribucija. Glede na navedeno direktivo so subjekti tega sektorja dobavitelji in distributerji vode,</w:t>
      </w:r>
      <w:r w:rsidRPr="000E49F4">
        <w:rPr>
          <w:rStyle w:val="Sprotnaopomba-sklic"/>
          <w:rFonts w:ascii="Arial" w:hAnsi="Arial" w:cs="Arial"/>
          <w:sz w:val="22"/>
          <w:szCs w:val="22"/>
        </w:rPr>
        <w:footnoteReference w:id="4"/>
      </w:r>
      <w:r w:rsidRPr="000E49F4">
        <w:rPr>
          <w:rFonts w:ascii="Arial" w:hAnsi="Arial" w:cs="Arial"/>
          <w:sz w:val="22"/>
          <w:szCs w:val="22"/>
        </w:rPr>
        <w:t xml:space="preserve"> namenjene za prehrano ljudi, vendar brez distributerjev, za katere je distribucija vode za prehrano ljudi le del splošne dejavnosti distribucije drugih dobrin in blaga, ki ne štejejo za bistvene storitve. Vsled tega je bila v prilogo uredbe na področju oskrbe s pitno vodo in njene distribucije uvrščena storitev »zbiranje, prečiščevanje in distribucija vode« (šifra standardne klasifikacije dejavnosti 36.000) z omejitvijo, da se ta storitev zagotavlja za gospodinjstva (da se zasleduje vidik uporabe pitne vode za prehrano ljudi). </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Minimalni prag za hipotetično število uporabnikov bistvene storitve na tem področju je postavljen relativno visoko na 100.000 uporabnikov, pri tem pa je potrebno opozoriti, da se pri oceni izpolnjenosti tega dejavnika upoštevajo vsi uporabniki, ki storitev uporabljajo neposredno, posredno ali s posredovanjem oziroma so odvisni od nje.</w:t>
      </w:r>
    </w:p>
    <w:p w:rsidR="00646638"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D</w:t>
      </w:r>
      <w:r w:rsidRPr="000E49F4">
        <w:rPr>
          <w:rFonts w:ascii="Arial" w:hAnsi="Arial" w:cs="Arial"/>
          <w:sz w:val="22"/>
          <w:szCs w:val="22"/>
        </w:rPr>
        <w:t xml:space="preserve">ejavnik trajanja incidenta </w:t>
      </w:r>
      <w:r>
        <w:rPr>
          <w:rFonts w:ascii="Arial" w:hAnsi="Arial" w:cs="Arial"/>
          <w:sz w:val="22"/>
          <w:szCs w:val="22"/>
        </w:rPr>
        <w:t>je ovrednoten relativno visoko (</w:t>
      </w:r>
      <w:r w:rsidRPr="00D83D53">
        <w:rPr>
          <w:rFonts w:ascii="Arial" w:hAnsi="Arial" w:cs="Arial"/>
          <w:sz w:val="22"/>
          <w:szCs w:val="22"/>
        </w:rPr>
        <w:t>preki</w:t>
      </w:r>
      <w:r>
        <w:rPr>
          <w:rFonts w:ascii="Arial" w:hAnsi="Arial" w:cs="Arial"/>
          <w:sz w:val="22"/>
          <w:szCs w:val="22"/>
        </w:rPr>
        <w:t xml:space="preserve">nitev zagotavljanja storitev </w:t>
      </w:r>
      <w:r w:rsidRPr="00D83D53">
        <w:rPr>
          <w:rFonts w:ascii="Arial" w:hAnsi="Arial" w:cs="Arial"/>
          <w:sz w:val="22"/>
          <w:szCs w:val="22"/>
        </w:rPr>
        <w:t>za več kot teden dni</w:t>
      </w:r>
      <w:r>
        <w:rPr>
          <w:rFonts w:ascii="Arial" w:hAnsi="Arial" w:cs="Arial"/>
          <w:sz w:val="22"/>
          <w:szCs w:val="22"/>
        </w:rPr>
        <w:t>), ker za preskrbo z vodo obstajajo alternativni načini oskrbe (v primeru oporečnosti vode- obveščanje prebivalstva s strani sredstev javnega obveščanja o obveznosti prekuhavanja vode</w:t>
      </w:r>
      <w:r w:rsidR="002D08ED">
        <w:rPr>
          <w:rFonts w:ascii="Arial" w:hAnsi="Arial" w:cs="Arial"/>
          <w:sz w:val="22"/>
          <w:szCs w:val="22"/>
        </w:rPr>
        <w:t>, dostava vode s cisternami</w:t>
      </w:r>
      <w:r>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oskrba s pitno vodo sodi med obvezne občinske gospodarske javne službe varstva okolja, geografsko območje, na katerem ima vpliv motnja pri zagotavljanju bistvene storitve na področju oskrbe z vodo in njeno distribucijo, ni razširjeno na </w:t>
      </w:r>
      <w:r w:rsidR="00F40A13">
        <w:rPr>
          <w:rFonts w:ascii="Arial" w:hAnsi="Arial" w:cs="Arial"/>
          <w:sz w:val="22"/>
          <w:szCs w:val="22"/>
        </w:rPr>
        <w:t>območje RS</w:t>
      </w:r>
      <w:r w:rsidRPr="000E49F4">
        <w:rPr>
          <w:rFonts w:ascii="Arial" w:hAnsi="Arial" w:cs="Arial"/>
          <w:sz w:val="22"/>
          <w:szCs w:val="22"/>
        </w:rPr>
        <w:t>, temveč je minimalni prag dejavnika določen na območju, večjem od deset odstot</w:t>
      </w:r>
      <w:r w:rsidR="00F40A13">
        <w:rPr>
          <w:rFonts w:ascii="Arial" w:hAnsi="Arial" w:cs="Arial"/>
          <w:sz w:val="22"/>
          <w:szCs w:val="22"/>
        </w:rPr>
        <w:t>kov površine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zdravstva</w:t>
      </w:r>
    </w:p>
    <w:p w:rsidR="00646638"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vseh štirih bistvenih storitvah na področju zdravstva je dejavnik število uporabnikov določen kot dejavnik, ki mora biti obvezno izpolnjen, da bi se lahko nek konkretni subjekt določilo</w:t>
      </w:r>
      <w:r>
        <w:rPr>
          <w:rFonts w:ascii="Arial" w:hAnsi="Arial" w:cs="Arial"/>
          <w:sz w:val="22"/>
          <w:szCs w:val="22"/>
        </w:rPr>
        <w:t xml:space="preserve"> za IBS</w:t>
      </w:r>
      <w:r w:rsidRPr="000E49F4">
        <w:rPr>
          <w:rFonts w:ascii="Arial" w:hAnsi="Arial" w:cs="Arial"/>
          <w:sz w:val="22"/>
          <w:szCs w:val="22"/>
        </w:rPr>
        <w:t xml:space="preserve">. Zaradi večje jasnosti je glede na značilnosti posamezne storitve ta dejavnik za vsako od teh štirih bistvenih storitev tudi različno ovrednoten. </w:t>
      </w:r>
    </w:p>
    <w:p w:rsidR="00646638"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D</w:t>
      </w:r>
      <w:r w:rsidRPr="000E49F4">
        <w:rPr>
          <w:rFonts w:ascii="Arial" w:hAnsi="Arial" w:cs="Arial"/>
          <w:sz w:val="22"/>
          <w:szCs w:val="22"/>
        </w:rPr>
        <w:t xml:space="preserve">ejavnik trajanja incidenta </w:t>
      </w:r>
      <w:r>
        <w:rPr>
          <w:rFonts w:ascii="Arial" w:hAnsi="Arial" w:cs="Arial"/>
          <w:sz w:val="22"/>
          <w:szCs w:val="22"/>
        </w:rPr>
        <w:t>je ovrednoten relativno visoko (</w:t>
      </w:r>
      <w:r w:rsidRPr="00D83D53">
        <w:rPr>
          <w:rFonts w:ascii="Arial" w:hAnsi="Arial" w:cs="Arial"/>
          <w:sz w:val="22"/>
          <w:szCs w:val="22"/>
        </w:rPr>
        <w:t>preki</w:t>
      </w:r>
      <w:r>
        <w:rPr>
          <w:rFonts w:ascii="Arial" w:hAnsi="Arial" w:cs="Arial"/>
          <w:sz w:val="22"/>
          <w:szCs w:val="22"/>
        </w:rPr>
        <w:t xml:space="preserve">nitev zagotavljanja storitev </w:t>
      </w:r>
      <w:r w:rsidRPr="00D83D53">
        <w:rPr>
          <w:rFonts w:ascii="Arial" w:hAnsi="Arial" w:cs="Arial"/>
          <w:sz w:val="22"/>
          <w:szCs w:val="22"/>
        </w:rPr>
        <w:t>za več kot teden dni</w:t>
      </w:r>
      <w:r>
        <w:rPr>
          <w:rFonts w:ascii="Arial" w:hAnsi="Arial" w:cs="Arial"/>
          <w:sz w:val="22"/>
          <w:szCs w:val="22"/>
        </w:rPr>
        <w:t>), ker je zdravstvene storitve v veliki meri možno opravljati tudi brez uporabe informacijske tehnologije oziroma z njeno okrnjeno funkcionalnostjo (seveda z zmanjšano storilnostjo).</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prosto izbiro izvajalca na vseh ravneh zdravstvenega varstva oziroma možnost dviga zdravila na recept v katerikoli lekarni </w:t>
      </w:r>
      <w:r>
        <w:rPr>
          <w:rFonts w:ascii="Arial" w:hAnsi="Arial" w:cs="Arial"/>
          <w:sz w:val="22"/>
          <w:szCs w:val="22"/>
        </w:rPr>
        <w:t>v RS</w:t>
      </w:r>
      <w:r w:rsidRPr="000E49F4">
        <w:rPr>
          <w:rFonts w:ascii="Arial" w:hAnsi="Arial" w:cs="Arial"/>
          <w:sz w:val="22"/>
          <w:szCs w:val="22"/>
        </w:rPr>
        <w:t xml:space="preserve"> je geografsko območje, na katerem lahko vpliva incident, razširjen</w:t>
      </w:r>
      <w:r>
        <w:rPr>
          <w:rFonts w:ascii="Arial" w:hAnsi="Arial" w:cs="Arial"/>
          <w:sz w:val="22"/>
          <w:szCs w:val="22"/>
        </w:rPr>
        <w:t>o na območje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prometa</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Uredba na področju prometa glede števila uporabnikov razlikuje med uporabniki (fizičnimi ali pravnimi osebami, ki uporabljajo posamezno bistveno storitev neposredno, posredno ali s posredovanjem oziroma so od nje odvisne) in fizičnimi osebami glede na vrsto posamezne bistvene storitve (potniški/ tovorni promet). </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potrebnost hitrega odziva pri zagotavljanju nekaterih bistvenih storitev (na primer v zračnem in cestnem prometu) je dejavnik trajanja incidenta ovrednoten relativno kratko – na </w:t>
      </w:r>
      <w:r w:rsidRPr="000E49F4">
        <w:rPr>
          <w:rFonts w:ascii="Arial" w:hAnsi="Arial" w:cs="Arial"/>
          <w:sz w:val="22"/>
          <w:szCs w:val="22"/>
        </w:rPr>
        <w:lastRenderedPageBreak/>
        <w:t>več kot 12 ur ali na 24 ur, pri drugih bistvenih storitvah na tem področju (na primer železniški in pomorski potniški ter tovorni promet) pa je ovrednoten relativno dolgo – na najmanj teden dni.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subjekti na področju prometa lahko delujejo </w:t>
      </w:r>
      <w:r w:rsidR="002D08ED">
        <w:rPr>
          <w:rFonts w:ascii="Arial" w:hAnsi="Arial" w:cs="Arial"/>
          <w:sz w:val="22"/>
          <w:szCs w:val="22"/>
        </w:rPr>
        <w:t xml:space="preserve">kjerkoli </w:t>
      </w:r>
      <w:r w:rsidRPr="000E49F4">
        <w:rPr>
          <w:rFonts w:ascii="Arial" w:hAnsi="Arial" w:cs="Arial"/>
          <w:sz w:val="22"/>
          <w:szCs w:val="22"/>
        </w:rPr>
        <w:t xml:space="preserve">na </w:t>
      </w:r>
      <w:r>
        <w:rPr>
          <w:rFonts w:ascii="Arial" w:hAnsi="Arial" w:cs="Arial"/>
          <w:sz w:val="22"/>
          <w:szCs w:val="22"/>
        </w:rPr>
        <w:t>območju RS</w:t>
      </w:r>
      <w:r w:rsidRPr="000E49F4">
        <w:rPr>
          <w:rFonts w:ascii="Arial" w:hAnsi="Arial" w:cs="Arial"/>
          <w:sz w:val="22"/>
          <w:szCs w:val="22"/>
        </w:rPr>
        <w:t>, je geografsko območje, na katerem lahko vpliva incident, razširjen</w:t>
      </w:r>
      <w:r>
        <w:rPr>
          <w:rFonts w:ascii="Arial" w:hAnsi="Arial" w:cs="Arial"/>
          <w:sz w:val="22"/>
          <w:szCs w:val="22"/>
        </w:rPr>
        <w:t>o na območje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bančništva</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obseg posamezne bistvene storitve na področju bančništva je dejavnik število uporabnikov ovrednoten za vsako</w:t>
      </w:r>
      <w:r>
        <w:rPr>
          <w:rFonts w:ascii="Arial" w:hAnsi="Arial" w:cs="Arial"/>
          <w:sz w:val="22"/>
          <w:szCs w:val="22"/>
        </w:rPr>
        <w:t xml:space="preserve"> bistveno storitev drugače – </w:t>
      </w:r>
      <w:r w:rsidRPr="000E49F4">
        <w:rPr>
          <w:rFonts w:ascii="Arial" w:hAnsi="Arial" w:cs="Arial"/>
          <w:sz w:val="22"/>
          <w:szCs w:val="22"/>
        </w:rPr>
        <w:t>več kot 10.000 uporabnikov</w:t>
      </w:r>
      <w:r>
        <w:rPr>
          <w:rFonts w:ascii="Arial" w:hAnsi="Arial" w:cs="Arial"/>
          <w:sz w:val="22"/>
          <w:szCs w:val="22"/>
        </w:rPr>
        <w:t xml:space="preserve">, več kot 50.000 uporabnikov in </w:t>
      </w:r>
      <w:r w:rsidRPr="000E49F4">
        <w:rPr>
          <w:rFonts w:ascii="Arial" w:hAnsi="Arial" w:cs="Arial"/>
          <w:sz w:val="22"/>
          <w:szCs w:val="22"/>
        </w:rPr>
        <w:t>več kot 100.000 uporabnikov.</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pri zagotavljanju nekaterih bistvenih storitev (na primer dejavnost obdelave finančnih transakcij in dejavnost poravnav, vključno s transakcijami s kreditnimi karticami – plačni promet) je dejavnik trajanja incidenta ovrednoten relativno kratko – na več kot en dan, pri drugih dveh bistvenih storitvah na tem področju pa je ovrednoten relativno dolgo – na več kot tri dni oziroma na več kot teden dni.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subjekti na tem področju lahko delujejo </w:t>
      </w:r>
      <w:r w:rsidR="007F28AC">
        <w:rPr>
          <w:rFonts w:ascii="Arial" w:hAnsi="Arial" w:cs="Arial"/>
          <w:sz w:val="22"/>
          <w:szCs w:val="22"/>
        </w:rPr>
        <w:t>kjer</w:t>
      </w:r>
      <w:r w:rsidR="00373D38">
        <w:rPr>
          <w:rFonts w:ascii="Arial" w:hAnsi="Arial" w:cs="Arial"/>
          <w:sz w:val="22"/>
          <w:szCs w:val="22"/>
        </w:rPr>
        <w:t>koli v</w:t>
      </w:r>
      <w:r>
        <w:rPr>
          <w:rFonts w:ascii="Arial" w:hAnsi="Arial" w:cs="Arial"/>
          <w:sz w:val="22"/>
          <w:szCs w:val="22"/>
        </w:rPr>
        <w:t xml:space="preserve"> RS</w:t>
      </w:r>
      <w:r w:rsidRPr="000E49F4">
        <w:rPr>
          <w:rFonts w:ascii="Arial" w:hAnsi="Arial" w:cs="Arial"/>
          <w:sz w:val="22"/>
          <w:szCs w:val="22"/>
        </w:rPr>
        <w:t>, je geografsko območje, na katerem lahko vpliva incident, razširjen</w:t>
      </w:r>
      <w:r>
        <w:rPr>
          <w:rFonts w:ascii="Arial" w:hAnsi="Arial" w:cs="Arial"/>
          <w:sz w:val="22"/>
          <w:szCs w:val="22"/>
        </w:rPr>
        <w:t>o na območje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infrastrukture finančnega trga</w:t>
      </w:r>
    </w:p>
    <w:p w:rsidR="00646638" w:rsidRDefault="00646638" w:rsidP="00646638">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Pri bistveni storitvi upravljanje finančnih virov</w:t>
      </w:r>
      <w:r w:rsidRPr="000E49F4">
        <w:rPr>
          <w:rFonts w:ascii="Arial" w:hAnsi="Arial" w:cs="Arial"/>
          <w:sz w:val="22"/>
          <w:szCs w:val="22"/>
        </w:rPr>
        <w:t xml:space="preserve"> je dejavnik število uporabnikov določen na 10.000 uporabnikov,</w:t>
      </w:r>
      <w:r>
        <w:rPr>
          <w:rFonts w:ascii="Arial" w:hAnsi="Arial" w:cs="Arial"/>
          <w:sz w:val="22"/>
          <w:szCs w:val="22"/>
        </w:rPr>
        <w:t xml:space="preserve"> pri posredništvu</w:t>
      </w:r>
      <w:r w:rsidRPr="001E133A">
        <w:rPr>
          <w:rFonts w:ascii="Arial" w:hAnsi="Arial" w:cs="Arial"/>
          <w:sz w:val="22"/>
          <w:szCs w:val="22"/>
        </w:rPr>
        <w:t xml:space="preserve"> pri trgovanju z vrednostnimi papirji</w:t>
      </w:r>
      <w:r w:rsidRPr="000E49F4">
        <w:rPr>
          <w:rFonts w:ascii="Arial" w:hAnsi="Arial" w:cs="Arial"/>
          <w:sz w:val="22"/>
          <w:szCs w:val="22"/>
        </w:rPr>
        <w:t xml:space="preserve"> </w:t>
      </w:r>
      <w:r>
        <w:rPr>
          <w:rFonts w:ascii="Arial" w:hAnsi="Arial" w:cs="Arial"/>
          <w:sz w:val="22"/>
          <w:szCs w:val="22"/>
        </w:rPr>
        <w:t>pa na 50.000 uporabnikov.</w:t>
      </w:r>
    </w:p>
    <w:p w:rsidR="00646638"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Pr>
          <w:rFonts w:ascii="Arial" w:hAnsi="Arial" w:cs="Arial"/>
          <w:sz w:val="22"/>
          <w:szCs w:val="22"/>
        </w:rPr>
        <w:t>G</w:t>
      </w:r>
      <w:r w:rsidRPr="000E49F4">
        <w:rPr>
          <w:rFonts w:ascii="Arial" w:hAnsi="Arial" w:cs="Arial"/>
          <w:sz w:val="22"/>
          <w:szCs w:val="22"/>
        </w:rPr>
        <w:t>lede na potrebnost hitrega odziva pri zagotavljanju bistvenih storitev pa je dejavnik trajanja incidenta določen na več kot tri delovne dni.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subjekti na tem področju lahko delujejo </w:t>
      </w:r>
      <w:r w:rsidR="00373D38">
        <w:rPr>
          <w:rFonts w:ascii="Arial" w:hAnsi="Arial" w:cs="Arial"/>
          <w:sz w:val="22"/>
          <w:szCs w:val="22"/>
        </w:rPr>
        <w:t>kjerkoli v</w:t>
      </w:r>
      <w:r w:rsidRPr="000E49F4">
        <w:rPr>
          <w:rFonts w:ascii="Arial" w:hAnsi="Arial" w:cs="Arial"/>
          <w:sz w:val="22"/>
          <w:szCs w:val="22"/>
        </w:rPr>
        <w:t xml:space="preserve"> </w:t>
      </w:r>
      <w:r>
        <w:rPr>
          <w:rFonts w:ascii="Arial" w:hAnsi="Arial" w:cs="Arial"/>
          <w:sz w:val="22"/>
          <w:szCs w:val="22"/>
        </w:rPr>
        <w:t xml:space="preserve">RS </w:t>
      </w:r>
      <w:r w:rsidRPr="000E49F4">
        <w:rPr>
          <w:rFonts w:ascii="Arial" w:hAnsi="Arial" w:cs="Arial"/>
          <w:sz w:val="22"/>
          <w:szCs w:val="22"/>
        </w:rPr>
        <w:t>je geografsko območje, na katerem lahko vpliva incident, razširjeno na območje</w:t>
      </w:r>
      <w:r>
        <w:rPr>
          <w:rFonts w:ascii="Arial" w:hAnsi="Arial" w:cs="Arial"/>
          <w:sz w:val="22"/>
          <w:szCs w:val="22"/>
        </w:rPr>
        <w:t xml:space="preserv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preskrbe s hrano</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bistveni storitvi na področju preskrbe s hrano je dejavnik število uporabnikov določen na več kot 100.000 uporabnikov, dejavnik trajanja incidenta pa je ovrednoten v trajanju več kot teden dni.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lahko subjekti bistveno storitev skladiščenja zagotavljajo </w:t>
      </w:r>
      <w:r w:rsidR="00373D38">
        <w:rPr>
          <w:rFonts w:ascii="Arial" w:hAnsi="Arial" w:cs="Arial"/>
          <w:sz w:val="22"/>
          <w:szCs w:val="22"/>
        </w:rPr>
        <w:t>kjerkoli v</w:t>
      </w:r>
      <w:r>
        <w:rPr>
          <w:rFonts w:ascii="Arial" w:hAnsi="Arial" w:cs="Arial"/>
          <w:sz w:val="22"/>
          <w:szCs w:val="22"/>
        </w:rPr>
        <w:t xml:space="preserve"> RS</w:t>
      </w:r>
      <w:r w:rsidRPr="000E49F4">
        <w:rPr>
          <w:rFonts w:ascii="Arial" w:hAnsi="Arial" w:cs="Arial"/>
          <w:sz w:val="22"/>
          <w:szCs w:val="22"/>
        </w:rPr>
        <w:t>, je geografsko območje, na katerem lahko vpliva incident, razširjen</w:t>
      </w:r>
      <w:r>
        <w:rPr>
          <w:rFonts w:ascii="Arial" w:hAnsi="Arial" w:cs="Arial"/>
          <w:sz w:val="22"/>
          <w:szCs w:val="22"/>
        </w:rPr>
        <w:t>o na območje RS</w:t>
      </w:r>
      <w:r w:rsidRPr="000E49F4">
        <w:rPr>
          <w:rFonts w:ascii="Arial" w:hAnsi="Arial" w:cs="Arial"/>
          <w:sz w:val="22"/>
          <w:szCs w:val="22"/>
        </w:rPr>
        <w:t>.</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varstva okolja</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je na seznam bistvenih storitev na področju varstva okolja vključena storitev »ravnanje z nevarnimi odpadki« (šifra standardne klasifikacije dejavnosti 38.220), uredba kot »nevarne odpadke« šteje tudi »radioaktivne odpadke«. Iz Pojasnil k standardni klasifikaciji dejavnosti – SKD 2008, ki so priloga 2 k Uredbi o standardni klasifikaciji dejavnosti (Uradni list RS, št. 69/07 in 17/08), je namreč razvidno, da k storitvi »38.220 Ravnanje z nevarnimi odpadki« spada tudi »ravnanje z radioaktivnimi odpadki«, na primer ravnanje z nizkoradioaktivnimi odpadki iz bolnišnic ali priprava jedrskih odpadkov za skladiščenje in odlaganje. V teh pojasnilih je izpostavljeno tudi, da predelava izrabljenega jedrskega goriva in visokoradioaktvnih odpadkov v to storitev ne sodi.</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Pri bistveni storitvi na področju varstva okolja je potrebno pri dejavniku število uporabnikov presoditi, ali je dejavnik izpolnjen ne samo glede števila (50.000 fizičnih oseb), temveč tudi </w:t>
      </w:r>
      <w:r w:rsidRPr="000E49F4">
        <w:rPr>
          <w:rFonts w:ascii="Arial" w:hAnsi="Arial" w:cs="Arial"/>
          <w:sz w:val="22"/>
          <w:szCs w:val="22"/>
        </w:rPr>
        <w:lastRenderedPageBreak/>
        <w:t>glede posledice, ki jo povzroči incident tem osebam (neposredni kratkoročni vpliv na zdravje teh oseb zaradi onesnaženja ali radioaktivne kontaminacije okolja).</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tega področja je dejavnik trajanja incidenta ovrednoten relativno kratko – na več kot 24 ur.</w:t>
      </w: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bi imela motnja pri zagotavljanju te storitve največji vpliv na območju, kjer se zagotavlja, oziroma v svoji neposredni okolici, je dejavnik geografske razširjenosti ovrednoten kot območje z več kot 50.000 prebivalci ali območje, ki je večje od 100 hektarjev.</w:t>
      </w:r>
    </w:p>
    <w:p w:rsidR="00646638" w:rsidRDefault="00646638" w:rsidP="00646638">
      <w:pPr>
        <w:pStyle w:val="Bodytext20"/>
        <w:shd w:val="clear" w:color="auto" w:fill="auto"/>
        <w:spacing w:before="0" w:after="0" w:line="240" w:lineRule="auto"/>
        <w:ind w:firstLine="0"/>
        <w:rPr>
          <w:rFonts w:ascii="Arial" w:hAnsi="Arial" w:cs="Arial"/>
          <w:b/>
          <w:sz w:val="22"/>
          <w:szCs w:val="22"/>
        </w:rPr>
      </w:pP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PRILOGA</w:t>
      </w:r>
    </w:p>
    <w:p w:rsidR="00646638" w:rsidRPr="000E49F4" w:rsidRDefault="00646638" w:rsidP="00646638">
      <w:pPr>
        <w:pStyle w:val="Bodytext20"/>
        <w:shd w:val="clear" w:color="auto" w:fill="auto"/>
        <w:spacing w:before="0" w:after="0" w:line="240" w:lineRule="auto"/>
        <w:ind w:firstLine="0"/>
        <w:rPr>
          <w:rStyle w:val="Bodytext2"/>
          <w:rFonts w:ascii="Arial" w:hAnsi="Arial" w:cs="Arial"/>
          <w:b/>
          <w:color w:val="000000"/>
          <w:sz w:val="22"/>
          <w:szCs w:val="22"/>
        </w:rPr>
      </w:pPr>
    </w:p>
    <w:p w:rsidR="00646638" w:rsidRPr="000E49F4" w:rsidRDefault="00646638" w:rsidP="00646638">
      <w:pPr>
        <w:jc w:val="both"/>
        <w:rPr>
          <w:rFonts w:ascii="Arial" w:hAnsi="Arial" w:cs="Arial"/>
        </w:rPr>
      </w:pPr>
      <w:r w:rsidRPr="000E49F4">
        <w:rPr>
          <w:rFonts w:ascii="Arial" w:hAnsi="Arial" w:cs="Arial"/>
        </w:rPr>
        <w:t>Uredba vsebinsko sledi Prilogi II Direktive 2016/1148/ES</w:t>
      </w:r>
      <w:r w:rsidRPr="000E49F4" w:rsidDel="00BC77B8">
        <w:rPr>
          <w:rFonts w:ascii="Arial" w:hAnsi="Arial" w:cs="Arial"/>
        </w:rPr>
        <w:t xml:space="preserve"> </w:t>
      </w:r>
      <w:r w:rsidRPr="000E49F4">
        <w:rPr>
          <w:rFonts w:ascii="Arial" w:hAnsi="Arial" w:cs="Arial"/>
        </w:rPr>
        <w:t>in bistvene storitve razdeli na področja oziroma podpodročja. Seznam bi</w:t>
      </w:r>
      <w:r w:rsidR="00F40A13">
        <w:rPr>
          <w:rFonts w:ascii="Arial" w:hAnsi="Arial" w:cs="Arial"/>
        </w:rPr>
        <w:t>stvenih storitev je s predlagano</w:t>
      </w:r>
      <w:r w:rsidRPr="000E49F4">
        <w:rPr>
          <w:rFonts w:ascii="Arial" w:hAnsi="Arial" w:cs="Arial"/>
        </w:rPr>
        <w:t xml:space="preserve"> uredbo določen s </w:t>
      </w:r>
      <w:r w:rsidR="00373D38">
        <w:rPr>
          <w:rFonts w:ascii="Arial" w:hAnsi="Arial" w:cs="Arial"/>
        </w:rPr>
        <w:t>p</w:t>
      </w:r>
      <w:r w:rsidRPr="000E49F4">
        <w:rPr>
          <w:rFonts w:ascii="Arial" w:hAnsi="Arial" w:cs="Arial"/>
        </w:rPr>
        <w:t>rilogo k uredbi, iz katere je</w:t>
      </w:r>
      <w:r w:rsidR="00145A63">
        <w:rPr>
          <w:rFonts w:ascii="Arial" w:hAnsi="Arial" w:cs="Arial"/>
        </w:rPr>
        <w:t xml:space="preserve"> razvidno:</w:t>
      </w:r>
    </w:p>
    <w:p w:rsidR="00646638" w:rsidRPr="00145A63" w:rsidRDefault="00646638" w:rsidP="00646638">
      <w:pPr>
        <w:pStyle w:val="Odstavekseznama"/>
        <w:numPr>
          <w:ilvl w:val="0"/>
          <w:numId w:val="24"/>
        </w:numPr>
        <w:spacing w:after="160" w:line="259" w:lineRule="auto"/>
        <w:jc w:val="both"/>
        <w:rPr>
          <w:rFonts w:cs="Arial"/>
          <w:sz w:val="22"/>
          <w:szCs w:val="22"/>
        </w:rPr>
      </w:pPr>
      <w:r w:rsidRPr="00145A63">
        <w:rPr>
          <w:rFonts w:cs="Arial"/>
          <w:sz w:val="22"/>
          <w:szCs w:val="22"/>
        </w:rPr>
        <w:t xml:space="preserve">področje glede na drugi odstavek 5. člena ZInfV (energija, digitalna infrastruktura, oskrba s pitno vodo in njena distribucija, zdravstvo, promet, bančništvo, infrastruktura finančnega trga, preskrba s hrano in varstvo okolja), </w:t>
      </w:r>
    </w:p>
    <w:p w:rsidR="00646638" w:rsidRPr="00145A63" w:rsidRDefault="00646638" w:rsidP="00646638">
      <w:pPr>
        <w:pStyle w:val="Odstavekseznama"/>
        <w:numPr>
          <w:ilvl w:val="0"/>
          <w:numId w:val="24"/>
        </w:numPr>
        <w:spacing w:after="160" w:line="259" w:lineRule="auto"/>
        <w:jc w:val="both"/>
        <w:rPr>
          <w:rFonts w:cs="Arial"/>
          <w:sz w:val="22"/>
          <w:szCs w:val="22"/>
        </w:rPr>
      </w:pPr>
      <w:r w:rsidRPr="00145A63">
        <w:rPr>
          <w:rFonts w:cs="Arial"/>
          <w:sz w:val="22"/>
          <w:szCs w:val="22"/>
        </w:rPr>
        <w:t>podpodročje (</w:t>
      </w:r>
      <w:r w:rsidRPr="00145A63">
        <w:rPr>
          <w:rFonts w:cs="Arial"/>
          <w:color w:val="000000"/>
          <w:sz w:val="22"/>
          <w:szCs w:val="22"/>
        </w:rPr>
        <w:t xml:space="preserve">kjer je to potrebno glede na Prilogo II direktive; in sicer sta to </w:t>
      </w:r>
      <w:r w:rsidRPr="00145A63">
        <w:rPr>
          <w:rFonts w:cs="Arial"/>
          <w:sz w:val="22"/>
          <w:szCs w:val="22"/>
        </w:rPr>
        <w:t xml:space="preserve">področji energije- elektrika, nafta, plin in prometa- zračni, železniški, vodni, cestni), </w:t>
      </w:r>
    </w:p>
    <w:p w:rsidR="00646638" w:rsidRPr="00145A63" w:rsidRDefault="00646638" w:rsidP="00646638">
      <w:pPr>
        <w:pStyle w:val="Odstavekseznama"/>
        <w:numPr>
          <w:ilvl w:val="0"/>
          <w:numId w:val="24"/>
        </w:numPr>
        <w:spacing w:after="160" w:line="259" w:lineRule="auto"/>
        <w:jc w:val="both"/>
        <w:rPr>
          <w:rFonts w:cs="Arial"/>
          <w:sz w:val="22"/>
          <w:szCs w:val="22"/>
        </w:rPr>
      </w:pPr>
      <w:r w:rsidRPr="00145A63">
        <w:rPr>
          <w:rFonts w:cs="Arial"/>
          <w:sz w:val="22"/>
          <w:szCs w:val="22"/>
        </w:rPr>
        <w:t>šifra podrazreda standardne klasifikacije dejavnosti in naziv (iz Uredbe o standardni klasifikaciji dejavnosti- Uradni list RS, št. 69/07 in 17/08),</w:t>
      </w:r>
    </w:p>
    <w:p w:rsidR="00646638" w:rsidRPr="00145A63" w:rsidRDefault="00646638" w:rsidP="00646638">
      <w:pPr>
        <w:pStyle w:val="Odstavekseznama"/>
        <w:numPr>
          <w:ilvl w:val="0"/>
          <w:numId w:val="24"/>
        </w:numPr>
        <w:spacing w:after="160" w:line="259" w:lineRule="auto"/>
        <w:jc w:val="both"/>
        <w:rPr>
          <w:rFonts w:cs="Arial"/>
          <w:sz w:val="22"/>
          <w:szCs w:val="22"/>
        </w:rPr>
      </w:pPr>
      <w:r w:rsidRPr="00145A63">
        <w:rPr>
          <w:rFonts w:cs="Arial"/>
          <w:sz w:val="22"/>
          <w:szCs w:val="22"/>
        </w:rPr>
        <w:t>po potrebi omejitve, na katere dejavnosti znotraj podrazreda oziroma naziva iz SKD se bistvena storitev nanaša (tako je npr. za naziv storitve »Trgovanje z električno energijo« v opombi navedeno, da se ta storitev nanaša samo na prodajo električne energije odjemalcem itd.)</w:t>
      </w:r>
      <w:r w:rsidRPr="00145A63">
        <w:rPr>
          <w:rStyle w:val="Sprotnaopomba-sklic"/>
          <w:rFonts w:cs="Arial"/>
          <w:sz w:val="22"/>
          <w:szCs w:val="22"/>
        </w:rPr>
        <w:footnoteReference w:id="5"/>
      </w:r>
      <w:r w:rsidRPr="00145A63">
        <w:rPr>
          <w:rFonts w:cs="Arial"/>
          <w:sz w:val="22"/>
          <w:szCs w:val="22"/>
        </w:rPr>
        <w:t xml:space="preserve"> ter</w:t>
      </w:r>
    </w:p>
    <w:p w:rsidR="00646638" w:rsidRPr="00145A63" w:rsidRDefault="00646638" w:rsidP="00646638">
      <w:pPr>
        <w:pStyle w:val="Odstavekseznama"/>
        <w:numPr>
          <w:ilvl w:val="0"/>
          <w:numId w:val="24"/>
        </w:numPr>
        <w:spacing w:after="160" w:line="259" w:lineRule="auto"/>
        <w:jc w:val="both"/>
        <w:rPr>
          <w:rFonts w:cs="Arial"/>
          <w:sz w:val="22"/>
          <w:szCs w:val="22"/>
        </w:rPr>
      </w:pPr>
      <w:r w:rsidRPr="00145A63">
        <w:rPr>
          <w:rFonts w:cs="Arial"/>
          <w:sz w:val="22"/>
          <w:szCs w:val="22"/>
        </w:rPr>
        <w:t>pomen subjekta, ki izvaja bistvene storitve, za namen določitve katerega je postavljen prag (npr. inštalir</w:t>
      </w:r>
      <w:r w:rsidR="00562B8B">
        <w:rPr>
          <w:rFonts w:cs="Arial"/>
          <w:sz w:val="22"/>
          <w:szCs w:val="22"/>
        </w:rPr>
        <w:t>a</w:t>
      </w:r>
      <w:r w:rsidRPr="00145A63">
        <w:rPr>
          <w:rFonts w:cs="Arial"/>
          <w:sz w:val="22"/>
          <w:szCs w:val="22"/>
        </w:rPr>
        <w:t>na moč, letni promet, kapaciteta, število prepeljanih potnikov/obravnavanih oseb,</w:t>
      </w:r>
      <w:r w:rsidR="000D7B4D">
        <w:rPr>
          <w:rFonts w:cs="Arial"/>
          <w:sz w:val="22"/>
          <w:szCs w:val="22"/>
        </w:rPr>
        <w:t xml:space="preserve"> </w:t>
      </w:r>
      <w:r w:rsidRPr="00145A63">
        <w:rPr>
          <w:rFonts w:cs="Arial"/>
          <w:sz w:val="22"/>
          <w:szCs w:val="22"/>
        </w:rPr>
        <w:t>itd…).</w:t>
      </w:r>
    </w:p>
    <w:p w:rsidR="00646638" w:rsidRPr="00356937" w:rsidRDefault="00646638" w:rsidP="00646638">
      <w:pPr>
        <w:pStyle w:val="Odstavekseznama"/>
        <w:jc w:val="both"/>
        <w:rPr>
          <w:rFonts w:cs="Arial"/>
        </w:rPr>
      </w:pPr>
    </w:p>
    <w:p w:rsidR="00646638" w:rsidRPr="000E49F4" w:rsidRDefault="00646638" w:rsidP="00646638">
      <w:pPr>
        <w:jc w:val="both"/>
        <w:rPr>
          <w:rFonts w:ascii="Arial" w:hAnsi="Arial" w:cs="Arial"/>
        </w:rPr>
      </w:pPr>
      <w:r w:rsidRPr="000E49F4">
        <w:rPr>
          <w:rFonts w:ascii="Arial" w:hAnsi="Arial" w:cs="Arial"/>
        </w:rPr>
        <w:t>Z navedenim se tudi konkretizirajo določbe uvodne izjave št. 22 Direktive 2016/1148/ES, ki pravi, da je možno</w:t>
      </w:r>
      <w:r w:rsidRPr="000E49F4">
        <w:rPr>
          <w:rFonts w:ascii="Arial" w:hAnsi="Arial" w:cs="Arial"/>
          <w:i/>
        </w:rPr>
        <w:t>, »da subjekti v sektorjih in podsektorjih iz te direktive zagotavljajo tako bistvene storitve kakor tudi druge storitve, ki ne štejejo za bistvene. […] Za izvajalce bistvenih storitev bi morale veljati posebne varnostne zahteve, vendar le za tiste storitve, ki štejejo za bistvene. Države članice bi za namen določitve izvajalcev bistvenih storitev zato morale sestaviti seznam storitev, ki štejejo za bistvene«.</w:t>
      </w:r>
    </w:p>
    <w:p w:rsidR="00646638" w:rsidRPr="000E49F4" w:rsidRDefault="00646638" w:rsidP="00646638">
      <w:pPr>
        <w:pStyle w:val="Bodytext20"/>
        <w:shd w:val="clear" w:color="auto" w:fill="auto"/>
        <w:spacing w:before="0" w:after="0" w:line="240" w:lineRule="auto"/>
        <w:ind w:firstLine="0"/>
        <w:rPr>
          <w:rFonts w:ascii="Arial" w:hAnsi="Arial" w:cs="Arial"/>
          <w:b/>
          <w:sz w:val="22"/>
          <w:szCs w:val="22"/>
        </w:rPr>
      </w:pPr>
    </w:p>
    <w:p w:rsidR="00D859AD" w:rsidRPr="00D859AD" w:rsidRDefault="00D859AD" w:rsidP="00D859AD">
      <w:pPr>
        <w:jc w:val="both"/>
        <w:rPr>
          <w:rFonts w:ascii="Arial" w:hAnsi="Arial" w:cs="Arial"/>
          <w:snapToGrid w:val="0"/>
          <w:sz w:val="20"/>
          <w:szCs w:val="20"/>
        </w:rPr>
      </w:pPr>
    </w:p>
    <w:sectPr w:rsidR="00D859AD" w:rsidRPr="00D859A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28D7" w:rsidRDefault="00A528D7" w:rsidP="00D053B8">
      <w:pPr>
        <w:spacing w:after="0" w:line="240" w:lineRule="auto"/>
      </w:pPr>
      <w:r>
        <w:separator/>
      </w:r>
    </w:p>
  </w:endnote>
  <w:endnote w:type="continuationSeparator" w:id="0">
    <w:p w:rsidR="00A528D7" w:rsidRDefault="00A528D7" w:rsidP="00D053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EE"/>
    <w:family w:val="roman"/>
    <w:pitch w:val="variable"/>
    <w:sig w:usb0="04000687" w:usb1="00000000" w:usb2="00000000" w:usb3="00000000" w:csb0="0000009F"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Unicode MS">
    <w:altName w:val="Arial"/>
    <w:panose1 w:val="020B0604020202020204"/>
    <w:charset w:val="00"/>
    <w:family w:val="roman"/>
    <w:pitch w:val="variable"/>
    <w:sig w:usb0="00000001" w:usb1="00000000" w:usb2="00000000" w:usb3="00000000" w:csb0="00000003" w:csb1="00000000"/>
  </w:font>
  <w:font w:name="DejaVu Sans">
    <w:panose1 w:val="020B0603030804020204"/>
    <w:charset w:val="EE"/>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28D7" w:rsidRPr="00811DB1" w:rsidRDefault="00A528D7">
    <w:pPr>
      <w:pStyle w:val="Noga"/>
      <w:jc w:val="right"/>
      <w:rPr>
        <w:rFonts w:ascii="Arial" w:hAnsi="Arial" w:cs="Arial"/>
        <w:sz w:val="22"/>
        <w:szCs w:val="22"/>
      </w:rPr>
    </w:pPr>
  </w:p>
  <w:p w:rsidR="00A528D7" w:rsidRDefault="00A528D7">
    <w:pPr>
      <w:rPr>
        <w:rFonts w:cs="Times New Roman"/>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28D7" w:rsidRDefault="00A528D7" w:rsidP="00D053B8">
      <w:pPr>
        <w:spacing w:after="0" w:line="240" w:lineRule="auto"/>
      </w:pPr>
      <w:r>
        <w:separator/>
      </w:r>
    </w:p>
  </w:footnote>
  <w:footnote w:type="continuationSeparator" w:id="0">
    <w:p w:rsidR="00A528D7" w:rsidRDefault="00A528D7" w:rsidP="00D053B8">
      <w:pPr>
        <w:spacing w:after="0" w:line="240" w:lineRule="auto"/>
      </w:pPr>
      <w:r>
        <w:continuationSeparator/>
      </w:r>
    </w:p>
  </w:footnote>
  <w:footnote w:id="1">
    <w:p w:rsidR="007045DA" w:rsidRDefault="007045DA" w:rsidP="007045DA">
      <w:pPr>
        <w:pStyle w:val="Sprotnaopomba-besedilo"/>
      </w:pPr>
      <w:r>
        <w:rPr>
          <w:rStyle w:val="Sprotnaopomba-sklic"/>
        </w:rPr>
        <w:footnoteRef/>
      </w:r>
      <w:r>
        <w:t xml:space="preserve"> </w:t>
      </w:r>
      <w:r w:rsidRPr="004A04BA">
        <w:t>Uradni list RS, št. 72/06– uradno prečiščeno besedilo, 59/11 in 55/17</w:t>
      </w:r>
      <w:r w:rsidR="004F22A4">
        <w:t>.</w:t>
      </w:r>
    </w:p>
  </w:footnote>
  <w:footnote w:id="2">
    <w:p w:rsidR="000C64BA" w:rsidRDefault="000C64BA">
      <w:pPr>
        <w:pStyle w:val="Sprotnaopomba-besedilo"/>
      </w:pPr>
      <w:r>
        <w:rPr>
          <w:rStyle w:val="Sprotnaopomba-sklic"/>
        </w:rPr>
        <w:footnoteRef/>
      </w:r>
      <w:r>
        <w:t xml:space="preserve"> </w:t>
      </w:r>
      <w:r w:rsidRPr="000C64BA">
        <w:t>To so Statut Evropskega sistema centralnih bank in Evropske centralne banke (UL C št. 326 z dne 26. 10. 2012, str. 230) ter predpisi EU.</w:t>
      </w:r>
    </w:p>
  </w:footnote>
  <w:footnote w:id="3">
    <w:p w:rsidR="00A528D7" w:rsidRDefault="00A528D7" w:rsidP="00646638">
      <w:pPr>
        <w:pStyle w:val="Sprotnaopomba-besedilo"/>
        <w:jc w:val="both"/>
      </w:pPr>
      <w:r>
        <w:rPr>
          <w:rStyle w:val="Sprotnaopomba-sklic"/>
        </w:rPr>
        <w:footnoteRef/>
      </w:r>
      <w:r>
        <w:t xml:space="preserve"> </w:t>
      </w:r>
      <w:r w:rsidRPr="00E40332">
        <w:rPr>
          <w:rFonts w:ascii="Arial" w:hAnsi="Arial" w:cs="Arial"/>
        </w:rPr>
        <w:t>Tako opredelitev »trajanja incidenta« nakazuje (sicer za ponudnike digitalnih storitev) tudi Izvedbena uredba Komisije (EU) 2018/151 z dne 30. januarja 2018 o določitvi pravil za uporabo Direktive (EU) 2016/1148 Evropskega parlamenta in Sveta v zvezi z dodatno specifikacijo elementov, ki jih morajo upoštevati ponudniki digitalnih storitev pri obvladovanju tveganj za varnost omrežij in informacijskih sistemov, in parametrov za določanje, ali ima incident pomemben vpliv (UL L 194, 19.7.2016, str. 1).</w:t>
      </w:r>
    </w:p>
  </w:footnote>
  <w:footnote w:id="4">
    <w:p w:rsidR="00A528D7" w:rsidRPr="00875B9A" w:rsidRDefault="00A528D7" w:rsidP="00646638">
      <w:pPr>
        <w:pStyle w:val="Sprotnaopomba-besedilo"/>
        <w:rPr>
          <w:rFonts w:ascii="Arial" w:hAnsi="Arial" w:cs="Arial"/>
        </w:rPr>
      </w:pPr>
      <w:r w:rsidRPr="00875B9A">
        <w:rPr>
          <w:rStyle w:val="Sprotnaopomba-sklic"/>
          <w:rFonts w:ascii="Arial" w:hAnsi="Arial" w:cs="Arial"/>
        </w:rPr>
        <w:footnoteRef/>
      </w:r>
      <w:r w:rsidRPr="00875B9A">
        <w:rPr>
          <w:rFonts w:ascii="Arial" w:hAnsi="Arial" w:cs="Arial"/>
        </w:rPr>
        <w:t xml:space="preserve"> Kot so opredeljeni v točki 1(a) člena 2 Direktive Sveta 98/83/ES z dne 3. novembra 1998 o kakovosti vode, namenjene za prehrano ljudi (UL L 330, 5.12.1998, str. 32).</w:t>
      </w:r>
    </w:p>
  </w:footnote>
  <w:footnote w:id="5">
    <w:p w:rsidR="00A528D7" w:rsidRDefault="00A528D7" w:rsidP="00646638">
      <w:pPr>
        <w:pStyle w:val="Sprotnaopomba-besedilo"/>
        <w:jc w:val="both"/>
      </w:pPr>
      <w:r>
        <w:rPr>
          <w:rStyle w:val="Sprotnaopomba-sklic"/>
        </w:rPr>
        <w:footnoteRef/>
      </w:r>
      <w:r>
        <w:t xml:space="preserve"> </w:t>
      </w:r>
      <w:r w:rsidRPr="007B14EC">
        <w:rPr>
          <w:rFonts w:ascii="Arial" w:hAnsi="Arial" w:cs="Arial"/>
        </w:rPr>
        <w:t xml:space="preserve">Skladno </w:t>
      </w:r>
      <w:r>
        <w:rPr>
          <w:rFonts w:ascii="Arial" w:hAnsi="Arial" w:cs="Arial"/>
        </w:rPr>
        <w:t>s</w:t>
      </w:r>
      <w:r w:rsidRPr="007B14EC">
        <w:rPr>
          <w:rFonts w:ascii="Arial" w:hAnsi="Arial" w:cs="Arial"/>
        </w:rPr>
        <w:t xml:space="preserve"> SKD namreč pod storitev 35.140 »Trgovanje z električno energijo« spadajo poleg prodaje električne energije odjemalcem tudi  dejavnosti trgovcev, tržnih posrednikov ali zastopnikov, ki trgujejo z električno energijo prek sistemov za distribucijo energije, s katerimi upravljajo drugi.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28D7" w:rsidRDefault="00A528D7" w:rsidP="008B2A83">
    <w:pPr>
      <w:pStyle w:val="Glava"/>
      <w:jc w:val="right"/>
    </w:pPr>
  </w:p>
  <w:p w:rsidR="00A528D7" w:rsidRDefault="00A528D7" w:rsidP="008B2A83">
    <w:pPr>
      <w:pStyle w:val="Glava"/>
      <w:jc w:val="right"/>
    </w:pPr>
  </w:p>
  <w:p w:rsidR="00A528D7" w:rsidRDefault="00A528D7" w:rsidP="008B2A83">
    <w:pPr>
      <w:pStyle w:val="Glava"/>
      <w:jc w:val="right"/>
    </w:pPr>
  </w:p>
  <w:p w:rsidR="00A528D7" w:rsidRDefault="00A528D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A3E54"/>
    <w:multiLevelType w:val="hybridMultilevel"/>
    <w:tmpl w:val="E39A51B6"/>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F1726C"/>
    <w:multiLevelType w:val="hybridMultilevel"/>
    <w:tmpl w:val="BE069ACC"/>
    <w:lvl w:ilvl="0" w:tplc="4EBE1FCC">
      <w:start w:val="1"/>
      <w:numFmt w:val="bullet"/>
      <w:lvlText w:val="—"/>
      <w:lvlJc w:val="left"/>
      <w:pPr>
        <w:tabs>
          <w:tab w:val="num" w:pos="720"/>
        </w:tabs>
        <w:ind w:left="720" w:hanging="360"/>
      </w:pPr>
      <w:rPr>
        <w:rFonts w:ascii="Sylfaen" w:hAnsi="Sylfae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0CA39F6"/>
    <w:multiLevelType w:val="hybridMultilevel"/>
    <w:tmpl w:val="B5E0F0FA"/>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994ED0"/>
    <w:multiLevelType w:val="hybridMultilevel"/>
    <w:tmpl w:val="D34A5612"/>
    <w:lvl w:ilvl="0" w:tplc="58CAA28C">
      <w:start w:val="1"/>
      <w:numFmt w:val="decimal"/>
      <w:pStyle w:val="leni"/>
      <w:lvlText w:val="%1."/>
      <w:lvlJc w:val="left"/>
      <w:pPr>
        <w:ind w:left="532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63520BA"/>
    <w:multiLevelType w:val="hybridMultilevel"/>
    <w:tmpl w:val="61046F84"/>
    <w:lvl w:ilvl="0" w:tplc="5FE2B9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8BE690F"/>
    <w:multiLevelType w:val="hybridMultilevel"/>
    <w:tmpl w:val="6896CD28"/>
    <w:lvl w:ilvl="0" w:tplc="5FE2B98A">
      <w:start w:val="1"/>
      <w:numFmt w:val="bullet"/>
      <w:lvlText w:val=""/>
      <w:lvlJc w:val="left"/>
      <w:pPr>
        <w:ind w:left="280" w:hanging="360"/>
      </w:pPr>
      <w:rPr>
        <w:rFonts w:ascii="Symbol" w:hAnsi="Symbol" w:hint="default"/>
      </w:rPr>
    </w:lvl>
    <w:lvl w:ilvl="1" w:tplc="04240003" w:tentative="1">
      <w:start w:val="1"/>
      <w:numFmt w:val="bullet"/>
      <w:lvlText w:val="o"/>
      <w:lvlJc w:val="left"/>
      <w:pPr>
        <w:ind w:left="1000" w:hanging="360"/>
      </w:pPr>
      <w:rPr>
        <w:rFonts w:ascii="Courier New" w:hAnsi="Courier New" w:cs="Courier New" w:hint="default"/>
      </w:rPr>
    </w:lvl>
    <w:lvl w:ilvl="2" w:tplc="04240005" w:tentative="1">
      <w:start w:val="1"/>
      <w:numFmt w:val="bullet"/>
      <w:lvlText w:val=""/>
      <w:lvlJc w:val="left"/>
      <w:pPr>
        <w:ind w:left="1720" w:hanging="360"/>
      </w:pPr>
      <w:rPr>
        <w:rFonts w:ascii="Wingdings" w:hAnsi="Wingdings" w:hint="default"/>
      </w:rPr>
    </w:lvl>
    <w:lvl w:ilvl="3" w:tplc="04240001" w:tentative="1">
      <w:start w:val="1"/>
      <w:numFmt w:val="bullet"/>
      <w:lvlText w:val=""/>
      <w:lvlJc w:val="left"/>
      <w:pPr>
        <w:ind w:left="2440" w:hanging="360"/>
      </w:pPr>
      <w:rPr>
        <w:rFonts w:ascii="Symbol" w:hAnsi="Symbol" w:hint="default"/>
      </w:rPr>
    </w:lvl>
    <w:lvl w:ilvl="4" w:tplc="04240003" w:tentative="1">
      <w:start w:val="1"/>
      <w:numFmt w:val="bullet"/>
      <w:lvlText w:val="o"/>
      <w:lvlJc w:val="left"/>
      <w:pPr>
        <w:ind w:left="3160" w:hanging="360"/>
      </w:pPr>
      <w:rPr>
        <w:rFonts w:ascii="Courier New" w:hAnsi="Courier New" w:cs="Courier New" w:hint="default"/>
      </w:rPr>
    </w:lvl>
    <w:lvl w:ilvl="5" w:tplc="04240005" w:tentative="1">
      <w:start w:val="1"/>
      <w:numFmt w:val="bullet"/>
      <w:lvlText w:val=""/>
      <w:lvlJc w:val="left"/>
      <w:pPr>
        <w:ind w:left="3880" w:hanging="360"/>
      </w:pPr>
      <w:rPr>
        <w:rFonts w:ascii="Wingdings" w:hAnsi="Wingdings" w:hint="default"/>
      </w:rPr>
    </w:lvl>
    <w:lvl w:ilvl="6" w:tplc="04240001" w:tentative="1">
      <w:start w:val="1"/>
      <w:numFmt w:val="bullet"/>
      <w:lvlText w:val=""/>
      <w:lvlJc w:val="left"/>
      <w:pPr>
        <w:ind w:left="4600" w:hanging="360"/>
      </w:pPr>
      <w:rPr>
        <w:rFonts w:ascii="Symbol" w:hAnsi="Symbol" w:hint="default"/>
      </w:rPr>
    </w:lvl>
    <w:lvl w:ilvl="7" w:tplc="04240003" w:tentative="1">
      <w:start w:val="1"/>
      <w:numFmt w:val="bullet"/>
      <w:lvlText w:val="o"/>
      <w:lvlJc w:val="left"/>
      <w:pPr>
        <w:ind w:left="5320" w:hanging="360"/>
      </w:pPr>
      <w:rPr>
        <w:rFonts w:ascii="Courier New" w:hAnsi="Courier New" w:cs="Courier New" w:hint="default"/>
      </w:rPr>
    </w:lvl>
    <w:lvl w:ilvl="8" w:tplc="04240005" w:tentative="1">
      <w:start w:val="1"/>
      <w:numFmt w:val="bullet"/>
      <w:lvlText w:val=""/>
      <w:lvlJc w:val="left"/>
      <w:pPr>
        <w:ind w:left="6040" w:hanging="360"/>
      </w:pPr>
      <w:rPr>
        <w:rFonts w:ascii="Wingdings" w:hAnsi="Wingdings" w:hint="default"/>
      </w:rPr>
    </w:lvl>
  </w:abstractNum>
  <w:abstractNum w:abstractNumId="6" w15:restartNumberingAfterBreak="0">
    <w:nsid w:val="1A014AB1"/>
    <w:multiLevelType w:val="hybridMultilevel"/>
    <w:tmpl w:val="B2B8A9EC"/>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0E2341"/>
    <w:multiLevelType w:val="hybridMultilevel"/>
    <w:tmpl w:val="C4B83DCE"/>
    <w:lvl w:ilvl="0" w:tplc="5FE2B9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2884D69"/>
    <w:multiLevelType w:val="hybridMultilevel"/>
    <w:tmpl w:val="E05013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4A2726E"/>
    <w:multiLevelType w:val="hybridMultilevel"/>
    <w:tmpl w:val="691A7DCC"/>
    <w:lvl w:ilvl="0" w:tplc="5FE2B98A">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2" w15:restartNumberingAfterBreak="0">
    <w:nsid w:val="37C305C8"/>
    <w:multiLevelType w:val="hybridMultilevel"/>
    <w:tmpl w:val="D5EC7CA4"/>
    <w:lvl w:ilvl="0" w:tplc="5FE2B98A">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3" w15:restartNumberingAfterBreak="0">
    <w:nsid w:val="38170991"/>
    <w:multiLevelType w:val="hybridMultilevel"/>
    <w:tmpl w:val="73027EB8"/>
    <w:lvl w:ilvl="0" w:tplc="5FE2B9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E0E56AE"/>
    <w:multiLevelType w:val="hybridMultilevel"/>
    <w:tmpl w:val="2BA49EE8"/>
    <w:lvl w:ilvl="0" w:tplc="BA9811BC">
      <w:start w:val="1"/>
      <w:numFmt w:val="bullet"/>
      <w:pStyle w:val="Alineje"/>
      <w:lvlText w:val="-"/>
      <w:lvlJc w:val="left"/>
      <w:pPr>
        <w:ind w:left="720" w:hanging="360"/>
      </w:pPr>
      <w:rPr>
        <w:rFonts w:ascii="Sitka Small" w:hAnsi="Sitka Smal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FEB4A9E"/>
    <w:multiLevelType w:val="hybridMultilevel"/>
    <w:tmpl w:val="355467E2"/>
    <w:lvl w:ilvl="0" w:tplc="2FC896E4">
      <w:start w:val="2"/>
      <w:numFmt w:val="bullet"/>
      <w:lvlText w:val="-"/>
      <w:lvlJc w:val="left"/>
      <w:pPr>
        <w:ind w:left="280" w:hanging="360"/>
      </w:pPr>
      <w:rPr>
        <w:rFonts w:ascii="Arial" w:eastAsia="Times New Roman" w:hAnsi="Arial" w:cs="Arial" w:hint="default"/>
      </w:rPr>
    </w:lvl>
    <w:lvl w:ilvl="1" w:tplc="04240003">
      <w:start w:val="1"/>
      <w:numFmt w:val="bullet"/>
      <w:lvlText w:val="o"/>
      <w:lvlJc w:val="left"/>
      <w:pPr>
        <w:ind w:left="1000" w:hanging="360"/>
      </w:pPr>
      <w:rPr>
        <w:rFonts w:ascii="Courier New" w:hAnsi="Courier New" w:cs="Courier New" w:hint="default"/>
      </w:rPr>
    </w:lvl>
    <w:lvl w:ilvl="2" w:tplc="04240005" w:tentative="1">
      <w:start w:val="1"/>
      <w:numFmt w:val="bullet"/>
      <w:lvlText w:val=""/>
      <w:lvlJc w:val="left"/>
      <w:pPr>
        <w:ind w:left="1720" w:hanging="360"/>
      </w:pPr>
      <w:rPr>
        <w:rFonts w:ascii="Wingdings" w:hAnsi="Wingdings" w:hint="default"/>
      </w:rPr>
    </w:lvl>
    <w:lvl w:ilvl="3" w:tplc="04240001" w:tentative="1">
      <w:start w:val="1"/>
      <w:numFmt w:val="bullet"/>
      <w:lvlText w:val=""/>
      <w:lvlJc w:val="left"/>
      <w:pPr>
        <w:ind w:left="2440" w:hanging="360"/>
      </w:pPr>
      <w:rPr>
        <w:rFonts w:ascii="Symbol" w:hAnsi="Symbol" w:hint="default"/>
      </w:rPr>
    </w:lvl>
    <w:lvl w:ilvl="4" w:tplc="04240003" w:tentative="1">
      <w:start w:val="1"/>
      <w:numFmt w:val="bullet"/>
      <w:lvlText w:val="o"/>
      <w:lvlJc w:val="left"/>
      <w:pPr>
        <w:ind w:left="3160" w:hanging="360"/>
      </w:pPr>
      <w:rPr>
        <w:rFonts w:ascii="Courier New" w:hAnsi="Courier New" w:cs="Courier New" w:hint="default"/>
      </w:rPr>
    </w:lvl>
    <w:lvl w:ilvl="5" w:tplc="04240005" w:tentative="1">
      <w:start w:val="1"/>
      <w:numFmt w:val="bullet"/>
      <w:lvlText w:val=""/>
      <w:lvlJc w:val="left"/>
      <w:pPr>
        <w:ind w:left="3880" w:hanging="360"/>
      </w:pPr>
      <w:rPr>
        <w:rFonts w:ascii="Wingdings" w:hAnsi="Wingdings" w:hint="default"/>
      </w:rPr>
    </w:lvl>
    <w:lvl w:ilvl="6" w:tplc="04240001" w:tentative="1">
      <w:start w:val="1"/>
      <w:numFmt w:val="bullet"/>
      <w:lvlText w:val=""/>
      <w:lvlJc w:val="left"/>
      <w:pPr>
        <w:ind w:left="4600" w:hanging="360"/>
      </w:pPr>
      <w:rPr>
        <w:rFonts w:ascii="Symbol" w:hAnsi="Symbol" w:hint="default"/>
      </w:rPr>
    </w:lvl>
    <w:lvl w:ilvl="7" w:tplc="04240003" w:tentative="1">
      <w:start w:val="1"/>
      <w:numFmt w:val="bullet"/>
      <w:lvlText w:val="o"/>
      <w:lvlJc w:val="left"/>
      <w:pPr>
        <w:ind w:left="5320" w:hanging="360"/>
      </w:pPr>
      <w:rPr>
        <w:rFonts w:ascii="Courier New" w:hAnsi="Courier New" w:cs="Courier New" w:hint="default"/>
      </w:rPr>
    </w:lvl>
    <w:lvl w:ilvl="8" w:tplc="04240005" w:tentative="1">
      <w:start w:val="1"/>
      <w:numFmt w:val="bullet"/>
      <w:lvlText w:val=""/>
      <w:lvlJc w:val="left"/>
      <w:pPr>
        <w:ind w:left="604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84430"/>
    <w:multiLevelType w:val="hybridMultilevel"/>
    <w:tmpl w:val="CD4463D2"/>
    <w:lvl w:ilvl="0" w:tplc="029447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3897EE2"/>
    <w:multiLevelType w:val="hybridMultilevel"/>
    <w:tmpl w:val="D0584A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8EC306D"/>
    <w:multiLevelType w:val="hybridMultilevel"/>
    <w:tmpl w:val="26A8777A"/>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695F8A"/>
    <w:multiLevelType w:val="hybridMultilevel"/>
    <w:tmpl w:val="ACAA8C68"/>
    <w:lvl w:ilvl="0" w:tplc="0B204FC2">
      <w:start w:val="1"/>
      <w:numFmt w:val="decimal"/>
      <w:pStyle w:val="Toke"/>
      <w:lvlText w:val="(%1)"/>
      <w:lvlJc w:val="left"/>
      <w:pPr>
        <w:ind w:left="420" w:hanging="420"/>
      </w:pPr>
      <w:rPr>
        <w:rFonts w:hint="default"/>
      </w:rPr>
    </w:lvl>
    <w:lvl w:ilvl="1" w:tplc="04240019" w:tentative="1">
      <w:start w:val="1"/>
      <w:numFmt w:val="lowerLetter"/>
      <w:lvlText w:val="%2."/>
      <w:lvlJc w:val="left"/>
      <w:pPr>
        <w:ind w:left="-403" w:hanging="360"/>
      </w:pPr>
    </w:lvl>
    <w:lvl w:ilvl="2" w:tplc="0424001B" w:tentative="1">
      <w:start w:val="1"/>
      <w:numFmt w:val="lowerRoman"/>
      <w:lvlText w:val="%3."/>
      <w:lvlJc w:val="right"/>
      <w:pPr>
        <w:ind w:left="317" w:hanging="180"/>
      </w:pPr>
    </w:lvl>
    <w:lvl w:ilvl="3" w:tplc="0424000F" w:tentative="1">
      <w:start w:val="1"/>
      <w:numFmt w:val="decimal"/>
      <w:lvlText w:val="%4."/>
      <w:lvlJc w:val="left"/>
      <w:pPr>
        <w:ind w:left="1037" w:hanging="360"/>
      </w:pPr>
    </w:lvl>
    <w:lvl w:ilvl="4" w:tplc="04240019" w:tentative="1">
      <w:start w:val="1"/>
      <w:numFmt w:val="lowerLetter"/>
      <w:lvlText w:val="%5."/>
      <w:lvlJc w:val="left"/>
      <w:pPr>
        <w:ind w:left="1757" w:hanging="360"/>
      </w:pPr>
    </w:lvl>
    <w:lvl w:ilvl="5" w:tplc="0424001B" w:tentative="1">
      <w:start w:val="1"/>
      <w:numFmt w:val="lowerRoman"/>
      <w:lvlText w:val="%6."/>
      <w:lvlJc w:val="right"/>
      <w:pPr>
        <w:ind w:left="2477" w:hanging="180"/>
      </w:pPr>
    </w:lvl>
    <w:lvl w:ilvl="6" w:tplc="0424000F" w:tentative="1">
      <w:start w:val="1"/>
      <w:numFmt w:val="decimal"/>
      <w:lvlText w:val="%7."/>
      <w:lvlJc w:val="left"/>
      <w:pPr>
        <w:ind w:left="3197" w:hanging="360"/>
      </w:pPr>
    </w:lvl>
    <w:lvl w:ilvl="7" w:tplc="04240019" w:tentative="1">
      <w:start w:val="1"/>
      <w:numFmt w:val="lowerLetter"/>
      <w:lvlText w:val="%8."/>
      <w:lvlJc w:val="left"/>
      <w:pPr>
        <w:ind w:left="3917" w:hanging="360"/>
      </w:pPr>
    </w:lvl>
    <w:lvl w:ilvl="8" w:tplc="0424001B" w:tentative="1">
      <w:start w:val="1"/>
      <w:numFmt w:val="lowerRoman"/>
      <w:lvlText w:val="%9."/>
      <w:lvlJc w:val="right"/>
      <w:pPr>
        <w:ind w:left="4637" w:hanging="180"/>
      </w:pPr>
    </w:lvl>
  </w:abstractNum>
  <w:abstractNum w:abstractNumId="24"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24"/>
  </w:num>
  <w:num w:numId="3">
    <w:abstractNumId w:val="22"/>
  </w:num>
  <w:num w:numId="4">
    <w:abstractNumId w:val="25"/>
  </w:num>
  <w:num w:numId="5">
    <w:abstractNumId w:val="26"/>
  </w:num>
  <w:num w:numId="6">
    <w:abstractNumId w:val="17"/>
  </w:num>
  <w:num w:numId="7">
    <w:abstractNumId w:val="9"/>
  </w:num>
  <w:num w:numId="8">
    <w:abstractNumId w:val="19"/>
  </w:num>
  <w:num w:numId="9">
    <w:abstractNumId w:val="1"/>
  </w:num>
  <w:num w:numId="10">
    <w:abstractNumId w:val="2"/>
  </w:num>
  <w:num w:numId="11">
    <w:abstractNumId w:val="3"/>
  </w:num>
  <w:num w:numId="12">
    <w:abstractNumId w:val="0"/>
  </w:num>
  <w:num w:numId="13">
    <w:abstractNumId w:val="15"/>
  </w:num>
  <w:num w:numId="14">
    <w:abstractNumId w:val="23"/>
  </w:num>
  <w:num w:numId="15">
    <w:abstractNumId w:val="23"/>
    <w:lvlOverride w:ilvl="0">
      <w:startOverride w:val="1"/>
    </w:lvlOverride>
  </w:num>
  <w:num w:numId="16">
    <w:abstractNumId w:val="23"/>
    <w:lvlOverride w:ilvl="0">
      <w:startOverride w:val="1"/>
    </w:lvlOverride>
  </w:num>
  <w:num w:numId="17">
    <w:abstractNumId w:val="23"/>
    <w:lvlOverride w:ilvl="0">
      <w:startOverride w:val="1"/>
    </w:lvlOverride>
  </w:num>
  <w:num w:numId="18">
    <w:abstractNumId w:val="23"/>
    <w:lvlOverride w:ilvl="0">
      <w:startOverride w:val="1"/>
    </w:lvlOverride>
  </w:num>
  <w:num w:numId="19">
    <w:abstractNumId w:val="23"/>
    <w:lvlOverride w:ilvl="0">
      <w:startOverride w:val="1"/>
    </w:lvlOverride>
  </w:num>
  <w:num w:numId="20">
    <w:abstractNumId w:val="23"/>
    <w:lvlOverride w:ilvl="0">
      <w:startOverride w:val="1"/>
    </w:lvlOverride>
  </w:num>
  <w:num w:numId="21">
    <w:abstractNumId w:val="14"/>
  </w:num>
  <w:num w:numId="22">
    <w:abstractNumId w:val="5"/>
  </w:num>
  <w:num w:numId="23">
    <w:abstractNumId w:val="16"/>
  </w:num>
  <w:num w:numId="24">
    <w:abstractNumId w:val="18"/>
  </w:num>
  <w:num w:numId="25">
    <w:abstractNumId w:val="6"/>
  </w:num>
  <w:num w:numId="26">
    <w:abstractNumId w:val="20"/>
  </w:num>
  <w:num w:numId="27">
    <w:abstractNumId w:val="12"/>
  </w:num>
  <w:num w:numId="28">
    <w:abstractNumId w:val="11"/>
  </w:num>
  <w:num w:numId="29">
    <w:abstractNumId w:val="13"/>
  </w:num>
  <w:num w:numId="30">
    <w:abstractNumId w:val="7"/>
  </w:num>
  <w:num w:numId="31">
    <w:abstractNumId w:val="4"/>
  </w:num>
  <w:num w:numId="32">
    <w:abstractNumId w:val="21"/>
  </w:num>
  <w:num w:numId="33">
    <w:abstractNumId w:val="23"/>
    <w:lvlOverride w:ilvl="0">
      <w:startOverride w:val="1"/>
    </w:lvlOverride>
  </w:num>
  <w:num w:numId="34">
    <w:abstractNumId w:val="23"/>
    <w:lvlOverride w:ilvl="0">
      <w:startOverride w:val="1"/>
    </w:lvlOverride>
  </w:num>
  <w:num w:numId="35">
    <w:abstractNumId w:val="23"/>
    <w:lvlOverride w:ilvl="0">
      <w:startOverride w:val="1"/>
    </w:lvlOverride>
  </w:num>
  <w:num w:numId="36">
    <w:abstractNumId w:val="23"/>
    <w:lvlOverride w:ilvl="0">
      <w:startOverride w:val="1"/>
    </w:lvlOverride>
  </w:num>
  <w:num w:numId="37">
    <w:abstractNumId w:val="23"/>
    <w:lvlOverride w:ilvl="0">
      <w:startOverride w:val="1"/>
    </w:lvlOverride>
  </w:num>
  <w:num w:numId="38">
    <w:abstractNumId w:val="23"/>
    <w:lvlOverride w:ilvl="0">
      <w:startOverride w:val="1"/>
    </w:lvlOverride>
  </w:num>
  <w:num w:numId="39">
    <w:abstractNumId w:val="23"/>
    <w:lvlOverride w:ilvl="0">
      <w:startOverride w:val="1"/>
    </w:lvlOverride>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1F83"/>
    <w:rsid w:val="0003210C"/>
    <w:rsid w:val="00037079"/>
    <w:rsid w:val="000418C7"/>
    <w:rsid w:val="00050949"/>
    <w:rsid w:val="00090E6F"/>
    <w:rsid w:val="000C2D8D"/>
    <w:rsid w:val="000C64BA"/>
    <w:rsid w:val="000C6A49"/>
    <w:rsid w:val="000D7B4D"/>
    <w:rsid w:val="001224BB"/>
    <w:rsid w:val="001258AC"/>
    <w:rsid w:val="00136B82"/>
    <w:rsid w:val="00145A63"/>
    <w:rsid w:val="0015127C"/>
    <w:rsid w:val="0017672C"/>
    <w:rsid w:val="00190370"/>
    <w:rsid w:val="001973E4"/>
    <w:rsid w:val="001A130F"/>
    <w:rsid w:val="001A3A55"/>
    <w:rsid w:val="001A6B47"/>
    <w:rsid w:val="001D3BF3"/>
    <w:rsid w:val="001E675C"/>
    <w:rsid w:val="00233FC4"/>
    <w:rsid w:val="002A30B0"/>
    <w:rsid w:val="002C662D"/>
    <w:rsid w:val="002D08ED"/>
    <w:rsid w:val="002D6564"/>
    <w:rsid w:val="0030439A"/>
    <w:rsid w:val="00316744"/>
    <w:rsid w:val="00321A64"/>
    <w:rsid w:val="003260AA"/>
    <w:rsid w:val="003440E2"/>
    <w:rsid w:val="003619C1"/>
    <w:rsid w:val="0036453E"/>
    <w:rsid w:val="00373D38"/>
    <w:rsid w:val="003837E6"/>
    <w:rsid w:val="00385205"/>
    <w:rsid w:val="003F07A7"/>
    <w:rsid w:val="004109B6"/>
    <w:rsid w:val="0041513F"/>
    <w:rsid w:val="00424455"/>
    <w:rsid w:val="0043366C"/>
    <w:rsid w:val="0044207D"/>
    <w:rsid w:val="004471E6"/>
    <w:rsid w:val="00450A54"/>
    <w:rsid w:val="0046796F"/>
    <w:rsid w:val="00483805"/>
    <w:rsid w:val="004A04BA"/>
    <w:rsid w:val="004B3761"/>
    <w:rsid w:val="004C4554"/>
    <w:rsid w:val="004D09B6"/>
    <w:rsid w:val="004D78BB"/>
    <w:rsid w:val="004E23E9"/>
    <w:rsid w:val="004E7607"/>
    <w:rsid w:val="004F22A4"/>
    <w:rsid w:val="004F3EEE"/>
    <w:rsid w:val="00501B23"/>
    <w:rsid w:val="00517C60"/>
    <w:rsid w:val="00562B8B"/>
    <w:rsid w:val="00574059"/>
    <w:rsid w:val="005977B4"/>
    <w:rsid w:val="00597BDE"/>
    <w:rsid w:val="005E2613"/>
    <w:rsid w:val="005F7606"/>
    <w:rsid w:val="00603D37"/>
    <w:rsid w:val="00615671"/>
    <w:rsid w:val="00646638"/>
    <w:rsid w:val="006917B1"/>
    <w:rsid w:val="00694F9F"/>
    <w:rsid w:val="00695EC3"/>
    <w:rsid w:val="00697738"/>
    <w:rsid w:val="006E2A10"/>
    <w:rsid w:val="006E594C"/>
    <w:rsid w:val="006F4D38"/>
    <w:rsid w:val="006F6804"/>
    <w:rsid w:val="007045DA"/>
    <w:rsid w:val="00712419"/>
    <w:rsid w:val="00732FAA"/>
    <w:rsid w:val="007700E3"/>
    <w:rsid w:val="0077079F"/>
    <w:rsid w:val="00780D53"/>
    <w:rsid w:val="007826F5"/>
    <w:rsid w:val="007B0D8A"/>
    <w:rsid w:val="007C6010"/>
    <w:rsid w:val="007F28AC"/>
    <w:rsid w:val="007F4E1E"/>
    <w:rsid w:val="007F7157"/>
    <w:rsid w:val="00802F54"/>
    <w:rsid w:val="00820281"/>
    <w:rsid w:val="00833889"/>
    <w:rsid w:val="008518A3"/>
    <w:rsid w:val="00856E59"/>
    <w:rsid w:val="00863D45"/>
    <w:rsid w:val="00891B53"/>
    <w:rsid w:val="008B2A83"/>
    <w:rsid w:val="008B3ED4"/>
    <w:rsid w:val="008B6C42"/>
    <w:rsid w:val="008F210F"/>
    <w:rsid w:val="00906A02"/>
    <w:rsid w:val="009225C4"/>
    <w:rsid w:val="00952712"/>
    <w:rsid w:val="00987D94"/>
    <w:rsid w:val="00990888"/>
    <w:rsid w:val="00995AF0"/>
    <w:rsid w:val="009A5BF3"/>
    <w:rsid w:val="009C49DF"/>
    <w:rsid w:val="009D47BD"/>
    <w:rsid w:val="00A2404E"/>
    <w:rsid w:val="00A34EFC"/>
    <w:rsid w:val="00A40F07"/>
    <w:rsid w:val="00A4476F"/>
    <w:rsid w:val="00A528D7"/>
    <w:rsid w:val="00A638D6"/>
    <w:rsid w:val="00A75187"/>
    <w:rsid w:val="00AA37BF"/>
    <w:rsid w:val="00AA5847"/>
    <w:rsid w:val="00AB0AD5"/>
    <w:rsid w:val="00AD4DF6"/>
    <w:rsid w:val="00AD6501"/>
    <w:rsid w:val="00AE1F83"/>
    <w:rsid w:val="00AE2AE5"/>
    <w:rsid w:val="00B01D2D"/>
    <w:rsid w:val="00B16AC5"/>
    <w:rsid w:val="00B379A0"/>
    <w:rsid w:val="00B37B5D"/>
    <w:rsid w:val="00B50B16"/>
    <w:rsid w:val="00B51570"/>
    <w:rsid w:val="00B717CD"/>
    <w:rsid w:val="00B73CEF"/>
    <w:rsid w:val="00B801F7"/>
    <w:rsid w:val="00B87CA9"/>
    <w:rsid w:val="00BC1355"/>
    <w:rsid w:val="00BC6D81"/>
    <w:rsid w:val="00BF45FB"/>
    <w:rsid w:val="00C13413"/>
    <w:rsid w:val="00C24B2C"/>
    <w:rsid w:val="00C317E8"/>
    <w:rsid w:val="00C4190E"/>
    <w:rsid w:val="00C44C5F"/>
    <w:rsid w:val="00C52DBD"/>
    <w:rsid w:val="00C66C1B"/>
    <w:rsid w:val="00C6739E"/>
    <w:rsid w:val="00C92A54"/>
    <w:rsid w:val="00CB2953"/>
    <w:rsid w:val="00CD2055"/>
    <w:rsid w:val="00CE6A4A"/>
    <w:rsid w:val="00D053B8"/>
    <w:rsid w:val="00D05FB6"/>
    <w:rsid w:val="00D33892"/>
    <w:rsid w:val="00D527DD"/>
    <w:rsid w:val="00D54E38"/>
    <w:rsid w:val="00D859AD"/>
    <w:rsid w:val="00E040B3"/>
    <w:rsid w:val="00E07C9A"/>
    <w:rsid w:val="00E20C76"/>
    <w:rsid w:val="00E30865"/>
    <w:rsid w:val="00E676E0"/>
    <w:rsid w:val="00E771E1"/>
    <w:rsid w:val="00E95510"/>
    <w:rsid w:val="00EA6C68"/>
    <w:rsid w:val="00EC620E"/>
    <w:rsid w:val="00EE3015"/>
    <w:rsid w:val="00EE3316"/>
    <w:rsid w:val="00EF3E7A"/>
    <w:rsid w:val="00F005CD"/>
    <w:rsid w:val="00F01651"/>
    <w:rsid w:val="00F07E90"/>
    <w:rsid w:val="00F336AD"/>
    <w:rsid w:val="00F3413A"/>
    <w:rsid w:val="00F342F8"/>
    <w:rsid w:val="00F40A13"/>
    <w:rsid w:val="00F445CA"/>
    <w:rsid w:val="00F47748"/>
    <w:rsid w:val="00F53A70"/>
    <w:rsid w:val="00F75FA4"/>
    <w:rsid w:val="00F809BC"/>
    <w:rsid w:val="00FB397B"/>
    <w:rsid w:val="00FC7849"/>
    <w:rsid w:val="00FC78FF"/>
    <w:rsid w:val="00FE481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23A4A"/>
  <w15:docId w15:val="{CA3B068D-EF61-465F-9852-C0750ED81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style>
  <w:style w:type="paragraph" w:styleId="Naslov2">
    <w:name w:val="heading 2"/>
    <w:basedOn w:val="Navaden"/>
    <w:next w:val="Navaden"/>
    <w:link w:val="Naslov2Znak"/>
    <w:unhideWhenUsed/>
    <w:qFormat/>
    <w:rsid w:val="00D54E38"/>
    <w:pPr>
      <w:keepNext/>
      <w:keepLines/>
      <w:spacing w:before="200" w:after="0" w:line="260" w:lineRule="exact"/>
      <w:outlineLvl w:val="1"/>
    </w:pPr>
    <w:rPr>
      <w:rFonts w:asciiTheme="majorHAnsi" w:eastAsiaTheme="majorEastAsia" w:hAnsiTheme="majorHAnsi" w:cstheme="majorBidi"/>
      <w:b/>
      <w:bCs/>
      <w:color w:val="5B9BD5"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4109B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109B6"/>
    <w:rPr>
      <w:rFonts w:ascii="Segoe UI" w:hAnsi="Segoe UI" w:cs="Segoe UI"/>
      <w:sz w:val="18"/>
      <w:szCs w:val="18"/>
    </w:rPr>
  </w:style>
  <w:style w:type="character" w:customStyle="1" w:styleId="Naslov2Znak">
    <w:name w:val="Naslov 2 Znak"/>
    <w:basedOn w:val="Privzetapisavaodstavka"/>
    <w:link w:val="Naslov2"/>
    <w:rsid w:val="00D54E38"/>
    <w:rPr>
      <w:rFonts w:asciiTheme="majorHAnsi" w:eastAsiaTheme="majorEastAsia" w:hAnsiTheme="majorHAnsi" w:cstheme="majorBidi"/>
      <w:b/>
      <w:bCs/>
      <w:color w:val="5B9BD5" w:themeColor="accent1"/>
      <w:sz w:val="26"/>
      <w:szCs w:val="26"/>
    </w:rPr>
  </w:style>
  <w:style w:type="character" w:customStyle="1" w:styleId="Bodytext3">
    <w:name w:val="Body text (3)_"/>
    <w:basedOn w:val="Privzetapisavaodstavka"/>
    <w:link w:val="Bodytext30"/>
    <w:uiPriority w:val="99"/>
    <w:rsid w:val="00D54E38"/>
    <w:rPr>
      <w:rFonts w:ascii="Verdana" w:hAnsi="Verdana" w:cs="Verdana"/>
      <w:b/>
      <w:bCs/>
      <w:sz w:val="16"/>
      <w:szCs w:val="16"/>
      <w:shd w:val="clear" w:color="auto" w:fill="FFFFFF"/>
    </w:rPr>
  </w:style>
  <w:style w:type="paragraph" w:customStyle="1" w:styleId="Bodytext30">
    <w:name w:val="Body text (3)"/>
    <w:basedOn w:val="Navaden"/>
    <w:link w:val="Bodytext3"/>
    <w:uiPriority w:val="99"/>
    <w:rsid w:val="00D54E38"/>
    <w:pPr>
      <w:widowControl w:val="0"/>
      <w:shd w:val="clear" w:color="auto" w:fill="FFFFFF"/>
      <w:spacing w:after="600" w:line="240" w:lineRule="atLeast"/>
      <w:ind w:hanging="440"/>
      <w:jc w:val="right"/>
    </w:pPr>
    <w:rPr>
      <w:rFonts w:ascii="Verdana" w:hAnsi="Verdana" w:cs="Verdana"/>
      <w:b/>
      <w:bCs/>
      <w:sz w:val="16"/>
      <w:szCs w:val="16"/>
    </w:rPr>
  </w:style>
  <w:style w:type="character" w:customStyle="1" w:styleId="Bodytext2">
    <w:name w:val="Body text (2)_"/>
    <w:basedOn w:val="Privzetapisavaodstavka"/>
    <w:link w:val="Bodytext20"/>
    <w:uiPriority w:val="99"/>
    <w:rsid w:val="00037079"/>
    <w:rPr>
      <w:rFonts w:ascii="Verdana" w:hAnsi="Verdana" w:cs="Verdana"/>
      <w:sz w:val="19"/>
      <w:szCs w:val="19"/>
      <w:shd w:val="clear" w:color="auto" w:fill="FFFFFF"/>
    </w:rPr>
  </w:style>
  <w:style w:type="paragraph" w:customStyle="1" w:styleId="Bodytext20">
    <w:name w:val="Body text (2)"/>
    <w:basedOn w:val="Navaden"/>
    <w:link w:val="Bodytext2"/>
    <w:uiPriority w:val="99"/>
    <w:rsid w:val="00037079"/>
    <w:pPr>
      <w:widowControl w:val="0"/>
      <w:shd w:val="clear" w:color="auto" w:fill="FFFFFF"/>
      <w:spacing w:before="300" w:after="300" w:line="264" w:lineRule="exact"/>
      <w:ind w:hanging="440"/>
      <w:jc w:val="both"/>
    </w:pPr>
    <w:rPr>
      <w:rFonts w:ascii="Verdana" w:hAnsi="Verdana" w:cs="Verdana"/>
      <w:sz w:val="19"/>
      <w:szCs w:val="19"/>
    </w:rPr>
  </w:style>
  <w:style w:type="paragraph" w:customStyle="1" w:styleId="Besedilo">
    <w:name w:val="Besedilo"/>
    <w:basedOn w:val="Bodytext20"/>
    <w:link w:val="BesediloZnak"/>
    <w:qFormat/>
    <w:rsid w:val="00037079"/>
    <w:pPr>
      <w:shd w:val="clear" w:color="auto" w:fill="auto"/>
      <w:tabs>
        <w:tab w:val="left" w:leader="underscore" w:pos="200"/>
        <w:tab w:val="left" w:leader="underscore" w:pos="802"/>
      </w:tabs>
      <w:spacing w:before="0" w:after="120" w:line="300" w:lineRule="exact"/>
      <w:ind w:firstLine="0"/>
    </w:pPr>
    <w:rPr>
      <w:rFonts w:ascii="Arial" w:hAnsi="Arial" w:cs="Arial"/>
      <w:color w:val="000000"/>
    </w:rPr>
  </w:style>
  <w:style w:type="character" w:customStyle="1" w:styleId="BesediloZnak">
    <w:name w:val="Besedilo Znak"/>
    <w:basedOn w:val="Bodytext2"/>
    <w:link w:val="Besedilo"/>
    <w:rsid w:val="00037079"/>
    <w:rPr>
      <w:rFonts w:ascii="Arial" w:hAnsi="Arial" w:cs="Arial"/>
      <w:color w:val="000000"/>
      <w:sz w:val="19"/>
      <w:szCs w:val="19"/>
      <w:shd w:val="clear" w:color="auto" w:fill="FFFFFF"/>
    </w:rPr>
  </w:style>
  <w:style w:type="paragraph" w:customStyle="1" w:styleId="Neotevilenodstavek">
    <w:name w:val="Neoštevilčen odstavek"/>
    <w:basedOn w:val="Navaden"/>
    <w:link w:val="NeotevilenodstavekZnak"/>
    <w:qFormat/>
    <w:rsid w:val="00C4190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4190E"/>
    <w:rPr>
      <w:rFonts w:ascii="Arial" w:eastAsia="Times New Roman" w:hAnsi="Arial" w:cs="Arial"/>
      <w:lang w:eastAsia="sl-SI"/>
    </w:rPr>
  </w:style>
  <w:style w:type="paragraph" w:styleId="Odstavekseznama">
    <w:name w:val="List Paragraph"/>
    <w:basedOn w:val="Navaden"/>
    <w:link w:val="OdstavekseznamaZnak"/>
    <w:uiPriority w:val="34"/>
    <w:qFormat/>
    <w:rsid w:val="00C92A54"/>
    <w:pPr>
      <w:spacing w:after="0" w:line="260" w:lineRule="exact"/>
      <w:ind w:left="720"/>
      <w:contextualSpacing/>
    </w:pPr>
    <w:rPr>
      <w:rFonts w:ascii="Arial" w:eastAsia="Times New Roman" w:hAnsi="Arial" w:cs="Times New Roman"/>
      <w:sz w:val="20"/>
      <w:szCs w:val="24"/>
    </w:rPr>
  </w:style>
  <w:style w:type="character" w:customStyle="1" w:styleId="OdstavekseznamaZnak">
    <w:name w:val="Odstavek seznama Znak"/>
    <w:basedOn w:val="Privzetapisavaodstavka"/>
    <w:link w:val="Odstavekseznama"/>
    <w:uiPriority w:val="34"/>
    <w:locked/>
    <w:rsid w:val="00C92A54"/>
    <w:rPr>
      <w:rFonts w:ascii="Arial" w:eastAsia="Times New Roman" w:hAnsi="Arial" w:cs="Times New Roman"/>
      <w:sz w:val="20"/>
      <w:szCs w:val="24"/>
    </w:rPr>
  </w:style>
  <w:style w:type="character" w:styleId="Hiperpovezava">
    <w:name w:val="Hyperlink"/>
    <w:basedOn w:val="Privzetapisavaodstavka"/>
    <w:uiPriority w:val="99"/>
    <w:rsid w:val="00D053B8"/>
    <w:rPr>
      <w:color w:val="0066CC"/>
      <w:u w:val="single"/>
    </w:rPr>
  </w:style>
  <w:style w:type="character" w:customStyle="1" w:styleId="Headerorfooter">
    <w:name w:val="Header or footer_"/>
    <w:basedOn w:val="Privzetapisavaodstavka"/>
    <w:link w:val="Headerorfooter1"/>
    <w:uiPriority w:val="99"/>
    <w:rsid w:val="00D053B8"/>
    <w:rPr>
      <w:rFonts w:ascii="Verdana" w:hAnsi="Verdana" w:cs="Verdana"/>
      <w:sz w:val="17"/>
      <w:szCs w:val="17"/>
      <w:shd w:val="clear" w:color="auto" w:fill="FFFFFF"/>
    </w:rPr>
  </w:style>
  <w:style w:type="character" w:customStyle="1" w:styleId="Headerorfooter0">
    <w:name w:val="Header or footer"/>
    <w:basedOn w:val="Headerorfooter"/>
    <w:uiPriority w:val="99"/>
    <w:rsid w:val="00D053B8"/>
    <w:rPr>
      <w:rFonts w:ascii="Verdana" w:hAnsi="Verdana" w:cs="Verdana"/>
      <w:sz w:val="17"/>
      <w:szCs w:val="17"/>
      <w:shd w:val="clear" w:color="auto" w:fill="FFFFFF"/>
    </w:rPr>
  </w:style>
  <w:style w:type="character" w:customStyle="1" w:styleId="Bodytext395pt">
    <w:name w:val="Body text (3) + 9.5 pt"/>
    <w:aliases w:val="Not Bold"/>
    <w:basedOn w:val="Bodytext3"/>
    <w:uiPriority w:val="99"/>
    <w:rsid w:val="00D053B8"/>
    <w:rPr>
      <w:rFonts w:ascii="Verdana" w:hAnsi="Verdana" w:cs="Verdana"/>
      <w:b w:val="0"/>
      <w:bCs w:val="0"/>
      <w:spacing w:val="0"/>
      <w:sz w:val="19"/>
      <w:szCs w:val="19"/>
      <w:u w:val="none"/>
      <w:shd w:val="clear" w:color="auto" w:fill="FFFFFF"/>
    </w:rPr>
  </w:style>
  <w:style w:type="character" w:customStyle="1" w:styleId="Bodytext28pt">
    <w:name w:val="Body text (2) + 8 pt"/>
    <w:aliases w:val="Bold"/>
    <w:basedOn w:val="Bodytext2"/>
    <w:uiPriority w:val="99"/>
    <w:rsid w:val="00D053B8"/>
    <w:rPr>
      <w:rFonts w:ascii="Verdana" w:hAnsi="Verdana" w:cs="Verdana"/>
      <w:b/>
      <w:bCs/>
      <w:spacing w:val="0"/>
      <w:sz w:val="16"/>
      <w:szCs w:val="16"/>
      <w:u w:val="none"/>
      <w:shd w:val="clear" w:color="auto" w:fill="FFFFFF"/>
    </w:rPr>
  </w:style>
  <w:style w:type="paragraph" w:customStyle="1" w:styleId="Headerorfooter1">
    <w:name w:val="Header or footer1"/>
    <w:basedOn w:val="Navaden"/>
    <w:link w:val="Headerorfooter"/>
    <w:uiPriority w:val="99"/>
    <w:rsid w:val="00D053B8"/>
    <w:pPr>
      <w:widowControl w:val="0"/>
      <w:shd w:val="clear" w:color="auto" w:fill="FFFFFF"/>
      <w:spacing w:after="0" w:line="240" w:lineRule="atLeast"/>
    </w:pPr>
    <w:rPr>
      <w:rFonts w:ascii="Verdana" w:hAnsi="Verdana" w:cs="Verdana"/>
      <w:sz w:val="17"/>
      <w:szCs w:val="17"/>
    </w:rPr>
  </w:style>
  <w:style w:type="character" w:customStyle="1" w:styleId="highlight">
    <w:name w:val="highlight"/>
    <w:basedOn w:val="Privzetapisavaodstavka"/>
    <w:rsid w:val="00D053B8"/>
  </w:style>
  <w:style w:type="character" w:customStyle="1" w:styleId="NaslovpredpisaZnak">
    <w:name w:val="Naslov_predpisa Znak"/>
    <w:link w:val="Naslovpredpisa"/>
    <w:locked/>
    <w:rsid w:val="00D053B8"/>
    <w:rPr>
      <w:rFonts w:ascii="Arial" w:hAnsi="Arial"/>
      <w:b/>
      <w:lang w:val="x-none" w:eastAsia="x-none"/>
    </w:rPr>
  </w:style>
  <w:style w:type="paragraph" w:customStyle="1" w:styleId="Naslovpredpisa">
    <w:name w:val="Naslov_predpisa"/>
    <w:basedOn w:val="Navaden"/>
    <w:link w:val="NaslovpredpisaZnak"/>
    <w:qFormat/>
    <w:rsid w:val="00D053B8"/>
    <w:pPr>
      <w:suppressAutoHyphens/>
      <w:overflowPunct w:val="0"/>
      <w:autoSpaceDE w:val="0"/>
      <w:autoSpaceDN w:val="0"/>
      <w:adjustRightInd w:val="0"/>
      <w:spacing w:after="0" w:line="240" w:lineRule="auto"/>
      <w:jc w:val="center"/>
    </w:pPr>
    <w:rPr>
      <w:rFonts w:ascii="Arial" w:hAnsi="Arial"/>
      <w:b/>
      <w:lang w:val="x-none" w:eastAsia="x-none"/>
    </w:rPr>
  </w:style>
  <w:style w:type="table" w:styleId="Tabelamrea">
    <w:name w:val="Table Grid"/>
    <w:basedOn w:val="Navadnatabela"/>
    <w:uiPriority w:val="39"/>
    <w:rsid w:val="00D053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D053B8"/>
    <w:rPr>
      <w:sz w:val="16"/>
      <w:szCs w:val="16"/>
    </w:rPr>
  </w:style>
  <w:style w:type="paragraph" w:styleId="Pripombabesedilo">
    <w:name w:val="annotation text"/>
    <w:basedOn w:val="Navaden"/>
    <w:link w:val="PripombabesediloZnak"/>
    <w:uiPriority w:val="99"/>
    <w:semiHidden/>
    <w:unhideWhenUsed/>
    <w:rsid w:val="00D053B8"/>
    <w:pPr>
      <w:widowControl w:val="0"/>
      <w:spacing w:after="0" w:line="240" w:lineRule="auto"/>
    </w:pPr>
    <w:rPr>
      <w:rFonts w:ascii="Arial Unicode MS" w:eastAsia="Times New Roman" w:hAnsi="Arial Unicode MS" w:cs="Arial Unicode MS"/>
      <w:color w:val="000000"/>
      <w:sz w:val="20"/>
      <w:szCs w:val="20"/>
      <w:lang w:eastAsia="sl-SI"/>
    </w:rPr>
  </w:style>
  <w:style w:type="character" w:customStyle="1" w:styleId="PripombabesediloZnak">
    <w:name w:val="Pripomba – besedilo Znak"/>
    <w:basedOn w:val="Privzetapisavaodstavka"/>
    <w:link w:val="Pripombabesedilo"/>
    <w:uiPriority w:val="99"/>
    <w:semiHidden/>
    <w:rsid w:val="00D053B8"/>
    <w:rPr>
      <w:rFonts w:ascii="Arial Unicode MS" w:eastAsia="Times New Roman" w:hAnsi="Arial Unicode MS" w:cs="Arial Unicode MS"/>
      <w:color w:val="000000"/>
      <w:sz w:val="20"/>
      <w:szCs w:val="20"/>
      <w:lang w:eastAsia="sl-SI"/>
    </w:rPr>
  </w:style>
  <w:style w:type="paragraph" w:styleId="Zadevapripombe">
    <w:name w:val="annotation subject"/>
    <w:basedOn w:val="Pripombabesedilo"/>
    <w:next w:val="Pripombabesedilo"/>
    <w:link w:val="ZadevapripombeZnak"/>
    <w:uiPriority w:val="99"/>
    <w:semiHidden/>
    <w:unhideWhenUsed/>
    <w:rsid w:val="00D053B8"/>
    <w:rPr>
      <w:b/>
      <w:bCs/>
    </w:rPr>
  </w:style>
  <w:style w:type="character" w:customStyle="1" w:styleId="ZadevapripombeZnak">
    <w:name w:val="Zadeva pripombe Znak"/>
    <w:basedOn w:val="PripombabesediloZnak"/>
    <w:link w:val="Zadevapripombe"/>
    <w:uiPriority w:val="99"/>
    <w:semiHidden/>
    <w:rsid w:val="00D053B8"/>
    <w:rPr>
      <w:rFonts w:ascii="Arial Unicode MS" w:eastAsia="Times New Roman" w:hAnsi="Arial Unicode MS" w:cs="Arial Unicode MS"/>
      <w:b/>
      <w:bCs/>
      <w:color w:val="000000"/>
      <w:sz w:val="20"/>
      <w:szCs w:val="20"/>
      <w:lang w:eastAsia="sl-SI"/>
    </w:rPr>
  </w:style>
  <w:style w:type="paragraph" w:styleId="Glava">
    <w:name w:val="header"/>
    <w:basedOn w:val="Navaden"/>
    <w:link w:val="GlavaZnak"/>
    <w:unhideWhenUsed/>
    <w:rsid w:val="00D053B8"/>
    <w:pPr>
      <w:widowControl w:val="0"/>
      <w:tabs>
        <w:tab w:val="center" w:pos="4536"/>
        <w:tab w:val="right" w:pos="9072"/>
      </w:tabs>
      <w:spacing w:after="0" w:line="240" w:lineRule="auto"/>
    </w:pPr>
    <w:rPr>
      <w:rFonts w:ascii="Arial Unicode MS" w:eastAsia="Times New Roman" w:hAnsi="Arial Unicode MS" w:cs="Arial Unicode MS"/>
      <w:color w:val="000000"/>
      <w:sz w:val="24"/>
      <w:szCs w:val="24"/>
      <w:lang w:eastAsia="sl-SI"/>
    </w:rPr>
  </w:style>
  <w:style w:type="character" w:customStyle="1" w:styleId="GlavaZnak">
    <w:name w:val="Glava Znak"/>
    <w:basedOn w:val="Privzetapisavaodstavka"/>
    <w:link w:val="Glava"/>
    <w:rsid w:val="00D053B8"/>
    <w:rPr>
      <w:rFonts w:ascii="Arial Unicode MS" w:eastAsia="Times New Roman" w:hAnsi="Arial Unicode MS" w:cs="Arial Unicode MS"/>
      <w:color w:val="000000"/>
      <w:sz w:val="24"/>
      <w:szCs w:val="24"/>
      <w:lang w:eastAsia="sl-SI"/>
    </w:rPr>
  </w:style>
  <w:style w:type="paragraph" w:styleId="Noga">
    <w:name w:val="footer"/>
    <w:basedOn w:val="Navaden"/>
    <w:link w:val="NogaZnak"/>
    <w:uiPriority w:val="99"/>
    <w:unhideWhenUsed/>
    <w:rsid w:val="00D053B8"/>
    <w:pPr>
      <w:widowControl w:val="0"/>
      <w:tabs>
        <w:tab w:val="center" w:pos="4536"/>
        <w:tab w:val="right" w:pos="9072"/>
      </w:tabs>
      <w:spacing w:after="0" w:line="240" w:lineRule="auto"/>
    </w:pPr>
    <w:rPr>
      <w:rFonts w:ascii="Arial Unicode MS" w:eastAsia="Times New Roman" w:hAnsi="Arial Unicode MS" w:cs="Arial Unicode MS"/>
      <w:color w:val="000000"/>
      <w:sz w:val="24"/>
      <w:szCs w:val="24"/>
      <w:lang w:eastAsia="sl-SI"/>
    </w:rPr>
  </w:style>
  <w:style w:type="character" w:customStyle="1" w:styleId="NogaZnak">
    <w:name w:val="Noga Znak"/>
    <w:basedOn w:val="Privzetapisavaodstavka"/>
    <w:link w:val="Noga"/>
    <w:uiPriority w:val="99"/>
    <w:rsid w:val="00D053B8"/>
    <w:rPr>
      <w:rFonts w:ascii="Arial Unicode MS" w:eastAsia="Times New Roman" w:hAnsi="Arial Unicode MS" w:cs="Arial Unicode MS"/>
      <w:color w:val="000000"/>
      <w:sz w:val="24"/>
      <w:szCs w:val="24"/>
      <w:lang w:eastAsia="sl-SI"/>
    </w:rPr>
  </w:style>
  <w:style w:type="paragraph" w:customStyle="1" w:styleId="lennaslov">
    <w:name w:val="lennaslov"/>
    <w:basedOn w:val="Navaden"/>
    <w:rsid w:val="00D053B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053B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D053B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e">
    <w:name w:val="Alineje"/>
    <w:basedOn w:val="Odstavekseznama"/>
    <w:link w:val="AlinejeZnak"/>
    <w:qFormat/>
    <w:rsid w:val="00D053B8"/>
    <w:pPr>
      <w:numPr>
        <w:numId w:val="13"/>
      </w:numPr>
      <w:spacing w:line="300" w:lineRule="exact"/>
      <w:jc w:val="both"/>
    </w:pPr>
    <w:rPr>
      <w:rFonts w:cs="Arial"/>
    </w:rPr>
  </w:style>
  <w:style w:type="paragraph" w:customStyle="1" w:styleId="Toke">
    <w:name w:val="Točke"/>
    <w:basedOn w:val="Bodytext20"/>
    <w:link w:val="TokeZnak"/>
    <w:qFormat/>
    <w:rsid w:val="00D053B8"/>
    <w:pPr>
      <w:numPr>
        <w:numId w:val="14"/>
      </w:numPr>
      <w:shd w:val="clear" w:color="auto" w:fill="auto"/>
      <w:spacing w:before="240" w:after="0" w:line="300" w:lineRule="exact"/>
    </w:pPr>
    <w:rPr>
      <w:rFonts w:ascii="Arial" w:eastAsia="Times New Roman" w:hAnsi="Arial" w:cs="Arial"/>
      <w:color w:val="000000"/>
      <w:lang w:eastAsia="sl-SI"/>
    </w:rPr>
  </w:style>
  <w:style w:type="character" w:customStyle="1" w:styleId="AlinejeZnak">
    <w:name w:val="Alineje Znak"/>
    <w:basedOn w:val="OdstavekseznamaZnak"/>
    <w:link w:val="Alineje"/>
    <w:rsid w:val="00D053B8"/>
    <w:rPr>
      <w:rFonts w:ascii="Arial" w:eastAsia="Times New Roman" w:hAnsi="Arial" w:cs="Arial"/>
      <w:sz w:val="20"/>
      <w:szCs w:val="24"/>
    </w:rPr>
  </w:style>
  <w:style w:type="paragraph" w:customStyle="1" w:styleId="leni">
    <w:name w:val="Členi"/>
    <w:basedOn w:val="Bodytext30"/>
    <w:link w:val="leniZnak"/>
    <w:qFormat/>
    <w:rsid w:val="00D053B8"/>
    <w:pPr>
      <w:keepNext/>
      <w:numPr>
        <w:numId w:val="11"/>
      </w:numPr>
      <w:shd w:val="clear" w:color="auto" w:fill="auto"/>
      <w:tabs>
        <w:tab w:val="left" w:pos="426"/>
      </w:tabs>
      <w:spacing w:before="480" w:after="0" w:line="300" w:lineRule="exact"/>
      <w:ind w:left="364"/>
      <w:jc w:val="center"/>
    </w:pPr>
    <w:rPr>
      <w:rFonts w:ascii="Arial" w:eastAsia="Times New Roman" w:hAnsi="Arial" w:cs="Arial"/>
      <w:color w:val="000000"/>
      <w:lang w:eastAsia="sl-SI"/>
    </w:rPr>
  </w:style>
  <w:style w:type="character" w:customStyle="1" w:styleId="TokeZnak">
    <w:name w:val="Točke Znak"/>
    <w:basedOn w:val="Bodytext2"/>
    <w:link w:val="Toke"/>
    <w:rsid w:val="00D053B8"/>
    <w:rPr>
      <w:rFonts w:ascii="Arial" w:eastAsia="Times New Roman" w:hAnsi="Arial" w:cs="Arial"/>
      <w:color w:val="000000"/>
      <w:sz w:val="19"/>
      <w:szCs w:val="19"/>
      <w:shd w:val="clear" w:color="auto" w:fill="FFFFFF"/>
      <w:lang w:eastAsia="sl-SI"/>
    </w:rPr>
  </w:style>
  <w:style w:type="paragraph" w:customStyle="1" w:styleId="leninaslov">
    <w:name w:val="Členi naslov"/>
    <w:basedOn w:val="Bodytext30"/>
    <w:link w:val="leninaslovZnak"/>
    <w:qFormat/>
    <w:rsid w:val="00D053B8"/>
    <w:pPr>
      <w:keepNext/>
      <w:shd w:val="clear" w:color="auto" w:fill="auto"/>
      <w:tabs>
        <w:tab w:val="left" w:pos="142"/>
      </w:tabs>
      <w:spacing w:before="120" w:after="360" w:line="240" w:lineRule="auto"/>
      <w:ind w:firstLine="0"/>
      <w:jc w:val="center"/>
    </w:pPr>
    <w:rPr>
      <w:rFonts w:ascii="Arial" w:eastAsia="Times New Roman" w:hAnsi="Arial" w:cs="Arial"/>
      <w:color w:val="000000"/>
      <w:lang w:eastAsia="sl-SI"/>
    </w:rPr>
  </w:style>
  <w:style w:type="character" w:customStyle="1" w:styleId="leniZnak">
    <w:name w:val="Členi Znak"/>
    <w:basedOn w:val="Bodytext3"/>
    <w:link w:val="leni"/>
    <w:rsid w:val="00D053B8"/>
    <w:rPr>
      <w:rFonts w:ascii="Arial" w:eastAsia="Times New Roman" w:hAnsi="Arial" w:cs="Arial"/>
      <w:b/>
      <w:bCs/>
      <w:color w:val="000000"/>
      <w:sz w:val="16"/>
      <w:szCs w:val="16"/>
      <w:shd w:val="clear" w:color="auto" w:fill="FFFFFF"/>
      <w:lang w:eastAsia="sl-SI"/>
    </w:rPr>
  </w:style>
  <w:style w:type="paragraph" w:customStyle="1" w:styleId="Poglavja">
    <w:name w:val="Poglavja"/>
    <w:basedOn w:val="Bodytext30"/>
    <w:link w:val="PoglavjaZnak"/>
    <w:qFormat/>
    <w:rsid w:val="00D053B8"/>
    <w:pPr>
      <w:keepNext/>
      <w:shd w:val="clear" w:color="auto" w:fill="auto"/>
      <w:tabs>
        <w:tab w:val="left" w:pos="284"/>
      </w:tabs>
      <w:spacing w:before="720" w:after="120" w:line="240" w:lineRule="auto"/>
      <w:ind w:firstLine="0"/>
      <w:jc w:val="center"/>
    </w:pPr>
    <w:rPr>
      <w:rFonts w:ascii="Arial" w:eastAsia="Times New Roman" w:hAnsi="Arial" w:cs="Arial"/>
      <w:color w:val="000000"/>
      <w:lang w:eastAsia="sl-SI"/>
    </w:rPr>
  </w:style>
  <w:style w:type="character" w:customStyle="1" w:styleId="leninaslovZnak">
    <w:name w:val="Členi naslov Znak"/>
    <w:basedOn w:val="Bodytext3"/>
    <w:link w:val="leninaslov"/>
    <w:rsid w:val="00D053B8"/>
    <w:rPr>
      <w:rFonts w:ascii="Arial" w:eastAsia="Times New Roman" w:hAnsi="Arial" w:cs="Arial"/>
      <w:b/>
      <w:bCs/>
      <w:color w:val="000000"/>
      <w:sz w:val="16"/>
      <w:szCs w:val="16"/>
      <w:shd w:val="clear" w:color="auto" w:fill="FFFFFF"/>
      <w:lang w:eastAsia="sl-SI"/>
    </w:rPr>
  </w:style>
  <w:style w:type="character" w:customStyle="1" w:styleId="PoglavjaZnak">
    <w:name w:val="Poglavja Znak"/>
    <w:basedOn w:val="Bodytext3"/>
    <w:link w:val="Poglavja"/>
    <w:rsid w:val="00D053B8"/>
    <w:rPr>
      <w:rFonts w:ascii="Arial" w:eastAsia="Times New Roman" w:hAnsi="Arial" w:cs="Arial"/>
      <w:b/>
      <w:bCs/>
      <w:color w:val="000000"/>
      <w:sz w:val="16"/>
      <w:szCs w:val="16"/>
      <w:shd w:val="clear" w:color="auto" w:fill="FFFFFF"/>
      <w:lang w:eastAsia="sl-SI"/>
    </w:rPr>
  </w:style>
  <w:style w:type="table" w:customStyle="1" w:styleId="Tabelabarvnamrea6poudarek31">
    <w:name w:val="Tabela – barvna mreža 6 (poudarek 3)1"/>
    <w:basedOn w:val="Navadnatabela"/>
    <w:uiPriority w:val="51"/>
    <w:rsid w:val="00D053B8"/>
    <w:pPr>
      <w:spacing w:after="0" w:line="240" w:lineRule="auto"/>
    </w:pPr>
    <w:rPr>
      <w:rFonts w:ascii="Arial Unicode MS" w:eastAsia="Times New Roman" w:hAnsi="Arial Unicode MS" w:cs="Times New Roman"/>
      <w:color w:val="7B7B7B" w:themeColor="accent3" w:themeShade="BF"/>
      <w:sz w:val="24"/>
      <w:szCs w:val="24"/>
      <w:lang w:eastAsia="sl-SI"/>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Nerazreenaomemba">
    <w:name w:val="Unresolved Mention"/>
    <w:basedOn w:val="Privzetapisavaodstavka"/>
    <w:uiPriority w:val="99"/>
    <w:semiHidden/>
    <w:unhideWhenUsed/>
    <w:rsid w:val="00D053B8"/>
    <w:rPr>
      <w:color w:val="808080"/>
      <w:shd w:val="clear" w:color="auto" w:fill="E6E6E6"/>
    </w:rPr>
  </w:style>
  <w:style w:type="paragraph" w:styleId="Revizija">
    <w:name w:val="Revision"/>
    <w:hidden/>
    <w:uiPriority w:val="99"/>
    <w:semiHidden/>
    <w:rsid w:val="00D053B8"/>
    <w:pPr>
      <w:spacing w:after="0" w:line="240" w:lineRule="auto"/>
    </w:pPr>
    <w:rPr>
      <w:rFonts w:ascii="Arial Unicode MS" w:eastAsia="Times New Roman" w:hAnsi="Arial Unicode MS" w:cs="Arial Unicode MS"/>
      <w:color w:val="000000"/>
      <w:sz w:val="24"/>
      <w:szCs w:val="24"/>
      <w:lang w:eastAsia="sl-SI"/>
    </w:rPr>
  </w:style>
  <w:style w:type="paragraph" w:styleId="Sprotnaopomba-besedilo">
    <w:name w:val="footnote text"/>
    <w:basedOn w:val="Navaden"/>
    <w:link w:val="Sprotnaopomba-besediloZnak"/>
    <w:uiPriority w:val="99"/>
    <w:semiHidden/>
    <w:unhideWhenUsed/>
    <w:rsid w:val="00D053B8"/>
    <w:pPr>
      <w:widowControl w:val="0"/>
      <w:spacing w:after="0" w:line="240" w:lineRule="auto"/>
    </w:pPr>
    <w:rPr>
      <w:rFonts w:ascii="Arial Unicode MS" w:eastAsia="Times New Roman" w:hAnsi="Arial Unicode MS" w:cs="Arial Unicode MS"/>
      <w:color w:val="000000"/>
      <w:sz w:val="20"/>
      <w:szCs w:val="20"/>
      <w:lang w:eastAsia="sl-SI"/>
    </w:rPr>
  </w:style>
  <w:style w:type="character" w:customStyle="1" w:styleId="Sprotnaopomba-besediloZnak">
    <w:name w:val="Sprotna opomba - besedilo Znak"/>
    <w:basedOn w:val="Privzetapisavaodstavka"/>
    <w:link w:val="Sprotnaopomba-besedilo"/>
    <w:uiPriority w:val="99"/>
    <w:semiHidden/>
    <w:rsid w:val="00D053B8"/>
    <w:rPr>
      <w:rFonts w:ascii="Arial Unicode MS" w:eastAsia="Times New Roman" w:hAnsi="Arial Unicode MS" w:cs="Arial Unicode MS"/>
      <w:color w:val="000000"/>
      <w:sz w:val="20"/>
      <w:szCs w:val="20"/>
      <w:lang w:eastAsia="sl-SI"/>
    </w:rPr>
  </w:style>
  <w:style w:type="character" w:styleId="Sprotnaopomba-sklic">
    <w:name w:val="footnote reference"/>
    <w:basedOn w:val="Privzetapisavaodstavka"/>
    <w:uiPriority w:val="99"/>
    <w:semiHidden/>
    <w:unhideWhenUsed/>
    <w:rsid w:val="00D053B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ju.gov.si/si/"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794992C-2B24-4A59-BDA7-DF3678164C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32</Pages>
  <Words>10780</Words>
  <Characters>61448</Characters>
  <Application>Microsoft Office Word</Application>
  <DocSecurity>0</DocSecurity>
  <Lines>512</Lines>
  <Paragraphs>144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Anja Ancelj</cp:lastModifiedBy>
  <cp:revision>9</cp:revision>
  <cp:lastPrinted>2018-10-03T12:55:00Z</cp:lastPrinted>
  <dcterms:created xsi:type="dcterms:W3CDTF">2019-02-07T13:50:00Z</dcterms:created>
  <dcterms:modified xsi:type="dcterms:W3CDTF">2019-02-11T08:43:00Z</dcterms:modified>
</cp:coreProperties>
</file>