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theme/themeOverride1.xml" ContentType="application/vnd.openxmlformats-officedocument.themeOverride+xml"/>
  <Override PartName="/word/charts/chart10.xml" ContentType="application/vnd.openxmlformats-officedocument.drawingml.chart+xml"/>
  <Override PartName="/word/charts/chart11.xml" ContentType="application/vnd.openxmlformats-officedocument.drawingml.chart+xml"/>
  <Override PartName="/word/footer1.xml" ContentType="application/vnd.openxmlformats-officedocument.wordprocessingml.footer+xml"/>
  <Override PartName="/word/footer2.xml" ContentType="application/vnd.openxmlformats-officedocument.wordprocessingml.footer+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Override PartName="/word/charts/chart24.xml" ContentType="application/vnd.openxmlformats-officedocument.drawingml.chart+xml"/>
  <Override PartName="/word/charts/chart25.xml" ContentType="application/vnd.openxmlformats-officedocument.drawingml.chart+xml"/>
  <Override PartName="/word/charts/chart26.xml" ContentType="application/vnd.openxmlformats-officedocument.drawingml.chart+xml"/>
  <Override PartName="/word/charts/chart27.xml" ContentType="application/vnd.openxmlformats-officedocument.drawingml.chart+xml"/>
  <Override PartName="/word/charts/chart28.xml" ContentType="application/vnd.openxmlformats-officedocument.drawingml.chart+xml"/>
  <Override PartName="/word/charts/chart29.xml" ContentType="application/vnd.openxmlformats-officedocument.drawingml.chart+xml"/>
  <Override PartName="/word/charts/chart30.xml" ContentType="application/vnd.openxmlformats-officedocument.drawingml.chart+xml"/>
  <Override PartName="/word/charts/chart31.xml" ContentType="application/vnd.openxmlformats-officedocument.drawingml.chart+xml"/>
  <Override PartName="/word/theme/themeOverride2.xml" ContentType="application/vnd.openxmlformats-officedocument.themeOverride+xml"/>
  <Override PartName="/word/charts/chart32.xml" ContentType="application/vnd.openxmlformats-officedocument.drawingml.chart+xml"/>
  <Override PartName="/word/theme/themeOverride3.xml" ContentType="application/vnd.openxmlformats-officedocument.themeOverride+xml"/>
  <Override PartName="/word/charts/chart33.xml" ContentType="application/vnd.openxmlformats-officedocument.drawingml.chart+xml"/>
  <Override PartName="/word/theme/themeOverride4.xml" ContentType="application/vnd.openxmlformats-officedocument.themeOverride+xml"/>
  <Override PartName="/word/charts/chart34.xml" ContentType="application/vnd.openxmlformats-officedocument.drawingml.chart+xml"/>
  <Override PartName="/word/theme/themeOverride5.xml" ContentType="application/vnd.openxmlformats-officedocument.themeOverride+xml"/>
  <Override PartName="/word/charts/chart35.xml" ContentType="application/vnd.openxmlformats-officedocument.drawingml.chart+xml"/>
  <Override PartName="/word/theme/themeOverride6.xml" ContentType="application/vnd.openxmlformats-officedocument.themeOverride+xml"/>
  <Override PartName="/word/charts/chart36.xml" ContentType="application/vnd.openxmlformats-officedocument.drawingml.chart+xml"/>
  <Override PartName="/word/charts/chart37.xml" ContentType="application/vnd.openxmlformats-officedocument.drawingml.chart+xml"/>
  <Override PartName="/word/charts/chart38.xml" ContentType="application/vnd.openxmlformats-officedocument.drawingml.chart+xml"/>
  <Override PartName="/word/charts/chart39.xml" ContentType="application/vnd.openxmlformats-officedocument.drawingml.chart+xml"/>
  <Override PartName="/word/charts/chart40.xml" ContentType="application/vnd.openxmlformats-officedocument.drawingml.chart+xml"/>
  <Override PartName="/word/charts/chart41.xml" ContentType="application/vnd.openxmlformats-officedocument.drawingml.chart+xml"/>
  <Override PartName="/word/theme/themeOverride7.xml" ContentType="application/vnd.openxmlformats-officedocument.themeOverride+xml"/>
  <Override PartName="/word/charts/chart42.xml" ContentType="application/vnd.openxmlformats-officedocument.drawingml.chart+xml"/>
  <Override PartName="/word/theme/themeOverride8.xml" ContentType="application/vnd.openxmlformats-officedocument.themeOverride+xml"/>
  <Override PartName="/word/charts/chart43.xml" ContentType="application/vnd.openxmlformats-officedocument.drawingml.chart+xml"/>
  <Override PartName="/word/charts/chart44.xml" ContentType="application/vnd.openxmlformats-officedocument.drawingml.chart+xml"/>
  <Override PartName="/word/charts/chart45.xml" ContentType="application/vnd.openxmlformats-officedocument.drawingml.chart+xml"/>
  <Override PartName="/word/charts/chart46.xml" ContentType="application/vnd.openxmlformats-officedocument.drawingml.chart+xml"/>
  <Override PartName="/word/theme/themeOverride9.xml" ContentType="application/vnd.openxmlformats-officedocument.themeOverride+xml"/>
  <Override PartName="/word/charts/chart47.xml" ContentType="application/vnd.openxmlformats-officedocument.drawingml.chart+xml"/>
  <Override PartName="/word/charts/chart48.xml" ContentType="application/vnd.openxmlformats-officedocument.drawingml.chart+xml"/>
  <Override PartName="/word/theme/themeOverride10.xml" ContentType="application/vnd.openxmlformats-officedocument.themeOverride+xml"/>
  <Override PartName="/word/charts/chart49.xml" ContentType="application/vnd.openxmlformats-officedocument.drawingml.chart+xml"/>
  <Override PartName="/word/charts/chart50.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D3381" w:rsidRDefault="00402B7B" w:rsidP="002356C6">
      <w:pPr>
        <w:pStyle w:val="Naslov"/>
      </w:pPr>
      <w:r w:rsidRPr="00A674E7">
        <w:t>Analiza</w:t>
      </w:r>
      <w:r w:rsidR="006E2398">
        <w:t xml:space="preserve"> financiranja kulture</w:t>
      </w:r>
    </w:p>
    <w:p w:rsidR="002356C6" w:rsidRDefault="002356C6" w:rsidP="002356C6"/>
    <w:p w:rsidR="001A0FC7" w:rsidRDefault="001A0FC7" w:rsidP="002356C6"/>
    <w:p w:rsidR="001A0FC7" w:rsidRDefault="001A0FC7" w:rsidP="002356C6"/>
    <w:p w:rsidR="001A0FC7" w:rsidRDefault="001A0FC7" w:rsidP="002356C6"/>
    <w:p w:rsidR="001A0FC7" w:rsidRDefault="001A0FC7" w:rsidP="002356C6"/>
    <w:p w:rsidR="001A0FC7" w:rsidRDefault="001A0FC7" w:rsidP="002356C6"/>
    <w:p w:rsidR="001A0FC7" w:rsidRDefault="001A0FC7" w:rsidP="002356C6"/>
    <w:p w:rsidR="001A0FC7" w:rsidRDefault="001A0FC7" w:rsidP="002356C6"/>
    <w:p w:rsidR="001A0FC7" w:rsidRDefault="001A0FC7" w:rsidP="002356C6"/>
    <w:p w:rsidR="001A0FC7" w:rsidRDefault="001A0FC7" w:rsidP="002356C6"/>
    <w:p w:rsidR="001A0FC7" w:rsidRDefault="001A0FC7" w:rsidP="002356C6"/>
    <w:p w:rsidR="001A0FC7" w:rsidRDefault="001A0FC7" w:rsidP="002356C6"/>
    <w:p w:rsidR="001A0FC7" w:rsidRDefault="001A0FC7" w:rsidP="002356C6"/>
    <w:p w:rsidR="001A0FC7" w:rsidRDefault="001A0FC7" w:rsidP="002356C6"/>
    <w:p w:rsidR="001A0FC7" w:rsidRDefault="001A0FC7" w:rsidP="002356C6"/>
    <w:p w:rsidR="001A0FC7" w:rsidRDefault="001A0FC7" w:rsidP="002356C6"/>
    <w:p w:rsidR="001A0FC7" w:rsidRDefault="001A0FC7" w:rsidP="002356C6"/>
    <w:p w:rsidR="001A0FC7" w:rsidRDefault="001A0FC7" w:rsidP="002356C6"/>
    <w:p w:rsidR="001A0FC7" w:rsidRDefault="001A0FC7" w:rsidP="002356C6"/>
    <w:p w:rsidR="001A0FC7" w:rsidRDefault="001A0FC7" w:rsidP="002356C6"/>
    <w:p w:rsidR="001A0FC7" w:rsidRDefault="001A0FC7" w:rsidP="002356C6"/>
    <w:p w:rsidR="001A0FC7" w:rsidRDefault="001A0FC7" w:rsidP="002356C6"/>
    <w:p w:rsidR="001A0FC7" w:rsidRDefault="001A0FC7" w:rsidP="002356C6"/>
    <w:p w:rsidR="001A0FC7" w:rsidRDefault="001A0FC7" w:rsidP="002356C6"/>
    <w:p w:rsidR="001A0FC7" w:rsidRDefault="001A0FC7" w:rsidP="002356C6"/>
    <w:p w:rsidR="001A0FC7" w:rsidRDefault="001A0FC7" w:rsidP="00264B79">
      <w:pPr>
        <w:rPr>
          <w:color w:val="1F497D" w:themeColor="text2"/>
        </w:rPr>
      </w:pPr>
    </w:p>
    <w:p w:rsidR="001A0FC7" w:rsidRDefault="001A0FC7" w:rsidP="00264B79">
      <w:pPr>
        <w:rPr>
          <w:color w:val="1F497D" w:themeColor="text2"/>
        </w:rPr>
      </w:pPr>
    </w:p>
    <w:p w:rsidR="001A0FC7" w:rsidRDefault="001A0FC7" w:rsidP="00264B79">
      <w:pPr>
        <w:rPr>
          <w:color w:val="1F497D" w:themeColor="text2"/>
        </w:rPr>
      </w:pPr>
    </w:p>
    <w:p w:rsidR="001A0FC7" w:rsidRDefault="001A0FC7" w:rsidP="00264B79">
      <w:pPr>
        <w:rPr>
          <w:color w:val="1F497D" w:themeColor="text2"/>
        </w:rPr>
      </w:pPr>
    </w:p>
    <w:p w:rsidR="001A0FC7" w:rsidRDefault="001A0FC7" w:rsidP="00264B79">
      <w:pPr>
        <w:rPr>
          <w:color w:val="1F497D" w:themeColor="text2"/>
        </w:rPr>
      </w:pPr>
    </w:p>
    <w:p w:rsidR="001A0FC7" w:rsidRDefault="001A0FC7" w:rsidP="00264B79">
      <w:pPr>
        <w:rPr>
          <w:color w:val="1F497D" w:themeColor="text2"/>
        </w:rPr>
      </w:pPr>
    </w:p>
    <w:p w:rsidR="00264B79" w:rsidRPr="00264B79" w:rsidRDefault="00264B79" w:rsidP="001A0FC7">
      <w:pPr>
        <w:jc w:val="center"/>
        <w:rPr>
          <w:color w:val="1F497D" w:themeColor="text2"/>
        </w:rPr>
      </w:pPr>
      <w:r>
        <w:rPr>
          <w:color w:val="1F497D" w:themeColor="text2"/>
        </w:rPr>
        <w:t xml:space="preserve">Ljubljana, </w:t>
      </w:r>
      <w:r w:rsidRPr="00264B79">
        <w:rPr>
          <w:color w:val="1F497D" w:themeColor="text2"/>
        </w:rPr>
        <w:t>Ministrstvo za kulturo, 2017</w:t>
      </w:r>
    </w:p>
    <w:p w:rsidR="00264B79" w:rsidRDefault="00264B79" w:rsidP="002356C6"/>
    <w:p w:rsidR="00264B79" w:rsidRDefault="00264B79" w:rsidP="002356C6"/>
    <w:p w:rsidR="006D3381" w:rsidRDefault="001C1E71" w:rsidP="001C1E71">
      <w:pPr>
        <w:pStyle w:val="Naslov1"/>
      </w:pPr>
      <w:bookmarkStart w:id="0" w:name="_Toc477339465"/>
      <w:bookmarkStart w:id="1" w:name="_Toc477339889"/>
      <w:r>
        <w:lastRenderedPageBreak/>
        <w:t>KAZALO</w:t>
      </w:r>
    </w:p>
    <w:p w:rsidR="001A0FC7" w:rsidRDefault="00626BDB">
      <w:pPr>
        <w:pStyle w:val="Kazalovsebine1"/>
        <w:tabs>
          <w:tab w:val="right" w:leader="dot" w:pos="9730"/>
        </w:tabs>
        <w:rPr>
          <w:rFonts w:eastAsiaTheme="minorEastAsia" w:cstheme="minorBidi"/>
          <w:b w:val="0"/>
          <w:bCs w:val="0"/>
          <w:i w:val="0"/>
          <w:iCs w:val="0"/>
          <w:noProof/>
          <w:sz w:val="22"/>
          <w:szCs w:val="22"/>
          <w:lang w:eastAsia="sl-SI"/>
        </w:rPr>
      </w:pPr>
      <w:r>
        <w:fldChar w:fldCharType="begin"/>
      </w:r>
      <w:r>
        <w:instrText xml:space="preserve"> TOC \h \z \t "Podnaslov;1;Podnaslov2;2;Podnaslov 3;3" </w:instrText>
      </w:r>
      <w:r>
        <w:fldChar w:fldCharType="separate"/>
      </w:r>
      <w:hyperlink w:anchor="_Toc506192061" w:history="1">
        <w:r w:rsidR="001A0FC7" w:rsidRPr="00671707">
          <w:rPr>
            <w:rStyle w:val="Hiperpovezava"/>
            <w:noProof/>
          </w:rPr>
          <w:t>Povzetek</w:t>
        </w:r>
        <w:r w:rsidR="001A0FC7">
          <w:rPr>
            <w:noProof/>
            <w:webHidden/>
          </w:rPr>
          <w:tab/>
        </w:r>
        <w:r w:rsidR="001A0FC7">
          <w:rPr>
            <w:noProof/>
            <w:webHidden/>
          </w:rPr>
          <w:fldChar w:fldCharType="begin"/>
        </w:r>
        <w:r w:rsidR="001A0FC7">
          <w:rPr>
            <w:noProof/>
            <w:webHidden/>
          </w:rPr>
          <w:instrText xml:space="preserve"> PAGEREF _Toc506192061 \h </w:instrText>
        </w:r>
        <w:r w:rsidR="001A0FC7">
          <w:rPr>
            <w:noProof/>
            <w:webHidden/>
          </w:rPr>
        </w:r>
        <w:r w:rsidR="001A0FC7">
          <w:rPr>
            <w:noProof/>
            <w:webHidden/>
          </w:rPr>
          <w:fldChar w:fldCharType="separate"/>
        </w:r>
        <w:r w:rsidR="001A0FC7">
          <w:rPr>
            <w:noProof/>
            <w:webHidden/>
          </w:rPr>
          <w:t>7</w:t>
        </w:r>
        <w:r w:rsidR="001A0FC7">
          <w:rPr>
            <w:noProof/>
            <w:webHidden/>
          </w:rPr>
          <w:fldChar w:fldCharType="end"/>
        </w:r>
      </w:hyperlink>
    </w:p>
    <w:p w:rsidR="001A0FC7" w:rsidRDefault="009746F1">
      <w:pPr>
        <w:pStyle w:val="Kazalovsebine1"/>
        <w:tabs>
          <w:tab w:val="right" w:leader="dot" w:pos="9730"/>
        </w:tabs>
        <w:rPr>
          <w:rFonts w:eastAsiaTheme="minorEastAsia" w:cstheme="minorBidi"/>
          <w:b w:val="0"/>
          <w:bCs w:val="0"/>
          <w:i w:val="0"/>
          <w:iCs w:val="0"/>
          <w:noProof/>
          <w:sz w:val="22"/>
          <w:szCs w:val="22"/>
          <w:lang w:eastAsia="sl-SI"/>
        </w:rPr>
      </w:pPr>
      <w:hyperlink w:anchor="_Toc506192062" w:history="1">
        <w:r w:rsidR="001A0FC7" w:rsidRPr="00671707">
          <w:rPr>
            <w:rStyle w:val="Hiperpovezava"/>
            <w:noProof/>
          </w:rPr>
          <w:t>Odnos do kulture in udejstvovanje v njej</w:t>
        </w:r>
        <w:r w:rsidR="001A0FC7">
          <w:rPr>
            <w:noProof/>
            <w:webHidden/>
          </w:rPr>
          <w:tab/>
        </w:r>
        <w:r w:rsidR="001A0FC7">
          <w:rPr>
            <w:noProof/>
            <w:webHidden/>
          </w:rPr>
          <w:fldChar w:fldCharType="begin"/>
        </w:r>
        <w:r w:rsidR="001A0FC7">
          <w:rPr>
            <w:noProof/>
            <w:webHidden/>
          </w:rPr>
          <w:instrText xml:space="preserve"> PAGEREF _Toc506192062 \h </w:instrText>
        </w:r>
        <w:r w:rsidR="001A0FC7">
          <w:rPr>
            <w:noProof/>
            <w:webHidden/>
          </w:rPr>
        </w:r>
        <w:r w:rsidR="001A0FC7">
          <w:rPr>
            <w:noProof/>
            <w:webHidden/>
          </w:rPr>
          <w:fldChar w:fldCharType="separate"/>
        </w:r>
        <w:r w:rsidR="001A0FC7">
          <w:rPr>
            <w:noProof/>
            <w:webHidden/>
          </w:rPr>
          <w:t>10</w:t>
        </w:r>
        <w:r w:rsidR="001A0FC7">
          <w:rPr>
            <w:noProof/>
            <w:webHidden/>
          </w:rPr>
          <w:fldChar w:fldCharType="end"/>
        </w:r>
      </w:hyperlink>
    </w:p>
    <w:p w:rsidR="001A0FC7" w:rsidRDefault="009746F1">
      <w:pPr>
        <w:pStyle w:val="Kazalovsebine1"/>
        <w:tabs>
          <w:tab w:val="right" w:leader="dot" w:pos="9730"/>
        </w:tabs>
        <w:rPr>
          <w:rFonts w:eastAsiaTheme="minorEastAsia" w:cstheme="minorBidi"/>
          <w:b w:val="0"/>
          <w:bCs w:val="0"/>
          <w:i w:val="0"/>
          <w:iCs w:val="0"/>
          <w:noProof/>
          <w:sz w:val="22"/>
          <w:szCs w:val="22"/>
          <w:lang w:eastAsia="sl-SI"/>
        </w:rPr>
      </w:pPr>
      <w:hyperlink w:anchor="_Toc506192063" w:history="1">
        <w:r w:rsidR="001A0FC7" w:rsidRPr="00671707">
          <w:rPr>
            <w:rStyle w:val="Hiperpovezava"/>
            <w:noProof/>
          </w:rPr>
          <w:t>Javni izdatki za kulturo</w:t>
        </w:r>
        <w:r w:rsidR="001A0FC7">
          <w:rPr>
            <w:noProof/>
            <w:webHidden/>
          </w:rPr>
          <w:tab/>
        </w:r>
        <w:r w:rsidR="001A0FC7">
          <w:rPr>
            <w:noProof/>
            <w:webHidden/>
          </w:rPr>
          <w:fldChar w:fldCharType="begin"/>
        </w:r>
        <w:r w:rsidR="001A0FC7">
          <w:rPr>
            <w:noProof/>
            <w:webHidden/>
          </w:rPr>
          <w:instrText xml:space="preserve"> PAGEREF _Toc506192063 \h </w:instrText>
        </w:r>
        <w:r w:rsidR="001A0FC7">
          <w:rPr>
            <w:noProof/>
            <w:webHidden/>
          </w:rPr>
        </w:r>
        <w:r w:rsidR="001A0FC7">
          <w:rPr>
            <w:noProof/>
            <w:webHidden/>
          </w:rPr>
          <w:fldChar w:fldCharType="separate"/>
        </w:r>
        <w:r w:rsidR="001A0FC7">
          <w:rPr>
            <w:noProof/>
            <w:webHidden/>
          </w:rPr>
          <w:t>16</w:t>
        </w:r>
        <w:r w:rsidR="001A0FC7">
          <w:rPr>
            <w:noProof/>
            <w:webHidden/>
          </w:rPr>
          <w:fldChar w:fldCharType="end"/>
        </w:r>
      </w:hyperlink>
    </w:p>
    <w:p w:rsidR="001A0FC7" w:rsidRDefault="009746F1">
      <w:pPr>
        <w:pStyle w:val="Kazalovsebine2"/>
        <w:tabs>
          <w:tab w:val="right" w:leader="dot" w:pos="9730"/>
        </w:tabs>
        <w:rPr>
          <w:rFonts w:eastAsiaTheme="minorEastAsia" w:cstheme="minorBidi"/>
          <w:b w:val="0"/>
          <w:bCs w:val="0"/>
          <w:noProof/>
          <w:lang w:eastAsia="sl-SI"/>
        </w:rPr>
      </w:pPr>
      <w:hyperlink w:anchor="_Toc506192064" w:history="1">
        <w:r w:rsidR="001A0FC7" w:rsidRPr="00671707">
          <w:rPr>
            <w:rStyle w:val="Hiperpovezava"/>
            <w:noProof/>
          </w:rPr>
          <w:t>Mednarodna primerjava javnih izdatkov za kulturne storitve</w:t>
        </w:r>
        <w:r w:rsidR="001A0FC7">
          <w:rPr>
            <w:noProof/>
            <w:webHidden/>
          </w:rPr>
          <w:tab/>
        </w:r>
        <w:r w:rsidR="001A0FC7">
          <w:rPr>
            <w:noProof/>
            <w:webHidden/>
          </w:rPr>
          <w:fldChar w:fldCharType="begin"/>
        </w:r>
        <w:r w:rsidR="001A0FC7">
          <w:rPr>
            <w:noProof/>
            <w:webHidden/>
          </w:rPr>
          <w:instrText xml:space="preserve"> PAGEREF _Toc506192064 \h </w:instrText>
        </w:r>
        <w:r w:rsidR="001A0FC7">
          <w:rPr>
            <w:noProof/>
            <w:webHidden/>
          </w:rPr>
        </w:r>
        <w:r w:rsidR="001A0FC7">
          <w:rPr>
            <w:noProof/>
            <w:webHidden/>
          </w:rPr>
          <w:fldChar w:fldCharType="separate"/>
        </w:r>
        <w:r w:rsidR="001A0FC7">
          <w:rPr>
            <w:noProof/>
            <w:webHidden/>
          </w:rPr>
          <w:t>16</w:t>
        </w:r>
        <w:r w:rsidR="001A0FC7">
          <w:rPr>
            <w:noProof/>
            <w:webHidden/>
          </w:rPr>
          <w:fldChar w:fldCharType="end"/>
        </w:r>
      </w:hyperlink>
    </w:p>
    <w:p w:rsidR="001A0FC7" w:rsidRDefault="009746F1">
      <w:pPr>
        <w:pStyle w:val="Kazalovsebine3"/>
        <w:tabs>
          <w:tab w:val="right" w:leader="dot" w:pos="9730"/>
        </w:tabs>
        <w:rPr>
          <w:rFonts w:eastAsiaTheme="minorEastAsia" w:cstheme="minorBidi"/>
          <w:noProof/>
          <w:sz w:val="22"/>
          <w:szCs w:val="22"/>
          <w:lang w:eastAsia="sl-SI"/>
        </w:rPr>
      </w:pPr>
      <w:hyperlink w:anchor="_Toc506192065" w:history="1">
        <w:r w:rsidR="001A0FC7" w:rsidRPr="00671707">
          <w:rPr>
            <w:rStyle w:val="Hiperpovezava"/>
            <w:noProof/>
          </w:rPr>
          <w:t>Obseg sredstev</w:t>
        </w:r>
        <w:r w:rsidR="001A0FC7">
          <w:rPr>
            <w:noProof/>
            <w:webHidden/>
          </w:rPr>
          <w:tab/>
        </w:r>
        <w:r w:rsidR="001A0FC7">
          <w:rPr>
            <w:noProof/>
            <w:webHidden/>
          </w:rPr>
          <w:fldChar w:fldCharType="begin"/>
        </w:r>
        <w:r w:rsidR="001A0FC7">
          <w:rPr>
            <w:noProof/>
            <w:webHidden/>
          </w:rPr>
          <w:instrText xml:space="preserve"> PAGEREF _Toc506192065 \h </w:instrText>
        </w:r>
        <w:r w:rsidR="001A0FC7">
          <w:rPr>
            <w:noProof/>
            <w:webHidden/>
          </w:rPr>
        </w:r>
        <w:r w:rsidR="001A0FC7">
          <w:rPr>
            <w:noProof/>
            <w:webHidden/>
          </w:rPr>
          <w:fldChar w:fldCharType="separate"/>
        </w:r>
        <w:r w:rsidR="001A0FC7">
          <w:rPr>
            <w:noProof/>
            <w:webHidden/>
          </w:rPr>
          <w:t>16</w:t>
        </w:r>
        <w:r w:rsidR="001A0FC7">
          <w:rPr>
            <w:noProof/>
            <w:webHidden/>
          </w:rPr>
          <w:fldChar w:fldCharType="end"/>
        </w:r>
      </w:hyperlink>
    </w:p>
    <w:p w:rsidR="001A0FC7" w:rsidRDefault="009746F1">
      <w:pPr>
        <w:pStyle w:val="Kazalovsebine3"/>
        <w:tabs>
          <w:tab w:val="right" w:leader="dot" w:pos="9730"/>
        </w:tabs>
        <w:rPr>
          <w:rFonts w:eastAsiaTheme="minorEastAsia" w:cstheme="minorBidi"/>
          <w:noProof/>
          <w:sz w:val="22"/>
          <w:szCs w:val="22"/>
          <w:lang w:eastAsia="sl-SI"/>
        </w:rPr>
      </w:pPr>
      <w:hyperlink w:anchor="_Toc506192066" w:history="1">
        <w:r w:rsidR="001A0FC7" w:rsidRPr="00671707">
          <w:rPr>
            <w:rStyle w:val="Hiperpovezava"/>
            <w:noProof/>
          </w:rPr>
          <w:t>Razmerje med ravnmi oblasti</w:t>
        </w:r>
        <w:r w:rsidR="001A0FC7">
          <w:rPr>
            <w:noProof/>
            <w:webHidden/>
          </w:rPr>
          <w:tab/>
        </w:r>
        <w:r w:rsidR="001A0FC7">
          <w:rPr>
            <w:noProof/>
            <w:webHidden/>
          </w:rPr>
          <w:fldChar w:fldCharType="begin"/>
        </w:r>
        <w:r w:rsidR="001A0FC7">
          <w:rPr>
            <w:noProof/>
            <w:webHidden/>
          </w:rPr>
          <w:instrText xml:space="preserve"> PAGEREF _Toc506192066 \h </w:instrText>
        </w:r>
        <w:r w:rsidR="001A0FC7">
          <w:rPr>
            <w:noProof/>
            <w:webHidden/>
          </w:rPr>
        </w:r>
        <w:r w:rsidR="001A0FC7">
          <w:rPr>
            <w:noProof/>
            <w:webHidden/>
          </w:rPr>
          <w:fldChar w:fldCharType="separate"/>
        </w:r>
        <w:r w:rsidR="001A0FC7">
          <w:rPr>
            <w:noProof/>
            <w:webHidden/>
          </w:rPr>
          <w:t>18</w:t>
        </w:r>
        <w:r w:rsidR="001A0FC7">
          <w:rPr>
            <w:noProof/>
            <w:webHidden/>
          </w:rPr>
          <w:fldChar w:fldCharType="end"/>
        </w:r>
      </w:hyperlink>
    </w:p>
    <w:p w:rsidR="001A0FC7" w:rsidRDefault="009746F1">
      <w:pPr>
        <w:pStyle w:val="Kazalovsebine2"/>
        <w:tabs>
          <w:tab w:val="right" w:leader="dot" w:pos="9730"/>
        </w:tabs>
        <w:rPr>
          <w:rFonts w:eastAsiaTheme="minorEastAsia" w:cstheme="minorBidi"/>
          <w:b w:val="0"/>
          <w:bCs w:val="0"/>
          <w:noProof/>
          <w:lang w:eastAsia="sl-SI"/>
        </w:rPr>
      </w:pPr>
      <w:hyperlink w:anchor="_Toc506192067" w:history="1">
        <w:r w:rsidR="001A0FC7" w:rsidRPr="00671707">
          <w:rPr>
            <w:rStyle w:val="Hiperpovezava"/>
            <w:noProof/>
          </w:rPr>
          <w:t>Nacionalni javni izdatki za storitve radia, televizije in založništva</w:t>
        </w:r>
        <w:r w:rsidR="001A0FC7">
          <w:rPr>
            <w:noProof/>
            <w:webHidden/>
          </w:rPr>
          <w:tab/>
        </w:r>
        <w:r w:rsidR="001A0FC7">
          <w:rPr>
            <w:noProof/>
            <w:webHidden/>
          </w:rPr>
          <w:fldChar w:fldCharType="begin"/>
        </w:r>
        <w:r w:rsidR="001A0FC7">
          <w:rPr>
            <w:noProof/>
            <w:webHidden/>
          </w:rPr>
          <w:instrText xml:space="preserve"> PAGEREF _Toc506192067 \h </w:instrText>
        </w:r>
        <w:r w:rsidR="001A0FC7">
          <w:rPr>
            <w:noProof/>
            <w:webHidden/>
          </w:rPr>
        </w:r>
        <w:r w:rsidR="001A0FC7">
          <w:rPr>
            <w:noProof/>
            <w:webHidden/>
          </w:rPr>
          <w:fldChar w:fldCharType="separate"/>
        </w:r>
        <w:r w:rsidR="001A0FC7">
          <w:rPr>
            <w:noProof/>
            <w:webHidden/>
          </w:rPr>
          <w:t>20</w:t>
        </w:r>
        <w:r w:rsidR="001A0FC7">
          <w:rPr>
            <w:noProof/>
            <w:webHidden/>
          </w:rPr>
          <w:fldChar w:fldCharType="end"/>
        </w:r>
      </w:hyperlink>
    </w:p>
    <w:p w:rsidR="001A0FC7" w:rsidRDefault="009746F1">
      <w:pPr>
        <w:pStyle w:val="Kazalovsebine2"/>
        <w:tabs>
          <w:tab w:val="right" w:leader="dot" w:pos="9730"/>
        </w:tabs>
        <w:rPr>
          <w:rFonts w:eastAsiaTheme="minorEastAsia" w:cstheme="minorBidi"/>
          <w:b w:val="0"/>
          <w:bCs w:val="0"/>
          <w:noProof/>
          <w:lang w:eastAsia="sl-SI"/>
        </w:rPr>
      </w:pPr>
      <w:hyperlink w:anchor="_Toc506192068" w:history="1">
        <w:r w:rsidR="001A0FC7" w:rsidRPr="00671707">
          <w:rPr>
            <w:rStyle w:val="Hiperpovezava"/>
            <w:noProof/>
          </w:rPr>
          <w:t>Nacionalni javni izdatki za kulturne storitve v primerjavi z izdatki za druga področja</w:t>
        </w:r>
        <w:r w:rsidR="001A0FC7">
          <w:rPr>
            <w:noProof/>
            <w:webHidden/>
          </w:rPr>
          <w:tab/>
        </w:r>
        <w:r w:rsidR="001A0FC7">
          <w:rPr>
            <w:noProof/>
            <w:webHidden/>
          </w:rPr>
          <w:fldChar w:fldCharType="begin"/>
        </w:r>
        <w:r w:rsidR="001A0FC7">
          <w:rPr>
            <w:noProof/>
            <w:webHidden/>
          </w:rPr>
          <w:instrText xml:space="preserve"> PAGEREF _Toc506192068 \h </w:instrText>
        </w:r>
        <w:r w:rsidR="001A0FC7">
          <w:rPr>
            <w:noProof/>
            <w:webHidden/>
          </w:rPr>
        </w:r>
        <w:r w:rsidR="001A0FC7">
          <w:rPr>
            <w:noProof/>
            <w:webHidden/>
          </w:rPr>
          <w:fldChar w:fldCharType="separate"/>
        </w:r>
        <w:r w:rsidR="001A0FC7">
          <w:rPr>
            <w:noProof/>
            <w:webHidden/>
          </w:rPr>
          <w:t>21</w:t>
        </w:r>
        <w:r w:rsidR="001A0FC7">
          <w:rPr>
            <w:noProof/>
            <w:webHidden/>
          </w:rPr>
          <w:fldChar w:fldCharType="end"/>
        </w:r>
      </w:hyperlink>
    </w:p>
    <w:p w:rsidR="001A0FC7" w:rsidRDefault="009746F1">
      <w:pPr>
        <w:pStyle w:val="Kazalovsebine2"/>
        <w:tabs>
          <w:tab w:val="right" w:leader="dot" w:pos="9730"/>
        </w:tabs>
        <w:rPr>
          <w:rFonts w:eastAsiaTheme="minorEastAsia" w:cstheme="minorBidi"/>
          <w:b w:val="0"/>
          <w:bCs w:val="0"/>
          <w:noProof/>
          <w:lang w:eastAsia="sl-SI"/>
        </w:rPr>
      </w:pPr>
      <w:hyperlink w:anchor="_Toc506192069" w:history="1">
        <w:r w:rsidR="001A0FC7" w:rsidRPr="00671707">
          <w:rPr>
            <w:rStyle w:val="Hiperpovezava"/>
            <w:noProof/>
          </w:rPr>
          <w:t>Proračun Ministrstva za kulturo</w:t>
        </w:r>
        <w:r w:rsidR="001A0FC7">
          <w:rPr>
            <w:noProof/>
            <w:webHidden/>
          </w:rPr>
          <w:tab/>
        </w:r>
        <w:r w:rsidR="001A0FC7">
          <w:rPr>
            <w:noProof/>
            <w:webHidden/>
          </w:rPr>
          <w:fldChar w:fldCharType="begin"/>
        </w:r>
        <w:r w:rsidR="001A0FC7">
          <w:rPr>
            <w:noProof/>
            <w:webHidden/>
          </w:rPr>
          <w:instrText xml:space="preserve"> PAGEREF _Toc506192069 \h </w:instrText>
        </w:r>
        <w:r w:rsidR="001A0FC7">
          <w:rPr>
            <w:noProof/>
            <w:webHidden/>
          </w:rPr>
        </w:r>
        <w:r w:rsidR="001A0FC7">
          <w:rPr>
            <w:noProof/>
            <w:webHidden/>
          </w:rPr>
          <w:fldChar w:fldCharType="separate"/>
        </w:r>
        <w:r w:rsidR="001A0FC7">
          <w:rPr>
            <w:noProof/>
            <w:webHidden/>
          </w:rPr>
          <w:t>26</w:t>
        </w:r>
        <w:r w:rsidR="001A0FC7">
          <w:rPr>
            <w:noProof/>
            <w:webHidden/>
          </w:rPr>
          <w:fldChar w:fldCharType="end"/>
        </w:r>
      </w:hyperlink>
    </w:p>
    <w:p w:rsidR="001A0FC7" w:rsidRDefault="009746F1">
      <w:pPr>
        <w:pStyle w:val="Kazalovsebine3"/>
        <w:tabs>
          <w:tab w:val="right" w:leader="dot" w:pos="9730"/>
        </w:tabs>
        <w:rPr>
          <w:rFonts w:eastAsiaTheme="minorEastAsia" w:cstheme="minorBidi"/>
          <w:noProof/>
          <w:sz w:val="22"/>
          <w:szCs w:val="22"/>
          <w:lang w:eastAsia="sl-SI"/>
        </w:rPr>
      </w:pPr>
      <w:hyperlink w:anchor="_Toc506192070" w:history="1">
        <w:r w:rsidR="001A0FC7" w:rsidRPr="00671707">
          <w:rPr>
            <w:rStyle w:val="Hiperpovezava"/>
            <w:noProof/>
          </w:rPr>
          <w:t>Obseg sredstev</w:t>
        </w:r>
        <w:r w:rsidR="001A0FC7">
          <w:rPr>
            <w:noProof/>
            <w:webHidden/>
          </w:rPr>
          <w:tab/>
        </w:r>
        <w:r w:rsidR="001A0FC7">
          <w:rPr>
            <w:noProof/>
            <w:webHidden/>
          </w:rPr>
          <w:fldChar w:fldCharType="begin"/>
        </w:r>
        <w:r w:rsidR="001A0FC7">
          <w:rPr>
            <w:noProof/>
            <w:webHidden/>
          </w:rPr>
          <w:instrText xml:space="preserve"> PAGEREF _Toc506192070 \h </w:instrText>
        </w:r>
        <w:r w:rsidR="001A0FC7">
          <w:rPr>
            <w:noProof/>
            <w:webHidden/>
          </w:rPr>
        </w:r>
        <w:r w:rsidR="001A0FC7">
          <w:rPr>
            <w:noProof/>
            <w:webHidden/>
          </w:rPr>
          <w:fldChar w:fldCharType="separate"/>
        </w:r>
        <w:r w:rsidR="001A0FC7">
          <w:rPr>
            <w:noProof/>
            <w:webHidden/>
          </w:rPr>
          <w:t>26</w:t>
        </w:r>
        <w:r w:rsidR="001A0FC7">
          <w:rPr>
            <w:noProof/>
            <w:webHidden/>
          </w:rPr>
          <w:fldChar w:fldCharType="end"/>
        </w:r>
      </w:hyperlink>
    </w:p>
    <w:p w:rsidR="001A0FC7" w:rsidRDefault="009746F1">
      <w:pPr>
        <w:pStyle w:val="Kazalovsebine3"/>
        <w:tabs>
          <w:tab w:val="right" w:leader="dot" w:pos="9730"/>
        </w:tabs>
        <w:rPr>
          <w:rFonts w:eastAsiaTheme="minorEastAsia" w:cstheme="minorBidi"/>
          <w:noProof/>
          <w:sz w:val="22"/>
          <w:szCs w:val="22"/>
          <w:lang w:eastAsia="sl-SI"/>
        </w:rPr>
      </w:pPr>
      <w:hyperlink w:anchor="_Toc506192071" w:history="1">
        <w:r w:rsidR="001A0FC7" w:rsidRPr="00671707">
          <w:rPr>
            <w:rStyle w:val="Hiperpovezava"/>
            <w:noProof/>
          </w:rPr>
          <w:t>Struktura po glavnih področjih kulture</w:t>
        </w:r>
        <w:r w:rsidR="001A0FC7">
          <w:rPr>
            <w:noProof/>
            <w:webHidden/>
          </w:rPr>
          <w:tab/>
        </w:r>
        <w:r w:rsidR="001A0FC7">
          <w:rPr>
            <w:noProof/>
            <w:webHidden/>
          </w:rPr>
          <w:fldChar w:fldCharType="begin"/>
        </w:r>
        <w:r w:rsidR="001A0FC7">
          <w:rPr>
            <w:noProof/>
            <w:webHidden/>
          </w:rPr>
          <w:instrText xml:space="preserve"> PAGEREF _Toc506192071 \h </w:instrText>
        </w:r>
        <w:r w:rsidR="001A0FC7">
          <w:rPr>
            <w:noProof/>
            <w:webHidden/>
          </w:rPr>
        </w:r>
        <w:r w:rsidR="001A0FC7">
          <w:rPr>
            <w:noProof/>
            <w:webHidden/>
          </w:rPr>
          <w:fldChar w:fldCharType="separate"/>
        </w:r>
        <w:r w:rsidR="001A0FC7">
          <w:rPr>
            <w:noProof/>
            <w:webHidden/>
          </w:rPr>
          <w:t>28</w:t>
        </w:r>
        <w:r w:rsidR="001A0FC7">
          <w:rPr>
            <w:noProof/>
            <w:webHidden/>
          </w:rPr>
          <w:fldChar w:fldCharType="end"/>
        </w:r>
      </w:hyperlink>
    </w:p>
    <w:p w:rsidR="001A0FC7" w:rsidRDefault="009746F1">
      <w:pPr>
        <w:pStyle w:val="Kazalovsebine3"/>
        <w:tabs>
          <w:tab w:val="right" w:leader="dot" w:pos="9730"/>
        </w:tabs>
        <w:rPr>
          <w:rFonts w:eastAsiaTheme="minorEastAsia" w:cstheme="minorBidi"/>
          <w:noProof/>
          <w:sz w:val="22"/>
          <w:szCs w:val="22"/>
          <w:lang w:eastAsia="sl-SI"/>
        </w:rPr>
      </w:pPr>
      <w:hyperlink w:anchor="_Toc506192072" w:history="1">
        <w:r w:rsidR="001A0FC7" w:rsidRPr="00671707">
          <w:rPr>
            <w:rStyle w:val="Hiperpovezava"/>
            <w:noProof/>
          </w:rPr>
          <w:t>Struktura po prejemnikih</w:t>
        </w:r>
        <w:r w:rsidR="001A0FC7">
          <w:rPr>
            <w:noProof/>
            <w:webHidden/>
          </w:rPr>
          <w:tab/>
        </w:r>
        <w:r w:rsidR="001A0FC7">
          <w:rPr>
            <w:noProof/>
            <w:webHidden/>
          </w:rPr>
          <w:fldChar w:fldCharType="begin"/>
        </w:r>
        <w:r w:rsidR="001A0FC7">
          <w:rPr>
            <w:noProof/>
            <w:webHidden/>
          </w:rPr>
          <w:instrText xml:space="preserve"> PAGEREF _Toc506192072 \h </w:instrText>
        </w:r>
        <w:r w:rsidR="001A0FC7">
          <w:rPr>
            <w:noProof/>
            <w:webHidden/>
          </w:rPr>
        </w:r>
        <w:r w:rsidR="001A0FC7">
          <w:rPr>
            <w:noProof/>
            <w:webHidden/>
          </w:rPr>
          <w:fldChar w:fldCharType="separate"/>
        </w:r>
        <w:r w:rsidR="001A0FC7">
          <w:rPr>
            <w:noProof/>
            <w:webHidden/>
          </w:rPr>
          <w:t>32</w:t>
        </w:r>
        <w:r w:rsidR="001A0FC7">
          <w:rPr>
            <w:noProof/>
            <w:webHidden/>
          </w:rPr>
          <w:fldChar w:fldCharType="end"/>
        </w:r>
      </w:hyperlink>
    </w:p>
    <w:p w:rsidR="001A0FC7" w:rsidRDefault="009746F1">
      <w:pPr>
        <w:pStyle w:val="Kazalovsebine3"/>
        <w:tabs>
          <w:tab w:val="right" w:leader="dot" w:pos="9730"/>
        </w:tabs>
        <w:rPr>
          <w:rFonts w:eastAsiaTheme="minorEastAsia" w:cstheme="minorBidi"/>
          <w:noProof/>
          <w:sz w:val="22"/>
          <w:szCs w:val="22"/>
          <w:lang w:eastAsia="sl-SI"/>
        </w:rPr>
      </w:pPr>
      <w:hyperlink w:anchor="_Toc506192073" w:history="1">
        <w:r w:rsidR="001A0FC7" w:rsidRPr="00671707">
          <w:rPr>
            <w:rStyle w:val="Hiperpovezava"/>
            <w:noProof/>
          </w:rPr>
          <w:t>Struktura po statističnih regijah</w:t>
        </w:r>
        <w:r w:rsidR="001A0FC7">
          <w:rPr>
            <w:noProof/>
            <w:webHidden/>
          </w:rPr>
          <w:tab/>
        </w:r>
        <w:r w:rsidR="001A0FC7">
          <w:rPr>
            <w:noProof/>
            <w:webHidden/>
          </w:rPr>
          <w:fldChar w:fldCharType="begin"/>
        </w:r>
        <w:r w:rsidR="001A0FC7">
          <w:rPr>
            <w:noProof/>
            <w:webHidden/>
          </w:rPr>
          <w:instrText xml:space="preserve"> PAGEREF _Toc506192073 \h </w:instrText>
        </w:r>
        <w:r w:rsidR="001A0FC7">
          <w:rPr>
            <w:noProof/>
            <w:webHidden/>
          </w:rPr>
        </w:r>
        <w:r w:rsidR="001A0FC7">
          <w:rPr>
            <w:noProof/>
            <w:webHidden/>
          </w:rPr>
          <w:fldChar w:fldCharType="separate"/>
        </w:r>
        <w:r w:rsidR="001A0FC7">
          <w:rPr>
            <w:noProof/>
            <w:webHidden/>
          </w:rPr>
          <w:t>34</w:t>
        </w:r>
        <w:r w:rsidR="001A0FC7">
          <w:rPr>
            <w:noProof/>
            <w:webHidden/>
          </w:rPr>
          <w:fldChar w:fldCharType="end"/>
        </w:r>
      </w:hyperlink>
    </w:p>
    <w:p w:rsidR="001A0FC7" w:rsidRDefault="009746F1">
      <w:pPr>
        <w:pStyle w:val="Kazalovsebine2"/>
        <w:tabs>
          <w:tab w:val="right" w:leader="dot" w:pos="9730"/>
        </w:tabs>
        <w:rPr>
          <w:rFonts w:eastAsiaTheme="minorEastAsia" w:cstheme="minorBidi"/>
          <w:b w:val="0"/>
          <w:bCs w:val="0"/>
          <w:noProof/>
          <w:lang w:eastAsia="sl-SI"/>
        </w:rPr>
      </w:pPr>
      <w:hyperlink w:anchor="_Toc506192074" w:history="1">
        <w:r w:rsidR="001A0FC7" w:rsidRPr="00671707">
          <w:rPr>
            <w:rStyle w:val="Hiperpovezava"/>
            <w:noProof/>
          </w:rPr>
          <w:t>Proračuni za kulturo v lokalnih skupnostih</w:t>
        </w:r>
        <w:r w:rsidR="001A0FC7">
          <w:rPr>
            <w:noProof/>
            <w:webHidden/>
          </w:rPr>
          <w:tab/>
        </w:r>
        <w:r w:rsidR="001A0FC7">
          <w:rPr>
            <w:noProof/>
            <w:webHidden/>
          </w:rPr>
          <w:fldChar w:fldCharType="begin"/>
        </w:r>
        <w:r w:rsidR="001A0FC7">
          <w:rPr>
            <w:noProof/>
            <w:webHidden/>
          </w:rPr>
          <w:instrText xml:space="preserve"> PAGEREF _Toc506192074 \h </w:instrText>
        </w:r>
        <w:r w:rsidR="001A0FC7">
          <w:rPr>
            <w:noProof/>
            <w:webHidden/>
          </w:rPr>
        </w:r>
        <w:r w:rsidR="001A0FC7">
          <w:rPr>
            <w:noProof/>
            <w:webHidden/>
          </w:rPr>
          <w:fldChar w:fldCharType="separate"/>
        </w:r>
        <w:r w:rsidR="001A0FC7">
          <w:rPr>
            <w:noProof/>
            <w:webHidden/>
          </w:rPr>
          <w:t>36</w:t>
        </w:r>
        <w:r w:rsidR="001A0FC7">
          <w:rPr>
            <w:noProof/>
            <w:webHidden/>
          </w:rPr>
          <w:fldChar w:fldCharType="end"/>
        </w:r>
      </w:hyperlink>
    </w:p>
    <w:p w:rsidR="001A0FC7" w:rsidRDefault="009746F1">
      <w:pPr>
        <w:pStyle w:val="Kazalovsebine3"/>
        <w:tabs>
          <w:tab w:val="right" w:leader="dot" w:pos="9730"/>
        </w:tabs>
        <w:rPr>
          <w:rFonts w:eastAsiaTheme="minorEastAsia" w:cstheme="minorBidi"/>
          <w:noProof/>
          <w:sz w:val="22"/>
          <w:szCs w:val="22"/>
          <w:lang w:eastAsia="sl-SI"/>
        </w:rPr>
      </w:pPr>
      <w:hyperlink w:anchor="_Toc506192075" w:history="1">
        <w:r w:rsidR="001A0FC7" w:rsidRPr="00671707">
          <w:rPr>
            <w:rStyle w:val="Hiperpovezava"/>
            <w:noProof/>
          </w:rPr>
          <w:t>Obseg sredstev in hierarhija področij javnega financiranja</w:t>
        </w:r>
        <w:r w:rsidR="001A0FC7">
          <w:rPr>
            <w:noProof/>
            <w:webHidden/>
          </w:rPr>
          <w:tab/>
        </w:r>
        <w:r w:rsidR="001A0FC7">
          <w:rPr>
            <w:noProof/>
            <w:webHidden/>
          </w:rPr>
          <w:fldChar w:fldCharType="begin"/>
        </w:r>
        <w:r w:rsidR="001A0FC7">
          <w:rPr>
            <w:noProof/>
            <w:webHidden/>
          </w:rPr>
          <w:instrText xml:space="preserve"> PAGEREF _Toc506192075 \h </w:instrText>
        </w:r>
        <w:r w:rsidR="001A0FC7">
          <w:rPr>
            <w:noProof/>
            <w:webHidden/>
          </w:rPr>
        </w:r>
        <w:r w:rsidR="001A0FC7">
          <w:rPr>
            <w:noProof/>
            <w:webHidden/>
          </w:rPr>
          <w:fldChar w:fldCharType="separate"/>
        </w:r>
        <w:r w:rsidR="001A0FC7">
          <w:rPr>
            <w:noProof/>
            <w:webHidden/>
          </w:rPr>
          <w:t>36</w:t>
        </w:r>
        <w:r w:rsidR="001A0FC7">
          <w:rPr>
            <w:noProof/>
            <w:webHidden/>
          </w:rPr>
          <w:fldChar w:fldCharType="end"/>
        </w:r>
      </w:hyperlink>
    </w:p>
    <w:p w:rsidR="001A0FC7" w:rsidRDefault="009746F1">
      <w:pPr>
        <w:pStyle w:val="Kazalovsebine3"/>
        <w:tabs>
          <w:tab w:val="right" w:leader="dot" w:pos="9730"/>
        </w:tabs>
        <w:rPr>
          <w:rFonts w:eastAsiaTheme="minorEastAsia" w:cstheme="minorBidi"/>
          <w:noProof/>
          <w:sz w:val="22"/>
          <w:szCs w:val="22"/>
          <w:lang w:eastAsia="sl-SI"/>
        </w:rPr>
      </w:pPr>
      <w:hyperlink w:anchor="_Toc506192076" w:history="1">
        <w:r w:rsidR="001A0FC7" w:rsidRPr="00671707">
          <w:rPr>
            <w:rStyle w:val="Hiperpovezava"/>
            <w:noProof/>
          </w:rPr>
          <w:t>Struktura po vrsti izdatkov</w:t>
        </w:r>
        <w:r w:rsidR="001A0FC7">
          <w:rPr>
            <w:noProof/>
            <w:webHidden/>
          </w:rPr>
          <w:tab/>
        </w:r>
        <w:r w:rsidR="001A0FC7">
          <w:rPr>
            <w:noProof/>
            <w:webHidden/>
          </w:rPr>
          <w:fldChar w:fldCharType="begin"/>
        </w:r>
        <w:r w:rsidR="001A0FC7">
          <w:rPr>
            <w:noProof/>
            <w:webHidden/>
          </w:rPr>
          <w:instrText xml:space="preserve"> PAGEREF _Toc506192076 \h </w:instrText>
        </w:r>
        <w:r w:rsidR="001A0FC7">
          <w:rPr>
            <w:noProof/>
            <w:webHidden/>
          </w:rPr>
        </w:r>
        <w:r w:rsidR="001A0FC7">
          <w:rPr>
            <w:noProof/>
            <w:webHidden/>
          </w:rPr>
          <w:fldChar w:fldCharType="separate"/>
        </w:r>
        <w:r w:rsidR="001A0FC7">
          <w:rPr>
            <w:noProof/>
            <w:webHidden/>
          </w:rPr>
          <w:t>40</w:t>
        </w:r>
        <w:r w:rsidR="001A0FC7">
          <w:rPr>
            <w:noProof/>
            <w:webHidden/>
          </w:rPr>
          <w:fldChar w:fldCharType="end"/>
        </w:r>
      </w:hyperlink>
    </w:p>
    <w:p w:rsidR="001A0FC7" w:rsidRDefault="009746F1">
      <w:pPr>
        <w:pStyle w:val="Kazalovsebine1"/>
        <w:tabs>
          <w:tab w:val="right" w:leader="dot" w:pos="9730"/>
        </w:tabs>
        <w:rPr>
          <w:rFonts w:eastAsiaTheme="minorEastAsia" w:cstheme="minorBidi"/>
          <w:b w:val="0"/>
          <w:bCs w:val="0"/>
          <w:i w:val="0"/>
          <w:iCs w:val="0"/>
          <w:noProof/>
          <w:sz w:val="22"/>
          <w:szCs w:val="22"/>
          <w:lang w:eastAsia="sl-SI"/>
        </w:rPr>
      </w:pPr>
      <w:hyperlink w:anchor="_Toc506192077" w:history="1">
        <w:r w:rsidR="001A0FC7" w:rsidRPr="00671707">
          <w:rPr>
            <w:rStyle w:val="Hiperpovezava"/>
            <w:noProof/>
          </w:rPr>
          <w:t>Zasebni izdatki za kulturo</w:t>
        </w:r>
        <w:r w:rsidR="001A0FC7">
          <w:rPr>
            <w:noProof/>
            <w:webHidden/>
          </w:rPr>
          <w:tab/>
        </w:r>
        <w:r w:rsidR="001A0FC7">
          <w:rPr>
            <w:noProof/>
            <w:webHidden/>
          </w:rPr>
          <w:fldChar w:fldCharType="begin"/>
        </w:r>
        <w:r w:rsidR="001A0FC7">
          <w:rPr>
            <w:noProof/>
            <w:webHidden/>
          </w:rPr>
          <w:instrText xml:space="preserve"> PAGEREF _Toc506192077 \h </w:instrText>
        </w:r>
        <w:r w:rsidR="001A0FC7">
          <w:rPr>
            <w:noProof/>
            <w:webHidden/>
          </w:rPr>
        </w:r>
        <w:r w:rsidR="001A0FC7">
          <w:rPr>
            <w:noProof/>
            <w:webHidden/>
          </w:rPr>
          <w:fldChar w:fldCharType="separate"/>
        </w:r>
        <w:r w:rsidR="001A0FC7">
          <w:rPr>
            <w:noProof/>
            <w:webHidden/>
          </w:rPr>
          <w:t>41</w:t>
        </w:r>
        <w:r w:rsidR="001A0FC7">
          <w:rPr>
            <w:noProof/>
            <w:webHidden/>
          </w:rPr>
          <w:fldChar w:fldCharType="end"/>
        </w:r>
      </w:hyperlink>
    </w:p>
    <w:p w:rsidR="001A0FC7" w:rsidRDefault="009746F1">
      <w:pPr>
        <w:pStyle w:val="Kazalovsebine2"/>
        <w:tabs>
          <w:tab w:val="right" w:leader="dot" w:pos="9730"/>
        </w:tabs>
        <w:rPr>
          <w:rFonts w:eastAsiaTheme="minorEastAsia" w:cstheme="minorBidi"/>
          <w:b w:val="0"/>
          <w:bCs w:val="0"/>
          <w:noProof/>
          <w:lang w:eastAsia="sl-SI"/>
        </w:rPr>
      </w:pPr>
      <w:hyperlink w:anchor="_Toc506192078" w:history="1">
        <w:r w:rsidR="001A0FC7" w:rsidRPr="00671707">
          <w:rPr>
            <w:rStyle w:val="Hiperpovezava"/>
            <w:noProof/>
          </w:rPr>
          <w:t>Izdatki prebivalstva</w:t>
        </w:r>
        <w:r w:rsidR="001A0FC7">
          <w:rPr>
            <w:noProof/>
            <w:webHidden/>
          </w:rPr>
          <w:tab/>
        </w:r>
        <w:r w:rsidR="001A0FC7">
          <w:rPr>
            <w:noProof/>
            <w:webHidden/>
          </w:rPr>
          <w:fldChar w:fldCharType="begin"/>
        </w:r>
        <w:r w:rsidR="001A0FC7">
          <w:rPr>
            <w:noProof/>
            <w:webHidden/>
          </w:rPr>
          <w:instrText xml:space="preserve"> PAGEREF _Toc506192078 \h </w:instrText>
        </w:r>
        <w:r w:rsidR="001A0FC7">
          <w:rPr>
            <w:noProof/>
            <w:webHidden/>
          </w:rPr>
        </w:r>
        <w:r w:rsidR="001A0FC7">
          <w:rPr>
            <w:noProof/>
            <w:webHidden/>
          </w:rPr>
          <w:fldChar w:fldCharType="separate"/>
        </w:r>
        <w:r w:rsidR="001A0FC7">
          <w:rPr>
            <w:noProof/>
            <w:webHidden/>
          </w:rPr>
          <w:t>41</w:t>
        </w:r>
        <w:r w:rsidR="001A0FC7">
          <w:rPr>
            <w:noProof/>
            <w:webHidden/>
          </w:rPr>
          <w:fldChar w:fldCharType="end"/>
        </w:r>
      </w:hyperlink>
    </w:p>
    <w:p w:rsidR="001A0FC7" w:rsidRDefault="009746F1">
      <w:pPr>
        <w:pStyle w:val="Kazalovsebine2"/>
        <w:tabs>
          <w:tab w:val="right" w:leader="dot" w:pos="9730"/>
        </w:tabs>
        <w:rPr>
          <w:rFonts w:eastAsiaTheme="minorEastAsia" w:cstheme="minorBidi"/>
          <w:b w:val="0"/>
          <w:bCs w:val="0"/>
          <w:noProof/>
          <w:lang w:eastAsia="sl-SI"/>
        </w:rPr>
      </w:pPr>
      <w:hyperlink w:anchor="_Toc506192079" w:history="1">
        <w:r w:rsidR="001A0FC7" w:rsidRPr="00671707">
          <w:rPr>
            <w:rStyle w:val="Hiperpovezava"/>
            <w:noProof/>
          </w:rPr>
          <w:t>Prispevki gospodarstva za kulturo</w:t>
        </w:r>
        <w:r w:rsidR="001A0FC7">
          <w:rPr>
            <w:noProof/>
            <w:webHidden/>
          </w:rPr>
          <w:tab/>
        </w:r>
        <w:r w:rsidR="001A0FC7">
          <w:rPr>
            <w:noProof/>
            <w:webHidden/>
          </w:rPr>
          <w:fldChar w:fldCharType="begin"/>
        </w:r>
        <w:r w:rsidR="001A0FC7">
          <w:rPr>
            <w:noProof/>
            <w:webHidden/>
          </w:rPr>
          <w:instrText xml:space="preserve"> PAGEREF _Toc506192079 \h </w:instrText>
        </w:r>
        <w:r w:rsidR="001A0FC7">
          <w:rPr>
            <w:noProof/>
            <w:webHidden/>
          </w:rPr>
        </w:r>
        <w:r w:rsidR="001A0FC7">
          <w:rPr>
            <w:noProof/>
            <w:webHidden/>
          </w:rPr>
          <w:fldChar w:fldCharType="separate"/>
        </w:r>
        <w:r w:rsidR="001A0FC7">
          <w:rPr>
            <w:noProof/>
            <w:webHidden/>
          </w:rPr>
          <w:t>41</w:t>
        </w:r>
        <w:r w:rsidR="001A0FC7">
          <w:rPr>
            <w:noProof/>
            <w:webHidden/>
          </w:rPr>
          <w:fldChar w:fldCharType="end"/>
        </w:r>
      </w:hyperlink>
    </w:p>
    <w:p w:rsidR="001A0FC7" w:rsidRDefault="009746F1">
      <w:pPr>
        <w:pStyle w:val="Kazalovsebine1"/>
        <w:tabs>
          <w:tab w:val="right" w:leader="dot" w:pos="9730"/>
        </w:tabs>
        <w:rPr>
          <w:rFonts w:eastAsiaTheme="minorEastAsia" w:cstheme="minorBidi"/>
          <w:b w:val="0"/>
          <w:bCs w:val="0"/>
          <w:i w:val="0"/>
          <w:iCs w:val="0"/>
          <w:noProof/>
          <w:sz w:val="22"/>
          <w:szCs w:val="22"/>
          <w:lang w:eastAsia="sl-SI"/>
        </w:rPr>
      </w:pPr>
      <w:hyperlink w:anchor="_Toc506192080" w:history="1">
        <w:r w:rsidR="001A0FC7" w:rsidRPr="00671707">
          <w:rPr>
            <w:rStyle w:val="Hiperpovezava"/>
            <w:noProof/>
          </w:rPr>
          <w:t>Ocena odstotka bruto domačega proizvoda, ki ga namenijo za kulturo država in prebivalci</w:t>
        </w:r>
        <w:r w:rsidR="001A0FC7">
          <w:rPr>
            <w:noProof/>
            <w:webHidden/>
          </w:rPr>
          <w:tab/>
        </w:r>
        <w:r w:rsidR="001A0FC7">
          <w:rPr>
            <w:noProof/>
            <w:webHidden/>
          </w:rPr>
          <w:fldChar w:fldCharType="begin"/>
        </w:r>
        <w:r w:rsidR="001A0FC7">
          <w:rPr>
            <w:noProof/>
            <w:webHidden/>
          </w:rPr>
          <w:instrText xml:space="preserve"> PAGEREF _Toc506192080 \h </w:instrText>
        </w:r>
        <w:r w:rsidR="001A0FC7">
          <w:rPr>
            <w:noProof/>
            <w:webHidden/>
          </w:rPr>
        </w:r>
        <w:r w:rsidR="001A0FC7">
          <w:rPr>
            <w:noProof/>
            <w:webHidden/>
          </w:rPr>
          <w:fldChar w:fldCharType="separate"/>
        </w:r>
        <w:r w:rsidR="001A0FC7">
          <w:rPr>
            <w:noProof/>
            <w:webHidden/>
          </w:rPr>
          <w:t>42</w:t>
        </w:r>
        <w:r w:rsidR="001A0FC7">
          <w:rPr>
            <w:noProof/>
            <w:webHidden/>
          </w:rPr>
          <w:fldChar w:fldCharType="end"/>
        </w:r>
      </w:hyperlink>
    </w:p>
    <w:p w:rsidR="001A0FC7" w:rsidRDefault="009746F1">
      <w:pPr>
        <w:pStyle w:val="Kazalovsebine1"/>
        <w:tabs>
          <w:tab w:val="right" w:leader="dot" w:pos="9730"/>
        </w:tabs>
        <w:rPr>
          <w:rFonts w:eastAsiaTheme="minorEastAsia" w:cstheme="minorBidi"/>
          <w:b w:val="0"/>
          <w:bCs w:val="0"/>
          <w:i w:val="0"/>
          <w:iCs w:val="0"/>
          <w:noProof/>
          <w:sz w:val="22"/>
          <w:szCs w:val="22"/>
          <w:lang w:eastAsia="sl-SI"/>
        </w:rPr>
      </w:pPr>
      <w:hyperlink w:anchor="_Toc506192081" w:history="1">
        <w:r w:rsidR="001A0FC7" w:rsidRPr="00671707">
          <w:rPr>
            <w:rStyle w:val="Hiperpovezava"/>
            <w:noProof/>
          </w:rPr>
          <w:t>Kulturna produkcija</w:t>
        </w:r>
        <w:r w:rsidR="001A0FC7">
          <w:rPr>
            <w:noProof/>
            <w:webHidden/>
          </w:rPr>
          <w:tab/>
        </w:r>
        <w:r w:rsidR="001A0FC7">
          <w:rPr>
            <w:noProof/>
            <w:webHidden/>
          </w:rPr>
          <w:fldChar w:fldCharType="begin"/>
        </w:r>
        <w:r w:rsidR="001A0FC7">
          <w:rPr>
            <w:noProof/>
            <w:webHidden/>
          </w:rPr>
          <w:instrText xml:space="preserve"> PAGEREF _Toc506192081 \h </w:instrText>
        </w:r>
        <w:r w:rsidR="001A0FC7">
          <w:rPr>
            <w:noProof/>
            <w:webHidden/>
          </w:rPr>
        </w:r>
        <w:r w:rsidR="001A0FC7">
          <w:rPr>
            <w:noProof/>
            <w:webHidden/>
          </w:rPr>
          <w:fldChar w:fldCharType="separate"/>
        </w:r>
        <w:r w:rsidR="001A0FC7">
          <w:rPr>
            <w:noProof/>
            <w:webHidden/>
          </w:rPr>
          <w:t>43</w:t>
        </w:r>
        <w:r w:rsidR="001A0FC7">
          <w:rPr>
            <w:noProof/>
            <w:webHidden/>
          </w:rPr>
          <w:fldChar w:fldCharType="end"/>
        </w:r>
      </w:hyperlink>
    </w:p>
    <w:p w:rsidR="001A0FC7" w:rsidRDefault="009746F1">
      <w:pPr>
        <w:pStyle w:val="Kazalovsebine2"/>
        <w:tabs>
          <w:tab w:val="right" w:leader="dot" w:pos="9730"/>
        </w:tabs>
        <w:rPr>
          <w:rFonts w:eastAsiaTheme="minorEastAsia" w:cstheme="minorBidi"/>
          <w:b w:val="0"/>
          <w:bCs w:val="0"/>
          <w:noProof/>
          <w:lang w:eastAsia="sl-SI"/>
        </w:rPr>
      </w:pPr>
      <w:hyperlink w:anchor="_Toc506192082" w:history="1">
        <w:r w:rsidR="001A0FC7" w:rsidRPr="00671707">
          <w:rPr>
            <w:rStyle w:val="Hiperpovezava"/>
            <w:noProof/>
          </w:rPr>
          <w:t>Knjige, brošure in serijske publikacije</w:t>
        </w:r>
        <w:r w:rsidR="001A0FC7">
          <w:rPr>
            <w:noProof/>
            <w:webHidden/>
          </w:rPr>
          <w:tab/>
        </w:r>
        <w:r w:rsidR="001A0FC7">
          <w:rPr>
            <w:noProof/>
            <w:webHidden/>
          </w:rPr>
          <w:fldChar w:fldCharType="begin"/>
        </w:r>
        <w:r w:rsidR="001A0FC7">
          <w:rPr>
            <w:noProof/>
            <w:webHidden/>
          </w:rPr>
          <w:instrText xml:space="preserve"> PAGEREF _Toc506192082 \h </w:instrText>
        </w:r>
        <w:r w:rsidR="001A0FC7">
          <w:rPr>
            <w:noProof/>
            <w:webHidden/>
          </w:rPr>
        </w:r>
        <w:r w:rsidR="001A0FC7">
          <w:rPr>
            <w:noProof/>
            <w:webHidden/>
          </w:rPr>
          <w:fldChar w:fldCharType="separate"/>
        </w:r>
        <w:r w:rsidR="001A0FC7">
          <w:rPr>
            <w:noProof/>
            <w:webHidden/>
          </w:rPr>
          <w:t>43</w:t>
        </w:r>
        <w:r w:rsidR="001A0FC7">
          <w:rPr>
            <w:noProof/>
            <w:webHidden/>
          </w:rPr>
          <w:fldChar w:fldCharType="end"/>
        </w:r>
      </w:hyperlink>
    </w:p>
    <w:p w:rsidR="001A0FC7" w:rsidRDefault="009746F1">
      <w:pPr>
        <w:pStyle w:val="Kazalovsebine2"/>
        <w:tabs>
          <w:tab w:val="right" w:leader="dot" w:pos="9730"/>
        </w:tabs>
        <w:rPr>
          <w:rFonts w:eastAsiaTheme="minorEastAsia" w:cstheme="minorBidi"/>
          <w:b w:val="0"/>
          <w:bCs w:val="0"/>
          <w:noProof/>
          <w:lang w:eastAsia="sl-SI"/>
        </w:rPr>
      </w:pPr>
      <w:hyperlink w:anchor="_Toc506192083" w:history="1">
        <w:r w:rsidR="001A0FC7" w:rsidRPr="00671707">
          <w:rPr>
            <w:rStyle w:val="Hiperpovezava"/>
            <w:noProof/>
          </w:rPr>
          <w:t>Radijski in televizijski programi</w:t>
        </w:r>
        <w:r w:rsidR="001A0FC7">
          <w:rPr>
            <w:noProof/>
            <w:webHidden/>
          </w:rPr>
          <w:tab/>
        </w:r>
        <w:r w:rsidR="001A0FC7">
          <w:rPr>
            <w:noProof/>
            <w:webHidden/>
          </w:rPr>
          <w:fldChar w:fldCharType="begin"/>
        </w:r>
        <w:r w:rsidR="001A0FC7">
          <w:rPr>
            <w:noProof/>
            <w:webHidden/>
          </w:rPr>
          <w:instrText xml:space="preserve"> PAGEREF _Toc506192083 \h </w:instrText>
        </w:r>
        <w:r w:rsidR="001A0FC7">
          <w:rPr>
            <w:noProof/>
            <w:webHidden/>
          </w:rPr>
        </w:r>
        <w:r w:rsidR="001A0FC7">
          <w:rPr>
            <w:noProof/>
            <w:webHidden/>
          </w:rPr>
          <w:fldChar w:fldCharType="separate"/>
        </w:r>
        <w:r w:rsidR="001A0FC7">
          <w:rPr>
            <w:noProof/>
            <w:webHidden/>
          </w:rPr>
          <w:t>44</w:t>
        </w:r>
        <w:r w:rsidR="001A0FC7">
          <w:rPr>
            <w:noProof/>
            <w:webHidden/>
          </w:rPr>
          <w:fldChar w:fldCharType="end"/>
        </w:r>
      </w:hyperlink>
    </w:p>
    <w:p w:rsidR="001A0FC7" w:rsidRDefault="009746F1">
      <w:pPr>
        <w:pStyle w:val="Kazalovsebine2"/>
        <w:tabs>
          <w:tab w:val="right" w:leader="dot" w:pos="9730"/>
        </w:tabs>
        <w:rPr>
          <w:rFonts w:eastAsiaTheme="minorEastAsia" w:cstheme="minorBidi"/>
          <w:b w:val="0"/>
          <w:bCs w:val="0"/>
          <w:noProof/>
          <w:lang w:eastAsia="sl-SI"/>
        </w:rPr>
      </w:pPr>
      <w:hyperlink w:anchor="_Toc506192084" w:history="1">
        <w:r w:rsidR="001A0FC7" w:rsidRPr="00671707">
          <w:rPr>
            <w:rStyle w:val="Hiperpovezava"/>
            <w:noProof/>
          </w:rPr>
          <w:t>Kinematografi z dolgometražnimi filmi</w:t>
        </w:r>
        <w:r w:rsidR="001A0FC7">
          <w:rPr>
            <w:noProof/>
            <w:webHidden/>
          </w:rPr>
          <w:tab/>
        </w:r>
        <w:r w:rsidR="001A0FC7">
          <w:rPr>
            <w:noProof/>
            <w:webHidden/>
          </w:rPr>
          <w:fldChar w:fldCharType="begin"/>
        </w:r>
        <w:r w:rsidR="001A0FC7">
          <w:rPr>
            <w:noProof/>
            <w:webHidden/>
          </w:rPr>
          <w:instrText xml:space="preserve"> PAGEREF _Toc506192084 \h </w:instrText>
        </w:r>
        <w:r w:rsidR="001A0FC7">
          <w:rPr>
            <w:noProof/>
            <w:webHidden/>
          </w:rPr>
        </w:r>
        <w:r w:rsidR="001A0FC7">
          <w:rPr>
            <w:noProof/>
            <w:webHidden/>
          </w:rPr>
          <w:fldChar w:fldCharType="separate"/>
        </w:r>
        <w:r w:rsidR="001A0FC7">
          <w:rPr>
            <w:noProof/>
            <w:webHidden/>
          </w:rPr>
          <w:t>50</w:t>
        </w:r>
        <w:r w:rsidR="001A0FC7">
          <w:rPr>
            <w:noProof/>
            <w:webHidden/>
          </w:rPr>
          <w:fldChar w:fldCharType="end"/>
        </w:r>
      </w:hyperlink>
    </w:p>
    <w:p w:rsidR="001A0FC7" w:rsidRDefault="009746F1">
      <w:pPr>
        <w:pStyle w:val="Kazalovsebine2"/>
        <w:tabs>
          <w:tab w:val="right" w:leader="dot" w:pos="9730"/>
        </w:tabs>
        <w:rPr>
          <w:rFonts w:eastAsiaTheme="minorEastAsia" w:cstheme="minorBidi"/>
          <w:b w:val="0"/>
          <w:bCs w:val="0"/>
          <w:noProof/>
          <w:lang w:eastAsia="sl-SI"/>
        </w:rPr>
      </w:pPr>
      <w:hyperlink w:anchor="_Toc506192085" w:history="1">
        <w:r w:rsidR="001A0FC7" w:rsidRPr="00671707">
          <w:rPr>
            <w:rStyle w:val="Hiperpovezava"/>
            <w:noProof/>
          </w:rPr>
          <w:t>Poklicni orkestri in zbori</w:t>
        </w:r>
        <w:r w:rsidR="001A0FC7">
          <w:rPr>
            <w:noProof/>
            <w:webHidden/>
          </w:rPr>
          <w:tab/>
        </w:r>
        <w:r w:rsidR="001A0FC7">
          <w:rPr>
            <w:noProof/>
            <w:webHidden/>
          </w:rPr>
          <w:fldChar w:fldCharType="begin"/>
        </w:r>
        <w:r w:rsidR="001A0FC7">
          <w:rPr>
            <w:noProof/>
            <w:webHidden/>
          </w:rPr>
          <w:instrText xml:space="preserve"> PAGEREF _Toc506192085 \h </w:instrText>
        </w:r>
        <w:r w:rsidR="001A0FC7">
          <w:rPr>
            <w:noProof/>
            <w:webHidden/>
          </w:rPr>
        </w:r>
        <w:r w:rsidR="001A0FC7">
          <w:rPr>
            <w:noProof/>
            <w:webHidden/>
          </w:rPr>
          <w:fldChar w:fldCharType="separate"/>
        </w:r>
        <w:r w:rsidR="001A0FC7">
          <w:rPr>
            <w:noProof/>
            <w:webHidden/>
          </w:rPr>
          <w:t>50</w:t>
        </w:r>
        <w:r w:rsidR="001A0FC7">
          <w:rPr>
            <w:noProof/>
            <w:webHidden/>
          </w:rPr>
          <w:fldChar w:fldCharType="end"/>
        </w:r>
      </w:hyperlink>
    </w:p>
    <w:p w:rsidR="001A0FC7" w:rsidRDefault="009746F1">
      <w:pPr>
        <w:pStyle w:val="Kazalovsebine2"/>
        <w:tabs>
          <w:tab w:val="right" w:leader="dot" w:pos="9730"/>
        </w:tabs>
        <w:rPr>
          <w:rFonts w:eastAsiaTheme="minorEastAsia" w:cstheme="minorBidi"/>
          <w:b w:val="0"/>
          <w:bCs w:val="0"/>
          <w:noProof/>
          <w:lang w:eastAsia="sl-SI"/>
        </w:rPr>
      </w:pPr>
      <w:hyperlink w:anchor="_Toc506192086" w:history="1">
        <w:r w:rsidR="001A0FC7" w:rsidRPr="00671707">
          <w:rPr>
            <w:rStyle w:val="Hiperpovezava"/>
            <w:noProof/>
          </w:rPr>
          <w:t>Muzeji in galerije</w:t>
        </w:r>
        <w:r w:rsidR="001A0FC7">
          <w:rPr>
            <w:noProof/>
            <w:webHidden/>
          </w:rPr>
          <w:tab/>
        </w:r>
        <w:r w:rsidR="001A0FC7">
          <w:rPr>
            <w:noProof/>
            <w:webHidden/>
          </w:rPr>
          <w:fldChar w:fldCharType="begin"/>
        </w:r>
        <w:r w:rsidR="001A0FC7">
          <w:rPr>
            <w:noProof/>
            <w:webHidden/>
          </w:rPr>
          <w:instrText xml:space="preserve"> PAGEREF _Toc506192086 \h </w:instrText>
        </w:r>
        <w:r w:rsidR="001A0FC7">
          <w:rPr>
            <w:noProof/>
            <w:webHidden/>
          </w:rPr>
        </w:r>
        <w:r w:rsidR="001A0FC7">
          <w:rPr>
            <w:noProof/>
            <w:webHidden/>
          </w:rPr>
          <w:fldChar w:fldCharType="separate"/>
        </w:r>
        <w:r w:rsidR="001A0FC7">
          <w:rPr>
            <w:noProof/>
            <w:webHidden/>
          </w:rPr>
          <w:t>51</w:t>
        </w:r>
        <w:r w:rsidR="001A0FC7">
          <w:rPr>
            <w:noProof/>
            <w:webHidden/>
          </w:rPr>
          <w:fldChar w:fldCharType="end"/>
        </w:r>
      </w:hyperlink>
    </w:p>
    <w:p w:rsidR="001A0FC7" w:rsidRDefault="009746F1">
      <w:pPr>
        <w:pStyle w:val="Kazalovsebine2"/>
        <w:tabs>
          <w:tab w:val="right" w:leader="dot" w:pos="9730"/>
        </w:tabs>
        <w:rPr>
          <w:rFonts w:eastAsiaTheme="minorEastAsia" w:cstheme="minorBidi"/>
          <w:b w:val="0"/>
          <w:bCs w:val="0"/>
          <w:noProof/>
          <w:lang w:eastAsia="sl-SI"/>
        </w:rPr>
      </w:pPr>
      <w:hyperlink w:anchor="_Toc506192087" w:history="1">
        <w:r w:rsidR="001A0FC7" w:rsidRPr="00671707">
          <w:rPr>
            <w:rStyle w:val="Hiperpovezava"/>
            <w:noProof/>
          </w:rPr>
          <w:t>Kulturni domovi</w:t>
        </w:r>
        <w:r w:rsidR="001A0FC7">
          <w:rPr>
            <w:noProof/>
            <w:webHidden/>
          </w:rPr>
          <w:tab/>
        </w:r>
        <w:r w:rsidR="001A0FC7">
          <w:rPr>
            <w:noProof/>
            <w:webHidden/>
          </w:rPr>
          <w:fldChar w:fldCharType="begin"/>
        </w:r>
        <w:r w:rsidR="001A0FC7">
          <w:rPr>
            <w:noProof/>
            <w:webHidden/>
          </w:rPr>
          <w:instrText xml:space="preserve"> PAGEREF _Toc506192087 \h </w:instrText>
        </w:r>
        <w:r w:rsidR="001A0FC7">
          <w:rPr>
            <w:noProof/>
            <w:webHidden/>
          </w:rPr>
        </w:r>
        <w:r w:rsidR="001A0FC7">
          <w:rPr>
            <w:noProof/>
            <w:webHidden/>
          </w:rPr>
          <w:fldChar w:fldCharType="separate"/>
        </w:r>
        <w:r w:rsidR="001A0FC7">
          <w:rPr>
            <w:noProof/>
            <w:webHidden/>
          </w:rPr>
          <w:t>52</w:t>
        </w:r>
        <w:r w:rsidR="001A0FC7">
          <w:rPr>
            <w:noProof/>
            <w:webHidden/>
          </w:rPr>
          <w:fldChar w:fldCharType="end"/>
        </w:r>
      </w:hyperlink>
    </w:p>
    <w:p w:rsidR="001A0FC7" w:rsidRDefault="009746F1">
      <w:pPr>
        <w:pStyle w:val="Kazalovsebine2"/>
        <w:tabs>
          <w:tab w:val="right" w:leader="dot" w:pos="9730"/>
        </w:tabs>
        <w:rPr>
          <w:rFonts w:eastAsiaTheme="minorEastAsia" w:cstheme="minorBidi"/>
          <w:b w:val="0"/>
          <w:bCs w:val="0"/>
          <w:noProof/>
          <w:lang w:eastAsia="sl-SI"/>
        </w:rPr>
      </w:pPr>
      <w:hyperlink w:anchor="_Toc506192088" w:history="1">
        <w:r w:rsidR="001A0FC7" w:rsidRPr="00671707">
          <w:rPr>
            <w:rStyle w:val="Hiperpovezava"/>
            <w:noProof/>
          </w:rPr>
          <w:t>Gledališča</w:t>
        </w:r>
        <w:r w:rsidR="001A0FC7">
          <w:rPr>
            <w:noProof/>
            <w:webHidden/>
          </w:rPr>
          <w:tab/>
        </w:r>
        <w:r w:rsidR="001A0FC7">
          <w:rPr>
            <w:noProof/>
            <w:webHidden/>
          </w:rPr>
          <w:fldChar w:fldCharType="begin"/>
        </w:r>
        <w:r w:rsidR="001A0FC7">
          <w:rPr>
            <w:noProof/>
            <w:webHidden/>
          </w:rPr>
          <w:instrText xml:space="preserve"> PAGEREF _Toc506192088 \h </w:instrText>
        </w:r>
        <w:r w:rsidR="001A0FC7">
          <w:rPr>
            <w:noProof/>
            <w:webHidden/>
          </w:rPr>
        </w:r>
        <w:r w:rsidR="001A0FC7">
          <w:rPr>
            <w:noProof/>
            <w:webHidden/>
          </w:rPr>
          <w:fldChar w:fldCharType="separate"/>
        </w:r>
        <w:r w:rsidR="001A0FC7">
          <w:rPr>
            <w:noProof/>
            <w:webHidden/>
          </w:rPr>
          <w:t>52</w:t>
        </w:r>
        <w:r w:rsidR="001A0FC7">
          <w:rPr>
            <w:noProof/>
            <w:webHidden/>
          </w:rPr>
          <w:fldChar w:fldCharType="end"/>
        </w:r>
      </w:hyperlink>
    </w:p>
    <w:p w:rsidR="001A0FC7" w:rsidRDefault="009746F1">
      <w:pPr>
        <w:pStyle w:val="Kazalovsebine2"/>
        <w:tabs>
          <w:tab w:val="right" w:leader="dot" w:pos="9730"/>
        </w:tabs>
        <w:rPr>
          <w:rFonts w:eastAsiaTheme="minorEastAsia" w:cstheme="minorBidi"/>
          <w:b w:val="0"/>
          <w:bCs w:val="0"/>
          <w:noProof/>
          <w:lang w:eastAsia="sl-SI"/>
        </w:rPr>
      </w:pPr>
      <w:hyperlink w:anchor="_Toc506192089" w:history="1">
        <w:r w:rsidR="001A0FC7" w:rsidRPr="00671707">
          <w:rPr>
            <w:rStyle w:val="Hiperpovezava"/>
            <w:noProof/>
          </w:rPr>
          <w:t>Festivali</w:t>
        </w:r>
        <w:r w:rsidR="001A0FC7">
          <w:rPr>
            <w:noProof/>
            <w:webHidden/>
          </w:rPr>
          <w:tab/>
        </w:r>
        <w:r w:rsidR="001A0FC7">
          <w:rPr>
            <w:noProof/>
            <w:webHidden/>
          </w:rPr>
          <w:fldChar w:fldCharType="begin"/>
        </w:r>
        <w:r w:rsidR="001A0FC7">
          <w:rPr>
            <w:noProof/>
            <w:webHidden/>
          </w:rPr>
          <w:instrText xml:space="preserve"> PAGEREF _Toc506192089 \h </w:instrText>
        </w:r>
        <w:r w:rsidR="001A0FC7">
          <w:rPr>
            <w:noProof/>
            <w:webHidden/>
          </w:rPr>
        </w:r>
        <w:r w:rsidR="001A0FC7">
          <w:rPr>
            <w:noProof/>
            <w:webHidden/>
          </w:rPr>
          <w:fldChar w:fldCharType="separate"/>
        </w:r>
        <w:r w:rsidR="001A0FC7">
          <w:rPr>
            <w:noProof/>
            <w:webHidden/>
          </w:rPr>
          <w:t>56</w:t>
        </w:r>
        <w:r w:rsidR="001A0FC7">
          <w:rPr>
            <w:noProof/>
            <w:webHidden/>
          </w:rPr>
          <w:fldChar w:fldCharType="end"/>
        </w:r>
      </w:hyperlink>
    </w:p>
    <w:p w:rsidR="001A0FC7" w:rsidRDefault="009746F1">
      <w:pPr>
        <w:pStyle w:val="Kazalovsebine1"/>
        <w:tabs>
          <w:tab w:val="right" w:leader="dot" w:pos="9730"/>
        </w:tabs>
        <w:rPr>
          <w:rFonts w:eastAsiaTheme="minorEastAsia" w:cstheme="minorBidi"/>
          <w:b w:val="0"/>
          <w:bCs w:val="0"/>
          <w:i w:val="0"/>
          <w:iCs w:val="0"/>
          <w:noProof/>
          <w:sz w:val="22"/>
          <w:szCs w:val="22"/>
          <w:lang w:eastAsia="sl-SI"/>
        </w:rPr>
      </w:pPr>
      <w:hyperlink w:anchor="_Toc506192090" w:history="1">
        <w:r w:rsidR="001A0FC7" w:rsidRPr="00671707">
          <w:rPr>
            <w:rStyle w:val="Hiperpovezava"/>
            <w:noProof/>
          </w:rPr>
          <w:t>Delovno aktivni v kulturi</w:t>
        </w:r>
        <w:r w:rsidR="001A0FC7">
          <w:rPr>
            <w:noProof/>
            <w:webHidden/>
          </w:rPr>
          <w:tab/>
        </w:r>
        <w:r w:rsidR="001A0FC7">
          <w:rPr>
            <w:noProof/>
            <w:webHidden/>
          </w:rPr>
          <w:fldChar w:fldCharType="begin"/>
        </w:r>
        <w:r w:rsidR="001A0FC7">
          <w:rPr>
            <w:noProof/>
            <w:webHidden/>
          </w:rPr>
          <w:instrText xml:space="preserve"> PAGEREF _Toc506192090 \h </w:instrText>
        </w:r>
        <w:r w:rsidR="001A0FC7">
          <w:rPr>
            <w:noProof/>
            <w:webHidden/>
          </w:rPr>
        </w:r>
        <w:r w:rsidR="001A0FC7">
          <w:rPr>
            <w:noProof/>
            <w:webHidden/>
          </w:rPr>
          <w:fldChar w:fldCharType="separate"/>
        </w:r>
        <w:r w:rsidR="001A0FC7">
          <w:rPr>
            <w:noProof/>
            <w:webHidden/>
          </w:rPr>
          <w:t>57</w:t>
        </w:r>
        <w:r w:rsidR="001A0FC7">
          <w:rPr>
            <w:noProof/>
            <w:webHidden/>
          </w:rPr>
          <w:fldChar w:fldCharType="end"/>
        </w:r>
      </w:hyperlink>
    </w:p>
    <w:p w:rsidR="001A0FC7" w:rsidRDefault="009746F1">
      <w:pPr>
        <w:pStyle w:val="Kazalovsebine2"/>
        <w:tabs>
          <w:tab w:val="right" w:leader="dot" w:pos="9730"/>
        </w:tabs>
        <w:rPr>
          <w:rFonts w:eastAsiaTheme="minorEastAsia" w:cstheme="minorBidi"/>
          <w:b w:val="0"/>
          <w:bCs w:val="0"/>
          <w:noProof/>
          <w:lang w:eastAsia="sl-SI"/>
        </w:rPr>
      </w:pPr>
      <w:hyperlink w:anchor="_Toc506192091" w:history="1">
        <w:r w:rsidR="001A0FC7" w:rsidRPr="00671707">
          <w:rPr>
            <w:rStyle w:val="Hiperpovezava"/>
            <w:noProof/>
          </w:rPr>
          <w:t>Delovno aktivni v kulturi po Anketi o delovni sili – mednarodno primerjalni pogled</w:t>
        </w:r>
        <w:r w:rsidR="001A0FC7">
          <w:rPr>
            <w:noProof/>
            <w:webHidden/>
          </w:rPr>
          <w:tab/>
        </w:r>
        <w:r w:rsidR="001A0FC7">
          <w:rPr>
            <w:noProof/>
            <w:webHidden/>
          </w:rPr>
          <w:fldChar w:fldCharType="begin"/>
        </w:r>
        <w:r w:rsidR="001A0FC7">
          <w:rPr>
            <w:noProof/>
            <w:webHidden/>
          </w:rPr>
          <w:instrText xml:space="preserve"> PAGEREF _Toc506192091 \h </w:instrText>
        </w:r>
        <w:r w:rsidR="001A0FC7">
          <w:rPr>
            <w:noProof/>
            <w:webHidden/>
          </w:rPr>
        </w:r>
        <w:r w:rsidR="001A0FC7">
          <w:rPr>
            <w:noProof/>
            <w:webHidden/>
          </w:rPr>
          <w:fldChar w:fldCharType="separate"/>
        </w:r>
        <w:r w:rsidR="001A0FC7">
          <w:rPr>
            <w:noProof/>
            <w:webHidden/>
          </w:rPr>
          <w:t>57</w:t>
        </w:r>
        <w:r w:rsidR="001A0FC7">
          <w:rPr>
            <w:noProof/>
            <w:webHidden/>
          </w:rPr>
          <w:fldChar w:fldCharType="end"/>
        </w:r>
      </w:hyperlink>
    </w:p>
    <w:p w:rsidR="001A0FC7" w:rsidRDefault="009746F1">
      <w:pPr>
        <w:pStyle w:val="Kazalovsebine2"/>
        <w:tabs>
          <w:tab w:val="right" w:leader="dot" w:pos="9730"/>
        </w:tabs>
        <w:rPr>
          <w:rFonts w:eastAsiaTheme="minorEastAsia" w:cstheme="minorBidi"/>
          <w:b w:val="0"/>
          <w:bCs w:val="0"/>
          <w:noProof/>
          <w:lang w:eastAsia="sl-SI"/>
        </w:rPr>
      </w:pPr>
      <w:hyperlink w:anchor="_Toc506192092" w:history="1">
        <w:r w:rsidR="001A0FC7" w:rsidRPr="00671707">
          <w:rPr>
            <w:rStyle w:val="Hiperpovezava"/>
            <w:noProof/>
          </w:rPr>
          <w:t>Delovno aktivni v kulturi po Statističnem registru delovno aktivnega prebivalstva</w:t>
        </w:r>
        <w:r w:rsidR="001A0FC7">
          <w:rPr>
            <w:noProof/>
            <w:webHidden/>
          </w:rPr>
          <w:tab/>
        </w:r>
        <w:r w:rsidR="001A0FC7">
          <w:rPr>
            <w:noProof/>
            <w:webHidden/>
          </w:rPr>
          <w:fldChar w:fldCharType="begin"/>
        </w:r>
        <w:r w:rsidR="001A0FC7">
          <w:rPr>
            <w:noProof/>
            <w:webHidden/>
          </w:rPr>
          <w:instrText xml:space="preserve"> PAGEREF _Toc506192092 \h </w:instrText>
        </w:r>
        <w:r w:rsidR="001A0FC7">
          <w:rPr>
            <w:noProof/>
            <w:webHidden/>
          </w:rPr>
        </w:r>
        <w:r w:rsidR="001A0FC7">
          <w:rPr>
            <w:noProof/>
            <w:webHidden/>
          </w:rPr>
          <w:fldChar w:fldCharType="separate"/>
        </w:r>
        <w:r w:rsidR="001A0FC7">
          <w:rPr>
            <w:noProof/>
            <w:webHidden/>
          </w:rPr>
          <w:t>60</w:t>
        </w:r>
        <w:r w:rsidR="001A0FC7">
          <w:rPr>
            <w:noProof/>
            <w:webHidden/>
          </w:rPr>
          <w:fldChar w:fldCharType="end"/>
        </w:r>
      </w:hyperlink>
    </w:p>
    <w:p w:rsidR="001A0FC7" w:rsidRDefault="009746F1">
      <w:pPr>
        <w:pStyle w:val="Kazalovsebine2"/>
        <w:tabs>
          <w:tab w:val="right" w:leader="dot" w:pos="9730"/>
        </w:tabs>
        <w:rPr>
          <w:rFonts w:eastAsiaTheme="minorEastAsia" w:cstheme="minorBidi"/>
          <w:b w:val="0"/>
          <w:bCs w:val="0"/>
          <w:noProof/>
          <w:lang w:eastAsia="sl-SI"/>
        </w:rPr>
      </w:pPr>
      <w:hyperlink w:anchor="_Toc506192093" w:history="1">
        <w:r w:rsidR="001A0FC7" w:rsidRPr="00671707">
          <w:rPr>
            <w:rStyle w:val="Hiperpovezava"/>
            <w:noProof/>
          </w:rPr>
          <w:t>Zaposleni v javnih zavodih v kulturi</w:t>
        </w:r>
        <w:r w:rsidR="001A0FC7">
          <w:rPr>
            <w:noProof/>
            <w:webHidden/>
          </w:rPr>
          <w:tab/>
        </w:r>
        <w:r w:rsidR="001A0FC7">
          <w:rPr>
            <w:noProof/>
            <w:webHidden/>
          </w:rPr>
          <w:fldChar w:fldCharType="begin"/>
        </w:r>
        <w:r w:rsidR="001A0FC7">
          <w:rPr>
            <w:noProof/>
            <w:webHidden/>
          </w:rPr>
          <w:instrText xml:space="preserve"> PAGEREF _Toc506192093 \h </w:instrText>
        </w:r>
        <w:r w:rsidR="001A0FC7">
          <w:rPr>
            <w:noProof/>
            <w:webHidden/>
          </w:rPr>
        </w:r>
        <w:r w:rsidR="001A0FC7">
          <w:rPr>
            <w:noProof/>
            <w:webHidden/>
          </w:rPr>
          <w:fldChar w:fldCharType="separate"/>
        </w:r>
        <w:r w:rsidR="001A0FC7">
          <w:rPr>
            <w:noProof/>
            <w:webHidden/>
          </w:rPr>
          <w:t>64</w:t>
        </w:r>
        <w:r w:rsidR="001A0FC7">
          <w:rPr>
            <w:noProof/>
            <w:webHidden/>
          </w:rPr>
          <w:fldChar w:fldCharType="end"/>
        </w:r>
      </w:hyperlink>
    </w:p>
    <w:p w:rsidR="001A0FC7" w:rsidRDefault="009746F1">
      <w:pPr>
        <w:pStyle w:val="Kazalovsebine1"/>
        <w:tabs>
          <w:tab w:val="right" w:leader="dot" w:pos="9730"/>
        </w:tabs>
        <w:rPr>
          <w:rFonts w:eastAsiaTheme="minorEastAsia" w:cstheme="minorBidi"/>
          <w:b w:val="0"/>
          <w:bCs w:val="0"/>
          <w:i w:val="0"/>
          <w:iCs w:val="0"/>
          <w:noProof/>
          <w:sz w:val="22"/>
          <w:szCs w:val="22"/>
          <w:lang w:eastAsia="sl-SI"/>
        </w:rPr>
      </w:pPr>
      <w:hyperlink w:anchor="_Toc506192094" w:history="1">
        <w:r w:rsidR="001A0FC7" w:rsidRPr="00671707">
          <w:rPr>
            <w:rStyle w:val="Hiperpovezava"/>
            <w:noProof/>
          </w:rPr>
          <w:t>Prihodki v kulturnih dejavnostih</w:t>
        </w:r>
        <w:r w:rsidR="001A0FC7">
          <w:rPr>
            <w:noProof/>
            <w:webHidden/>
          </w:rPr>
          <w:tab/>
        </w:r>
        <w:r w:rsidR="001A0FC7">
          <w:rPr>
            <w:noProof/>
            <w:webHidden/>
          </w:rPr>
          <w:fldChar w:fldCharType="begin"/>
        </w:r>
        <w:r w:rsidR="001A0FC7">
          <w:rPr>
            <w:noProof/>
            <w:webHidden/>
          </w:rPr>
          <w:instrText xml:space="preserve"> PAGEREF _Toc506192094 \h </w:instrText>
        </w:r>
        <w:r w:rsidR="001A0FC7">
          <w:rPr>
            <w:noProof/>
            <w:webHidden/>
          </w:rPr>
        </w:r>
        <w:r w:rsidR="001A0FC7">
          <w:rPr>
            <w:noProof/>
            <w:webHidden/>
          </w:rPr>
          <w:fldChar w:fldCharType="separate"/>
        </w:r>
        <w:r w:rsidR="001A0FC7">
          <w:rPr>
            <w:noProof/>
            <w:webHidden/>
          </w:rPr>
          <w:t>65</w:t>
        </w:r>
        <w:r w:rsidR="001A0FC7">
          <w:rPr>
            <w:noProof/>
            <w:webHidden/>
          </w:rPr>
          <w:fldChar w:fldCharType="end"/>
        </w:r>
      </w:hyperlink>
    </w:p>
    <w:p w:rsidR="001A0FC7" w:rsidRDefault="009746F1">
      <w:pPr>
        <w:pStyle w:val="Kazalovsebine1"/>
        <w:tabs>
          <w:tab w:val="right" w:leader="dot" w:pos="9730"/>
        </w:tabs>
        <w:rPr>
          <w:rFonts w:eastAsiaTheme="minorEastAsia" w:cstheme="minorBidi"/>
          <w:b w:val="0"/>
          <w:bCs w:val="0"/>
          <w:i w:val="0"/>
          <w:iCs w:val="0"/>
          <w:noProof/>
          <w:sz w:val="22"/>
          <w:szCs w:val="22"/>
          <w:lang w:eastAsia="sl-SI"/>
        </w:rPr>
      </w:pPr>
      <w:hyperlink w:anchor="_Toc506192095" w:history="1">
        <w:r w:rsidR="001A0FC7" w:rsidRPr="00671707">
          <w:rPr>
            <w:rStyle w:val="Hiperpovezava"/>
            <w:noProof/>
          </w:rPr>
          <w:t>Prejemniki sredstev iz proračuna Ministrstva za kulturo</w:t>
        </w:r>
        <w:r w:rsidR="001A0FC7">
          <w:rPr>
            <w:noProof/>
            <w:webHidden/>
          </w:rPr>
          <w:tab/>
        </w:r>
        <w:r w:rsidR="001A0FC7">
          <w:rPr>
            <w:noProof/>
            <w:webHidden/>
          </w:rPr>
          <w:fldChar w:fldCharType="begin"/>
        </w:r>
        <w:r w:rsidR="001A0FC7">
          <w:rPr>
            <w:noProof/>
            <w:webHidden/>
          </w:rPr>
          <w:instrText xml:space="preserve"> PAGEREF _Toc506192095 \h </w:instrText>
        </w:r>
        <w:r w:rsidR="001A0FC7">
          <w:rPr>
            <w:noProof/>
            <w:webHidden/>
          </w:rPr>
        </w:r>
        <w:r w:rsidR="001A0FC7">
          <w:rPr>
            <w:noProof/>
            <w:webHidden/>
          </w:rPr>
          <w:fldChar w:fldCharType="separate"/>
        </w:r>
        <w:r w:rsidR="001A0FC7">
          <w:rPr>
            <w:noProof/>
            <w:webHidden/>
          </w:rPr>
          <w:t>69</w:t>
        </w:r>
        <w:r w:rsidR="001A0FC7">
          <w:rPr>
            <w:noProof/>
            <w:webHidden/>
          </w:rPr>
          <w:fldChar w:fldCharType="end"/>
        </w:r>
      </w:hyperlink>
    </w:p>
    <w:p w:rsidR="001A0FC7" w:rsidRDefault="009746F1">
      <w:pPr>
        <w:pStyle w:val="Kazalovsebine2"/>
        <w:tabs>
          <w:tab w:val="right" w:leader="dot" w:pos="9730"/>
        </w:tabs>
        <w:rPr>
          <w:rFonts w:eastAsiaTheme="minorEastAsia" w:cstheme="minorBidi"/>
          <w:b w:val="0"/>
          <w:bCs w:val="0"/>
          <w:noProof/>
          <w:lang w:eastAsia="sl-SI"/>
        </w:rPr>
      </w:pPr>
      <w:hyperlink w:anchor="_Toc506192096" w:history="1">
        <w:r w:rsidR="001A0FC7" w:rsidRPr="00671707">
          <w:rPr>
            <w:rStyle w:val="Hiperpovezava"/>
            <w:noProof/>
          </w:rPr>
          <w:t>Festivali</w:t>
        </w:r>
        <w:r w:rsidR="001A0FC7">
          <w:rPr>
            <w:noProof/>
            <w:webHidden/>
          </w:rPr>
          <w:tab/>
        </w:r>
        <w:r w:rsidR="001A0FC7">
          <w:rPr>
            <w:noProof/>
            <w:webHidden/>
          </w:rPr>
          <w:fldChar w:fldCharType="begin"/>
        </w:r>
        <w:r w:rsidR="001A0FC7">
          <w:rPr>
            <w:noProof/>
            <w:webHidden/>
          </w:rPr>
          <w:instrText xml:space="preserve"> PAGEREF _Toc506192096 \h </w:instrText>
        </w:r>
        <w:r w:rsidR="001A0FC7">
          <w:rPr>
            <w:noProof/>
            <w:webHidden/>
          </w:rPr>
        </w:r>
        <w:r w:rsidR="001A0FC7">
          <w:rPr>
            <w:noProof/>
            <w:webHidden/>
          </w:rPr>
          <w:fldChar w:fldCharType="separate"/>
        </w:r>
        <w:r w:rsidR="001A0FC7">
          <w:rPr>
            <w:noProof/>
            <w:webHidden/>
          </w:rPr>
          <w:t>71</w:t>
        </w:r>
        <w:r w:rsidR="001A0FC7">
          <w:rPr>
            <w:noProof/>
            <w:webHidden/>
          </w:rPr>
          <w:fldChar w:fldCharType="end"/>
        </w:r>
      </w:hyperlink>
    </w:p>
    <w:p w:rsidR="001A0FC7" w:rsidRDefault="009746F1">
      <w:pPr>
        <w:pStyle w:val="Kazalovsebine2"/>
        <w:tabs>
          <w:tab w:val="right" w:leader="dot" w:pos="9730"/>
        </w:tabs>
        <w:rPr>
          <w:rFonts w:eastAsiaTheme="minorEastAsia" w:cstheme="minorBidi"/>
          <w:b w:val="0"/>
          <w:bCs w:val="0"/>
          <w:noProof/>
          <w:lang w:eastAsia="sl-SI"/>
        </w:rPr>
      </w:pPr>
      <w:hyperlink w:anchor="_Toc506192097" w:history="1">
        <w:r w:rsidR="001A0FC7" w:rsidRPr="00671707">
          <w:rPr>
            <w:rStyle w:val="Hiperpovezava"/>
            <w:noProof/>
          </w:rPr>
          <w:t>Nevladne/neprofitne organizacije</w:t>
        </w:r>
        <w:r w:rsidR="001A0FC7">
          <w:rPr>
            <w:noProof/>
            <w:webHidden/>
          </w:rPr>
          <w:tab/>
        </w:r>
        <w:r w:rsidR="001A0FC7">
          <w:rPr>
            <w:noProof/>
            <w:webHidden/>
          </w:rPr>
          <w:fldChar w:fldCharType="begin"/>
        </w:r>
        <w:r w:rsidR="001A0FC7">
          <w:rPr>
            <w:noProof/>
            <w:webHidden/>
          </w:rPr>
          <w:instrText xml:space="preserve"> PAGEREF _Toc506192097 \h </w:instrText>
        </w:r>
        <w:r w:rsidR="001A0FC7">
          <w:rPr>
            <w:noProof/>
            <w:webHidden/>
          </w:rPr>
        </w:r>
        <w:r w:rsidR="001A0FC7">
          <w:rPr>
            <w:noProof/>
            <w:webHidden/>
          </w:rPr>
          <w:fldChar w:fldCharType="separate"/>
        </w:r>
        <w:r w:rsidR="001A0FC7">
          <w:rPr>
            <w:noProof/>
            <w:webHidden/>
          </w:rPr>
          <w:t>71</w:t>
        </w:r>
        <w:r w:rsidR="001A0FC7">
          <w:rPr>
            <w:noProof/>
            <w:webHidden/>
          </w:rPr>
          <w:fldChar w:fldCharType="end"/>
        </w:r>
      </w:hyperlink>
    </w:p>
    <w:p w:rsidR="001A0FC7" w:rsidRDefault="009746F1">
      <w:pPr>
        <w:pStyle w:val="Kazalovsebine2"/>
        <w:tabs>
          <w:tab w:val="right" w:leader="dot" w:pos="9730"/>
        </w:tabs>
        <w:rPr>
          <w:rFonts w:eastAsiaTheme="minorEastAsia" w:cstheme="minorBidi"/>
          <w:b w:val="0"/>
          <w:bCs w:val="0"/>
          <w:noProof/>
          <w:lang w:eastAsia="sl-SI"/>
        </w:rPr>
      </w:pPr>
      <w:hyperlink w:anchor="_Toc506192098" w:history="1">
        <w:r w:rsidR="001A0FC7" w:rsidRPr="00671707">
          <w:rPr>
            <w:rStyle w:val="Hiperpovezava"/>
            <w:noProof/>
          </w:rPr>
          <w:t>Posamezniki</w:t>
        </w:r>
        <w:r w:rsidR="001A0FC7">
          <w:rPr>
            <w:noProof/>
            <w:webHidden/>
          </w:rPr>
          <w:tab/>
        </w:r>
        <w:r w:rsidR="001A0FC7">
          <w:rPr>
            <w:noProof/>
            <w:webHidden/>
          </w:rPr>
          <w:fldChar w:fldCharType="begin"/>
        </w:r>
        <w:r w:rsidR="001A0FC7">
          <w:rPr>
            <w:noProof/>
            <w:webHidden/>
          </w:rPr>
          <w:instrText xml:space="preserve"> PAGEREF _Toc506192098 \h </w:instrText>
        </w:r>
        <w:r w:rsidR="001A0FC7">
          <w:rPr>
            <w:noProof/>
            <w:webHidden/>
          </w:rPr>
        </w:r>
        <w:r w:rsidR="001A0FC7">
          <w:rPr>
            <w:noProof/>
            <w:webHidden/>
          </w:rPr>
          <w:fldChar w:fldCharType="separate"/>
        </w:r>
        <w:r w:rsidR="001A0FC7">
          <w:rPr>
            <w:noProof/>
            <w:webHidden/>
          </w:rPr>
          <w:t>73</w:t>
        </w:r>
        <w:r w:rsidR="001A0FC7">
          <w:rPr>
            <w:noProof/>
            <w:webHidden/>
          </w:rPr>
          <w:fldChar w:fldCharType="end"/>
        </w:r>
      </w:hyperlink>
    </w:p>
    <w:p w:rsidR="001A0FC7" w:rsidRDefault="009746F1">
      <w:pPr>
        <w:pStyle w:val="Kazalovsebine3"/>
        <w:tabs>
          <w:tab w:val="right" w:leader="dot" w:pos="9730"/>
        </w:tabs>
        <w:rPr>
          <w:rFonts w:eastAsiaTheme="minorEastAsia" w:cstheme="minorBidi"/>
          <w:noProof/>
          <w:sz w:val="22"/>
          <w:szCs w:val="22"/>
          <w:lang w:eastAsia="sl-SI"/>
        </w:rPr>
      </w:pPr>
      <w:hyperlink w:anchor="_Toc506192099" w:history="1">
        <w:r w:rsidR="001A0FC7" w:rsidRPr="00671707">
          <w:rPr>
            <w:rStyle w:val="Hiperpovezava"/>
            <w:noProof/>
          </w:rPr>
          <w:t>Dohodki samozaposlenih v kulturi</w:t>
        </w:r>
        <w:r w:rsidR="001A0FC7">
          <w:rPr>
            <w:noProof/>
            <w:webHidden/>
          </w:rPr>
          <w:tab/>
        </w:r>
        <w:r w:rsidR="001A0FC7">
          <w:rPr>
            <w:noProof/>
            <w:webHidden/>
          </w:rPr>
          <w:fldChar w:fldCharType="begin"/>
        </w:r>
        <w:r w:rsidR="001A0FC7">
          <w:rPr>
            <w:noProof/>
            <w:webHidden/>
          </w:rPr>
          <w:instrText xml:space="preserve"> PAGEREF _Toc506192099 \h </w:instrText>
        </w:r>
        <w:r w:rsidR="001A0FC7">
          <w:rPr>
            <w:noProof/>
            <w:webHidden/>
          </w:rPr>
        </w:r>
        <w:r w:rsidR="001A0FC7">
          <w:rPr>
            <w:noProof/>
            <w:webHidden/>
          </w:rPr>
          <w:fldChar w:fldCharType="separate"/>
        </w:r>
        <w:r w:rsidR="001A0FC7">
          <w:rPr>
            <w:noProof/>
            <w:webHidden/>
          </w:rPr>
          <w:t>74</w:t>
        </w:r>
        <w:r w:rsidR="001A0FC7">
          <w:rPr>
            <w:noProof/>
            <w:webHidden/>
          </w:rPr>
          <w:fldChar w:fldCharType="end"/>
        </w:r>
      </w:hyperlink>
    </w:p>
    <w:p w:rsidR="001A0FC7" w:rsidRDefault="009746F1">
      <w:pPr>
        <w:pStyle w:val="Kazalovsebine3"/>
        <w:tabs>
          <w:tab w:val="right" w:leader="dot" w:pos="9730"/>
        </w:tabs>
        <w:rPr>
          <w:rFonts w:eastAsiaTheme="minorEastAsia" w:cstheme="minorBidi"/>
          <w:noProof/>
          <w:sz w:val="22"/>
          <w:szCs w:val="22"/>
          <w:lang w:eastAsia="sl-SI"/>
        </w:rPr>
      </w:pPr>
      <w:hyperlink w:anchor="_Toc506192100" w:history="1">
        <w:r w:rsidR="001A0FC7" w:rsidRPr="00671707">
          <w:rPr>
            <w:rStyle w:val="Hiperpovezava"/>
            <w:noProof/>
          </w:rPr>
          <w:t>Pravica do plačila prispevkov iz državnega proračuna za socialno varnost</w:t>
        </w:r>
        <w:r w:rsidR="001A0FC7">
          <w:rPr>
            <w:noProof/>
            <w:webHidden/>
          </w:rPr>
          <w:tab/>
        </w:r>
        <w:r w:rsidR="001A0FC7">
          <w:rPr>
            <w:noProof/>
            <w:webHidden/>
          </w:rPr>
          <w:fldChar w:fldCharType="begin"/>
        </w:r>
        <w:r w:rsidR="001A0FC7">
          <w:rPr>
            <w:noProof/>
            <w:webHidden/>
          </w:rPr>
          <w:instrText xml:space="preserve"> PAGEREF _Toc506192100 \h </w:instrText>
        </w:r>
        <w:r w:rsidR="001A0FC7">
          <w:rPr>
            <w:noProof/>
            <w:webHidden/>
          </w:rPr>
        </w:r>
        <w:r w:rsidR="001A0FC7">
          <w:rPr>
            <w:noProof/>
            <w:webHidden/>
          </w:rPr>
          <w:fldChar w:fldCharType="separate"/>
        </w:r>
        <w:r w:rsidR="001A0FC7">
          <w:rPr>
            <w:noProof/>
            <w:webHidden/>
          </w:rPr>
          <w:t>76</w:t>
        </w:r>
        <w:r w:rsidR="001A0FC7">
          <w:rPr>
            <w:noProof/>
            <w:webHidden/>
          </w:rPr>
          <w:fldChar w:fldCharType="end"/>
        </w:r>
      </w:hyperlink>
    </w:p>
    <w:p w:rsidR="001A0FC7" w:rsidRDefault="009746F1">
      <w:pPr>
        <w:pStyle w:val="Kazalovsebine3"/>
        <w:tabs>
          <w:tab w:val="right" w:leader="dot" w:pos="9730"/>
        </w:tabs>
        <w:rPr>
          <w:rFonts w:eastAsiaTheme="minorEastAsia" w:cstheme="minorBidi"/>
          <w:noProof/>
          <w:sz w:val="22"/>
          <w:szCs w:val="22"/>
          <w:lang w:eastAsia="sl-SI"/>
        </w:rPr>
      </w:pPr>
      <w:hyperlink w:anchor="_Toc506192101" w:history="1">
        <w:r w:rsidR="001A0FC7" w:rsidRPr="00671707">
          <w:rPr>
            <w:rStyle w:val="Hiperpovezava"/>
            <w:noProof/>
          </w:rPr>
          <w:t>Dnevno nadomestilo za čas zadržanosti od dela zaradi bolezni</w:t>
        </w:r>
        <w:r w:rsidR="001A0FC7">
          <w:rPr>
            <w:noProof/>
            <w:webHidden/>
          </w:rPr>
          <w:tab/>
        </w:r>
        <w:r w:rsidR="001A0FC7">
          <w:rPr>
            <w:noProof/>
            <w:webHidden/>
          </w:rPr>
          <w:fldChar w:fldCharType="begin"/>
        </w:r>
        <w:r w:rsidR="001A0FC7">
          <w:rPr>
            <w:noProof/>
            <w:webHidden/>
          </w:rPr>
          <w:instrText xml:space="preserve"> PAGEREF _Toc506192101 \h </w:instrText>
        </w:r>
        <w:r w:rsidR="001A0FC7">
          <w:rPr>
            <w:noProof/>
            <w:webHidden/>
          </w:rPr>
        </w:r>
        <w:r w:rsidR="001A0FC7">
          <w:rPr>
            <w:noProof/>
            <w:webHidden/>
          </w:rPr>
          <w:fldChar w:fldCharType="separate"/>
        </w:r>
        <w:r w:rsidR="001A0FC7">
          <w:rPr>
            <w:noProof/>
            <w:webHidden/>
          </w:rPr>
          <w:t>77</w:t>
        </w:r>
        <w:r w:rsidR="001A0FC7">
          <w:rPr>
            <w:noProof/>
            <w:webHidden/>
          </w:rPr>
          <w:fldChar w:fldCharType="end"/>
        </w:r>
      </w:hyperlink>
    </w:p>
    <w:p w:rsidR="001A0FC7" w:rsidRDefault="009746F1">
      <w:pPr>
        <w:pStyle w:val="Kazalovsebine3"/>
        <w:tabs>
          <w:tab w:val="right" w:leader="dot" w:pos="9730"/>
        </w:tabs>
        <w:rPr>
          <w:rFonts w:eastAsiaTheme="minorEastAsia" w:cstheme="minorBidi"/>
          <w:noProof/>
          <w:sz w:val="22"/>
          <w:szCs w:val="22"/>
          <w:lang w:eastAsia="sl-SI"/>
        </w:rPr>
      </w:pPr>
      <w:hyperlink w:anchor="_Toc506192102" w:history="1">
        <w:r w:rsidR="001A0FC7" w:rsidRPr="00671707">
          <w:rPr>
            <w:rStyle w:val="Hiperpovezava"/>
            <w:noProof/>
          </w:rPr>
          <w:t>Republiška priznavalnina</w:t>
        </w:r>
        <w:r w:rsidR="001A0FC7">
          <w:rPr>
            <w:noProof/>
            <w:webHidden/>
          </w:rPr>
          <w:tab/>
        </w:r>
        <w:r w:rsidR="001A0FC7">
          <w:rPr>
            <w:noProof/>
            <w:webHidden/>
          </w:rPr>
          <w:fldChar w:fldCharType="begin"/>
        </w:r>
        <w:r w:rsidR="001A0FC7">
          <w:rPr>
            <w:noProof/>
            <w:webHidden/>
          </w:rPr>
          <w:instrText xml:space="preserve"> PAGEREF _Toc506192102 \h </w:instrText>
        </w:r>
        <w:r w:rsidR="001A0FC7">
          <w:rPr>
            <w:noProof/>
            <w:webHidden/>
          </w:rPr>
        </w:r>
        <w:r w:rsidR="001A0FC7">
          <w:rPr>
            <w:noProof/>
            <w:webHidden/>
          </w:rPr>
          <w:fldChar w:fldCharType="separate"/>
        </w:r>
        <w:r w:rsidR="001A0FC7">
          <w:rPr>
            <w:noProof/>
            <w:webHidden/>
          </w:rPr>
          <w:t>78</w:t>
        </w:r>
        <w:r w:rsidR="001A0FC7">
          <w:rPr>
            <w:noProof/>
            <w:webHidden/>
          </w:rPr>
          <w:fldChar w:fldCharType="end"/>
        </w:r>
      </w:hyperlink>
    </w:p>
    <w:p w:rsidR="001A0FC7" w:rsidRDefault="009746F1">
      <w:pPr>
        <w:pStyle w:val="Kazalovsebine2"/>
        <w:tabs>
          <w:tab w:val="right" w:leader="dot" w:pos="9730"/>
        </w:tabs>
        <w:rPr>
          <w:rFonts w:eastAsiaTheme="minorEastAsia" w:cstheme="minorBidi"/>
          <w:b w:val="0"/>
          <w:bCs w:val="0"/>
          <w:noProof/>
          <w:lang w:eastAsia="sl-SI"/>
        </w:rPr>
      </w:pPr>
      <w:hyperlink w:anchor="_Toc506192103" w:history="1">
        <w:r w:rsidR="001A0FC7" w:rsidRPr="00671707">
          <w:rPr>
            <w:rStyle w:val="Hiperpovezava"/>
            <w:noProof/>
          </w:rPr>
          <w:t>Javni zavodi</w:t>
        </w:r>
        <w:r w:rsidR="001A0FC7">
          <w:rPr>
            <w:noProof/>
            <w:webHidden/>
          </w:rPr>
          <w:tab/>
        </w:r>
        <w:r w:rsidR="001A0FC7">
          <w:rPr>
            <w:noProof/>
            <w:webHidden/>
          </w:rPr>
          <w:fldChar w:fldCharType="begin"/>
        </w:r>
        <w:r w:rsidR="001A0FC7">
          <w:rPr>
            <w:noProof/>
            <w:webHidden/>
          </w:rPr>
          <w:instrText xml:space="preserve"> PAGEREF _Toc506192103 \h </w:instrText>
        </w:r>
        <w:r w:rsidR="001A0FC7">
          <w:rPr>
            <w:noProof/>
            <w:webHidden/>
          </w:rPr>
        </w:r>
        <w:r w:rsidR="001A0FC7">
          <w:rPr>
            <w:noProof/>
            <w:webHidden/>
          </w:rPr>
          <w:fldChar w:fldCharType="separate"/>
        </w:r>
        <w:r w:rsidR="001A0FC7">
          <w:rPr>
            <w:noProof/>
            <w:webHidden/>
          </w:rPr>
          <w:t>78</w:t>
        </w:r>
        <w:r w:rsidR="001A0FC7">
          <w:rPr>
            <w:noProof/>
            <w:webHidden/>
          </w:rPr>
          <w:fldChar w:fldCharType="end"/>
        </w:r>
      </w:hyperlink>
    </w:p>
    <w:p w:rsidR="001A0FC7" w:rsidRDefault="009746F1">
      <w:pPr>
        <w:pStyle w:val="Kazalovsebine3"/>
        <w:tabs>
          <w:tab w:val="right" w:leader="dot" w:pos="9730"/>
        </w:tabs>
        <w:rPr>
          <w:rFonts w:eastAsiaTheme="minorEastAsia" w:cstheme="minorBidi"/>
          <w:noProof/>
          <w:sz w:val="22"/>
          <w:szCs w:val="22"/>
          <w:lang w:eastAsia="sl-SI"/>
        </w:rPr>
      </w:pPr>
      <w:hyperlink w:anchor="_Toc506192104" w:history="1">
        <w:r w:rsidR="001A0FC7" w:rsidRPr="00671707">
          <w:rPr>
            <w:rStyle w:val="Hiperpovezava"/>
            <w:noProof/>
          </w:rPr>
          <w:t>Kronologija prevzemanja obveznosti javnih zavodov</w:t>
        </w:r>
        <w:r w:rsidR="001A0FC7">
          <w:rPr>
            <w:noProof/>
            <w:webHidden/>
          </w:rPr>
          <w:tab/>
        </w:r>
        <w:r w:rsidR="001A0FC7">
          <w:rPr>
            <w:noProof/>
            <w:webHidden/>
          </w:rPr>
          <w:fldChar w:fldCharType="begin"/>
        </w:r>
        <w:r w:rsidR="001A0FC7">
          <w:rPr>
            <w:noProof/>
            <w:webHidden/>
          </w:rPr>
          <w:instrText xml:space="preserve"> PAGEREF _Toc506192104 \h </w:instrText>
        </w:r>
        <w:r w:rsidR="001A0FC7">
          <w:rPr>
            <w:noProof/>
            <w:webHidden/>
          </w:rPr>
        </w:r>
        <w:r w:rsidR="001A0FC7">
          <w:rPr>
            <w:noProof/>
            <w:webHidden/>
          </w:rPr>
          <w:fldChar w:fldCharType="separate"/>
        </w:r>
        <w:r w:rsidR="001A0FC7">
          <w:rPr>
            <w:noProof/>
            <w:webHidden/>
          </w:rPr>
          <w:t>78</w:t>
        </w:r>
        <w:r w:rsidR="001A0FC7">
          <w:rPr>
            <w:noProof/>
            <w:webHidden/>
          </w:rPr>
          <w:fldChar w:fldCharType="end"/>
        </w:r>
      </w:hyperlink>
    </w:p>
    <w:p w:rsidR="001A0FC7" w:rsidRDefault="009746F1">
      <w:pPr>
        <w:pStyle w:val="Kazalovsebine3"/>
        <w:tabs>
          <w:tab w:val="right" w:leader="dot" w:pos="9730"/>
        </w:tabs>
        <w:rPr>
          <w:rFonts w:eastAsiaTheme="minorEastAsia" w:cstheme="minorBidi"/>
          <w:noProof/>
          <w:sz w:val="22"/>
          <w:szCs w:val="22"/>
          <w:lang w:eastAsia="sl-SI"/>
        </w:rPr>
      </w:pPr>
      <w:hyperlink w:anchor="_Toc506192105" w:history="1">
        <w:r w:rsidR="001A0FC7" w:rsidRPr="00671707">
          <w:rPr>
            <w:rStyle w:val="Hiperpovezava"/>
            <w:noProof/>
            <w:lang w:eastAsia="sl-SI"/>
          </w:rPr>
          <w:t>Sredstva po skupinah dejavnosti</w:t>
        </w:r>
        <w:r w:rsidR="001A0FC7">
          <w:rPr>
            <w:noProof/>
            <w:webHidden/>
          </w:rPr>
          <w:tab/>
        </w:r>
        <w:r w:rsidR="001A0FC7">
          <w:rPr>
            <w:noProof/>
            <w:webHidden/>
          </w:rPr>
          <w:fldChar w:fldCharType="begin"/>
        </w:r>
        <w:r w:rsidR="001A0FC7">
          <w:rPr>
            <w:noProof/>
            <w:webHidden/>
          </w:rPr>
          <w:instrText xml:space="preserve"> PAGEREF _Toc506192105 \h </w:instrText>
        </w:r>
        <w:r w:rsidR="001A0FC7">
          <w:rPr>
            <w:noProof/>
            <w:webHidden/>
          </w:rPr>
        </w:r>
        <w:r w:rsidR="001A0FC7">
          <w:rPr>
            <w:noProof/>
            <w:webHidden/>
          </w:rPr>
          <w:fldChar w:fldCharType="separate"/>
        </w:r>
        <w:r w:rsidR="001A0FC7">
          <w:rPr>
            <w:noProof/>
            <w:webHidden/>
          </w:rPr>
          <w:t>79</w:t>
        </w:r>
        <w:r w:rsidR="001A0FC7">
          <w:rPr>
            <w:noProof/>
            <w:webHidden/>
          </w:rPr>
          <w:fldChar w:fldCharType="end"/>
        </w:r>
      </w:hyperlink>
    </w:p>
    <w:p w:rsidR="001A0FC7" w:rsidRDefault="009746F1">
      <w:pPr>
        <w:pStyle w:val="Kazalovsebine3"/>
        <w:tabs>
          <w:tab w:val="right" w:leader="dot" w:pos="9730"/>
        </w:tabs>
        <w:rPr>
          <w:rFonts w:eastAsiaTheme="minorEastAsia" w:cstheme="minorBidi"/>
          <w:noProof/>
          <w:sz w:val="22"/>
          <w:szCs w:val="22"/>
          <w:lang w:eastAsia="sl-SI"/>
        </w:rPr>
      </w:pPr>
      <w:hyperlink w:anchor="_Toc506192106" w:history="1">
        <w:r w:rsidR="001A0FC7" w:rsidRPr="00671707">
          <w:rPr>
            <w:rStyle w:val="Hiperpovezava"/>
            <w:noProof/>
          </w:rPr>
          <w:t>Sredstva po namenu</w:t>
        </w:r>
        <w:r w:rsidR="001A0FC7">
          <w:rPr>
            <w:noProof/>
            <w:webHidden/>
          </w:rPr>
          <w:tab/>
        </w:r>
        <w:r w:rsidR="001A0FC7">
          <w:rPr>
            <w:noProof/>
            <w:webHidden/>
          </w:rPr>
          <w:fldChar w:fldCharType="begin"/>
        </w:r>
        <w:r w:rsidR="001A0FC7">
          <w:rPr>
            <w:noProof/>
            <w:webHidden/>
          </w:rPr>
          <w:instrText xml:space="preserve"> PAGEREF _Toc506192106 \h </w:instrText>
        </w:r>
        <w:r w:rsidR="001A0FC7">
          <w:rPr>
            <w:noProof/>
            <w:webHidden/>
          </w:rPr>
        </w:r>
        <w:r w:rsidR="001A0FC7">
          <w:rPr>
            <w:noProof/>
            <w:webHidden/>
          </w:rPr>
          <w:fldChar w:fldCharType="separate"/>
        </w:r>
        <w:r w:rsidR="001A0FC7">
          <w:rPr>
            <w:noProof/>
            <w:webHidden/>
          </w:rPr>
          <w:t>80</w:t>
        </w:r>
        <w:r w:rsidR="001A0FC7">
          <w:rPr>
            <w:noProof/>
            <w:webHidden/>
          </w:rPr>
          <w:fldChar w:fldCharType="end"/>
        </w:r>
      </w:hyperlink>
    </w:p>
    <w:p w:rsidR="001A0FC7" w:rsidRDefault="009746F1">
      <w:pPr>
        <w:pStyle w:val="Kazalovsebine3"/>
        <w:tabs>
          <w:tab w:val="right" w:leader="dot" w:pos="9730"/>
        </w:tabs>
        <w:rPr>
          <w:rFonts w:eastAsiaTheme="minorEastAsia" w:cstheme="minorBidi"/>
          <w:noProof/>
          <w:sz w:val="22"/>
          <w:szCs w:val="22"/>
          <w:lang w:eastAsia="sl-SI"/>
        </w:rPr>
      </w:pPr>
      <w:hyperlink w:anchor="_Toc506192107" w:history="1">
        <w:r w:rsidR="001A0FC7" w:rsidRPr="00671707">
          <w:rPr>
            <w:rStyle w:val="Hiperpovezava"/>
            <w:noProof/>
            <w:lang w:eastAsia="sl-SI"/>
          </w:rPr>
          <w:t>Sredstva po viru prihodkov</w:t>
        </w:r>
        <w:r w:rsidR="001A0FC7">
          <w:rPr>
            <w:noProof/>
            <w:webHidden/>
          </w:rPr>
          <w:tab/>
        </w:r>
        <w:r w:rsidR="001A0FC7">
          <w:rPr>
            <w:noProof/>
            <w:webHidden/>
          </w:rPr>
          <w:fldChar w:fldCharType="begin"/>
        </w:r>
        <w:r w:rsidR="001A0FC7">
          <w:rPr>
            <w:noProof/>
            <w:webHidden/>
          </w:rPr>
          <w:instrText xml:space="preserve"> PAGEREF _Toc506192107 \h </w:instrText>
        </w:r>
        <w:r w:rsidR="001A0FC7">
          <w:rPr>
            <w:noProof/>
            <w:webHidden/>
          </w:rPr>
        </w:r>
        <w:r w:rsidR="001A0FC7">
          <w:rPr>
            <w:noProof/>
            <w:webHidden/>
          </w:rPr>
          <w:fldChar w:fldCharType="separate"/>
        </w:r>
        <w:r w:rsidR="001A0FC7">
          <w:rPr>
            <w:noProof/>
            <w:webHidden/>
          </w:rPr>
          <w:t>81</w:t>
        </w:r>
        <w:r w:rsidR="001A0FC7">
          <w:rPr>
            <w:noProof/>
            <w:webHidden/>
          </w:rPr>
          <w:fldChar w:fldCharType="end"/>
        </w:r>
      </w:hyperlink>
    </w:p>
    <w:p w:rsidR="001A0FC7" w:rsidRDefault="009746F1">
      <w:pPr>
        <w:pStyle w:val="Kazalovsebine3"/>
        <w:tabs>
          <w:tab w:val="right" w:leader="dot" w:pos="9730"/>
        </w:tabs>
        <w:rPr>
          <w:rFonts w:eastAsiaTheme="minorEastAsia" w:cstheme="minorBidi"/>
          <w:noProof/>
          <w:sz w:val="22"/>
          <w:szCs w:val="22"/>
          <w:lang w:eastAsia="sl-SI"/>
        </w:rPr>
      </w:pPr>
      <w:hyperlink w:anchor="_Toc506192108" w:history="1">
        <w:r w:rsidR="001A0FC7" w:rsidRPr="00671707">
          <w:rPr>
            <w:rStyle w:val="Hiperpovezava"/>
            <w:noProof/>
            <w:lang w:eastAsia="sl-SI"/>
          </w:rPr>
          <w:t>Stroški dela</w:t>
        </w:r>
        <w:r w:rsidR="001A0FC7">
          <w:rPr>
            <w:noProof/>
            <w:webHidden/>
          </w:rPr>
          <w:tab/>
        </w:r>
        <w:r w:rsidR="001A0FC7">
          <w:rPr>
            <w:noProof/>
            <w:webHidden/>
          </w:rPr>
          <w:fldChar w:fldCharType="begin"/>
        </w:r>
        <w:r w:rsidR="001A0FC7">
          <w:rPr>
            <w:noProof/>
            <w:webHidden/>
          </w:rPr>
          <w:instrText xml:space="preserve"> PAGEREF _Toc506192108 \h </w:instrText>
        </w:r>
        <w:r w:rsidR="001A0FC7">
          <w:rPr>
            <w:noProof/>
            <w:webHidden/>
          </w:rPr>
        </w:r>
        <w:r w:rsidR="001A0FC7">
          <w:rPr>
            <w:noProof/>
            <w:webHidden/>
          </w:rPr>
          <w:fldChar w:fldCharType="separate"/>
        </w:r>
        <w:r w:rsidR="001A0FC7">
          <w:rPr>
            <w:noProof/>
            <w:webHidden/>
          </w:rPr>
          <w:t>83</w:t>
        </w:r>
        <w:r w:rsidR="001A0FC7">
          <w:rPr>
            <w:noProof/>
            <w:webHidden/>
          </w:rPr>
          <w:fldChar w:fldCharType="end"/>
        </w:r>
      </w:hyperlink>
    </w:p>
    <w:p w:rsidR="003946D7" w:rsidRPr="003946D7" w:rsidRDefault="00626BDB" w:rsidP="00217BB7">
      <w:pPr>
        <w:pStyle w:val="Kazalovsebine1"/>
      </w:pPr>
      <w:r>
        <w:fldChar w:fldCharType="end"/>
      </w:r>
    </w:p>
    <w:p w:rsidR="00D53C6C" w:rsidRDefault="00D53C6C">
      <w:r>
        <w:br w:type="page"/>
      </w:r>
    </w:p>
    <w:p w:rsidR="003946D7" w:rsidRPr="003946D7" w:rsidRDefault="00D53C6C" w:rsidP="001C1E71">
      <w:pPr>
        <w:pStyle w:val="Naslov1"/>
      </w:pPr>
      <w:r>
        <w:lastRenderedPageBreak/>
        <w:t>Tabele in grafi</w:t>
      </w:r>
    </w:p>
    <w:p w:rsidR="003946D7" w:rsidRDefault="003946D7" w:rsidP="00D53C6C">
      <w:pPr>
        <w:spacing w:after="0" w:line="240" w:lineRule="auto"/>
      </w:pPr>
    </w:p>
    <w:p w:rsidR="006B025E" w:rsidRDefault="001C1E71">
      <w:pPr>
        <w:pStyle w:val="Kazaloslik"/>
        <w:tabs>
          <w:tab w:val="right" w:leader="dot" w:pos="9730"/>
        </w:tabs>
        <w:rPr>
          <w:rFonts w:asciiTheme="minorHAnsi" w:eastAsiaTheme="minorEastAsia" w:hAnsiTheme="minorHAnsi" w:cstheme="minorBidi"/>
          <w:noProof/>
          <w:sz w:val="24"/>
          <w:lang w:val="en-GB" w:eastAsia="en-GB"/>
        </w:rPr>
      </w:pPr>
      <w:r>
        <w:fldChar w:fldCharType="begin"/>
      </w:r>
      <w:r>
        <w:instrText xml:space="preserve"> TOC \h \z \t "Naslov tabele" \c </w:instrText>
      </w:r>
      <w:r>
        <w:fldChar w:fldCharType="separate"/>
      </w:r>
      <w:hyperlink w:anchor="_Toc490599979" w:history="1">
        <w:r w:rsidR="006B025E" w:rsidRPr="0009216F">
          <w:rPr>
            <w:rStyle w:val="Hiperpovezava"/>
            <w:noProof/>
          </w:rPr>
          <w:t>Graf 1: Ljudje umetnost in kulturo različno razumemo; imamo različna prepričanja o tem, kakšen pomen imata v današnji družbi. Našteli vam bomo nekaj možnih pogledov nanju, vas pa prosimo, da poveste, kako blizu so vam osebno.</w:t>
        </w:r>
        <w:r w:rsidR="006B025E">
          <w:rPr>
            <w:noProof/>
            <w:webHidden/>
          </w:rPr>
          <w:tab/>
        </w:r>
        <w:r w:rsidR="006B025E">
          <w:rPr>
            <w:noProof/>
            <w:webHidden/>
          </w:rPr>
          <w:fldChar w:fldCharType="begin"/>
        </w:r>
        <w:r w:rsidR="006B025E">
          <w:rPr>
            <w:noProof/>
            <w:webHidden/>
          </w:rPr>
          <w:instrText xml:space="preserve"> PAGEREF _Toc490599979 \h </w:instrText>
        </w:r>
        <w:r w:rsidR="006B025E">
          <w:rPr>
            <w:noProof/>
            <w:webHidden/>
          </w:rPr>
        </w:r>
        <w:r w:rsidR="006B025E">
          <w:rPr>
            <w:noProof/>
            <w:webHidden/>
          </w:rPr>
          <w:fldChar w:fldCharType="separate"/>
        </w:r>
        <w:r w:rsidR="00D776FA">
          <w:rPr>
            <w:noProof/>
            <w:webHidden/>
          </w:rPr>
          <w:t>10</w:t>
        </w:r>
        <w:r w:rsidR="006B025E">
          <w:rPr>
            <w:noProof/>
            <w:webHidden/>
          </w:rPr>
          <w:fldChar w:fldCharType="end"/>
        </w:r>
      </w:hyperlink>
    </w:p>
    <w:p w:rsidR="006B025E" w:rsidRDefault="009746F1">
      <w:pPr>
        <w:pStyle w:val="Kazaloslik"/>
        <w:tabs>
          <w:tab w:val="right" w:leader="dot" w:pos="9730"/>
        </w:tabs>
        <w:rPr>
          <w:rFonts w:asciiTheme="minorHAnsi" w:eastAsiaTheme="minorEastAsia" w:hAnsiTheme="minorHAnsi" w:cstheme="minorBidi"/>
          <w:noProof/>
          <w:sz w:val="24"/>
          <w:lang w:val="en-GB" w:eastAsia="en-GB"/>
        </w:rPr>
      </w:pPr>
      <w:hyperlink w:anchor="_Toc490599980" w:history="1">
        <w:r w:rsidR="006B025E" w:rsidRPr="0009216F">
          <w:rPr>
            <w:rStyle w:val="Hiperpovezava"/>
            <w:noProof/>
          </w:rPr>
          <w:t>Graf 2: Koliko milijonov evrov po vašem mnenju država letno nameni za kulturo in umetnost?*</w:t>
        </w:r>
        <w:r w:rsidR="006B025E">
          <w:rPr>
            <w:noProof/>
            <w:webHidden/>
          </w:rPr>
          <w:tab/>
        </w:r>
        <w:r w:rsidR="006B025E">
          <w:rPr>
            <w:noProof/>
            <w:webHidden/>
          </w:rPr>
          <w:fldChar w:fldCharType="begin"/>
        </w:r>
        <w:r w:rsidR="006B025E">
          <w:rPr>
            <w:noProof/>
            <w:webHidden/>
          </w:rPr>
          <w:instrText xml:space="preserve"> PAGEREF _Toc490599980 \h </w:instrText>
        </w:r>
        <w:r w:rsidR="006B025E">
          <w:rPr>
            <w:noProof/>
            <w:webHidden/>
          </w:rPr>
        </w:r>
        <w:r w:rsidR="006B025E">
          <w:rPr>
            <w:noProof/>
            <w:webHidden/>
          </w:rPr>
          <w:fldChar w:fldCharType="separate"/>
        </w:r>
        <w:r w:rsidR="00D776FA">
          <w:rPr>
            <w:noProof/>
            <w:webHidden/>
          </w:rPr>
          <w:t>11</w:t>
        </w:r>
        <w:r w:rsidR="006B025E">
          <w:rPr>
            <w:noProof/>
            <w:webHidden/>
          </w:rPr>
          <w:fldChar w:fldCharType="end"/>
        </w:r>
      </w:hyperlink>
    </w:p>
    <w:p w:rsidR="006B025E" w:rsidRDefault="009746F1">
      <w:pPr>
        <w:pStyle w:val="Kazaloslik"/>
        <w:tabs>
          <w:tab w:val="right" w:leader="dot" w:pos="9730"/>
        </w:tabs>
        <w:rPr>
          <w:rFonts w:asciiTheme="minorHAnsi" w:eastAsiaTheme="minorEastAsia" w:hAnsiTheme="minorHAnsi" w:cstheme="minorBidi"/>
          <w:noProof/>
          <w:sz w:val="24"/>
          <w:lang w:val="en-GB" w:eastAsia="en-GB"/>
        </w:rPr>
      </w:pPr>
      <w:hyperlink w:anchor="_Toc490599981" w:history="1">
        <w:r w:rsidR="006B025E" w:rsidRPr="0009216F">
          <w:rPr>
            <w:rStyle w:val="Hiperpovezava"/>
            <w:noProof/>
          </w:rPr>
          <w:t>Graf 3: Razmerje med mnenjem, da bi morala država bolje financirati kulturo in informiranostjo o dejanskem znesku</w:t>
        </w:r>
        <w:r w:rsidR="006B025E">
          <w:rPr>
            <w:noProof/>
            <w:webHidden/>
          </w:rPr>
          <w:tab/>
        </w:r>
        <w:r w:rsidR="006B025E">
          <w:rPr>
            <w:noProof/>
            <w:webHidden/>
          </w:rPr>
          <w:fldChar w:fldCharType="begin"/>
        </w:r>
        <w:r w:rsidR="006B025E">
          <w:rPr>
            <w:noProof/>
            <w:webHidden/>
          </w:rPr>
          <w:instrText xml:space="preserve"> PAGEREF _Toc490599981 \h </w:instrText>
        </w:r>
        <w:r w:rsidR="006B025E">
          <w:rPr>
            <w:noProof/>
            <w:webHidden/>
          </w:rPr>
        </w:r>
        <w:r w:rsidR="006B025E">
          <w:rPr>
            <w:noProof/>
            <w:webHidden/>
          </w:rPr>
          <w:fldChar w:fldCharType="separate"/>
        </w:r>
        <w:r w:rsidR="00D776FA">
          <w:rPr>
            <w:noProof/>
            <w:webHidden/>
          </w:rPr>
          <w:t>11</w:t>
        </w:r>
        <w:r w:rsidR="006B025E">
          <w:rPr>
            <w:noProof/>
            <w:webHidden/>
          </w:rPr>
          <w:fldChar w:fldCharType="end"/>
        </w:r>
      </w:hyperlink>
    </w:p>
    <w:p w:rsidR="006B025E" w:rsidRDefault="009746F1">
      <w:pPr>
        <w:pStyle w:val="Kazaloslik"/>
        <w:tabs>
          <w:tab w:val="right" w:leader="dot" w:pos="9730"/>
        </w:tabs>
        <w:rPr>
          <w:rFonts w:asciiTheme="minorHAnsi" w:eastAsiaTheme="minorEastAsia" w:hAnsiTheme="minorHAnsi" w:cstheme="minorBidi"/>
          <w:noProof/>
          <w:sz w:val="24"/>
          <w:lang w:val="en-GB" w:eastAsia="en-GB"/>
        </w:rPr>
      </w:pPr>
      <w:hyperlink w:anchor="_Toc490599982" w:history="1">
        <w:r w:rsidR="006B025E" w:rsidRPr="0009216F">
          <w:rPr>
            <w:rStyle w:val="Hiperpovezava"/>
            <w:noProof/>
          </w:rPr>
          <w:t>Graf 4: Kulturna udeležba</w:t>
        </w:r>
        <w:r w:rsidR="006B025E">
          <w:rPr>
            <w:noProof/>
            <w:webHidden/>
          </w:rPr>
          <w:tab/>
        </w:r>
        <w:r w:rsidR="006B025E">
          <w:rPr>
            <w:noProof/>
            <w:webHidden/>
          </w:rPr>
          <w:fldChar w:fldCharType="begin"/>
        </w:r>
        <w:r w:rsidR="006B025E">
          <w:rPr>
            <w:noProof/>
            <w:webHidden/>
          </w:rPr>
          <w:instrText xml:space="preserve"> PAGEREF _Toc490599982 \h </w:instrText>
        </w:r>
        <w:r w:rsidR="006B025E">
          <w:rPr>
            <w:noProof/>
            <w:webHidden/>
          </w:rPr>
        </w:r>
        <w:r w:rsidR="006B025E">
          <w:rPr>
            <w:noProof/>
            <w:webHidden/>
          </w:rPr>
          <w:fldChar w:fldCharType="separate"/>
        </w:r>
        <w:r w:rsidR="00D776FA">
          <w:rPr>
            <w:noProof/>
            <w:webHidden/>
          </w:rPr>
          <w:t>12</w:t>
        </w:r>
        <w:r w:rsidR="006B025E">
          <w:rPr>
            <w:noProof/>
            <w:webHidden/>
          </w:rPr>
          <w:fldChar w:fldCharType="end"/>
        </w:r>
      </w:hyperlink>
    </w:p>
    <w:p w:rsidR="006B025E" w:rsidRDefault="009746F1">
      <w:pPr>
        <w:pStyle w:val="Kazaloslik"/>
        <w:tabs>
          <w:tab w:val="right" w:leader="dot" w:pos="9730"/>
        </w:tabs>
        <w:rPr>
          <w:rFonts w:asciiTheme="minorHAnsi" w:eastAsiaTheme="minorEastAsia" w:hAnsiTheme="minorHAnsi" w:cstheme="minorBidi"/>
          <w:noProof/>
          <w:sz w:val="24"/>
          <w:lang w:val="en-GB" w:eastAsia="en-GB"/>
        </w:rPr>
      </w:pPr>
      <w:hyperlink w:anchor="_Toc490599983" w:history="1">
        <w:r w:rsidR="006B025E" w:rsidRPr="0009216F">
          <w:rPr>
            <w:rStyle w:val="Hiperpovezava"/>
            <w:noProof/>
          </w:rPr>
          <w:t>Tabela 1: Ovire pri dostopu do kulture – udeležba na dogodkih*</w:t>
        </w:r>
        <w:r w:rsidR="006B025E">
          <w:rPr>
            <w:noProof/>
            <w:webHidden/>
          </w:rPr>
          <w:tab/>
        </w:r>
        <w:r w:rsidR="006B025E">
          <w:rPr>
            <w:noProof/>
            <w:webHidden/>
          </w:rPr>
          <w:fldChar w:fldCharType="begin"/>
        </w:r>
        <w:r w:rsidR="006B025E">
          <w:rPr>
            <w:noProof/>
            <w:webHidden/>
          </w:rPr>
          <w:instrText xml:space="preserve"> PAGEREF _Toc490599983 \h </w:instrText>
        </w:r>
        <w:r w:rsidR="006B025E">
          <w:rPr>
            <w:noProof/>
            <w:webHidden/>
          </w:rPr>
        </w:r>
        <w:r w:rsidR="006B025E">
          <w:rPr>
            <w:noProof/>
            <w:webHidden/>
          </w:rPr>
          <w:fldChar w:fldCharType="separate"/>
        </w:r>
        <w:r w:rsidR="00D776FA">
          <w:rPr>
            <w:noProof/>
            <w:webHidden/>
          </w:rPr>
          <w:t>13</w:t>
        </w:r>
        <w:r w:rsidR="006B025E">
          <w:rPr>
            <w:noProof/>
            <w:webHidden/>
          </w:rPr>
          <w:fldChar w:fldCharType="end"/>
        </w:r>
      </w:hyperlink>
    </w:p>
    <w:p w:rsidR="006B025E" w:rsidRDefault="009746F1">
      <w:pPr>
        <w:pStyle w:val="Kazaloslik"/>
        <w:tabs>
          <w:tab w:val="right" w:leader="dot" w:pos="9730"/>
        </w:tabs>
        <w:rPr>
          <w:rFonts w:asciiTheme="minorHAnsi" w:eastAsiaTheme="minorEastAsia" w:hAnsiTheme="minorHAnsi" w:cstheme="minorBidi"/>
          <w:noProof/>
          <w:sz w:val="24"/>
          <w:lang w:val="en-GB" w:eastAsia="en-GB"/>
        </w:rPr>
      </w:pPr>
      <w:hyperlink w:anchor="_Toc490599984" w:history="1">
        <w:r w:rsidR="006B025E" w:rsidRPr="0009216F">
          <w:rPr>
            <w:rStyle w:val="Hiperpovezava"/>
            <w:noProof/>
          </w:rPr>
          <w:t>Tabela 2: Cene vstopnic</w:t>
        </w:r>
        <w:r w:rsidR="006B025E">
          <w:rPr>
            <w:noProof/>
            <w:webHidden/>
          </w:rPr>
          <w:tab/>
        </w:r>
        <w:r w:rsidR="006B025E">
          <w:rPr>
            <w:noProof/>
            <w:webHidden/>
          </w:rPr>
          <w:fldChar w:fldCharType="begin"/>
        </w:r>
        <w:r w:rsidR="006B025E">
          <w:rPr>
            <w:noProof/>
            <w:webHidden/>
          </w:rPr>
          <w:instrText xml:space="preserve"> PAGEREF _Toc490599984 \h </w:instrText>
        </w:r>
        <w:r w:rsidR="006B025E">
          <w:rPr>
            <w:noProof/>
            <w:webHidden/>
          </w:rPr>
        </w:r>
        <w:r w:rsidR="006B025E">
          <w:rPr>
            <w:noProof/>
            <w:webHidden/>
          </w:rPr>
          <w:fldChar w:fldCharType="separate"/>
        </w:r>
        <w:r w:rsidR="00D776FA">
          <w:rPr>
            <w:noProof/>
            <w:webHidden/>
          </w:rPr>
          <w:t>13</w:t>
        </w:r>
        <w:r w:rsidR="006B025E">
          <w:rPr>
            <w:noProof/>
            <w:webHidden/>
          </w:rPr>
          <w:fldChar w:fldCharType="end"/>
        </w:r>
      </w:hyperlink>
    </w:p>
    <w:p w:rsidR="006B025E" w:rsidRDefault="009746F1">
      <w:pPr>
        <w:pStyle w:val="Kazaloslik"/>
        <w:tabs>
          <w:tab w:val="right" w:leader="dot" w:pos="9730"/>
        </w:tabs>
        <w:rPr>
          <w:rFonts w:asciiTheme="minorHAnsi" w:eastAsiaTheme="minorEastAsia" w:hAnsiTheme="minorHAnsi" w:cstheme="minorBidi"/>
          <w:noProof/>
          <w:sz w:val="24"/>
          <w:lang w:val="en-GB" w:eastAsia="en-GB"/>
        </w:rPr>
      </w:pPr>
      <w:hyperlink w:anchor="_Toc490599985" w:history="1">
        <w:r w:rsidR="006B025E" w:rsidRPr="0009216F">
          <w:rPr>
            <w:rStyle w:val="Hiperpovezava"/>
            <w:noProof/>
          </w:rPr>
          <w:t>Graf 5: Kako pogosto uporabljate internet za kulturne namene, na primer za iskanje informacij o kulturi, kupovanje kulturnih proizvodov ali branje člankov povezanih s kulturo?*</w:t>
        </w:r>
        <w:r w:rsidR="006B025E">
          <w:rPr>
            <w:noProof/>
            <w:webHidden/>
          </w:rPr>
          <w:tab/>
        </w:r>
        <w:r w:rsidR="006B025E">
          <w:rPr>
            <w:noProof/>
            <w:webHidden/>
          </w:rPr>
          <w:fldChar w:fldCharType="begin"/>
        </w:r>
        <w:r w:rsidR="006B025E">
          <w:rPr>
            <w:noProof/>
            <w:webHidden/>
          </w:rPr>
          <w:instrText xml:space="preserve"> PAGEREF _Toc490599985 \h </w:instrText>
        </w:r>
        <w:r w:rsidR="006B025E">
          <w:rPr>
            <w:noProof/>
            <w:webHidden/>
          </w:rPr>
        </w:r>
        <w:r w:rsidR="006B025E">
          <w:rPr>
            <w:noProof/>
            <w:webHidden/>
          </w:rPr>
          <w:fldChar w:fldCharType="separate"/>
        </w:r>
        <w:r w:rsidR="00D776FA">
          <w:rPr>
            <w:noProof/>
            <w:webHidden/>
          </w:rPr>
          <w:t>14</w:t>
        </w:r>
        <w:r w:rsidR="006B025E">
          <w:rPr>
            <w:noProof/>
            <w:webHidden/>
          </w:rPr>
          <w:fldChar w:fldCharType="end"/>
        </w:r>
      </w:hyperlink>
    </w:p>
    <w:p w:rsidR="006B025E" w:rsidRDefault="009746F1">
      <w:pPr>
        <w:pStyle w:val="Kazaloslik"/>
        <w:tabs>
          <w:tab w:val="right" w:leader="dot" w:pos="9730"/>
        </w:tabs>
        <w:rPr>
          <w:rFonts w:asciiTheme="minorHAnsi" w:eastAsiaTheme="minorEastAsia" w:hAnsiTheme="minorHAnsi" w:cstheme="minorBidi"/>
          <w:noProof/>
          <w:sz w:val="24"/>
          <w:lang w:val="en-GB" w:eastAsia="en-GB"/>
        </w:rPr>
      </w:pPr>
      <w:hyperlink w:anchor="_Toc490599986" w:history="1">
        <w:r w:rsidR="006B025E" w:rsidRPr="0009216F">
          <w:rPr>
            <w:rStyle w:val="Hiperpovezava"/>
            <w:noProof/>
          </w:rPr>
          <w:t>Graf 6: Za katerega od naslednjih namenov uporabljate internet?*</w:t>
        </w:r>
        <w:r w:rsidR="006B025E">
          <w:rPr>
            <w:noProof/>
            <w:webHidden/>
          </w:rPr>
          <w:tab/>
        </w:r>
        <w:r w:rsidR="006B025E">
          <w:rPr>
            <w:noProof/>
            <w:webHidden/>
          </w:rPr>
          <w:fldChar w:fldCharType="begin"/>
        </w:r>
        <w:r w:rsidR="006B025E">
          <w:rPr>
            <w:noProof/>
            <w:webHidden/>
          </w:rPr>
          <w:instrText xml:space="preserve"> PAGEREF _Toc490599986 \h </w:instrText>
        </w:r>
        <w:r w:rsidR="006B025E">
          <w:rPr>
            <w:noProof/>
            <w:webHidden/>
          </w:rPr>
        </w:r>
        <w:r w:rsidR="006B025E">
          <w:rPr>
            <w:noProof/>
            <w:webHidden/>
          </w:rPr>
          <w:fldChar w:fldCharType="separate"/>
        </w:r>
        <w:r w:rsidR="00D776FA">
          <w:rPr>
            <w:noProof/>
            <w:webHidden/>
          </w:rPr>
          <w:t>14</w:t>
        </w:r>
        <w:r w:rsidR="006B025E">
          <w:rPr>
            <w:noProof/>
            <w:webHidden/>
          </w:rPr>
          <w:fldChar w:fldCharType="end"/>
        </w:r>
      </w:hyperlink>
    </w:p>
    <w:p w:rsidR="006B025E" w:rsidRDefault="009746F1">
      <w:pPr>
        <w:pStyle w:val="Kazaloslik"/>
        <w:tabs>
          <w:tab w:val="right" w:leader="dot" w:pos="9730"/>
        </w:tabs>
        <w:rPr>
          <w:rFonts w:asciiTheme="minorHAnsi" w:eastAsiaTheme="minorEastAsia" w:hAnsiTheme="minorHAnsi" w:cstheme="minorBidi"/>
          <w:noProof/>
          <w:sz w:val="24"/>
          <w:lang w:val="en-GB" w:eastAsia="en-GB"/>
        </w:rPr>
      </w:pPr>
      <w:hyperlink w:anchor="_Toc490599987" w:history="1">
        <w:r w:rsidR="006B025E" w:rsidRPr="0009216F">
          <w:rPr>
            <w:rStyle w:val="Hiperpovezava"/>
            <w:noProof/>
          </w:rPr>
          <w:t>Graf 7: Kje najpogosteje dobite informacije o posameznih kulturnih dogodkih?</w:t>
        </w:r>
        <w:r w:rsidR="006B025E">
          <w:rPr>
            <w:noProof/>
            <w:webHidden/>
          </w:rPr>
          <w:tab/>
        </w:r>
        <w:r w:rsidR="006B025E">
          <w:rPr>
            <w:noProof/>
            <w:webHidden/>
          </w:rPr>
          <w:fldChar w:fldCharType="begin"/>
        </w:r>
        <w:r w:rsidR="006B025E">
          <w:rPr>
            <w:noProof/>
            <w:webHidden/>
          </w:rPr>
          <w:instrText xml:space="preserve"> PAGEREF _Toc490599987 \h </w:instrText>
        </w:r>
        <w:r w:rsidR="006B025E">
          <w:rPr>
            <w:noProof/>
            <w:webHidden/>
          </w:rPr>
        </w:r>
        <w:r w:rsidR="006B025E">
          <w:rPr>
            <w:noProof/>
            <w:webHidden/>
          </w:rPr>
          <w:fldChar w:fldCharType="separate"/>
        </w:r>
        <w:r w:rsidR="00D776FA">
          <w:rPr>
            <w:noProof/>
            <w:webHidden/>
          </w:rPr>
          <w:t>15</w:t>
        </w:r>
        <w:r w:rsidR="006B025E">
          <w:rPr>
            <w:noProof/>
            <w:webHidden/>
          </w:rPr>
          <w:fldChar w:fldCharType="end"/>
        </w:r>
      </w:hyperlink>
    </w:p>
    <w:p w:rsidR="006B025E" w:rsidRDefault="009746F1">
      <w:pPr>
        <w:pStyle w:val="Kazaloslik"/>
        <w:tabs>
          <w:tab w:val="right" w:leader="dot" w:pos="9730"/>
        </w:tabs>
        <w:rPr>
          <w:rFonts w:asciiTheme="minorHAnsi" w:eastAsiaTheme="minorEastAsia" w:hAnsiTheme="minorHAnsi" w:cstheme="minorBidi"/>
          <w:noProof/>
          <w:sz w:val="24"/>
          <w:lang w:val="en-GB" w:eastAsia="en-GB"/>
        </w:rPr>
      </w:pPr>
      <w:hyperlink w:anchor="_Toc490599988" w:history="1">
        <w:r w:rsidR="006B025E" w:rsidRPr="0009216F">
          <w:rPr>
            <w:rStyle w:val="Hiperpovezava"/>
            <w:noProof/>
          </w:rPr>
          <w:t>Graf 8: Vključenost v kulturno-umetniške dejavnosti</w:t>
        </w:r>
        <w:r w:rsidR="006B025E">
          <w:rPr>
            <w:noProof/>
            <w:webHidden/>
          </w:rPr>
          <w:tab/>
        </w:r>
        <w:r w:rsidR="006B025E">
          <w:rPr>
            <w:noProof/>
            <w:webHidden/>
          </w:rPr>
          <w:fldChar w:fldCharType="begin"/>
        </w:r>
        <w:r w:rsidR="006B025E">
          <w:rPr>
            <w:noProof/>
            <w:webHidden/>
          </w:rPr>
          <w:instrText xml:space="preserve"> PAGEREF _Toc490599988 \h </w:instrText>
        </w:r>
        <w:r w:rsidR="006B025E">
          <w:rPr>
            <w:noProof/>
            <w:webHidden/>
          </w:rPr>
        </w:r>
        <w:r w:rsidR="006B025E">
          <w:rPr>
            <w:noProof/>
            <w:webHidden/>
          </w:rPr>
          <w:fldChar w:fldCharType="separate"/>
        </w:r>
        <w:r w:rsidR="00D776FA">
          <w:rPr>
            <w:noProof/>
            <w:webHidden/>
          </w:rPr>
          <w:t>15</w:t>
        </w:r>
        <w:r w:rsidR="006B025E">
          <w:rPr>
            <w:noProof/>
            <w:webHidden/>
          </w:rPr>
          <w:fldChar w:fldCharType="end"/>
        </w:r>
      </w:hyperlink>
    </w:p>
    <w:p w:rsidR="006B025E" w:rsidRDefault="009746F1">
      <w:pPr>
        <w:pStyle w:val="Kazaloslik"/>
        <w:tabs>
          <w:tab w:val="right" w:leader="dot" w:pos="9730"/>
        </w:tabs>
        <w:rPr>
          <w:rFonts w:asciiTheme="minorHAnsi" w:eastAsiaTheme="minorEastAsia" w:hAnsiTheme="minorHAnsi" w:cstheme="minorBidi"/>
          <w:noProof/>
          <w:sz w:val="24"/>
          <w:lang w:val="en-GB" w:eastAsia="en-GB"/>
        </w:rPr>
      </w:pPr>
      <w:hyperlink w:anchor="_Toc490599989" w:history="1">
        <w:r w:rsidR="006B025E" w:rsidRPr="0009216F">
          <w:rPr>
            <w:rStyle w:val="Hiperpovezava"/>
            <w:noProof/>
          </w:rPr>
          <w:t>Tabela 3: Javni izdatki za kulturne storitve kot odstotek bruto družbenega proizvoda (evropske države, 2008–2015)*</w:t>
        </w:r>
        <w:r w:rsidR="006B025E">
          <w:rPr>
            <w:noProof/>
            <w:webHidden/>
          </w:rPr>
          <w:tab/>
        </w:r>
        <w:r w:rsidR="006B025E">
          <w:rPr>
            <w:noProof/>
            <w:webHidden/>
          </w:rPr>
          <w:fldChar w:fldCharType="begin"/>
        </w:r>
        <w:r w:rsidR="006B025E">
          <w:rPr>
            <w:noProof/>
            <w:webHidden/>
          </w:rPr>
          <w:instrText xml:space="preserve"> PAGEREF _Toc490599989 \h </w:instrText>
        </w:r>
        <w:r w:rsidR="006B025E">
          <w:rPr>
            <w:noProof/>
            <w:webHidden/>
          </w:rPr>
        </w:r>
        <w:r w:rsidR="006B025E">
          <w:rPr>
            <w:noProof/>
            <w:webHidden/>
          </w:rPr>
          <w:fldChar w:fldCharType="separate"/>
        </w:r>
        <w:r w:rsidR="00D776FA">
          <w:rPr>
            <w:noProof/>
            <w:webHidden/>
          </w:rPr>
          <w:t>17</w:t>
        </w:r>
        <w:r w:rsidR="006B025E">
          <w:rPr>
            <w:noProof/>
            <w:webHidden/>
          </w:rPr>
          <w:fldChar w:fldCharType="end"/>
        </w:r>
      </w:hyperlink>
    </w:p>
    <w:p w:rsidR="006B025E" w:rsidRDefault="009746F1">
      <w:pPr>
        <w:pStyle w:val="Kazaloslik"/>
        <w:tabs>
          <w:tab w:val="right" w:leader="dot" w:pos="9730"/>
        </w:tabs>
        <w:rPr>
          <w:rFonts w:asciiTheme="minorHAnsi" w:eastAsiaTheme="minorEastAsia" w:hAnsiTheme="minorHAnsi" w:cstheme="minorBidi"/>
          <w:noProof/>
          <w:sz w:val="24"/>
          <w:lang w:val="en-GB" w:eastAsia="en-GB"/>
        </w:rPr>
      </w:pPr>
      <w:hyperlink w:anchor="_Toc490599990" w:history="1">
        <w:r w:rsidR="006B025E" w:rsidRPr="0009216F">
          <w:rPr>
            <w:rStyle w:val="Hiperpovezava"/>
            <w:noProof/>
          </w:rPr>
          <w:t>Graf 9: Javni izdatki za kulturne storitve v nominalnih zneskih (Slovenija, 2008–2015)*</w:t>
        </w:r>
        <w:r w:rsidR="006B025E">
          <w:rPr>
            <w:noProof/>
            <w:webHidden/>
          </w:rPr>
          <w:tab/>
        </w:r>
        <w:r w:rsidR="006B025E">
          <w:rPr>
            <w:noProof/>
            <w:webHidden/>
          </w:rPr>
          <w:fldChar w:fldCharType="begin"/>
        </w:r>
        <w:r w:rsidR="006B025E">
          <w:rPr>
            <w:noProof/>
            <w:webHidden/>
          </w:rPr>
          <w:instrText xml:space="preserve"> PAGEREF _Toc490599990 \h </w:instrText>
        </w:r>
        <w:r w:rsidR="006B025E">
          <w:rPr>
            <w:noProof/>
            <w:webHidden/>
          </w:rPr>
        </w:r>
        <w:r w:rsidR="006B025E">
          <w:rPr>
            <w:noProof/>
            <w:webHidden/>
          </w:rPr>
          <w:fldChar w:fldCharType="separate"/>
        </w:r>
        <w:r w:rsidR="00D776FA">
          <w:rPr>
            <w:noProof/>
            <w:webHidden/>
          </w:rPr>
          <w:t>18</w:t>
        </w:r>
        <w:r w:rsidR="006B025E">
          <w:rPr>
            <w:noProof/>
            <w:webHidden/>
          </w:rPr>
          <w:fldChar w:fldCharType="end"/>
        </w:r>
      </w:hyperlink>
    </w:p>
    <w:p w:rsidR="006B025E" w:rsidRDefault="009746F1">
      <w:pPr>
        <w:pStyle w:val="Kazaloslik"/>
        <w:tabs>
          <w:tab w:val="right" w:leader="dot" w:pos="9730"/>
        </w:tabs>
        <w:rPr>
          <w:rFonts w:asciiTheme="minorHAnsi" w:eastAsiaTheme="minorEastAsia" w:hAnsiTheme="minorHAnsi" w:cstheme="minorBidi"/>
          <w:noProof/>
          <w:sz w:val="24"/>
          <w:lang w:val="en-GB" w:eastAsia="en-GB"/>
        </w:rPr>
      </w:pPr>
      <w:hyperlink w:anchor="_Toc490599991" w:history="1">
        <w:r w:rsidR="006B025E" w:rsidRPr="0009216F">
          <w:rPr>
            <w:rStyle w:val="Hiperpovezava"/>
            <w:noProof/>
          </w:rPr>
          <w:t>Tabela 4: Razmerje med državno in drugimi ravnmi oblasti pri financiranju kulturnih storitev (evropske države, 2008 in 2015)</w:t>
        </w:r>
        <w:r w:rsidR="006B025E">
          <w:rPr>
            <w:noProof/>
            <w:webHidden/>
          </w:rPr>
          <w:tab/>
        </w:r>
        <w:r w:rsidR="006B025E">
          <w:rPr>
            <w:noProof/>
            <w:webHidden/>
          </w:rPr>
          <w:fldChar w:fldCharType="begin"/>
        </w:r>
        <w:r w:rsidR="006B025E">
          <w:rPr>
            <w:noProof/>
            <w:webHidden/>
          </w:rPr>
          <w:instrText xml:space="preserve"> PAGEREF _Toc490599991 \h </w:instrText>
        </w:r>
        <w:r w:rsidR="006B025E">
          <w:rPr>
            <w:noProof/>
            <w:webHidden/>
          </w:rPr>
        </w:r>
        <w:r w:rsidR="006B025E">
          <w:rPr>
            <w:noProof/>
            <w:webHidden/>
          </w:rPr>
          <w:fldChar w:fldCharType="separate"/>
        </w:r>
        <w:r w:rsidR="00D776FA">
          <w:rPr>
            <w:noProof/>
            <w:webHidden/>
          </w:rPr>
          <w:t>18</w:t>
        </w:r>
        <w:r w:rsidR="006B025E">
          <w:rPr>
            <w:noProof/>
            <w:webHidden/>
          </w:rPr>
          <w:fldChar w:fldCharType="end"/>
        </w:r>
      </w:hyperlink>
    </w:p>
    <w:p w:rsidR="006B025E" w:rsidRDefault="009746F1">
      <w:pPr>
        <w:pStyle w:val="Kazaloslik"/>
        <w:tabs>
          <w:tab w:val="right" w:leader="dot" w:pos="9730"/>
        </w:tabs>
        <w:rPr>
          <w:rFonts w:asciiTheme="minorHAnsi" w:eastAsiaTheme="minorEastAsia" w:hAnsiTheme="minorHAnsi" w:cstheme="minorBidi"/>
          <w:noProof/>
          <w:sz w:val="24"/>
          <w:lang w:val="en-GB" w:eastAsia="en-GB"/>
        </w:rPr>
      </w:pPr>
      <w:hyperlink w:anchor="_Toc490599992" w:history="1">
        <w:r w:rsidR="006B025E" w:rsidRPr="0009216F">
          <w:rPr>
            <w:rStyle w:val="Hiperpovezava"/>
            <w:noProof/>
          </w:rPr>
          <w:t>Tabela 5: Javni izdatki za kulturne storitve kot odstotek vseh javnih izdatkov (evropske države, 2008–2015)</w:t>
        </w:r>
        <w:r w:rsidR="006B025E">
          <w:rPr>
            <w:noProof/>
            <w:webHidden/>
          </w:rPr>
          <w:tab/>
        </w:r>
        <w:r w:rsidR="006B025E">
          <w:rPr>
            <w:noProof/>
            <w:webHidden/>
          </w:rPr>
          <w:fldChar w:fldCharType="begin"/>
        </w:r>
        <w:r w:rsidR="006B025E">
          <w:rPr>
            <w:noProof/>
            <w:webHidden/>
          </w:rPr>
          <w:instrText xml:space="preserve"> PAGEREF _Toc490599992 \h </w:instrText>
        </w:r>
        <w:r w:rsidR="006B025E">
          <w:rPr>
            <w:noProof/>
            <w:webHidden/>
          </w:rPr>
        </w:r>
        <w:r w:rsidR="006B025E">
          <w:rPr>
            <w:noProof/>
            <w:webHidden/>
          </w:rPr>
          <w:fldChar w:fldCharType="separate"/>
        </w:r>
        <w:r w:rsidR="00D776FA">
          <w:rPr>
            <w:noProof/>
            <w:webHidden/>
          </w:rPr>
          <w:t>20</w:t>
        </w:r>
        <w:r w:rsidR="006B025E">
          <w:rPr>
            <w:noProof/>
            <w:webHidden/>
          </w:rPr>
          <w:fldChar w:fldCharType="end"/>
        </w:r>
      </w:hyperlink>
    </w:p>
    <w:p w:rsidR="006B025E" w:rsidRDefault="009746F1">
      <w:pPr>
        <w:pStyle w:val="Kazaloslik"/>
        <w:tabs>
          <w:tab w:val="right" w:leader="dot" w:pos="9730"/>
        </w:tabs>
        <w:rPr>
          <w:rFonts w:asciiTheme="minorHAnsi" w:eastAsiaTheme="minorEastAsia" w:hAnsiTheme="minorHAnsi" w:cstheme="minorBidi"/>
          <w:noProof/>
          <w:sz w:val="24"/>
          <w:lang w:val="en-GB" w:eastAsia="en-GB"/>
        </w:rPr>
      </w:pPr>
      <w:hyperlink w:anchor="_Toc490599993" w:history="1">
        <w:r w:rsidR="006B025E" w:rsidRPr="0009216F">
          <w:rPr>
            <w:rStyle w:val="Hiperpovezava"/>
            <w:noProof/>
          </w:rPr>
          <w:t>Graf 10: Javni izdatki za storitve radia, televizije in založništva (2008–2015)*</w:t>
        </w:r>
        <w:r w:rsidR="006B025E">
          <w:rPr>
            <w:noProof/>
            <w:webHidden/>
          </w:rPr>
          <w:tab/>
        </w:r>
        <w:r w:rsidR="006B025E">
          <w:rPr>
            <w:noProof/>
            <w:webHidden/>
          </w:rPr>
          <w:fldChar w:fldCharType="begin"/>
        </w:r>
        <w:r w:rsidR="006B025E">
          <w:rPr>
            <w:noProof/>
            <w:webHidden/>
          </w:rPr>
          <w:instrText xml:space="preserve"> PAGEREF _Toc490599993 \h </w:instrText>
        </w:r>
        <w:r w:rsidR="006B025E">
          <w:rPr>
            <w:noProof/>
            <w:webHidden/>
          </w:rPr>
        </w:r>
        <w:r w:rsidR="006B025E">
          <w:rPr>
            <w:noProof/>
            <w:webHidden/>
          </w:rPr>
          <w:fldChar w:fldCharType="separate"/>
        </w:r>
        <w:r w:rsidR="00D776FA">
          <w:rPr>
            <w:noProof/>
            <w:webHidden/>
          </w:rPr>
          <w:t>21</w:t>
        </w:r>
        <w:r w:rsidR="006B025E">
          <w:rPr>
            <w:noProof/>
            <w:webHidden/>
          </w:rPr>
          <w:fldChar w:fldCharType="end"/>
        </w:r>
      </w:hyperlink>
    </w:p>
    <w:p w:rsidR="006B025E" w:rsidRDefault="009746F1">
      <w:pPr>
        <w:pStyle w:val="Kazaloslik"/>
        <w:tabs>
          <w:tab w:val="right" w:leader="dot" w:pos="9730"/>
        </w:tabs>
        <w:rPr>
          <w:rFonts w:asciiTheme="minorHAnsi" w:eastAsiaTheme="minorEastAsia" w:hAnsiTheme="minorHAnsi" w:cstheme="minorBidi"/>
          <w:noProof/>
          <w:sz w:val="24"/>
          <w:lang w:val="en-GB" w:eastAsia="en-GB"/>
        </w:rPr>
      </w:pPr>
      <w:hyperlink w:anchor="_Toc490599994" w:history="1">
        <w:r w:rsidR="006B025E" w:rsidRPr="0009216F">
          <w:rPr>
            <w:rStyle w:val="Hiperpovezava"/>
            <w:noProof/>
          </w:rPr>
          <w:t>Tabela 6: Hierarhija javnih izdatkov (2008)*</w:t>
        </w:r>
        <w:r w:rsidR="006B025E">
          <w:rPr>
            <w:noProof/>
            <w:webHidden/>
          </w:rPr>
          <w:tab/>
        </w:r>
        <w:r w:rsidR="006B025E">
          <w:rPr>
            <w:noProof/>
            <w:webHidden/>
          </w:rPr>
          <w:fldChar w:fldCharType="begin"/>
        </w:r>
        <w:r w:rsidR="006B025E">
          <w:rPr>
            <w:noProof/>
            <w:webHidden/>
          </w:rPr>
          <w:instrText xml:space="preserve"> PAGEREF _Toc490599994 \h </w:instrText>
        </w:r>
        <w:r w:rsidR="006B025E">
          <w:rPr>
            <w:noProof/>
            <w:webHidden/>
          </w:rPr>
        </w:r>
        <w:r w:rsidR="006B025E">
          <w:rPr>
            <w:noProof/>
            <w:webHidden/>
          </w:rPr>
          <w:fldChar w:fldCharType="separate"/>
        </w:r>
        <w:r w:rsidR="00D776FA">
          <w:rPr>
            <w:noProof/>
            <w:webHidden/>
          </w:rPr>
          <w:t>21</w:t>
        </w:r>
        <w:r w:rsidR="006B025E">
          <w:rPr>
            <w:noProof/>
            <w:webHidden/>
          </w:rPr>
          <w:fldChar w:fldCharType="end"/>
        </w:r>
      </w:hyperlink>
    </w:p>
    <w:p w:rsidR="006B025E" w:rsidRDefault="009746F1">
      <w:pPr>
        <w:pStyle w:val="Kazaloslik"/>
        <w:tabs>
          <w:tab w:val="right" w:leader="dot" w:pos="9730"/>
        </w:tabs>
        <w:rPr>
          <w:rFonts w:asciiTheme="minorHAnsi" w:eastAsiaTheme="minorEastAsia" w:hAnsiTheme="minorHAnsi" w:cstheme="minorBidi"/>
          <w:noProof/>
          <w:sz w:val="24"/>
          <w:lang w:val="en-GB" w:eastAsia="en-GB"/>
        </w:rPr>
      </w:pPr>
      <w:hyperlink w:anchor="_Toc490599995" w:history="1">
        <w:r w:rsidR="006B025E" w:rsidRPr="0009216F">
          <w:rPr>
            <w:rStyle w:val="Hiperpovezava"/>
            <w:noProof/>
          </w:rPr>
          <w:t>Tabela 7: Hierarhija javnih izdatkov (2015)*</w:t>
        </w:r>
        <w:r w:rsidR="006B025E">
          <w:rPr>
            <w:noProof/>
            <w:webHidden/>
          </w:rPr>
          <w:tab/>
        </w:r>
        <w:r w:rsidR="006B025E">
          <w:rPr>
            <w:noProof/>
            <w:webHidden/>
          </w:rPr>
          <w:fldChar w:fldCharType="begin"/>
        </w:r>
        <w:r w:rsidR="006B025E">
          <w:rPr>
            <w:noProof/>
            <w:webHidden/>
          </w:rPr>
          <w:instrText xml:space="preserve"> PAGEREF _Toc490599995 \h </w:instrText>
        </w:r>
        <w:r w:rsidR="006B025E">
          <w:rPr>
            <w:noProof/>
            <w:webHidden/>
          </w:rPr>
        </w:r>
        <w:r w:rsidR="006B025E">
          <w:rPr>
            <w:noProof/>
            <w:webHidden/>
          </w:rPr>
          <w:fldChar w:fldCharType="separate"/>
        </w:r>
        <w:r w:rsidR="00D776FA">
          <w:rPr>
            <w:noProof/>
            <w:webHidden/>
          </w:rPr>
          <w:t>23</w:t>
        </w:r>
        <w:r w:rsidR="006B025E">
          <w:rPr>
            <w:noProof/>
            <w:webHidden/>
          </w:rPr>
          <w:fldChar w:fldCharType="end"/>
        </w:r>
      </w:hyperlink>
    </w:p>
    <w:p w:rsidR="006B025E" w:rsidRDefault="009746F1">
      <w:pPr>
        <w:pStyle w:val="Kazaloslik"/>
        <w:tabs>
          <w:tab w:val="right" w:leader="dot" w:pos="9730"/>
        </w:tabs>
        <w:rPr>
          <w:rFonts w:asciiTheme="minorHAnsi" w:eastAsiaTheme="minorEastAsia" w:hAnsiTheme="minorHAnsi" w:cstheme="minorBidi"/>
          <w:noProof/>
          <w:sz w:val="24"/>
          <w:lang w:val="en-GB" w:eastAsia="en-GB"/>
        </w:rPr>
      </w:pPr>
      <w:hyperlink w:anchor="_Toc490599996" w:history="1">
        <w:r w:rsidR="006B025E" w:rsidRPr="0009216F">
          <w:rPr>
            <w:rStyle w:val="Hiperpovezava"/>
            <w:noProof/>
          </w:rPr>
          <w:t>Tabela 8: Primerjava mest na hierarhični lestvici javnih izdatkov (2008 in 2015)</w:t>
        </w:r>
        <w:r w:rsidR="006B025E">
          <w:rPr>
            <w:noProof/>
            <w:webHidden/>
          </w:rPr>
          <w:tab/>
        </w:r>
        <w:r w:rsidR="006B025E">
          <w:rPr>
            <w:noProof/>
            <w:webHidden/>
          </w:rPr>
          <w:fldChar w:fldCharType="begin"/>
        </w:r>
        <w:r w:rsidR="006B025E">
          <w:rPr>
            <w:noProof/>
            <w:webHidden/>
          </w:rPr>
          <w:instrText xml:space="preserve"> PAGEREF _Toc490599996 \h </w:instrText>
        </w:r>
        <w:r w:rsidR="006B025E">
          <w:rPr>
            <w:noProof/>
            <w:webHidden/>
          </w:rPr>
        </w:r>
        <w:r w:rsidR="006B025E">
          <w:rPr>
            <w:noProof/>
            <w:webHidden/>
          </w:rPr>
          <w:fldChar w:fldCharType="separate"/>
        </w:r>
        <w:r w:rsidR="00D776FA">
          <w:rPr>
            <w:noProof/>
            <w:webHidden/>
          </w:rPr>
          <w:t>25</w:t>
        </w:r>
        <w:r w:rsidR="006B025E">
          <w:rPr>
            <w:noProof/>
            <w:webHidden/>
          </w:rPr>
          <w:fldChar w:fldCharType="end"/>
        </w:r>
      </w:hyperlink>
    </w:p>
    <w:p w:rsidR="006B025E" w:rsidRDefault="009746F1">
      <w:pPr>
        <w:pStyle w:val="Kazaloslik"/>
        <w:tabs>
          <w:tab w:val="right" w:leader="dot" w:pos="9730"/>
        </w:tabs>
        <w:rPr>
          <w:rFonts w:asciiTheme="minorHAnsi" w:eastAsiaTheme="minorEastAsia" w:hAnsiTheme="minorHAnsi" w:cstheme="minorBidi"/>
          <w:noProof/>
          <w:sz w:val="24"/>
          <w:lang w:val="en-GB" w:eastAsia="en-GB"/>
        </w:rPr>
      </w:pPr>
      <w:hyperlink w:anchor="_Toc490599997" w:history="1">
        <w:r w:rsidR="006B025E" w:rsidRPr="0009216F">
          <w:rPr>
            <w:rStyle w:val="Hiperpovezava"/>
            <w:noProof/>
          </w:rPr>
          <w:t>Tabela 9: Državni proračun in proračun Ministrstva za kulturo (1992–2017)*</w:t>
        </w:r>
        <w:r w:rsidR="006B025E">
          <w:rPr>
            <w:noProof/>
            <w:webHidden/>
          </w:rPr>
          <w:tab/>
        </w:r>
        <w:r w:rsidR="006B025E">
          <w:rPr>
            <w:noProof/>
            <w:webHidden/>
          </w:rPr>
          <w:fldChar w:fldCharType="begin"/>
        </w:r>
        <w:r w:rsidR="006B025E">
          <w:rPr>
            <w:noProof/>
            <w:webHidden/>
          </w:rPr>
          <w:instrText xml:space="preserve"> PAGEREF _Toc490599997 \h </w:instrText>
        </w:r>
        <w:r w:rsidR="006B025E">
          <w:rPr>
            <w:noProof/>
            <w:webHidden/>
          </w:rPr>
        </w:r>
        <w:r w:rsidR="006B025E">
          <w:rPr>
            <w:noProof/>
            <w:webHidden/>
          </w:rPr>
          <w:fldChar w:fldCharType="separate"/>
        </w:r>
        <w:r w:rsidR="00D776FA">
          <w:rPr>
            <w:noProof/>
            <w:webHidden/>
          </w:rPr>
          <w:t>27</w:t>
        </w:r>
        <w:r w:rsidR="006B025E">
          <w:rPr>
            <w:noProof/>
            <w:webHidden/>
          </w:rPr>
          <w:fldChar w:fldCharType="end"/>
        </w:r>
      </w:hyperlink>
    </w:p>
    <w:p w:rsidR="006B025E" w:rsidRDefault="009746F1">
      <w:pPr>
        <w:pStyle w:val="Kazaloslik"/>
        <w:tabs>
          <w:tab w:val="right" w:leader="dot" w:pos="9730"/>
        </w:tabs>
        <w:rPr>
          <w:rFonts w:asciiTheme="minorHAnsi" w:eastAsiaTheme="minorEastAsia" w:hAnsiTheme="minorHAnsi" w:cstheme="minorBidi"/>
          <w:noProof/>
          <w:sz w:val="24"/>
          <w:lang w:val="en-GB" w:eastAsia="en-GB"/>
        </w:rPr>
      </w:pPr>
      <w:hyperlink w:anchor="_Toc490599998" w:history="1">
        <w:r w:rsidR="006B025E" w:rsidRPr="0009216F">
          <w:rPr>
            <w:rStyle w:val="Hiperpovezava"/>
            <w:noProof/>
          </w:rPr>
          <w:t>Graf 11: Smeri gibanja nominalnih zneskov proračuna Ministrstva za kulturo in državnega proračuna (1993–2016)</w:t>
        </w:r>
        <w:r w:rsidR="006B025E">
          <w:rPr>
            <w:noProof/>
            <w:webHidden/>
          </w:rPr>
          <w:tab/>
        </w:r>
        <w:r w:rsidR="006B025E">
          <w:rPr>
            <w:noProof/>
            <w:webHidden/>
          </w:rPr>
          <w:fldChar w:fldCharType="begin"/>
        </w:r>
        <w:r w:rsidR="006B025E">
          <w:rPr>
            <w:noProof/>
            <w:webHidden/>
          </w:rPr>
          <w:instrText xml:space="preserve"> PAGEREF _Toc490599998 \h </w:instrText>
        </w:r>
        <w:r w:rsidR="006B025E">
          <w:rPr>
            <w:noProof/>
            <w:webHidden/>
          </w:rPr>
        </w:r>
        <w:r w:rsidR="006B025E">
          <w:rPr>
            <w:noProof/>
            <w:webHidden/>
          </w:rPr>
          <w:fldChar w:fldCharType="separate"/>
        </w:r>
        <w:r w:rsidR="00D776FA">
          <w:rPr>
            <w:noProof/>
            <w:webHidden/>
          </w:rPr>
          <w:t>28</w:t>
        </w:r>
        <w:r w:rsidR="006B025E">
          <w:rPr>
            <w:noProof/>
            <w:webHidden/>
          </w:rPr>
          <w:fldChar w:fldCharType="end"/>
        </w:r>
      </w:hyperlink>
    </w:p>
    <w:p w:rsidR="006B025E" w:rsidRDefault="009746F1">
      <w:pPr>
        <w:pStyle w:val="Kazaloslik"/>
        <w:tabs>
          <w:tab w:val="right" w:leader="dot" w:pos="9730"/>
        </w:tabs>
        <w:rPr>
          <w:rFonts w:asciiTheme="minorHAnsi" w:eastAsiaTheme="minorEastAsia" w:hAnsiTheme="minorHAnsi" w:cstheme="minorBidi"/>
          <w:noProof/>
          <w:sz w:val="24"/>
          <w:lang w:val="en-GB" w:eastAsia="en-GB"/>
        </w:rPr>
      </w:pPr>
      <w:hyperlink w:anchor="_Toc490599999" w:history="1">
        <w:r w:rsidR="006B025E" w:rsidRPr="0009216F">
          <w:rPr>
            <w:rStyle w:val="Hiperpovezava"/>
            <w:noProof/>
          </w:rPr>
          <w:t>Tabela 10: Struktura proračuna Ministrstva za kulturo po glavnih področjih (1992–2015)</w:t>
        </w:r>
        <w:r w:rsidR="006B025E">
          <w:rPr>
            <w:noProof/>
            <w:webHidden/>
          </w:rPr>
          <w:tab/>
        </w:r>
        <w:r w:rsidR="006B025E">
          <w:rPr>
            <w:noProof/>
            <w:webHidden/>
          </w:rPr>
          <w:fldChar w:fldCharType="begin"/>
        </w:r>
        <w:r w:rsidR="006B025E">
          <w:rPr>
            <w:noProof/>
            <w:webHidden/>
          </w:rPr>
          <w:instrText xml:space="preserve"> PAGEREF _Toc490599999 \h </w:instrText>
        </w:r>
        <w:r w:rsidR="006B025E">
          <w:rPr>
            <w:noProof/>
            <w:webHidden/>
          </w:rPr>
        </w:r>
        <w:r w:rsidR="006B025E">
          <w:rPr>
            <w:noProof/>
            <w:webHidden/>
          </w:rPr>
          <w:fldChar w:fldCharType="separate"/>
        </w:r>
        <w:r w:rsidR="00D776FA">
          <w:rPr>
            <w:noProof/>
            <w:webHidden/>
          </w:rPr>
          <w:t>30</w:t>
        </w:r>
        <w:r w:rsidR="006B025E">
          <w:rPr>
            <w:noProof/>
            <w:webHidden/>
          </w:rPr>
          <w:fldChar w:fldCharType="end"/>
        </w:r>
      </w:hyperlink>
    </w:p>
    <w:p w:rsidR="006B025E" w:rsidRDefault="009746F1">
      <w:pPr>
        <w:pStyle w:val="Kazaloslik"/>
        <w:tabs>
          <w:tab w:val="right" w:leader="dot" w:pos="9730"/>
        </w:tabs>
        <w:rPr>
          <w:rFonts w:asciiTheme="minorHAnsi" w:eastAsiaTheme="minorEastAsia" w:hAnsiTheme="minorHAnsi" w:cstheme="minorBidi"/>
          <w:noProof/>
          <w:sz w:val="24"/>
          <w:lang w:val="en-GB" w:eastAsia="en-GB"/>
        </w:rPr>
      </w:pPr>
      <w:hyperlink w:anchor="_Toc490600000" w:history="1">
        <w:r w:rsidR="006B025E" w:rsidRPr="0009216F">
          <w:rPr>
            <w:rStyle w:val="Hiperpovezava"/>
            <w:noProof/>
          </w:rPr>
          <w:t>Graf 12: Financiranje glavnih področij iz proračuna Ministrstva za kulturo (1992 in 2015)*</w:t>
        </w:r>
        <w:r w:rsidR="006B025E">
          <w:rPr>
            <w:noProof/>
            <w:webHidden/>
          </w:rPr>
          <w:tab/>
        </w:r>
        <w:r w:rsidR="006B025E">
          <w:rPr>
            <w:noProof/>
            <w:webHidden/>
          </w:rPr>
          <w:fldChar w:fldCharType="begin"/>
        </w:r>
        <w:r w:rsidR="006B025E">
          <w:rPr>
            <w:noProof/>
            <w:webHidden/>
          </w:rPr>
          <w:instrText xml:space="preserve"> PAGEREF _Toc490600000 \h </w:instrText>
        </w:r>
        <w:r w:rsidR="006B025E">
          <w:rPr>
            <w:noProof/>
            <w:webHidden/>
          </w:rPr>
        </w:r>
        <w:r w:rsidR="006B025E">
          <w:rPr>
            <w:noProof/>
            <w:webHidden/>
          </w:rPr>
          <w:fldChar w:fldCharType="separate"/>
        </w:r>
        <w:r w:rsidR="00D776FA">
          <w:rPr>
            <w:noProof/>
            <w:webHidden/>
          </w:rPr>
          <w:t>32</w:t>
        </w:r>
        <w:r w:rsidR="006B025E">
          <w:rPr>
            <w:noProof/>
            <w:webHidden/>
          </w:rPr>
          <w:fldChar w:fldCharType="end"/>
        </w:r>
      </w:hyperlink>
    </w:p>
    <w:p w:rsidR="006B025E" w:rsidRDefault="009746F1">
      <w:pPr>
        <w:pStyle w:val="Kazaloslik"/>
        <w:tabs>
          <w:tab w:val="right" w:leader="dot" w:pos="9730"/>
        </w:tabs>
        <w:rPr>
          <w:rFonts w:asciiTheme="minorHAnsi" w:eastAsiaTheme="minorEastAsia" w:hAnsiTheme="minorHAnsi" w:cstheme="minorBidi"/>
          <w:noProof/>
          <w:sz w:val="24"/>
          <w:lang w:val="en-GB" w:eastAsia="en-GB"/>
        </w:rPr>
      </w:pPr>
      <w:hyperlink w:anchor="_Toc490600001" w:history="1">
        <w:r w:rsidR="006B025E" w:rsidRPr="0009216F">
          <w:rPr>
            <w:rStyle w:val="Hiperpovezava"/>
            <w:noProof/>
          </w:rPr>
          <w:t>Tabela 11: Struktura realizacije proračuna Ministrstva za kulturo po prejemnikih sredstev (2002–2015)</w:t>
        </w:r>
        <w:r w:rsidR="006B025E">
          <w:rPr>
            <w:noProof/>
            <w:webHidden/>
          </w:rPr>
          <w:tab/>
        </w:r>
        <w:r w:rsidR="006B025E">
          <w:rPr>
            <w:noProof/>
            <w:webHidden/>
          </w:rPr>
          <w:fldChar w:fldCharType="begin"/>
        </w:r>
        <w:r w:rsidR="006B025E">
          <w:rPr>
            <w:noProof/>
            <w:webHidden/>
          </w:rPr>
          <w:instrText xml:space="preserve"> PAGEREF _Toc490600001 \h </w:instrText>
        </w:r>
        <w:r w:rsidR="006B025E">
          <w:rPr>
            <w:noProof/>
            <w:webHidden/>
          </w:rPr>
        </w:r>
        <w:r w:rsidR="006B025E">
          <w:rPr>
            <w:noProof/>
            <w:webHidden/>
          </w:rPr>
          <w:fldChar w:fldCharType="separate"/>
        </w:r>
        <w:r w:rsidR="00D776FA">
          <w:rPr>
            <w:noProof/>
            <w:webHidden/>
          </w:rPr>
          <w:t>33</w:t>
        </w:r>
        <w:r w:rsidR="006B025E">
          <w:rPr>
            <w:noProof/>
            <w:webHidden/>
          </w:rPr>
          <w:fldChar w:fldCharType="end"/>
        </w:r>
      </w:hyperlink>
    </w:p>
    <w:p w:rsidR="006B025E" w:rsidRDefault="009746F1">
      <w:pPr>
        <w:pStyle w:val="Kazaloslik"/>
        <w:tabs>
          <w:tab w:val="right" w:leader="dot" w:pos="9730"/>
        </w:tabs>
        <w:rPr>
          <w:rFonts w:asciiTheme="minorHAnsi" w:eastAsiaTheme="minorEastAsia" w:hAnsiTheme="minorHAnsi" w:cstheme="minorBidi"/>
          <w:noProof/>
          <w:sz w:val="24"/>
          <w:lang w:val="en-GB" w:eastAsia="en-GB"/>
        </w:rPr>
      </w:pPr>
      <w:hyperlink w:anchor="_Toc490600002" w:history="1">
        <w:r w:rsidR="006B025E" w:rsidRPr="0009216F">
          <w:rPr>
            <w:rStyle w:val="Hiperpovezava"/>
            <w:noProof/>
          </w:rPr>
          <w:t>Graf 13: Struktura realizacije proračuna Ministrstva za kulturo po prejemnikih sredstev (2015)*</w:t>
        </w:r>
        <w:r w:rsidR="006B025E">
          <w:rPr>
            <w:noProof/>
            <w:webHidden/>
          </w:rPr>
          <w:tab/>
        </w:r>
        <w:r w:rsidR="006B025E">
          <w:rPr>
            <w:noProof/>
            <w:webHidden/>
          </w:rPr>
          <w:fldChar w:fldCharType="begin"/>
        </w:r>
        <w:r w:rsidR="006B025E">
          <w:rPr>
            <w:noProof/>
            <w:webHidden/>
          </w:rPr>
          <w:instrText xml:space="preserve"> PAGEREF _Toc490600002 \h </w:instrText>
        </w:r>
        <w:r w:rsidR="006B025E">
          <w:rPr>
            <w:noProof/>
            <w:webHidden/>
          </w:rPr>
        </w:r>
        <w:r w:rsidR="006B025E">
          <w:rPr>
            <w:noProof/>
            <w:webHidden/>
          </w:rPr>
          <w:fldChar w:fldCharType="separate"/>
        </w:r>
        <w:r w:rsidR="00D776FA">
          <w:rPr>
            <w:noProof/>
            <w:webHidden/>
          </w:rPr>
          <w:t>34</w:t>
        </w:r>
        <w:r w:rsidR="006B025E">
          <w:rPr>
            <w:noProof/>
            <w:webHidden/>
          </w:rPr>
          <w:fldChar w:fldCharType="end"/>
        </w:r>
      </w:hyperlink>
    </w:p>
    <w:p w:rsidR="006B025E" w:rsidRDefault="009746F1">
      <w:pPr>
        <w:pStyle w:val="Kazaloslik"/>
        <w:tabs>
          <w:tab w:val="right" w:leader="dot" w:pos="9730"/>
        </w:tabs>
        <w:rPr>
          <w:rFonts w:asciiTheme="minorHAnsi" w:eastAsiaTheme="minorEastAsia" w:hAnsiTheme="minorHAnsi" w:cstheme="minorBidi"/>
          <w:noProof/>
          <w:sz w:val="24"/>
          <w:lang w:val="en-GB" w:eastAsia="en-GB"/>
        </w:rPr>
      </w:pPr>
      <w:hyperlink w:anchor="_Toc490600003" w:history="1">
        <w:r w:rsidR="006B025E" w:rsidRPr="0009216F">
          <w:rPr>
            <w:rStyle w:val="Hiperpovezava"/>
            <w:noProof/>
          </w:rPr>
          <w:t>Tabela 12: Struktura realizacije državnega proračuna za kulturo po statističnih regijah (2002–2015)*</w:t>
        </w:r>
        <w:r w:rsidR="006B025E">
          <w:rPr>
            <w:noProof/>
            <w:webHidden/>
          </w:rPr>
          <w:tab/>
        </w:r>
        <w:r w:rsidR="006B025E">
          <w:rPr>
            <w:noProof/>
            <w:webHidden/>
          </w:rPr>
          <w:fldChar w:fldCharType="begin"/>
        </w:r>
        <w:r w:rsidR="006B025E">
          <w:rPr>
            <w:noProof/>
            <w:webHidden/>
          </w:rPr>
          <w:instrText xml:space="preserve"> PAGEREF _Toc490600003 \h </w:instrText>
        </w:r>
        <w:r w:rsidR="006B025E">
          <w:rPr>
            <w:noProof/>
            <w:webHidden/>
          </w:rPr>
        </w:r>
        <w:r w:rsidR="006B025E">
          <w:rPr>
            <w:noProof/>
            <w:webHidden/>
          </w:rPr>
          <w:fldChar w:fldCharType="separate"/>
        </w:r>
        <w:r w:rsidR="00D776FA">
          <w:rPr>
            <w:noProof/>
            <w:webHidden/>
          </w:rPr>
          <w:t>34</w:t>
        </w:r>
        <w:r w:rsidR="006B025E">
          <w:rPr>
            <w:noProof/>
            <w:webHidden/>
          </w:rPr>
          <w:fldChar w:fldCharType="end"/>
        </w:r>
      </w:hyperlink>
    </w:p>
    <w:p w:rsidR="006B025E" w:rsidRDefault="009746F1">
      <w:pPr>
        <w:pStyle w:val="Kazaloslik"/>
        <w:tabs>
          <w:tab w:val="right" w:leader="dot" w:pos="9730"/>
        </w:tabs>
        <w:rPr>
          <w:rFonts w:asciiTheme="minorHAnsi" w:eastAsiaTheme="minorEastAsia" w:hAnsiTheme="minorHAnsi" w:cstheme="minorBidi"/>
          <w:noProof/>
          <w:sz w:val="24"/>
          <w:lang w:val="en-GB" w:eastAsia="en-GB"/>
        </w:rPr>
      </w:pPr>
      <w:hyperlink w:anchor="_Toc490600004" w:history="1">
        <w:r w:rsidR="006B025E" w:rsidRPr="0009216F">
          <w:rPr>
            <w:rStyle w:val="Hiperpovezava"/>
            <w:noProof/>
          </w:rPr>
          <w:t>Tabela 13: Število poslovnih subjektov v kulturi po statističnih regijah (31. 12. 2015)*</w:t>
        </w:r>
        <w:r w:rsidR="006B025E">
          <w:rPr>
            <w:noProof/>
            <w:webHidden/>
          </w:rPr>
          <w:tab/>
        </w:r>
        <w:r w:rsidR="006B025E">
          <w:rPr>
            <w:noProof/>
            <w:webHidden/>
          </w:rPr>
          <w:fldChar w:fldCharType="begin"/>
        </w:r>
        <w:r w:rsidR="006B025E">
          <w:rPr>
            <w:noProof/>
            <w:webHidden/>
          </w:rPr>
          <w:instrText xml:space="preserve"> PAGEREF _Toc490600004 \h </w:instrText>
        </w:r>
        <w:r w:rsidR="006B025E">
          <w:rPr>
            <w:noProof/>
            <w:webHidden/>
          </w:rPr>
        </w:r>
        <w:r w:rsidR="006B025E">
          <w:rPr>
            <w:noProof/>
            <w:webHidden/>
          </w:rPr>
          <w:fldChar w:fldCharType="separate"/>
        </w:r>
        <w:r w:rsidR="00D776FA">
          <w:rPr>
            <w:noProof/>
            <w:webHidden/>
          </w:rPr>
          <w:t>35</w:t>
        </w:r>
        <w:r w:rsidR="006B025E">
          <w:rPr>
            <w:noProof/>
            <w:webHidden/>
          </w:rPr>
          <w:fldChar w:fldCharType="end"/>
        </w:r>
      </w:hyperlink>
    </w:p>
    <w:p w:rsidR="006B025E" w:rsidRDefault="009746F1">
      <w:pPr>
        <w:pStyle w:val="Kazaloslik"/>
        <w:tabs>
          <w:tab w:val="right" w:leader="dot" w:pos="9730"/>
        </w:tabs>
        <w:rPr>
          <w:rFonts w:asciiTheme="minorHAnsi" w:eastAsiaTheme="minorEastAsia" w:hAnsiTheme="minorHAnsi" w:cstheme="minorBidi"/>
          <w:noProof/>
          <w:sz w:val="24"/>
          <w:lang w:val="en-GB" w:eastAsia="en-GB"/>
        </w:rPr>
      </w:pPr>
      <w:hyperlink w:anchor="_Toc490600005" w:history="1">
        <w:r w:rsidR="006B025E" w:rsidRPr="0009216F">
          <w:rPr>
            <w:rStyle w:val="Hiperpovezava"/>
            <w:noProof/>
          </w:rPr>
          <w:t>Tabela 14: Sredstva za kulturo v proračunih lokalnih skupnosti (2008–2015)</w:t>
        </w:r>
        <w:r w:rsidR="006B025E">
          <w:rPr>
            <w:noProof/>
            <w:webHidden/>
          </w:rPr>
          <w:tab/>
        </w:r>
        <w:r w:rsidR="006B025E">
          <w:rPr>
            <w:noProof/>
            <w:webHidden/>
          </w:rPr>
          <w:fldChar w:fldCharType="begin"/>
        </w:r>
        <w:r w:rsidR="006B025E">
          <w:rPr>
            <w:noProof/>
            <w:webHidden/>
          </w:rPr>
          <w:instrText xml:space="preserve"> PAGEREF _Toc490600005 \h </w:instrText>
        </w:r>
        <w:r w:rsidR="006B025E">
          <w:rPr>
            <w:noProof/>
            <w:webHidden/>
          </w:rPr>
        </w:r>
        <w:r w:rsidR="006B025E">
          <w:rPr>
            <w:noProof/>
            <w:webHidden/>
          </w:rPr>
          <w:fldChar w:fldCharType="separate"/>
        </w:r>
        <w:r w:rsidR="00D776FA">
          <w:rPr>
            <w:noProof/>
            <w:webHidden/>
          </w:rPr>
          <w:t>36</w:t>
        </w:r>
        <w:r w:rsidR="006B025E">
          <w:rPr>
            <w:noProof/>
            <w:webHidden/>
          </w:rPr>
          <w:fldChar w:fldCharType="end"/>
        </w:r>
      </w:hyperlink>
    </w:p>
    <w:p w:rsidR="006B025E" w:rsidRDefault="009746F1">
      <w:pPr>
        <w:pStyle w:val="Kazaloslik"/>
        <w:tabs>
          <w:tab w:val="right" w:leader="dot" w:pos="9730"/>
        </w:tabs>
        <w:rPr>
          <w:rFonts w:asciiTheme="minorHAnsi" w:eastAsiaTheme="minorEastAsia" w:hAnsiTheme="minorHAnsi" w:cstheme="minorBidi"/>
          <w:noProof/>
          <w:sz w:val="24"/>
          <w:lang w:val="en-GB" w:eastAsia="en-GB"/>
        </w:rPr>
      </w:pPr>
      <w:hyperlink w:anchor="_Toc490600006" w:history="1">
        <w:r w:rsidR="006B025E" w:rsidRPr="0009216F">
          <w:rPr>
            <w:rStyle w:val="Hiperpovezava"/>
            <w:noProof/>
          </w:rPr>
          <w:t>Tabela 15: Sredstva za kulturo v primerjavi s sredstvi za druga področja v proračunih lokalnih skupnosti (2008 in 2015)</w:t>
        </w:r>
        <w:r w:rsidR="006B025E">
          <w:rPr>
            <w:noProof/>
            <w:webHidden/>
          </w:rPr>
          <w:tab/>
        </w:r>
        <w:r w:rsidR="006B025E">
          <w:rPr>
            <w:noProof/>
            <w:webHidden/>
          </w:rPr>
          <w:fldChar w:fldCharType="begin"/>
        </w:r>
        <w:r w:rsidR="006B025E">
          <w:rPr>
            <w:noProof/>
            <w:webHidden/>
          </w:rPr>
          <w:instrText xml:space="preserve"> PAGEREF _Toc490600006 \h </w:instrText>
        </w:r>
        <w:r w:rsidR="006B025E">
          <w:rPr>
            <w:noProof/>
            <w:webHidden/>
          </w:rPr>
        </w:r>
        <w:r w:rsidR="006B025E">
          <w:rPr>
            <w:noProof/>
            <w:webHidden/>
          </w:rPr>
          <w:fldChar w:fldCharType="separate"/>
        </w:r>
        <w:r w:rsidR="00D776FA">
          <w:rPr>
            <w:noProof/>
            <w:webHidden/>
          </w:rPr>
          <w:t>37</w:t>
        </w:r>
        <w:r w:rsidR="006B025E">
          <w:rPr>
            <w:noProof/>
            <w:webHidden/>
          </w:rPr>
          <w:fldChar w:fldCharType="end"/>
        </w:r>
      </w:hyperlink>
    </w:p>
    <w:p w:rsidR="006B025E" w:rsidRDefault="009746F1">
      <w:pPr>
        <w:pStyle w:val="Kazaloslik"/>
        <w:tabs>
          <w:tab w:val="right" w:leader="dot" w:pos="9730"/>
        </w:tabs>
        <w:rPr>
          <w:rFonts w:asciiTheme="minorHAnsi" w:eastAsiaTheme="minorEastAsia" w:hAnsiTheme="minorHAnsi" w:cstheme="minorBidi"/>
          <w:noProof/>
          <w:sz w:val="24"/>
          <w:lang w:val="en-GB" w:eastAsia="en-GB"/>
        </w:rPr>
      </w:pPr>
      <w:hyperlink w:anchor="_Toc490600007" w:history="1">
        <w:r w:rsidR="006B025E" w:rsidRPr="0009216F">
          <w:rPr>
            <w:rStyle w:val="Hiperpovezava"/>
            <w:noProof/>
          </w:rPr>
          <w:t>Tabela 16: Struktura občinskih proračunov za kulturo po vrsti izdatkov (2008 in 2015)</w:t>
        </w:r>
        <w:r w:rsidR="006B025E">
          <w:rPr>
            <w:noProof/>
            <w:webHidden/>
          </w:rPr>
          <w:tab/>
        </w:r>
        <w:r w:rsidR="006B025E">
          <w:rPr>
            <w:noProof/>
            <w:webHidden/>
          </w:rPr>
          <w:fldChar w:fldCharType="begin"/>
        </w:r>
        <w:r w:rsidR="006B025E">
          <w:rPr>
            <w:noProof/>
            <w:webHidden/>
          </w:rPr>
          <w:instrText xml:space="preserve"> PAGEREF _Toc490600007 \h </w:instrText>
        </w:r>
        <w:r w:rsidR="006B025E">
          <w:rPr>
            <w:noProof/>
            <w:webHidden/>
          </w:rPr>
        </w:r>
        <w:r w:rsidR="006B025E">
          <w:rPr>
            <w:noProof/>
            <w:webHidden/>
          </w:rPr>
          <w:fldChar w:fldCharType="separate"/>
        </w:r>
        <w:r w:rsidR="00D776FA">
          <w:rPr>
            <w:noProof/>
            <w:webHidden/>
          </w:rPr>
          <w:t>40</w:t>
        </w:r>
        <w:r w:rsidR="006B025E">
          <w:rPr>
            <w:noProof/>
            <w:webHidden/>
          </w:rPr>
          <w:fldChar w:fldCharType="end"/>
        </w:r>
      </w:hyperlink>
    </w:p>
    <w:p w:rsidR="006B025E" w:rsidRDefault="009746F1">
      <w:pPr>
        <w:pStyle w:val="Kazaloslik"/>
        <w:tabs>
          <w:tab w:val="right" w:leader="dot" w:pos="9730"/>
        </w:tabs>
        <w:rPr>
          <w:rFonts w:asciiTheme="minorHAnsi" w:eastAsiaTheme="minorEastAsia" w:hAnsiTheme="minorHAnsi" w:cstheme="minorBidi"/>
          <w:noProof/>
          <w:sz w:val="24"/>
          <w:lang w:val="en-GB" w:eastAsia="en-GB"/>
        </w:rPr>
      </w:pPr>
      <w:hyperlink w:anchor="_Toc490600008" w:history="1">
        <w:r w:rsidR="006B025E" w:rsidRPr="0009216F">
          <w:rPr>
            <w:rStyle w:val="Hiperpovezava"/>
            <w:noProof/>
          </w:rPr>
          <w:t>Tabela 17: Povprečna letna porabljena denarna sredstva gospodinjstev za kulturo (2002–2010, 2012 in 2015)</w:t>
        </w:r>
        <w:r w:rsidR="006B025E">
          <w:rPr>
            <w:noProof/>
            <w:webHidden/>
          </w:rPr>
          <w:tab/>
        </w:r>
        <w:r w:rsidR="006B025E">
          <w:rPr>
            <w:noProof/>
            <w:webHidden/>
          </w:rPr>
          <w:fldChar w:fldCharType="begin"/>
        </w:r>
        <w:r w:rsidR="006B025E">
          <w:rPr>
            <w:noProof/>
            <w:webHidden/>
          </w:rPr>
          <w:instrText xml:space="preserve"> PAGEREF _Toc490600008 \h </w:instrText>
        </w:r>
        <w:r w:rsidR="006B025E">
          <w:rPr>
            <w:noProof/>
            <w:webHidden/>
          </w:rPr>
        </w:r>
        <w:r w:rsidR="006B025E">
          <w:rPr>
            <w:noProof/>
            <w:webHidden/>
          </w:rPr>
          <w:fldChar w:fldCharType="separate"/>
        </w:r>
        <w:r w:rsidR="00D776FA">
          <w:rPr>
            <w:noProof/>
            <w:webHidden/>
          </w:rPr>
          <w:t>41</w:t>
        </w:r>
        <w:r w:rsidR="006B025E">
          <w:rPr>
            <w:noProof/>
            <w:webHidden/>
          </w:rPr>
          <w:fldChar w:fldCharType="end"/>
        </w:r>
      </w:hyperlink>
    </w:p>
    <w:p w:rsidR="006B025E" w:rsidRDefault="009746F1">
      <w:pPr>
        <w:pStyle w:val="Kazaloslik"/>
        <w:tabs>
          <w:tab w:val="right" w:leader="dot" w:pos="9730"/>
        </w:tabs>
        <w:rPr>
          <w:rFonts w:asciiTheme="minorHAnsi" w:eastAsiaTheme="minorEastAsia" w:hAnsiTheme="minorHAnsi" w:cstheme="minorBidi"/>
          <w:noProof/>
          <w:sz w:val="24"/>
          <w:lang w:val="en-GB" w:eastAsia="en-GB"/>
        </w:rPr>
      </w:pPr>
      <w:hyperlink w:anchor="_Toc490600009" w:history="1">
        <w:r w:rsidR="006B025E" w:rsidRPr="0009216F">
          <w:rPr>
            <w:rStyle w:val="Hiperpovezava"/>
            <w:noProof/>
          </w:rPr>
          <w:t>Tabela 18: Zneski, ki so jih davčni zavezanci iz dela svoje dohodnine namenili za donacije upravičencem do donacij s področja kulture (2007–2015)</w:t>
        </w:r>
        <w:r w:rsidR="006B025E">
          <w:rPr>
            <w:noProof/>
            <w:webHidden/>
          </w:rPr>
          <w:tab/>
        </w:r>
        <w:r w:rsidR="006B025E">
          <w:rPr>
            <w:noProof/>
            <w:webHidden/>
          </w:rPr>
          <w:fldChar w:fldCharType="begin"/>
        </w:r>
        <w:r w:rsidR="006B025E">
          <w:rPr>
            <w:noProof/>
            <w:webHidden/>
          </w:rPr>
          <w:instrText xml:space="preserve"> PAGEREF _Toc490600009 \h </w:instrText>
        </w:r>
        <w:r w:rsidR="006B025E">
          <w:rPr>
            <w:noProof/>
            <w:webHidden/>
          </w:rPr>
        </w:r>
        <w:r w:rsidR="006B025E">
          <w:rPr>
            <w:noProof/>
            <w:webHidden/>
          </w:rPr>
          <w:fldChar w:fldCharType="separate"/>
        </w:r>
        <w:r w:rsidR="00D776FA">
          <w:rPr>
            <w:noProof/>
            <w:webHidden/>
          </w:rPr>
          <w:t>41</w:t>
        </w:r>
        <w:r w:rsidR="006B025E">
          <w:rPr>
            <w:noProof/>
            <w:webHidden/>
          </w:rPr>
          <w:fldChar w:fldCharType="end"/>
        </w:r>
      </w:hyperlink>
    </w:p>
    <w:p w:rsidR="006B025E" w:rsidRDefault="009746F1">
      <w:pPr>
        <w:pStyle w:val="Kazaloslik"/>
        <w:tabs>
          <w:tab w:val="right" w:leader="dot" w:pos="9730"/>
        </w:tabs>
        <w:rPr>
          <w:rFonts w:asciiTheme="minorHAnsi" w:eastAsiaTheme="minorEastAsia" w:hAnsiTheme="minorHAnsi" w:cstheme="minorBidi"/>
          <w:noProof/>
          <w:sz w:val="24"/>
          <w:lang w:val="en-GB" w:eastAsia="en-GB"/>
        </w:rPr>
      </w:pPr>
      <w:hyperlink w:anchor="_Toc490600010" w:history="1">
        <w:r w:rsidR="006B025E" w:rsidRPr="0009216F">
          <w:rPr>
            <w:rStyle w:val="Hiperpovezava"/>
            <w:noProof/>
          </w:rPr>
          <w:t>Tabela 19: Sponzorska in donatorska sredstva javnih zavodov (2015)*</w:t>
        </w:r>
        <w:r w:rsidR="006B025E">
          <w:rPr>
            <w:noProof/>
            <w:webHidden/>
          </w:rPr>
          <w:tab/>
        </w:r>
        <w:r w:rsidR="006B025E">
          <w:rPr>
            <w:noProof/>
            <w:webHidden/>
          </w:rPr>
          <w:fldChar w:fldCharType="begin"/>
        </w:r>
        <w:r w:rsidR="006B025E">
          <w:rPr>
            <w:noProof/>
            <w:webHidden/>
          </w:rPr>
          <w:instrText xml:space="preserve"> PAGEREF _Toc490600010 \h </w:instrText>
        </w:r>
        <w:r w:rsidR="006B025E">
          <w:rPr>
            <w:noProof/>
            <w:webHidden/>
          </w:rPr>
        </w:r>
        <w:r w:rsidR="006B025E">
          <w:rPr>
            <w:noProof/>
            <w:webHidden/>
          </w:rPr>
          <w:fldChar w:fldCharType="separate"/>
        </w:r>
        <w:r w:rsidR="00D776FA">
          <w:rPr>
            <w:noProof/>
            <w:webHidden/>
          </w:rPr>
          <w:t>42</w:t>
        </w:r>
        <w:r w:rsidR="006B025E">
          <w:rPr>
            <w:noProof/>
            <w:webHidden/>
          </w:rPr>
          <w:fldChar w:fldCharType="end"/>
        </w:r>
      </w:hyperlink>
    </w:p>
    <w:p w:rsidR="006B025E" w:rsidRDefault="009746F1">
      <w:pPr>
        <w:pStyle w:val="Kazaloslik"/>
        <w:tabs>
          <w:tab w:val="right" w:leader="dot" w:pos="9730"/>
        </w:tabs>
        <w:rPr>
          <w:rFonts w:asciiTheme="minorHAnsi" w:eastAsiaTheme="minorEastAsia" w:hAnsiTheme="minorHAnsi" w:cstheme="minorBidi"/>
          <w:noProof/>
          <w:sz w:val="24"/>
          <w:lang w:val="en-GB" w:eastAsia="en-GB"/>
        </w:rPr>
      </w:pPr>
      <w:hyperlink w:anchor="_Toc490600011" w:history="1">
        <w:r w:rsidR="006B025E" w:rsidRPr="0009216F">
          <w:rPr>
            <w:rStyle w:val="Hiperpovezava"/>
            <w:rFonts w:eastAsiaTheme="majorEastAsia"/>
            <w:noProof/>
          </w:rPr>
          <w:t>Tabela 20: Javni izdatki ter izdatki gospodinjstev za kulturo (Slovenija, 2015)</w:t>
        </w:r>
        <w:r w:rsidR="006B025E">
          <w:rPr>
            <w:noProof/>
            <w:webHidden/>
          </w:rPr>
          <w:tab/>
        </w:r>
        <w:r w:rsidR="006B025E">
          <w:rPr>
            <w:noProof/>
            <w:webHidden/>
          </w:rPr>
          <w:fldChar w:fldCharType="begin"/>
        </w:r>
        <w:r w:rsidR="006B025E">
          <w:rPr>
            <w:noProof/>
            <w:webHidden/>
          </w:rPr>
          <w:instrText xml:space="preserve"> PAGEREF _Toc490600011 \h </w:instrText>
        </w:r>
        <w:r w:rsidR="006B025E">
          <w:rPr>
            <w:noProof/>
            <w:webHidden/>
          </w:rPr>
        </w:r>
        <w:r w:rsidR="006B025E">
          <w:rPr>
            <w:noProof/>
            <w:webHidden/>
          </w:rPr>
          <w:fldChar w:fldCharType="separate"/>
        </w:r>
        <w:r w:rsidR="00D776FA">
          <w:rPr>
            <w:noProof/>
            <w:webHidden/>
          </w:rPr>
          <w:t>42</w:t>
        </w:r>
        <w:r w:rsidR="006B025E">
          <w:rPr>
            <w:noProof/>
            <w:webHidden/>
          </w:rPr>
          <w:fldChar w:fldCharType="end"/>
        </w:r>
      </w:hyperlink>
    </w:p>
    <w:p w:rsidR="006B025E" w:rsidRDefault="009746F1">
      <w:pPr>
        <w:pStyle w:val="Kazaloslik"/>
        <w:tabs>
          <w:tab w:val="right" w:leader="dot" w:pos="9730"/>
        </w:tabs>
        <w:rPr>
          <w:rFonts w:asciiTheme="minorHAnsi" w:eastAsiaTheme="minorEastAsia" w:hAnsiTheme="minorHAnsi" w:cstheme="minorBidi"/>
          <w:noProof/>
          <w:sz w:val="24"/>
          <w:lang w:val="en-GB" w:eastAsia="en-GB"/>
        </w:rPr>
      </w:pPr>
      <w:hyperlink w:anchor="_Toc490600012" w:history="1">
        <w:r w:rsidR="006B025E" w:rsidRPr="0009216F">
          <w:rPr>
            <w:rStyle w:val="Hiperpovezava"/>
            <w:noProof/>
          </w:rPr>
          <w:t>Graf 14: Izdaja knjig in brošur ter serijskih publikacij (Slovenija, 1992, 1997, 2002, 2007–2015)</w:t>
        </w:r>
        <w:r w:rsidR="006B025E">
          <w:rPr>
            <w:noProof/>
            <w:webHidden/>
          </w:rPr>
          <w:tab/>
        </w:r>
        <w:r w:rsidR="006B025E">
          <w:rPr>
            <w:noProof/>
            <w:webHidden/>
          </w:rPr>
          <w:fldChar w:fldCharType="begin"/>
        </w:r>
        <w:r w:rsidR="006B025E">
          <w:rPr>
            <w:noProof/>
            <w:webHidden/>
          </w:rPr>
          <w:instrText xml:space="preserve"> PAGEREF _Toc490600012 \h </w:instrText>
        </w:r>
        <w:r w:rsidR="006B025E">
          <w:rPr>
            <w:noProof/>
            <w:webHidden/>
          </w:rPr>
        </w:r>
        <w:r w:rsidR="006B025E">
          <w:rPr>
            <w:noProof/>
            <w:webHidden/>
          </w:rPr>
          <w:fldChar w:fldCharType="separate"/>
        </w:r>
        <w:r w:rsidR="00D776FA">
          <w:rPr>
            <w:noProof/>
            <w:webHidden/>
          </w:rPr>
          <w:t>43</w:t>
        </w:r>
        <w:r w:rsidR="006B025E">
          <w:rPr>
            <w:noProof/>
            <w:webHidden/>
          </w:rPr>
          <w:fldChar w:fldCharType="end"/>
        </w:r>
      </w:hyperlink>
    </w:p>
    <w:p w:rsidR="006B025E" w:rsidRDefault="009746F1">
      <w:pPr>
        <w:pStyle w:val="Kazaloslik"/>
        <w:tabs>
          <w:tab w:val="right" w:leader="dot" w:pos="9730"/>
        </w:tabs>
        <w:rPr>
          <w:rFonts w:asciiTheme="minorHAnsi" w:eastAsiaTheme="minorEastAsia" w:hAnsiTheme="minorHAnsi" w:cstheme="minorBidi"/>
          <w:noProof/>
          <w:sz w:val="24"/>
          <w:lang w:val="en-GB" w:eastAsia="en-GB"/>
        </w:rPr>
      </w:pPr>
      <w:hyperlink w:anchor="_Toc490600013" w:history="1">
        <w:r w:rsidR="006B025E" w:rsidRPr="0009216F">
          <w:rPr>
            <w:rStyle w:val="Hiperpovezava"/>
            <w:noProof/>
          </w:rPr>
          <w:t>Graf 15: Gibanje števila založnikov (2009–2015)</w:t>
        </w:r>
        <w:r w:rsidR="006B025E">
          <w:rPr>
            <w:noProof/>
            <w:webHidden/>
          </w:rPr>
          <w:tab/>
        </w:r>
        <w:r w:rsidR="006B025E">
          <w:rPr>
            <w:noProof/>
            <w:webHidden/>
          </w:rPr>
          <w:fldChar w:fldCharType="begin"/>
        </w:r>
        <w:r w:rsidR="006B025E">
          <w:rPr>
            <w:noProof/>
            <w:webHidden/>
          </w:rPr>
          <w:instrText xml:space="preserve"> PAGEREF _Toc490600013 \h </w:instrText>
        </w:r>
        <w:r w:rsidR="006B025E">
          <w:rPr>
            <w:noProof/>
            <w:webHidden/>
          </w:rPr>
        </w:r>
        <w:r w:rsidR="006B025E">
          <w:rPr>
            <w:noProof/>
            <w:webHidden/>
          </w:rPr>
          <w:fldChar w:fldCharType="separate"/>
        </w:r>
        <w:r w:rsidR="00D776FA">
          <w:rPr>
            <w:noProof/>
            <w:webHidden/>
          </w:rPr>
          <w:t>43</w:t>
        </w:r>
        <w:r w:rsidR="006B025E">
          <w:rPr>
            <w:noProof/>
            <w:webHidden/>
          </w:rPr>
          <w:fldChar w:fldCharType="end"/>
        </w:r>
      </w:hyperlink>
    </w:p>
    <w:p w:rsidR="006B025E" w:rsidRDefault="009746F1">
      <w:pPr>
        <w:pStyle w:val="Kazaloslik"/>
        <w:tabs>
          <w:tab w:val="right" w:leader="dot" w:pos="9730"/>
        </w:tabs>
        <w:rPr>
          <w:rFonts w:asciiTheme="minorHAnsi" w:eastAsiaTheme="minorEastAsia" w:hAnsiTheme="minorHAnsi" w:cstheme="minorBidi"/>
          <w:noProof/>
          <w:sz w:val="24"/>
          <w:lang w:val="en-GB" w:eastAsia="en-GB"/>
        </w:rPr>
      </w:pPr>
      <w:hyperlink w:anchor="_Toc490600014" w:history="1">
        <w:r w:rsidR="006B025E" w:rsidRPr="0009216F">
          <w:rPr>
            <w:rStyle w:val="Hiperpovezava"/>
            <w:noProof/>
          </w:rPr>
          <w:t>Tabela 21: Izposojeni naslovi v splošnih knjižnicah (1990–2015)*</w:t>
        </w:r>
        <w:r w:rsidR="006B025E">
          <w:rPr>
            <w:noProof/>
            <w:webHidden/>
          </w:rPr>
          <w:tab/>
        </w:r>
        <w:r w:rsidR="006B025E">
          <w:rPr>
            <w:noProof/>
            <w:webHidden/>
          </w:rPr>
          <w:fldChar w:fldCharType="begin"/>
        </w:r>
        <w:r w:rsidR="006B025E">
          <w:rPr>
            <w:noProof/>
            <w:webHidden/>
          </w:rPr>
          <w:instrText xml:space="preserve"> PAGEREF _Toc490600014 \h </w:instrText>
        </w:r>
        <w:r w:rsidR="006B025E">
          <w:rPr>
            <w:noProof/>
            <w:webHidden/>
          </w:rPr>
        </w:r>
        <w:r w:rsidR="006B025E">
          <w:rPr>
            <w:noProof/>
            <w:webHidden/>
          </w:rPr>
          <w:fldChar w:fldCharType="separate"/>
        </w:r>
        <w:r w:rsidR="00D776FA">
          <w:rPr>
            <w:noProof/>
            <w:webHidden/>
          </w:rPr>
          <w:t>44</w:t>
        </w:r>
        <w:r w:rsidR="006B025E">
          <w:rPr>
            <w:noProof/>
            <w:webHidden/>
          </w:rPr>
          <w:fldChar w:fldCharType="end"/>
        </w:r>
      </w:hyperlink>
    </w:p>
    <w:p w:rsidR="006B025E" w:rsidRDefault="009746F1">
      <w:pPr>
        <w:pStyle w:val="Kazaloslik"/>
        <w:tabs>
          <w:tab w:val="right" w:leader="dot" w:pos="9730"/>
        </w:tabs>
        <w:rPr>
          <w:rFonts w:asciiTheme="minorHAnsi" w:eastAsiaTheme="minorEastAsia" w:hAnsiTheme="minorHAnsi" w:cstheme="minorBidi"/>
          <w:noProof/>
          <w:sz w:val="24"/>
          <w:lang w:val="en-GB" w:eastAsia="en-GB"/>
        </w:rPr>
      </w:pPr>
      <w:hyperlink w:anchor="_Toc490600015" w:history="1">
        <w:r w:rsidR="006B025E" w:rsidRPr="0009216F">
          <w:rPr>
            <w:rStyle w:val="Hiperpovezava"/>
            <w:noProof/>
          </w:rPr>
          <w:t>Graf 16: Število radijskih programov in njihovih ur (2004–2015)*</w:t>
        </w:r>
        <w:r w:rsidR="006B025E">
          <w:rPr>
            <w:noProof/>
            <w:webHidden/>
          </w:rPr>
          <w:tab/>
        </w:r>
        <w:r w:rsidR="006B025E">
          <w:rPr>
            <w:noProof/>
            <w:webHidden/>
          </w:rPr>
          <w:fldChar w:fldCharType="begin"/>
        </w:r>
        <w:r w:rsidR="006B025E">
          <w:rPr>
            <w:noProof/>
            <w:webHidden/>
          </w:rPr>
          <w:instrText xml:space="preserve"> PAGEREF _Toc490600015 \h </w:instrText>
        </w:r>
        <w:r w:rsidR="006B025E">
          <w:rPr>
            <w:noProof/>
            <w:webHidden/>
          </w:rPr>
        </w:r>
        <w:r w:rsidR="006B025E">
          <w:rPr>
            <w:noProof/>
            <w:webHidden/>
          </w:rPr>
          <w:fldChar w:fldCharType="separate"/>
        </w:r>
        <w:r w:rsidR="00D776FA">
          <w:rPr>
            <w:noProof/>
            <w:webHidden/>
          </w:rPr>
          <w:t>45</w:t>
        </w:r>
        <w:r w:rsidR="006B025E">
          <w:rPr>
            <w:noProof/>
            <w:webHidden/>
          </w:rPr>
          <w:fldChar w:fldCharType="end"/>
        </w:r>
      </w:hyperlink>
    </w:p>
    <w:p w:rsidR="006B025E" w:rsidRDefault="009746F1">
      <w:pPr>
        <w:pStyle w:val="Kazaloslik"/>
        <w:tabs>
          <w:tab w:val="right" w:leader="dot" w:pos="9730"/>
        </w:tabs>
        <w:rPr>
          <w:rFonts w:asciiTheme="minorHAnsi" w:eastAsiaTheme="minorEastAsia" w:hAnsiTheme="minorHAnsi" w:cstheme="minorBidi"/>
          <w:noProof/>
          <w:sz w:val="24"/>
          <w:lang w:val="en-GB" w:eastAsia="en-GB"/>
        </w:rPr>
      </w:pPr>
      <w:hyperlink w:anchor="_Toc490600016" w:history="1">
        <w:r w:rsidR="006B025E" w:rsidRPr="0009216F">
          <w:rPr>
            <w:rStyle w:val="Hiperpovezava"/>
            <w:noProof/>
          </w:rPr>
          <w:t>Graf 17: Število televizijskih programov in njihovih ur (2004–2015)</w:t>
        </w:r>
        <w:r w:rsidR="006B025E">
          <w:rPr>
            <w:noProof/>
            <w:webHidden/>
          </w:rPr>
          <w:tab/>
        </w:r>
        <w:r w:rsidR="006B025E">
          <w:rPr>
            <w:noProof/>
            <w:webHidden/>
          </w:rPr>
          <w:fldChar w:fldCharType="begin"/>
        </w:r>
        <w:r w:rsidR="006B025E">
          <w:rPr>
            <w:noProof/>
            <w:webHidden/>
          </w:rPr>
          <w:instrText xml:space="preserve"> PAGEREF _Toc490600016 \h </w:instrText>
        </w:r>
        <w:r w:rsidR="006B025E">
          <w:rPr>
            <w:noProof/>
            <w:webHidden/>
          </w:rPr>
        </w:r>
        <w:r w:rsidR="006B025E">
          <w:rPr>
            <w:noProof/>
            <w:webHidden/>
          </w:rPr>
          <w:fldChar w:fldCharType="separate"/>
        </w:r>
        <w:r w:rsidR="00D776FA">
          <w:rPr>
            <w:noProof/>
            <w:webHidden/>
          </w:rPr>
          <w:t>45</w:t>
        </w:r>
        <w:r w:rsidR="006B025E">
          <w:rPr>
            <w:noProof/>
            <w:webHidden/>
          </w:rPr>
          <w:fldChar w:fldCharType="end"/>
        </w:r>
      </w:hyperlink>
    </w:p>
    <w:p w:rsidR="006B025E" w:rsidRDefault="009746F1">
      <w:pPr>
        <w:pStyle w:val="Kazaloslik"/>
        <w:tabs>
          <w:tab w:val="right" w:leader="dot" w:pos="9730"/>
        </w:tabs>
        <w:rPr>
          <w:rFonts w:asciiTheme="minorHAnsi" w:eastAsiaTheme="minorEastAsia" w:hAnsiTheme="minorHAnsi" w:cstheme="minorBidi"/>
          <w:noProof/>
          <w:sz w:val="24"/>
          <w:lang w:val="en-GB" w:eastAsia="en-GB"/>
        </w:rPr>
      </w:pPr>
      <w:hyperlink w:anchor="_Toc490600017" w:history="1">
        <w:r w:rsidR="006B025E" w:rsidRPr="0009216F">
          <w:rPr>
            <w:rStyle w:val="Hiperpovezava"/>
            <w:noProof/>
          </w:rPr>
          <w:t>Tabela 22: Ure radijskega programa (2004–2015)*</w:t>
        </w:r>
        <w:r w:rsidR="006B025E">
          <w:rPr>
            <w:noProof/>
            <w:webHidden/>
          </w:rPr>
          <w:tab/>
        </w:r>
        <w:r w:rsidR="006B025E">
          <w:rPr>
            <w:noProof/>
            <w:webHidden/>
          </w:rPr>
          <w:fldChar w:fldCharType="begin"/>
        </w:r>
        <w:r w:rsidR="006B025E">
          <w:rPr>
            <w:noProof/>
            <w:webHidden/>
          </w:rPr>
          <w:instrText xml:space="preserve"> PAGEREF _Toc490600017 \h </w:instrText>
        </w:r>
        <w:r w:rsidR="006B025E">
          <w:rPr>
            <w:noProof/>
            <w:webHidden/>
          </w:rPr>
        </w:r>
        <w:r w:rsidR="006B025E">
          <w:rPr>
            <w:noProof/>
            <w:webHidden/>
          </w:rPr>
          <w:fldChar w:fldCharType="separate"/>
        </w:r>
        <w:r w:rsidR="00D776FA">
          <w:rPr>
            <w:noProof/>
            <w:webHidden/>
          </w:rPr>
          <w:t>46</w:t>
        </w:r>
        <w:r w:rsidR="006B025E">
          <w:rPr>
            <w:noProof/>
            <w:webHidden/>
          </w:rPr>
          <w:fldChar w:fldCharType="end"/>
        </w:r>
      </w:hyperlink>
    </w:p>
    <w:p w:rsidR="006B025E" w:rsidRDefault="009746F1">
      <w:pPr>
        <w:pStyle w:val="Kazaloslik"/>
        <w:tabs>
          <w:tab w:val="right" w:leader="dot" w:pos="9730"/>
        </w:tabs>
        <w:rPr>
          <w:rFonts w:asciiTheme="minorHAnsi" w:eastAsiaTheme="minorEastAsia" w:hAnsiTheme="minorHAnsi" w:cstheme="minorBidi"/>
          <w:noProof/>
          <w:sz w:val="24"/>
          <w:lang w:val="en-GB" w:eastAsia="en-GB"/>
        </w:rPr>
      </w:pPr>
      <w:hyperlink w:anchor="_Toc490600018" w:history="1">
        <w:r w:rsidR="006B025E" w:rsidRPr="0009216F">
          <w:rPr>
            <w:rStyle w:val="Hiperpovezava"/>
            <w:noProof/>
          </w:rPr>
          <w:t>Graf 18: Struktura radijskega glasbenega programa (2004–2015)</w:t>
        </w:r>
        <w:r w:rsidR="006B025E">
          <w:rPr>
            <w:noProof/>
            <w:webHidden/>
          </w:rPr>
          <w:tab/>
        </w:r>
        <w:r w:rsidR="006B025E">
          <w:rPr>
            <w:noProof/>
            <w:webHidden/>
          </w:rPr>
          <w:fldChar w:fldCharType="begin"/>
        </w:r>
        <w:r w:rsidR="006B025E">
          <w:rPr>
            <w:noProof/>
            <w:webHidden/>
          </w:rPr>
          <w:instrText xml:space="preserve"> PAGEREF _Toc490600018 \h </w:instrText>
        </w:r>
        <w:r w:rsidR="006B025E">
          <w:rPr>
            <w:noProof/>
            <w:webHidden/>
          </w:rPr>
        </w:r>
        <w:r w:rsidR="006B025E">
          <w:rPr>
            <w:noProof/>
            <w:webHidden/>
          </w:rPr>
          <w:fldChar w:fldCharType="separate"/>
        </w:r>
        <w:r w:rsidR="00D776FA">
          <w:rPr>
            <w:noProof/>
            <w:webHidden/>
          </w:rPr>
          <w:t>47</w:t>
        </w:r>
        <w:r w:rsidR="006B025E">
          <w:rPr>
            <w:noProof/>
            <w:webHidden/>
          </w:rPr>
          <w:fldChar w:fldCharType="end"/>
        </w:r>
      </w:hyperlink>
    </w:p>
    <w:p w:rsidR="006B025E" w:rsidRDefault="009746F1">
      <w:pPr>
        <w:pStyle w:val="Kazaloslik"/>
        <w:tabs>
          <w:tab w:val="right" w:leader="dot" w:pos="9730"/>
        </w:tabs>
        <w:rPr>
          <w:rFonts w:asciiTheme="minorHAnsi" w:eastAsiaTheme="minorEastAsia" w:hAnsiTheme="minorHAnsi" w:cstheme="minorBidi"/>
          <w:noProof/>
          <w:sz w:val="24"/>
          <w:lang w:val="en-GB" w:eastAsia="en-GB"/>
        </w:rPr>
      </w:pPr>
      <w:hyperlink w:anchor="_Toc490600019" w:history="1">
        <w:r w:rsidR="006B025E" w:rsidRPr="0009216F">
          <w:rPr>
            <w:rStyle w:val="Hiperpovezava"/>
            <w:noProof/>
          </w:rPr>
          <w:t>Graf 19: Struktura radijskega govornega programa (2004–2015)</w:t>
        </w:r>
        <w:r w:rsidR="006B025E">
          <w:rPr>
            <w:noProof/>
            <w:webHidden/>
          </w:rPr>
          <w:tab/>
        </w:r>
        <w:r w:rsidR="006B025E">
          <w:rPr>
            <w:noProof/>
            <w:webHidden/>
          </w:rPr>
          <w:fldChar w:fldCharType="begin"/>
        </w:r>
        <w:r w:rsidR="006B025E">
          <w:rPr>
            <w:noProof/>
            <w:webHidden/>
          </w:rPr>
          <w:instrText xml:space="preserve"> PAGEREF _Toc490600019 \h </w:instrText>
        </w:r>
        <w:r w:rsidR="006B025E">
          <w:rPr>
            <w:noProof/>
            <w:webHidden/>
          </w:rPr>
        </w:r>
        <w:r w:rsidR="006B025E">
          <w:rPr>
            <w:noProof/>
            <w:webHidden/>
          </w:rPr>
          <w:fldChar w:fldCharType="separate"/>
        </w:r>
        <w:r w:rsidR="00D776FA">
          <w:rPr>
            <w:noProof/>
            <w:webHidden/>
          </w:rPr>
          <w:t>47</w:t>
        </w:r>
        <w:r w:rsidR="006B025E">
          <w:rPr>
            <w:noProof/>
            <w:webHidden/>
          </w:rPr>
          <w:fldChar w:fldCharType="end"/>
        </w:r>
      </w:hyperlink>
    </w:p>
    <w:p w:rsidR="006B025E" w:rsidRDefault="009746F1">
      <w:pPr>
        <w:pStyle w:val="Kazaloslik"/>
        <w:tabs>
          <w:tab w:val="right" w:leader="dot" w:pos="9730"/>
        </w:tabs>
        <w:rPr>
          <w:rFonts w:asciiTheme="minorHAnsi" w:eastAsiaTheme="minorEastAsia" w:hAnsiTheme="minorHAnsi" w:cstheme="minorBidi"/>
          <w:noProof/>
          <w:sz w:val="24"/>
          <w:lang w:val="en-GB" w:eastAsia="en-GB"/>
        </w:rPr>
      </w:pPr>
      <w:hyperlink w:anchor="_Toc490600020" w:history="1">
        <w:r w:rsidR="006B025E" w:rsidRPr="0009216F">
          <w:rPr>
            <w:rStyle w:val="Hiperpovezava"/>
            <w:noProof/>
          </w:rPr>
          <w:t>Tabela 23: Ure televizijskega programa (2004–2015)</w:t>
        </w:r>
        <w:r w:rsidR="006B025E">
          <w:rPr>
            <w:noProof/>
            <w:webHidden/>
          </w:rPr>
          <w:tab/>
        </w:r>
        <w:r w:rsidR="006B025E">
          <w:rPr>
            <w:noProof/>
            <w:webHidden/>
          </w:rPr>
          <w:fldChar w:fldCharType="begin"/>
        </w:r>
        <w:r w:rsidR="006B025E">
          <w:rPr>
            <w:noProof/>
            <w:webHidden/>
          </w:rPr>
          <w:instrText xml:space="preserve"> PAGEREF _Toc490600020 \h </w:instrText>
        </w:r>
        <w:r w:rsidR="006B025E">
          <w:rPr>
            <w:noProof/>
            <w:webHidden/>
          </w:rPr>
        </w:r>
        <w:r w:rsidR="006B025E">
          <w:rPr>
            <w:noProof/>
            <w:webHidden/>
          </w:rPr>
          <w:fldChar w:fldCharType="separate"/>
        </w:r>
        <w:r w:rsidR="00D776FA">
          <w:rPr>
            <w:noProof/>
            <w:webHidden/>
          </w:rPr>
          <w:t>48</w:t>
        </w:r>
        <w:r w:rsidR="006B025E">
          <w:rPr>
            <w:noProof/>
            <w:webHidden/>
          </w:rPr>
          <w:fldChar w:fldCharType="end"/>
        </w:r>
      </w:hyperlink>
    </w:p>
    <w:p w:rsidR="006B025E" w:rsidRDefault="009746F1">
      <w:pPr>
        <w:pStyle w:val="Kazaloslik"/>
        <w:tabs>
          <w:tab w:val="right" w:leader="dot" w:pos="9730"/>
        </w:tabs>
        <w:rPr>
          <w:rFonts w:asciiTheme="minorHAnsi" w:eastAsiaTheme="minorEastAsia" w:hAnsiTheme="minorHAnsi" w:cstheme="minorBidi"/>
          <w:noProof/>
          <w:sz w:val="24"/>
          <w:lang w:val="en-GB" w:eastAsia="en-GB"/>
        </w:rPr>
      </w:pPr>
      <w:hyperlink w:anchor="_Toc490600021" w:history="1">
        <w:r w:rsidR="006B025E" w:rsidRPr="0009216F">
          <w:rPr>
            <w:rStyle w:val="Hiperpovezava"/>
            <w:noProof/>
          </w:rPr>
          <w:t>Graf 20: Struktura predvajanih televizijskih zvrsti (2004 in 2015)</w:t>
        </w:r>
        <w:r w:rsidR="006B025E">
          <w:rPr>
            <w:noProof/>
            <w:webHidden/>
          </w:rPr>
          <w:tab/>
        </w:r>
        <w:r w:rsidR="006B025E">
          <w:rPr>
            <w:noProof/>
            <w:webHidden/>
          </w:rPr>
          <w:fldChar w:fldCharType="begin"/>
        </w:r>
        <w:r w:rsidR="006B025E">
          <w:rPr>
            <w:noProof/>
            <w:webHidden/>
          </w:rPr>
          <w:instrText xml:space="preserve"> PAGEREF _Toc490600021 \h </w:instrText>
        </w:r>
        <w:r w:rsidR="006B025E">
          <w:rPr>
            <w:noProof/>
            <w:webHidden/>
          </w:rPr>
        </w:r>
        <w:r w:rsidR="006B025E">
          <w:rPr>
            <w:noProof/>
            <w:webHidden/>
          </w:rPr>
          <w:fldChar w:fldCharType="separate"/>
        </w:r>
        <w:r w:rsidR="00D776FA">
          <w:rPr>
            <w:noProof/>
            <w:webHidden/>
          </w:rPr>
          <w:t>49</w:t>
        </w:r>
        <w:r w:rsidR="006B025E">
          <w:rPr>
            <w:noProof/>
            <w:webHidden/>
          </w:rPr>
          <w:fldChar w:fldCharType="end"/>
        </w:r>
      </w:hyperlink>
    </w:p>
    <w:p w:rsidR="006B025E" w:rsidRDefault="009746F1">
      <w:pPr>
        <w:pStyle w:val="Kazaloslik"/>
        <w:tabs>
          <w:tab w:val="right" w:leader="dot" w:pos="9730"/>
        </w:tabs>
        <w:rPr>
          <w:rFonts w:asciiTheme="minorHAnsi" w:eastAsiaTheme="minorEastAsia" w:hAnsiTheme="minorHAnsi" w:cstheme="minorBidi"/>
          <w:noProof/>
          <w:sz w:val="24"/>
          <w:lang w:val="en-GB" w:eastAsia="en-GB"/>
        </w:rPr>
      </w:pPr>
      <w:hyperlink w:anchor="_Toc490600022" w:history="1">
        <w:r w:rsidR="006B025E" w:rsidRPr="0009216F">
          <w:rPr>
            <w:rStyle w:val="Hiperpovezava"/>
            <w:noProof/>
          </w:rPr>
          <w:t>Graf 21: Kinematografi z dolgometražnimi filmi in njihov obisk (2004–2015)</w:t>
        </w:r>
        <w:r w:rsidR="006B025E">
          <w:rPr>
            <w:noProof/>
            <w:webHidden/>
          </w:rPr>
          <w:tab/>
        </w:r>
        <w:r w:rsidR="006B025E">
          <w:rPr>
            <w:noProof/>
            <w:webHidden/>
          </w:rPr>
          <w:fldChar w:fldCharType="begin"/>
        </w:r>
        <w:r w:rsidR="006B025E">
          <w:rPr>
            <w:noProof/>
            <w:webHidden/>
          </w:rPr>
          <w:instrText xml:space="preserve"> PAGEREF _Toc490600022 \h </w:instrText>
        </w:r>
        <w:r w:rsidR="006B025E">
          <w:rPr>
            <w:noProof/>
            <w:webHidden/>
          </w:rPr>
        </w:r>
        <w:r w:rsidR="006B025E">
          <w:rPr>
            <w:noProof/>
            <w:webHidden/>
          </w:rPr>
          <w:fldChar w:fldCharType="separate"/>
        </w:r>
        <w:r w:rsidR="00D776FA">
          <w:rPr>
            <w:noProof/>
            <w:webHidden/>
          </w:rPr>
          <w:t>50</w:t>
        </w:r>
        <w:r w:rsidR="006B025E">
          <w:rPr>
            <w:noProof/>
            <w:webHidden/>
          </w:rPr>
          <w:fldChar w:fldCharType="end"/>
        </w:r>
      </w:hyperlink>
    </w:p>
    <w:p w:rsidR="006B025E" w:rsidRDefault="009746F1">
      <w:pPr>
        <w:pStyle w:val="Kazaloslik"/>
        <w:tabs>
          <w:tab w:val="right" w:leader="dot" w:pos="9730"/>
        </w:tabs>
        <w:rPr>
          <w:rFonts w:asciiTheme="minorHAnsi" w:eastAsiaTheme="minorEastAsia" w:hAnsiTheme="minorHAnsi" w:cstheme="minorBidi"/>
          <w:noProof/>
          <w:sz w:val="24"/>
          <w:lang w:val="en-GB" w:eastAsia="en-GB"/>
        </w:rPr>
      </w:pPr>
      <w:hyperlink w:anchor="_Toc490600023" w:history="1">
        <w:r w:rsidR="006B025E" w:rsidRPr="0009216F">
          <w:rPr>
            <w:rStyle w:val="Hiperpovezava"/>
            <w:noProof/>
          </w:rPr>
          <w:t>Graf 22: Poklicni orkestri in zbori ter koncerti v matični hiši (2010–2015)*</w:t>
        </w:r>
        <w:r w:rsidR="006B025E">
          <w:rPr>
            <w:noProof/>
            <w:webHidden/>
          </w:rPr>
          <w:tab/>
        </w:r>
        <w:r w:rsidR="006B025E">
          <w:rPr>
            <w:noProof/>
            <w:webHidden/>
          </w:rPr>
          <w:fldChar w:fldCharType="begin"/>
        </w:r>
        <w:r w:rsidR="006B025E">
          <w:rPr>
            <w:noProof/>
            <w:webHidden/>
          </w:rPr>
          <w:instrText xml:space="preserve"> PAGEREF _Toc490600023 \h </w:instrText>
        </w:r>
        <w:r w:rsidR="006B025E">
          <w:rPr>
            <w:noProof/>
            <w:webHidden/>
          </w:rPr>
        </w:r>
        <w:r w:rsidR="006B025E">
          <w:rPr>
            <w:noProof/>
            <w:webHidden/>
          </w:rPr>
          <w:fldChar w:fldCharType="separate"/>
        </w:r>
        <w:r w:rsidR="00D776FA">
          <w:rPr>
            <w:noProof/>
            <w:webHidden/>
          </w:rPr>
          <w:t>51</w:t>
        </w:r>
        <w:r w:rsidR="006B025E">
          <w:rPr>
            <w:noProof/>
            <w:webHidden/>
          </w:rPr>
          <w:fldChar w:fldCharType="end"/>
        </w:r>
      </w:hyperlink>
    </w:p>
    <w:p w:rsidR="006B025E" w:rsidRDefault="009746F1">
      <w:pPr>
        <w:pStyle w:val="Kazaloslik"/>
        <w:tabs>
          <w:tab w:val="right" w:leader="dot" w:pos="9730"/>
        </w:tabs>
        <w:rPr>
          <w:rFonts w:asciiTheme="minorHAnsi" w:eastAsiaTheme="minorEastAsia" w:hAnsiTheme="minorHAnsi" w:cstheme="minorBidi"/>
          <w:noProof/>
          <w:sz w:val="24"/>
          <w:lang w:val="en-GB" w:eastAsia="en-GB"/>
        </w:rPr>
      </w:pPr>
      <w:hyperlink w:anchor="_Toc490600024" w:history="1">
        <w:r w:rsidR="006B025E" w:rsidRPr="0009216F">
          <w:rPr>
            <w:rStyle w:val="Hiperpovezava"/>
            <w:noProof/>
          </w:rPr>
          <w:t>Graf 23: Poslušalci koncertov v matični hiši (2010–2015)</w:t>
        </w:r>
        <w:r w:rsidR="006B025E">
          <w:rPr>
            <w:noProof/>
            <w:webHidden/>
          </w:rPr>
          <w:tab/>
        </w:r>
        <w:r w:rsidR="006B025E">
          <w:rPr>
            <w:noProof/>
            <w:webHidden/>
          </w:rPr>
          <w:fldChar w:fldCharType="begin"/>
        </w:r>
        <w:r w:rsidR="006B025E">
          <w:rPr>
            <w:noProof/>
            <w:webHidden/>
          </w:rPr>
          <w:instrText xml:space="preserve"> PAGEREF _Toc490600024 \h </w:instrText>
        </w:r>
        <w:r w:rsidR="006B025E">
          <w:rPr>
            <w:noProof/>
            <w:webHidden/>
          </w:rPr>
        </w:r>
        <w:r w:rsidR="006B025E">
          <w:rPr>
            <w:noProof/>
            <w:webHidden/>
          </w:rPr>
          <w:fldChar w:fldCharType="separate"/>
        </w:r>
        <w:r w:rsidR="00D776FA">
          <w:rPr>
            <w:noProof/>
            <w:webHidden/>
          </w:rPr>
          <w:t>51</w:t>
        </w:r>
        <w:r w:rsidR="006B025E">
          <w:rPr>
            <w:noProof/>
            <w:webHidden/>
          </w:rPr>
          <w:fldChar w:fldCharType="end"/>
        </w:r>
      </w:hyperlink>
    </w:p>
    <w:p w:rsidR="006B025E" w:rsidRDefault="009746F1">
      <w:pPr>
        <w:pStyle w:val="Kazaloslik"/>
        <w:tabs>
          <w:tab w:val="right" w:leader="dot" w:pos="9730"/>
        </w:tabs>
        <w:rPr>
          <w:rFonts w:asciiTheme="minorHAnsi" w:eastAsiaTheme="minorEastAsia" w:hAnsiTheme="minorHAnsi" w:cstheme="minorBidi"/>
          <w:noProof/>
          <w:sz w:val="24"/>
          <w:lang w:val="en-GB" w:eastAsia="en-GB"/>
        </w:rPr>
      </w:pPr>
      <w:hyperlink w:anchor="_Toc490600025" w:history="1">
        <w:r w:rsidR="006B025E" w:rsidRPr="0009216F">
          <w:rPr>
            <w:rStyle w:val="Hiperpovezava"/>
            <w:noProof/>
          </w:rPr>
          <w:t>Graf 24: Razstave in obiskovalci v muzejih ter galerijah (2004–2015)</w:t>
        </w:r>
        <w:r w:rsidR="006B025E">
          <w:rPr>
            <w:noProof/>
            <w:webHidden/>
          </w:rPr>
          <w:tab/>
        </w:r>
        <w:r w:rsidR="006B025E">
          <w:rPr>
            <w:noProof/>
            <w:webHidden/>
          </w:rPr>
          <w:fldChar w:fldCharType="begin"/>
        </w:r>
        <w:r w:rsidR="006B025E">
          <w:rPr>
            <w:noProof/>
            <w:webHidden/>
          </w:rPr>
          <w:instrText xml:space="preserve"> PAGEREF _Toc490600025 \h </w:instrText>
        </w:r>
        <w:r w:rsidR="006B025E">
          <w:rPr>
            <w:noProof/>
            <w:webHidden/>
          </w:rPr>
        </w:r>
        <w:r w:rsidR="006B025E">
          <w:rPr>
            <w:noProof/>
            <w:webHidden/>
          </w:rPr>
          <w:fldChar w:fldCharType="separate"/>
        </w:r>
        <w:r w:rsidR="00D776FA">
          <w:rPr>
            <w:noProof/>
            <w:webHidden/>
          </w:rPr>
          <w:t>52</w:t>
        </w:r>
        <w:r w:rsidR="006B025E">
          <w:rPr>
            <w:noProof/>
            <w:webHidden/>
          </w:rPr>
          <w:fldChar w:fldCharType="end"/>
        </w:r>
      </w:hyperlink>
    </w:p>
    <w:p w:rsidR="006B025E" w:rsidRDefault="009746F1">
      <w:pPr>
        <w:pStyle w:val="Kazaloslik"/>
        <w:tabs>
          <w:tab w:val="right" w:leader="dot" w:pos="9730"/>
        </w:tabs>
        <w:rPr>
          <w:rFonts w:asciiTheme="minorHAnsi" w:eastAsiaTheme="minorEastAsia" w:hAnsiTheme="minorHAnsi" w:cstheme="minorBidi"/>
          <w:noProof/>
          <w:sz w:val="24"/>
          <w:lang w:val="en-GB" w:eastAsia="en-GB"/>
        </w:rPr>
      </w:pPr>
      <w:hyperlink w:anchor="_Toc490600026" w:history="1">
        <w:r w:rsidR="006B025E" w:rsidRPr="0009216F">
          <w:rPr>
            <w:rStyle w:val="Hiperpovezava"/>
            <w:noProof/>
          </w:rPr>
          <w:t>Tabela 24: Prireditve v kulturnih domovih in njihov obisk (2004–2015)</w:t>
        </w:r>
        <w:r w:rsidR="006B025E">
          <w:rPr>
            <w:noProof/>
            <w:webHidden/>
          </w:rPr>
          <w:tab/>
        </w:r>
        <w:r w:rsidR="006B025E">
          <w:rPr>
            <w:noProof/>
            <w:webHidden/>
          </w:rPr>
          <w:fldChar w:fldCharType="begin"/>
        </w:r>
        <w:r w:rsidR="006B025E">
          <w:rPr>
            <w:noProof/>
            <w:webHidden/>
          </w:rPr>
          <w:instrText xml:space="preserve"> PAGEREF _Toc490600026 \h </w:instrText>
        </w:r>
        <w:r w:rsidR="006B025E">
          <w:rPr>
            <w:noProof/>
            <w:webHidden/>
          </w:rPr>
        </w:r>
        <w:r w:rsidR="006B025E">
          <w:rPr>
            <w:noProof/>
            <w:webHidden/>
          </w:rPr>
          <w:fldChar w:fldCharType="separate"/>
        </w:r>
        <w:r w:rsidR="00D776FA">
          <w:rPr>
            <w:noProof/>
            <w:webHidden/>
          </w:rPr>
          <w:t>52</w:t>
        </w:r>
        <w:r w:rsidR="006B025E">
          <w:rPr>
            <w:noProof/>
            <w:webHidden/>
          </w:rPr>
          <w:fldChar w:fldCharType="end"/>
        </w:r>
      </w:hyperlink>
    </w:p>
    <w:p w:rsidR="006B025E" w:rsidRDefault="009746F1">
      <w:pPr>
        <w:pStyle w:val="Kazaloslik"/>
        <w:tabs>
          <w:tab w:val="right" w:leader="dot" w:pos="9730"/>
        </w:tabs>
        <w:rPr>
          <w:rFonts w:asciiTheme="minorHAnsi" w:eastAsiaTheme="minorEastAsia" w:hAnsiTheme="minorHAnsi" w:cstheme="minorBidi"/>
          <w:noProof/>
          <w:sz w:val="24"/>
          <w:lang w:val="en-GB" w:eastAsia="en-GB"/>
        </w:rPr>
      </w:pPr>
      <w:hyperlink w:anchor="_Toc490600027" w:history="1">
        <w:r w:rsidR="006B025E" w:rsidRPr="0009216F">
          <w:rPr>
            <w:rStyle w:val="Hiperpovezava"/>
            <w:noProof/>
          </w:rPr>
          <w:t>Tabela 25: Gledališke predstave in njihov obisk (2004–2015)</w:t>
        </w:r>
        <w:r w:rsidR="006B025E">
          <w:rPr>
            <w:noProof/>
            <w:webHidden/>
          </w:rPr>
          <w:tab/>
        </w:r>
        <w:r w:rsidR="006B025E">
          <w:rPr>
            <w:noProof/>
            <w:webHidden/>
          </w:rPr>
          <w:fldChar w:fldCharType="begin"/>
        </w:r>
        <w:r w:rsidR="006B025E">
          <w:rPr>
            <w:noProof/>
            <w:webHidden/>
          </w:rPr>
          <w:instrText xml:space="preserve"> PAGEREF _Toc490600027 \h </w:instrText>
        </w:r>
        <w:r w:rsidR="006B025E">
          <w:rPr>
            <w:noProof/>
            <w:webHidden/>
          </w:rPr>
        </w:r>
        <w:r w:rsidR="006B025E">
          <w:rPr>
            <w:noProof/>
            <w:webHidden/>
          </w:rPr>
          <w:fldChar w:fldCharType="separate"/>
        </w:r>
        <w:r w:rsidR="00D776FA">
          <w:rPr>
            <w:noProof/>
            <w:webHidden/>
          </w:rPr>
          <w:t>53</w:t>
        </w:r>
        <w:r w:rsidR="006B025E">
          <w:rPr>
            <w:noProof/>
            <w:webHidden/>
          </w:rPr>
          <w:fldChar w:fldCharType="end"/>
        </w:r>
      </w:hyperlink>
    </w:p>
    <w:p w:rsidR="006B025E" w:rsidRDefault="009746F1">
      <w:pPr>
        <w:pStyle w:val="Kazaloslik"/>
        <w:tabs>
          <w:tab w:val="right" w:leader="dot" w:pos="9730"/>
        </w:tabs>
        <w:rPr>
          <w:rFonts w:asciiTheme="minorHAnsi" w:eastAsiaTheme="minorEastAsia" w:hAnsiTheme="minorHAnsi" w:cstheme="minorBidi"/>
          <w:noProof/>
          <w:sz w:val="24"/>
          <w:lang w:val="en-GB" w:eastAsia="en-GB"/>
        </w:rPr>
      </w:pPr>
      <w:hyperlink w:anchor="_Toc490600028" w:history="1">
        <w:r w:rsidR="006B025E" w:rsidRPr="0009216F">
          <w:rPr>
            <w:rStyle w:val="Hiperpovezava"/>
            <w:noProof/>
          </w:rPr>
          <w:t>Graf 25: Razmerje med gledališkimi predstavami in obiskom (2004–2015)</w:t>
        </w:r>
        <w:r w:rsidR="006B025E">
          <w:rPr>
            <w:noProof/>
            <w:webHidden/>
          </w:rPr>
          <w:tab/>
        </w:r>
        <w:r w:rsidR="006B025E">
          <w:rPr>
            <w:noProof/>
            <w:webHidden/>
          </w:rPr>
          <w:fldChar w:fldCharType="begin"/>
        </w:r>
        <w:r w:rsidR="006B025E">
          <w:rPr>
            <w:noProof/>
            <w:webHidden/>
          </w:rPr>
          <w:instrText xml:space="preserve"> PAGEREF _Toc490600028 \h </w:instrText>
        </w:r>
        <w:r w:rsidR="006B025E">
          <w:rPr>
            <w:noProof/>
            <w:webHidden/>
          </w:rPr>
        </w:r>
        <w:r w:rsidR="006B025E">
          <w:rPr>
            <w:noProof/>
            <w:webHidden/>
          </w:rPr>
          <w:fldChar w:fldCharType="separate"/>
        </w:r>
        <w:r w:rsidR="00D776FA">
          <w:rPr>
            <w:noProof/>
            <w:webHidden/>
          </w:rPr>
          <w:t>53</w:t>
        </w:r>
        <w:r w:rsidR="006B025E">
          <w:rPr>
            <w:noProof/>
            <w:webHidden/>
          </w:rPr>
          <w:fldChar w:fldCharType="end"/>
        </w:r>
      </w:hyperlink>
    </w:p>
    <w:p w:rsidR="006B025E" w:rsidRDefault="009746F1">
      <w:pPr>
        <w:pStyle w:val="Kazaloslik"/>
        <w:tabs>
          <w:tab w:val="right" w:leader="dot" w:pos="9730"/>
        </w:tabs>
        <w:rPr>
          <w:rFonts w:asciiTheme="minorHAnsi" w:eastAsiaTheme="minorEastAsia" w:hAnsiTheme="minorHAnsi" w:cstheme="minorBidi"/>
          <w:noProof/>
          <w:sz w:val="24"/>
          <w:lang w:val="en-GB" w:eastAsia="en-GB"/>
        </w:rPr>
      </w:pPr>
      <w:hyperlink w:anchor="_Toc490600029" w:history="1">
        <w:r w:rsidR="006B025E" w:rsidRPr="0009216F">
          <w:rPr>
            <w:rStyle w:val="Hiperpovezava"/>
            <w:noProof/>
          </w:rPr>
          <w:t>Graf 26: Struktura predstav in struktura njihovega obiska (2015)</w:t>
        </w:r>
        <w:r w:rsidR="006B025E">
          <w:rPr>
            <w:noProof/>
            <w:webHidden/>
          </w:rPr>
          <w:tab/>
        </w:r>
        <w:r w:rsidR="006B025E">
          <w:rPr>
            <w:noProof/>
            <w:webHidden/>
          </w:rPr>
          <w:fldChar w:fldCharType="begin"/>
        </w:r>
        <w:r w:rsidR="006B025E">
          <w:rPr>
            <w:noProof/>
            <w:webHidden/>
          </w:rPr>
          <w:instrText xml:space="preserve"> PAGEREF _Toc490600029 \h </w:instrText>
        </w:r>
        <w:r w:rsidR="006B025E">
          <w:rPr>
            <w:noProof/>
            <w:webHidden/>
          </w:rPr>
        </w:r>
        <w:r w:rsidR="006B025E">
          <w:rPr>
            <w:noProof/>
            <w:webHidden/>
          </w:rPr>
          <w:fldChar w:fldCharType="separate"/>
        </w:r>
        <w:r w:rsidR="00D776FA">
          <w:rPr>
            <w:noProof/>
            <w:webHidden/>
          </w:rPr>
          <w:t>53</w:t>
        </w:r>
        <w:r w:rsidR="006B025E">
          <w:rPr>
            <w:noProof/>
            <w:webHidden/>
          </w:rPr>
          <w:fldChar w:fldCharType="end"/>
        </w:r>
      </w:hyperlink>
    </w:p>
    <w:p w:rsidR="006B025E" w:rsidRDefault="009746F1">
      <w:pPr>
        <w:pStyle w:val="Kazaloslik"/>
        <w:tabs>
          <w:tab w:val="right" w:leader="dot" w:pos="9730"/>
        </w:tabs>
        <w:rPr>
          <w:rFonts w:asciiTheme="minorHAnsi" w:eastAsiaTheme="minorEastAsia" w:hAnsiTheme="minorHAnsi" w:cstheme="minorBidi"/>
          <w:noProof/>
          <w:sz w:val="24"/>
          <w:lang w:val="en-GB" w:eastAsia="en-GB"/>
        </w:rPr>
      </w:pPr>
      <w:hyperlink w:anchor="_Toc490600030" w:history="1">
        <w:r w:rsidR="006B025E" w:rsidRPr="0009216F">
          <w:rPr>
            <w:rStyle w:val="Hiperpovezava"/>
            <w:noProof/>
          </w:rPr>
          <w:t>Graf 27: Razmerje med lastnimi in gostujočimi predstavami v matični hiši (2004–2015)</w:t>
        </w:r>
        <w:r w:rsidR="006B025E">
          <w:rPr>
            <w:noProof/>
            <w:webHidden/>
          </w:rPr>
          <w:tab/>
        </w:r>
        <w:r w:rsidR="006B025E">
          <w:rPr>
            <w:noProof/>
            <w:webHidden/>
          </w:rPr>
          <w:fldChar w:fldCharType="begin"/>
        </w:r>
        <w:r w:rsidR="006B025E">
          <w:rPr>
            <w:noProof/>
            <w:webHidden/>
          </w:rPr>
          <w:instrText xml:space="preserve"> PAGEREF _Toc490600030 \h </w:instrText>
        </w:r>
        <w:r w:rsidR="006B025E">
          <w:rPr>
            <w:noProof/>
            <w:webHidden/>
          </w:rPr>
        </w:r>
        <w:r w:rsidR="006B025E">
          <w:rPr>
            <w:noProof/>
            <w:webHidden/>
          </w:rPr>
          <w:fldChar w:fldCharType="separate"/>
        </w:r>
        <w:r w:rsidR="00D776FA">
          <w:rPr>
            <w:noProof/>
            <w:webHidden/>
          </w:rPr>
          <w:t>54</w:t>
        </w:r>
        <w:r w:rsidR="006B025E">
          <w:rPr>
            <w:noProof/>
            <w:webHidden/>
          </w:rPr>
          <w:fldChar w:fldCharType="end"/>
        </w:r>
      </w:hyperlink>
    </w:p>
    <w:p w:rsidR="006B025E" w:rsidRDefault="009746F1">
      <w:pPr>
        <w:pStyle w:val="Kazaloslik"/>
        <w:tabs>
          <w:tab w:val="right" w:leader="dot" w:pos="9730"/>
        </w:tabs>
        <w:rPr>
          <w:rFonts w:asciiTheme="minorHAnsi" w:eastAsiaTheme="minorEastAsia" w:hAnsiTheme="minorHAnsi" w:cstheme="minorBidi"/>
          <w:noProof/>
          <w:sz w:val="24"/>
          <w:lang w:val="en-GB" w:eastAsia="en-GB"/>
        </w:rPr>
      </w:pPr>
      <w:hyperlink w:anchor="_Toc490600031" w:history="1">
        <w:r w:rsidR="006B025E" w:rsidRPr="0009216F">
          <w:rPr>
            <w:rStyle w:val="Hiperpovezava"/>
            <w:noProof/>
          </w:rPr>
          <w:t>Graf 28: Predstave na gostovanjih zunaj matične hiše in gostovanjih v njej (2004–2015)*</w:t>
        </w:r>
        <w:r w:rsidR="006B025E">
          <w:rPr>
            <w:noProof/>
            <w:webHidden/>
          </w:rPr>
          <w:tab/>
        </w:r>
        <w:r w:rsidR="006B025E">
          <w:rPr>
            <w:noProof/>
            <w:webHidden/>
          </w:rPr>
          <w:fldChar w:fldCharType="begin"/>
        </w:r>
        <w:r w:rsidR="006B025E">
          <w:rPr>
            <w:noProof/>
            <w:webHidden/>
          </w:rPr>
          <w:instrText xml:space="preserve"> PAGEREF _Toc490600031 \h </w:instrText>
        </w:r>
        <w:r w:rsidR="006B025E">
          <w:rPr>
            <w:noProof/>
            <w:webHidden/>
          </w:rPr>
        </w:r>
        <w:r w:rsidR="006B025E">
          <w:rPr>
            <w:noProof/>
            <w:webHidden/>
          </w:rPr>
          <w:fldChar w:fldCharType="separate"/>
        </w:r>
        <w:r w:rsidR="00D776FA">
          <w:rPr>
            <w:noProof/>
            <w:webHidden/>
          </w:rPr>
          <w:t>54</w:t>
        </w:r>
        <w:r w:rsidR="006B025E">
          <w:rPr>
            <w:noProof/>
            <w:webHidden/>
          </w:rPr>
          <w:fldChar w:fldCharType="end"/>
        </w:r>
      </w:hyperlink>
    </w:p>
    <w:p w:rsidR="006B025E" w:rsidRDefault="009746F1">
      <w:pPr>
        <w:pStyle w:val="Kazaloslik"/>
        <w:tabs>
          <w:tab w:val="right" w:leader="dot" w:pos="9730"/>
        </w:tabs>
        <w:rPr>
          <w:rFonts w:asciiTheme="minorHAnsi" w:eastAsiaTheme="minorEastAsia" w:hAnsiTheme="minorHAnsi" w:cstheme="minorBidi"/>
          <w:noProof/>
          <w:sz w:val="24"/>
          <w:lang w:val="en-GB" w:eastAsia="en-GB"/>
        </w:rPr>
      </w:pPr>
      <w:hyperlink w:anchor="_Toc490600032" w:history="1">
        <w:r w:rsidR="006B025E" w:rsidRPr="0009216F">
          <w:rPr>
            <w:rStyle w:val="Hiperpovezava"/>
            <w:noProof/>
          </w:rPr>
          <w:t>Graf 29: Struktura predstav (2004–2015)*</w:t>
        </w:r>
        <w:r w:rsidR="006B025E">
          <w:rPr>
            <w:noProof/>
            <w:webHidden/>
          </w:rPr>
          <w:tab/>
        </w:r>
        <w:r w:rsidR="006B025E">
          <w:rPr>
            <w:noProof/>
            <w:webHidden/>
          </w:rPr>
          <w:fldChar w:fldCharType="begin"/>
        </w:r>
        <w:r w:rsidR="006B025E">
          <w:rPr>
            <w:noProof/>
            <w:webHidden/>
          </w:rPr>
          <w:instrText xml:space="preserve"> PAGEREF _Toc490600032 \h </w:instrText>
        </w:r>
        <w:r w:rsidR="006B025E">
          <w:rPr>
            <w:noProof/>
            <w:webHidden/>
          </w:rPr>
        </w:r>
        <w:r w:rsidR="006B025E">
          <w:rPr>
            <w:noProof/>
            <w:webHidden/>
          </w:rPr>
          <w:fldChar w:fldCharType="separate"/>
        </w:r>
        <w:r w:rsidR="00D776FA">
          <w:rPr>
            <w:noProof/>
            <w:webHidden/>
          </w:rPr>
          <w:t>55</w:t>
        </w:r>
        <w:r w:rsidR="006B025E">
          <w:rPr>
            <w:noProof/>
            <w:webHidden/>
          </w:rPr>
          <w:fldChar w:fldCharType="end"/>
        </w:r>
      </w:hyperlink>
    </w:p>
    <w:p w:rsidR="006B025E" w:rsidRDefault="009746F1">
      <w:pPr>
        <w:pStyle w:val="Kazaloslik"/>
        <w:tabs>
          <w:tab w:val="right" w:leader="dot" w:pos="9730"/>
        </w:tabs>
        <w:rPr>
          <w:rFonts w:asciiTheme="minorHAnsi" w:eastAsiaTheme="minorEastAsia" w:hAnsiTheme="minorHAnsi" w:cstheme="minorBidi"/>
          <w:noProof/>
          <w:sz w:val="24"/>
          <w:lang w:val="en-GB" w:eastAsia="en-GB"/>
        </w:rPr>
      </w:pPr>
      <w:hyperlink w:anchor="_Toc490600033" w:history="1">
        <w:r w:rsidR="006B025E" w:rsidRPr="0009216F">
          <w:rPr>
            <w:rStyle w:val="Hiperpovezava"/>
            <w:noProof/>
          </w:rPr>
          <w:t>Graf 30: Časovnica festivalov – novi festivali v posameznem letu (1991–2016)*</w:t>
        </w:r>
        <w:r w:rsidR="006B025E">
          <w:rPr>
            <w:noProof/>
            <w:webHidden/>
          </w:rPr>
          <w:tab/>
        </w:r>
        <w:r w:rsidR="006B025E">
          <w:rPr>
            <w:noProof/>
            <w:webHidden/>
          </w:rPr>
          <w:fldChar w:fldCharType="begin"/>
        </w:r>
        <w:r w:rsidR="006B025E">
          <w:rPr>
            <w:noProof/>
            <w:webHidden/>
          </w:rPr>
          <w:instrText xml:space="preserve"> PAGEREF _Toc490600033 \h </w:instrText>
        </w:r>
        <w:r w:rsidR="006B025E">
          <w:rPr>
            <w:noProof/>
            <w:webHidden/>
          </w:rPr>
        </w:r>
        <w:r w:rsidR="006B025E">
          <w:rPr>
            <w:noProof/>
            <w:webHidden/>
          </w:rPr>
          <w:fldChar w:fldCharType="separate"/>
        </w:r>
        <w:r w:rsidR="00D776FA">
          <w:rPr>
            <w:noProof/>
            <w:webHidden/>
          </w:rPr>
          <w:t>56</w:t>
        </w:r>
        <w:r w:rsidR="006B025E">
          <w:rPr>
            <w:noProof/>
            <w:webHidden/>
          </w:rPr>
          <w:fldChar w:fldCharType="end"/>
        </w:r>
      </w:hyperlink>
    </w:p>
    <w:p w:rsidR="006B025E" w:rsidRDefault="009746F1">
      <w:pPr>
        <w:pStyle w:val="Kazaloslik"/>
        <w:tabs>
          <w:tab w:val="right" w:leader="dot" w:pos="9730"/>
        </w:tabs>
        <w:rPr>
          <w:rFonts w:asciiTheme="minorHAnsi" w:eastAsiaTheme="minorEastAsia" w:hAnsiTheme="minorHAnsi" w:cstheme="minorBidi"/>
          <w:noProof/>
          <w:sz w:val="24"/>
          <w:lang w:val="en-GB" w:eastAsia="en-GB"/>
        </w:rPr>
      </w:pPr>
      <w:hyperlink w:anchor="_Toc490600034" w:history="1">
        <w:r w:rsidR="006B025E" w:rsidRPr="0009216F">
          <w:rPr>
            <w:rStyle w:val="Hiperpovezava"/>
            <w:noProof/>
          </w:rPr>
          <w:t>Tabela 26: Festivali po področjih (2012–2016)*</w:t>
        </w:r>
        <w:r w:rsidR="006B025E">
          <w:rPr>
            <w:noProof/>
            <w:webHidden/>
          </w:rPr>
          <w:tab/>
        </w:r>
        <w:r w:rsidR="006B025E">
          <w:rPr>
            <w:noProof/>
            <w:webHidden/>
          </w:rPr>
          <w:fldChar w:fldCharType="begin"/>
        </w:r>
        <w:r w:rsidR="006B025E">
          <w:rPr>
            <w:noProof/>
            <w:webHidden/>
          </w:rPr>
          <w:instrText xml:space="preserve"> PAGEREF _Toc490600034 \h </w:instrText>
        </w:r>
        <w:r w:rsidR="006B025E">
          <w:rPr>
            <w:noProof/>
            <w:webHidden/>
          </w:rPr>
        </w:r>
        <w:r w:rsidR="006B025E">
          <w:rPr>
            <w:noProof/>
            <w:webHidden/>
          </w:rPr>
          <w:fldChar w:fldCharType="separate"/>
        </w:r>
        <w:r w:rsidR="00D776FA">
          <w:rPr>
            <w:noProof/>
            <w:webHidden/>
          </w:rPr>
          <w:t>56</w:t>
        </w:r>
        <w:r w:rsidR="006B025E">
          <w:rPr>
            <w:noProof/>
            <w:webHidden/>
          </w:rPr>
          <w:fldChar w:fldCharType="end"/>
        </w:r>
      </w:hyperlink>
    </w:p>
    <w:p w:rsidR="006B025E" w:rsidRDefault="009746F1">
      <w:pPr>
        <w:pStyle w:val="Kazaloslik"/>
        <w:tabs>
          <w:tab w:val="right" w:leader="dot" w:pos="9730"/>
        </w:tabs>
        <w:rPr>
          <w:rFonts w:asciiTheme="minorHAnsi" w:eastAsiaTheme="minorEastAsia" w:hAnsiTheme="minorHAnsi" w:cstheme="minorBidi"/>
          <w:noProof/>
          <w:sz w:val="24"/>
          <w:lang w:val="en-GB" w:eastAsia="en-GB"/>
        </w:rPr>
      </w:pPr>
      <w:hyperlink w:anchor="_Toc490600035" w:history="1">
        <w:r w:rsidR="006B025E" w:rsidRPr="0009216F">
          <w:rPr>
            <w:rStyle w:val="Hiperpovezava"/>
            <w:noProof/>
          </w:rPr>
          <w:t>Graf 31: Odstotek delovno aktivnih v kulturi v celotnem številu delovno aktivnih (evropske države, 2008 in 2015)</w:t>
        </w:r>
        <w:r w:rsidR="006B025E">
          <w:rPr>
            <w:noProof/>
            <w:webHidden/>
          </w:rPr>
          <w:tab/>
        </w:r>
        <w:r w:rsidR="006B025E">
          <w:rPr>
            <w:noProof/>
            <w:webHidden/>
          </w:rPr>
          <w:fldChar w:fldCharType="begin"/>
        </w:r>
        <w:r w:rsidR="006B025E">
          <w:rPr>
            <w:noProof/>
            <w:webHidden/>
          </w:rPr>
          <w:instrText xml:space="preserve"> PAGEREF _Toc490600035 \h </w:instrText>
        </w:r>
        <w:r w:rsidR="006B025E">
          <w:rPr>
            <w:noProof/>
            <w:webHidden/>
          </w:rPr>
        </w:r>
        <w:r w:rsidR="006B025E">
          <w:rPr>
            <w:noProof/>
            <w:webHidden/>
          </w:rPr>
          <w:fldChar w:fldCharType="separate"/>
        </w:r>
        <w:r w:rsidR="00D776FA">
          <w:rPr>
            <w:noProof/>
            <w:webHidden/>
          </w:rPr>
          <w:t>58</w:t>
        </w:r>
        <w:r w:rsidR="006B025E">
          <w:rPr>
            <w:noProof/>
            <w:webHidden/>
          </w:rPr>
          <w:fldChar w:fldCharType="end"/>
        </w:r>
      </w:hyperlink>
    </w:p>
    <w:p w:rsidR="006B025E" w:rsidRDefault="009746F1">
      <w:pPr>
        <w:pStyle w:val="Kazaloslik"/>
        <w:tabs>
          <w:tab w:val="right" w:leader="dot" w:pos="9730"/>
        </w:tabs>
        <w:rPr>
          <w:rFonts w:asciiTheme="minorHAnsi" w:eastAsiaTheme="minorEastAsia" w:hAnsiTheme="minorHAnsi" w:cstheme="minorBidi"/>
          <w:noProof/>
          <w:sz w:val="24"/>
          <w:lang w:val="en-GB" w:eastAsia="en-GB"/>
        </w:rPr>
      </w:pPr>
      <w:hyperlink w:anchor="_Toc490600036" w:history="1">
        <w:r w:rsidR="006B025E" w:rsidRPr="0009216F">
          <w:rPr>
            <w:rStyle w:val="Hiperpovezava"/>
            <w:noProof/>
          </w:rPr>
          <w:t>Tabela 27: Socialnodemografske značilnosti delovno aktivnih v kulturi (Slovenija, 2015)</w:t>
        </w:r>
        <w:r w:rsidR="006B025E">
          <w:rPr>
            <w:noProof/>
            <w:webHidden/>
          </w:rPr>
          <w:tab/>
        </w:r>
        <w:r w:rsidR="006B025E">
          <w:rPr>
            <w:noProof/>
            <w:webHidden/>
          </w:rPr>
          <w:fldChar w:fldCharType="begin"/>
        </w:r>
        <w:r w:rsidR="006B025E">
          <w:rPr>
            <w:noProof/>
            <w:webHidden/>
          </w:rPr>
          <w:instrText xml:space="preserve"> PAGEREF _Toc490600036 \h </w:instrText>
        </w:r>
        <w:r w:rsidR="006B025E">
          <w:rPr>
            <w:noProof/>
            <w:webHidden/>
          </w:rPr>
        </w:r>
        <w:r w:rsidR="006B025E">
          <w:rPr>
            <w:noProof/>
            <w:webHidden/>
          </w:rPr>
          <w:fldChar w:fldCharType="separate"/>
        </w:r>
        <w:r w:rsidR="00D776FA">
          <w:rPr>
            <w:noProof/>
            <w:webHidden/>
          </w:rPr>
          <w:t>58</w:t>
        </w:r>
        <w:r w:rsidR="006B025E">
          <w:rPr>
            <w:noProof/>
            <w:webHidden/>
          </w:rPr>
          <w:fldChar w:fldCharType="end"/>
        </w:r>
      </w:hyperlink>
    </w:p>
    <w:p w:rsidR="006B025E" w:rsidRDefault="009746F1">
      <w:pPr>
        <w:pStyle w:val="Kazaloslik"/>
        <w:tabs>
          <w:tab w:val="right" w:leader="dot" w:pos="9730"/>
        </w:tabs>
        <w:rPr>
          <w:rFonts w:asciiTheme="minorHAnsi" w:eastAsiaTheme="minorEastAsia" w:hAnsiTheme="minorHAnsi" w:cstheme="minorBidi"/>
          <w:noProof/>
          <w:sz w:val="24"/>
          <w:lang w:val="en-GB" w:eastAsia="en-GB"/>
        </w:rPr>
      </w:pPr>
      <w:hyperlink w:anchor="_Toc490600037" w:history="1">
        <w:r w:rsidR="006B025E" w:rsidRPr="0009216F">
          <w:rPr>
            <w:rStyle w:val="Hiperpovezava"/>
            <w:noProof/>
          </w:rPr>
          <w:t>Graf 32: Starostna struktura delovno aktivnih v kulturi (Slovenija ns. povprečje EU–28, 2015)</w:t>
        </w:r>
        <w:r w:rsidR="006B025E">
          <w:rPr>
            <w:noProof/>
            <w:webHidden/>
          </w:rPr>
          <w:tab/>
        </w:r>
        <w:r w:rsidR="006B025E">
          <w:rPr>
            <w:noProof/>
            <w:webHidden/>
          </w:rPr>
          <w:fldChar w:fldCharType="begin"/>
        </w:r>
        <w:r w:rsidR="006B025E">
          <w:rPr>
            <w:noProof/>
            <w:webHidden/>
          </w:rPr>
          <w:instrText xml:space="preserve"> PAGEREF _Toc490600037 \h </w:instrText>
        </w:r>
        <w:r w:rsidR="006B025E">
          <w:rPr>
            <w:noProof/>
            <w:webHidden/>
          </w:rPr>
        </w:r>
        <w:r w:rsidR="006B025E">
          <w:rPr>
            <w:noProof/>
            <w:webHidden/>
          </w:rPr>
          <w:fldChar w:fldCharType="separate"/>
        </w:r>
        <w:r w:rsidR="00D776FA">
          <w:rPr>
            <w:noProof/>
            <w:webHidden/>
          </w:rPr>
          <w:t>59</w:t>
        </w:r>
        <w:r w:rsidR="006B025E">
          <w:rPr>
            <w:noProof/>
            <w:webHidden/>
          </w:rPr>
          <w:fldChar w:fldCharType="end"/>
        </w:r>
      </w:hyperlink>
    </w:p>
    <w:p w:rsidR="006B025E" w:rsidRDefault="009746F1">
      <w:pPr>
        <w:pStyle w:val="Kazaloslik"/>
        <w:tabs>
          <w:tab w:val="right" w:leader="dot" w:pos="9730"/>
        </w:tabs>
        <w:rPr>
          <w:rFonts w:asciiTheme="minorHAnsi" w:eastAsiaTheme="minorEastAsia" w:hAnsiTheme="minorHAnsi" w:cstheme="minorBidi"/>
          <w:noProof/>
          <w:sz w:val="24"/>
          <w:lang w:val="en-GB" w:eastAsia="en-GB"/>
        </w:rPr>
      </w:pPr>
      <w:hyperlink w:anchor="_Toc490600038" w:history="1">
        <w:r w:rsidR="006B025E" w:rsidRPr="0009216F">
          <w:rPr>
            <w:rStyle w:val="Hiperpovezava"/>
            <w:noProof/>
          </w:rPr>
          <w:t>Graf 33: Delovna aktivnost v kulturi po starostnih skupinah (Slovenija, 2008 in 2015)</w:t>
        </w:r>
        <w:r w:rsidR="006B025E">
          <w:rPr>
            <w:noProof/>
            <w:webHidden/>
          </w:rPr>
          <w:tab/>
        </w:r>
        <w:r w:rsidR="006B025E">
          <w:rPr>
            <w:noProof/>
            <w:webHidden/>
          </w:rPr>
          <w:fldChar w:fldCharType="begin"/>
        </w:r>
        <w:r w:rsidR="006B025E">
          <w:rPr>
            <w:noProof/>
            <w:webHidden/>
          </w:rPr>
          <w:instrText xml:space="preserve"> PAGEREF _Toc490600038 \h </w:instrText>
        </w:r>
        <w:r w:rsidR="006B025E">
          <w:rPr>
            <w:noProof/>
            <w:webHidden/>
          </w:rPr>
        </w:r>
        <w:r w:rsidR="006B025E">
          <w:rPr>
            <w:noProof/>
            <w:webHidden/>
          </w:rPr>
          <w:fldChar w:fldCharType="separate"/>
        </w:r>
        <w:r w:rsidR="00D776FA">
          <w:rPr>
            <w:noProof/>
            <w:webHidden/>
          </w:rPr>
          <w:t>59</w:t>
        </w:r>
        <w:r w:rsidR="006B025E">
          <w:rPr>
            <w:noProof/>
            <w:webHidden/>
          </w:rPr>
          <w:fldChar w:fldCharType="end"/>
        </w:r>
      </w:hyperlink>
    </w:p>
    <w:p w:rsidR="006B025E" w:rsidRDefault="009746F1">
      <w:pPr>
        <w:pStyle w:val="Kazaloslik"/>
        <w:tabs>
          <w:tab w:val="right" w:leader="dot" w:pos="9730"/>
        </w:tabs>
        <w:rPr>
          <w:rFonts w:asciiTheme="minorHAnsi" w:eastAsiaTheme="minorEastAsia" w:hAnsiTheme="minorHAnsi" w:cstheme="minorBidi"/>
          <w:noProof/>
          <w:sz w:val="24"/>
          <w:lang w:val="en-GB" w:eastAsia="en-GB"/>
        </w:rPr>
      </w:pPr>
      <w:hyperlink w:anchor="_Toc490600039" w:history="1">
        <w:r w:rsidR="006B025E" w:rsidRPr="0009216F">
          <w:rPr>
            <w:rStyle w:val="Hiperpovezava"/>
            <w:noProof/>
          </w:rPr>
          <w:t>Graf 34: Delovna aktivnost pisateljev, novinarjev, jezikoslovcev, umetniških ustvarjalcev in poustvarjalcev (Slovenija in povprečje EU–28, 2011–2015)</w:t>
        </w:r>
        <w:r w:rsidR="006B025E">
          <w:rPr>
            <w:noProof/>
            <w:webHidden/>
          </w:rPr>
          <w:tab/>
        </w:r>
        <w:r w:rsidR="006B025E">
          <w:rPr>
            <w:noProof/>
            <w:webHidden/>
          </w:rPr>
          <w:fldChar w:fldCharType="begin"/>
        </w:r>
        <w:r w:rsidR="006B025E">
          <w:rPr>
            <w:noProof/>
            <w:webHidden/>
          </w:rPr>
          <w:instrText xml:space="preserve"> PAGEREF _Toc490600039 \h </w:instrText>
        </w:r>
        <w:r w:rsidR="006B025E">
          <w:rPr>
            <w:noProof/>
            <w:webHidden/>
          </w:rPr>
        </w:r>
        <w:r w:rsidR="006B025E">
          <w:rPr>
            <w:noProof/>
            <w:webHidden/>
          </w:rPr>
          <w:fldChar w:fldCharType="separate"/>
        </w:r>
        <w:r w:rsidR="00D776FA">
          <w:rPr>
            <w:noProof/>
            <w:webHidden/>
          </w:rPr>
          <w:t>60</w:t>
        </w:r>
        <w:r w:rsidR="006B025E">
          <w:rPr>
            <w:noProof/>
            <w:webHidden/>
          </w:rPr>
          <w:fldChar w:fldCharType="end"/>
        </w:r>
      </w:hyperlink>
    </w:p>
    <w:p w:rsidR="006B025E" w:rsidRDefault="009746F1">
      <w:pPr>
        <w:pStyle w:val="Kazaloslik"/>
        <w:tabs>
          <w:tab w:val="right" w:leader="dot" w:pos="9730"/>
        </w:tabs>
        <w:rPr>
          <w:rFonts w:asciiTheme="minorHAnsi" w:eastAsiaTheme="minorEastAsia" w:hAnsiTheme="minorHAnsi" w:cstheme="minorBidi"/>
          <w:noProof/>
          <w:sz w:val="24"/>
          <w:lang w:val="en-GB" w:eastAsia="en-GB"/>
        </w:rPr>
      </w:pPr>
      <w:hyperlink w:anchor="_Toc490600040" w:history="1">
        <w:r w:rsidR="006B025E" w:rsidRPr="0009216F">
          <w:rPr>
            <w:rStyle w:val="Hiperpovezava"/>
            <w:noProof/>
          </w:rPr>
          <w:t>Tabela 28: Socialnodemografske značilnosti delovno aktivnih pisateljev, novinarjev, jezikoslovcev, umetniških ustvarjalcev in poustvarjalcev (Slovenija in povprečje EU–28, 2015)</w:t>
        </w:r>
        <w:r w:rsidR="006B025E">
          <w:rPr>
            <w:noProof/>
            <w:webHidden/>
          </w:rPr>
          <w:tab/>
        </w:r>
        <w:r w:rsidR="006B025E">
          <w:rPr>
            <w:noProof/>
            <w:webHidden/>
          </w:rPr>
          <w:fldChar w:fldCharType="begin"/>
        </w:r>
        <w:r w:rsidR="006B025E">
          <w:rPr>
            <w:noProof/>
            <w:webHidden/>
          </w:rPr>
          <w:instrText xml:space="preserve"> PAGEREF _Toc490600040 \h </w:instrText>
        </w:r>
        <w:r w:rsidR="006B025E">
          <w:rPr>
            <w:noProof/>
            <w:webHidden/>
          </w:rPr>
        </w:r>
        <w:r w:rsidR="006B025E">
          <w:rPr>
            <w:noProof/>
            <w:webHidden/>
          </w:rPr>
          <w:fldChar w:fldCharType="separate"/>
        </w:r>
        <w:r w:rsidR="00D776FA">
          <w:rPr>
            <w:noProof/>
            <w:webHidden/>
          </w:rPr>
          <w:t>60</w:t>
        </w:r>
        <w:r w:rsidR="006B025E">
          <w:rPr>
            <w:noProof/>
            <w:webHidden/>
          </w:rPr>
          <w:fldChar w:fldCharType="end"/>
        </w:r>
      </w:hyperlink>
    </w:p>
    <w:p w:rsidR="006B025E" w:rsidRDefault="009746F1">
      <w:pPr>
        <w:pStyle w:val="Kazaloslik"/>
        <w:tabs>
          <w:tab w:val="right" w:leader="dot" w:pos="9730"/>
        </w:tabs>
        <w:rPr>
          <w:rFonts w:asciiTheme="minorHAnsi" w:eastAsiaTheme="minorEastAsia" w:hAnsiTheme="minorHAnsi" w:cstheme="minorBidi"/>
          <w:noProof/>
          <w:sz w:val="24"/>
          <w:lang w:val="en-GB" w:eastAsia="en-GB"/>
        </w:rPr>
      </w:pPr>
      <w:hyperlink w:anchor="_Toc490600041" w:history="1">
        <w:r w:rsidR="006B025E" w:rsidRPr="0009216F">
          <w:rPr>
            <w:rStyle w:val="Hiperpovezava"/>
            <w:noProof/>
          </w:rPr>
          <w:t>Tabela 29: Delovno aktivni v kulturnih dejavnostih po Statističnem registru delovno aktivnega prebivalstva (2008–2015)</w:t>
        </w:r>
        <w:r w:rsidR="006B025E">
          <w:rPr>
            <w:noProof/>
            <w:webHidden/>
          </w:rPr>
          <w:tab/>
        </w:r>
        <w:r w:rsidR="006B025E">
          <w:rPr>
            <w:noProof/>
            <w:webHidden/>
          </w:rPr>
          <w:fldChar w:fldCharType="begin"/>
        </w:r>
        <w:r w:rsidR="006B025E">
          <w:rPr>
            <w:noProof/>
            <w:webHidden/>
          </w:rPr>
          <w:instrText xml:space="preserve"> PAGEREF _Toc490600041 \h </w:instrText>
        </w:r>
        <w:r w:rsidR="006B025E">
          <w:rPr>
            <w:noProof/>
            <w:webHidden/>
          </w:rPr>
        </w:r>
        <w:r w:rsidR="006B025E">
          <w:rPr>
            <w:noProof/>
            <w:webHidden/>
          </w:rPr>
          <w:fldChar w:fldCharType="separate"/>
        </w:r>
        <w:r w:rsidR="00D776FA">
          <w:rPr>
            <w:noProof/>
            <w:webHidden/>
          </w:rPr>
          <w:t>62</w:t>
        </w:r>
        <w:r w:rsidR="006B025E">
          <w:rPr>
            <w:noProof/>
            <w:webHidden/>
          </w:rPr>
          <w:fldChar w:fldCharType="end"/>
        </w:r>
      </w:hyperlink>
    </w:p>
    <w:p w:rsidR="006B025E" w:rsidRDefault="009746F1">
      <w:pPr>
        <w:pStyle w:val="Kazaloslik"/>
        <w:tabs>
          <w:tab w:val="right" w:leader="dot" w:pos="9730"/>
        </w:tabs>
        <w:rPr>
          <w:rFonts w:asciiTheme="minorHAnsi" w:eastAsiaTheme="minorEastAsia" w:hAnsiTheme="minorHAnsi" w:cstheme="minorBidi"/>
          <w:noProof/>
          <w:sz w:val="24"/>
          <w:lang w:val="en-GB" w:eastAsia="en-GB"/>
        </w:rPr>
      </w:pPr>
      <w:hyperlink w:anchor="_Toc490600042" w:history="1">
        <w:r w:rsidR="006B025E" w:rsidRPr="0009216F">
          <w:rPr>
            <w:rStyle w:val="Hiperpovezava"/>
            <w:noProof/>
          </w:rPr>
          <w:t>Graf 35: Razmerje med samozaposlenimi in zaposlenimi v kulturnih dejavnostih (2015)*</w:t>
        </w:r>
        <w:r w:rsidR="006B025E">
          <w:rPr>
            <w:noProof/>
            <w:webHidden/>
          </w:rPr>
          <w:tab/>
        </w:r>
        <w:r w:rsidR="006B025E">
          <w:rPr>
            <w:noProof/>
            <w:webHidden/>
          </w:rPr>
          <w:fldChar w:fldCharType="begin"/>
        </w:r>
        <w:r w:rsidR="006B025E">
          <w:rPr>
            <w:noProof/>
            <w:webHidden/>
          </w:rPr>
          <w:instrText xml:space="preserve"> PAGEREF _Toc490600042 \h </w:instrText>
        </w:r>
        <w:r w:rsidR="006B025E">
          <w:rPr>
            <w:noProof/>
            <w:webHidden/>
          </w:rPr>
        </w:r>
        <w:r w:rsidR="006B025E">
          <w:rPr>
            <w:noProof/>
            <w:webHidden/>
          </w:rPr>
          <w:fldChar w:fldCharType="separate"/>
        </w:r>
        <w:r w:rsidR="00D776FA">
          <w:rPr>
            <w:noProof/>
            <w:webHidden/>
          </w:rPr>
          <w:t>64</w:t>
        </w:r>
        <w:r w:rsidR="006B025E">
          <w:rPr>
            <w:noProof/>
            <w:webHidden/>
          </w:rPr>
          <w:fldChar w:fldCharType="end"/>
        </w:r>
      </w:hyperlink>
    </w:p>
    <w:p w:rsidR="006B025E" w:rsidRDefault="009746F1">
      <w:pPr>
        <w:pStyle w:val="Kazaloslik"/>
        <w:tabs>
          <w:tab w:val="right" w:leader="dot" w:pos="9730"/>
        </w:tabs>
        <w:rPr>
          <w:rFonts w:asciiTheme="minorHAnsi" w:eastAsiaTheme="minorEastAsia" w:hAnsiTheme="minorHAnsi" w:cstheme="minorBidi"/>
          <w:noProof/>
          <w:sz w:val="24"/>
          <w:lang w:val="en-GB" w:eastAsia="en-GB"/>
        </w:rPr>
      </w:pPr>
      <w:hyperlink w:anchor="_Toc490600043" w:history="1">
        <w:r w:rsidR="006B025E" w:rsidRPr="0009216F">
          <w:rPr>
            <w:rStyle w:val="Hiperpovezava"/>
            <w:noProof/>
          </w:rPr>
          <w:t>Graf 36: Število zaposlenih v javnih zavodih v kulturi (2008–2015)*</w:t>
        </w:r>
        <w:r w:rsidR="006B025E">
          <w:rPr>
            <w:noProof/>
            <w:webHidden/>
          </w:rPr>
          <w:tab/>
        </w:r>
        <w:r w:rsidR="006B025E">
          <w:rPr>
            <w:noProof/>
            <w:webHidden/>
          </w:rPr>
          <w:fldChar w:fldCharType="begin"/>
        </w:r>
        <w:r w:rsidR="006B025E">
          <w:rPr>
            <w:noProof/>
            <w:webHidden/>
          </w:rPr>
          <w:instrText xml:space="preserve"> PAGEREF _Toc490600043 \h </w:instrText>
        </w:r>
        <w:r w:rsidR="006B025E">
          <w:rPr>
            <w:noProof/>
            <w:webHidden/>
          </w:rPr>
        </w:r>
        <w:r w:rsidR="006B025E">
          <w:rPr>
            <w:noProof/>
            <w:webHidden/>
          </w:rPr>
          <w:fldChar w:fldCharType="separate"/>
        </w:r>
        <w:r w:rsidR="00D776FA">
          <w:rPr>
            <w:noProof/>
            <w:webHidden/>
          </w:rPr>
          <w:t>64</w:t>
        </w:r>
        <w:r w:rsidR="006B025E">
          <w:rPr>
            <w:noProof/>
            <w:webHidden/>
          </w:rPr>
          <w:fldChar w:fldCharType="end"/>
        </w:r>
      </w:hyperlink>
    </w:p>
    <w:p w:rsidR="006B025E" w:rsidRDefault="009746F1">
      <w:pPr>
        <w:pStyle w:val="Kazaloslik"/>
        <w:tabs>
          <w:tab w:val="right" w:leader="dot" w:pos="9730"/>
        </w:tabs>
        <w:rPr>
          <w:rFonts w:asciiTheme="minorHAnsi" w:eastAsiaTheme="minorEastAsia" w:hAnsiTheme="minorHAnsi" w:cstheme="minorBidi"/>
          <w:noProof/>
          <w:sz w:val="24"/>
          <w:lang w:val="en-GB" w:eastAsia="en-GB"/>
        </w:rPr>
      </w:pPr>
      <w:hyperlink w:anchor="_Toc490600044" w:history="1">
        <w:r w:rsidR="006B025E" w:rsidRPr="0009216F">
          <w:rPr>
            <w:rStyle w:val="Hiperpovezava"/>
            <w:noProof/>
          </w:rPr>
          <w:t>Graf 37: Poslovni subjekti (ki so oddali poslovno poročilo) glede na pravno-organizacijsko obliko (2008 in 2015)*</w:t>
        </w:r>
        <w:r w:rsidR="006B025E">
          <w:rPr>
            <w:noProof/>
            <w:webHidden/>
          </w:rPr>
          <w:tab/>
        </w:r>
        <w:r w:rsidR="006B025E">
          <w:rPr>
            <w:noProof/>
            <w:webHidden/>
          </w:rPr>
          <w:fldChar w:fldCharType="begin"/>
        </w:r>
        <w:r w:rsidR="006B025E">
          <w:rPr>
            <w:noProof/>
            <w:webHidden/>
          </w:rPr>
          <w:instrText xml:space="preserve"> PAGEREF _Toc490600044 \h </w:instrText>
        </w:r>
        <w:r w:rsidR="006B025E">
          <w:rPr>
            <w:noProof/>
            <w:webHidden/>
          </w:rPr>
        </w:r>
        <w:r w:rsidR="006B025E">
          <w:rPr>
            <w:noProof/>
            <w:webHidden/>
          </w:rPr>
          <w:fldChar w:fldCharType="separate"/>
        </w:r>
        <w:r w:rsidR="00D776FA">
          <w:rPr>
            <w:noProof/>
            <w:webHidden/>
          </w:rPr>
          <w:t>66</w:t>
        </w:r>
        <w:r w:rsidR="006B025E">
          <w:rPr>
            <w:noProof/>
            <w:webHidden/>
          </w:rPr>
          <w:fldChar w:fldCharType="end"/>
        </w:r>
      </w:hyperlink>
    </w:p>
    <w:p w:rsidR="006B025E" w:rsidRDefault="009746F1">
      <w:pPr>
        <w:pStyle w:val="Kazaloslik"/>
        <w:tabs>
          <w:tab w:val="right" w:leader="dot" w:pos="9730"/>
        </w:tabs>
        <w:rPr>
          <w:rFonts w:asciiTheme="minorHAnsi" w:eastAsiaTheme="minorEastAsia" w:hAnsiTheme="minorHAnsi" w:cstheme="minorBidi"/>
          <w:noProof/>
          <w:sz w:val="24"/>
          <w:lang w:val="en-GB" w:eastAsia="en-GB"/>
        </w:rPr>
      </w:pPr>
      <w:hyperlink w:anchor="_Toc490600045" w:history="1">
        <w:r w:rsidR="006B025E" w:rsidRPr="0009216F">
          <w:rPr>
            <w:rStyle w:val="Hiperpovezava"/>
            <w:noProof/>
          </w:rPr>
          <w:t>Graf 38: Čisti prihodki od prodaje, donosi od dejavnosti oz. prihodki od poslovanja v poslovnih subjektih (ki so oddali poslovno poročilo) v kulturnih dejavnostih (2008 in 2015)*</w:t>
        </w:r>
        <w:r w:rsidR="006B025E">
          <w:rPr>
            <w:noProof/>
            <w:webHidden/>
          </w:rPr>
          <w:tab/>
        </w:r>
        <w:r w:rsidR="006B025E">
          <w:rPr>
            <w:noProof/>
            <w:webHidden/>
          </w:rPr>
          <w:fldChar w:fldCharType="begin"/>
        </w:r>
        <w:r w:rsidR="006B025E">
          <w:rPr>
            <w:noProof/>
            <w:webHidden/>
          </w:rPr>
          <w:instrText xml:space="preserve"> PAGEREF _Toc490600045 \h </w:instrText>
        </w:r>
        <w:r w:rsidR="006B025E">
          <w:rPr>
            <w:noProof/>
            <w:webHidden/>
          </w:rPr>
        </w:r>
        <w:r w:rsidR="006B025E">
          <w:rPr>
            <w:noProof/>
            <w:webHidden/>
          </w:rPr>
          <w:fldChar w:fldCharType="separate"/>
        </w:r>
        <w:r w:rsidR="00D776FA">
          <w:rPr>
            <w:noProof/>
            <w:webHidden/>
          </w:rPr>
          <w:t>67</w:t>
        </w:r>
        <w:r w:rsidR="006B025E">
          <w:rPr>
            <w:noProof/>
            <w:webHidden/>
          </w:rPr>
          <w:fldChar w:fldCharType="end"/>
        </w:r>
      </w:hyperlink>
    </w:p>
    <w:p w:rsidR="006B025E" w:rsidRDefault="009746F1">
      <w:pPr>
        <w:pStyle w:val="Kazaloslik"/>
        <w:tabs>
          <w:tab w:val="right" w:leader="dot" w:pos="9730"/>
        </w:tabs>
        <w:rPr>
          <w:rFonts w:asciiTheme="minorHAnsi" w:eastAsiaTheme="minorEastAsia" w:hAnsiTheme="minorHAnsi" w:cstheme="minorBidi"/>
          <w:noProof/>
          <w:sz w:val="24"/>
          <w:lang w:val="en-GB" w:eastAsia="en-GB"/>
        </w:rPr>
      </w:pPr>
      <w:hyperlink w:anchor="_Toc490600046" w:history="1">
        <w:r w:rsidR="006B025E" w:rsidRPr="0009216F">
          <w:rPr>
            <w:rStyle w:val="Hiperpovezava"/>
            <w:noProof/>
          </w:rPr>
          <w:t>Graf 39: Povprečna bruto mesečna plača pri poslovnih subjektih (ki so oddali poslovno poročilo) v kulturnih dejavnostih (2008 in 2015)*</w:t>
        </w:r>
        <w:r w:rsidR="006B025E">
          <w:rPr>
            <w:noProof/>
            <w:webHidden/>
          </w:rPr>
          <w:tab/>
        </w:r>
        <w:r w:rsidR="006B025E">
          <w:rPr>
            <w:noProof/>
            <w:webHidden/>
          </w:rPr>
          <w:fldChar w:fldCharType="begin"/>
        </w:r>
        <w:r w:rsidR="006B025E">
          <w:rPr>
            <w:noProof/>
            <w:webHidden/>
          </w:rPr>
          <w:instrText xml:space="preserve"> PAGEREF _Toc490600046 \h </w:instrText>
        </w:r>
        <w:r w:rsidR="006B025E">
          <w:rPr>
            <w:noProof/>
            <w:webHidden/>
          </w:rPr>
        </w:r>
        <w:r w:rsidR="006B025E">
          <w:rPr>
            <w:noProof/>
            <w:webHidden/>
          </w:rPr>
          <w:fldChar w:fldCharType="separate"/>
        </w:r>
        <w:r w:rsidR="00D776FA">
          <w:rPr>
            <w:noProof/>
            <w:webHidden/>
          </w:rPr>
          <w:t>67</w:t>
        </w:r>
        <w:r w:rsidR="006B025E">
          <w:rPr>
            <w:noProof/>
            <w:webHidden/>
          </w:rPr>
          <w:fldChar w:fldCharType="end"/>
        </w:r>
      </w:hyperlink>
    </w:p>
    <w:p w:rsidR="006B025E" w:rsidRDefault="009746F1">
      <w:pPr>
        <w:pStyle w:val="Kazaloslik"/>
        <w:tabs>
          <w:tab w:val="right" w:leader="dot" w:pos="9730"/>
        </w:tabs>
        <w:rPr>
          <w:rFonts w:asciiTheme="minorHAnsi" w:eastAsiaTheme="minorEastAsia" w:hAnsiTheme="minorHAnsi" w:cstheme="minorBidi"/>
          <w:noProof/>
          <w:sz w:val="24"/>
          <w:lang w:val="en-GB" w:eastAsia="en-GB"/>
        </w:rPr>
      </w:pPr>
      <w:hyperlink w:anchor="_Toc490600047" w:history="1">
        <w:r w:rsidR="006B025E" w:rsidRPr="0009216F">
          <w:rPr>
            <w:rStyle w:val="Hiperpovezava"/>
            <w:noProof/>
          </w:rPr>
          <w:t>Tabela 30: Prejemniki proračunskih sredstev Ministrstva za kulturo (2002 in 2015)*</w:t>
        </w:r>
        <w:r w:rsidR="006B025E">
          <w:rPr>
            <w:noProof/>
            <w:webHidden/>
          </w:rPr>
          <w:tab/>
        </w:r>
        <w:r w:rsidR="006B025E">
          <w:rPr>
            <w:noProof/>
            <w:webHidden/>
          </w:rPr>
          <w:fldChar w:fldCharType="begin"/>
        </w:r>
        <w:r w:rsidR="006B025E">
          <w:rPr>
            <w:noProof/>
            <w:webHidden/>
          </w:rPr>
          <w:instrText xml:space="preserve"> PAGEREF _Toc490600047 \h </w:instrText>
        </w:r>
        <w:r w:rsidR="006B025E">
          <w:rPr>
            <w:noProof/>
            <w:webHidden/>
          </w:rPr>
        </w:r>
        <w:r w:rsidR="006B025E">
          <w:rPr>
            <w:noProof/>
            <w:webHidden/>
          </w:rPr>
          <w:fldChar w:fldCharType="separate"/>
        </w:r>
        <w:r w:rsidR="00D776FA">
          <w:rPr>
            <w:noProof/>
            <w:webHidden/>
          </w:rPr>
          <w:t>70</w:t>
        </w:r>
        <w:r w:rsidR="006B025E">
          <w:rPr>
            <w:noProof/>
            <w:webHidden/>
          </w:rPr>
          <w:fldChar w:fldCharType="end"/>
        </w:r>
      </w:hyperlink>
    </w:p>
    <w:p w:rsidR="006B025E" w:rsidRDefault="009746F1">
      <w:pPr>
        <w:pStyle w:val="Kazaloslik"/>
        <w:tabs>
          <w:tab w:val="right" w:leader="dot" w:pos="9730"/>
        </w:tabs>
        <w:rPr>
          <w:rFonts w:asciiTheme="minorHAnsi" w:eastAsiaTheme="minorEastAsia" w:hAnsiTheme="minorHAnsi" w:cstheme="minorBidi"/>
          <w:noProof/>
          <w:sz w:val="24"/>
          <w:lang w:val="en-GB" w:eastAsia="en-GB"/>
        </w:rPr>
      </w:pPr>
      <w:hyperlink w:anchor="_Toc490600048" w:history="1">
        <w:r w:rsidR="006B025E" w:rsidRPr="0009216F">
          <w:rPr>
            <w:rStyle w:val="Hiperpovezava"/>
            <w:noProof/>
          </w:rPr>
          <w:t>Graf 40: Financiranje festivalov iz proračuna Ministrstva za kulturo (2002 in 2015)*</w:t>
        </w:r>
        <w:r w:rsidR="006B025E">
          <w:rPr>
            <w:noProof/>
            <w:webHidden/>
          </w:rPr>
          <w:tab/>
        </w:r>
        <w:r w:rsidR="006B025E">
          <w:rPr>
            <w:noProof/>
            <w:webHidden/>
          </w:rPr>
          <w:fldChar w:fldCharType="begin"/>
        </w:r>
        <w:r w:rsidR="006B025E">
          <w:rPr>
            <w:noProof/>
            <w:webHidden/>
          </w:rPr>
          <w:instrText xml:space="preserve"> PAGEREF _Toc490600048 \h </w:instrText>
        </w:r>
        <w:r w:rsidR="006B025E">
          <w:rPr>
            <w:noProof/>
            <w:webHidden/>
          </w:rPr>
        </w:r>
        <w:r w:rsidR="006B025E">
          <w:rPr>
            <w:noProof/>
            <w:webHidden/>
          </w:rPr>
          <w:fldChar w:fldCharType="separate"/>
        </w:r>
        <w:r w:rsidR="00D776FA">
          <w:rPr>
            <w:noProof/>
            <w:webHidden/>
          </w:rPr>
          <w:t>71</w:t>
        </w:r>
        <w:r w:rsidR="006B025E">
          <w:rPr>
            <w:noProof/>
            <w:webHidden/>
          </w:rPr>
          <w:fldChar w:fldCharType="end"/>
        </w:r>
      </w:hyperlink>
    </w:p>
    <w:p w:rsidR="006B025E" w:rsidRDefault="009746F1">
      <w:pPr>
        <w:pStyle w:val="Kazaloslik"/>
        <w:tabs>
          <w:tab w:val="right" w:leader="dot" w:pos="9730"/>
        </w:tabs>
        <w:rPr>
          <w:rFonts w:asciiTheme="minorHAnsi" w:eastAsiaTheme="minorEastAsia" w:hAnsiTheme="minorHAnsi" w:cstheme="minorBidi"/>
          <w:noProof/>
          <w:sz w:val="24"/>
          <w:lang w:val="en-GB" w:eastAsia="en-GB"/>
        </w:rPr>
      </w:pPr>
      <w:hyperlink w:anchor="_Toc490600049" w:history="1">
        <w:r w:rsidR="006B025E" w:rsidRPr="0009216F">
          <w:rPr>
            <w:rStyle w:val="Hiperpovezava"/>
            <w:noProof/>
          </w:rPr>
          <w:t>Tabela 31: Struktura financiranja nevladnih/neprofitnih organizacij* iz proračuna Ministrstva za kulturo po področju delovanja (2002 in 2015)*</w:t>
        </w:r>
        <w:r w:rsidR="006B025E">
          <w:rPr>
            <w:noProof/>
            <w:webHidden/>
          </w:rPr>
          <w:tab/>
        </w:r>
        <w:r w:rsidR="006B025E">
          <w:rPr>
            <w:noProof/>
            <w:webHidden/>
          </w:rPr>
          <w:fldChar w:fldCharType="begin"/>
        </w:r>
        <w:r w:rsidR="006B025E">
          <w:rPr>
            <w:noProof/>
            <w:webHidden/>
          </w:rPr>
          <w:instrText xml:space="preserve"> PAGEREF _Toc490600049 \h </w:instrText>
        </w:r>
        <w:r w:rsidR="006B025E">
          <w:rPr>
            <w:noProof/>
            <w:webHidden/>
          </w:rPr>
        </w:r>
        <w:r w:rsidR="006B025E">
          <w:rPr>
            <w:noProof/>
            <w:webHidden/>
          </w:rPr>
          <w:fldChar w:fldCharType="separate"/>
        </w:r>
        <w:r w:rsidR="00D776FA">
          <w:rPr>
            <w:noProof/>
            <w:webHidden/>
          </w:rPr>
          <w:t>72</w:t>
        </w:r>
        <w:r w:rsidR="006B025E">
          <w:rPr>
            <w:noProof/>
            <w:webHidden/>
          </w:rPr>
          <w:fldChar w:fldCharType="end"/>
        </w:r>
      </w:hyperlink>
    </w:p>
    <w:p w:rsidR="006B025E" w:rsidRDefault="009746F1">
      <w:pPr>
        <w:pStyle w:val="Kazaloslik"/>
        <w:tabs>
          <w:tab w:val="right" w:leader="dot" w:pos="9730"/>
        </w:tabs>
        <w:rPr>
          <w:rFonts w:asciiTheme="minorHAnsi" w:eastAsiaTheme="minorEastAsia" w:hAnsiTheme="minorHAnsi" w:cstheme="minorBidi"/>
          <w:noProof/>
          <w:sz w:val="24"/>
          <w:lang w:val="en-GB" w:eastAsia="en-GB"/>
        </w:rPr>
      </w:pPr>
      <w:hyperlink w:anchor="_Toc490600050" w:history="1">
        <w:r w:rsidR="006B025E" w:rsidRPr="0009216F">
          <w:rPr>
            <w:rStyle w:val="Hiperpovezava"/>
            <w:noProof/>
          </w:rPr>
          <w:t>Tabela 32: Struktura financiranja posameznikov iz proračuna Ministrstva za kulturo po namenu (2002 in 2015)*</w:t>
        </w:r>
        <w:r w:rsidR="006B025E">
          <w:rPr>
            <w:noProof/>
            <w:webHidden/>
          </w:rPr>
          <w:tab/>
        </w:r>
        <w:r w:rsidR="006B025E">
          <w:rPr>
            <w:noProof/>
            <w:webHidden/>
          </w:rPr>
          <w:fldChar w:fldCharType="begin"/>
        </w:r>
        <w:r w:rsidR="006B025E">
          <w:rPr>
            <w:noProof/>
            <w:webHidden/>
          </w:rPr>
          <w:instrText xml:space="preserve"> PAGEREF _Toc490600050 \h </w:instrText>
        </w:r>
        <w:r w:rsidR="006B025E">
          <w:rPr>
            <w:noProof/>
            <w:webHidden/>
          </w:rPr>
        </w:r>
        <w:r w:rsidR="006B025E">
          <w:rPr>
            <w:noProof/>
            <w:webHidden/>
          </w:rPr>
          <w:fldChar w:fldCharType="separate"/>
        </w:r>
        <w:r w:rsidR="00D776FA">
          <w:rPr>
            <w:noProof/>
            <w:webHidden/>
          </w:rPr>
          <w:t>73</w:t>
        </w:r>
        <w:r w:rsidR="006B025E">
          <w:rPr>
            <w:noProof/>
            <w:webHidden/>
          </w:rPr>
          <w:fldChar w:fldCharType="end"/>
        </w:r>
      </w:hyperlink>
    </w:p>
    <w:p w:rsidR="006B025E" w:rsidRDefault="009746F1">
      <w:pPr>
        <w:pStyle w:val="Kazaloslik"/>
        <w:tabs>
          <w:tab w:val="right" w:leader="dot" w:pos="9730"/>
        </w:tabs>
        <w:rPr>
          <w:rFonts w:asciiTheme="minorHAnsi" w:eastAsiaTheme="minorEastAsia" w:hAnsiTheme="minorHAnsi" w:cstheme="minorBidi"/>
          <w:noProof/>
          <w:sz w:val="24"/>
          <w:lang w:val="en-GB" w:eastAsia="en-GB"/>
        </w:rPr>
      </w:pPr>
      <w:hyperlink w:anchor="_Toc490600051" w:history="1">
        <w:r w:rsidR="006B025E" w:rsidRPr="0009216F">
          <w:rPr>
            <w:rStyle w:val="Hiperpovezava"/>
            <w:noProof/>
          </w:rPr>
          <w:t>Tabela 33: Bruto letni dohodki samozaposlenih v kulturi – velike skupine (2015)*</w:t>
        </w:r>
        <w:r w:rsidR="006B025E">
          <w:rPr>
            <w:noProof/>
            <w:webHidden/>
          </w:rPr>
          <w:tab/>
        </w:r>
        <w:r w:rsidR="006B025E">
          <w:rPr>
            <w:noProof/>
            <w:webHidden/>
          </w:rPr>
          <w:fldChar w:fldCharType="begin"/>
        </w:r>
        <w:r w:rsidR="006B025E">
          <w:rPr>
            <w:noProof/>
            <w:webHidden/>
          </w:rPr>
          <w:instrText xml:space="preserve"> PAGEREF _Toc490600051 \h </w:instrText>
        </w:r>
        <w:r w:rsidR="006B025E">
          <w:rPr>
            <w:noProof/>
            <w:webHidden/>
          </w:rPr>
        </w:r>
        <w:r w:rsidR="006B025E">
          <w:rPr>
            <w:noProof/>
            <w:webHidden/>
          </w:rPr>
          <w:fldChar w:fldCharType="separate"/>
        </w:r>
        <w:r w:rsidR="00D776FA">
          <w:rPr>
            <w:noProof/>
            <w:webHidden/>
          </w:rPr>
          <w:t>74</w:t>
        </w:r>
        <w:r w:rsidR="006B025E">
          <w:rPr>
            <w:noProof/>
            <w:webHidden/>
          </w:rPr>
          <w:fldChar w:fldCharType="end"/>
        </w:r>
      </w:hyperlink>
    </w:p>
    <w:p w:rsidR="006B025E" w:rsidRDefault="009746F1">
      <w:pPr>
        <w:pStyle w:val="Kazaloslik"/>
        <w:tabs>
          <w:tab w:val="right" w:leader="dot" w:pos="9730"/>
        </w:tabs>
        <w:rPr>
          <w:rFonts w:asciiTheme="minorHAnsi" w:eastAsiaTheme="minorEastAsia" w:hAnsiTheme="minorHAnsi" w:cstheme="minorBidi"/>
          <w:noProof/>
          <w:sz w:val="24"/>
          <w:lang w:val="en-GB" w:eastAsia="en-GB"/>
        </w:rPr>
      </w:pPr>
      <w:hyperlink w:anchor="_Toc490600052" w:history="1">
        <w:r w:rsidR="006B025E" w:rsidRPr="0009216F">
          <w:rPr>
            <w:rStyle w:val="Hiperpovezava"/>
            <w:noProof/>
          </w:rPr>
          <w:t>Tabela 34: Bruto letni dohodki samozaposlenih v kulturi – opisna statistika (2009–2015)*</w:t>
        </w:r>
        <w:r w:rsidR="006B025E">
          <w:rPr>
            <w:noProof/>
            <w:webHidden/>
          </w:rPr>
          <w:tab/>
        </w:r>
        <w:r w:rsidR="006B025E">
          <w:rPr>
            <w:noProof/>
            <w:webHidden/>
          </w:rPr>
          <w:fldChar w:fldCharType="begin"/>
        </w:r>
        <w:r w:rsidR="006B025E">
          <w:rPr>
            <w:noProof/>
            <w:webHidden/>
          </w:rPr>
          <w:instrText xml:space="preserve"> PAGEREF _Toc490600052 \h </w:instrText>
        </w:r>
        <w:r w:rsidR="006B025E">
          <w:rPr>
            <w:noProof/>
            <w:webHidden/>
          </w:rPr>
        </w:r>
        <w:r w:rsidR="006B025E">
          <w:rPr>
            <w:noProof/>
            <w:webHidden/>
          </w:rPr>
          <w:fldChar w:fldCharType="separate"/>
        </w:r>
        <w:r w:rsidR="00D776FA">
          <w:rPr>
            <w:noProof/>
            <w:webHidden/>
          </w:rPr>
          <w:t>75</w:t>
        </w:r>
        <w:r w:rsidR="006B025E">
          <w:rPr>
            <w:noProof/>
            <w:webHidden/>
          </w:rPr>
          <w:fldChar w:fldCharType="end"/>
        </w:r>
      </w:hyperlink>
    </w:p>
    <w:p w:rsidR="006B025E" w:rsidRDefault="009746F1">
      <w:pPr>
        <w:pStyle w:val="Kazaloslik"/>
        <w:tabs>
          <w:tab w:val="right" w:leader="dot" w:pos="9730"/>
        </w:tabs>
        <w:rPr>
          <w:rFonts w:asciiTheme="minorHAnsi" w:eastAsiaTheme="minorEastAsia" w:hAnsiTheme="minorHAnsi" w:cstheme="minorBidi"/>
          <w:noProof/>
          <w:sz w:val="24"/>
          <w:lang w:val="en-GB" w:eastAsia="en-GB"/>
        </w:rPr>
      </w:pPr>
      <w:hyperlink w:anchor="_Toc490600053" w:history="1">
        <w:r w:rsidR="006B025E" w:rsidRPr="0009216F">
          <w:rPr>
            <w:rStyle w:val="Hiperpovezava"/>
            <w:noProof/>
          </w:rPr>
          <w:t>Graf 41: Samozaposleni v kulturi – število oseb in sredstva za prispevke iz državnega proračuna za socialno varnost (2008–2016)*</w:t>
        </w:r>
        <w:r w:rsidR="006B025E">
          <w:rPr>
            <w:noProof/>
            <w:webHidden/>
          </w:rPr>
          <w:tab/>
        </w:r>
        <w:r w:rsidR="006B025E">
          <w:rPr>
            <w:noProof/>
            <w:webHidden/>
          </w:rPr>
          <w:fldChar w:fldCharType="begin"/>
        </w:r>
        <w:r w:rsidR="006B025E">
          <w:rPr>
            <w:noProof/>
            <w:webHidden/>
          </w:rPr>
          <w:instrText xml:space="preserve"> PAGEREF _Toc490600053 \h </w:instrText>
        </w:r>
        <w:r w:rsidR="006B025E">
          <w:rPr>
            <w:noProof/>
            <w:webHidden/>
          </w:rPr>
        </w:r>
        <w:r w:rsidR="006B025E">
          <w:rPr>
            <w:noProof/>
            <w:webHidden/>
          </w:rPr>
          <w:fldChar w:fldCharType="separate"/>
        </w:r>
        <w:r w:rsidR="00D776FA">
          <w:rPr>
            <w:noProof/>
            <w:webHidden/>
          </w:rPr>
          <w:t>76</w:t>
        </w:r>
        <w:r w:rsidR="006B025E">
          <w:rPr>
            <w:noProof/>
            <w:webHidden/>
          </w:rPr>
          <w:fldChar w:fldCharType="end"/>
        </w:r>
      </w:hyperlink>
    </w:p>
    <w:p w:rsidR="006B025E" w:rsidRDefault="009746F1">
      <w:pPr>
        <w:pStyle w:val="Kazaloslik"/>
        <w:tabs>
          <w:tab w:val="right" w:leader="dot" w:pos="9730"/>
        </w:tabs>
        <w:rPr>
          <w:rFonts w:asciiTheme="minorHAnsi" w:eastAsiaTheme="minorEastAsia" w:hAnsiTheme="minorHAnsi" w:cstheme="minorBidi"/>
          <w:noProof/>
          <w:sz w:val="24"/>
          <w:lang w:val="en-GB" w:eastAsia="en-GB"/>
        </w:rPr>
      </w:pPr>
      <w:hyperlink w:anchor="_Toc490600054" w:history="1">
        <w:r w:rsidR="006B025E" w:rsidRPr="0009216F">
          <w:rPr>
            <w:rStyle w:val="Hiperpovezava"/>
            <w:noProof/>
          </w:rPr>
          <w:t>Graf 42: Samozaposleni v kulturi – sredstva za prispevke iz državnega proračuna za socialno varnost po področjih kulture (2016)*</w:t>
        </w:r>
        <w:r w:rsidR="006B025E">
          <w:rPr>
            <w:noProof/>
            <w:webHidden/>
          </w:rPr>
          <w:tab/>
        </w:r>
        <w:r w:rsidR="006B025E">
          <w:rPr>
            <w:noProof/>
            <w:webHidden/>
          </w:rPr>
          <w:fldChar w:fldCharType="begin"/>
        </w:r>
        <w:r w:rsidR="006B025E">
          <w:rPr>
            <w:noProof/>
            <w:webHidden/>
          </w:rPr>
          <w:instrText xml:space="preserve"> PAGEREF _Toc490600054 \h </w:instrText>
        </w:r>
        <w:r w:rsidR="006B025E">
          <w:rPr>
            <w:noProof/>
            <w:webHidden/>
          </w:rPr>
        </w:r>
        <w:r w:rsidR="006B025E">
          <w:rPr>
            <w:noProof/>
            <w:webHidden/>
          </w:rPr>
          <w:fldChar w:fldCharType="separate"/>
        </w:r>
        <w:r w:rsidR="00D776FA">
          <w:rPr>
            <w:noProof/>
            <w:webHidden/>
          </w:rPr>
          <w:t>77</w:t>
        </w:r>
        <w:r w:rsidR="006B025E">
          <w:rPr>
            <w:noProof/>
            <w:webHidden/>
          </w:rPr>
          <w:fldChar w:fldCharType="end"/>
        </w:r>
      </w:hyperlink>
    </w:p>
    <w:p w:rsidR="006B025E" w:rsidRDefault="009746F1">
      <w:pPr>
        <w:pStyle w:val="Kazaloslik"/>
        <w:tabs>
          <w:tab w:val="right" w:leader="dot" w:pos="9730"/>
        </w:tabs>
        <w:rPr>
          <w:rFonts w:asciiTheme="minorHAnsi" w:eastAsiaTheme="minorEastAsia" w:hAnsiTheme="minorHAnsi" w:cstheme="minorBidi"/>
          <w:noProof/>
          <w:sz w:val="24"/>
          <w:lang w:val="en-GB" w:eastAsia="en-GB"/>
        </w:rPr>
      </w:pPr>
      <w:hyperlink w:anchor="_Toc490600055" w:history="1">
        <w:r w:rsidR="006B025E" w:rsidRPr="0009216F">
          <w:rPr>
            <w:rStyle w:val="Hiperpovezava"/>
            <w:noProof/>
          </w:rPr>
          <w:t>Graf 43: Izplačana nadomestila samozaposlenim v kulturi za čas odsotnosti z dela zaradi bolezni prvih 30 dni (2014–2016)*</w:t>
        </w:r>
        <w:r w:rsidR="006B025E">
          <w:rPr>
            <w:noProof/>
            <w:webHidden/>
          </w:rPr>
          <w:tab/>
        </w:r>
        <w:r w:rsidR="006B025E">
          <w:rPr>
            <w:noProof/>
            <w:webHidden/>
          </w:rPr>
          <w:fldChar w:fldCharType="begin"/>
        </w:r>
        <w:r w:rsidR="006B025E">
          <w:rPr>
            <w:noProof/>
            <w:webHidden/>
          </w:rPr>
          <w:instrText xml:space="preserve"> PAGEREF _Toc490600055 \h </w:instrText>
        </w:r>
        <w:r w:rsidR="006B025E">
          <w:rPr>
            <w:noProof/>
            <w:webHidden/>
          </w:rPr>
        </w:r>
        <w:r w:rsidR="006B025E">
          <w:rPr>
            <w:noProof/>
            <w:webHidden/>
          </w:rPr>
          <w:fldChar w:fldCharType="separate"/>
        </w:r>
        <w:r w:rsidR="00D776FA">
          <w:rPr>
            <w:noProof/>
            <w:webHidden/>
          </w:rPr>
          <w:t>77</w:t>
        </w:r>
        <w:r w:rsidR="006B025E">
          <w:rPr>
            <w:noProof/>
            <w:webHidden/>
          </w:rPr>
          <w:fldChar w:fldCharType="end"/>
        </w:r>
      </w:hyperlink>
    </w:p>
    <w:p w:rsidR="006B025E" w:rsidRDefault="009746F1">
      <w:pPr>
        <w:pStyle w:val="Kazaloslik"/>
        <w:tabs>
          <w:tab w:val="right" w:leader="dot" w:pos="9730"/>
        </w:tabs>
        <w:rPr>
          <w:rFonts w:asciiTheme="minorHAnsi" w:eastAsiaTheme="minorEastAsia" w:hAnsiTheme="minorHAnsi" w:cstheme="minorBidi"/>
          <w:noProof/>
          <w:sz w:val="24"/>
          <w:lang w:val="en-GB" w:eastAsia="en-GB"/>
        </w:rPr>
      </w:pPr>
      <w:hyperlink w:anchor="_Toc490600056" w:history="1">
        <w:r w:rsidR="006B025E" w:rsidRPr="0009216F">
          <w:rPr>
            <w:rStyle w:val="Hiperpovezava"/>
            <w:noProof/>
          </w:rPr>
          <w:t>Graf 44: Zneski republiških priznavalnin in njihovi prejemniki, Slovenija (2008–2015)</w:t>
        </w:r>
        <w:r w:rsidR="006B025E">
          <w:rPr>
            <w:noProof/>
            <w:webHidden/>
          </w:rPr>
          <w:tab/>
        </w:r>
        <w:r w:rsidR="006B025E">
          <w:rPr>
            <w:noProof/>
            <w:webHidden/>
          </w:rPr>
          <w:fldChar w:fldCharType="begin"/>
        </w:r>
        <w:r w:rsidR="006B025E">
          <w:rPr>
            <w:noProof/>
            <w:webHidden/>
          </w:rPr>
          <w:instrText xml:space="preserve"> PAGEREF _Toc490600056 \h </w:instrText>
        </w:r>
        <w:r w:rsidR="006B025E">
          <w:rPr>
            <w:noProof/>
            <w:webHidden/>
          </w:rPr>
        </w:r>
        <w:r w:rsidR="006B025E">
          <w:rPr>
            <w:noProof/>
            <w:webHidden/>
          </w:rPr>
          <w:fldChar w:fldCharType="separate"/>
        </w:r>
        <w:r w:rsidR="00D776FA">
          <w:rPr>
            <w:noProof/>
            <w:webHidden/>
          </w:rPr>
          <w:t>78</w:t>
        </w:r>
        <w:r w:rsidR="006B025E">
          <w:rPr>
            <w:noProof/>
            <w:webHidden/>
          </w:rPr>
          <w:fldChar w:fldCharType="end"/>
        </w:r>
      </w:hyperlink>
    </w:p>
    <w:p w:rsidR="006B025E" w:rsidRDefault="009746F1">
      <w:pPr>
        <w:pStyle w:val="Kazaloslik"/>
        <w:tabs>
          <w:tab w:val="right" w:leader="dot" w:pos="9730"/>
        </w:tabs>
        <w:rPr>
          <w:rFonts w:asciiTheme="minorHAnsi" w:eastAsiaTheme="minorEastAsia" w:hAnsiTheme="minorHAnsi" w:cstheme="minorBidi"/>
          <w:noProof/>
          <w:sz w:val="24"/>
          <w:lang w:val="en-GB" w:eastAsia="en-GB"/>
        </w:rPr>
      </w:pPr>
      <w:hyperlink w:anchor="_Toc490600057" w:history="1">
        <w:r w:rsidR="006B025E" w:rsidRPr="0009216F">
          <w:rPr>
            <w:rStyle w:val="Hiperpovezava"/>
            <w:noProof/>
            <w:lang w:eastAsia="sl-SI"/>
          </w:rPr>
          <w:t>Graf 45: Število redno financiranih javnih zavodov iz proračuna Ministrstva za kulturo (1989</w:t>
        </w:r>
        <w:r w:rsidR="006B025E" w:rsidRPr="0009216F">
          <w:rPr>
            <w:rStyle w:val="Hiperpovezava"/>
            <w:noProof/>
          </w:rPr>
          <w:t>–</w:t>
        </w:r>
        <w:r w:rsidR="006B025E" w:rsidRPr="0009216F">
          <w:rPr>
            <w:rStyle w:val="Hiperpovezava"/>
            <w:noProof/>
            <w:lang w:eastAsia="sl-SI"/>
          </w:rPr>
          <w:t>2015, večletni intervali)</w:t>
        </w:r>
        <w:r w:rsidR="006B025E">
          <w:rPr>
            <w:noProof/>
            <w:webHidden/>
          </w:rPr>
          <w:tab/>
        </w:r>
        <w:r w:rsidR="006B025E">
          <w:rPr>
            <w:noProof/>
            <w:webHidden/>
          </w:rPr>
          <w:fldChar w:fldCharType="begin"/>
        </w:r>
        <w:r w:rsidR="006B025E">
          <w:rPr>
            <w:noProof/>
            <w:webHidden/>
          </w:rPr>
          <w:instrText xml:space="preserve"> PAGEREF _Toc490600057 \h </w:instrText>
        </w:r>
        <w:r w:rsidR="006B025E">
          <w:rPr>
            <w:noProof/>
            <w:webHidden/>
          </w:rPr>
        </w:r>
        <w:r w:rsidR="006B025E">
          <w:rPr>
            <w:noProof/>
            <w:webHidden/>
          </w:rPr>
          <w:fldChar w:fldCharType="separate"/>
        </w:r>
        <w:r w:rsidR="00D776FA">
          <w:rPr>
            <w:noProof/>
            <w:webHidden/>
          </w:rPr>
          <w:t>79</w:t>
        </w:r>
        <w:r w:rsidR="006B025E">
          <w:rPr>
            <w:noProof/>
            <w:webHidden/>
          </w:rPr>
          <w:fldChar w:fldCharType="end"/>
        </w:r>
      </w:hyperlink>
    </w:p>
    <w:p w:rsidR="006B025E" w:rsidRDefault="009746F1">
      <w:pPr>
        <w:pStyle w:val="Kazaloslik"/>
        <w:tabs>
          <w:tab w:val="right" w:leader="dot" w:pos="9730"/>
        </w:tabs>
        <w:rPr>
          <w:rFonts w:asciiTheme="minorHAnsi" w:eastAsiaTheme="minorEastAsia" w:hAnsiTheme="minorHAnsi" w:cstheme="minorBidi"/>
          <w:noProof/>
          <w:sz w:val="24"/>
          <w:lang w:val="en-GB" w:eastAsia="en-GB"/>
        </w:rPr>
      </w:pPr>
      <w:hyperlink w:anchor="_Toc490600058" w:history="1">
        <w:r w:rsidR="006B025E" w:rsidRPr="0009216F">
          <w:rPr>
            <w:rStyle w:val="Hiperpovezava"/>
            <w:noProof/>
            <w:lang w:eastAsia="sl-SI"/>
          </w:rPr>
          <w:t>Tabela 35: Financiranje javnih zavodov po skupinah dejavnosti iz proračuna Ministrstva za kulturo (2008–2015)</w:t>
        </w:r>
        <w:r w:rsidR="006B025E">
          <w:rPr>
            <w:noProof/>
            <w:webHidden/>
          </w:rPr>
          <w:tab/>
        </w:r>
        <w:r w:rsidR="006B025E">
          <w:rPr>
            <w:noProof/>
            <w:webHidden/>
          </w:rPr>
          <w:fldChar w:fldCharType="begin"/>
        </w:r>
        <w:r w:rsidR="006B025E">
          <w:rPr>
            <w:noProof/>
            <w:webHidden/>
          </w:rPr>
          <w:instrText xml:space="preserve"> PAGEREF _Toc490600058 \h </w:instrText>
        </w:r>
        <w:r w:rsidR="006B025E">
          <w:rPr>
            <w:noProof/>
            <w:webHidden/>
          </w:rPr>
        </w:r>
        <w:r w:rsidR="006B025E">
          <w:rPr>
            <w:noProof/>
            <w:webHidden/>
          </w:rPr>
          <w:fldChar w:fldCharType="separate"/>
        </w:r>
        <w:r w:rsidR="00D776FA">
          <w:rPr>
            <w:noProof/>
            <w:webHidden/>
          </w:rPr>
          <w:t>80</w:t>
        </w:r>
        <w:r w:rsidR="006B025E">
          <w:rPr>
            <w:noProof/>
            <w:webHidden/>
          </w:rPr>
          <w:fldChar w:fldCharType="end"/>
        </w:r>
      </w:hyperlink>
    </w:p>
    <w:p w:rsidR="006B025E" w:rsidRDefault="009746F1">
      <w:pPr>
        <w:pStyle w:val="Kazaloslik"/>
        <w:tabs>
          <w:tab w:val="right" w:leader="dot" w:pos="9730"/>
        </w:tabs>
        <w:rPr>
          <w:rFonts w:asciiTheme="minorHAnsi" w:eastAsiaTheme="minorEastAsia" w:hAnsiTheme="minorHAnsi" w:cstheme="minorBidi"/>
          <w:noProof/>
          <w:sz w:val="24"/>
          <w:lang w:val="en-GB" w:eastAsia="en-GB"/>
        </w:rPr>
      </w:pPr>
      <w:hyperlink w:anchor="_Toc490600059" w:history="1">
        <w:r w:rsidR="006B025E" w:rsidRPr="0009216F">
          <w:rPr>
            <w:rStyle w:val="Hiperpovezava"/>
            <w:noProof/>
            <w:lang w:eastAsia="sl-SI"/>
          </w:rPr>
          <w:t xml:space="preserve">Graf 46: Struktura financiranja javnih zavodov po skupinah dejavnosti iz </w:t>
        </w:r>
        <w:r w:rsidR="006B025E" w:rsidRPr="0009216F">
          <w:rPr>
            <w:rStyle w:val="Hiperpovezava"/>
            <w:noProof/>
          </w:rPr>
          <w:t>proračuna Ministrstva za kulturo (2015)</w:t>
        </w:r>
        <w:r w:rsidR="006B025E">
          <w:rPr>
            <w:noProof/>
            <w:webHidden/>
          </w:rPr>
          <w:tab/>
        </w:r>
        <w:r w:rsidR="006B025E">
          <w:rPr>
            <w:noProof/>
            <w:webHidden/>
          </w:rPr>
          <w:fldChar w:fldCharType="begin"/>
        </w:r>
        <w:r w:rsidR="006B025E">
          <w:rPr>
            <w:noProof/>
            <w:webHidden/>
          </w:rPr>
          <w:instrText xml:space="preserve"> PAGEREF _Toc490600059 \h </w:instrText>
        </w:r>
        <w:r w:rsidR="006B025E">
          <w:rPr>
            <w:noProof/>
            <w:webHidden/>
          </w:rPr>
        </w:r>
        <w:r w:rsidR="006B025E">
          <w:rPr>
            <w:noProof/>
            <w:webHidden/>
          </w:rPr>
          <w:fldChar w:fldCharType="separate"/>
        </w:r>
        <w:r w:rsidR="00D776FA">
          <w:rPr>
            <w:noProof/>
            <w:webHidden/>
          </w:rPr>
          <w:t>80</w:t>
        </w:r>
        <w:r w:rsidR="006B025E">
          <w:rPr>
            <w:noProof/>
            <w:webHidden/>
          </w:rPr>
          <w:fldChar w:fldCharType="end"/>
        </w:r>
      </w:hyperlink>
    </w:p>
    <w:p w:rsidR="006B025E" w:rsidRDefault="009746F1">
      <w:pPr>
        <w:pStyle w:val="Kazaloslik"/>
        <w:tabs>
          <w:tab w:val="right" w:leader="dot" w:pos="9730"/>
        </w:tabs>
        <w:rPr>
          <w:rFonts w:asciiTheme="minorHAnsi" w:eastAsiaTheme="minorEastAsia" w:hAnsiTheme="minorHAnsi" w:cstheme="minorBidi"/>
          <w:noProof/>
          <w:sz w:val="24"/>
          <w:lang w:val="en-GB" w:eastAsia="en-GB"/>
        </w:rPr>
      </w:pPr>
      <w:hyperlink w:anchor="_Toc490600060" w:history="1">
        <w:r w:rsidR="006B025E" w:rsidRPr="0009216F">
          <w:rPr>
            <w:rStyle w:val="Hiperpovezava"/>
            <w:noProof/>
          </w:rPr>
          <w:t>Tabela 36: Financiranje javnih zavodov po namenih iz proračuna Ministrstva za kulturo (2008–2015)</w:t>
        </w:r>
        <w:r w:rsidR="006B025E">
          <w:rPr>
            <w:noProof/>
            <w:webHidden/>
          </w:rPr>
          <w:tab/>
        </w:r>
        <w:r w:rsidR="006B025E">
          <w:rPr>
            <w:noProof/>
            <w:webHidden/>
          </w:rPr>
          <w:fldChar w:fldCharType="begin"/>
        </w:r>
        <w:r w:rsidR="006B025E">
          <w:rPr>
            <w:noProof/>
            <w:webHidden/>
          </w:rPr>
          <w:instrText xml:space="preserve"> PAGEREF _Toc490600060 \h </w:instrText>
        </w:r>
        <w:r w:rsidR="006B025E">
          <w:rPr>
            <w:noProof/>
            <w:webHidden/>
          </w:rPr>
        </w:r>
        <w:r w:rsidR="006B025E">
          <w:rPr>
            <w:noProof/>
            <w:webHidden/>
          </w:rPr>
          <w:fldChar w:fldCharType="separate"/>
        </w:r>
        <w:r w:rsidR="00D776FA">
          <w:rPr>
            <w:noProof/>
            <w:webHidden/>
          </w:rPr>
          <w:t>81</w:t>
        </w:r>
        <w:r w:rsidR="006B025E">
          <w:rPr>
            <w:noProof/>
            <w:webHidden/>
          </w:rPr>
          <w:fldChar w:fldCharType="end"/>
        </w:r>
      </w:hyperlink>
    </w:p>
    <w:p w:rsidR="006B025E" w:rsidRDefault="009746F1">
      <w:pPr>
        <w:pStyle w:val="Kazaloslik"/>
        <w:tabs>
          <w:tab w:val="right" w:leader="dot" w:pos="9730"/>
        </w:tabs>
        <w:rPr>
          <w:rFonts w:asciiTheme="minorHAnsi" w:eastAsiaTheme="minorEastAsia" w:hAnsiTheme="minorHAnsi" w:cstheme="minorBidi"/>
          <w:noProof/>
          <w:sz w:val="24"/>
          <w:lang w:val="en-GB" w:eastAsia="en-GB"/>
        </w:rPr>
      </w:pPr>
      <w:hyperlink w:anchor="_Toc490600061" w:history="1">
        <w:r w:rsidR="006B025E" w:rsidRPr="0009216F">
          <w:rPr>
            <w:rStyle w:val="Hiperpovezava"/>
            <w:noProof/>
          </w:rPr>
          <w:t>Graf 47: Struktura financiranja javnih zavodov po namenih iz proračuna Ministrstva za kulturo (2015)</w:t>
        </w:r>
        <w:r w:rsidR="006B025E">
          <w:rPr>
            <w:noProof/>
            <w:webHidden/>
          </w:rPr>
          <w:tab/>
        </w:r>
        <w:r w:rsidR="006B025E">
          <w:rPr>
            <w:noProof/>
            <w:webHidden/>
          </w:rPr>
          <w:fldChar w:fldCharType="begin"/>
        </w:r>
        <w:r w:rsidR="006B025E">
          <w:rPr>
            <w:noProof/>
            <w:webHidden/>
          </w:rPr>
          <w:instrText xml:space="preserve"> PAGEREF _Toc490600061 \h </w:instrText>
        </w:r>
        <w:r w:rsidR="006B025E">
          <w:rPr>
            <w:noProof/>
            <w:webHidden/>
          </w:rPr>
        </w:r>
        <w:r w:rsidR="006B025E">
          <w:rPr>
            <w:noProof/>
            <w:webHidden/>
          </w:rPr>
          <w:fldChar w:fldCharType="separate"/>
        </w:r>
        <w:r w:rsidR="00D776FA">
          <w:rPr>
            <w:noProof/>
            <w:webHidden/>
          </w:rPr>
          <w:t>81</w:t>
        </w:r>
        <w:r w:rsidR="006B025E">
          <w:rPr>
            <w:noProof/>
            <w:webHidden/>
          </w:rPr>
          <w:fldChar w:fldCharType="end"/>
        </w:r>
      </w:hyperlink>
    </w:p>
    <w:p w:rsidR="006B025E" w:rsidRDefault="009746F1">
      <w:pPr>
        <w:pStyle w:val="Kazaloslik"/>
        <w:tabs>
          <w:tab w:val="right" w:leader="dot" w:pos="9730"/>
        </w:tabs>
        <w:rPr>
          <w:rFonts w:asciiTheme="minorHAnsi" w:eastAsiaTheme="minorEastAsia" w:hAnsiTheme="minorHAnsi" w:cstheme="minorBidi"/>
          <w:noProof/>
          <w:sz w:val="24"/>
          <w:lang w:val="en-GB" w:eastAsia="en-GB"/>
        </w:rPr>
      </w:pPr>
      <w:hyperlink w:anchor="_Toc490600062" w:history="1">
        <w:r w:rsidR="006B025E" w:rsidRPr="0009216F">
          <w:rPr>
            <w:rStyle w:val="Hiperpovezava"/>
            <w:noProof/>
            <w:lang w:eastAsia="sl-SI"/>
          </w:rPr>
          <w:t>Tabela 37: Celoten prihodek nacionalnih javnih zavodov po viru (2008–2015)*</w:t>
        </w:r>
        <w:r w:rsidR="006B025E">
          <w:rPr>
            <w:noProof/>
            <w:webHidden/>
          </w:rPr>
          <w:tab/>
        </w:r>
        <w:r w:rsidR="006B025E">
          <w:rPr>
            <w:noProof/>
            <w:webHidden/>
          </w:rPr>
          <w:fldChar w:fldCharType="begin"/>
        </w:r>
        <w:r w:rsidR="006B025E">
          <w:rPr>
            <w:noProof/>
            <w:webHidden/>
          </w:rPr>
          <w:instrText xml:space="preserve"> PAGEREF _Toc490600062 \h </w:instrText>
        </w:r>
        <w:r w:rsidR="006B025E">
          <w:rPr>
            <w:noProof/>
            <w:webHidden/>
          </w:rPr>
        </w:r>
        <w:r w:rsidR="006B025E">
          <w:rPr>
            <w:noProof/>
            <w:webHidden/>
          </w:rPr>
          <w:fldChar w:fldCharType="separate"/>
        </w:r>
        <w:r w:rsidR="00D776FA">
          <w:rPr>
            <w:noProof/>
            <w:webHidden/>
          </w:rPr>
          <w:t>82</w:t>
        </w:r>
        <w:r w:rsidR="006B025E">
          <w:rPr>
            <w:noProof/>
            <w:webHidden/>
          </w:rPr>
          <w:fldChar w:fldCharType="end"/>
        </w:r>
      </w:hyperlink>
    </w:p>
    <w:p w:rsidR="006B025E" w:rsidRDefault="009746F1">
      <w:pPr>
        <w:pStyle w:val="Kazaloslik"/>
        <w:tabs>
          <w:tab w:val="right" w:leader="dot" w:pos="9730"/>
        </w:tabs>
        <w:rPr>
          <w:rFonts w:asciiTheme="minorHAnsi" w:eastAsiaTheme="minorEastAsia" w:hAnsiTheme="minorHAnsi" w:cstheme="minorBidi"/>
          <w:noProof/>
          <w:sz w:val="24"/>
          <w:lang w:val="en-GB" w:eastAsia="en-GB"/>
        </w:rPr>
      </w:pPr>
      <w:hyperlink w:anchor="_Toc490600063" w:history="1">
        <w:r w:rsidR="006B025E" w:rsidRPr="0009216F">
          <w:rPr>
            <w:rStyle w:val="Hiperpovezava"/>
            <w:noProof/>
            <w:lang w:eastAsia="sl-SI"/>
          </w:rPr>
          <w:t>Graf 48: Struktura celotnega prihodka nacionalnih javnih zavodov po viru (2015)*</w:t>
        </w:r>
        <w:r w:rsidR="006B025E">
          <w:rPr>
            <w:noProof/>
            <w:webHidden/>
          </w:rPr>
          <w:tab/>
        </w:r>
        <w:r w:rsidR="006B025E">
          <w:rPr>
            <w:noProof/>
            <w:webHidden/>
          </w:rPr>
          <w:fldChar w:fldCharType="begin"/>
        </w:r>
        <w:r w:rsidR="006B025E">
          <w:rPr>
            <w:noProof/>
            <w:webHidden/>
          </w:rPr>
          <w:instrText xml:space="preserve"> PAGEREF _Toc490600063 \h </w:instrText>
        </w:r>
        <w:r w:rsidR="006B025E">
          <w:rPr>
            <w:noProof/>
            <w:webHidden/>
          </w:rPr>
        </w:r>
        <w:r w:rsidR="006B025E">
          <w:rPr>
            <w:noProof/>
            <w:webHidden/>
          </w:rPr>
          <w:fldChar w:fldCharType="separate"/>
        </w:r>
        <w:r w:rsidR="00D776FA">
          <w:rPr>
            <w:noProof/>
            <w:webHidden/>
          </w:rPr>
          <w:t>82</w:t>
        </w:r>
        <w:r w:rsidR="006B025E">
          <w:rPr>
            <w:noProof/>
            <w:webHidden/>
          </w:rPr>
          <w:fldChar w:fldCharType="end"/>
        </w:r>
      </w:hyperlink>
    </w:p>
    <w:p w:rsidR="006B025E" w:rsidRDefault="009746F1">
      <w:pPr>
        <w:pStyle w:val="Kazaloslik"/>
        <w:tabs>
          <w:tab w:val="right" w:leader="dot" w:pos="9730"/>
        </w:tabs>
        <w:rPr>
          <w:rFonts w:asciiTheme="minorHAnsi" w:eastAsiaTheme="minorEastAsia" w:hAnsiTheme="minorHAnsi" w:cstheme="minorBidi"/>
          <w:noProof/>
          <w:sz w:val="24"/>
          <w:lang w:val="en-GB" w:eastAsia="en-GB"/>
        </w:rPr>
      </w:pPr>
      <w:hyperlink w:anchor="_Toc490600064" w:history="1">
        <w:r w:rsidR="006B025E" w:rsidRPr="0009216F">
          <w:rPr>
            <w:rStyle w:val="Hiperpovezava"/>
            <w:noProof/>
            <w:lang w:eastAsia="sl-SI"/>
          </w:rPr>
          <w:t>Tabela 38: Celoten prihodek</w:t>
        </w:r>
        <w:r w:rsidR="006B025E" w:rsidRPr="0009216F">
          <w:rPr>
            <w:rStyle w:val="Hiperpovezava"/>
            <w:noProof/>
            <w:vertAlign w:val="superscript"/>
            <w:lang w:eastAsia="sl-SI"/>
          </w:rPr>
          <w:t>*</w:t>
        </w:r>
        <w:r w:rsidR="006B025E" w:rsidRPr="0009216F">
          <w:rPr>
            <w:rStyle w:val="Hiperpovezava"/>
            <w:noProof/>
            <w:lang w:eastAsia="sl-SI"/>
          </w:rPr>
          <w:t xml:space="preserve"> občinskih javnih zavodov** po viru v nominalnih zneskih (2008–2015)</w:t>
        </w:r>
        <w:r w:rsidR="006B025E">
          <w:rPr>
            <w:noProof/>
            <w:webHidden/>
          </w:rPr>
          <w:tab/>
        </w:r>
        <w:r w:rsidR="006B025E">
          <w:rPr>
            <w:noProof/>
            <w:webHidden/>
          </w:rPr>
          <w:fldChar w:fldCharType="begin"/>
        </w:r>
        <w:r w:rsidR="006B025E">
          <w:rPr>
            <w:noProof/>
            <w:webHidden/>
          </w:rPr>
          <w:instrText xml:space="preserve"> PAGEREF _Toc490600064 \h </w:instrText>
        </w:r>
        <w:r w:rsidR="006B025E">
          <w:rPr>
            <w:noProof/>
            <w:webHidden/>
          </w:rPr>
        </w:r>
        <w:r w:rsidR="006B025E">
          <w:rPr>
            <w:noProof/>
            <w:webHidden/>
          </w:rPr>
          <w:fldChar w:fldCharType="separate"/>
        </w:r>
        <w:r w:rsidR="00D776FA">
          <w:rPr>
            <w:noProof/>
            <w:webHidden/>
          </w:rPr>
          <w:t>83</w:t>
        </w:r>
        <w:r w:rsidR="006B025E">
          <w:rPr>
            <w:noProof/>
            <w:webHidden/>
          </w:rPr>
          <w:fldChar w:fldCharType="end"/>
        </w:r>
      </w:hyperlink>
    </w:p>
    <w:p w:rsidR="006B025E" w:rsidRDefault="009746F1">
      <w:pPr>
        <w:pStyle w:val="Kazaloslik"/>
        <w:tabs>
          <w:tab w:val="right" w:leader="dot" w:pos="9730"/>
        </w:tabs>
        <w:rPr>
          <w:rFonts w:asciiTheme="minorHAnsi" w:eastAsiaTheme="minorEastAsia" w:hAnsiTheme="minorHAnsi" w:cstheme="minorBidi"/>
          <w:noProof/>
          <w:sz w:val="24"/>
          <w:lang w:val="en-GB" w:eastAsia="en-GB"/>
        </w:rPr>
      </w:pPr>
      <w:hyperlink w:anchor="_Toc490600065" w:history="1">
        <w:r w:rsidR="006B025E" w:rsidRPr="0009216F">
          <w:rPr>
            <w:rStyle w:val="Hiperpovezava"/>
            <w:noProof/>
            <w:lang w:eastAsia="sl-SI"/>
          </w:rPr>
          <w:t>Graf 49: Struktura celotnega prihodka* občinskih javnih zavodov po viru** (2015)</w:t>
        </w:r>
        <w:r w:rsidR="006B025E">
          <w:rPr>
            <w:noProof/>
            <w:webHidden/>
          </w:rPr>
          <w:tab/>
        </w:r>
        <w:r w:rsidR="006B025E">
          <w:rPr>
            <w:noProof/>
            <w:webHidden/>
          </w:rPr>
          <w:fldChar w:fldCharType="begin"/>
        </w:r>
        <w:r w:rsidR="006B025E">
          <w:rPr>
            <w:noProof/>
            <w:webHidden/>
          </w:rPr>
          <w:instrText xml:space="preserve"> PAGEREF _Toc490600065 \h </w:instrText>
        </w:r>
        <w:r w:rsidR="006B025E">
          <w:rPr>
            <w:noProof/>
            <w:webHidden/>
          </w:rPr>
        </w:r>
        <w:r w:rsidR="006B025E">
          <w:rPr>
            <w:noProof/>
            <w:webHidden/>
          </w:rPr>
          <w:fldChar w:fldCharType="separate"/>
        </w:r>
        <w:r w:rsidR="00D776FA">
          <w:rPr>
            <w:noProof/>
            <w:webHidden/>
          </w:rPr>
          <w:t>83</w:t>
        </w:r>
        <w:r w:rsidR="006B025E">
          <w:rPr>
            <w:noProof/>
            <w:webHidden/>
          </w:rPr>
          <w:fldChar w:fldCharType="end"/>
        </w:r>
      </w:hyperlink>
    </w:p>
    <w:p w:rsidR="006B025E" w:rsidRDefault="009746F1">
      <w:pPr>
        <w:pStyle w:val="Kazaloslik"/>
        <w:tabs>
          <w:tab w:val="right" w:leader="dot" w:pos="9730"/>
        </w:tabs>
        <w:rPr>
          <w:rFonts w:asciiTheme="minorHAnsi" w:eastAsiaTheme="minorEastAsia" w:hAnsiTheme="minorHAnsi" w:cstheme="minorBidi"/>
          <w:noProof/>
          <w:sz w:val="24"/>
          <w:lang w:val="en-GB" w:eastAsia="en-GB"/>
        </w:rPr>
      </w:pPr>
      <w:hyperlink w:anchor="_Toc490600066" w:history="1">
        <w:r w:rsidR="006B025E" w:rsidRPr="0009216F">
          <w:rPr>
            <w:rStyle w:val="Hiperpovezava"/>
            <w:noProof/>
          </w:rPr>
          <w:t>Tabela 39: Sredstva, ki so jih javni zavodi* namenili za izplačila stroškov dela (2008–2015)**</w:t>
        </w:r>
        <w:r w:rsidR="006B025E">
          <w:rPr>
            <w:noProof/>
            <w:webHidden/>
          </w:rPr>
          <w:tab/>
        </w:r>
        <w:r w:rsidR="006B025E">
          <w:rPr>
            <w:noProof/>
            <w:webHidden/>
          </w:rPr>
          <w:fldChar w:fldCharType="begin"/>
        </w:r>
        <w:r w:rsidR="006B025E">
          <w:rPr>
            <w:noProof/>
            <w:webHidden/>
          </w:rPr>
          <w:instrText xml:space="preserve"> PAGEREF _Toc490600066 \h </w:instrText>
        </w:r>
        <w:r w:rsidR="006B025E">
          <w:rPr>
            <w:noProof/>
            <w:webHidden/>
          </w:rPr>
        </w:r>
        <w:r w:rsidR="006B025E">
          <w:rPr>
            <w:noProof/>
            <w:webHidden/>
          </w:rPr>
          <w:fldChar w:fldCharType="separate"/>
        </w:r>
        <w:r w:rsidR="00D776FA">
          <w:rPr>
            <w:noProof/>
            <w:webHidden/>
          </w:rPr>
          <w:t>84</w:t>
        </w:r>
        <w:r w:rsidR="006B025E">
          <w:rPr>
            <w:noProof/>
            <w:webHidden/>
          </w:rPr>
          <w:fldChar w:fldCharType="end"/>
        </w:r>
      </w:hyperlink>
    </w:p>
    <w:p w:rsidR="006B025E" w:rsidRDefault="009746F1">
      <w:pPr>
        <w:pStyle w:val="Kazaloslik"/>
        <w:tabs>
          <w:tab w:val="right" w:leader="dot" w:pos="9730"/>
        </w:tabs>
        <w:rPr>
          <w:rFonts w:asciiTheme="minorHAnsi" w:eastAsiaTheme="minorEastAsia" w:hAnsiTheme="minorHAnsi" w:cstheme="minorBidi"/>
          <w:noProof/>
          <w:sz w:val="24"/>
          <w:lang w:val="en-GB" w:eastAsia="en-GB"/>
        </w:rPr>
      </w:pPr>
      <w:hyperlink w:anchor="_Toc490600067" w:history="1">
        <w:r w:rsidR="006B025E" w:rsidRPr="0009216F">
          <w:rPr>
            <w:rStyle w:val="Hiperpovezava"/>
            <w:noProof/>
          </w:rPr>
          <w:t>Graf 50: Struktura sredstev, ki so jih javni zavodi namenili za izplačila stroškov dela (2015)*</w:t>
        </w:r>
        <w:r w:rsidR="006B025E">
          <w:rPr>
            <w:noProof/>
            <w:webHidden/>
          </w:rPr>
          <w:tab/>
        </w:r>
        <w:r w:rsidR="006B025E">
          <w:rPr>
            <w:noProof/>
            <w:webHidden/>
          </w:rPr>
          <w:fldChar w:fldCharType="begin"/>
        </w:r>
        <w:r w:rsidR="006B025E">
          <w:rPr>
            <w:noProof/>
            <w:webHidden/>
          </w:rPr>
          <w:instrText xml:space="preserve"> PAGEREF _Toc490600067 \h </w:instrText>
        </w:r>
        <w:r w:rsidR="006B025E">
          <w:rPr>
            <w:noProof/>
            <w:webHidden/>
          </w:rPr>
        </w:r>
        <w:r w:rsidR="006B025E">
          <w:rPr>
            <w:noProof/>
            <w:webHidden/>
          </w:rPr>
          <w:fldChar w:fldCharType="separate"/>
        </w:r>
        <w:r w:rsidR="00D776FA">
          <w:rPr>
            <w:noProof/>
            <w:webHidden/>
          </w:rPr>
          <w:t>84</w:t>
        </w:r>
        <w:r w:rsidR="006B025E">
          <w:rPr>
            <w:noProof/>
            <w:webHidden/>
          </w:rPr>
          <w:fldChar w:fldCharType="end"/>
        </w:r>
      </w:hyperlink>
    </w:p>
    <w:p w:rsidR="00D53C6C" w:rsidRPr="003946D7" w:rsidRDefault="001C1E71" w:rsidP="001C1E71">
      <w:pPr>
        <w:pStyle w:val="Kazaloslik"/>
      </w:pPr>
      <w:r>
        <w:fldChar w:fldCharType="end"/>
      </w:r>
    </w:p>
    <w:p w:rsidR="006D3381" w:rsidRDefault="006D3381">
      <w:r>
        <w:br w:type="page"/>
      </w:r>
    </w:p>
    <w:p w:rsidR="00D93953" w:rsidRDefault="00D93953" w:rsidP="00D93953">
      <w:pPr>
        <w:pStyle w:val="Podnaslov"/>
      </w:pPr>
      <w:bookmarkStart w:id="2" w:name="_Toc490599932"/>
      <w:bookmarkStart w:id="3" w:name="_Toc506192061"/>
      <w:bookmarkEnd w:id="0"/>
      <w:bookmarkEnd w:id="1"/>
      <w:r>
        <w:lastRenderedPageBreak/>
        <w:t>Povzetek</w:t>
      </w:r>
      <w:bookmarkEnd w:id="2"/>
      <w:bookmarkEnd w:id="3"/>
    </w:p>
    <w:p w:rsidR="00D93953" w:rsidRDefault="00813722" w:rsidP="00D93953">
      <w:r>
        <w:t>Na podlagi anketne razisk</w:t>
      </w:r>
      <w:r w:rsidR="000A5C73">
        <w:t>ave Odnos do kulture (2017, n = 1019, 15–75 let) k</w:t>
      </w:r>
      <w:r w:rsidR="00D93953">
        <w:t>ultura le desetini prebivalstva Slovenije ne pomeni ničesar, za druge pa nosi različne pomene: najbolj razširjeni sta razumevanji, da je to način kultiviranega bivanja ter pripomoček za ugodje in samouresničevanje, pogosti pa sta tudi pojmovanji, da je kultura rezultat umetniške dejavnosti in sidro narodne zavesti. Prebivalstvo je javnemu financiranju umetnosti in kulture naklonjeno – meni, da je potrebno in da bi moralo biti izdatnejše, o njegovi višini pa je slabo poučeno, saj v povprečju meni, da država za kulturo nameni 29 milijonov evrov letno.</w:t>
      </w:r>
    </w:p>
    <w:p w:rsidR="00D93953" w:rsidRDefault="00D93953" w:rsidP="00D93953">
      <w:r>
        <w:t>Slovenija je leta 2015 namenila za kulturne storitve 275,3 milijone evrov (državni in lokalni proračuni skupaj) oz. 0,7 % bruto družbenega proizvoda. To jo uvršča na četrto mesto med evropskimi državami, ki v povprečju namenijo za kulturo 0,4 % bruto družbenega proizvoda. Prejšnja leta (od 2008 naprej), ko smo za kulturne storitve namenjali več, smo bili uvrščeni bodisi na drugo ali tretje mesto. V Evrop</w:t>
      </w:r>
      <w:r w:rsidR="00236A16">
        <w:t>i</w:t>
      </w:r>
      <w:r>
        <w:t xml:space="preserve"> lokalne skupnosti praviloma prispevajo vsaj toliko ali več sredstev za kulturne storitve kot državni proračun. Leta 2015 je bilo tako v 18-ih državah – tudi v Sloveniji – od 27-ih, za katere so podatki. </w:t>
      </w:r>
    </w:p>
    <w:p w:rsidR="00D93953" w:rsidRDefault="00D93953" w:rsidP="00D93953">
      <w:r>
        <w:t xml:space="preserve">Poleg odstotka bruto družbenega proizvoda so na razpolago tudi mednarodno primerljivi podatki o javnih izdatkih za kulturne storitve glede na vse javne izdatke. V Sloveniji je </w:t>
      </w:r>
      <w:r w:rsidR="009A7018">
        <w:t xml:space="preserve">obseg </w:t>
      </w:r>
      <w:r>
        <w:t>javnih izdatkov za kulturne storitve v obdobju 2008–2010 znašal 1,8</w:t>
      </w:r>
      <w:r w:rsidR="009A7018">
        <w:t xml:space="preserve"> %</w:t>
      </w:r>
      <w:r>
        <w:t>. Nato se je leta 2011 začel zniževati in leta 2013 dosegel najnižjo raven doslej (1,3 %). V letu 2014 se je krivulja obrnila navzgor in leta 2015 je bil 1,5</w:t>
      </w:r>
      <w:r w:rsidR="009A7018">
        <w:t xml:space="preserve"> %</w:t>
      </w:r>
      <w:r>
        <w:t>, kar uvršča Slovenijo na sedmo mesto med evropskimi državami in nad povprečje EU</w:t>
      </w:r>
      <w:r w:rsidR="00236A16">
        <w:t>-</w:t>
      </w:r>
      <w:r>
        <w:t>28, ki je bilo 1 %.</w:t>
      </w:r>
    </w:p>
    <w:p w:rsidR="00D93953" w:rsidRDefault="00D93953" w:rsidP="00D93953">
      <w:r>
        <w:t>Proračun Ministrstva za kulturo se je od leta 1992 naprej (prvo polno leto delovanja Ministrstvo za kulturo) do leta 2009 nominalno zviševal (iz 22 na 204 milijone evrov), leta 2010 pa je začel padati in leta 2016 pristal na ravni leta 2005 –</w:t>
      </w:r>
      <w:r w:rsidR="009A7018">
        <w:t xml:space="preserve"> </w:t>
      </w:r>
      <w:r>
        <w:t>slabih 147 milijonov evrov. Z letom 2017 se krivulja obrača navzgor: sprejeti proračun Ministrstva za kulturo za leto 2017 znaša 155.222.162 evrov, predvideni proračun za leto 2018 pa 157.180.838 evrov.</w:t>
      </w:r>
    </w:p>
    <w:p w:rsidR="00D93953" w:rsidRDefault="00D93953" w:rsidP="00D93953">
      <w:r>
        <w:t xml:space="preserve">Nominalno zviševanje proračuna Ministrstva za kulturo </w:t>
      </w:r>
      <w:r w:rsidR="00270967">
        <w:t>je</w:t>
      </w:r>
      <w:r>
        <w:t xml:space="preserve">, če ga opazujemo v razmerju do državnega proračuna, relativno </w:t>
      </w:r>
      <w:r w:rsidR="00270967">
        <w:t>zniževanje</w:t>
      </w:r>
      <w:r>
        <w:t xml:space="preserve">: odstotek proračuna Ministrstva za kulturo v državnem proračunu je od leta 1992 naprej zlagoma padal – z 2,47 % na 1,63 % v letu 2016. Nižal (z nekaj nihaji v nasprotno smer) se je tudi odstotek integralnih </w:t>
      </w:r>
      <w:r w:rsidR="009A7018">
        <w:t xml:space="preserve">proračunskih </w:t>
      </w:r>
      <w:r>
        <w:t xml:space="preserve">sredstev na račun sredstev evropske kohezijske politike. </w:t>
      </w:r>
    </w:p>
    <w:p w:rsidR="00D93953" w:rsidRDefault="00D93953" w:rsidP="00D93953">
      <w:r>
        <w:t xml:space="preserve">Leta 1992 je bilo največ (od 17 do 22 %) sredstev namenjenih za varstvo premične kulturne dediščine, glasbo in uprizoritvene umetnosti, leta 2015 pa za ista tri področja ter za varstvo nepremične kulturne dediščine (od 15 do 17 %). Leta 1992 je bilo najmanj sredstev (manj kot 1 %) namenjenih za manjšinske skupnosti v RS, Slovence zunaj RS, ljubiteljsko kulturo in štipendije, leta 2015 pa za </w:t>
      </w:r>
      <w:proofErr w:type="spellStart"/>
      <w:r>
        <w:t>intermedijske</w:t>
      </w:r>
      <w:proofErr w:type="spellEnd"/>
      <w:r>
        <w:t xml:space="preserve"> umetnosti, investicije in investicijsko vzdrževanje, štipendije ter mednarodno sodelovanje.</w:t>
      </w:r>
      <w:r w:rsidR="00626BDB">
        <w:t xml:space="preserve"> </w:t>
      </w:r>
    </w:p>
    <w:p w:rsidR="00D93953" w:rsidRDefault="00231CB6" w:rsidP="00D93953">
      <w:r>
        <w:t>Leta 2015 (zadnje leto opazovanja) so</w:t>
      </w:r>
      <w:r w:rsidR="00D93953">
        <w:t xml:space="preserve"> približno 60 % proračuna Ministrstva za kulturo </w:t>
      </w:r>
      <w:r>
        <w:t>prejeli</w:t>
      </w:r>
      <w:r w:rsidR="00D93953">
        <w:t xml:space="preserve"> javni zavodi, približno 12 % je </w:t>
      </w:r>
      <w:r>
        <w:t>bilo</w:t>
      </w:r>
      <w:r w:rsidR="00D93953">
        <w:t xml:space="preserve"> za investicije, približno 10 % sredstev za delovanje ministrstva, Arhiva RS, Inšpektorata za kulturo in medije, Javnega sklada RS za kulturne dejavnosti, Javne agencije za knjigo RS in Slovenskega filmskega centra, približno 18 % pa </w:t>
      </w:r>
      <w:r>
        <w:t>za programe</w:t>
      </w:r>
      <w:r w:rsidR="00D93953">
        <w:t xml:space="preserve"> in projek</w:t>
      </w:r>
      <w:r>
        <w:t>te</w:t>
      </w:r>
      <w:r w:rsidR="00D93953">
        <w:t xml:space="preserve"> nevladnih/neprofitnih organizacij in gospodarskih družb ter za projekte in socialne prispevke posameznikov.</w:t>
      </w:r>
    </w:p>
    <w:p w:rsidR="00D93953" w:rsidRDefault="00D93953" w:rsidP="00D93953">
      <w:r>
        <w:t xml:space="preserve">Približno dve tretjini sredstev proračuna Ministrstva za kulturo </w:t>
      </w:r>
      <w:r w:rsidR="003E44DE">
        <w:t xml:space="preserve">je </w:t>
      </w:r>
      <w:r w:rsidR="00BB655F">
        <w:t>namenjeno</w:t>
      </w:r>
      <w:r w:rsidR="003E44DE">
        <w:t xml:space="preserve"> </w:t>
      </w:r>
      <w:r>
        <w:t xml:space="preserve">osrednjeslovenski regiji. Druga po vrsti je bila leta 2015 podravska regija, ki je prejela dobro desetino sredstev, tretja pa goriška z dvajsetino sredstev. Regije, ki so leta 2015 prejele najmanj sredstev – manj kot odstotek –, so bile zasavska, koroška in </w:t>
      </w:r>
      <w:proofErr w:type="spellStart"/>
      <w:r>
        <w:t>spodnjeposavska</w:t>
      </w:r>
      <w:proofErr w:type="spellEnd"/>
      <w:r>
        <w:t>.</w:t>
      </w:r>
    </w:p>
    <w:p w:rsidR="00D93953" w:rsidRDefault="00D93953" w:rsidP="00D93953">
      <w:r>
        <w:t xml:space="preserve">Slovenska gospodinjstva za kulturo v povprečju namenijo dobre 3 % svojih letnih izdatkov, kar na ravni države znaša približno 500 milijonov evrov na leto, poleg tega so leta 2015 posamezniki iz donacij dohodnine za financiranje kulturnih namenov </w:t>
      </w:r>
      <w:r w:rsidR="003E44DE">
        <w:t xml:space="preserve">prispevali </w:t>
      </w:r>
      <w:r>
        <w:t>slabih 170 tisoč evrov. Tako je vsota javnih izdatkov za kulturne storitve, izdatkov gospodinjstev za kulturo ter donacije posameznikov iz dohodnine leta 2015 znašala 1,99 % slovenskega bruto družbenega proizvoda.</w:t>
      </w:r>
    </w:p>
    <w:p w:rsidR="00D93953" w:rsidRDefault="00D93953" w:rsidP="00D93953">
      <w:r>
        <w:lastRenderedPageBreak/>
        <w:t xml:space="preserve">Kulturna produkcija se je </w:t>
      </w:r>
      <w:r w:rsidR="003E44DE">
        <w:t xml:space="preserve">z manjšimi odstopanji </w:t>
      </w:r>
      <w:r>
        <w:t xml:space="preserve">povečala na vseh področjih, ki jih spremlja uradna statistika (predstave v gledališčih, koncerti poklicnih orkestrov in zborov, ure televizijskega in radijskega programa, prireditve v kulturnih domovih, razstave v muzejih in galerijah), le v založništvu je padla. </w:t>
      </w:r>
    </w:p>
    <w:p w:rsidR="00D93953" w:rsidRDefault="00D93953" w:rsidP="00D93953">
      <w:r>
        <w:t>Slovenski Statistični register delovno aktivnega prebivalstva je konec leta 2015 beležil 25.282 delovno aktivnih v kulturnih dejavnostih. V obdobju od leta 2008 do leta 2015 se je njihovo število povečalo iz 24.234 oseb na 25.282 oseb oz</w:t>
      </w:r>
      <w:r w:rsidR="0016266A">
        <w:t>iroma</w:t>
      </w:r>
      <w:r>
        <w:t xml:space="preserve"> za 4,3 %, medtem, ko se je število vseh delovno aktivnih v vseh dejavnostih skupaj zmanjšalo iz 880.252 na 803.644 oseb oziroma za 8,7 %. (Število zaposlenih – na podlagi opravljenih delovnih ur – v javnih zavodih v kulturi je zlagoma naraščalo vse do leta 2011, ko jih je bilo 6.344. Leta 2015 se je znižalo na 6.167). V kulturnih dejavnostih je odstotek samozaposlenih višji kot v drugih dejavnostih. Leta 2015 je v povprečju znašal približno eno tretjino, v vseh dejavnostih skupaj pa </w:t>
      </w:r>
      <w:r w:rsidR="00C446DD">
        <w:t>blizu desetine</w:t>
      </w:r>
      <w:r>
        <w:t>.</w:t>
      </w:r>
    </w:p>
    <w:p w:rsidR="00D93953" w:rsidRDefault="00D93953" w:rsidP="00D93953">
      <w:r>
        <w:t xml:space="preserve">Za leto 2015 je Agenciji RS za javnopravne evidence in storitve poslovna poročila oddalo 8.903 poslovnih subjektov v kulturnih dejavnostih, od tega je bilo največ samostojnih podjetnikov – 50 %, 33 % je bilo gospodarskih družb, po 7 % društev in pravnih oseb zasebnega prava (v glavnem so bili to zasebni zavodi) ter 3 % oseb javnega prava (praviloma javni zavodi). Primerjava števila poslovnih subjektov (ki so oddali poslovna poročila) po skupinah med letoma 2008 in 2015 kaže, da se je povečalo število vseh, a najbolj – za dvakrat, je naraslo število zasebnih zavodov. Tem se je v opazovanem obdobju za približno ena- in </w:t>
      </w:r>
      <w:proofErr w:type="spellStart"/>
      <w:r>
        <w:t>polkrat</w:t>
      </w:r>
      <w:proofErr w:type="spellEnd"/>
      <w:r>
        <w:t xml:space="preserve"> povečal tudi prihodek od poslovanja, ki se je sicer drugim zmanjšal (podjetja in društva) ali povečal le malo (samostojni podjetniki in javni zavodi). V zasebnih zavodih se je v obdobju 2008–2015 bolj kot pri vseh drugih poslovnih subjektih povečala tudi povprečna plača.</w:t>
      </w:r>
    </w:p>
    <w:p w:rsidR="00D93953" w:rsidRDefault="00D93953" w:rsidP="00D93953">
      <w:r>
        <w:t xml:space="preserve">Gospodarske družbe, ki delujejo v kulturnih dejavnostih, so imele leta 2015 približno milijardo evrov čistih prihodkov od prodaje (vse poslovne osebe skupaj pa približno milijardo in pol). Dejavnosti z največjim čistim prihodkom od prodaje so bile oglaševanje (596 gospod. družb je ustvarilo pribl. 232 milijonov evrov), arhitekturno projektiranje (638 gospod. družb je ustvarilo pribl. 108 milijonov evrov) in produkcija filmov, video filmov in televizijskih oddaj (182 gospod. družb je imelo pribl. 104 milijone </w:t>
      </w:r>
      <w:proofErr w:type="spellStart"/>
      <w:r>
        <w:t>verov</w:t>
      </w:r>
      <w:proofErr w:type="spellEnd"/>
      <w:r>
        <w:t xml:space="preserve"> čistih prihodkov od prodaje). Ob upoštevanju števila gospodarskih družb, ki delujejo v posamezni dejavnosti, pa sta na vrhu trgovina na drobno v specializiranih prodajalnah s knjigami (slabih 59 milijonov evrov je ustvarilo 14 gospodarskih družb) in trgovina na drobno v specializiranih prodajalnah s časopisi in revijami (slabih 46 milijonov evrov je ustvarilo 11 gospodarskih družb), sledita dejavnost izdajanja časopisov (dobrih 87 milijonov je ustvarilo 42 gospodarskih družb) in kinematografska dejavnost (slabih 13 milijonov je ustvarilo 14 gospodarskih družb).</w:t>
      </w:r>
    </w:p>
    <w:p w:rsidR="00D93953" w:rsidRDefault="00D93953" w:rsidP="00D93953">
      <w:r>
        <w:t>Povprečna bruto mesečna plača na zaposlenega delavca v kulturnih dejavnostih je znašala od slabih 900 evrov do nekaj manj kot 1.800 evrov. Najvišje povprečne plače so imeli v javnih zavodih, najnižje pa zaposleni pri samostojnih podjetnikih. Glede na vrsto dejavnosti in pravno-organizacijsko obliko</w:t>
      </w:r>
      <w:r w:rsidR="00EF7D15">
        <w:t xml:space="preserve"> </w:t>
      </w:r>
      <w:r>
        <w:t>so imeli najvišjo povprečno bruto mesečno plačo v gospodarskih družbah s področja izdajanja časopisov (2.392,00 EUR), pri samostojnih podjetnikih, ki delujejo v kinematografski dejavnosti (1.143,00 EUR), v društvih s področja umetniškega uprizarjanja (1.701,00 EUR), v zasebnih zavodih s področja izdajanja revij in druge periodike (2.740,00 EUR), v javnih zavodih pa s področja televizijske dejavnosti (2.075,00 EUR).</w:t>
      </w:r>
    </w:p>
    <w:p w:rsidR="00D93953" w:rsidRDefault="00D93953" w:rsidP="00D93953">
      <w:r>
        <w:t>Podatki Finančne uprave RS za leto 2015 o celoletnih bruto dohodkih 2.595 samozaposlenih v kulturi,  ki so obdavčeni z dohodnino, kažejo, da 120 oseb ni imelo dohodkov, preostalih 2.475 oseb pa je imelo skupno 33,4 milijone evrov dohodkov. Pri slednjih je najnižji dohodek znašal 7 evrov, najvišji pa skoraj 286 tisoč evrov. Brez dohodkov je bilo 4,6 % samozaposlenih; dohodke, ki v povprečju na mesec niso presegli minimalne plače, je imelo 41,3 % oseb; dohodke, ki, so bili v povprečju na mesec višji od minimalne plače a manjši od povprečne plače v Sloveniji, je imelo 35,5 % oseb, dohodke, ki so bili v povprečju na mesec enaki povprečni plači ali od nje višji, je imelo 18,6 % oseb.</w:t>
      </w:r>
    </w:p>
    <w:p w:rsidR="00D93953" w:rsidRDefault="00897396" w:rsidP="00D93953">
      <w:r>
        <w:t xml:space="preserve">Navedeno </w:t>
      </w:r>
      <w:r w:rsidR="00D93953">
        <w:t>pomeni, da je imelo 81,4 % samozaposlenih v kulturi povprečne mesečne dohodke nižje od povprečne slovenske plače, medtem ko je imelo v letu 2015 plačo nižjo od povprečne 64,9 % vseh zaposlenih v Sloveniji. Če se omejimo samo na odstotek oseb z dohodki do višine minimalne plače, pa je razmerje takšno: med samozaposlenimi je imelo 41,3 % oseb dohodke do višine minimalne plače, med zaposlenimi po kolektivnih pogodbah v zasebnem sektorju 6,8 %, med zaposlenimi po kolektivnih pogodbah v javnem sektorju pa 5,4 %.</w:t>
      </w:r>
    </w:p>
    <w:p w:rsidR="00D93953" w:rsidRDefault="00D93953" w:rsidP="00D93953">
      <w:r>
        <w:lastRenderedPageBreak/>
        <w:t xml:space="preserve">Proračun Ministrstva za kulturo je bil leta 2015 za 38 % višji od proračuna v letu 2002, število njegovih osrednjih prejemnikov pa je naraslo za več kot dvakrat. Leta 2015 je proračunske sredstva prejelo bistveno več – za skoraj devetkrat več – posameznikov kot leta 2002. Razlogi za povečanje števila posameznikov – prejemnikov sredstev so pretežno v povečanju števila odobrenih individualnih projektov na razpisih in v uvedbi knjižničnega nadomestila za avtorje del, ki se izposojajo v knjižnicah. Leta 2015 je bilo (za leto 2014) izplačano knjižnično nadomestilo 907 avtorjem. Povečalo se je število financiranih agencij (ustanovljena je bila Javna agencija za knjigo), ter za nekaj odstotkov tudi število nevladnih/neprofitnih organizacij (društva, zasebni zavodi, ustanove in zbornice). Medtem ko se je število vseh javnih zavodov, ki so prejeli kakršnakoli sredstva iz proračuna Ministrstva za kulturo, povečalo za 4 %, je Ministrstvo za kulturo leta 2015 redno financiralo 10 javnih zavodov več, kar predstavlja 16 % rast. Leta 2015 je bilo sofinanciranih 124 festivalov, kar je skoraj </w:t>
      </w:r>
      <w:proofErr w:type="spellStart"/>
      <w:r>
        <w:t>dvainpolkrat</w:t>
      </w:r>
      <w:proofErr w:type="spellEnd"/>
      <w:r>
        <w:t xml:space="preserve"> več kot leta 2002. Med </w:t>
      </w:r>
      <w:proofErr w:type="spellStart"/>
      <w:r>
        <w:t>sofinancirami</w:t>
      </w:r>
      <w:proofErr w:type="spellEnd"/>
      <w:r>
        <w:t xml:space="preserve"> festivali se je najbolj – za petkrat – povečalo število literarnih festivalov (in večjih dogodkov) ter število festivalov s področij filma ter novih medijev in vizualnih umetnosti (za več kot trikrat). Med vsemi festivali, ki jih Ministrstvo za kulturo sofinancira, je največ glasbenih.</w:t>
      </w:r>
    </w:p>
    <w:p w:rsidR="00D93953" w:rsidRDefault="00D93953" w:rsidP="00D93953">
      <w:r>
        <w:t>Leta 2015 je bilo v primerjavi z letom 2002 dobrih 20 % več oseb s pravico do plačila socialnih prispevkov iz državnega proračuna za kulturo, število prejemnikov republiških priznavalnin pa se je potrojilo. Leta 2002 je bilo za financiranje socialnih prispevkov samozaposlenih v kulturi namenjenih približno 82 % vseh sredstev, ki so bila izplačana posameznikom ali zanje, leta 2015 pa približno 70 % (hkrati nominalni zneski teh sredstev hitro naraščajo). Zmanjšalo se je financiranje štipendij – iz približno 9 % vseh sredstev na dobrih 5 % in obnove kulturnih spomenikov (fizičnim osebam) iz dobrih 4 % na približno 1 %. Omenjena zmanjšanja so spremljala povečanja na drugih področjih: leta 2002 je bil</w:t>
      </w:r>
      <w:r w:rsidR="00EB46FC">
        <w:t xml:space="preserve"> obseg</w:t>
      </w:r>
      <w:r>
        <w:t xml:space="preserve"> sredstev</w:t>
      </w:r>
      <w:r w:rsidR="00EB46FC">
        <w:t>,</w:t>
      </w:r>
      <w:r>
        <w:t xml:space="preserve"> namenjen financiranju umetniških projektov posameznikov</w:t>
      </w:r>
      <w:r w:rsidR="00EB46FC">
        <w:t xml:space="preserve"> zanemarljiv</w:t>
      </w:r>
      <w:r>
        <w:t>, medtem ko je bilo leta 2015 tem projektom in knjižničnemu nadomestilu avtorjev namenjenih dobrih 17 % sredstev. Republiške priznavalnine (dodatek k pokojnini) so leta 2002 pomenile 3,3 % sredstev izplačanih posameznikom, leta 2015 pa dvakrat več. Leta 2002 samozaposleni še niso imeli pravice do boleznine – plačila bolniškega dopusta (tudi za prvi mesec in če hkrati traja več kot mesec dni), leta 2015 pa</w:t>
      </w:r>
      <w:r w:rsidR="00C446DD">
        <w:t>.</w:t>
      </w:r>
    </w:p>
    <w:p w:rsidR="00D93953" w:rsidRDefault="00D93953" w:rsidP="00D93953">
      <w:r>
        <w:t>V letu 2015 je Ministrstvo za kulturo redno financiralo 72 javnih zavodov: 27 javnih zavodov, katerih ustanoviteljica je država ter 45 javnih zavodov, katerih ustanoviteljice so lokalne skupnosti. Ministrstvo za kulturo večinsko financira tako nacionalne (okrog 80 % celotnega njihovega prihodka) kot občinske javne zavode (okrog 60 % celotnega njihovega prihodka).</w:t>
      </w:r>
    </w:p>
    <w:p w:rsidR="00D93953" w:rsidRPr="003C451B" w:rsidRDefault="00D93953" w:rsidP="00D93953">
      <w:r>
        <w:t xml:space="preserve">Od leta 2011 naprej sredstva za javne zavode zdržema </w:t>
      </w:r>
      <w:r w:rsidRPr="003C451B">
        <w:t xml:space="preserve">padajo – iz 108,9 milijonov so se do leta 2015 znižala na 94,8 milijonov evrov. Sredstva, ki jih Ministrstvo za kulturo nameni javnim zavodom, predstavljajo </w:t>
      </w:r>
      <w:r w:rsidR="00C446DD" w:rsidRPr="003C451B">
        <w:t xml:space="preserve">približno </w:t>
      </w:r>
      <w:r w:rsidRPr="003C451B">
        <w:t xml:space="preserve">60 % njegovega proračuna. Od sredstev za javne zavode se </w:t>
      </w:r>
      <w:r w:rsidR="002E1A3E" w:rsidRPr="003C451B">
        <w:t xml:space="preserve">je leta 2015 </w:t>
      </w:r>
      <w:r w:rsidRPr="003C451B">
        <w:t>približno 46 % nameni</w:t>
      </w:r>
      <w:r w:rsidR="002E1A3E" w:rsidRPr="003C451B">
        <w:t>lo</w:t>
      </w:r>
      <w:r w:rsidRPr="003C451B">
        <w:t xml:space="preserve"> javnim zavodom, ki delujejo na področjih glasbe in gledališča, 28 % muzejem in galerijam, 10 % zavodom na področju nepremične dediščine, 7 % Narodni in univerzitetni knjižnici, 5 % Cankarjevemu domu, 4 % arhivom </w:t>
      </w:r>
      <w:r w:rsidR="002E1A3E" w:rsidRPr="003C451B">
        <w:t>in 0,5 % Filmskemu studiu Viba.</w:t>
      </w:r>
    </w:p>
    <w:p w:rsidR="00D93953" w:rsidRDefault="00D93953" w:rsidP="00D93953">
      <w:r>
        <w:t>V sredstvih, ki jih Ministrstvo za kulturo nakaže javnim zavodom, je približno 69 % namenjenih plačam, 28 % materialnim stroškov in 3 % investicijskemu vzdrževanju ter nakupu opreme. Ker imajo javni zavodi tudi druge prihodke iz javnih financ in lastne prihodke, skupni stroški dela, kamor sodijo plače, avtorski honorarji, pogodbe o delu in plačila prek študentskega servisa</w:t>
      </w:r>
      <w:r w:rsidR="00AF3AC8">
        <w:t>,</w:t>
      </w:r>
      <w:r>
        <w:t xml:space="preserve"> predstavljajo približno 60 % celotnega prihodka javnih zavodov. Leta 2015 so imeli nacionalni javni zavodi približno 13 % lastnih prihodkov iz opravljanja javne službe in 7 % iz opravljanja tržne dejavnosti, občinski pa 14 % lastnih prihodkov iz opravljanja javne službe in 1 % iz opravljanja tržne dejavnosti.</w:t>
      </w:r>
    </w:p>
    <w:p w:rsidR="00C446DD" w:rsidRDefault="003B35D3" w:rsidP="003B35D3">
      <w:r>
        <w:t>S pričujočo analizo želimo pregledno in glede na razpoložljive podatke kar se da natančno zajeti zahtevno in razvejano</w:t>
      </w:r>
      <w:r w:rsidR="00A518CD">
        <w:t xml:space="preserve"> področje financiranja kulture. K</w:t>
      </w:r>
      <w:r>
        <w:t xml:space="preserve"> tabelam in slikovnim prikazom, na podlagi katerih bi bralci utegnili soditi prenaglo, </w:t>
      </w:r>
      <w:r w:rsidR="00A518CD">
        <w:t xml:space="preserve">so </w:t>
      </w:r>
      <w:r>
        <w:t xml:space="preserve">dodana metodološka </w:t>
      </w:r>
      <w:r w:rsidR="00A518CD">
        <w:t xml:space="preserve">in druga </w:t>
      </w:r>
      <w:r>
        <w:t xml:space="preserve">pojasnila. Podane so tudi povezave na vire, </w:t>
      </w:r>
      <w:r w:rsidR="00A911EC">
        <w:t>ki</w:t>
      </w:r>
      <w:r>
        <w:t xml:space="preserve"> omogoča</w:t>
      </w:r>
      <w:r w:rsidR="00A911EC">
        <w:t>jo</w:t>
      </w:r>
      <w:r>
        <w:t xml:space="preserve"> dodatno poglobitev razumevanja analize. </w:t>
      </w:r>
    </w:p>
    <w:p w:rsidR="00D93953" w:rsidRDefault="00D93953" w:rsidP="00D93953">
      <w:r>
        <w:br w:type="page"/>
      </w:r>
    </w:p>
    <w:p w:rsidR="0083333C" w:rsidRDefault="0020325B" w:rsidP="00500736">
      <w:pPr>
        <w:pStyle w:val="Podnaslov"/>
      </w:pPr>
      <w:bookmarkStart w:id="4" w:name="_Toc490599933"/>
      <w:bookmarkStart w:id="5" w:name="_Toc506192062"/>
      <w:r>
        <w:lastRenderedPageBreak/>
        <w:t>Odnos do kulture in udejstvovanje v njej</w:t>
      </w:r>
      <w:bookmarkEnd w:id="4"/>
      <w:bookmarkEnd w:id="5"/>
    </w:p>
    <w:p w:rsidR="00BB25B3" w:rsidRDefault="004825B7" w:rsidP="005251E4">
      <w:r>
        <w:t>Uvodoma predstavljamo rezultate anketne</w:t>
      </w:r>
      <w:r w:rsidR="00BA482E">
        <w:t xml:space="preserve"> </w:t>
      </w:r>
      <w:r>
        <w:t>raziskave</w:t>
      </w:r>
      <w:r w:rsidR="00BA482E">
        <w:rPr>
          <w:rStyle w:val="Sprotnaopomba-sklic"/>
        </w:rPr>
        <w:footnoteReference w:id="1"/>
      </w:r>
      <w:r w:rsidR="00BA482E">
        <w:t xml:space="preserve"> </w:t>
      </w:r>
      <w:r w:rsidR="00B90CFE">
        <w:t xml:space="preserve">iz leta 2017 </w:t>
      </w:r>
      <w:r>
        <w:t>o</w:t>
      </w:r>
      <w:r w:rsidR="00BA482E">
        <w:t xml:space="preserve"> odnos</w:t>
      </w:r>
      <w:r>
        <w:t>u do kulture in udejstvovanju</w:t>
      </w:r>
      <w:r w:rsidR="00BA482E">
        <w:t xml:space="preserve"> v kulturnih dejavnostih</w:t>
      </w:r>
      <w:r w:rsidR="00730575">
        <w:t xml:space="preserve"> med prebivalci Slovenije</w:t>
      </w:r>
      <w:r>
        <w:t xml:space="preserve">. </w:t>
      </w:r>
      <w:r w:rsidR="00EF7859">
        <w:t>Vsebine, ki smo jih vključili vanjo</w:t>
      </w:r>
      <w:r>
        <w:t xml:space="preserve">, so </w:t>
      </w:r>
      <w:r w:rsidR="00F533C0">
        <w:t xml:space="preserve">posredno </w:t>
      </w:r>
      <w:r>
        <w:t xml:space="preserve">povezane </w:t>
      </w:r>
      <w:r w:rsidR="00EF7859">
        <w:t>z vprašanji javnega financiranja kulture</w:t>
      </w:r>
      <w:r w:rsidR="00A84879">
        <w:t xml:space="preserve">, </w:t>
      </w:r>
      <w:r w:rsidR="00EF7859">
        <w:t xml:space="preserve">ki </w:t>
      </w:r>
      <w:r w:rsidR="00A84879">
        <w:t>mu je sicer posvečena</w:t>
      </w:r>
      <w:r w:rsidR="00EF7859">
        <w:t xml:space="preserve"> </w:t>
      </w:r>
      <w:r w:rsidR="00BB25B3">
        <w:t>ta analiza</w:t>
      </w:r>
      <w:r w:rsidR="00330415">
        <w:t>,</w:t>
      </w:r>
      <w:r w:rsidR="00BB25B3">
        <w:t xml:space="preserve"> in ki jih naslav</w:t>
      </w:r>
      <w:r w:rsidR="00D94F65">
        <w:t xml:space="preserve">lja nacionalni kulturni program (npr. </w:t>
      </w:r>
      <w:r w:rsidR="0020325B">
        <w:t xml:space="preserve">pomen </w:t>
      </w:r>
      <w:r w:rsidR="00D94F65">
        <w:t xml:space="preserve">kulture, </w:t>
      </w:r>
      <w:r w:rsidR="00FE3049">
        <w:t>informiranost o javnem financiranju kulture, kulturna udeležba</w:t>
      </w:r>
      <w:r w:rsidR="00A616AE">
        <w:t xml:space="preserve">, </w:t>
      </w:r>
      <w:r w:rsidR="00FE3049">
        <w:t>razširjenost ljubiteljske kulture</w:t>
      </w:r>
      <w:r w:rsidR="00037F05">
        <w:t>, potrošnja kulturnih vsebin prek spleta, ovire pri dostopu do kulture).</w:t>
      </w:r>
    </w:p>
    <w:p w:rsidR="007E3952" w:rsidRDefault="00C50DB0" w:rsidP="00BE02E1">
      <w:r>
        <w:t>P</w:t>
      </w:r>
      <w:r w:rsidR="00BA482E">
        <w:t>rvo vprašanje</w:t>
      </w:r>
      <w:r w:rsidR="000B6D78">
        <w:t xml:space="preserve"> </w:t>
      </w:r>
      <w:r>
        <w:t xml:space="preserve">je bilo </w:t>
      </w:r>
      <w:r w:rsidR="000B6D78">
        <w:t>namenjeno</w:t>
      </w:r>
      <w:r w:rsidR="00D04711">
        <w:t xml:space="preserve"> identificiranju pomenov, ki jih ima kultura za posameznika. Da bi odgovora nanj ne obarvala vsebina vprašanj pred njim, smo ga zastavili na začetku</w:t>
      </w:r>
      <w:r w:rsidR="00730575">
        <w:t xml:space="preserve"> vprašalnika</w:t>
      </w:r>
      <w:r w:rsidR="00D04711">
        <w:t xml:space="preserve">, da </w:t>
      </w:r>
      <w:r w:rsidR="00A117EB">
        <w:t xml:space="preserve">pa </w:t>
      </w:r>
      <w:r w:rsidR="00D04711">
        <w:t xml:space="preserve">bi ujeli čim večjo raznolikost pomenov, anketirancem </w:t>
      </w:r>
      <w:r w:rsidR="00F46577">
        <w:t>nismo ponudili vnaprej pripravljenih odgovorov.</w:t>
      </w:r>
      <w:r w:rsidR="00B53D9A">
        <w:t xml:space="preserve"> </w:t>
      </w:r>
      <w:r w:rsidR="00CE750B" w:rsidRPr="00CE750B">
        <w:t xml:space="preserve">Na </w:t>
      </w:r>
      <w:r w:rsidR="00991376">
        <w:t xml:space="preserve">odprto </w:t>
      </w:r>
      <w:r w:rsidR="00CE750B" w:rsidRPr="00CE750B">
        <w:t xml:space="preserve">vprašanje </w:t>
      </w:r>
      <w:r w:rsidR="00CE750B" w:rsidRPr="00B53D9A">
        <w:rPr>
          <w:i/>
        </w:rPr>
        <w:t>Kaj vam osebno pomeni kultura?</w:t>
      </w:r>
      <w:r w:rsidR="00CE750B" w:rsidRPr="00CE750B">
        <w:t xml:space="preserve"> je 10 % vprašanih odgovorilo, da nič posebnega, da kultura</w:t>
      </w:r>
      <w:r w:rsidR="00991376">
        <w:t xml:space="preserve"> zanje</w:t>
      </w:r>
      <w:r w:rsidR="00CE750B" w:rsidRPr="00CE750B">
        <w:t xml:space="preserve"> nima pomena. Ostali ji pripisujejo </w:t>
      </w:r>
      <w:r w:rsidR="00B53D9A">
        <w:t>najrazličnejše</w:t>
      </w:r>
      <w:r w:rsidR="00CE750B" w:rsidRPr="00CE750B">
        <w:t xml:space="preserve"> pomene, ki </w:t>
      </w:r>
      <w:r w:rsidR="00730575">
        <w:t>smo jih</w:t>
      </w:r>
      <w:r w:rsidR="00CE750B" w:rsidRPr="00CE750B">
        <w:t xml:space="preserve"> razvrstili v štiri </w:t>
      </w:r>
      <w:r w:rsidR="00B53D9A">
        <w:t xml:space="preserve">skupine: </w:t>
      </w:r>
    </w:p>
    <w:p w:rsidR="007E3952" w:rsidRDefault="000332BA" w:rsidP="005251E4">
      <w:pPr>
        <w:pStyle w:val="Odstavekseznama"/>
        <w:numPr>
          <w:ilvl w:val="0"/>
          <w:numId w:val="27"/>
        </w:numPr>
      </w:pPr>
      <w:r>
        <w:t xml:space="preserve">36 %: </w:t>
      </w:r>
      <w:r w:rsidR="00B53D9A">
        <w:t xml:space="preserve">kultura </w:t>
      </w:r>
      <w:r w:rsidR="00793658">
        <w:t>je</w:t>
      </w:r>
      <w:r w:rsidR="00B53D9A">
        <w:t xml:space="preserve"> n</w:t>
      </w:r>
      <w:r w:rsidR="00113626">
        <w:t xml:space="preserve">ačin </w:t>
      </w:r>
      <w:r w:rsidR="0010574D">
        <w:t>kultiviranega bivanja</w:t>
      </w:r>
      <w:r w:rsidR="00D527DF">
        <w:t xml:space="preserve"> (odgovori: </w:t>
      </w:r>
      <w:r w:rsidR="00CE750B" w:rsidRPr="000332BA">
        <w:rPr>
          <w:i/>
        </w:rPr>
        <w:t>življenje, način življenja; način obnašanj</w:t>
      </w:r>
      <w:r w:rsidR="00D527DF" w:rsidRPr="000332BA">
        <w:rPr>
          <w:i/>
        </w:rPr>
        <w:t>a, odnos ljudi</w:t>
      </w:r>
      <w:r w:rsidR="0066168B">
        <w:rPr>
          <w:i/>
        </w:rPr>
        <w:t>, povezanost</w:t>
      </w:r>
      <w:r w:rsidR="00D527DF" w:rsidRPr="000332BA">
        <w:rPr>
          <w:i/>
        </w:rPr>
        <w:t>;</w:t>
      </w:r>
      <w:r w:rsidR="00CE750B" w:rsidRPr="000332BA">
        <w:rPr>
          <w:i/>
        </w:rPr>
        <w:t xml:space="preserve"> spoštovanje kulture, umetnikov, stvaritev;</w:t>
      </w:r>
      <w:r w:rsidR="00D527DF" w:rsidRPr="000332BA">
        <w:rPr>
          <w:i/>
        </w:rPr>
        <w:t xml:space="preserve"> veliko</w:t>
      </w:r>
      <w:r w:rsidR="00D527DF">
        <w:t>)</w:t>
      </w:r>
      <w:r w:rsidR="007E3952">
        <w:t>;</w:t>
      </w:r>
    </w:p>
    <w:p w:rsidR="007E3952" w:rsidRDefault="000332BA" w:rsidP="005251E4">
      <w:pPr>
        <w:pStyle w:val="Odstavekseznama"/>
        <w:numPr>
          <w:ilvl w:val="0"/>
          <w:numId w:val="27"/>
        </w:numPr>
      </w:pPr>
      <w:r>
        <w:t xml:space="preserve">32 %: </w:t>
      </w:r>
      <w:r w:rsidR="007E3952">
        <w:t xml:space="preserve">kultura </w:t>
      </w:r>
      <w:r w:rsidR="00793658">
        <w:t>je</w:t>
      </w:r>
      <w:r>
        <w:t xml:space="preserve"> pripomoček za ugodje, razvedrilo in samouresničevanje (odgovori: </w:t>
      </w:r>
      <w:r w:rsidRPr="000332BA">
        <w:rPr>
          <w:i/>
        </w:rPr>
        <w:t>razvedrilo, zabava, sprostitev; zadovoljstvo, užitek, za dušo; izobraževanje, širitev obzorja; lepota, drugačnost, edinstvenost; osebni razvoj, izpopolnitev, izražanje</w:t>
      </w:r>
      <w:r>
        <w:t>);</w:t>
      </w:r>
    </w:p>
    <w:p w:rsidR="000332BA" w:rsidRDefault="000332BA" w:rsidP="005251E4">
      <w:pPr>
        <w:pStyle w:val="Odstavekseznama"/>
        <w:numPr>
          <w:ilvl w:val="0"/>
          <w:numId w:val="27"/>
        </w:numPr>
      </w:pPr>
      <w:r>
        <w:t xml:space="preserve">21 %: kultura </w:t>
      </w:r>
      <w:r w:rsidR="00A630D0">
        <w:t>kot</w:t>
      </w:r>
      <w:r w:rsidR="00915F48">
        <w:t xml:space="preserve"> </w:t>
      </w:r>
      <w:r w:rsidR="00C40953">
        <w:t>umetniška</w:t>
      </w:r>
      <w:r w:rsidR="00534707">
        <w:t xml:space="preserve"> </w:t>
      </w:r>
      <w:r w:rsidR="00C40953">
        <w:t>dejavnost ali njen rezultat</w:t>
      </w:r>
      <w:r w:rsidR="00915F48">
        <w:t xml:space="preserve"> </w:t>
      </w:r>
      <w:r w:rsidR="00534707">
        <w:t xml:space="preserve">(odgovori: </w:t>
      </w:r>
      <w:r w:rsidR="00534707" w:rsidRPr="00534707">
        <w:rPr>
          <w:i/>
        </w:rPr>
        <w:t>glasba, film; literatura, knjige, umetnost, dogodki, predstave</w:t>
      </w:r>
      <w:r w:rsidR="00534707">
        <w:t>)</w:t>
      </w:r>
      <w:r w:rsidR="00991376">
        <w:t>;</w:t>
      </w:r>
    </w:p>
    <w:p w:rsidR="005251E4" w:rsidRDefault="000332BA" w:rsidP="005251E4">
      <w:pPr>
        <w:pStyle w:val="Odstavekseznama"/>
        <w:numPr>
          <w:ilvl w:val="0"/>
          <w:numId w:val="27"/>
        </w:numPr>
      </w:pPr>
      <w:r>
        <w:t>19 %:</w:t>
      </w:r>
      <w:r w:rsidR="0068424D">
        <w:t xml:space="preserve"> </w:t>
      </w:r>
      <w:r w:rsidR="008D3933">
        <w:t xml:space="preserve">kultura kot </w:t>
      </w:r>
      <w:r w:rsidR="00077C87">
        <w:t>sidro</w:t>
      </w:r>
      <w:r w:rsidR="008D3933">
        <w:t xml:space="preserve"> </w:t>
      </w:r>
      <w:r w:rsidR="00077C87">
        <w:t>narodne zavesti</w:t>
      </w:r>
      <w:r w:rsidR="008D3933">
        <w:t xml:space="preserve"> (odgovori: </w:t>
      </w:r>
      <w:r w:rsidR="00CE750B" w:rsidRPr="00CE750B">
        <w:t>zgodovina, dediščina, tradicija; narodna identiteta, pripadnost; dejavnost</w:t>
      </w:r>
      <w:r w:rsidR="008D3933">
        <w:t xml:space="preserve"> naroda)</w:t>
      </w:r>
      <w:r w:rsidR="00991376">
        <w:t>.</w:t>
      </w:r>
      <w:r w:rsidR="00270273">
        <w:rPr>
          <w:rStyle w:val="Sprotnaopomba-sklic"/>
        </w:rPr>
        <w:footnoteReference w:id="2"/>
      </w:r>
    </w:p>
    <w:p w:rsidR="007F6A3A" w:rsidRDefault="007D4D03" w:rsidP="00917EAF">
      <w:r>
        <w:t xml:space="preserve">Mnenja o kulturi </w:t>
      </w:r>
      <w:r w:rsidR="005412EA">
        <w:t>(</w:t>
      </w:r>
      <w:r w:rsidR="00330415">
        <w:t>graf 1</w:t>
      </w:r>
      <w:r w:rsidR="005412EA">
        <w:t xml:space="preserve">) </w:t>
      </w:r>
      <w:r>
        <w:t>so, tako kot mnenja o mnogih družbenih vprašanjih,</w:t>
      </w:r>
      <w:r w:rsidR="002E7BCB">
        <w:t xml:space="preserve"> </w:t>
      </w:r>
      <w:r w:rsidR="0066168B">
        <w:t>protislovna</w:t>
      </w:r>
      <w:r w:rsidR="002E7BCB">
        <w:t xml:space="preserve">. Na eni strani je </w:t>
      </w:r>
      <w:r w:rsidR="009D7E22">
        <w:t>politično delovanje kulturnikov/</w:t>
      </w:r>
      <w:r w:rsidR="002E7BCB">
        <w:t xml:space="preserve">umetnikov odobravano, saj se s trditvijo </w:t>
      </w:r>
      <w:r w:rsidR="002E7BCB" w:rsidRPr="00EC4122">
        <w:rPr>
          <w:i/>
        </w:rPr>
        <w:t>Če ne bi bilo slovenske kulture in umetnosti, tudi samo</w:t>
      </w:r>
      <w:r w:rsidR="002E7BCB">
        <w:rPr>
          <w:i/>
        </w:rPr>
        <w:t xml:space="preserve">stojne države danes ne bi imeli </w:t>
      </w:r>
      <w:r w:rsidR="002E7BCB">
        <w:t xml:space="preserve">strinja 57 % vprašanih. Na drugi strani pa </w:t>
      </w:r>
      <w:r w:rsidR="00620445">
        <w:t xml:space="preserve">so do </w:t>
      </w:r>
      <w:r w:rsidR="00F03509">
        <w:t xml:space="preserve">njihovega </w:t>
      </w:r>
      <w:r w:rsidR="00620445">
        <w:t>političnega angažmaja kritični</w:t>
      </w:r>
      <w:r w:rsidR="002E7BCB">
        <w:t xml:space="preserve"> </w:t>
      </w:r>
      <w:r w:rsidR="00074E82">
        <w:t xml:space="preserve">– 44 % </w:t>
      </w:r>
      <w:r w:rsidR="002E7BCB">
        <w:t>vprašanih</w:t>
      </w:r>
      <w:r w:rsidR="00074E82">
        <w:t xml:space="preserve"> meni, da </w:t>
      </w:r>
      <w:r w:rsidR="00074E82" w:rsidRPr="00074E82">
        <w:rPr>
          <w:i/>
        </w:rPr>
        <w:t>Umetnost in politični aktivizem (kot so na primer zavzemanje za razne pravice, pritoževanje nad oblastjo, kritika socialnih razlik med ljudmi itd.) nista za</w:t>
      </w:r>
      <w:r w:rsidR="000A1DD2">
        <w:rPr>
          <w:i/>
        </w:rPr>
        <w:t xml:space="preserve"> </w:t>
      </w:r>
      <w:r w:rsidR="00074E82" w:rsidRPr="00074E82">
        <w:rPr>
          <w:i/>
        </w:rPr>
        <w:t>skupaj. Umetniki naj se ukvarjajo z umetnostjo, drugo pa naj pustijo pri miru.</w:t>
      </w:r>
    </w:p>
    <w:p w:rsidR="007F6A3A" w:rsidRPr="007F6A3A" w:rsidRDefault="0093019B" w:rsidP="007F6A3A">
      <w:pPr>
        <w:pStyle w:val="Naslovtabele"/>
      </w:pPr>
      <w:bookmarkStart w:id="6" w:name="_Toc490599979"/>
      <w:r>
        <w:t xml:space="preserve">Graf </w:t>
      </w:r>
      <w:r w:rsidR="00FC000E">
        <w:t>1:</w:t>
      </w:r>
      <w:r>
        <w:t xml:space="preserve"> </w:t>
      </w:r>
      <w:r w:rsidRPr="00187203">
        <w:t>Ljudje umetnost in kulturo različno razumemo; imamo različna prepričanja o tem, kakšen pomen imata v današnji družbi. Našteli vam bomo nekaj možnih pogledov nanju, vas pa prosimo, da poveste, kako blizu so vam osebno.</w:t>
      </w:r>
      <w:bookmarkEnd w:id="6"/>
    </w:p>
    <w:p w:rsidR="0056455F" w:rsidRDefault="007F6A3A" w:rsidP="00917EAF">
      <w:r>
        <w:rPr>
          <w:noProof/>
          <w:lang w:eastAsia="sl-SI"/>
        </w:rPr>
        <w:drawing>
          <wp:inline distT="0" distB="0" distL="0" distR="0" wp14:anchorId="14652791" wp14:editId="07AB9E53">
            <wp:extent cx="6047349" cy="2353945"/>
            <wp:effectExtent l="0" t="0" r="0" b="8255"/>
            <wp:docPr id="50" name="Chart 50"/>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7F6A3A" w:rsidRDefault="004A0DE9" w:rsidP="004A0DE9">
      <w:pPr>
        <w:pStyle w:val="Podpispodtabeloaligrafom"/>
      </w:pPr>
      <w:r>
        <w:t>Vir: Raziskava Odnos do kulture / udejstvovanje v kulturi, 2017, n = 1019. Nar</w:t>
      </w:r>
      <w:r w:rsidR="006F7DD8">
        <w:t>očnik: Ministrstvo za kulturo. I</w:t>
      </w:r>
      <w:r>
        <w:t xml:space="preserve">zvajalec: </w:t>
      </w:r>
      <w:proofErr w:type="spellStart"/>
      <w:r>
        <w:t>Valicon</w:t>
      </w:r>
      <w:proofErr w:type="spellEnd"/>
      <w:r>
        <w:t>.</w:t>
      </w:r>
      <w:r w:rsidR="007F6A3A">
        <w:br/>
      </w:r>
    </w:p>
    <w:p w:rsidR="00917EAF" w:rsidRDefault="00074E82" w:rsidP="00917EAF">
      <w:r>
        <w:lastRenderedPageBreak/>
        <w:t>Nekaj nasprotujočih si mnenj je tudi o</w:t>
      </w:r>
      <w:r w:rsidR="00E94259">
        <w:t xml:space="preserve"> </w:t>
      </w:r>
      <w:r w:rsidR="008F1EEC">
        <w:t>javnem</w:t>
      </w:r>
      <w:r w:rsidR="00E94259">
        <w:t xml:space="preserve"> financiranju kulture: </w:t>
      </w:r>
      <w:r w:rsidR="002A3D56">
        <w:t>t</w:t>
      </w:r>
      <w:r w:rsidR="004D7990">
        <w:t xml:space="preserve">rditev </w:t>
      </w:r>
      <w:r w:rsidR="004D7990" w:rsidRPr="00E94259">
        <w:rPr>
          <w:i/>
        </w:rPr>
        <w:t xml:space="preserve">Če je nekdo zares dober umetnik, lahko s svojim delom zasluži za dostojno življenje </w:t>
      </w:r>
      <w:r w:rsidR="004D7990">
        <w:t xml:space="preserve">je blizu 59 % vprašanih, </w:t>
      </w:r>
      <w:r w:rsidR="00E94259">
        <w:t>naslednji</w:t>
      </w:r>
      <w:r w:rsidR="007F45F3">
        <w:t>ma</w:t>
      </w:r>
      <w:r w:rsidR="00270273">
        <w:t>,</w:t>
      </w:r>
      <w:r w:rsidR="0082369D">
        <w:t xml:space="preserve"> v veliki meri nasprot</w:t>
      </w:r>
      <w:r w:rsidR="00737A7E">
        <w:t>ni</w:t>
      </w:r>
      <w:r w:rsidR="007F45F3">
        <w:t>ma</w:t>
      </w:r>
      <w:r w:rsidR="00737A7E">
        <w:t xml:space="preserve"> trdit</w:t>
      </w:r>
      <w:r w:rsidR="0082369D">
        <w:t>v</w:t>
      </w:r>
      <w:r w:rsidR="007F45F3">
        <w:t>ama</w:t>
      </w:r>
      <w:r w:rsidR="0082369D">
        <w:t xml:space="preserve"> </w:t>
      </w:r>
      <w:r w:rsidR="0082369D" w:rsidRPr="00E94259">
        <w:rPr>
          <w:i/>
        </w:rPr>
        <w:t>Umetniki ne morejo sami preživeti, ker je Slovenija premajhen trg. Zato je prav, da jih država finančno podpira</w:t>
      </w:r>
      <w:r w:rsidR="00737A7E" w:rsidRPr="00E94259">
        <w:rPr>
          <w:i/>
        </w:rPr>
        <w:t xml:space="preserve"> </w:t>
      </w:r>
      <w:r w:rsidR="00AC14D2">
        <w:t xml:space="preserve">ter </w:t>
      </w:r>
      <w:r w:rsidR="00AC14D2" w:rsidRPr="002E7BCB">
        <w:rPr>
          <w:i/>
        </w:rPr>
        <w:t>Naša država dopušča, da umetniki živijo v revščini</w:t>
      </w:r>
      <w:r w:rsidR="00270273">
        <w:t xml:space="preserve">, </w:t>
      </w:r>
      <w:r w:rsidR="00737A7E">
        <w:t xml:space="preserve">pa pritrjuje le </w:t>
      </w:r>
      <w:r w:rsidR="002E7BCB">
        <w:t xml:space="preserve">nekaj manj </w:t>
      </w:r>
      <w:r w:rsidR="00737A7E">
        <w:t xml:space="preserve">vprašanih. </w:t>
      </w:r>
    </w:p>
    <w:p w:rsidR="00917EAF" w:rsidRDefault="002A3D56" w:rsidP="00BE02E1">
      <w:pPr>
        <w:rPr>
          <w:rFonts w:cs="Arial"/>
        </w:rPr>
      </w:pPr>
      <w:r w:rsidRPr="00917EAF">
        <w:rPr>
          <w:rFonts w:cs="Arial"/>
        </w:rPr>
        <w:t xml:space="preserve">Zanimiva ugotovitev raziskave je, da vprašani nimajo najboljše predstave o tem, koliko </w:t>
      </w:r>
      <w:r w:rsidR="0083691B">
        <w:rPr>
          <w:rFonts w:cs="Arial"/>
        </w:rPr>
        <w:t>Slovenija</w:t>
      </w:r>
      <w:r w:rsidRPr="00917EAF">
        <w:rPr>
          <w:rFonts w:cs="Arial"/>
        </w:rPr>
        <w:t xml:space="preserve"> nameni za kulturo</w:t>
      </w:r>
      <w:r w:rsidR="00B7180C">
        <w:rPr>
          <w:rFonts w:cs="Arial"/>
        </w:rPr>
        <w:t xml:space="preserve"> (</w:t>
      </w:r>
      <w:r w:rsidR="009724F4">
        <w:rPr>
          <w:rFonts w:cs="Arial"/>
        </w:rPr>
        <w:t>graf</w:t>
      </w:r>
      <w:r w:rsidR="003C7CC8">
        <w:rPr>
          <w:rFonts w:cs="Arial"/>
        </w:rPr>
        <w:t xml:space="preserve"> 2</w:t>
      </w:r>
      <w:r w:rsidR="00B7180C">
        <w:rPr>
          <w:rFonts w:cs="Arial"/>
        </w:rPr>
        <w:t>)</w:t>
      </w:r>
      <w:r w:rsidRPr="00917EAF">
        <w:rPr>
          <w:rFonts w:cs="Arial"/>
        </w:rPr>
        <w:t xml:space="preserve">. </w:t>
      </w:r>
      <w:r w:rsidR="004F470F" w:rsidRPr="00917EAF">
        <w:rPr>
          <w:rFonts w:cs="Arial"/>
        </w:rPr>
        <w:t xml:space="preserve">16 % jih je odgovorilo, da ne ve, 46 % pa da do 5 milijonov evrov. </w:t>
      </w:r>
      <w:r w:rsidR="00917EAF">
        <w:rPr>
          <w:rFonts w:cs="Arial"/>
        </w:rPr>
        <w:t>Povprečna</w:t>
      </w:r>
      <w:r w:rsidR="004F470F" w:rsidRPr="00917EAF">
        <w:rPr>
          <w:rFonts w:cs="Arial"/>
        </w:rPr>
        <w:t xml:space="preserve"> </w:t>
      </w:r>
      <w:r w:rsidR="00917EAF">
        <w:rPr>
          <w:rFonts w:cs="Arial"/>
        </w:rPr>
        <w:t xml:space="preserve">vrednost vseh navedenih zneskov </w:t>
      </w:r>
      <w:r w:rsidR="0066168B">
        <w:rPr>
          <w:rFonts w:cs="Arial"/>
        </w:rPr>
        <w:t xml:space="preserve">v anketi </w:t>
      </w:r>
      <w:r w:rsidR="00917EAF">
        <w:rPr>
          <w:rFonts w:cs="Arial"/>
        </w:rPr>
        <w:t>je</w:t>
      </w:r>
      <w:r w:rsidR="004F470F" w:rsidRPr="00917EAF">
        <w:rPr>
          <w:rFonts w:cs="Arial"/>
        </w:rPr>
        <w:t xml:space="preserve"> </w:t>
      </w:r>
      <w:r w:rsidR="00917EAF">
        <w:rPr>
          <w:rFonts w:cs="Arial"/>
        </w:rPr>
        <w:t>29 milijonov evrov, pri čemer proračun Ministrstva za kulturo za leto 2017 znaša dobrih 155 milijonov evrov, občinski proračuni za kulturo pa še enkrat toliko</w:t>
      </w:r>
      <w:r w:rsidR="00C17360">
        <w:rPr>
          <w:rFonts w:cs="Arial"/>
        </w:rPr>
        <w:t>.</w:t>
      </w:r>
      <w:r w:rsidR="00917EAF">
        <w:rPr>
          <w:rStyle w:val="Sprotnaopomba-sklic"/>
          <w:rFonts w:cs="Arial"/>
        </w:rPr>
        <w:footnoteReference w:id="3"/>
      </w:r>
      <w:r w:rsidR="00C17360">
        <w:rPr>
          <w:rFonts w:cs="Arial"/>
        </w:rPr>
        <w:t xml:space="preserve"> </w:t>
      </w:r>
    </w:p>
    <w:p w:rsidR="004720B5" w:rsidRDefault="006235DD" w:rsidP="006235DD">
      <w:pPr>
        <w:pStyle w:val="Naslovtabele"/>
      </w:pPr>
      <w:bookmarkStart w:id="7" w:name="_Toc490599980"/>
      <w:r>
        <w:t xml:space="preserve">Graf 2: </w:t>
      </w:r>
      <w:r w:rsidRPr="006235DD">
        <w:t>Koliko milijonov evrov po vašem mnenju država letno nameni za kulturo in umetnost?</w:t>
      </w:r>
      <w:r>
        <w:t>*</w:t>
      </w:r>
      <w:bookmarkEnd w:id="7"/>
    </w:p>
    <w:p w:rsidR="006235DD" w:rsidRDefault="006235DD" w:rsidP="00917EAF">
      <w:pPr>
        <w:rPr>
          <w:rFonts w:cs="Arial"/>
        </w:rPr>
      </w:pPr>
      <w:r>
        <w:rPr>
          <w:noProof/>
          <w:lang w:eastAsia="sl-SI"/>
        </w:rPr>
        <w:drawing>
          <wp:inline distT="0" distB="0" distL="0" distR="0" wp14:anchorId="5DE595EA" wp14:editId="4BB521F3">
            <wp:extent cx="5979513" cy="2285788"/>
            <wp:effectExtent l="0" t="0" r="0" b="635"/>
            <wp:docPr id="51" name="Chart 5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6235DD" w:rsidRDefault="006235DD" w:rsidP="004D2387">
      <w:pPr>
        <w:pStyle w:val="Podpispodtabeloaligrafom"/>
        <w:spacing w:after="0"/>
      </w:pPr>
      <w:r>
        <w:t>Vir: Raziskava Odnos do kulture / udejstvovanje v kulturi, 2017, n = 1019. Na</w:t>
      </w:r>
      <w:r w:rsidR="006F7DD8">
        <w:t xml:space="preserve">ročnik: Ministrstvo za kulturo. </w:t>
      </w:r>
      <w:r>
        <w:t xml:space="preserve">Izvajalec: </w:t>
      </w:r>
      <w:proofErr w:type="spellStart"/>
      <w:r>
        <w:t>Valicon</w:t>
      </w:r>
      <w:proofErr w:type="spellEnd"/>
      <w:r>
        <w:t>.</w:t>
      </w:r>
    </w:p>
    <w:p w:rsidR="006235DD" w:rsidRDefault="006235DD" w:rsidP="006235DD">
      <w:pPr>
        <w:pStyle w:val="Podpispodtabeloaligrafom"/>
        <w:rPr>
          <w:rFonts w:cs="Arial"/>
        </w:rPr>
      </w:pPr>
      <w:r>
        <w:t>* Vprašanje v anketi je bilo odprto, brez vnaprej ponujenih odgovorov. Razrede/skupine zneskov smo oblikovali v analizi. Sicer pa je povprečje navedenih zneskov znašalo 29 milijonov evrov.</w:t>
      </w:r>
    </w:p>
    <w:p w:rsidR="006235DD" w:rsidRDefault="006235DD" w:rsidP="006235DD">
      <w:pPr>
        <w:rPr>
          <w:rFonts w:cs="Arial"/>
        </w:rPr>
      </w:pPr>
      <w:r>
        <w:rPr>
          <w:rFonts w:cs="Arial"/>
        </w:rPr>
        <w:t xml:space="preserve">Odgovore o zneskih smo primerjali z odzivom na trditev </w:t>
      </w:r>
      <w:r>
        <w:rPr>
          <w:rFonts w:cs="Arial"/>
          <w:i/>
        </w:rPr>
        <w:t>D</w:t>
      </w:r>
      <w:r w:rsidRPr="00C17360">
        <w:rPr>
          <w:rFonts w:cs="Arial"/>
          <w:i/>
        </w:rPr>
        <w:t xml:space="preserve">ržava </w:t>
      </w:r>
      <w:r>
        <w:rPr>
          <w:rFonts w:cs="Arial"/>
          <w:i/>
        </w:rPr>
        <w:t xml:space="preserve">bi </w:t>
      </w:r>
      <w:r w:rsidRPr="00C17360">
        <w:rPr>
          <w:rFonts w:cs="Arial"/>
          <w:i/>
        </w:rPr>
        <w:t>morala v večji meri finančno podpirati slovensko umetnost in kulturo</w:t>
      </w:r>
      <w:r>
        <w:rPr>
          <w:rFonts w:cs="Arial"/>
          <w:i/>
        </w:rPr>
        <w:t xml:space="preserve">. </w:t>
      </w:r>
      <w:r>
        <w:rPr>
          <w:rFonts w:cs="Arial"/>
        </w:rPr>
        <w:t xml:space="preserve">Zanimalo nas je, kolikšen znesek so v povprečju navedli tisti, ki mnenju pritrjujejo in kolikšen tisti, ki mu ne. Anketiranci, ki menijo, da bi morala država v večji meri podpirati kulturo in umetnost, ocenjujejo, da zanju nameni povprečno 28 milijonov evrov letno, tisti, ki mnenju nasprotujejo pa, da jima nameni 37 milijonov evrov. Odgovori </w:t>
      </w:r>
      <w:r w:rsidR="0024718F">
        <w:rPr>
          <w:rFonts w:cs="Arial"/>
        </w:rPr>
        <w:t>so</w:t>
      </w:r>
      <w:r>
        <w:rPr>
          <w:rFonts w:cs="Arial"/>
        </w:rPr>
        <w:t xml:space="preserve"> konsistentni – tisti, ki menijo, da bi država morala kulturo in umetnost financirati izdatneje, hkrati ocenjujejo, da država daje manj sredstev kot </w:t>
      </w:r>
      <w:proofErr w:type="spellStart"/>
      <w:r>
        <w:rPr>
          <w:rFonts w:cs="Arial"/>
        </w:rPr>
        <w:t>kot</w:t>
      </w:r>
      <w:proofErr w:type="spellEnd"/>
      <w:r>
        <w:rPr>
          <w:rFonts w:cs="Arial"/>
        </w:rPr>
        <w:t xml:space="preserve"> tisti, ki trditvi nasprotujejo. Oboji pa so dejanski znesek precej podcenili</w:t>
      </w:r>
      <w:r w:rsidR="003C7CC8">
        <w:rPr>
          <w:rFonts w:cs="Arial"/>
        </w:rPr>
        <w:t xml:space="preserve"> (graf 3)</w:t>
      </w:r>
      <w:r>
        <w:rPr>
          <w:rFonts w:cs="Arial"/>
        </w:rPr>
        <w:t>.</w:t>
      </w:r>
    </w:p>
    <w:p w:rsidR="0019665A" w:rsidRPr="00931914" w:rsidRDefault="0019665A" w:rsidP="00A117EB">
      <w:pPr>
        <w:pStyle w:val="Naslovtabele"/>
      </w:pPr>
      <w:bookmarkStart w:id="8" w:name="_Toc490599981"/>
      <w:r w:rsidRPr="00931914">
        <w:t xml:space="preserve">Graf 3: </w:t>
      </w:r>
      <w:r w:rsidR="00931914">
        <w:t>Razmerje med mnenjem, da bi morala država bolje financirati kulturo in informiranostjo o dejanskem znesku</w:t>
      </w:r>
      <w:bookmarkEnd w:id="8"/>
    </w:p>
    <w:p w:rsidR="00931914" w:rsidRDefault="00931914" w:rsidP="00917EAF">
      <w:pPr>
        <w:rPr>
          <w:rFonts w:cs="Arial"/>
        </w:rPr>
      </w:pPr>
      <w:r>
        <w:rPr>
          <w:noProof/>
          <w:lang w:eastAsia="sl-SI"/>
        </w:rPr>
        <w:drawing>
          <wp:inline distT="0" distB="0" distL="0" distR="0" wp14:anchorId="7EE44F59" wp14:editId="17C51500">
            <wp:extent cx="6174105" cy="1728394"/>
            <wp:effectExtent l="0" t="0" r="0" b="0"/>
            <wp:docPr id="53" name="Chart 5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24139F" w:rsidRPr="0083691B" w:rsidRDefault="00931914" w:rsidP="0083691B">
      <w:pPr>
        <w:pStyle w:val="Podpispodtabeloaligrafom"/>
        <w:rPr>
          <w:vertAlign w:val="subscript"/>
        </w:rPr>
      </w:pPr>
      <w:r>
        <w:t>Vir: Raziskava Odnos do kulture / udejstvovanje v kulturi, 2017, n = 1019. Na</w:t>
      </w:r>
      <w:r w:rsidR="006F7DD8">
        <w:t xml:space="preserve">ročnik: Ministrstvo za kulturo. </w:t>
      </w:r>
      <w:r>
        <w:t xml:space="preserve">Izvajalec: </w:t>
      </w:r>
      <w:proofErr w:type="spellStart"/>
      <w:r>
        <w:t>Valicon</w:t>
      </w:r>
      <w:proofErr w:type="spellEnd"/>
      <w:r>
        <w:t>.</w:t>
      </w:r>
    </w:p>
    <w:p w:rsidR="0083691B" w:rsidRDefault="00602D51" w:rsidP="00917EAF">
      <w:pPr>
        <w:rPr>
          <w:rFonts w:cs="Arial"/>
        </w:rPr>
      </w:pPr>
      <w:r>
        <w:rPr>
          <w:rFonts w:cs="Arial"/>
        </w:rPr>
        <w:lastRenderedPageBreak/>
        <w:t xml:space="preserve">Večino vprašanj v raziskavi smo </w:t>
      </w:r>
      <w:r w:rsidR="003502F8">
        <w:rPr>
          <w:rFonts w:cs="Arial"/>
        </w:rPr>
        <w:t>posvetili</w:t>
      </w:r>
      <w:r>
        <w:rPr>
          <w:rFonts w:cs="Arial"/>
        </w:rPr>
        <w:t xml:space="preserve"> kulturni </w:t>
      </w:r>
      <w:r w:rsidR="00DC7089">
        <w:rPr>
          <w:rFonts w:cs="Arial"/>
        </w:rPr>
        <w:t>udeležbi v Sloveniji</w:t>
      </w:r>
      <w:r>
        <w:rPr>
          <w:rFonts w:cs="Arial"/>
        </w:rPr>
        <w:t>.</w:t>
      </w:r>
      <w:r w:rsidR="00646584">
        <w:rPr>
          <w:rStyle w:val="Sprotnaopomba-sklic"/>
          <w:rFonts w:cs="Arial"/>
        </w:rPr>
        <w:footnoteReference w:id="4"/>
      </w:r>
      <w:r>
        <w:rPr>
          <w:rFonts w:cs="Arial"/>
        </w:rPr>
        <w:t xml:space="preserve"> </w:t>
      </w:r>
      <w:r w:rsidR="00E014AE">
        <w:rPr>
          <w:rFonts w:cs="Arial"/>
        </w:rPr>
        <w:t xml:space="preserve">Poleg vprašanja o pogostosti kulturne udeležbe, smo anketirance prosili tudi za konkretne informacije o dogodku oz. dejavnosti (npr. čigavega koncerta so se udeležili, katero gledališko predstavo ali film so si ogledali ipd.), da bi identificirali družbeno zaželene odgovore oz. pretiravanja, ki so v raziskavah o kulturni potrošnji pogosta težava. </w:t>
      </w:r>
      <w:r w:rsidR="00EB0AD7">
        <w:rPr>
          <w:rFonts w:cs="Arial"/>
        </w:rPr>
        <w:t>Naši p</w:t>
      </w:r>
      <w:r w:rsidR="00E014AE">
        <w:rPr>
          <w:rFonts w:cs="Arial"/>
        </w:rPr>
        <w:t xml:space="preserve">odatki, kažejo, da ljudje najbolj pretiravajo pri </w:t>
      </w:r>
      <w:r w:rsidR="00D20683">
        <w:rPr>
          <w:rFonts w:cs="Arial"/>
        </w:rPr>
        <w:t xml:space="preserve">poročanju o </w:t>
      </w:r>
      <w:r w:rsidR="00F744BD">
        <w:rPr>
          <w:rFonts w:cs="Arial"/>
        </w:rPr>
        <w:t>zahtevnejših oblikah kulturne udeležba</w:t>
      </w:r>
      <w:r w:rsidR="00E014AE">
        <w:rPr>
          <w:rFonts w:cs="Arial"/>
        </w:rPr>
        <w:t>, kot so npr. okrogle mize</w:t>
      </w:r>
      <w:r w:rsidR="00D20683">
        <w:rPr>
          <w:rFonts w:cs="Arial"/>
        </w:rPr>
        <w:t xml:space="preserve"> ali predavanja na temo kulture ter</w:t>
      </w:r>
      <w:r w:rsidR="00E014AE">
        <w:rPr>
          <w:rFonts w:cs="Arial"/>
        </w:rPr>
        <w:t xml:space="preserve"> kulturni dogodki – literarni, na temo oblikovanja, arhitekture, </w:t>
      </w:r>
      <w:r w:rsidR="00D20683">
        <w:rPr>
          <w:rFonts w:cs="Arial"/>
        </w:rPr>
        <w:t>kulturne dediščine ...</w:t>
      </w:r>
      <w:r w:rsidR="00DF7086">
        <w:rPr>
          <w:rFonts w:cs="Arial"/>
        </w:rPr>
        <w:t>,</w:t>
      </w:r>
      <w:r w:rsidR="00F744BD">
        <w:rPr>
          <w:rFonts w:cs="Arial"/>
        </w:rPr>
        <w:t xml:space="preserve"> hkrati so </w:t>
      </w:r>
      <w:r w:rsidR="0024139F">
        <w:rPr>
          <w:rFonts w:cs="Arial"/>
        </w:rPr>
        <w:t xml:space="preserve">to </w:t>
      </w:r>
      <w:r w:rsidR="00F744BD">
        <w:rPr>
          <w:rFonts w:cs="Arial"/>
        </w:rPr>
        <w:t>poleg ogleda baleta in opere</w:t>
      </w:r>
      <w:r w:rsidR="0024139F">
        <w:rPr>
          <w:rFonts w:cs="Arial"/>
        </w:rPr>
        <w:t>, o pogostosti katerega tudi pretiravajo,</w:t>
      </w:r>
      <w:r w:rsidR="00F744BD">
        <w:rPr>
          <w:rFonts w:cs="Arial"/>
        </w:rPr>
        <w:t xml:space="preserve"> najbolj redke oblike udeležbe.</w:t>
      </w:r>
      <w:r w:rsidR="009D54A2">
        <w:rPr>
          <w:rFonts w:cs="Arial"/>
        </w:rPr>
        <w:t xml:space="preserve"> Anketiranci najpogosteje berejo knjige, obiščejo javno knjižnico</w:t>
      </w:r>
      <w:r w:rsidR="008961D8">
        <w:rPr>
          <w:rFonts w:cs="Arial"/>
        </w:rPr>
        <w:t xml:space="preserve">, </w:t>
      </w:r>
      <w:r w:rsidR="002E56E7">
        <w:rPr>
          <w:rFonts w:cs="Arial"/>
        </w:rPr>
        <w:t xml:space="preserve">gledajo ali poslušajo kulturni </w:t>
      </w:r>
      <w:r w:rsidR="008961D8">
        <w:rPr>
          <w:rFonts w:cs="Arial"/>
        </w:rPr>
        <w:t>program na televiziji ali radiu in obiščejo kulturni spomenik</w:t>
      </w:r>
      <w:r w:rsidR="00DD3715">
        <w:rPr>
          <w:rFonts w:cs="Arial"/>
        </w:rPr>
        <w:t xml:space="preserve"> ali drugo kulturno znamenitost</w:t>
      </w:r>
      <w:r w:rsidR="00B7180C">
        <w:rPr>
          <w:rFonts w:cs="Arial"/>
        </w:rPr>
        <w:t xml:space="preserve"> (</w:t>
      </w:r>
      <w:r w:rsidR="006F7DD8">
        <w:rPr>
          <w:rFonts w:cs="Arial"/>
        </w:rPr>
        <w:t>graf 4</w:t>
      </w:r>
      <w:r w:rsidR="00B7180C">
        <w:rPr>
          <w:rFonts w:cs="Arial"/>
        </w:rPr>
        <w:t>)</w:t>
      </w:r>
      <w:r w:rsidR="00DD3715">
        <w:rPr>
          <w:rFonts w:cs="Arial"/>
        </w:rPr>
        <w:t>.</w:t>
      </w:r>
    </w:p>
    <w:p w:rsidR="004720B5" w:rsidRDefault="0024139F" w:rsidP="00AF469E">
      <w:pPr>
        <w:pStyle w:val="Naslovtabele"/>
      </w:pPr>
      <w:bookmarkStart w:id="9" w:name="_Toc490599982"/>
      <w:r w:rsidRPr="0024139F">
        <w:t>Graf 4: Kulturna udeležba</w:t>
      </w:r>
      <w:bookmarkEnd w:id="9"/>
    </w:p>
    <w:p w:rsidR="0024139F" w:rsidRPr="0024139F" w:rsidRDefault="0024139F" w:rsidP="0024139F">
      <w:pPr>
        <w:tabs>
          <w:tab w:val="left" w:pos="3130"/>
        </w:tabs>
        <w:rPr>
          <w:rFonts w:cs="Arial"/>
          <w:b/>
        </w:rPr>
      </w:pPr>
      <w:r>
        <w:rPr>
          <w:noProof/>
          <w:lang w:eastAsia="sl-SI"/>
        </w:rPr>
        <w:drawing>
          <wp:inline distT="0" distB="0" distL="0" distR="0" wp14:anchorId="7EC36AA7" wp14:editId="29DF77B7">
            <wp:extent cx="6184900" cy="2846815"/>
            <wp:effectExtent l="0" t="0" r="0" b="0"/>
            <wp:docPr id="60" name="Chart 60"/>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6F7DD8" w:rsidRPr="00931914" w:rsidRDefault="006F7DD8" w:rsidP="006F7DD8">
      <w:pPr>
        <w:pStyle w:val="Podpispodtabeloaligrafom"/>
        <w:rPr>
          <w:vertAlign w:val="subscript"/>
        </w:rPr>
      </w:pPr>
      <w:r>
        <w:t xml:space="preserve">Vir: Raziskava Odnos do kulture / udejstvovanje v kulturi, 2017, n = 1019. Naročnik: Ministrstvo za kulturo. Izvajalec: </w:t>
      </w:r>
      <w:proofErr w:type="spellStart"/>
      <w:r>
        <w:t>Valicon</w:t>
      </w:r>
      <w:proofErr w:type="spellEnd"/>
      <w:r>
        <w:t>.</w:t>
      </w:r>
    </w:p>
    <w:p w:rsidR="006F7DD8" w:rsidRDefault="006F7DD8" w:rsidP="00BE02E1">
      <w:pPr>
        <w:rPr>
          <w:rFonts w:cs="Arial"/>
        </w:rPr>
      </w:pPr>
    </w:p>
    <w:p w:rsidR="008621AD" w:rsidRPr="008621AD" w:rsidRDefault="00B7180C" w:rsidP="00BE02E1">
      <w:pPr>
        <w:rPr>
          <w:rFonts w:cs="Arial"/>
        </w:rPr>
      </w:pPr>
      <w:r w:rsidRPr="008621AD">
        <w:rPr>
          <w:rFonts w:cs="Arial"/>
        </w:rPr>
        <w:t xml:space="preserve">V nadaljevanju analize anketnih odgovorov smo se osredotočili na anketirance, ki so bili v preteklem letu </w:t>
      </w:r>
      <w:r w:rsidR="00A00209">
        <w:rPr>
          <w:rFonts w:cs="Arial"/>
        </w:rPr>
        <w:t xml:space="preserve">na posameznem področju </w:t>
      </w:r>
      <w:r w:rsidRPr="008621AD">
        <w:rPr>
          <w:rFonts w:cs="Arial"/>
        </w:rPr>
        <w:t xml:space="preserve">dejavni vsaj trikrat in so </w:t>
      </w:r>
      <w:r w:rsidR="00F839D4" w:rsidRPr="008621AD">
        <w:rPr>
          <w:rFonts w:cs="Arial"/>
        </w:rPr>
        <w:t>dejavnost</w:t>
      </w:r>
      <w:r w:rsidRPr="008621AD">
        <w:rPr>
          <w:rFonts w:cs="Arial"/>
        </w:rPr>
        <w:t xml:space="preserve"> </w:t>
      </w:r>
      <w:r w:rsidR="00387EE8" w:rsidRPr="008621AD">
        <w:rPr>
          <w:rFonts w:cs="Arial"/>
        </w:rPr>
        <w:t xml:space="preserve">tudi </w:t>
      </w:r>
      <w:r w:rsidR="00842D64" w:rsidRPr="008621AD">
        <w:rPr>
          <w:rFonts w:cs="Arial"/>
        </w:rPr>
        <w:t>znali navesti</w:t>
      </w:r>
      <w:r w:rsidR="00A84CB5">
        <w:rPr>
          <w:rFonts w:cs="Arial"/>
        </w:rPr>
        <w:t>,</w:t>
      </w:r>
      <w:r w:rsidR="008621AD" w:rsidRPr="008621AD">
        <w:rPr>
          <w:rFonts w:cs="Arial"/>
        </w:rPr>
        <w:t xml:space="preserve"> ter anketirance, ki so odgovorili, da niso počeli nič od naštetega.</w:t>
      </w:r>
      <w:r w:rsidRPr="008621AD">
        <w:rPr>
          <w:rFonts w:cs="Arial"/>
        </w:rPr>
        <w:t xml:space="preserve"> </w:t>
      </w:r>
      <w:r w:rsidR="008621AD" w:rsidRPr="008621AD">
        <w:rPr>
          <w:rFonts w:cs="Arial"/>
        </w:rPr>
        <w:t xml:space="preserve">Glede na zahtevnost tipa </w:t>
      </w:r>
      <w:r w:rsidR="008621AD">
        <w:rPr>
          <w:rFonts w:cs="Arial"/>
        </w:rPr>
        <w:t xml:space="preserve">kulturne </w:t>
      </w:r>
      <w:r w:rsidR="008621AD" w:rsidRPr="008621AD">
        <w:rPr>
          <w:rFonts w:cs="Arial"/>
        </w:rPr>
        <w:t xml:space="preserve">potrošnje, </w:t>
      </w:r>
      <w:r w:rsidR="008621AD">
        <w:rPr>
          <w:rFonts w:cs="Arial"/>
        </w:rPr>
        <w:t xml:space="preserve">bi lahko govorili vsaj </w:t>
      </w:r>
      <w:r w:rsidR="0093181F">
        <w:rPr>
          <w:rFonts w:cs="Arial"/>
        </w:rPr>
        <w:t xml:space="preserve">o </w:t>
      </w:r>
      <w:r w:rsidR="008621AD">
        <w:rPr>
          <w:rFonts w:cs="Arial"/>
        </w:rPr>
        <w:t>štirih profilih uporabnikov, ki si sledijo od bolj do manj zahtevnega:</w:t>
      </w:r>
    </w:p>
    <w:p w:rsidR="008621AD" w:rsidRPr="003502F8" w:rsidRDefault="008621AD" w:rsidP="003502F8">
      <w:pPr>
        <w:pStyle w:val="Odstavekseznama"/>
        <w:numPr>
          <w:ilvl w:val="0"/>
          <w:numId w:val="31"/>
        </w:numPr>
      </w:pPr>
      <w:r w:rsidRPr="006F7DD8">
        <w:rPr>
          <w:b/>
        </w:rPr>
        <w:t>15 %</w:t>
      </w:r>
      <w:r w:rsidRPr="003502F8">
        <w:t xml:space="preserve"> vprašanih je v zadnjih 12</w:t>
      </w:r>
      <w:r w:rsidR="00311095">
        <w:t>-</w:t>
      </w:r>
      <w:r w:rsidRPr="003502F8">
        <w:t xml:space="preserve">ih mesecih vsaj trikrat obiskalo </w:t>
      </w:r>
      <w:proofErr w:type="spellStart"/>
      <w:r w:rsidRPr="003502F8">
        <w:t>nek</w:t>
      </w:r>
      <w:proofErr w:type="spellEnd"/>
      <w:r w:rsidRPr="003502F8">
        <w:t xml:space="preserve"> dogodek ali razstavo na temo kulturne dediščine; literarni dogodek; dogodek ali razstavo na temo oblikovanja; baletno, plesno predstavo ali opero; okroglo mizo, predavanja ali drugo javno razpravo na temo kulture in umetnosti. Glede na siceršnjo zastopanost </w:t>
      </w:r>
      <w:proofErr w:type="spellStart"/>
      <w:r w:rsidRPr="003502F8">
        <w:t>socialnodemografskih</w:t>
      </w:r>
      <w:proofErr w:type="spellEnd"/>
      <w:r w:rsidRPr="003502F8">
        <w:t xml:space="preserve"> skupin v </w:t>
      </w:r>
      <w:r w:rsidR="00F97A9D">
        <w:t>vzorcu</w:t>
      </w:r>
      <w:r w:rsidRPr="003502F8">
        <w:t>, je v tem profilu nekoliko višji odstotek najstarejše starostne skupine (65‒75 let), glede na delovno aktivnost upokojencev, glede na izobrazbo</w:t>
      </w:r>
      <w:r w:rsidR="00311095">
        <w:t xml:space="preserve"> </w:t>
      </w:r>
      <w:r w:rsidRPr="003502F8">
        <w:t>tistih z višjo, visoko šolo ali več</w:t>
      </w:r>
      <w:r w:rsidR="009D6855">
        <w:t>, glede na dohodek pa oseb, ki živijo v gospodinjstvih z dohodkom od 2.200 do 2.900 evrom na mesec.</w:t>
      </w:r>
    </w:p>
    <w:p w:rsidR="003502F8" w:rsidRDefault="008621AD" w:rsidP="003502F8">
      <w:pPr>
        <w:pStyle w:val="Odstavekseznama"/>
        <w:numPr>
          <w:ilvl w:val="0"/>
          <w:numId w:val="31"/>
        </w:numPr>
      </w:pPr>
      <w:r w:rsidRPr="006F7DD8">
        <w:rPr>
          <w:b/>
        </w:rPr>
        <w:t>35 %</w:t>
      </w:r>
      <w:r w:rsidRPr="003502F8">
        <w:t xml:space="preserve"> vprašanih je v zadnjih 12ih mesecih vsaj trikrat obiskalo ali gledalo koncert; kino oz. kino predstavo; muzej ali galerijo; gledališče oz. gledališko predstavo (ni pa se udeležilo dogodkov </w:t>
      </w:r>
      <w:r w:rsidR="00EA65A9" w:rsidRPr="003502F8">
        <w:t xml:space="preserve">iz </w:t>
      </w:r>
      <w:r w:rsidRPr="003502F8">
        <w:t>zgornje skupine)</w:t>
      </w:r>
      <w:r w:rsidR="00EA65A9" w:rsidRPr="003502F8">
        <w:t>.</w:t>
      </w:r>
      <w:r w:rsidR="003502F8">
        <w:t xml:space="preserve"> </w:t>
      </w:r>
      <w:r w:rsidR="00EA65A9" w:rsidRPr="003502F8">
        <w:t xml:space="preserve">Glede na siceršnjo zastopanost </w:t>
      </w:r>
      <w:proofErr w:type="spellStart"/>
      <w:r w:rsidR="00EA65A9" w:rsidRPr="003502F8">
        <w:t>socialnodemografskih</w:t>
      </w:r>
      <w:proofErr w:type="spellEnd"/>
      <w:r w:rsidR="00EA65A9" w:rsidRPr="003502F8">
        <w:t xml:space="preserve"> skupin v </w:t>
      </w:r>
      <w:r w:rsidR="00F97A9D">
        <w:t>vzorcu</w:t>
      </w:r>
      <w:r w:rsidR="00EA65A9" w:rsidRPr="003502F8">
        <w:t xml:space="preserve">, je v tem profilu </w:t>
      </w:r>
      <w:r w:rsidRPr="003502F8">
        <w:t>nekoliko višji odstotek treh mlajših starostnih skupin (15‒19</w:t>
      </w:r>
      <w:r w:rsidR="00311095">
        <w:t xml:space="preserve"> let</w:t>
      </w:r>
      <w:r w:rsidRPr="003502F8">
        <w:t>, 20‒29</w:t>
      </w:r>
      <w:r w:rsidR="00311095">
        <w:t xml:space="preserve"> let</w:t>
      </w:r>
      <w:r w:rsidRPr="003502F8">
        <w:t>, 30‒49</w:t>
      </w:r>
      <w:r w:rsidR="00311095">
        <w:t xml:space="preserve"> let</w:t>
      </w:r>
      <w:r w:rsidRPr="003502F8">
        <w:t xml:space="preserve">), glede na delovno aktivnost zaposlenih in šolajočih, glede na izobrazbo </w:t>
      </w:r>
      <w:r w:rsidR="009D6855">
        <w:t xml:space="preserve">pa </w:t>
      </w:r>
      <w:r w:rsidRPr="003502F8">
        <w:t>tistih z višjo, visoko šolo ali več</w:t>
      </w:r>
      <w:r w:rsidR="000B0D63">
        <w:t xml:space="preserve"> ter </w:t>
      </w:r>
      <w:r w:rsidR="009D6855">
        <w:t>šolajočih.</w:t>
      </w:r>
    </w:p>
    <w:p w:rsidR="003502F8" w:rsidRDefault="008621AD" w:rsidP="003502F8">
      <w:pPr>
        <w:pStyle w:val="Odstavekseznama"/>
        <w:numPr>
          <w:ilvl w:val="0"/>
          <w:numId w:val="31"/>
        </w:numPr>
      </w:pPr>
      <w:r w:rsidRPr="006F7DD8">
        <w:rPr>
          <w:b/>
        </w:rPr>
        <w:lastRenderedPageBreak/>
        <w:t>32 %</w:t>
      </w:r>
      <w:r w:rsidRPr="003502F8">
        <w:t xml:space="preserve"> vprašanih je v zadnjih 12ih mesecih vsaj</w:t>
      </w:r>
      <w:r w:rsidR="00EA65A9" w:rsidRPr="003502F8">
        <w:t xml:space="preserve"> trikrat obiskalo </w:t>
      </w:r>
      <w:r w:rsidRPr="003502F8">
        <w:t xml:space="preserve">knjižnico ali kulturni spomenik oz. kulturno znamenitost; </w:t>
      </w:r>
      <w:r w:rsidR="00EA65A9" w:rsidRPr="003502F8">
        <w:t>gledalo</w:t>
      </w:r>
      <w:r w:rsidRPr="003502F8">
        <w:t xml:space="preserve"> ali posl</w:t>
      </w:r>
      <w:r w:rsidR="003502F8">
        <w:t>ušalo</w:t>
      </w:r>
      <w:r w:rsidRPr="003502F8">
        <w:t xml:space="preserve"> kulturni program na TV ali radiu</w:t>
      </w:r>
      <w:r w:rsidR="00EA65A9" w:rsidRPr="003502F8">
        <w:t xml:space="preserve"> (ni pa se udeležilo dogodkov iz zgornjih dveh</w:t>
      </w:r>
      <w:r w:rsidR="003502F8">
        <w:t xml:space="preserve"> skupin</w:t>
      </w:r>
      <w:r w:rsidR="00EA65A9" w:rsidRPr="003502F8">
        <w:t>).</w:t>
      </w:r>
      <w:r w:rsidRPr="003502F8">
        <w:t xml:space="preserve"> </w:t>
      </w:r>
      <w:r w:rsidR="00EA65A9" w:rsidRPr="003502F8">
        <w:t xml:space="preserve">Glede na siceršnjo zastopanost </w:t>
      </w:r>
      <w:proofErr w:type="spellStart"/>
      <w:r w:rsidR="00EA65A9" w:rsidRPr="003502F8">
        <w:t>socialnodemografskih</w:t>
      </w:r>
      <w:proofErr w:type="spellEnd"/>
      <w:r w:rsidR="00EA65A9" w:rsidRPr="003502F8">
        <w:t xml:space="preserve"> skupin v </w:t>
      </w:r>
      <w:r w:rsidR="00F97A9D">
        <w:t>vzorcu</w:t>
      </w:r>
      <w:r w:rsidR="00EA65A9" w:rsidRPr="003502F8">
        <w:t xml:space="preserve">, je v tem profilu </w:t>
      </w:r>
      <w:r w:rsidRPr="003502F8">
        <w:t xml:space="preserve">nekoliko višji odstotek dveh starejših starostnih skupin (50‒64, 65‒75), glede na delovno aktivnost upokojencev, glede na izobrazbo oseb s štiriletno </w:t>
      </w:r>
      <w:r w:rsidR="006F77DE">
        <w:t>srednjo šolo, glede na dohodek pa oseb, ki živijo v gospodinjstvih z najnižjimi dohodki – do vključno 730 evrov</w:t>
      </w:r>
      <w:r w:rsidR="009D6855">
        <w:t xml:space="preserve"> mesečno</w:t>
      </w:r>
      <w:r w:rsidR="006F77DE">
        <w:t>.</w:t>
      </w:r>
    </w:p>
    <w:p w:rsidR="004720B5" w:rsidRDefault="008621AD" w:rsidP="00BE02E1">
      <w:pPr>
        <w:pStyle w:val="Odstavekseznama"/>
        <w:numPr>
          <w:ilvl w:val="0"/>
          <w:numId w:val="31"/>
        </w:numPr>
      </w:pPr>
      <w:r w:rsidRPr="006F7DD8">
        <w:rPr>
          <w:b/>
        </w:rPr>
        <w:t>18 %</w:t>
      </w:r>
      <w:r w:rsidRPr="003502F8">
        <w:t xml:space="preserve"> vprašanih v zadnjih 12ih mesecih ni počelo nič od naštetega</w:t>
      </w:r>
      <w:r w:rsidR="006C14EF">
        <w:t xml:space="preserve"> v vprašalniku</w:t>
      </w:r>
      <w:r w:rsidRPr="003502F8">
        <w:t xml:space="preserve">. Glede na siceršnjo zastopanost v </w:t>
      </w:r>
      <w:r w:rsidR="00F97A9D">
        <w:t>vzorcu</w:t>
      </w:r>
      <w:r w:rsidRPr="003502F8">
        <w:t>, je v tej skupini nekoliko višji odstotek starostne skupine 30‒49</w:t>
      </w:r>
      <w:r w:rsidR="00311095">
        <w:t xml:space="preserve"> let</w:t>
      </w:r>
      <w:r w:rsidRPr="003502F8">
        <w:t xml:space="preserve">, glede na delovno aktivnost zaposlenih </w:t>
      </w:r>
      <w:r w:rsidR="0020325B">
        <w:t>pa tudi</w:t>
      </w:r>
      <w:r w:rsidRPr="003502F8">
        <w:t xml:space="preserve"> nezaposlenih, glede na izobrazbo oseb s poklicno</w:t>
      </w:r>
      <w:r w:rsidR="006F77DE">
        <w:t xml:space="preserve"> šolo ter osnovno šolo ali manj, glede na gmotno stanje pa oseb, ki živijo v gospodinjstvih z dohodkom od 730–1460 evrov mesečno.</w:t>
      </w:r>
    </w:p>
    <w:p w:rsidR="00646584" w:rsidRDefault="00BB6E93" w:rsidP="004720B5">
      <w:r w:rsidRPr="00BB6E93">
        <w:t>76 % vprašanim tre</w:t>
      </w:r>
      <w:r w:rsidR="002706CF">
        <w:t>nutna kulturna udeležba zadošča,</w:t>
      </w:r>
      <w:r w:rsidRPr="00BB6E93">
        <w:t xml:space="preserve"> 24 % pa bi se želelo </w:t>
      </w:r>
      <w:r w:rsidR="001F0ADC">
        <w:t>v kulturi</w:t>
      </w:r>
      <w:r w:rsidRPr="00BB6E93">
        <w:t xml:space="preserve"> </w:t>
      </w:r>
      <w:r w:rsidR="002706CF">
        <w:t>udejstvovati</w:t>
      </w:r>
      <w:r w:rsidRPr="00BB6E93">
        <w:t xml:space="preserve"> pogosteje. </w:t>
      </w:r>
      <w:r w:rsidR="00567D5A">
        <w:t>Ker sta previsoka cena in pomanjkanje časa priročna odgovora</w:t>
      </w:r>
      <w:r w:rsidR="00860DDD">
        <w:t xml:space="preserve"> za majhen angažma v družbeno zaželenih dejavnostih (kot je npr. kulturna potrošnja, pa tudi zdravo prehranjevanje, telesna vadba ipd.),</w:t>
      </w:r>
      <w:r w:rsidR="00764214">
        <w:rPr>
          <w:rStyle w:val="Sprotnaopomba-sklic"/>
        </w:rPr>
        <w:footnoteReference w:id="5"/>
      </w:r>
      <w:r w:rsidR="00860DDD">
        <w:t xml:space="preserve"> pri vprašanju o ovirah pri dostopu do kulture teh dveh možnosti nismo ponudili vnaprej, so ju pa lahko anketiranci </w:t>
      </w:r>
      <w:r w:rsidR="005F50D3">
        <w:t xml:space="preserve">sami </w:t>
      </w:r>
      <w:r w:rsidR="00EB350B">
        <w:t>dodali.</w:t>
      </w:r>
      <w:r w:rsidR="005F50D3">
        <w:t xml:space="preserve"> Rezultati </w:t>
      </w:r>
      <w:r w:rsidR="00764214">
        <w:t xml:space="preserve">v tabeli </w:t>
      </w:r>
      <w:r w:rsidR="00AF469E">
        <w:t>1</w:t>
      </w:r>
      <w:r w:rsidR="00764214">
        <w:t xml:space="preserve"> </w:t>
      </w:r>
      <w:r w:rsidR="005F50D3">
        <w:t xml:space="preserve">kažejo, da </w:t>
      </w:r>
      <w:r w:rsidR="00764214">
        <w:t xml:space="preserve">pomanjkanje časa </w:t>
      </w:r>
      <w:r w:rsidR="00223E8A">
        <w:t xml:space="preserve">verjetno </w:t>
      </w:r>
      <w:r w:rsidR="00764214">
        <w:t xml:space="preserve">ni med najpomembnejšimi ovirami, visoka cena pa je na četrtem mestu. Pred njo so pomanjkanje primerne družbe, slaba izbira v domačem kraju in premalo </w:t>
      </w:r>
      <w:r w:rsidR="00E6573E">
        <w:t>informacij o kulturnem dogodku.</w:t>
      </w:r>
    </w:p>
    <w:p w:rsidR="004720B5" w:rsidRDefault="00AF469E" w:rsidP="00AF469E">
      <w:pPr>
        <w:pStyle w:val="Naslovtabele"/>
      </w:pPr>
      <w:bookmarkStart w:id="10" w:name="_Toc490599983"/>
      <w:r>
        <w:t>Tabela</w:t>
      </w:r>
      <w:r w:rsidR="00517901">
        <w:t xml:space="preserve"> 1</w:t>
      </w:r>
      <w:r>
        <w:t>: Ovire pri dostopu do kulture – udeležba na dogodkih*</w:t>
      </w:r>
      <w:bookmarkEnd w:id="10"/>
    </w:p>
    <w:tbl>
      <w:tblPr>
        <w:tblStyle w:val="ListTable3-Accent31"/>
        <w:tblW w:w="0" w:type="auto"/>
        <w:tblLook w:val="04A0" w:firstRow="1" w:lastRow="0" w:firstColumn="1" w:lastColumn="0" w:noHBand="0" w:noVBand="1"/>
      </w:tblPr>
      <w:tblGrid>
        <w:gridCol w:w="7902"/>
        <w:gridCol w:w="1334"/>
      </w:tblGrid>
      <w:tr w:rsidR="00AF469E" w:rsidRPr="00AF469E" w:rsidTr="006F54E8">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7902" w:type="dxa"/>
          </w:tcPr>
          <w:p w:rsidR="00AF469E" w:rsidRPr="00AF469E" w:rsidRDefault="00AF469E" w:rsidP="003B143E">
            <w:pPr>
              <w:spacing w:after="0" w:line="240" w:lineRule="auto"/>
              <w:rPr>
                <w:rFonts w:ascii="Arial Narrow" w:hAnsi="Arial Narrow"/>
                <w:sz w:val="16"/>
                <w:szCs w:val="16"/>
              </w:rPr>
            </w:pPr>
            <w:r w:rsidRPr="00AF469E">
              <w:rPr>
                <w:rFonts w:ascii="Arial Narrow" w:hAnsi="Arial Narrow"/>
                <w:sz w:val="16"/>
                <w:szCs w:val="16"/>
              </w:rPr>
              <w:t>Zakaj se pogosteje ne udeležujete kulturnih dogodkov, obiskujete muzejev, gledališč ...?</w:t>
            </w:r>
          </w:p>
        </w:tc>
        <w:tc>
          <w:tcPr>
            <w:tcW w:w="1334" w:type="dxa"/>
          </w:tcPr>
          <w:p w:rsidR="00AF469E" w:rsidRPr="00AF469E" w:rsidRDefault="00AF469E" w:rsidP="003B143E">
            <w:pPr>
              <w:spacing w:after="0" w:line="240" w:lineRule="auto"/>
              <w:cnfStyle w:val="100000000000" w:firstRow="1" w:lastRow="0" w:firstColumn="0" w:lastColumn="0" w:oddVBand="0" w:evenVBand="0" w:oddHBand="0" w:evenHBand="0" w:firstRowFirstColumn="0" w:firstRowLastColumn="0" w:lastRowFirstColumn="0" w:lastRowLastColumn="0"/>
              <w:rPr>
                <w:rFonts w:ascii="Arial Narrow" w:hAnsi="Arial Narrow"/>
                <w:sz w:val="16"/>
                <w:szCs w:val="16"/>
              </w:rPr>
            </w:pPr>
            <w:r w:rsidRPr="00AF469E">
              <w:rPr>
                <w:rFonts w:ascii="Arial Narrow" w:hAnsi="Arial Narrow"/>
                <w:sz w:val="16"/>
                <w:szCs w:val="16"/>
              </w:rPr>
              <w:t>%</w:t>
            </w:r>
          </w:p>
        </w:tc>
      </w:tr>
      <w:tr w:rsidR="00AF469E" w:rsidRPr="00AF469E" w:rsidTr="006F54E8">
        <w:trPr>
          <w:cnfStyle w:val="000000100000" w:firstRow="0" w:lastRow="0" w:firstColumn="0" w:lastColumn="0" w:oddVBand="0" w:evenVBand="0" w:oddHBand="1" w:evenHBand="0" w:firstRowFirstColumn="0" w:firstRowLastColumn="0" w:lastRowFirstColumn="0" w:lastRowLastColumn="0"/>
          <w:trHeight w:val="213"/>
        </w:trPr>
        <w:tc>
          <w:tcPr>
            <w:cnfStyle w:val="001000000000" w:firstRow="0" w:lastRow="0" w:firstColumn="1" w:lastColumn="0" w:oddVBand="0" w:evenVBand="0" w:oddHBand="0" w:evenHBand="0" w:firstRowFirstColumn="0" w:firstRowLastColumn="0" w:lastRowFirstColumn="0" w:lastRowLastColumn="0"/>
            <w:tcW w:w="7902" w:type="dxa"/>
          </w:tcPr>
          <w:p w:rsidR="00AF469E" w:rsidRPr="00AF469E" w:rsidRDefault="003B143E" w:rsidP="003B143E">
            <w:pPr>
              <w:spacing w:after="0" w:line="240" w:lineRule="auto"/>
              <w:rPr>
                <w:rFonts w:ascii="Arial Narrow" w:hAnsi="Arial Narrow"/>
                <w:b w:val="0"/>
                <w:sz w:val="16"/>
                <w:szCs w:val="16"/>
              </w:rPr>
            </w:pPr>
            <w:r w:rsidRPr="00AF469E">
              <w:rPr>
                <w:rFonts w:ascii="Arial Narrow" w:hAnsi="Arial Narrow"/>
                <w:b w:val="0"/>
                <w:sz w:val="16"/>
                <w:szCs w:val="16"/>
              </w:rPr>
              <w:t>N</w:t>
            </w:r>
            <w:r>
              <w:rPr>
                <w:rFonts w:ascii="Arial Narrow" w:hAnsi="Arial Narrow"/>
                <w:b w:val="0"/>
                <w:sz w:val="16"/>
                <w:szCs w:val="16"/>
              </w:rPr>
              <w:t>isem imel/a</w:t>
            </w:r>
            <w:r w:rsidR="00AF469E" w:rsidRPr="00AF469E">
              <w:rPr>
                <w:rFonts w:ascii="Arial Narrow" w:hAnsi="Arial Narrow"/>
                <w:b w:val="0"/>
                <w:sz w:val="16"/>
                <w:szCs w:val="16"/>
              </w:rPr>
              <w:t xml:space="preserve"> primerne družbe</w:t>
            </w:r>
          </w:p>
        </w:tc>
        <w:tc>
          <w:tcPr>
            <w:tcW w:w="1334" w:type="dxa"/>
          </w:tcPr>
          <w:p w:rsidR="00AF469E" w:rsidRPr="00AF469E" w:rsidRDefault="00AF469E" w:rsidP="003B143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F469E">
              <w:rPr>
                <w:rFonts w:ascii="Arial Narrow" w:hAnsi="Arial Narrow"/>
                <w:sz w:val="16"/>
                <w:szCs w:val="16"/>
              </w:rPr>
              <w:t>35</w:t>
            </w:r>
          </w:p>
        </w:tc>
      </w:tr>
      <w:tr w:rsidR="00AF469E" w:rsidRPr="00AF469E" w:rsidTr="006F54E8">
        <w:tc>
          <w:tcPr>
            <w:cnfStyle w:val="001000000000" w:firstRow="0" w:lastRow="0" w:firstColumn="1" w:lastColumn="0" w:oddVBand="0" w:evenVBand="0" w:oddHBand="0" w:evenHBand="0" w:firstRowFirstColumn="0" w:firstRowLastColumn="0" w:lastRowFirstColumn="0" w:lastRowLastColumn="0"/>
            <w:tcW w:w="7902" w:type="dxa"/>
          </w:tcPr>
          <w:p w:rsidR="00AF469E" w:rsidRPr="00AF469E" w:rsidRDefault="003B143E" w:rsidP="003B143E">
            <w:pPr>
              <w:spacing w:after="0" w:line="240" w:lineRule="auto"/>
              <w:rPr>
                <w:rFonts w:ascii="Arial Narrow" w:hAnsi="Arial Narrow"/>
                <w:b w:val="0"/>
                <w:sz w:val="16"/>
                <w:szCs w:val="16"/>
              </w:rPr>
            </w:pPr>
            <w:r>
              <w:rPr>
                <w:rFonts w:ascii="Arial Narrow" w:hAnsi="Arial Narrow"/>
                <w:b w:val="0"/>
                <w:sz w:val="16"/>
                <w:szCs w:val="16"/>
              </w:rPr>
              <w:t>Slaba izbira v mojem kraju</w:t>
            </w:r>
          </w:p>
        </w:tc>
        <w:tc>
          <w:tcPr>
            <w:tcW w:w="1334" w:type="dxa"/>
          </w:tcPr>
          <w:p w:rsidR="00AF469E" w:rsidRPr="00AF469E" w:rsidRDefault="00AF469E" w:rsidP="003B143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F469E">
              <w:rPr>
                <w:rFonts w:ascii="Arial Narrow" w:hAnsi="Arial Narrow"/>
                <w:sz w:val="16"/>
                <w:szCs w:val="16"/>
              </w:rPr>
              <w:t>31</w:t>
            </w:r>
          </w:p>
        </w:tc>
      </w:tr>
      <w:tr w:rsidR="00AF469E" w:rsidRPr="00AF469E" w:rsidTr="006F54E8">
        <w:trPr>
          <w:cnfStyle w:val="000000100000" w:firstRow="0" w:lastRow="0" w:firstColumn="0" w:lastColumn="0" w:oddVBand="0" w:evenVBand="0" w:oddHBand="1" w:evenHBand="0" w:firstRowFirstColumn="0" w:firstRowLastColumn="0" w:lastRowFirstColumn="0" w:lastRowLastColumn="0"/>
          <w:trHeight w:val="200"/>
        </w:trPr>
        <w:tc>
          <w:tcPr>
            <w:cnfStyle w:val="001000000000" w:firstRow="0" w:lastRow="0" w:firstColumn="1" w:lastColumn="0" w:oddVBand="0" w:evenVBand="0" w:oddHBand="0" w:evenHBand="0" w:firstRowFirstColumn="0" w:firstRowLastColumn="0" w:lastRowFirstColumn="0" w:lastRowLastColumn="0"/>
            <w:tcW w:w="7902" w:type="dxa"/>
          </w:tcPr>
          <w:p w:rsidR="00AF469E" w:rsidRPr="00AF469E" w:rsidRDefault="003B143E" w:rsidP="003B143E">
            <w:pPr>
              <w:spacing w:after="0" w:line="240" w:lineRule="auto"/>
              <w:rPr>
                <w:rFonts w:ascii="Arial Narrow" w:hAnsi="Arial Narrow"/>
                <w:b w:val="0"/>
                <w:sz w:val="16"/>
                <w:szCs w:val="16"/>
              </w:rPr>
            </w:pPr>
            <w:r>
              <w:rPr>
                <w:rFonts w:ascii="Arial Narrow" w:hAnsi="Arial Narrow"/>
                <w:b w:val="0"/>
                <w:sz w:val="16"/>
                <w:szCs w:val="16"/>
              </w:rPr>
              <w:t>Premalo informacij o dogodkih</w:t>
            </w:r>
          </w:p>
        </w:tc>
        <w:tc>
          <w:tcPr>
            <w:tcW w:w="1334" w:type="dxa"/>
          </w:tcPr>
          <w:p w:rsidR="00AF469E" w:rsidRPr="00AF469E" w:rsidRDefault="00AF469E" w:rsidP="003B143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F469E">
              <w:rPr>
                <w:rFonts w:ascii="Arial Narrow" w:hAnsi="Arial Narrow"/>
                <w:sz w:val="16"/>
                <w:szCs w:val="16"/>
              </w:rPr>
              <w:t>29</w:t>
            </w:r>
          </w:p>
        </w:tc>
      </w:tr>
      <w:tr w:rsidR="00AF469E" w:rsidRPr="00AF469E" w:rsidTr="006F54E8">
        <w:tc>
          <w:tcPr>
            <w:cnfStyle w:val="001000000000" w:firstRow="0" w:lastRow="0" w:firstColumn="1" w:lastColumn="0" w:oddVBand="0" w:evenVBand="0" w:oddHBand="0" w:evenHBand="0" w:firstRowFirstColumn="0" w:firstRowLastColumn="0" w:lastRowFirstColumn="0" w:lastRowLastColumn="0"/>
            <w:tcW w:w="7902" w:type="dxa"/>
          </w:tcPr>
          <w:p w:rsidR="00AF469E" w:rsidRPr="00AF469E" w:rsidRDefault="003B143E" w:rsidP="003B143E">
            <w:pPr>
              <w:spacing w:after="0" w:line="240" w:lineRule="auto"/>
              <w:rPr>
                <w:rFonts w:ascii="Arial Narrow" w:hAnsi="Arial Narrow"/>
                <w:b w:val="0"/>
                <w:sz w:val="16"/>
                <w:szCs w:val="16"/>
              </w:rPr>
            </w:pPr>
            <w:r>
              <w:rPr>
                <w:rFonts w:ascii="Arial Narrow" w:hAnsi="Arial Narrow"/>
                <w:b w:val="0"/>
                <w:sz w:val="16"/>
                <w:szCs w:val="16"/>
              </w:rPr>
              <w:t>V</w:t>
            </w:r>
            <w:r w:rsidR="00AF469E" w:rsidRPr="00AF469E">
              <w:rPr>
                <w:rFonts w:ascii="Arial Narrow" w:hAnsi="Arial Narrow"/>
                <w:b w:val="0"/>
                <w:sz w:val="16"/>
                <w:szCs w:val="16"/>
              </w:rPr>
              <w:t>isoka cena, pomanjkanje dena</w:t>
            </w:r>
            <w:r>
              <w:rPr>
                <w:rFonts w:ascii="Arial Narrow" w:hAnsi="Arial Narrow"/>
                <w:b w:val="0"/>
                <w:sz w:val="16"/>
                <w:szCs w:val="16"/>
              </w:rPr>
              <w:t>rja</w:t>
            </w:r>
          </w:p>
        </w:tc>
        <w:tc>
          <w:tcPr>
            <w:tcW w:w="1334" w:type="dxa"/>
          </w:tcPr>
          <w:p w:rsidR="00AF469E" w:rsidRPr="00AF469E" w:rsidRDefault="00AF469E" w:rsidP="003B143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F469E">
              <w:rPr>
                <w:rFonts w:ascii="Arial Narrow" w:hAnsi="Arial Narrow"/>
                <w:sz w:val="16"/>
                <w:szCs w:val="16"/>
              </w:rPr>
              <w:t>22</w:t>
            </w:r>
          </w:p>
        </w:tc>
      </w:tr>
      <w:tr w:rsidR="00AF469E" w:rsidRPr="00AF469E" w:rsidTr="006F54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902" w:type="dxa"/>
          </w:tcPr>
          <w:p w:rsidR="00AF469E" w:rsidRPr="00AF469E" w:rsidRDefault="003B143E" w:rsidP="003B143E">
            <w:pPr>
              <w:spacing w:after="0" w:line="240" w:lineRule="auto"/>
              <w:rPr>
                <w:rFonts w:ascii="Arial Narrow" w:hAnsi="Arial Narrow"/>
                <w:b w:val="0"/>
                <w:sz w:val="16"/>
                <w:szCs w:val="16"/>
              </w:rPr>
            </w:pPr>
            <w:r>
              <w:rPr>
                <w:rFonts w:ascii="Arial Narrow" w:hAnsi="Arial Narrow"/>
                <w:b w:val="0"/>
                <w:sz w:val="16"/>
                <w:szCs w:val="16"/>
              </w:rPr>
              <w:t>Neprimerna ura dogodkov</w:t>
            </w:r>
          </w:p>
        </w:tc>
        <w:tc>
          <w:tcPr>
            <w:tcW w:w="1334" w:type="dxa"/>
          </w:tcPr>
          <w:p w:rsidR="00AF469E" w:rsidRPr="00AF469E" w:rsidRDefault="00AF469E" w:rsidP="003B143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F469E">
              <w:rPr>
                <w:rFonts w:ascii="Arial Narrow" w:hAnsi="Arial Narrow"/>
                <w:sz w:val="16"/>
                <w:szCs w:val="16"/>
              </w:rPr>
              <w:t>14</w:t>
            </w:r>
          </w:p>
        </w:tc>
      </w:tr>
      <w:tr w:rsidR="00AF469E" w:rsidRPr="00AF469E" w:rsidTr="006F54E8">
        <w:tc>
          <w:tcPr>
            <w:cnfStyle w:val="001000000000" w:firstRow="0" w:lastRow="0" w:firstColumn="1" w:lastColumn="0" w:oddVBand="0" w:evenVBand="0" w:oddHBand="0" w:evenHBand="0" w:firstRowFirstColumn="0" w:firstRowLastColumn="0" w:lastRowFirstColumn="0" w:lastRowLastColumn="0"/>
            <w:tcW w:w="7902" w:type="dxa"/>
          </w:tcPr>
          <w:p w:rsidR="00AF469E" w:rsidRPr="00AF469E" w:rsidRDefault="003B143E" w:rsidP="003B143E">
            <w:pPr>
              <w:spacing w:after="0" w:line="240" w:lineRule="auto"/>
              <w:rPr>
                <w:rFonts w:ascii="Arial Narrow" w:hAnsi="Arial Narrow"/>
                <w:b w:val="0"/>
                <w:sz w:val="16"/>
                <w:szCs w:val="16"/>
              </w:rPr>
            </w:pPr>
            <w:r>
              <w:rPr>
                <w:rFonts w:ascii="Arial Narrow" w:hAnsi="Arial Narrow"/>
                <w:b w:val="0"/>
                <w:sz w:val="16"/>
                <w:szCs w:val="16"/>
              </w:rPr>
              <w:t>Pomanjkanje časa</w:t>
            </w:r>
          </w:p>
        </w:tc>
        <w:tc>
          <w:tcPr>
            <w:tcW w:w="1334" w:type="dxa"/>
          </w:tcPr>
          <w:p w:rsidR="00AF469E" w:rsidRPr="00AF469E" w:rsidRDefault="00AF469E" w:rsidP="003B143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F469E">
              <w:rPr>
                <w:rFonts w:ascii="Arial Narrow" w:hAnsi="Arial Narrow"/>
                <w:sz w:val="16"/>
                <w:szCs w:val="16"/>
              </w:rPr>
              <w:t>12</w:t>
            </w:r>
          </w:p>
        </w:tc>
      </w:tr>
      <w:tr w:rsidR="00AF469E" w:rsidRPr="00AF469E" w:rsidTr="006F54E8">
        <w:trPr>
          <w:cnfStyle w:val="000000100000" w:firstRow="0" w:lastRow="0" w:firstColumn="0" w:lastColumn="0" w:oddVBand="0" w:evenVBand="0" w:oddHBand="1" w:evenHBand="0" w:firstRowFirstColumn="0" w:firstRowLastColumn="0" w:lastRowFirstColumn="0" w:lastRowLastColumn="0"/>
          <w:trHeight w:val="213"/>
        </w:trPr>
        <w:tc>
          <w:tcPr>
            <w:cnfStyle w:val="001000000000" w:firstRow="0" w:lastRow="0" w:firstColumn="1" w:lastColumn="0" w:oddVBand="0" w:evenVBand="0" w:oddHBand="0" w:evenHBand="0" w:firstRowFirstColumn="0" w:firstRowLastColumn="0" w:lastRowFirstColumn="0" w:lastRowLastColumn="0"/>
            <w:tcW w:w="7902" w:type="dxa"/>
          </w:tcPr>
          <w:p w:rsidR="00AF469E" w:rsidRPr="00AF469E" w:rsidRDefault="003B143E" w:rsidP="003B143E">
            <w:pPr>
              <w:spacing w:after="0" w:line="240" w:lineRule="auto"/>
              <w:rPr>
                <w:rFonts w:ascii="Arial Narrow" w:hAnsi="Arial Narrow"/>
                <w:b w:val="0"/>
                <w:sz w:val="16"/>
                <w:szCs w:val="16"/>
              </w:rPr>
            </w:pPr>
            <w:r>
              <w:rPr>
                <w:rFonts w:ascii="Arial Narrow" w:hAnsi="Arial Narrow"/>
                <w:b w:val="0"/>
                <w:sz w:val="16"/>
                <w:szCs w:val="16"/>
              </w:rPr>
              <w:t>Težko dobim varstvo otrok</w:t>
            </w:r>
          </w:p>
        </w:tc>
        <w:tc>
          <w:tcPr>
            <w:tcW w:w="1334" w:type="dxa"/>
          </w:tcPr>
          <w:p w:rsidR="00AF469E" w:rsidRPr="00AF469E" w:rsidRDefault="00AF469E" w:rsidP="003B143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F469E">
              <w:rPr>
                <w:rFonts w:ascii="Arial Narrow" w:hAnsi="Arial Narrow"/>
                <w:sz w:val="16"/>
                <w:szCs w:val="16"/>
              </w:rPr>
              <w:t>12</w:t>
            </w:r>
          </w:p>
        </w:tc>
      </w:tr>
      <w:tr w:rsidR="00AF469E" w:rsidRPr="00AF469E" w:rsidTr="006F54E8">
        <w:tc>
          <w:tcPr>
            <w:cnfStyle w:val="001000000000" w:firstRow="0" w:lastRow="0" w:firstColumn="1" w:lastColumn="0" w:oddVBand="0" w:evenVBand="0" w:oddHBand="0" w:evenHBand="0" w:firstRowFirstColumn="0" w:firstRowLastColumn="0" w:lastRowFirstColumn="0" w:lastRowLastColumn="0"/>
            <w:tcW w:w="7902" w:type="dxa"/>
          </w:tcPr>
          <w:p w:rsidR="00AF469E" w:rsidRPr="00AF469E" w:rsidRDefault="003B143E" w:rsidP="003B143E">
            <w:pPr>
              <w:spacing w:after="0" w:line="240" w:lineRule="auto"/>
              <w:rPr>
                <w:rFonts w:ascii="Arial Narrow" w:hAnsi="Arial Narrow"/>
                <w:b w:val="0"/>
                <w:sz w:val="16"/>
                <w:szCs w:val="16"/>
              </w:rPr>
            </w:pPr>
            <w:proofErr w:type="spellStart"/>
            <w:r>
              <w:rPr>
                <w:rFonts w:ascii="Arial Narrow" w:hAnsi="Arial Narrow"/>
                <w:b w:val="0"/>
                <w:sz w:val="16"/>
                <w:szCs w:val="16"/>
              </w:rPr>
              <w:t>Niman</w:t>
            </w:r>
            <w:proofErr w:type="spellEnd"/>
            <w:r w:rsidR="00AF469E" w:rsidRPr="00AF469E">
              <w:rPr>
                <w:rFonts w:ascii="Arial Narrow" w:hAnsi="Arial Narrow"/>
                <w:b w:val="0"/>
                <w:sz w:val="16"/>
                <w:szCs w:val="16"/>
              </w:rPr>
              <w:t xml:space="preserve"> prevoza,</w:t>
            </w:r>
            <w:r>
              <w:rPr>
                <w:rFonts w:ascii="Arial Narrow" w:hAnsi="Arial Narrow"/>
                <w:b w:val="0"/>
                <w:sz w:val="16"/>
                <w:szCs w:val="16"/>
              </w:rPr>
              <w:t xml:space="preserve"> slabe povezave javnega prometa</w:t>
            </w:r>
          </w:p>
        </w:tc>
        <w:tc>
          <w:tcPr>
            <w:tcW w:w="1334" w:type="dxa"/>
          </w:tcPr>
          <w:p w:rsidR="00AF469E" w:rsidRPr="00AF469E" w:rsidRDefault="00AF469E" w:rsidP="003B143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F469E">
              <w:rPr>
                <w:rFonts w:ascii="Arial Narrow" w:hAnsi="Arial Narrow"/>
                <w:sz w:val="16"/>
                <w:szCs w:val="16"/>
              </w:rPr>
              <w:t>10</w:t>
            </w:r>
          </w:p>
        </w:tc>
      </w:tr>
      <w:tr w:rsidR="00AF469E" w:rsidRPr="00AF469E" w:rsidTr="006F54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902" w:type="dxa"/>
          </w:tcPr>
          <w:p w:rsidR="00AF469E" w:rsidRPr="00AF469E" w:rsidRDefault="003B143E" w:rsidP="003B143E">
            <w:pPr>
              <w:spacing w:after="0" w:line="240" w:lineRule="auto"/>
              <w:rPr>
                <w:rFonts w:ascii="Arial Narrow" w:hAnsi="Arial Narrow"/>
                <w:b w:val="0"/>
                <w:sz w:val="16"/>
                <w:szCs w:val="16"/>
              </w:rPr>
            </w:pPr>
            <w:r>
              <w:rPr>
                <w:rFonts w:ascii="Arial Narrow" w:hAnsi="Arial Narrow"/>
                <w:b w:val="0"/>
                <w:sz w:val="16"/>
                <w:szCs w:val="16"/>
              </w:rPr>
              <w:t>D</w:t>
            </w:r>
            <w:r w:rsidR="00AF469E" w:rsidRPr="00AF469E">
              <w:rPr>
                <w:rFonts w:ascii="Arial Narrow" w:hAnsi="Arial Narrow"/>
                <w:b w:val="0"/>
                <w:sz w:val="16"/>
                <w:szCs w:val="16"/>
              </w:rPr>
              <w:t xml:space="preserve">ogodki niso primerni za </w:t>
            </w:r>
            <w:r>
              <w:rPr>
                <w:rFonts w:ascii="Arial Narrow" w:hAnsi="Arial Narrow"/>
                <w:b w:val="0"/>
                <w:sz w:val="16"/>
                <w:szCs w:val="16"/>
              </w:rPr>
              <w:t>mojo</w:t>
            </w:r>
            <w:r w:rsidR="00AF469E" w:rsidRPr="00AF469E">
              <w:rPr>
                <w:rFonts w:ascii="Arial Narrow" w:hAnsi="Arial Narrow"/>
                <w:b w:val="0"/>
                <w:sz w:val="16"/>
                <w:szCs w:val="16"/>
              </w:rPr>
              <w:t xml:space="preserve"> generacijo</w:t>
            </w:r>
          </w:p>
        </w:tc>
        <w:tc>
          <w:tcPr>
            <w:tcW w:w="1334" w:type="dxa"/>
          </w:tcPr>
          <w:p w:rsidR="00AF469E" w:rsidRPr="00AF469E" w:rsidRDefault="00AF469E" w:rsidP="003B143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F469E">
              <w:rPr>
                <w:rFonts w:ascii="Arial Narrow" w:hAnsi="Arial Narrow"/>
                <w:sz w:val="16"/>
                <w:szCs w:val="16"/>
              </w:rPr>
              <w:t>8</w:t>
            </w:r>
          </w:p>
        </w:tc>
      </w:tr>
      <w:tr w:rsidR="00AF469E" w:rsidRPr="00AF469E" w:rsidTr="006F54E8">
        <w:tc>
          <w:tcPr>
            <w:cnfStyle w:val="001000000000" w:firstRow="0" w:lastRow="0" w:firstColumn="1" w:lastColumn="0" w:oddVBand="0" w:evenVBand="0" w:oddHBand="0" w:evenHBand="0" w:firstRowFirstColumn="0" w:firstRowLastColumn="0" w:lastRowFirstColumn="0" w:lastRowLastColumn="0"/>
            <w:tcW w:w="7902" w:type="dxa"/>
          </w:tcPr>
          <w:p w:rsidR="00AF469E" w:rsidRPr="00AF469E" w:rsidRDefault="003B143E" w:rsidP="003B143E">
            <w:pPr>
              <w:spacing w:after="0" w:line="240" w:lineRule="auto"/>
              <w:rPr>
                <w:rFonts w:ascii="Arial Narrow" w:hAnsi="Arial Narrow"/>
                <w:b w:val="0"/>
                <w:sz w:val="16"/>
                <w:szCs w:val="16"/>
              </w:rPr>
            </w:pPr>
            <w:r>
              <w:rPr>
                <w:rFonts w:ascii="Arial Narrow" w:hAnsi="Arial Narrow"/>
                <w:b w:val="0"/>
                <w:sz w:val="16"/>
                <w:szCs w:val="16"/>
              </w:rPr>
              <w:t>Z</w:t>
            </w:r>
            <w:r w:rsidR="00AF469E" w:rsidRPr="00AF469E">
              <w:rPr>
                <w:rFonts w:ascii="Arial Narrow" w:hAnsi="Arial Narrow"/>
                <w:b w:val="0"/>
                <w:sz w:val="16"/>
                <w:szCs w:val="16"/>
              </w:rPr>
              <w:t>aradi bolezni</w:t>
            </w:r>
          </w:p>
        </w:tc>
        <w:tc>
          <w:tcPr>
            <w:tcW w:w="1334" w:type="dxa"/>
          </w:tcPr>
          <w:p w:rsidR="00AF469E" w:rsidRPr="00AF469E" w:rsidRDefault="00AF469E" w:rsidP="003B143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F469E">
              <w:rPr>
                <w:rFonts w:ascii="Arial Narrow" w:hAnsi="Arial Narrow"/>
                <w:sz w:val="16"/>
                <w:szCs w:val="16"/>
              </w:rPr>
              <w:t>2</w:t>
            </w:r>
          </w:p>
        </w:tc>
      </w:tr>
      <w:tr w:rsidR="00AF469E" w:rsidRPr="00AF469E" w:rsidTr="006F54E8">
        <w:trPr>
          <w:cnfStyle w:val="000000100000" w:firstRow="0" w:lastRow="0" w:firstColumn="0" w:lastColumn="0" w:oddVBand="0" w:evenVBand="0" w:oddHBand="1" w:evenHBand="0" w:firstRowFirstColumn="0" w:firstRowLastColumn="0" w:lastRowFirstColumn="0" w:lastRowLastColumn="0"/>
          <w:trHeight w:val="213"/>
        </w:trPr>
        <w:tc>
          <w:tcPr>
            <w:cnfStyle w:val="001000000000" w:firstRow="0" w:lastRow="0" w:firstColumn="1" w:lastColumn="0" w:oddVBand="0" w:evenVBand="0" w:oddHBand="0" w:evenHBand="0" w:firstRowFirstColumn="0" w:firstRowLastColumn="0" w:lastRowFirstColumn="0" w:lastRowLastColumn="0"/>
            <w:tcW w:w="7902" w:type="dxa"/>
          </w:tcPr>
          <w:p w:rsidR="00AF469E" w:rsidRPr="00AF469E" w:rsidRDefault="003B143E" w:rsidP="003B143E">
            <w:pPr>
              <w:spacing w:after="0" w:line="240" w:lineRule="auto"/>
              <w:rPr>
                <w:rFonts w:ascii="Arial Narrow" w:hAnsi="Arial Narrow"/>
                <w:b w:val="0"/>
                <w:sz w:val="16"/>
                <w:szCs w:val="16"/>
              </w:rPr>
            </w:pPr>
            <w:r>
              <w:rPr>
                <w:rFonts w:ascii="Arial Narrow" w:hAnsi="Arial Narrow"/>
                <w:b w:val="0"/>
                <w:sz w:val="16"/>
                <w:szCs w:val="16"/>
              </w:rPr>
              <w:t>D</w:t>
            </w:r>
            <w:r w:rsidR="00AF469E" w:rsidRPr="00AF469E">
              <w:rPr>
                <w:rFonts w:ascii="Arial Narrow" w:hAnsi="Arial Narrow"/>
                <w:b w:val="0"/>
                <w:sz w:val="16"/>
                <w:szCs w:val="16"/>
              </w:rPr>
              <w:t>rugo</w:t>
            </w:r>
          </w:p>
        </w:tc>
        <w:tc>
          <w:tcPr>
            <w:tcW w:w="1334" w:type="dxa"/>
          </w:tcPr>
          <w:p w:rsidR="00AF469E" w:rsidRPr="00AF469E" w:rsidRDefault="00AF469E" w:rsidP="003B143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F469E">
              <w:rPr>
                <w:rFonts w:ascii="Arial Narrow" w:hAnsi="Arial Narrow"/>
                <w:sz w:val="16"/>
                <w:szCs w:val="16"/>
              </w:rPr>
              <w:t>4</w:t>
            </w:r>
          </w:p>
        </w:tc>
      </w:tr>
    </w:tbl>
    <w:p w:rsidR="00AF469E" w:rsidRPr="00931914" w:rsidRDefault="00AF469E" w:rsidP="004D2387">
      <w:pPr>
        <w:pStyle w:val="Podpispodtabeloaligrafom"/>
        <w:spacing w:after="0"/>
        <w:rPr>
          <w:vertAlign w:val="subscript"/>
        </w:rPr>
      </w:pPr>
      <w:r>
        <w:t xml:space="preserve">Vir: Raziskava Odnos do kulture / udejstvovanje v kulturi, 2017, n = 1019. Naročnik: Ministrstvo za kulturo. Izvajalec: </w:t>
      </w:r>
      <w:proofErr w:type="spellStart"/>
      <w:r>
        <w:t>Valicon</w:t>
      </w:r>
      <w:proofErr w:type="spellEnd"/>
      <w:r>
        <w:t>.</w:t>
      </w:r>
    </w:p>
    <w:p w:rsidR="00AF469E" w:rsidRDefault="00AF469E" w:rsidP="00AF469E">
      <w:pPr>
        <w:pStyle w:val="Podpispodtabeloaligrafom"/>
      </w:pPr>
      <w:r>
        <w:t xml:space="preserve">* Podatki se nanašajo na 24 % vprašanih, ki so odgovorili, da jim trenutna kulturna udeležba ne zadošča. </w:t>
      </w:r>
      <w:bookmarkStart w:id="11" w:name="OLE_LINK9"/>
      <w:r>
        <w:t>Seštevek presega 100 %, ker je bilo možno navesti več razlogov.</w:t>
      </w:r>
      <w:bookmarkEnd w:id="11"/>
    </w:p>
    <w:p w:rsidR="00AF469E" w:rsidRDefault="00AF469E" w:rsidP="00F03509">
      <w:pPr>
        <w:spacing w:after="0" w:line="240" w:lineRule="auto"/>
      </w:pPr>
    </w:p>
    <w:p w:rsidR="004720B5" w:rsidRDefault="005576CB" w:rsidP="004720B5">
      <w:r>
        <w:t>V</w:t>
      </w:r>
      <w:r w:rsidR="004720B5" w:rsidRPr="00BB6E93">
        <w:t xml:space="preserve">prašani </w:t>
      </w:r>
      <w:r>
        <w:t xml:space="preserve">so </w:t>
      </w:r>
      <w:r w:rsidR="004720B5" w:rsidRPr="00BB6E93">
        <w:t xml:space="preserve">za udeležbo na kulturnih dogodkih v povprečju pripravljeni </w:t>
      </w:r>
      <w:r w:rsidR="004720B5">
        <w:t>plačati manj</w:t>
      </w:r>
      <w:r w:rsidR="004720B5" w:rsidRPr="00BB6E93">
        <w:t xml:space="preserve"> kot sic</w:t>
      </w:r>
      <w:r w:rsidR="002706CF">
        <w:t>er ocenjujejo, da dogodek stane,</w:t>
      </w:r>
      <w:r w:rsidR="004720B5">
        <w:t xml:space="preserve"> </w:t>
      </w:r>
      <w:r w:rsidR="002706CF">
        <w:t>in</w:t>
      </w:r>
      <w:r w:rsidR="004720B5">
        <w:t xml:space="preserve"> če bi stal manj, menijo, da bi se ga udeležili večkrat. A kulturni dogodki po cenah katerih smo spraševali, praviloma stanejo v povprečju manj kot mislijo anketira</w:t>
      </w:r>
      <w:r w:rsidR="003C7CC8">
        <w:t>nci (tretja vrstica v tabeli 2</w:t>
      </w:r>
      <w:r w:rsidR="004720B5">
        <w:t xml:space="preserve">). Drži pa tudi, da </w:t>
      </w:r>
      <w:r w:rsidR="00134F53">
        <w:t xml:space="preserve">je </w:t>
      </w:r>
      <w:r w:rsidR="004720B5">
        <w:t xml:space="preserve">povprečna cena vstopnic </w:t>
      </w:r>
      <w:r w:rsidR="00134F53">
        <w:t xml:space="preserve">orientacijskega </w:t>
      </w:r>
      <w:proofErr w:type="spellStart"/>
      <w:r w:rsidR="00134F53">
        <w:t>zančaja</w:t>
      </w:r>
      <w:proofErr w:type="spellEnd"/>
      <w:r w:rsidR="004720B5">
        <w:t>, saj je izračun različnih vrst vstopnic: a) rednih in vstopnic s popusti za abonente, velike skupine, otroke, invalide, upokojence, študente; b) za različno kakovostne sedeže – parter, stranska loža, balkon; različna pa je tudi za sprednje in zadnje vrste v parterju in na balkonu; c) za premiere in redne predstave; d) za domače, gostujoče, otroške, predstave itd.</w:t>
      </w:r>
    </w:p>
    <w:p w:rsidR="00BB6E93" w:rsidRPr="00BB6E93" w:rsidRDefault="004720B5" w:rsidP="00AF42BF">
      <w:pPr>
        <w:pStyle w:val="Naslovtabele"/>
      </w:pPr>
      <w:bookmarkStart w:id="12" w:name="_Toc490599984"/>
      <w:r>
        <w:t xml:space="preserve">Tabela </w:t>
      </w:r>
      <w:r w:rsidR="00AF42BF">
        <w:t>2: Cene vstopnic</w:t>
      </w:r>
      <w:bookmarkEnd w:id="12"/>
    </w:p>
    <w:tbl>
      <w:tblPr>
        <w:tblStyle w:val="ListTable3-Accent31"/>
        <w:tblW w:w="0" w:type="auto"/>
        <w:tblLook w:val="04A0" w:firstRow="1" w:lastRow="0" w:firstColumn="1" w:lastColumn="0" w:noHBand="0" w:noVBand="1"/>
      </w:tblPr>
      <w:tblGrid>
        <w:gridCol w:w="3936"/>
        <w:gridCol w:w="1417"/>
        <w:gridCol w:w="1418"/>
        <w:gridCol w:w="1417"/>
        <w:gridCol w:w="1358"/>
      </w:tblGrid>
      <w:tr w:rsidR="00F03509" w:rsidRPr="002F7123" w:rsidTr="006F54E8">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3936" w:type="dxa"/>
          </w:tcPr>
          <w:p w:rsidR="00F03509" w:rsidRPr="001C1E71" w:rsidRDefault="00F03509" w:rsidP="001C1E71">
            <w:pPr>
              <w:spacing w:after="0" w:line="240" w:lineRule="auto"/>
              <w:rPr>
                <w:rFonts w:ascii="Arial Narrow" w:hAnsi="Arial Narrow"/>
                <w:sz w:val="16"/>
                <w:szCs w:val="16"/>
              </w:rPr>
            </w:pPr>
          </w:p>
        </w:tc>
        <w:tc>
          <w:tcPr>
            <w:tcW w:w="1417" w:type="dxa"/>
          </w:tcPr>
          <w:p w:rsidR="00F03509" w:rsidRPr="001C1E71" w:rsidRDefault="00B01185" w:rsidP="001C1E71">
            <w:pPr>
              <w:spacing w:after="0" w:line="240" w:lineRule="auto"/>
              <w:cnfStyle w:val="100000000000" w:firstRow="1" w:lastRow="0" w:firstColumn="0" w:lastColumn="0" w:oddVBand="0" w:evenVBand="0" w:oddHBand="0" w:evenHBand="0" w:firstRowFirstColumn="0" w:firstRowLastColumn="0" w:lastRowFirstColumn="0" w:lastRowLastColumn="0"/>
              <w:rPr>
                <w:rFonts w:ascii="Arial Narrow" w:hAnsi="Arial Narrow"/>
                <w:sz w:val="16"/>
                <w:szCs w:val="16"/>
              </w:rPr>
            </w:pPr>
            <w:r w:rsidRPr="001C1E71">
              <w:rPr>
                <w:rFonts w:ascii="Arial Narrow" w:hAnsi="Arial Narrow"/>
                <w:sz w:val="16"/>
                <w:szCs w:val="16"/>
              </w:rPr>
              <w:t>Cena vstopnice za gledališče (EUR)</w:t>
            </w:r>
          </w:p>
        </w:tc>
        <w:tc>
          <w:tcPr>
            <w:tcW w:w="1418" w:type="dxa"/>
          </w:tcPr>
          <w:p w:rsidR="00F03509" w:rsidRPr="001C1E71" w:rsidRDefault="00B01185" w:rsidP="001C1E71">
            <w:pPr>
              <w:spacing w:after="0" w:line="240" w:lineRule="auto"/>
              <w:cnfStyle w:val="100000000000" w:firstRow="1" w:lastRow="0" w:firstColumn="0" w:lastColumn="0" w:oddVBand="0" w:evenVBand="0" w:oddHBand="0" w:evenHBand="0" w:firstRowFirstColumn="0" w:firstRowLastColumn="0" w:lastRowFirstColumn="0" w:lastRowLastColumn="0"/>
              <w:rPr>
                <w:rFonts w:ascii="Arial Narrow" w:hAnsi="Arial Narrow"/>
                <w:sz w:val="16"/>
                <w:szCs w:val="16"/>
              </w:rPr>
            </w:pPr>
            <w:r w:rsidRPr="001C1E71">
              <w:rPr>
                <w:rFonts w:ascii="Arial Narrow" w:hAnsi="Arial Narrow"/>
                <w:sz w:val="16"/>
                <w:szCs w:val="16"/>
              </w:rPr>
              <w:t>Cena vstopnice za muzej (EUR)</w:t>
            </w:r>
          </w:p>
        </w:tc>
        <w:tc>
          <w:tcPr>
            <w:tcW w:w="1417" w:type="dxa"/>
          </w:tcPr>
          <w:p w:rsidR="00F03509" w:rsidRPr="001C1E71" w:rsidRDefault="00B01185" w:rsidP="001C1E71">
            <w:pPr>
              <w:spacing w:after="0" w:line="240" w:lineRule="auto"/>
              <w:cnfStyle w:val="100000000000" w:firstRow="1" w:lastRow="0" w:firstColumn="0" w:lastColumn="0" w:oddVBand="0" w:evenVBand="0" w:oddHBand="0" w:evenHBand="0" w:firstRowFirstColumn="0" w:firstRowLastColumn="0" w:lastRowFirstColumn="0" w:lastRowLastColumn="0"/>
              <w:rPr>
                <w:rFonts w:ascii="Arial Narrow" w:hAnsi="Arial Narrow"/>
                <w:sz w:val="16"/>
                <w:szCs w:val="16"/>
              </w:rPr>
            </w:pPr>
            <w:r w:rsidRPr="001C1E71">
              <w:rPr>
                <w:rFonts w:ascii="Arial Narrow" w:hAnsi="Arial Narrow"/>
                <w:sz w:val="16"/>
                <w:szCs w:val="16"/>
              </w:rPr>
              <w:t>Cena vstopnice za opero</w:t>
            </w:r>
            <w:r w:rsidR="00AF42BF">
              <w:rPr>
                <w:rFonts w:ascii="Arial Narrow" w:hAnsi="Arial Narrow"/>
                <w:sz w:val="16"/>
                <w:szCs w:val="16"/>
              </w:rPr>
              <w:t xml:space="preserve"> (EUR)</w:t>
            </w:r>
          </w:p>
        </w:tc>
        <w:tc>
          <w:tcPr>
            <w:tcW w:w="1358" w:type="dxa"/>
          </w:tcPr>
          <w:p w:rsidR="00F03509" w:rsidRPr="001C1E71" w:rsidRDefault="00B01185" w:rsidP="001C1E71">
            <w:pPr>
              <w:spacing w:after="0" w:line="240" w:lineRule="auto"/>
              <w:cnfStyle w:val="100000000000" w:firstRow="1" w:lastRow="0" w:firstColumn="0" w:lastColumn="0" w:oddVBand="0" w:evenVBand="0" w:oddHBand="0" w:evenHBand="0" w:firstRowFirstColumn="0" w:firstRowLastColumn="0" w:lastRowFirstColumn="0" w:lastRowLastColumn="0"/>
              <w:rPr>
                <w:rFonts w:ascii="Arial Narrow" w:hAnsi="Arial Narrow"/>
                <w:sz w:val="16"/>
                <w:szCs w:val="16"/>
              </w:rPr>
            </w:pPr>
            <w:r w:rsidRPr="001C1E71">
              <w:rPr>
                <w:rFonts w:ascii="Arial Narrow" w:hAnsi="Arial Narrow"/>
                <w:sz w:val="16"/>
                <w:szCs w:val="16"/>
              </w:rPr>
              <w:t>Cena vstopnice za kino predstavo</w:t>
            </w:r>
            <w:r w:rsidR="00AF42BF">
              <w:rPr>
                <w:rFonts w:ascii="Arial Narrow" w:hAnsi="Arial Narrow"/>
                <w:sz w:val="16"/>
                <w:szCs w:val="16"/>
              </w:rPr>
              <w:t xml:space="preserve"> (EUR)</w:t>
            </w:r>
          </w:p>
        </w:tc>
      </w:tr>
      <w:tr w:rsidR="00F03509" w:rsidRPr="002F7123" w:rsidTr="006F54E8">
        <w:trPr>
          <w:cnfStyle w:val="000000100000" w:firstRow="0" w:lastRow="0" w:firstColumn="0" w:lastColumn="0" w:oddVBand="0" w:evenVBand="0" w:oddHBand="1" w:evenHBand="0" w:firstRowFirstColumn="0" w:firstRowLastColumn="0" w:lastRowFirstColumn="0" w:lastRowLastColumn="0"/>
          <w:trHeight w:val="157"/>
        </w:trPr>
        <w:tc>
          <w:tcPr>
            <w:cnfStyle w:val="001000000000" w:firstRow="0" w:lastRow="0" w:firstColumn="1" w:lastColumn="0" w:oddVBand="0" w:evenVBand="0" w:oddHBand="0" w:evenHBand="0" w:firstRowFirstColumn="0" w:firstRowLastColumn="0" w:lastRowFirstColumn="0" w:lastRowLastColumn="0"/>
            <w:tcW w:w="3936" w:type="dxa"/>
          </w:tcPr>
          <w:p w:rsidR="00F03509" w:rsidRPr="001C1E71" w:rsidRDefault="00F03509" w:rsidP="001C1E71">
            <w:pPr>
              <w:spacing w:after="0" w:line="240" w:lineRule="auto"/>
              <w:rPr>
                <w:rFonts w:ascii="Arial Narrow" w:hAnsi="Arial Narrow"/>
                <w:sz w:val="16"/>
                <w:szCs w:val="16"/>
              </w:rPr>
            </w:pPr>
            <w:r w:rsidRPr="001C1E71">
              <w:rPr>
                <w:rFonts w:ascii="Arial Narrow" w:hAnsi="Arial Narrow"/>
                <w:sz w:val="16"/>
                <w:szCs w:val="16"/>
              </w:rPr>
              <w:t>Koliko menijo, da stane vstopnica (povprečje)</w:t>
            </w:r>
          </w:p>
        </w:tc>
        <w:tc>
          <w:tcPr>
            <w:tcW w:w="1417" w:type="dxa"/>
          </w:tcPr>
          <w:p w:rsidR="00F03509" w:rsidRPr="001C1E71" w:rsidRDefault="00F03509" w:rsidP="001C1E7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1C1E71">
              <w:rPr>
                <w:rFonts w:ascii="Arial Narrow" w:hAnsi="Arial Narrow"/>
                <w:sz w:val="16"/>
                <w:szCs w:val="16"/>
              </w:rPr>
              <w:t>16</w:t>
            </w:r>
          </w:p>
        </w:tc>
        <w:tc>
          <w:tcPr>
            <w:tcW w:w="1418" w:type="dxa"/>
          </w:tcPr>
          <w:p w:rsidR="00F03509" w:rsidRPr="001C1E71" w:rsidRDefault="00F03509" w:rsidP="001C1E7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1C1E71">
              <w:rPr>
                <w:rFonts w:ascii="Arial Narrow" w:hAnsi="Arial Narrow"/>
                <w:sz w:val="16"/>
                <w:szCs w:val="16"/>
              </w:rPr>
              <w:t>10</w:t>
            </w:r>
          </w:p>
        </w:tc>
        <w:tc>
          <w:tcPr>
            <w:tcW w:w="1417" w:type="dxa"/>
          </w:tcPr>
          <w:p w:rsidR="00F03509" w:rsidRPr="001C1E71" w:rsidRDefault="00F03509" w:rsidP="001C1E7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1C1E71">
              <w:rPr>
                <w:rFonts w:ascii="Arial Narrow" w:hAnsi="Arial Narrow"/>
                <w:sz w:val="16"/>
                <w:szCs w:val="16"/>
              </w:rPr>
              <w:t>23</w:t>
            </w:r>
          </w:p>
        </w:tc>
        <w:tc>
          <w:tcPr>
            <w:tcW w:w="1358" w:type="dxa"/>
          </w:tcPr>
          <w:p w:rsidR="00F03509" w:rsidRPr="001C1E71" w:rsidRDefault="00B01185" w:rsidP="001C1E7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1C1E71">
              <w:rPr>
                <w:rFonts w:ascii="Arial Narrow" w:hAnsi="Arial Narrow"/>
                <w:sz w:val="16"/>
                <w:szCs w:val="16"/>
              </w:rPr>
              <w:t>8</w:t>
            </w:r>
          </w:p>
        </w:tc>
      </w:tr>
      <w:tr w:rsidR="00F03509" w:rsidRPr="002F7123" w:rsidTr="006F54E8">
        <w:tc>
          <w:tcPr>
            <w:cnfStyle w:val="001000000000" w:firstRow="0" w:lastRow="0" w:firstColumn="1" w:lastColumn="0" w:oddVBand="0" w:evenVBand="0" w:oddHBand="0" w:evenHBand="0" w:firstRowFirstColumn="0" w:firstRowLastColumn="0" w:lastRowFirstColumn="0" w:lastRowLastColumn="0"/>
            <w:tcW w:w="3936" w:type="dxa"/>
          </w:tcPr>
          <w:p w:rsidR="00F03509" w:rsidRPr="001C1E71" w:rsidRDefault="00F03509" w:rsidP="001C1E71">
            <w:pPr>
              <w:spacing w:after="0" w:line="240" w:lineRule="auto"/>
              <w:rPr>
                <w:rFonts w:ascii="Arial Narrow" w:hAnsi="Arial Narrow"/>
                <w:sz w:val="16"/>
                <w:szCs w:val="16"/>
              </w:rPr>
            </w:pPr>
            <w:r w:rsidRPr="001C1E71">
              <w:rPr>
                <w:rFonts w:ascii="Arial Narrow" w:hAnsi="Arial Narrow"/>
                <w:sz w:val="16"/>
                <w:szCs w:val="16"/>
              </w:rPr>
              <w:t>Koliko bi morala stati, da bi se dogodka večkrat udeležili (povprečje)</w:t>
            </w:r>
          </w:p>
        </w:tc>
        <w:tc>
          <w:tcPr>
            <w:tcW w:w="1417" w:type="dxa"/>
          </w:tcPr>
          <w:p w:rsidR="00F03509" w:rsidRPr="001C1E71" w:rsidRDefault="00F03509" w:rsidP="001C1E7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1C1E71">
              <w:rPr>
                <w:rFonts w:ascii="Arial Narrow" w:hAnsi="Arial Narrow"/>
                <w:sz w:val="16"/>
                <w:szCs w:val="16"/>
              </w:rPr>
              <w:t>9</w:t>
            </w:r>
          </w:p>
        </w:tc>
        <w:tc>
          <w:tcPr>
            <w:tcW w:w="1418" w:type="dxa"/>
          </w:tcPr>
          <w:p w:rsidR="00F03509" w:rsidRPr="001C1E71" w:rsidRDefault="00F03509" w:rsidP="001C1E7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1C1E71">
              <w:rPr>
                <w:rFonts w:ascii="Arial Narrow" w:hAnsi="Arial Narrow"/>
                <w:sz w:val="16"/>
                <w:szCs w:val="16"/>
              </w:rPr>
              <w:t>6</w:t>
            </w:r>
          </w:p>
        </w:tc>
        <w:tc>
          <w:tcPr>
            <w:tcW w:w="1417" w:type="dxa"/>
          </w:tcPr>
          <w:p w:rsidR="00F03509" w:rsidRPr="001C1E71" w:rsidRDefault="00F03509" w:rsidP="001C1E7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1C1E71">
              <w:rPr>
                <w:rFonts w:ascii="Arial Narrow" w:hAnsi="Arial Narrow"/>
                <w:sz w:val="16"/>
                <w:szCs w:val="16"/>
              </w:rPr>
              <w:t>12</w:t>
            </w:r>
          </w:p>
        </w:tc>
        <w:tc>
          <w:tcPr>
            <w:tcW w:w="1358" w:type="dxa"/>
          </w:tcPr>
          <w:p w:rsidR="00F03509" w:rsidRPr="001C1E71" w:rsidRDefault="00F03509" w:rsidP="001C1E7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1C1E71">
              <w:rPr>
                <w:rFonts w:ascii="Arial Narrow" w:hAnsi="Arial Narrow"/>
                <w:sz w:val="16"/>
                <w:szCs w:val="16"/>
              </w:rPr>
              <w:t>5</w:t>
            </w:r>
          </w:p>
        </w:tc>
      </w:tr>
      <w:tr w:rsidR="00EB7D4F" w:rsidRPr="002F7123" w:rsidTr="006F54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36" w:type="dxa"/>
          </w:tcPr>
          <w:p w:rsidR="00EB7D4F" w:rsidRPr="001C1E71" w:rsidRDefault="00EB7D4F" w:rsidP="001C1E71">
            <w:pPr>
              <w:spacing w:after="0" w:line="240" w:lineRule="auto"/>
              <w:rPr>
                <w:rFonts w:ascii="Arial Narrow" w:hAnsi="Arial Narrow"/>
                <w:sz w:val="16"/>
                <w:szCs w:val="16"/>
              </w:rPr>
            </w:pPr>
            <w:r w:rsidRPr="001C1E71">
              <w:rPr>
                <w:rFonts w:ascii="Arial Narrow" w:hAnsi="Arial Narrow"/>
                <w:sz w:val="16"/>
                <w:szCs w:val="16"/>
              </w:rPr>
              <w:t xml:space="preserve">Povprečna cena vstopnic </w:t>
            </w:r>
            <w:r w:rsidR="00D65B09" w:rsidRPr="001C1E71">
              <w:rPr>
                <w:rFonts w:ascii="Arial Narrow" w:hAnsi="Arial Narrow"/>
                <w:sz w:val="16"/>
                <w:szCs w:val="16"/>
              </w:rPr>
              <w:t>leta 2015</w:t>
            </w:r>
          </w:p>
        </w:tc>
        <w:tc>
          <w:tcPr>
            <w:tcW w:w="1417" w:type="dxa"/>
          </w:tcPr>
          <w:p w:rsidR="00EB7D4F" w:rsidRPr="001C1E71" w:rsidRDefault="00234445" w:rsidP="001C1E7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Pr>
                <w:rFonts w:ascii="Arial Narrow" w:hAnsi="Arial Narrow"/>
                <w:sz w:val="16"/>
                <w:szCs w:val="16"/>
              </w:rPr>
              <w:t>7</w:t>
            </w:r>
            <w:r w:rsidR="00D65B09" w:rsidRPr="001C1E71">
              <w:rPr>
                <w:rFonts w:ascii="Arial Narrow" w:hAnsi="Arial Narrow"/>
                <w:sz w:val="16"/>
                <w:szCs w:val="16"/>
              </w:rPr>
              <w:t>,</w:t>
            </w:r>
            <w:r>
              <w:rPr>
                <w:rFonts w:ascii="Arial Narrow" w:hAnsi="Arial Narrow"/>
                <w:sz w:val="16"/>
                <w:szCs w:val="16"/>
              </w:rPr>
              <w:t>8</w:t>
            </w:r>
            <w:r w:rsidR="002F7358" w:rsidRPr="001C1E71">
              <w:rPr>
                <w:rFonts w:ascii="Arial Narrow" w:hAnsi="Arial Narrow"/>
                <w:sz w:val="16"/>
                <w:szCs w:val="16"/>
                <w:vertAlign w:val="superscript"/>
              </w:rPr>
              <w:t>1</w:t>
            </w:r>
          </w:p>
        </w:tc>
        <w:tc>
          <w:tcPr>
            <w:tcW w:w="1418" w:type="dxa"/>
          </w:tcPr>
          <w:p w:rsidR="00EB7D4F" w:rsidRPr="001C1E71" w:rsidRDefault="00B01185" w:rsidP="001C1E7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1C1E71">
              <w:rPr>
                <w:rFonts w:ascii="Arial Narrow" w:hAnsi="Arial Narrow"/>
                <w:sz w:val="16"/>
                <w:szCs w:val="16"/>
              </w:rPr>
              <w:t>2,5</w:t>
            </w:r>
            <w:r w:rsidR="002F7358" w:rsidRPr="001C1E71">
              <w:rPr>
                <w:rFonts w:ascii="Arial Narrow" w:hAnsi="Arial Narrow"/>
                <w:sz w:val="16"/>
                <w:szCs w:val="16"/>
                <w:vertAlign w:val="superscript"/>
              </w:rPr>
              <w:t>2</w:t>
            </w:r>
          </w:p>
        </w:tc>
        <w:tc>
          <w:tcPr>
            <w:tcW w:w="1417" w:type="dxa"/>
          </w:tcPr>
          <w:p w:rsidR="00EB7D4F" w:rsidRPr="001C1E71" w:rsidRDefault="00B01185" w:rsidP="001C1E7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1C1E71">
              <w:rPr>
                <w:rFonts w:ascii="Arial Narrow" w:hAnsi="Arial Narrow"/>
                <w:sz w:val="16"/>
                <w:szCs w:val="16"/>
              </w:rPr>
              <w:t>18,5</w:t>
            </w:r>
            <w:r w:rsidR="002F7358" w:rsidRPr="001C1E71">
              <w:rPr>
                <w:rFonts w:ascii="Arial Narrow" w:hAnsi="Arial Narrow"/>
                <w:sz w:val="16"/>
                <w:szCs w:val="16"/>
                <w:vertAlign w:val="superscript"/>
              </w:rPr>
              <w:t>3</w:t>
            </w:r>
          </w:p>
        </w:tc>
        <w:tc>
          <w:tcPr>
            <w:tcW w:w="1358" w:type="dxa"/>
          </w:tcPr>
          <w:p w:rsidR="00EB7D4F" w:rsidRPr="001C1E71" w:rsidRDefault="00B01185" w:rsidP="001C1E7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1C1E71">
              <w:rPr>
                <w:rFonts w:ascii="Arial Narrow" w:hAnsi="Arial Narrow"/>
                <w:sz w:val="16"/>
                <w:szCs w:val="16"/>
              </w:rPr>
              <w:t>3,7</w:t>
            </w:r>
            <w:r w:rsidR="002F7358" w:rsidRPr="001C1E71">
              <w:rPr>
                <w:rFonts w:ascii="Arial Narrow" w:hAnsi="Arial Narrow"/>
                <w:sz w:val="16"/>
                <w:szCs w:val="16"/>
                <w:vertAlign w:val="superscript"/>
              </w:rPr>
              <w:t>4</w:t>
            </w:r>
          </w:p>
        </w:tc>
      </w:tr>
    </w:tbl>
    <w:p w:rsidR="00AF42BF" w:rsidRPr="00AF42BF" w:rsidRDefault="00AF42BF" w:rsidP="00DE1E54">
      <w:pPr>
        <w:pStyle w:val="Podpispodtabeloaligrafom"/>
        <w:spacing w:after="0"/>
        <w:rPr>
          <w:vertAlign w:val="subscript"/>
        </w:rPr>
      </w:pPr>
      <w:bookmarkStart w:id="13" w:name="OLE_LINK8"/>
      <w:r>
        <w:t xml:space="preserve">Vir: Raziskava Odnos do kulture / udejstvovanje v kulturi, 2017, n = 1019. Naročnik: Ministrstvo za kulturo. Izvajalec: </w:t>
      </w:r>
      <w:proofErr w:type="spellStart"/>
      <w:r>
        <w:t>Valicon</w:t>
      </w:r>
      <w:proofErr w:type="spellEnd"/>
      <w:r>
        <w:t>.</w:t>
      </w:r>
    </w:p>
    <w:bookmarkEnd w:id="13"/>
    <w:p w:rsidR="00BB6E93" w:rsidRDefault="002F7358" w:rsidP="008D67C1">
      <w:pPr>
        <w:pStyle w:val="Podpispodtabeloaligrafom"/>
        <w:spacing w:after="0"/>
      </w:pPr>
      <w:r w:rsidRPr="001C1E71">
        <w:rPr>
          <w:vertAlign w:val="superscript"/>
        </w:rPr>
        <w:lastRenderedPageBreak/>
        <w:t>1</w:t>
      </w:r>
      <w:r w:rsidR="00D65B09" w:rsidRPr="001C1E71">
        <w:rPr>
          <w:vertAlign w:val="superscript"/>
        </w:rPr>
        <w:t xml:space="preserve"> </w:t>
      </w:r>
      <w:r w:rsidR="002C2D87">
        <w:t>Povprečna cena v nacionalnih gledališčih in gledališčih</w:t>
      </w:r>
      <w:r w:rsidR="00D65B09">
        <w:t>, katerih ustanoviteljice so občine</w:t>
      </w:r>
      <w:r w:rsidR="002C2D87">
        <w:t>,</w:t>
      </w:r>
      <w:r w:rsidR="00D65B09">
        <w:t xml:space="preserve"> in so v pristojnosti Ministrstva za kulturo</w:t>
      </w:r>
      <w:r w:rsidR="003A0ADD">
        <w:t xml:space="preserve"> (12 </w:t>
      </w:r>
      <w:r w:rsidR="002C2D87">
        <w:t>gledališč)</w:t>
      </w:r>
      <w:r w:rsidR="00D65B09">
        <w:t>.</w:t>
      </w:r>
      <w:r w:rsidR="00452F9A">
        <w:t xml:space="preserve"> </w:t>
      </w:r>
      <w:r w:rsidR="00234445">
        <w:t>Ministrstvo redno financira tudi Slovensko narodno gledališče v Trstu, ki v izračun povprečne cene vstopnic ni vključeno in katerega povprečna cena vstopnice je leta 2015 znašala 15 evrov.</w:t>
      </w:r>
      <w:r w:rsidR="004532B6">
        <w:t xml:space="preserve"> </w:t>
      </w:r>
      <w:r w:rsidR="00F06F11">
        <w:t>Če ga vključimo v izračun, je bila povprečna cena vstopnic 13 gledališč 8,4 evre.</w:t>
      </w:r>
    </w:p>
    <w:p w:rsidR="002F7358" w:rsidRDefault="002F7358" w:rsidP="008D67C1">
      <w:pPr>
        <w:pStyle w:val="Podpispodtabeloaligrafom"/>
        <w:spacing w:after="0"/>
      </w:pPr>
      <w:r w:rsidRPr="001C1E71">
        <w:rPr>
          <w:vertAlign w:val="superscript"/>
        </w:rPr>
        <w:t>2</w:t>
      </w:r>
      <w:r>
        <w:t xml:space="preserve"> Muzeji, katerih soustanoviteljice so občine (</w:t>
      </w:r>
      <w:r w:rsidR="00D65B09">
        <w:t>37 muzejev)</w:t>
      </w:r>
      <w:r w:rsidR="002C2D87">
        <w:t>,</w:t>
      </w:r>
      <w:r w:rsidR="00D65B09">
        <w:t xml:space="preserve"> in so v pristojnosti Ministrstva za kulturo. </w:t>
      </w:r>
    </w:p>
    <w:p w:rsidR="002F7358" w:rsidRDefault="002F7358" w:rsidP="008D67C1">
      <w:pPr>
        <w:pStyle w:val="Podpispodtabeloaligrafom"/>
        <w:spacing w:after="0"/>
      </w:pPr>
      <w:r w:rsidRPr="001C1E71">
        <w:rPr>
          <w:vertAlign w:val="superscript"/>
        </w:rPr>
        <w:t>3</w:t>
      </w:r>
      <w:r w:rsidR="00D65B09">
        <w:t xml:space="preserve"> </w:t>
      </w:r>
      <w:r w:rsidR="002C2D87">
        <w:t xml:space="preserve">Povprečna cena, ki jo navajamo, se nanaša na operne in tudi baletne predstave v </w:t>
      </w:r>
      <w:r w:rsidR="00D65B09">
        <w:t xml:space="preserve">SNG Opera </w:t>
      </w:r>
      <w:r w:rsidR="002C2D87">
        <w:t>in balet Ljubljana in SNG Maribor.</w:t>
      </w:r>
    </w:p>
    <w:p w:rsidR="002F7358" w:rsidRDefault="002F7358" w:rsidP="008D67C1">
      <w:pPr>
        <w:pStyle w:val="Podpispodtabeloaligrafom"/>
        <w:spacing w:after="0"/>
      </w:pPr>
      <w:r w:rsidRPr="001C1E71">
        <w:rPr>
          <w:vertAlign w:val="superscript"/>
        </w:rPr>
        <w:t>4</w:t>
      </w:r>
      <w:r w:rsidR="002C2D87">
        <w:t xml:space="preserve"> Povprečna cena za Kinodvor v Ljubljani. </w:t>
      </w:r>
    </w:p>
    <w:p w:rsidR="00300FFE" w:rsidRDefault="00300FFE" w:rsidP="00560DD7"/>
    <w:p w:rsidR="00560DD7" w:rsidRDefault="00560DD7" w:rsidP="00560DD7">
      <w:r>
        <w:t xml:space="preserve">Del kulturne potrošnje </w:t>
      </w:r>
      <w:r w:rsidR="005C5480">
        <w:t>se odvija</w:t>
      </w:r>
      <w:r>
        <w:t xml:space="preserve"> na internetu. </w:t>
      </w:r>
      <w:r w:rsidR="00E2642C">
        <w:t>9</w:t>
      </w:r>
      <w:r w:rsidR="00CF4CCD">
        <w:t>1</w:t>
      </w:r>
      <w:r w:rsidR="00AA744C" w:rsidRPr="00AA744C">
        <w:t xml:space="preserve"> % vprašanih navaja, da uporabljaj</w:t>
      </w:r>
      <w:r w:rsidR="00CF4CCD">
        <w:t>o internet</w:t>
      </w:r>
      <w:r w:rsidR="00AA744C">
        <w:t xml:space="preserve"> za kulturne namene</w:t>
      </w:r>
      <w:r w:rsidR="00CF4CCD">
        <w:t>, npr. za iskanje informacij o kulturi, kupovanje kulturnih proizvodov ali branje člankov povezanih s kulturo</w:t>
      </w:r>
      <w:r w:rsidR="00AA744C">
        <w:t xml:space="preserve"> (</w:t>
      </w:r>
      <w:r w:rsidR="00517901">
        <w:t>graf</w:t>
      </w:r>
      <w:r w:rsidR="00F31B3E">
        <w:t xml:space="preserve"> 5</w:t>
      </w:r>
      <w:r w:rsidR="00AA744C">
        <w:t>).</w:t>
      </w:r>
      <w:r w:rsidR="001959D2">
        <w:rPr>
          <w:rStyle w:val="Sprotnaopomba-sklic"/>
        </w:rPr>
        <w:footnoteReference w:id="6"/>
      </w:r>
      <w:r w:rsidR="00AA744C">
        <w:t xml:space="preserve"> </w:t>
      </w:r>
      <w:r w:rsidR="00CF4CCD">
        <w:t>N</w:t>
      </w:r>
      <w:r w:rsidR="00AA744C">
        <w:t xml:space="preserve">ajpogosteje </w:t>
      </w:r>
      <w:r w:rsidR="00CF4CCD">
        <w:t xml:space="preserve">ga </w:t>
      </w:r>
      <w:r w:rsidR="00AA744C">
        <w:t>uporabljajo za branje časopisov oz. člankov</w:t>
      </w:r>
      <w:r w:rsidR="00F577B1">
        <w:t xml:space="preserve"> o kulturi</w:t>
      </w:r>
      <w:r w:rsidR="00AA744C">
        <w:t>, poslušanje radia ali glasbe, gledanje filmov, filmov na zah</w:t>
      </w:r>
      <w:r w:rsidR="001959D2">
        <w:t xml:space="preserve">tevo ali TV </w:t>
      </w:r>
      <w:r w:rsidR="004720B5">
        <w:t>programov</w:t>
      </w:r>
      <w:r w:rsidR="00F31B3E">
        <w:t xml:space="preserve"> ter prenašanje glasbe (graf 6</w:t>
      </w:r>
      <w:r w:rsidR="004720B5">
        <w:t>).</w:t>
      </w:r>
      <w:r w:rsidR="00430246">
        <w:t xml:space="preserve"> </w:t>
      </w:r>
    </w:p>
    <w:p w:rsidR="0056455F" w:rsidRDefault="005C5480" w:rsidP="008D67C1">
      <w:pPr>
        <w:pStyle w:val="Naslovtabele"/>
      </w:pPr>
      <w:bookmarkStart w:id="15" w:name="_Toc490599985"/>
      <w:r>
        <w:t xml:space="preserve">Graf </w:t>
      </w:r>
      <w:r w:rsidR="00517901">
        <w:t>5</w:t>
      </w:r>
      <w:r>
        <w:t xml:space="preserve">: </w:t>
      </w:r>
      <w:r w:rsidR="008D67C1" w:rsidRPr="008D67C1">
        <w:t>Kako pogosto uporabljate internet za kulturne namene, na primer za iskanje informacij o kulturi, kupovanje kulturnih proizvodov ali branje člankov povezanih s kulturo?</w:t>
      </w:r>
      <w:r w:rsidR="004203F4">
        <w:t>*</w:t>
      </w:r>
      <w:bookmarkEnd w:id="15"/>
    </w:p>
    <w:p w:rsidR="0056455F" w:rsidRDefault="00F31B3E" w:rsidP="00560DD7">
      <w:r>
        <w:rPr>
          <w:noProof/>
          <w:lang w:eastAsia="sl-SI"/>
        </w:rPr>
        <w:drawing>
          <wp:inline distT="0" distB="0" distL="0" distR="0" wp14:anchorId="7D00624C" wp14:editId="12C7EE01">
            <wp:extent cx="6184900" cy="1966595"/>
            <wp:effectExtent l="0" t="0" r="0" b="0"/>
            <wp:docPr id="61" name="Chart 6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517901" w:rsidRDefault="00517901" w:rsidP="00DE1E54">
      <w:pPr>
        <w:pStyle w:val="Podpispodtabeloaligrafom"/>
        <w:spacing w:after="0"/>
      </w:pPr>
      <w:r>
        <w:t xml:space="preserve">Vir: Raziskava Odnos do kulture / udejstvovanje v kulturi, 2017, n = 1019. Naročnik: Ministrstvo za kulturo. Izvajalec: </w:t>
      </w:r>
      <w:proofErr w:type="spellStart"/>
      <w:r>
        <w:t>Valicon</w:t>
      </w:r>
      <w:proofErr w:type="spellEnd"/>
      <w:r>
        <w:t>.</w:t>
      </w:r>
    </w:p>
    <w:p w:rsidR="004203F4" w:rsidRPr="008D67C1" w:rsidRDefault="004203F4" w:rsidP="008D67C1">
      <w:pPr>
        <w:pStyle w:val="Podpispodtabeloaligrafom"/>
        <w:rPr>
          <w:vertAlign w:val="subscript"/>
        </w:rPr>
      </w:pPr>
      <w:r>
        <w:t xml:space="preserve">* </w:t>
      </w:r>
      <w:r>
        <w:rPr>
          <w:lang w:val="en-US"/>
        </w:rPr>
        <w:t xml:space="preserve">Ker je </w:t>
      </w:r>
      <w:proofErr w:type="spellStart"/>
      <w:r>
        <w:rPr>
          <w:lang w:val="en-US"/>
        </w:rPr>
        <w:t>zbiranje</w:t>
      </w:r>
      <w:proofErr w:type="spellEnd"/>
      <w:r>
        <w:rPr>
          <w:lang w:val="en-US"/>
        </w:rPr>
        <w:t xml:space="preserve"> </w:t>
      </w:r>
      <w:proofErr w:type="spellStart"/>
      <w:r>
        <w:rPr>
          <w:lang w:val="en-US"/>
        </w:rPr>
        <w:t>podatkov</w:t>
      </w:r>
      <w:proofErr w:type="spellEnd"/>
      <w:r>
        <w:rPr>
          <w:lang w:val="en-US"/>
        </w:rPr>
        <w:t xml:space="preserve"> </w:t>
      </w:r>
      <w:proofErr w:type="spellStart"/>
      <w:r>
        <w:rPr>
          <w:lang w:val="en-US"/>
        </w:rPr>
        <w:t>potekalo</w:t>
      </w:r>
      <w:proofErr w:type="spellEnd"/>
      <w:r>
        <w:rPr>
          <w:lang w:val="en-US"/>
        </w:rPr>
        <w:t xml:space="preserve"> </w:t>
      </w:r>
      <w:proofErr w:type="spellStart"/>
      <w:r>
        <w:rPr>
          <w:lang w:val="en-US"/>
        </w:rPr>
        <w:t>prek</w:t>
      </w:r>
      <w:proofErr w:type="spellEnd"/>
      <w:r>
        <w:rPr>
          <w:lang w:val="en-US"/>
        </w:rPr>
        <w:t xml:space="preserve"> </w:t>
      </w:r>
      <w:proofErr w:type="spellStart"/>
      <w:r>
        <w:rPr>
          <w:lang w:val="en-US"/>
        </w:rPr>
        <w:t>spleta</w:t>
      </w:r>
      <w:proofErr w:type="spellEnd"/>
      <w:r>
        <w:rPr>
          <w:lang w:val="en-US"/>
        </w:rPr>
        <w:t xml:space="preserve"> (</w:t>
      </w:r>
      <w:proofErr w:type="spellStart"/>
      <w:r>
        <w:rPr>
          <w:lang w:val="en-US"/>
        </w:rPr>
        <w:t>tj</w:t>
      </w:r>
      <w:proofErr w:type="spellEnd"/>
      <w:r>
        <w:rPr>
          <w:lang w:val="en-US"/>
        </w:rPr>
        <w:t xml:space="preserve">. v </w:t>
      </w:r>
      <w:proofErr w:type="spellStart"/>
      <w:r>
        <w:rPr>
          <w:lang w:val="en-US"/>
        </w:rPr>
        <w:t>spletnem</w:t>
      </w:r>
      <w:proofErr w:type="spellEnd"/>
      <w:r>
        <w:rPr>
          <w:lang w:val="en-US"/>
        </w:rPr>
        <w:t xml:space="preserve"> </w:t>
      </w:r>
      <w:proofErr w:type="spellStart"/>
      <w:r>
        <w:rPr>
          <w:lang w:val="en-US"/>
        </w:rPr>
        <w:t>panelu</w:t>
      </w:r>
      <w:proofErr w:type="spellEnd"/>
      <w:r>
        <w:rPr>
          <w:lang w:val="en-US"/>
        </w:rPr>
        <w:t xml:space="preserve">), je </w:t>
      </w:r>
      <w:proofErr w:type="spellStart"/>
      <w:r>
        <w:rPr>
          <w:lang w:val="en-US"/>
        </w:rPr>
        <w:t>glede</w:t>
      </w:r>
      <w:proofErr w:type="spellEnd"/>
      <w:r>
        <w:rPr>
          <w:lang w:val="en-US"/>
        </w:rPr>
        <w:t xml:space="preserve"> </w:t>
      </w:r>
      <w:proofErr w:type="spellStart"/>
      <w:r>
        <w:rPr>
          <w:lang w:val="en-US"/>
        </w:rPr>
        <w:t>na</w:t>
      </w:r>
      <w:proofErr w:type="spellEnd"/>
      <w:r>
        <w:rPr>
          <w:lang w:val="en-US"/>
        </w:rPr>
        <w:t xml:space="preserve"> </w:t>
      </w:r>
      <w:proofErr w:type="spellStart"/>
      <w:r>
        <w:rPr>
          <w:lang w:val="en-US"/>
        </w:rPr>
        <w:t>specifičnost</w:t>
      </w:r>
      <w:proofErr w:type="spellEnd"/>
      <w:r>
        <w:rPr>
          <w:lang w:val="en-US"/>
        </w:rPr>
        <w:t xml:space="preserve"> </w:t>
      </w:r>
      <w:proofErr w:type="spellStart"/>
      <w:r>
        <w:rPr>
          <w:lang w:val="en-US"/>
        </w:rPr>
        <w:t>vprašanja</w:t>
      </w:r>
      <w:proofErr w:type="spellEnd"/>
      <w:r>
        <w:rPr>
          <w:lang w:val="en-US"/>
        </w:rPr>
        <w:t xml:space="preserve">, </w:t>
      </w:r>
      <w:proofErr w:type="spellStart"/>
      <w:r>
        <w:rPr>
          <w:lang w:val="en-US"/>
        </w:rPr>
        <w:t>pogostost</w:t>
      </w:r>
      <w:proofErr w:type="spellEnd"/>
      <w:r>
        <w:rPr>
          <w:lang w:val="en-US"/>
        </w:rPr>
        <w:t xml:space="preserve"> </w:t>
      </w:r>
      <w:proofErr w:type="spellStart"/>
      <w:r>
        <w:rPr>
          <w:lang w:val="en-US"/>
        </w:rPr>
        <w:t>rabe</w:t>
      </w:r>
      <w:proofErr w:type="spellEnd"/>
      <w:r>
        <w:rPr>
          <w:lang w:val="en-US"/>
        </w:rPr>
        <w:t xml:space="preserve"> </w:t>
      </w:r>
      <w:proofErr w:type="spellStart"/>
      <w:r>
        <w:rPr>
          <w:lang w:val="en-US"/>
        </w:rPr>
        <w:t>interneta</w:t>
      </w:r>
      <w:proofErr w:type="spellEnd"/>
      <w:r>
        <w:rPr>
          <w:lang w:val="en-US"/>
        </w:rPr>
        <w:t xml:space="preserve"> </w:t>
      </w:r>
      <w:proofErr w:type="spellStart"/>
      <w:r>
        <w:rPr>
          <w:lang w:val="en-US"/>
        </w:rPr>
        <w:t>verjetno</w:t>
      </w:r>
      <w:proofErr w:type="spellEnd"/>
      <w:r>
        <w:rPr>
          <w:lang w:val="en-US"/>
        </w:rPr>
        <w:t xml:space="preserve"> </w:t>
      </w:r>
      <w:proofErr w:type="spellStart"/>
      <w:r>
        <w:rPr>
          <w:lang w:val="en-US"/>
        </w:rPr>
        <w:t>precenjena</w:t>
      </w:r>
      <w:proofErr w:type="spellEnd"/>
      <w:r>
        <w:rPr>
          <w:lang w:val="en-US"/>
        </w:rPr>
        <w:t xml:space="preserve"> </w:t>
      </w:r>
      <w:proofErr w:type="spellStart"/>
      <w:r>
        <w:rPr>
          <w:lang w:val="en-US"/>
        </w:rPr>
        <w:t>za</w:t>
      </w:r>
      <w:proofErr w:type="spellEnd"/>
      <w:r>
        <w:rPr>
          <w:lang w:val="en-US"/>
        </w:rPr>
        <w:t xml:space="preserve"> 10–15 %.</w:t>
      </w:r>
    </w:p>
    <w:p w:rsidR="008D67C1" w:rsidRDefault="008D67C1" w:rsidP="008D67C1">
      <w:pPr>
        <w:pStyle w:val="Naslovtabele"/>
      </w:pPr>
    </w:p>
    <w:p w:rsidR="00F31B3E" w:rsidRDefault="00F31B3E" w:rsidP="008D67C1">
      <w:pPr>
        <w:pStyle w:val="Naslovtabele"/>
      </w:pPr>
      <w:bookmarkStart w:id="16" w:name="_Toc490599986"/>
      <w:r>
        <w:t>Graf 6:</w:t>
      </w:r>
      <w:r w:rsidR="008D67C1">
        <w:t xml:space="preserve"> </w:t>
      </w:r>
      <w:r w:rsidR="008D67C1" w:rsidRPr="008D67C1">
        <w:t xml:space="preserve">Za katerega </w:t>
      </w:r>
      <w:r w:rsidR="00571F51">
        <w:t>od</w:t>
      </w:r>
      <w:r w:rsidR="008D67C1" w:rsidRPr="008D67C1">
        <w:t xml:space="preserve"> naslednjih namenov uporabljate internet?</w:t>
      </w:r>
      <w:r w:rsidR="008D67C1">
        <w:t>*</w:t>
      </w:r>
      <w:bookmarkEnd w:id="16"/>
    </w:p>
    <w:p w:rsidR="00F31B3E" w:rsidRDefault="00707BD7" w:rsidP="00560DD7">
      <w:r>
        <w:rPr>
          <w:noProof/>
          <w:lang w:eastAsia="sl-SI"/>
        </w:rPr>
        <w:drawing>
          <wp:inline distT="0" distB="0" distL="0" distR="0" wp14:anchorId="1B026186" wp14:editId="45641E42">
            <wp:extent cx="6184900" cy="2485609"/>
            <wp:effectExtent l="0" t="0" r="0" b="3810"/>
            <wp:docPr id="62" name="Chart 6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8D67C1" w:rsidRPr="00AF42BF" w:rsidRDefault="008D67C1" w:rsidP="00D53832">
      <w:pPr>
        <w:pStyle w:val="Podpispodtabeloaligrafom"/>
        <w:spacing w:after="0"/>
        <w:rPr>
          <w:vertAlign w:val="subscript"/>
        </w:rPr>
      </w:pPr>
      <w:r>
        <w:t xml:space="preserve">Vir: Raziskava Odnos do kulture / udejstvovanje v kulturi, 2017, n = 1019. Naročnik: Ministrstvo za kulturo. Izvajalec: </w:t>
      </w:r>
      <w:proofErr w:type="spellStart"/>
      <w:r>
        <w:t>Valicon</w:t>
      </w:r>
      <w:proofErr w:type="spellEnd"/>
      <w:r>
        <w:t>.</w:t>
      </w:r>
    </w:p>
    <w:p w:rsidR="00F31B3E" w:rsidRDefault="008D67C1" w:rsidP="00DE1E54">
      <w:pPr>
        <w:pStyle w:val="Podpispodtabeloaligrafom"/>
        <w:spacing w:after="0"/>
      </w:pPr>
      <w:r>
        <w:t>*Seštevek presega 100 %, ker je bilo možno izbrati več namenov.</w:t>
      </w:r>
    </w:p>
    <w:p w:rsidR="008D67C1" w:rsidRDefault="008D67C1">
      <w:r>
        <w:br w:type="page"/>
      </w:r>
    </w:p>
    <w:p w:rsidR="00430246" w:rsidRDefault="0077651D" w:rsidP="00560DD7">
      <w:r>
        <w:lastRenderedPageBreak/>
        <w:t xml:space="preserve">Facebook je poleg televizije najpomembnejši vir informiranja o kulturnih dejavnostih. 24 % </w:t>
      </w:r>
      <w:r w:rsidR="00985EAC">
        <w:t>vprašanih</w:t>
      </w:r>
      <w:r>
        <w:t xml:space="preserve">, ga je navedlo kot </w:t>
      </w:r>
      <w:r w:rsidR="005C5480">
        <w:t>najpogostejši</w:t>
      </w:r>
      <w:r>
        <w:t xml:space="preserve">, </w:t>
      </w:r>
      <w:r w:rsidR="00C52130">
        <w:t>40</w:t>
      </w:r>
      <w:r>
        <w:t xml:space="preserve"> % pa kot </w:t>
      </w:r>
      <w:r w:rsidR="00A05706">
        <w:t>drugi</w:t>
      </w:r>
      <w:r>
        <w:t xml:space="preserve"> </w:t>
      </w:r>
      <w:r w:rsidR="00A05706">
        <w:t>vir</w:t>
      </w:r>
      <w:r>
        <w:t xml:space="preserve">, medtem ko je televizijo kot najpogostejši vir navedlo 11 % </w:t>
      </w:r>
      <w:r w:rsidR="005C5480">
        <w:t xml:space="preserve">vprašanih, </w:t>
      </w:r>
      <w:r w:rsidR="00396423">
        <w:t xml:space="preserve">25 % pa </w:t>
      </w:r>
      <w:r w:rsidR="00C52130">
        <w:t xml:space="preserve">kot </w:t>
      </w:r>
      <w:r w:rsidR="005C5480">
        <w:t>drugi</w:t>
      </w:r>
      <w:r w:rsidR="00C52130">
        <w:t xml:space="preserve"> </w:t>
      </w:r>
      <w:r w:rsidR="005C5480">
        <w:t>vir</w:t>
      </w:r>
      <w:r w:rsidR="00C52130">
        <w:t xml:space="preserve"> </w:t>
      </w:r>
      <w:r w:rsidR="00985EAC">
        <w:t>(</w:t>
      </w:r>
      <w:r w:rsidR="00F31B3E">
        <w:t>graf 7</w:t>
      </w:r>
      <w:r w:rsidR="00985EAC">
        <w:t>).</w:t>
      </w:r>
      <w:r w:rsidR="00853A62">
        <w:rPr>
          <w:rStyle w:val="Sprotnaopomba-sklic"/>
        </w:rPr>
        <w:footnoteReference w:id="7"/>
      </w:r>
    </w:p>
    <w:p w:rsidR="001E4993" w:rsidRDefault="008D67C1" w:rsidP="006824B2">
      <w:pPr>
        <w:pStyle w:val="Naslovtabele"/>
      </w:pPr>
      <w:bookmarkStart w:id="17" w:name="_Toc490599987"/>
      <w:r>
        <w:t>Graf 7</w:t>
      </w:r>
      <w:r w:rsidR="00517901">
        <w:t>:</w:t>
      </w:r>
      <w:r>
        <w:t xml:space="preserve"> </w:t>
      </w:r>
      <w:r w:rsidR="006824B2" w:rsidRPr="006824B2">
        <w:t>Kje najpogosteje dobite informacije o</w:t>
      </w:r>
      <w:r w:rsidR="006824B2">
        <w:t xml:space="preserve"> posameznih kulturnih dogodkih?</w:t>
      </w:r>
      <w:bookmarkEnd w:id="17"/>
    </w:p>
    <w:p w:rsidR="001E4993" w:rsidRDefault="008D67C1" w:rsidP="001E4993">
      <w:r>
        <w:rPr>
          <w:noProof/>
          <w:lang w:eastAsia="sl-SI"/>
        </w:rPr>
        <w:drawing>
          <wp:inline distT="0" distB="0" distL="0" distR="0" wp14:anchorId="2CE995E1" wp14:editId="1827B2A8">
            <wp:extent cx="6184900" cy="1929765"/>
            <wp:effectExtent l="0" t="0" r="0" b="635"/>
            <wp:docPr id="63" name="Chart 63"/>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517901" w:rsidRPr="00AF42BF" w:rsidRDefault="00517901" w:rsidP="00517901">
      <w:pPr>
        <w:pStyle w:val="Podpispodtabeloaligrafom"/>
        <w:rPr>
          <w:vertAlign w:val="subscript"/>
        </w:rPr>
      </w:pPr>
      <w:r>
        <w:t xml:space="preserve">Vir: Raziskava Odnos do kulture / udejstvovanje v kulturi, 2017, n = 1019. Naročnik: Ministrstvo za kulturo. Izvajalec: </w:t>
      </w:r>
      <w:proofErr w:type="spellStart"/>
      <w:r>
        <w:t>Valicon</w:t>
      </w:r>
      <w:proofErr w:type="spellEnd"/>
      <w:r>
        <w:t>.</w:t>
      </w:r>
    </w:p>
    <w:p w:rsidR="001E4993" w:rsidRDefault="001E4993" w:rsidP="001E4993"/>
    <w:p w:rsidR="000F6802" w:rsidRDefault="000F6802" w:rsidP="001E4993">
      <w:r>
        <w:t xml:space="preserve">Pregled rezultatov </w:t>
      </w:r>
      <w:proofErr w:type="spellStart"/>
      <w:r>
        <w:t>zaključemo</w:t>
      </w:r>
      <w:proofErr w:type="spellEnd"/>
      <w:r>
        <w:t xml:space="preserve"> z ljubiteljsko kulturno dejavnostjo, ki je videti precej razširjena, saj je v zadnjem letu </w:t>
      </w:r>
      <w:r w:rsidR="00D076DE">
        <w:t>skoraj tri četrtine</w:t>
      </w:r>
      <w:r>
        <w:t xml:space="preserve"> vprašanih sodelovalo v kateri od kulturnih dejavnosti. Od teh je </w:t>
      </w:r>
      <w:r w:rsidR="009A07F4">
        <w:t>4</w:t>
      </w:r>
      <w:r w:rsidR="001E4993">
        <w:t xml:space="preserve"> % vprašanih sodelovalo le v</w:t>
      </w:r>
      <w:r w:rsidR="009A07F4">
        <w:t xml:space="preserve"> organiziranih dejavnostih, 42 % samo v individualnih, 27</w:t>
      </w:r>
      <w:r w:rsidR="001E4993">
        <w:t xml:space="preserve"> % pa tako v organizir</w:t>
      </w:r>
      <w:r>
        <w:t>anih kot v individualnih</w:t>
      </w:r>
      <w:r w:rsidR="003C7CC8">
        <w:t xml:space="preserve"> (graf 8)</w:t>
      </w:r>
      <w:r>
        <w:t xml:space="preserve">. </w:t>
      </w:r>
      <w:r w:rsidR="001E4993">
        <w:t>Glede na siceršnjo zastopanost v raziskavi, med vprašanimi, ki niso ne organizirano ne individualno sodelovali v kulturnih dejavnostih, nekoliko nadpovprečno odstopata starostni skupini 30‒49 in 50‒64</w:t>
      </w:r>
      <w:r w:rsidR="002A57C6">
        <w:t xml:space="preserve"> let</w:t>
      </w:r>
      <w:r w:rsidR="001E4993">
        <w:t>. Med tistimi, ki so sodelovali tako v organiziranih kot v individualnih dejavnostih pa izstopa</w:t>
      </w:r>
      <w:r w:rsidR="007164FA">
        <w:t>ta</w:t>
      </w:r>
      <w:r w:rsidR="001E4993">
        <w:t xml:space="preserve"> </w:t>
      </w:r>
      <w:r w:rsidR="007164FA">
        <w:t>najmlajši</w:t>
      </w:r>
      <w:r>
        <w:t xml:space="preserve"> </w:t>
      </w:r>
      <w:r w:rsidR="007164FA">
        <w:t>starostni skupini</w:t>
      </w:r>
      <w:r w:rsidR="001E4993">
        <w:t xml:space="preserve"> 15‒19</w:t>
      </w:r>
      <w:r w:rsidR="007164FA">
        <w:t xml:space="preserve"> in 20–29 let</w:t>
      </w:r>
      <w:r w:rsidR="001E4993">
        <w:t>.</w:t>
      </w:r>
      <w:r w:rsidR="00FA1E02">
        <w:t xml:space="preserve"> Vprašani so najpogosteje navedli fotografiranje, nato si po vrsti sledijo: ročna dela (šivanje, pletenje, kvačkanje), ples, petje, literarno ustvarjanje (pisanje pesmi, zgodb ...), igranje na glasbeni inštrument, izdelovanje ustvarjalnih izdelkov z računalnikom, kot je npr. oblikovanje spletne strani ali bloga, izdelava umetnin (kiparjenje, slikanje, risanje ...), igra, sodelovanje v skupini, ki se ukvarja z dejavnostmi kulturne dediščine in sodelovanje v literarnem krožku.</w:t>
      </w:r>
    </w:p>
    <w:p w:rsidR="000F6802" w:rsidRDefault="000F6802" w:rsidP="00395742">
      <w:pPr>
        <w:pStyle w:val="Naslovtabele"/>
      </w:pPr>
      <w:bookmarkStart w:id="18" w:name="_Toc490599988"/>
      <w:r>
        <w:t>Graf</w:t>
      </w:r>
      <w:r w:rsidR="00FA1E02">
        <w:t xml:space="preserve"> 8</w:t>
      </w:r>
      <w:r w:rsidR="00517901">
        <w:t>:</w:t>
      </w:r>
      <w:r w:rsidR="00395742">
        <w:t xml:space="preserve"> Vključenost v kulturno-</w:t>
      </w:r>
      <w:r w:rsidR="00FA1E02">
        <w:t>umetniške dejavnosti</w:t>
      </w:r>
      <w:bookmarkEnd w:id="18"/>
    </w:p>
    <w:p w:rsidR="004720B5" w:rsidRDefault="00184D73" w:rsidP="00560DD7">
      <w:r>
        <w:rPr>
          <w:noProof/>
          <w:lang w:eastAsia="sl-SI"/>
        </w:rPr>
        <w:drawing>
          <wp:inline distT="0" distB="0" distL="0" distR="0" wp14:anchorId="45FD894F" wp14:editId="2A8970F8">
            <wp:extent cx="6184900" cy="2059940"/>
            <wp:effectExtent l="0" t="0" r="0" b="0"/>
            <wp:docPr id="65" name="Chart 65"/>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AF0BA8" w:rsidRPr="00184D73" w:rsidRDefault="00517901" w:rsidP="00184D73">
      <w:pPr>
        <w:pStyle w:val="Podpispodtabeloaligrafom"/>
        <w:rPr>
          <w:vertAlign w:val="subscript"/>
        </w:rPr>
      </w:pPr>
      <w:r>
        <w:t xml:space="preserve">Vir: Raziskava Odnos do kulture / udejstvovanje v kulturi, 2017, n = 1019. Naročnik: Ministrstvo za kulturo. Izvajalec: </w:t>
      </w:r>
      <w:proofErr w:type="spellStart"/>
      <w:r>
        <w:t>Valicon</w:t>
      </w:r>
      <w:proofErr w:type="spellEnd"/>
      <w:r>
        <w:t>.</w:t>
      </w:r>
    </w:p>
    <w:p w:rsidR="00512FBD" w:rsidRDefault="00512FBD" w:rsidP="00950BA3">
      <w:pPr>
        <w:pStyle w:val="Podnaslov"/>
      </w:pPr>
      <w:bookmarkStart w:id="19" w:name="_Toc489859806"/>
      <w:bookmarkStart w:id="20" w:name="_Toc490047569"/>
      <w:bookmarkStart w:id="21" w:name="_Toc490599934"/>
      <w:bookmarkStart w:id="22" w:name="_Toc506192063"/>
      <w:bookmarkStart w:id="23" w:name="_Toc477339467"/>
      <w:bookmarkStart w:id="24" w:name="_Toc477339723"/>
      <w:bookmarkStart w:id="25" w:name="_Toc477339891"/>
      <w:r>
        <w:lastRenderedPageBreak/>
        <w:t>Javni izdatki za kulturo</w:t>
      </w:r>
      <w:bookmarkEnd w:id="19"/>
      <w:bookmarkEnd w:id="20"/>
      <w:bookmarkEnd w:id="21"/>
      <w:bookmarkEnd w:id="22"/>
    </w:p>
    <w:p w:rsidR="00671CB2" w:rsidRPr="00671CB2" w:rsidRDefault="004F779D" w:rsidP="00950BA3">
      <w:pPr>
        <w:pStyle w:val="Podnaslov2"/>
      </w:pPr>
      <w:bookmarkStart w:id="26" w:name="_Toc489859807"/>
      <w:bookmarkStart w:id="27" w:name="_Toc490047570"/>
      <w:bookmarkStart w:id="28" w:name="_Toc490599935"/>
      <w:bookmarkStart w:id="29" w:name="_Toc506192064"/>
      <w:r>
        <w:t>Mednarodna primerjava javnih izdatkov za kulturne storitve</w:t>
      </w:r>
      <w:bookmarkEnd w:id="23"/>
      <w:bookmarkEnd w:id="24"/>
      <w:bookmarkEnd w:id="25"/>
      <w:bookmarkEnd w:id="26"/>
      <w:bookmarkEnd w:id="27"/>
      <w:bookmarkEnd w:id="28"/>
      <w:bookmarkEnd w:id="29"/>
    </w:p>
    <w:p w:rsidR="00671CB2" w:rsidRPr="00671CB2" w:rsidRDefault="00671CB2" w:rsidP="00950BA3">
      <w:pPr>
        <w:pStyle w:val="Podnaslov3"/>
        <w:spacing w:before="80" w:after="80"/>
      </w:pPr>
      <w:bookmarkStart w:id="30" w:name="_Toc489859808"/>
      <w:bookmarkStart w:id="31" w:name="_Toc490047571"/>
      <w:bookmarkStart w:id="32" w:name="_Toc490599936"/>
      <w:bookmarkStart w:id="33" w:name="_Toc506192065"/>
      <w:r>
        <w:t>Obseg sredstev</w:t>
      </w:r>
      <w:bookmarkEnd w:id="30"/>
      <w:bookmarkEnd w:id="31"/>
      <w:bookmarkEnd w:id="32"/>
      <w:bookmarkEnd w:id="33"/>
    </w:p>
    <w:p w:rsidR="004F387D" w:rsidRDefault="00DA1DAB" w:rsidP="00C40FE8">
      <w:r w:rsidRPr="004F387D">
        <w:t xml:space="preserve">Slovenija </w:t>
      </w:r>
      <w:r w:rsidR="00E7525F" w:rsidRPr="004F387D">
        <w:t>je leta 2015</w:t>
      </w:r>
      <w:r w:rsidR="008215C5" w:rsidRPr="004F387D">
        <w:rPr>
          <w:rStyle w:val="Sprotnaopomba-sklic"/>
        </w:rPr>
        <w:footnoteReference w:id="8"/>
      </w:r>
      <w:r w:rsidR="00E7525F" w:rsidRPr="004F387D">
        <w:t xml:space="preserve"> namenila</w:t>
      </w:r>
      <w:r w:rsidRPr="004F387D">
        <w:t xml:space="preserve"> za kulturne storitve</w:t>
      </w:r>
      <w:r w:rsidR="00E7525F" w:rsidRPr="004F387D">
        <w:t xml:space="preserve"> 275,3 milijone evrov oz. 0,7 % bruto </w:t>
      </w:r>
      <w:r w:rsidR="0021101F">
        <w:t>družbenega</w:t>
      </w:r>
      <w:r w:rsidR="00313FC8">
        <w:t xml:space="preserve"> proizvoda</w:t>
      </w:r>
      <w:r w:rsidR="00E7525F" w:rsidRPr="004F387D">
        <w:t xml:space="preserve">. </w:t>
      </w:r>
      <w:r w:rsidR="004F387D" w:rsidRPr="004F387D">
        <w:t>To jo uvršča na četrto mes</w:t>
      </w:r>
      <w:r w:rsidR="004F387D">
        <w:t xml:space="preserve">to med </w:t>
      </w:r>
      <w:r w:rsidR="00B4514D">
        <w:t>evropskimi državami</w:t>
      </w:r>
      <w:r w:rsidR="004F387D">
        <w:t xml:space="preserve">, ki v povprečju </w:t>
      </w:r>
      <w:r w:rsidR="008C2A3C">
        <w:t>namenijo</w:t>
      </w:r>
      <w:r w:rsidR="004F387D">
        <w:t xml:space="preserve"> za kulturo 0,4 % </w:t>
      </w:r>
      <w:r w:rsidR="00313FC8">
        <w:t>bruto družbenega proizvoda</w:t>
      </w:r>
      <w:r w:rsidR="004F387D">
        <w:t>.</w:t>
      </w:r>
      <w:r w:rsidR="004F387D" w:rsidRPr="004F387D">
        <w:t xml:space="preserve"> </w:t>
      </w:r>
      <w:r w:rsidR="00E7525F" w:rsidRPr="004F387D">
        <w:t>Večji odstotek BDP kot Slovenija so namenil</w:t>
      </w:r>
      <w:r w:rsidR="004F387D" w:rsidRPr="004F387D">
        <w:t>e</w:t>
      </w:r>
      <w:r w:rsidR="00E7525F" w:rsidRPr="004F387D">
        <w:t xml:space="preserve"> </w:t>
      </w:r>
      <w:r w:rsidR="004F387D" w:rsidRPr="004F387D">
        <w:t>Estonija</w:t>
      </w:r>
      <w:r w:rsidR="004F387D">
        <w:t>, Latvija, Islandija (vse tri po 1,1 %), Malta (0,9 %) in Madžarska (0,8 %), enakega pa Bolgarija, Francija, Danska in Hrvaška</w:t>
      </w:r>
      <w:r w:rsidR="00053295">
        <w:t xml:space="preserve">. </w:t>
      </w:r>
      <w:r w:rsidR="002D1748">
        <w:t>Prejšnja le</w:t>
      </w:r>
      <w:r w:rsidR="00053295">
        <w:t>ta smo bili uvrščeni višje – na drugo ali tretje mesto</w:t>
      </w:r>
      <w:r w:rsidR="00053295" w:rsidRPr="00053295">
        <w:t xml:space="preserve"> (tabela 3 in graf 9).</w:t>
      </w:r>
    </w:p>
    <w:p w:rsidR="00007D91" w:rsidRDefault="006B17D8" w:rsidP="00C40FE8">
      <w:r>
        <w:t xml:space="preserve">K temu kaže dodati dve pojasnili: </w:t>
      </w:r>
    </w:p>
    <w:p w:rsidR="00007D91" w:rsidRDefault="006B17D8" w:rsidP="00C40FE8">
      <w:r>
        <w:t xml:space="preserve">1) pogosto je slišati </w:t>
      </w:r>
      <w:r w:rsidR="0021101F">
        <w:t>mnenje</w:t>
      </w:r>
      <w:r>
        <w:t xml:space="preserve">, da je omenjeni podatek metodološko sporen, ker </w:t>
      </w:r>
      <w:r w:rsidR="002727E3">
        <w:t>metodologija COFOG</w:t>
      </w:r>
      <w:r w:rsidR="00644597">
        <w:t>,</w:t>
      </w:r>
      <w:r w:rsidR="00A67860">
        <w:rPr>
          <w:rStyle w:val="Sprotnaopomba-sklic"/>
        </w:rPr>
        <w:footnoteReference w:id="9"/>
      </w:r>
      <w:r w:rsidR="002727E3">
        <w:t xml:space="preserve"> po kateri je izračunan, </w:t>
      </w:r>
      <w:r w:rsidR="00644597">
        <w:t>v</w:t>
      </w:r>
      <w:r w:rsidR="002727E3">
        <w:t xml:space="preserve"> </w:t>
      </w:r>
      <w:r w:rsidR="00644597">
        <w:t>javne</w:t>
      </w:r>
      <w:r w:rsidR="00A67860">
        <w:t xml:space="preserve"> </w:t>
      </w:r>
      <w:r w:rsidR="00644597">
        <w:t>izdatke</w:t>
      </w:r>
      <w:r w:rsidR="002727E3">
        <w:t xml:space="preserve"> za kulturo </w:t>
      </w:r>
      <w:r w:rsidR="00644597">
        <w:t>šteje</w:t>
      </w:r>
      <w:r w:rsidR="002727E3">
        <w:t xml:space="preserve"> tudi </w:t>
      </w:r>
      <w:r>
        <w:t xml:space="preserve">izdatke za </w:t>
      </w:r>
      <w:r w:rsidR="00644597">
        <w:t xml:space="preserve">rekreacijo/šport ter </w:t>
      </w:r>
      <w:r w:rsidR="002727E3">
        <w:t xml:space="preserve">verske </w:t>
      </w:r>
      <w:r w:rsidR="00644597">
        <w:t>storitve</w:t>
      </w:r>
      <w:r>
        <w:t xml:space="preserve">, ki </w:t>
      </w:r>
      <w:r w:rsidR="00644597">
        <w:t>vanjo ne</w:t>
      </w:r>
      <w:r w:rsidR="002727E3">
        <w:t xml:space="preserve"> sodijo</w:t>
      </w:r>
      <w:r>
        <w:t xml:space="preserve"> in izdatke za nacionaln</w:t>
      </w:r>
      <w:r w:rsidR="002727E3">
        <w:t>o</w:t>
      </w:r>
      <w:r>
        <w:t xml:space="preserve"> televizij</w:t>
      </w:r>
      <w:r w:rsidR="002727E3">
        <w:t>o</w:t>
      </w:r>
      <w:r w:rsidR="008C2A3C">
        <w:t>, ki jih</w:t>
      </w:r>
      <w:r>
        <w:t xml:space="preserve"> financ</w:t>
      </w:r>
      <w:r w:rsidR="004475C6">
        <w:t>ira prebivalstvo prek obveznega RTV prispevka</w:t>
      </w:r>
      <w:r w:rsidR="00007D91">
        <w:t>, česar ne bi smeli obravnavati kot javni izdatek.</w:t>
      </w:r>
      <w:r w:rsidR="00A67860">
        <w:t xml:space="preserve"> </w:t>
      </w:r>
      <w:r w:rsidR="004475C6" w:rsidRPr="002727E3">
        <w:t xml:space="preserve">Ta </w:t>
      </w:r>
      <w:r w:rsidR="00510707">
        <w:t>pomislek</w:t>
      </w:r>
      <w:r w:rsidR="004475C6" w:rsidRPr="002727E3">
        <w:t xml:space="preserve"> bi bil upravičen, če bi </w:t>
      </w:r>
      <w:r w:rsidR="00644597">
        <w:t>v tej analizi uporabljali</w:t>
      </w:r>
      <w:r w:rsidR="004475C6" w:rsidRPr="002727E3">
        <w:t xml:space="preserve"> </w:t>
      </w:r>
      <w:r w:rsidR="00644597">
        <w:t xml:space="preserve">skupni </w:t>
      </w:r>
      <w:r w:rsidR="004475C6" w:rsidRPr="002727E3">
        <w:t xml:space="preserve">odstotek BDP, ki ga država namenja </w:t>
      </w:r>
      <w:r w:rsidR="00644597">
        <w:t>za kulturne, rekreati</w:t>
      </w:r>
      <w:r w:rsidR="00DE4278">
        <w:t>vne in verske storitve ter za</w:t>
      </w:r>
      <w:r w:rsidR="00644597">
        <w:t xml:space="preserve"> RTV</w:t>
      </w:r>
      <w:r w:rsidR="00DE4278">
        <w:t xml:space="preserve"> (in založništvo)</w:t>
      </w:r>
      <w:r w:rsidR="00644597">
        <w:t>,</w:t>
      </w:r>
      <w:r w:rsidR="00AC3878">
        <w:rPr>
          <w:rStyle w:val="Sprotnaopomba-sklic"/>
        </w:rPr>
        <w:footnoteReference w:id="10"/>
      </w:r>
      <w:r w:rsidR="00644597">
        <w:t xml:space="preserve"> </w:t>
      </w:r>
      <w:r w:rsidR="002727E3">
        <w:t>a navajamo le podatke za pods</w:t>
      </w:r>
      <w:r w:rsidR="00C40FE8">
        <w:t>kupino 0820 »kulturne storitve«</w:t>
      </w:r>
      <w:r w:rsidR="00F64EAC">
        <w:rPr>
          <w:rStyle w:val="Sprotnaopomba-sklic"/>
        </w:rPr>
        <w:footnoteReference w:id="11"/>
      </w:r>
      <w:r w:rsidR="00007D91">
        <w:t xml:space="preserve"> (tj. brez </w:t>
      </w:r>
      <w:r w:rsidR="00644597">
        <w:t>izdatkov za</w:t>
      </w:r>
      <w:r w:rsidR="00007D91">
        <w:t xml:space="preserve"> RTV</w:t>
      </w:r>
      <w:r w:rsidR="00644597">
        <w:t xml:space="preserve"> in založništvo</w:t>
      </w:r>
      <w:r w:rsidR="00007D91">
        <w:t xml:space="preserve"> ter </w:t>
      </w:r>
      <w:r w:rsidR="00644597">
        <w:t>rekreativne in verske storitve</w:t>
      </w:r>
      <w:r w:rsidR="00007D91">
        <w:t>)</w:t>
      </w:r>
      <w:r w:rsidR="00644597">
        <w:t>,</w:t>
      </w:r>
      <w:r w:rsidR="00007D91">
        <w:t xml:space="preserve"> glede katere sorodnih metodoloških pomislekov ni, p</w:t>
      </w:r>
      <w:r w:rsidR="00DE4278">
        <w:t xml:space="preserve">odatke o izdatkih za </w:t>
      </w:r>
      <w:r w:rsidR="00007D91">
        <w:t>RTV</w:t>
      </w:r>
      <w:r w:rsidR="00DE4278">
        <w:t xml:space="preserve"> in založništvo</w:t>
      </w:r>
      <w:r w:rsidR="00007D91">
        <w:t xml:space="preserve"> pa prikazujemo ločen</w:t>
      </w:r>
      <w:r w:rsidR="00B364A1">
        <w:t>o in brez mednarodnih primerjav;</w:t>
      </w:r>
      <w:r w:rsidR="00B364A1">
        <w:rPr>
          <w:rStyle w:val="Sprotnaopomba-sklic"/>
        </w:rPr>
        <w:footnoteReference w:id="12"/>
      </w:r>
    </w:p>
    <w:p w:rsidR="0021101F" w:rsidRDefault="00C40FE8" w:rsidP="00C40FE8">
      <w:r>
        <w:t xml:space="preserve">2) </w:t>
      </w:r>
      <w:r w:rsidR="0021101F">
        <w:t>državne statistike</w:t>
      </w:r>
      <w:r w:rsidR="0074358C">
        <w:t xml:space="preserve"> </w:t>
      </w:r>
      <w:r w:rsidR="004352C0">
        <w:t>v javn</w:t>
      </w:r>
      <w:r w:rsidR="0021101F">
        <w:t>e</w:t>
      </w:r>
      <w:r w:rsidR="004352C0">
        <w:t xml:space="preserve"> izdatk</w:t>
      </w:r>
      <w:r w:rsidR="0021101F">
        <w:t>e</w:t>
      </w:r>
      <w:r w:rsidR="004352C0">
        <w:t xml:space="preserve"> za kulturne storitve ne </w:t>
      </w:r>
      <w:r w:rsidR="008C2A3C">
        <w:t>povzemajo</w:t>
      </w:r>
      <w:r w:rsidR="0021101F">
        <w:t xml:space="preserve"> preprosto proračunov pristojnih ministrstev, temveč izdatke, ki so namenjeni kulturnim storitvam </w:t>
      </w:r>
      <w:proofErr w:type="spellStart"/>
      <w:r w:rsidR="0021101F">
        <w:t>neg</w:t>
      </w:r>
      <w:r w:rsidR="00425B5B">
        <w:t>lede</w:t>
      </w:r>
      <w:proofErr w:type="spellEnd"/>
      <w:r w:rsidR="00425B5B">
        <w:t xml:space="preserve"> na državni organ, ki jih financira,</w:t>
      </w:r>
      <w:r w:rsidR="000C43EC">
        <w:rPr>
          <w:rStyle w:val="Sprotnaopomba-sklic"/>
        </w:rPr>
        <w:footnoteReference w:id="13"/>
      </w:r>
      <w:r w:rsidR="00425B5B">
        <w:t xml:space="preserve"> ter tudi izdatke, ki kulturi namenijo lokalne skupnosti. V Sl</w:t>
      </w:r>
      <w:r w:rsidR="00B4514D">
        <w:t>oveniji</w:t>
      </w:r>
      <w:r w:rsidR="00425B5B">
        <w:t xml:space="preserve"> javne razprave o </w:t>
      </w:r>
      <w:r w:rsidR="00643010">
        <w:t>skromnih</w:t>
      </w:r>
      <w:r w:rsidR="00F71313">
        <w:t xml:space="preserve"> </w:t>
      </w:r>
      <w:r w:rsidR="00425B5B">
        <w:t>sredstvih z</w:t>
      </w:r>
      <w:r w:rsidR="003739C5">
        <w:t xml:space="preserve">a kulturo praviloma spregledajo, </w:t>
      </w:r>
      <w:r w:rsidR="00425B5B">
        <w:t xml:space="preserve">da </w:t>
      </w:r>
      <w:r w:rsidR="00425B5B" w:rsidRPr="00425B5B">
        <w:t>lokalne skupnosti za kulturne storitve namenijo približno toliko kot državni proračun</w:t>
      </w:r>
      <w:r w:rsidR="000C43EC">
        <w:t>.</w:t>
      </w:r>
      <w:r w:rsidR="000C43EC">
        <w:rPr>
          <w:rStyle w:val="Sprotnaopomba-sklic"/>
        </w:rPr>
        <w:footnoteReference w:id="14"/>
      </w:r>
      <w:r w:rsidR="00425B5B" w:rsidRPr="00425B5B">
        <w:t xml:space="preserve"> </w:t>
      </w:r>
    </w:p>
    <w:p w:rsidR="000239A2" w:rsidRDefault="000239A2">
      <w:pPr>
        <w:spacing w:after="0" w:line="240" w:lineRule="auto"/>
        <w:rPr>
          <w:b/>
        </w:rPr>
      </w:pPr>
      <w:r>
        <w:rPr>
          <w:b/>
        </w:rPr>
        <w:br w:type="page"/>
      </w:r>
    </w:p>
    <w:p w:rsidR="007D4C49" w:rsidRDefault="004C72B7" w:rsidP="008A31B2">
      <w:pPr>
        <w:pStyle w:val="Naslovtabele"/>
        <w:rPr>
          <w:b w:val="0"/>
        </w:rPr>
      </w:pPr>
      <w:bookmarkStart w:id="34" w:name="_Toc477339468"/>
      <w:bookmarkStart w:id="35" w:name="_Toc477339724"/>
      <w:bookmarkStart w:id="36" w:name="_Toc477339892"/>
      <w:bookmarkStart w:id="37" w:name="_Toc490053346"/>
      <w:bookmarkStart w:id="38" w:name="_Toc490053717"/>
      <w:bookmarkStart w:id="39" w:name="_Toc490599989"/>
      <w:r>
        <w:lastRenderedPageBreak/>
        <w:t>Tabela 3</w:t>
      </w:r>
      <w:r w:rsidR="00DA1DAB" w:rsidRPr="00CF5B6F">
        <w:t xml:space="preserve">: </w:t>
      </w:r>
      <w:r w:rsidR="00BE4198" w:rsidRPr="00CF5B6F">
        <w:t xml:space="preserve">Javni izdatki za kulturne storitve </w:t>
      </w:r>
      <w:r w:rsidR="008C30DD">
        <w:t>kot odstotek bruto družbenega proizvoda (</w:t>
      </w:r>
      <w:r w:rsidR="00705636">
        <w:t>evropske države</w:t>
      </w:r>
      <w:r w:rsidR="00C4667E">
        <w:t xml:space="preserve">, </w:t>
      </w:r>
      <w:r w:rsidR="008C30DD">
        <w:t>200</w:t>
      </w:r>
      <w:r w:rsidR="000107CC">
        <w:t>8</w:t>
      </w:r>
      <w:r w:rsidR="008C30DD">
        <w:t>–2015)</w:t>
      </w:r>
      <w:bookmarkEnd w:id="34"/>
      <w:bookmarkEnd w:id="35"/>
      <w:bookmarkEnd w:id="36"/>
      <w:r w:rsidR="006F76AB">
        <w:t>*</w:t>
      </w:r>
      <w:bookmarkEnd w:id="37"/>
      <w:bookmarkEnd w:id="38"/>
      <w:bookmarkEnd w:id="39"/>
    </w:p>
    <w:tbl>
      <w:tblPr>
        <w:tblStyle w:val="Svetelseznampoudarek3"/>
        <w:tblW w:w="5020" w:type="pct"/>
        <w:tblInd w:w="-39" w:type="dxa"/>
        <w:tblLayout w:type="fixed"/>
        <w:tblLook w:val="04A0" w:firstRow="1" w:lastRow="0" w:firstColumn="1" w:lastColumn="0" w:noHBand="0" w:noVBand="1"/>
      </w:tblPr>
      <w:tblGrid>
        <w:gridCol w:w="1518"/>
        <w:gridCol w:w="2288"/>
        <w:gridCol w:w="776"/>
        <w:gridCol w:w="774"/>
        <w:gridCol w:w="774"/>
        <w:gridCol w:w="774"/>
        <w:gridCol w:w="776"/>
        <w:gridCol w:w="774"/>
        <w:gridCol w:w="774"/>
        <w:gridCol w:w="768"/>
      </w:tblGrid>
      <w:tr w:rsidR="00510707" w:rsidRPr="004F387D" w:rsidTr="006F54E8">
        <w:trPr>
          <w:cnfStyle w:val="100000000000" w:firstRow="1" w:lastRow="0" w:firstColumn="0" w:lastColumn="0" w:oddVBand="0" w:evenVBand="0" w:oddHBand="0" w:evenHBand="0" w:firstRowFirstColumn="0" w:firstRowLastColumn="0" w:lastRowFirstColumn="0" w:lastRowLastColumn="0"/>
          <w:trHeight w:val="280"/>
          <w:tblHeader/>
        </w:trPr>
        <w:tc>
          <w:tcPr>
            <w:cnfStyle w:val="001000000000" w:firstRow="0" w:lastRow="0" w:firstColumn="1" w:lastColumn="0" w:oddVBand="0" w:evenVBand="0" w:oddHBand="0" w:evenHBand="0" w:firstRowFirstColumn="0" w:firstRowLastColumn="0" w:lastRowFirstColumn="0" w:lastRowLastColumn="0"/>
            <w:tcW w:w="760" w:type="pct"/>
            <w:noWrap/>
            <w:hideMark/>
          </w:tcPr>
          <w:p w:rsidR="00510707" w:rsidRPr="006F54E8" w:rsidRDefault="00510707" w:rsidP="006F54E8">
            <w:pPr>
              <w:rPr>
                <w:rFonts w:ascii="Arial Narrow" w:hAnsi="Arial Narrow"/>
                <w:sz w:val="16"/>
                <w:szCs w:val="16"/>
              </w:rPr>
            </w:pPr>
            <w:r w:rsidRPr="006F54E8">
              <w:rPr>
                <w:rFonts w:ascii="Arial Narrow" w:hAnsi="Arial Narrow"/>
                <w:sz w:val="16"/>
                <w:szCs w:val="16"/>
              </w:rPr>
              <w:t xml:space="preserve">Vrstni red </w:t>
            </w:r>
            <w:r w:rsidR="006F54E8">
              <w:rPr>
                <w:rFonts w:ascii="Arial Narrow" w:hAnsi="Arial Narrow"/>
                <w:sz w:val="16"/>
                <w:szCs w:val="16"/>
              </w:rPr>
              <w:t>v letu</w:t>
            </w:r>
            <w:r w:rsidRPr="006F54E8">
              <w:rPr>
                <w:rFonts w:ascii="Arial Narrow" w:hAnsi="Arial Narrow"/>
                <w:sz w:val="16"/>
                <w:szCs w:val="16"/>
              </w:rPr>
              <w:t xml:space="preserve"> 2015</w:t>
            </w:r>
          </w:p>
        </w:tc>
        <w:tc>
          <w:tcPr>
            <w:tcW w:w="1145" w:type="pct"/>
            <w:noWrap/>
            <w:hideMark/>
          </w:tcPr>
          <w:p w:rsidR="00510707" w:rsidRPr="004F387D" w:rsidRDefault="00510707" w:rsidP="004F387D">
            <w:pPr>
              <w:cnfStyle w:val="100000000000" w:firstRow="1"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Država</w:t>
            </w:r>
          </w:p>
        </w:tc>
        <w:tc>
          <w:tcPr>
            <w:tcW w:w="388" w:type="pct"/>
            <w:noWrap/>
            <w:hideMark/>
          </w:tcPr>
          <w:p w:rsidR="00510707" w:rsidRPr="004F387D" w:rsidRDefault="00510707" w:rsidP="004F387D">
            <w:pPr>
              <w:cnfStyle w:val="100000000000" w:firstRow="1"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2008</w:t>
            </w:r>
          </w:p>
        </w:tc>
        <w:tc>
          <w:tcPr>
            <w:tcW w:w="387" w:type="pct"/>
            <w:noWrap/>
            <w:hideMark/>
          </w:tcPr>
          <w:p w:rsidR="00510707" w:rsidRPr="004F387D" w:rsidRDefault="00510707" w:rsidP="004F387D">
            <w:pPr>
              <w:cnfStyle w:val="100000000000" w:firstRow="1"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2009</w:t>
            </w:r>
          </w:p>
        </w:tc>
        <w:tc>
          <w:tcPr>
            <w:tcW w:w="387" w:type="pct"/>
            <w:noWrap/>
            <w:hideMark/>
          </w:tcPr>
          <w:p w:rsidR="00510707" w:rsidRPr="004F387D" w:rsidRDefault="00510707" w:rsidP="004F387D">
            <w:pPr>
              <w:cnfStyle w:val="100000000000" w:firstRow="1"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2010</w:t>
            </w:r>
          </w:p>
        </w:tc>
        <w:tc>
          <w:tcPr>
            <w:tcW w:w="387" w:type="pct"/>
            <w:noWrap/>
            <w:hideMark/>
          </w:tcPr>
          <w:p w:rsidR="00510707" w:rsidRPr="004F387D" w:rsidRDefault="00510707" w:rsidP="004F387D">
            <w:pPr>
              <w:cnfStyle w:val="100000000000" w:firstRow="1"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2011</w:t>
            </w:r>
          </w:p>
        </w:tc>
        <w:tc>
          <w:tcPr>
            <w:tcW w:w="388" w:type="pct"/>
            <w:noWrap/>
            <w:hideMark/>
          </w:tcPr>
          <w:p w:rsidR="00510707" w:rsidRPr="004F387D" w:rsidRDefault="00510707" w:rsidP="004F387D">
            <w:pPr>
              <w:cnfStyle w:val="100000000000" w:firstRow="1"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2012</w:t>
            </w:r>
          </w:p>
        </w:tc>
        <w:tc>
          <w:tcPr>
            <w:tcW w:w="387" w:type="pct"/>
            <w:noWrap/>
            <w:hideMark/>
          </w:tcPr>
          <w:p w:rsidR="00510707" w:rsidRPr="004F387D" w:rsidRDefault="00510707" w:rsidP="004F387D">
            <w:pPr>
              <w:cnfStyle w:val="100000000000" w:firstRow="1"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2013</w:t>
            </w:r>
          </w:p>
        </w:tc>
        <w:tc>
          <w:tcPr>
            <w:tcW w:w="387" w:type="pct"/>
            <w:noWrap/>
            <w:hideMark/>
          </w:tcPr>
          <w:p w:rsidR="00510707" w:rsidRPr="004F387D" w:rsidRDefault="00510707" w:rsidP="004F387D">
            <w:pPr>
              <w:cnfStyle w:val="100000000000" w:firstRow="1"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2014</w:t>
            </w:r>
          </w:p>
        </w:tc>
        <w:tc>
          <w:tcPr>
            <w:tcW w:w="387" w:type="pct"/>
            <w:noWrap/>
            <w:hideMark/>
          </w:tcPr>
          <w:p w:rsidR="00510707" w:rsidRPr="004F387D" w:rsidRDefault="00510707" w:rsidP="004F387D">
            <w:pPr>
              <w:cnfStyle w:val="100000000000" w:firstRow="1"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2015</w:t>
            </w:r>
          </w:p>
        </w:tc>
      </w:tr>
      <w:tr w:rsidR="006F282B" w:rsidRPr="004F387D" w:rsidTr="006F54E8">
        <w:trPr>
          <w:cnfStyle w:val="100000000000" w:firstRow="1" w:lastRow="0" w:firstColumn="0" w:lastColumn="0" w:oddVBand="0" w:evenVBand="0" w:oddHBand="0" w:evenHBand="0" w:firstRowFirstColumn="0" w:firstRowLastColumn="0" w:lastRowFirstColumn="0" w:lastRowLastColumn="0"/>
          <w:trHeight w:val="280"/>
          <w:tblHeader/>
        </w:trPr>
        <w:tc>
          <w:tcPr>
            <w:cnfStyle w:val="001000000000" w:firstRow="0" w:lastRow="0" w:firstColumn="1" w:lastColumn="0" w:oddVBand="0" w:evenVBand="0" w:oddHBand="0" w:evenHBand="0" w:firstRowFirstColumn="0" w:firstRowLastColumn="0" w:lastRowFirstColumn="0" w:lastRowLastColumn="0"/>
            <w:tcW w:w="760" w:type="pct"/>
            <w:noWrap/>
          </w:tcPr>
          <w:p w:rsidR="006F282B" w:rsidRPr="006F54E8" w:rsidRDefault="006F282B" w:rsidP="00510707">
            <w:pPr>
              <w:rPr>
                <w:rFonts w:ascii="Arial Narrow" w:hAnsi="Arial Narrow"/>
                <w:b w:val="0"/>
                <w:sz w:val="16"/>
                <w:szCs w:val="16"/>
              </w:rPr>
            </w:pPr>
          </w:p>
        </w:tc>
        <w:tc>
          <w:tcPr>
            <w:tcW w:w="1145" w:type="pct"/>
            <w:noWrap/>
          </w:tcPr>
          <w:p w:rsidR="006F282B" w:rsidRPr="006F282B" w:rsidRDefault="006F282B" w:rsidP="004F387D">
            <w:pPr>
              <w:cnfStyle w:val="100000000000" w:firstRow="1" w:lastRow="0" w:firstColumn="0" w:lastColumn="0" w:oddVBand="0" w:evenVBand="0" w:oddHBand="0" w:evenHBand="0" w:firstRowFirstColumn="0" w:firstRowLastColumn="0" w:lastRowFirstColumn="0" w:lastRowLastColumn="0"/>
              <w:rPr>
                <w:rFonts w:ascii="Arial Narrow" w:hAnsi="Arial Narrow"/>
                <w:sz w:val="16"/>
                <w:szCs w:val="16"/>
              </w:rPr>
            </w:pPr>
          </w:p>
        </w:tc>
        <w:tc>
          <w:tcPr>
            <w:tcW w:w="388" w:type="pct"/>
            <w:noWrap/>
          </w:tcPr>
          <w:p w:rsidR="006F282B" w:rsidRPr="006F282B" w:rsidRDefault="006F282B" w:rsidP="004F387D">
            <w:pPr>
              <w:cnfStyle w:val="100000000000" w:firstRow="1" w:lastRow="0" w:firstColumn="0" w:lastColumn="0" w:oddVBand="0" w:evenVBand="0" w:oddHBand="0" w:evenHBand="0" w:firstRowFirstColumn="0" w:firstRowLastColumn="0" w:lastRowFirstColumn="0" w:lastRowLastColumn="0"/>
              <w:rPr>
                <w:rFonts w:ascii="Arial Narrow" w:hAnsi="Arial Narrow"/>
                <w:sz w:val="16"/>
                <w:szCs w:val="16"/>
              </w:rPr>
            </w:pPr>
            <w:r w:rsidRPr="006F282B">
              <w:rPr>
                <w:rFonts w:ascii="Arial Narrow" w:hAnsi="Arial Narrow"/>
                <w:sz w:val="16"/>
                <w:szCs w:val="16"/>
              </w:rPr>
              <w:t>%</w:t>
            </w:r>
          </w:p>
        </w:tc>
        <w:tc>
          <w:tcPr>
            <w:tcW w:w="387" w:type="pct"/>
            <w:noWrap/>
          </w:tcPr>
          <w:p w:rsidR="006F282B" w:rsidRPr="006F282B" w:rsidRDefault="006F282B" w:rsidP="004F387D">
            <w:pPr>
              <w:cnfStyle w:val="100000000000" w:firstRow="1" w:lastRow="0" w:firstColumn="0" w:lastColumn="0" w:oddVBand="0" w:evenVBand="0" w:oddHBand="0" w:evenHBand="0" w:firstRowFirstColumn="0" w:firstRowLastColumn="0" w:lastRowFirstColumn="0" w:lastRowLastColumn="0"/>
              <w:rPr>
                <w:rFonts w:ascii="Arial Narrow" w:hAnsi="Arial Narrow"/>
                <w:sz w:val="16"/>
                <w:szCs w:val="16"/>
              </w:rPr>
            </w:pPr>
            <w:r w:rsidRPr="006F282B">
              <w:rPr>
                <w:rFonts w:ascii="Arial Narrow" w:hAnsi="Arial Narrow"/>
                <w:sz w:val="16"/>
                <w:szCs w:val="16"/>
              </w:rPr>
              <w:t>%</w:t>
            </w:r>
          </w:p>
        </w:tc>
        <w:tc>
          <w:tcPr>
            <w:tcW w:w="387" w:type="pct"/>
            <w:noWrap/>
          </w:tcPr>
          <w:p w:rsidR="006F282B" w:rsidRPr="006F282B" w:rsidRDefault="006F282B" w:rsidP="004F387D">
            <w:pPr>
              <w:cnfStyle w:val="100000000000" w:firstRow="1" w:lastRow="0" w:firstColumn="0" w:lastColumn="0" w:oddVBand="0" w:evenVBand="0" w:oddHBand="0" w:evenHBand="0" w:firstRowFirstColumn="0" w:firstRowLastColumn="0" w:lastRowFirstColumn="0" w:lastRowLastColumn="0"/>
              <w:rPr>
                <w:rFonts w:ascii="Arial Narrow" w:hAnsi="Arial Narrow"/>
                <w:sz w:val="16"/>
                <w:szCs w:val="16"/>
              </w:rPr>
            </w:pPr>
            <w:r w:rsidRPr="006F282B">
              <w:rPr>
                <w:rFonts w:ascii="Arial Narrow" w:hAnsi="Arial Narrow"/>
                <w:sz w:val="16"/>
                <w:szCs w:val="16"/>
              </w:rPr>
              <w:t>%</w:t>
            </w:r>
          </w:p>
        </w:tc>
        <w:tc>
          <w:tcPr>
            <w:tcW w:w="387" w:type="pct"/>
            <w:noWrap/>
          </w:tcPr>
          <w:p w:rsidR="006F282B" w:rsidRPr="006F282B" w:rsidRDefault="006F282B" w:rsidP="004F387D">
            <w:pPr>
              <w:cnfStyle w:val="100000000000" w:firstRow="1" w:lastRow="0" w:firstColumn="0" w:lastColumn="0" w:oddVBand="0" w:evenVBand="0" w:oddHBand="0" w:evenHBand="0" w:firstRowFirstColumn="0" w:firstRowLastColumn="0" w:lastRowFirstColumn="0" w:lastRowLastColumn="0"/>
              <w:rPr>
                <w:rFonts w:ascii="Arial Narrow" w:hAnsi="Arial Narrow"/>
                <w:sz w:val="16"/>
                <w:szCs w:val="16"/>
              </w:rPr>
            </w:pPr>
            <w:r w:rsidRPr="006F282B">
              <w:rPr>
                <w:rFonts w:ascii="Arial Narrow" w:hAnsi="Arial Narrow"/>
                <w:sz w:val="16"/>
                <w:szCs w:val="16"/>
              </w:rPr>
              <w:t>%</w:t>
            </w:r>
          </w:p>
        </w:tc>
        <w:tc>
          <w:tcPr>
            <w:tcW w:w="388" w:type="pct"/>
            <w:noWrap/>
          </w:tcPr>
          <w:p w:rsidR="006F282B" w:rsidRPr="006F282B" w:rsidRDefault="006F282B" w:rsidP="004F387D">
            <w:pPr>
              <w:cnfStyle w:val="100000000000" w:firstRow="1" w:lastRow="0" w:firstColumn="0" w:lastColumn="0" w:oddVBand="0" w:evenVBand="0" w:oddHBand="0" w:evenHBand="0" w:firstRowFirstColumn="0" w:firstRowLastColumn="0" w:lastRowFirstColumn="0" w:lastRowLastColumn="0"/>
              <w:rPr>
                <w:rFonts w:ascii="Arial Narrow" w:hAnsi="Arial Narrow"/>
                <w:sz w:val="16"/>
                <w:szCs w:val="16"/>
              </w:rPr>
            </w:pPr>
            <w:r w:rsidRPr="006F282B">
              <w:rPr>
                <w:rFonts w:ascii="Arial Narrow" w:hAnsi="Arial Narrow"/>
                <w:sz w:val="16"/>
                <w:szCs w:val="16"/>
              </w:rPr>
              <w:t>%</w:t>
            </w:r>
          </w:p>
        </w:tc>
        <w:tc>
          <w:tcPr>
            <w:tcW w:w="387" w:type="pct"/>
            <w:noWrap/>
          </w:tcPr>
          <w:p w:rsidR="006F282B" w:rsidRPr="006F282B" w:rsidRDefault="006F282B" w:rsidP="004F387D">
            <w:pPr>
              <w:cnfStyle w:val="100000000000" w:firstRow="1" w:lastRow="0" w:firstColumn="0" w:lastColumn="0" w:oddVBand="0" w:evenVBand="0" w:oddHBand="0" w:evenHBand="0" w:firstRowFirstColumn="0" w:firstRowLastColumn="0" w:lastRowFirstColumn="0" w:lastRowLastColumn="0"/>
              <w:rPr>
                <w:rFonts w:ascii="Arial Narrow" w:hAnsi="Arial Narrow"/>
                <w:sz w:val="16"/>
                <w:szCs w:val="16"/>
              </w:rPr>
            </w:pPr>
            <w:r w:rsidRPr="006F282B">
              <w:rPr>
                <w:rFonts w:ascii="Arial Narrow" w:hAnsi="Arial Narrow"/>
                <w:sz w:val="16"/>
                <w:szCs w:val="16"/>
              </w:rPr>
              <w:t>%</w:t>
            </w:r>
          </w:p>
        </w:tc>
        <w:tc>
          <w:tcPr>
            <w:tcW w:w="387" w:type="pct"/>
            <w:noWrap/>
          </w:tcPr>
          <w:p w:rsidR="006F282B" w:rsidRPr="006F282B" w:rsidRDefault="006F282B" w:rsidP="004F387D">
            <w:pPr>
              <w:cnfStyle w:val="100000000000" w:firstRow="1" w:lastRow="0" w:firstColumn="0" w:lastColumn="0" w:oddVBand="0" w:evenVBand="0" w:oddHBand="0" w:evenHBand="0" w:firstRowFirstColumn="0" w:firstRowLastColumn="0" w:lastRowFirstColumn="0" w:lastRowLastColumn="0"/>
              <w:rPr>
                <w:rFonts w:ascii="Arial Narrow" w:hAnsi="Arial Narrow"/>
                <w:sz w:val="16"/>
                <w:szCs w:val="16"/>
              </w:rPr>
            </w:pPr>
            <w:r w:rsidRPr="006F282B">
              <w:rPr>
                <w:rFonts w:ascii="Arial Narrow" w:hAnsi="Arial Narrow"/>
                <w:sz w:val="16"/>
                <w:szCs w:val="16"/>
              </w:rPr>
              <w:t>%</w:t>
            </w:r>
          </w:p>
        </w:tc>
        <w:tc>
          <w:tcPr>
            <w:tcW w:w="387" w:type="pct"/>
            <w:noWrap/>
          </w:tcPr>
          <w:p w:rsidR="006F282B" w:rsidRPr="006F282B" w:rsidRDefault="006F282B" w:rsidP="004F387D">
            <w:pPr>
              <w:cnfStyle w:val="100000000000" w:firstRow="1" w:lastRow="0" w:firstColumn="0" w:lastColumn="0" w:oddVBand="0" w:evenVBand="0" w:oddHBand="0" w:evenHBand="0" w:firstRowFirstColumn="0" w:firstRowLastColumn="0" w:lastRowFirstColumn="0" w:lastRowLastColumn="0"/>
              <w:rPr>
                <w:rFonts w:ascii="Arial Narrow" w:hAnsi="Arial Narrow"/>
                <w:sz w:val="16"/>
                <w:szCs w:val="16"/>
              </w:rPr>
            </w:pPr>
            <w:r w:rsidRPr="006F282B">
              <w:rPr>
                <w:rFonts w:ascii="Arial Narrow" w:hAnsi="Arial Narrow"/>
                <w:sz w:val="16"/>
                <w:szCs w:val="16"/>
              </w:rPr>
              <w:t>%</w:t>
            </w:r>
          </w:p>
        </w:tc>
      </w:tr>
      <w:tr w:rsidR="00510707" w:rsidRPr="004F387D" w:rsidTr="006F54E8">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760" w:type="pct"/>
            <w:noWrap/>
            <w:hideMark/>
          </w:tcPr>
          <w:p w:rsidR="00510707" w:rsidRPr="006F54E8" w:rsidRDefault="00510707" w:rsidP="00510707">
            <w:pPr>
              <w:spacing w:after="0" w:line="240" w:lineRule="auto"/>
              <w:rPr>
                <w:rFonts w:ascii="Arial Narrow" w:hAnsi="Arial Narrow"/>
                <w:b w:val="0"/>
                <w:sz w:val="16"/>
                <w:szCs w:val="16"/>
              </w:rPr>
            </w:pPr>
            <w:r w:rsidRPr="006F54E8">
              <w:rPr>
                <w:rFonts w:ascii="Arial Narrow" w:hAnsi="Arial Narrow"/>
                <w:b w:val="0"/>
                <w:sz w:val="16"/>
                <w:szCs w:val="16"/>
              </w:rPr>
              <w:t>1.</w:t>
            </w:r>
          </w:p>
        </w:tc>
        <w:tc>
          <w:tcPr>
            <w:tcW w:w="1145"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Estonija</w:t>
            </w:r>
          </w:p>
        </w:tc>
        <w:tc>
          <w:tcPr>
            <w:tcW w:w="388"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1,3</w:t>
            </w:r>
          </w:p>
        </w:tc>
        <w:tc>
          <w:tcPr>
            <w:tcW w:w="387"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1,2</w:t>
            </w:r>
          </w:p>
        </w:tc>
        <w:tc>
          <w:tcPr>
            <w:tcW w:w="387"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1,1</w:t>
            </w:r>
          </w:p>
        </w:tc>
        <w:tc>
          <w:tcPr>
            <w:tcW w:w="387"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1,0</w:t>
            </w:r>
          </w:p>
        </w:tc>
        <w:tc>
          <w:tcPr>
            <w:tcW w:w="388"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1,0</w:t>
            </w:r>
          </w:p>
        </w:tc>
        <w:tc>
          <w:tcPr>
            <w:tcW w:w="387"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1,1</w:t>
            </w:r>
          </w:p>
        </w:tc>
        <w:tc>
          <w:tcPr>
            <w:tcW w:w="387"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1,1</w:t>
            </w:r>
          </w:p>
        </w:tc>
        <w:tc>
          <w:tcPr>
            <w:tcW w:w="387"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1,1</w:t>
            </w:r>
          </w:p>
        </w:tc>
      </w:tr>
      <w:tr w:rsidR="00510707" w:rsidRPr="004F387D" w:rsidTr="006F54E8">
        <w:trPr>
          <w:trHeight w:val="102"/>
        </w:trPr>
        <w:tc>
          <w:tcPr>
            <w:cnfStyle w:val="001000000000" w:firstRow="0" w:lastRow="0" w:firstColumn="1" w:lastColumn="0" w:oddVBand="0" w:evenVBand="0" w:oddHBand="0" w:evenHBand="0" w:firstRowFirstColumn="0" w:firstRowLastColumn="0" w:lastRowFirstColumn="0" w:lastRowLastColumn="0"/>
            <w:tcW w:w="760" w:type="pct"/>
            <w:noWrap/>
            <w:hideMark/>
          </w:tcPr>
          <w:p w:rsidR="00510707" w:rsidRPr="006F54E8" w:rsidRDefault="00510707" w:rsidP="00510707">
            <w:pPr>
              <w:spacing w:after="0" w:line="240" w:lineRule="auto"/>
              <w:rPr>
                <w:rFonts w:ascii="Arial Narrow" w:hAnsi="Arial Narrow"/>
                <w:b w:val="0"/>
                <w:sz w:val="16"/>
                <w:szCs w:val="16"/>
              </w:rPr>
            </w:pPr>
            <w:r w:rsidRPr="006F54E8">
              <w:rPr>
                <w:rFonts w:ascii="Arial Narrow" w:hAnsi="Arial Narrow"/>
                <w:b w:val="0"/>
                <w:sz w:val="16"/>
                <w:szCs w:val="16"/>
              </w:rPr>
              <w:t>1.</w:t>
            </w:r>
          </w:p>
        </w:tc>
        <w:tc>
          <w:tcPr>
            <w:tcW w:w="1145"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Latvija</w:t>
            </w:r>
          </w:p>
        </w:tc>
        <w:tc>
          <w:tcPr>
            <w:tcW w:w="388"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1,1</w:t>
            </w:r>
          </w:p>
        </w:tc>
        <w:tc>
          <w:tcPr>
            <w:tcW w:w="387"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1,2</w:t>
            </w:r>
          </w:p>
        </w:tc>
        <w:tc>
          <w:tcPr>
            <w:tcW w:w="387"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1,1</w:t>
            </w:r>
          </w:p>
        </w:tc>
        <w:tc>
          <w:tcPr>
            <w:tcW w:w="387"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1,0</w:t>
            </w:r>
          </w:p>
        </w:tc>
        <w:tc>
          <w:tcPr>
            <w:tcW w:w="388"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1,1</w:t>
            </w:r>
          </w:p>
        </w:tc>
        <w:tc>
          <w:tcPr>
            <w:tcW w:w="387"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1,2</w:t>
            </w:r>
          </w:p>
        </w:tc>
        <w:tc>
          <w:tcPr>
            <w:tcW w:w="387"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1,2</w:t>
            </w:r>
          </w:p>
        </w:tc>
        <w:tc>
          <w:tcPr>
            <w:tcW w:w="387"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1,1</w:t>
            </w:r>
          </w:p>
        </w:tc>
      </w:tr>
      <w:tr w:rsidR="00510707" w:rsidRPr="004F387D" w:rsidTr="006F54E8">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760" w:type="pct"/>
            <w:noWrap/>
            <w:hideMark/>
          </w:tcPr>
          <w:p w:rsidR="00510707" w:rsidRPr="006F54E8" w:rsidRDefault="00510707" w:rsidP="00510707">
            <w:pPr>
              <w:spacing w:after="0" w:line="240" w:lineRule="auto"/>
              <w:rPr>
                <w:rFonts w:ascii="Arial Narrow" w:hAnsi="Arial Narrow"/>
                <w:b w:val="0"/>
                <w:sz w:val="16"/>
                <w:szCs w:val="16"/>
              </w:rPr>
            </w:pPr>
            <w:r w:rsidRPr="006F54E8">
              <w:rPr>
                <w:rFonts w:ascii="Arial Narrow" w:hAnsi="Arial Narrow"/>
                <w:b w:val="0"/>
                <w:sz w:val="16"/>
                <w:szCs w:val="16"/>
              </w:rPr>
              <w:t>1.</w:t>
            </w:r>
          </w:p>
        </w:tc>
        <w:tc>
          <w:tcPr>
            <w:tcW w:w="1145"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Islandija</w:t>
            </w:r>
          </w:p>
        </w:tc>
        <w:tc>
          <w:tcPr>
            <w:tcW w:w="388"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Pr>
                <w:rFonts w:ascii="Arial Narrow" w:hAnsi="Arial Narrow"/>
                <w:sz w:val="16"/>
                <w:szCs w:val="16"/>
              </w:rPr>
              <w:t>–</w:t>
            </w:r>
          </w:p>
        </w:tc>
        <w:tc>
          <w:tcPr>
            <w:tcW w:w="387"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Pr>
                <w:rFonts w:ascii="Arial Narrow" w:hAnsi="Arial Narrow"/>
                <w:sz w:val="16"/>
                <w:szCs w:val="16"/>
              </w:rPr>
              <w:t>–</w:t>
            </w:r>
          </w:p>
        </w:tc>
        <w:tc>
          <w:tcPr>
            <w:tcW w:w="387"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Pr>
                <w:rFonts w:ascii="Arial Narrow" w:hAnsi="Arial Narrow"/>
                <w:sz w:val="16"/>
                <w:szCs w:val="16"/>
              </w:rPr>
              <w:t>–</w:t>
            </w:r>
          </w:p>
        </w:tc>
        <w:tc>
          <w:tcPr>
            <w:tcW w:w="387"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Pr>
                <w:rFonts w:ascii="Arial Narrow" w:hAnsi="Arial Narrow"/>
                <w:sz w:val="16"/>
                <w:szCs w:val="16"/>
              </w:rPr>
              <w:t>–</w:t>
            </w:r>
          </w:p>
        </w:tc>
        <w:tc>
          <w:tcPr>
            <w:tcW w:w="388"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Pr>
                <w:rFonts w:ascii="Arial Narrow" w:hAnsi="Arial Narrow"/>
                <w:sz w:val="16"/>
                <w:szCs w:val="16"/>
              </w:rPr>
              <w:t>–</w:t>
            </w:r>
          </w:p>
        </w:tc>
        <w:tc>
          <w:tcPr>
            <w:tcW w:w="387"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1,1</w:t>
            </w:r>
          </w:p>
        </w:tc>
        <w:tc>
          <w:tcPr>
            <w:tcW w:w="387"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1,1</w:t>
            </w:r>
          </w:p>
        </w:tc>
        <w:tc>
          <w:tcPr>
            <w:tcW w:w="387"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1,1</w:t>
            </w:r>
          </w:p>
        </w:tc>
      </w:tr>
      <w:tr w:rsidR="00510707" w:rsidRPr="004F387D" w:rsidTr="006F54E8">
        <w:trPr>
          <w:trHeight w:val="102"/>
        </w:trPr>
        <w:tc>
          <w:tcPr>
            <w:cnfStyle w:val="001000000000" w:firstRow="0" w:lastRow="0" w:firstColumn="1" w:lastColumn="0" w:oddVBand="0" w:evenVBand="0" w:oddHBand="0" w:evenHBand="0" w:firstRowFirstColumn="0" w:firstRowLastColumn="0" w:lastRowFirstColumn="0" w:lastRowLastColumn="0"/>
            <w:tcW w:w="760" w:type="pct"/>
            <w:noWrap/>
            <w:hideMark/>
          </w:tcPr>
          <w:p w:rsidR="00510707" w:rsidRPr="006F54E8" w:rsidRDefault="00510707" w:rsidP="00510707">
            <w:pPr>
              <w:spacing w:after="0" w:line="240" w:lineRule="auto"/>
              <w:rPr>
                <w:rFonts w:ascii="Arial Narrow" w:hAnsi="Arial Narrow"/>
                <w:b w:val="0"/>
                <w:sz w:val="16"/>
                <w:szCs w:val="16"/>
              </w:rPr>
            </w:pPr>
            <w:r w:rsidRPr="006F54E8">
              <w:rPr>
                <w:rFonts w:ascii="Arial Narrow" w:hAnsi="Arial Narrow"/>
                <w:b w:val="0"/>
                <w:sz w:val="16"/>
                <w:szCs w:val="16"/>
              </w:rPr>
              <w:t>2.</w:t>
            </w:r>
          </w:p>
        </w:tc>
        <w:tc>
          <w:tcPr>
            <w:tcW w:w="1145"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Malta</w:t>
            </w:r>
          </w:p>
        </w:tc>
        <w:tc>
          <w:tcPr>
            <w:tcW w:w="388"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0,4</w:t>
            </w:r>
          </w:p>
        </w:tc>
        <w:tc>
          <w:tcPr>
            <w:tcW w:w="387"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0,5</w:t>
            </w:r>
          </w:p>
        </w:tc>
        <w:tc>
          <w:tcPr>
            <w:tcW w:w="387"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0,5</w:t>
            </w:r>
          </w:p>
        </w:tc>
        <w:tc>
          <w:tcPr>
            <w:tcW w:w="387"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0,6</w:t>
            </w:r>
          </w:p>
        </w:tc>
        <w:tc>
          <w:tcPr>
            <w:tcW w:w="388"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0,6</w:t>
            </w:r>
          </w:p>
        </w:tc>
        <w:tc>
          <w:tcPr>
            <w:tcW w:w="387"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0,7</w:t>
            </w:r>
          </w:p>
        </w:tc>
        <w:tc>
          <w:tcPr>
            <w:tcW w:w="387"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0,8</w:t>
            </w:r>
          </w:p>
        </w:tc>
        <w:tc>
          <w:tcPr>
            <w:tcW w:w="387"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0,9</w:t>
            </w:r>
          </w:p>
        </w:tc>
      </w:tr>
      <w:tr w:rsidR="00510707" w:rsidRPr="004F387D" w:rsidTr="006F54E8">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760" w:type="pct"/>
            <w:noWrap/>
            <w:hideMark/>
          </w:tcPr>
          <w:p w:rsidR="00510707" w:rsidRPr="006F54E8" w:rsidRDefault="00510707" w:rsidP="00510707">
            <w:pPr>
              <w:spacing w:after="0" w:line="240" w:lineRule="auto"/>
              <w:rPr>
                <w:rFonts w:ascii="Arial Narrow" w:hAnsi="Arial Narrow"/>
                <w:b w:val="0"/>
                <w:sz w:val="16"/>
                <w:szCs w:val="16"/>
              </w:rPr>
            </w:pPr>
            <w:r w:rsidRPr="006F54E8">
              <w:rPr>
                <w:rFonts w:ascii="Arial Narrow" w:hAnsi="Arial Narrow"/>
                <w:b w:val="0"/>
                <w:sz w:val="16"/>
                <w:szCs w:val="16"/>
              </w:rPr>
              <w:t>3.</w:t>
            </w:r>
          </w:p>
        </w:tc>
        <w:tc>
          <w:tcPr>
            <w:tcW w:w="1145"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Madžarska</w:t>
            </w:r>
          </w:p>
        </w:tc>
        <w:tc>
          <w:tcPr>
            <w:tcW w:w="388"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0,6</w:t>
            </w:r>
          </w:p>
        </w:tc>
        <w:tc>
          <w:tcPr>
            <w:tcW w:w="387"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0,7</w:t>
            </w:r>
          </w:p>
        </w:tc>
        <w:tc>
          <w:tcPr>
            <w:tcW w:w="387"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0,8</w:t>
            </w:r>
          </w:p>
        </w:tc>
        <w:tc>
          <w:tcPr>
            <w:tcW w:w="387"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0,8</w:t>
            </w:r>
          </w:p>
        </w:tc>
        <w:tc>
          <w:tcPr>
            <w:tcW w:w="388"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0,7</w:t>
            </w:r>
          </w:p>
        </w:tc>
        <w:tc>
          <w:tcPr>
            <w:tcW w:w="387"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0,7</w:t>
            </w:r>
          </w:p>
        </w:tc>
        <w:tc>
          <w:tcPr>
            <w:tcW w:w="387"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0,8</w:t>
            </w:r>
          </w:p>
        </w:tc>
        <w:tc>
          <w:tcPr>
            <w:tcW w:w="387"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0,8</w:t>
            </w:r>
          </w:p>
        </w:tc>
      </w:tr>
      <w:tr w:rsidR="00510707" w:rsidRPr="004F387D" w:rsidTr="006F54E8">
        <w:trPr>
          <w:trHeight w:val="102"/>
        </w:trPr>
        <w:tc>
          <w:tcPr>
            <w:cnfStyle w:val="001000000000" w:firstRow="0" w:lastRow="0" w:firstColumn="1" w:lastColumn="0" w:oddVBand="0" w:evenVBand="0" w:oddHBand="0" w:evenHBand="0" w:firstRowFirstColumn="0" w:firstRowLastColumn="0" w:lastRowFirstColumn="0" w:lastRowLastColumn="0"/>
            <w:tcW w:w="760" w:type="pct"/>
            <w:noWrap/>
            <w:hideMark/>
          </w:tcPr>
          <w:p w:rsidR="00510707" w:rsidRPr="006F54E8" w:rsidRDefault="00510707" w:rsidP="00510707">
            <w:pPr>
              <w:spacing w:after="0" w:line="240" w:lineRule="auto"/>
              <w:rPr>
                <w:rFonts w:ascii="Arial Narrow" w:hAnsi="Arial Narrow"/>
                <w:b w:val="0"/>
                <w:sz w:val="16"/>
                <w:szCs w:val="16"/>
              </w:rPr>
            </w:pPr>
            <w:r w:rsidRPr="006F54E8">
              <w:rPr>
                <w:rFonts w:ascii="Arial Narrow" w:hAnsi="Arial Narrow"/>
                <w:b w:val="0"/>
                <w:sz w:val="16"/>
                <w:szCs w:val="16"/>
              </w:rPr>
              <w:t>4.</w:t>
            </w:r>
          </w:p>
        </w:tc>
        <w:tc>
          <w:tcPr>
            <w:tcW w:w="1145"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Bolgarija</w:t>
            </w:r>
          </w:p>
        </w:tc>
        <w:tc>
          <w:tcPr>
            <w:tcW w:w="388"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0,4</w:t>
            </w:r>
          </w:p>
        </w:tc>
        <w:tc>
          <w:tcPr>
            <w:tcW w:w="387"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0,3</w:t>
            </w:r>
          </w:p>
        </w:tc>
        <w:tc>
          <w:tcPr>
            <w:tcW w:w="387"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0,4</w:t>
            </w:r>
          </w:p>
        </w:tc>
        <w:tc>
          <w:tcPr>
            <w:tcW w:w="387"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0,4</w:t>
            </w:r>
          </w:p>
        </w:tc>
        <w:tc>
          <w:tcPr>
            <w:tcW w:w="388"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0,4</w:t>
            </w:r>
          </w:p>
        </w:tc>
        <w:tc>
          <w:tcPr>
            <w:tcW w:w="387"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0,5</w:t>
            </w:r>
          </w:p>
        </w:tc>
        <w:tc>
          <w:tcPr>
            <w:tcW w:w="387"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0,6</w:t>
            </w:r>
          </w:p>
        </w:tc>
        <w:tc>
          <w:tcPr>
            <w:tcW w:w="387"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0,7</w:t>
            </w:r>
          </w:p>
        </w:tc>
      </w:tr>
      <w:tr w:rsidR="00510707" w:rsidRPr="004F387D" w:rsidTr="006F54E8">
        <w:trPr>
          <w:cnfStyle w:val="000000100000" w:firstRow="0" w:lastRow="0" w:firstColumn="0" w:lastColumn="0" w:oddVBand="0" w:evenVBand="0" w:oddHBand="1" w:evenHBand="0" w:firstRowFirstColumn="0" w:firstRowLastColumn="0" w:lastRowFirstColumn="0" w:lastRowLastColumn="0"/>
          <w:trHeight w:val="162"/>
        </w:trPr>
        <w:tc>
          <w:tcPr>
            <w:cnfStyle w:val="001000000000" w:firstRow="0" w:lastRow="0" w:firstColumn="1" w:lastColumn="0" w:oddVBand="0" w:evenVBand="0" w:oddHBand="0" w:evenHBand="0" w:firstRowFirstColumn="0" w:firstRowLastColumn="0" w:lastRowFirstColumn="0" w:lastRowLastColumn="0"/>
            <w:tcW w:w="760" w:type="pct"/>
            <w:noWrap/>
            <w:hideMark/>
          </w:tcPr>
          <w:p w:rsidR="00510707" w:rsidRPr="006F54E8" w:rsidRDefault="00510707" w:rsidP="00510707">
            <w:pPr>
              <w:spacing w:after="0" w:line="240" w:lineRule="auto"/>
              <w:rPr>
                <w:rFonts w:ascii="Arial Narrow" w:hAnsi="Arial Narrow"/>
                <w:b w:val="0"/>
                <w:sz w:val="16"/>
                <w:szCs w:val="16"/>
              </w:rPr>
            </w:pPr>
            <w:r w:rsidRPr="006F54E8">
              <w:rPr>
                <w:rFonts w:ascii="Arial Narrow" w:hAnsi="Arial Narrow"/>
                <w:b w:val="0"/>
                <w:sz w:val="16"/>
                <w:szCs w:val="16"/>
              </w:rPr>
              <w:t>4.</w:t>
            </w:r>
          </w:p>
        </w:tc>
        <w:tc>
          <w:tcPr>
            <w:tcW w:w="1145"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Danska</w:t>
            </w:r>
          </w:p>
        </w:tc>
        <w:tc>
          <w:tcPr>
            <w:tcW w:w="388"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0,6</w:t>
            </w:r>
          </w:p>
        </w:tc>
        <w:tc>
          <w:tcPr>
            <w:tcW w:w="387"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0,7</w:t>
            </w:r>
          </w:p>
        </w:tc>
        <w:tc>
          <w:tcPr>
            <w:tcW w:w="387"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0,7</w:t>
            </w:r>
          </w:p>
        </w:tc>
        <w:tc>
          <w:tcPr>
            <w:tcW w:w="387"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0,7</w:t>
            </w:r>
          </w:p>
        </w:tc>
        <w:tc>
          <w:tcPr>
            <w:tcW w:w="388"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0,7</w:t>
            </w:r>
          </w:p>
        </w:tc>
        <w:tc>
          <w:tcPr>
            <w:tcW w:w="387"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0,7</w:t>
            </w:r>
          </w:p>
        </w:tc>
        <w:tc>
          <w:tcPr>
            <w:tcW w:w="387"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0,7</w:t>
            </w:r>
          </w:p>
        </w:tc>
        <w:tc>
          <w:tcPr>
            <w:tcW w:w="387"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0,7</w:t>
            </w:r>
          </w:p>
        </w:tc>
      </w:tr>
      <w:tr w:rsidR="00510707" w:rsidRPr="004F387D" w:rsidTr="006F54E8">
        <w:trPr>
          <w:trHeight w:val="102"/>
        </w:trPr>
        <w:tc>
          <w:tcPr>
            <w:cnfStyle w:val="001000000000" w:firstRow="0" w:lastRow="0" w:firstColumn="1" w:lastColumn="0" w:oddVBand="0" w:evenVBand="0" w:oddHBand="0" w:evenHBand="0" w:firstRowFirstColumn="0" w:firstRowLastColumn="0" w:lastRowFirstColumn="0" w:lastRowLastColumn="0"/>
            <w:tcW w:w="760" w:type="pct"/>
            <w:noWrap/>
            <w:hideMark/>
          </w:tcPr>
          <w:p w:rsidR="00510707" w:rsidRPr="006F54E8" w:rsidRDefault="00510707" w:rsidP="00510707">
            <w:pPr>
              <w:spacing w:after="0" w:line="240" w:lineRule="auto"/>
              <w:rPr>
                <w:rFonts w:ascii="Arial Narrow" w:hAnsi="Arial Narrow"/>
                <w:b w:val="0"/>
                <w:sz w:val="16"/>
                <w:szCs w:val="16"/>
              </w:rPr>
            </w:pPr>
            <w:r w:rsidRPr="006F54E8">
              <w:rPr>
                <w:rFonts w:ascii="Arial Narrow" w:hAnsi="Arial Narrow"/>
                <w:b w:val="0"/>
                <w:sz w:val="16"/>
                <w:szCs w:val="16"/>
              </w:rPr>
              <w:t>4.</w:t>
            </w:r>
          </w:p>
        </w:tc>
        <w:tc>
          <w:tcPr>
            <w:tcW w:w="1145"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Francija</w:t>
            </w:r>
          </w:p>
        </w:tc>
        <w:tc>
          <w:tcPr>
            <w:tcW w:w="388"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0,7</w:t>
            </w:r>
          </w:p>
        </w:tc>
        <w:tc>
          <w:tcPr>
            <w:tcW w:w="387"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0,8</w:t>
            </w:r>
          </w:p>
        </w:tc>
        <w:tc>
          <w:tcPr>
            <w:tcW w:w="387"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0,8</w:t>
            </w:r>
          </w:p>
        </w:tc>
        <w:tc>
          <w:tcPr>
            <w:tcW w:w="387"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0,8</w:t>
            </w:r>
          </w:p>
        </w:tc>
        <w:tc>
          <w:tcPr>
            <w:tcW w:w="388"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0,8</w:t>
            </w:r>
          </w:p>
        </w:tc>
        <w:tc>
          <w:tcPr>
            <w:tcW w:w="387"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0,8</w:t>
            </w:r>
          </w:p>
        </w:tc>
        <w:tc>
          <w:tcPr>
            <w:tcW w:w="387"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0,8</w:t>
            </w:r>
          </w:p>
        </w:tc>
        <w:tc>
          <w:tcPr>
            <w:tcW w:w="387"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0,7</w:t>
            </w:r>
          </w:p>
        </w:tc>
      </w:tr>
      <w:tr w:rsidR="00510707" w:rsidRPr="004F387D" w:rsidTr="006F54E8">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760" w:type="pct"/>
            <w:noWrap/>
            <w:hideMark/>
          </w:tcPr>
          <w:p w:rsidR="00510707" w:rsidRPr="006F54E8" w:rsidRDefault="00510707" w:rsidP="00510707">
            <w:pPr>
              <w:spacing w:after="0" w:line="240" w:lineRule="auto"/>
              <w:rPr>
                <w:rFonts w:ascii="Arial Narrow" w:hAnsi="Arial Narrow"/>
                <w:b w:val="0"/>
                <w:sz w:val="16"/>
                <w:szCs w:val="16"/>
              </w:rPr>
            </w:pPr>
            <w:r w:rsidRPr="006F54E8">
              <w:rPr>
                <w:rFonts w:ascii="Arial Narrow" w:hAnsi="Arial Narrow"/>
                <w:b w:val="0"/>
                <w:sz w:val="16"/>
                <w:szCs w:val="16"/>
              </w:rPr>
              <w:t>4.</w:t>
            </w:r>
          </w:p>
        </w:tc>
        <w:tc>
          <w:tcPr>
            <w:tcW w:w="1145"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Hrvaška</w:t>
            </w:r>
          </w:p>
        </w:tc>
        <w:tc>
          <w:tcPr>
            <w:tcW w:w="388"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0,5</w:t>
            </w:r>
          </w:p>
        </w:tc>
        <w:tc>
          <w:tcPr>
            <w:tcW w:w="387"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0,5</w:t>
            </w:r>
          </w:p>
        </w:tc>
        <w:tc>
          <w:tcPr>
            <w:tcW w:w="387"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0,5</w:t>
            </w:r>
          </w:p>
        </w:tc>
        <w:tc>
          <w:tcPr>
            <w:tcW w:w="387"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0,5</w:t>
            </w:r>
          </w:p>
        </w:tc>
        <w:tc>
          <w:tcPr>
            <w:tcW w:w="388"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0,5</w:t>
            </w:r>
          </w:p>
        </w:tc>
        <w:tc>
          <w:tcPr>
            <w:tcW w:w="387"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0,7</w:t>
            </w:r>
          </w:p>
        </w:tc>
        <w:tc>
          <w:tcPr>
            <w:tcW w:w="387"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0,6</w:t>
            </w:r>
          </w:p>
        </w:tc>
        <w:tc>
          <w:tcPr>
            <w:tcW w:w="387"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0,7</w:t>
            </w:r>
          </w:p>
        </w:tc>
      </w:tr>
      <w:tr w:rsidR="00510707" w:rsidRPr="004F387D" w:rsidTr="006F54E8">
        <w:trPr>
          <w:trHeight w:val="102"/>
        </w:trPr>
        <w:tc>
          <w:tcPr>
            <w:cnfStyle w:val="001000000000" w:firstRow="0" w:lastRow="0" w:firstColumn="1" w:lastColumn="0" w:oddVBand="0" w:evenVBand="0" w:oddHBand="0" w:evenHBand="0" w:firstRowFirstColumn="0" w:firstRowLastColumn="0" w:lastRowFirstColumn="0" w:lastRowLastColumn="0"/>
            <w:tcW w:w="760" w:type="pct"/>
            <w:noWrap/>
            <w:hideMark/>
          </w:tcPr>
          <w:p w:rsidR="00510707" w:rsidRPr="006F54E8" w:rsidRDefault="00510707" w:rsidP="00510707">
            <w:pPr>
              <w:spacing w:after="0" w:line="240" w:lineRule="auto"/>
              <w:rPr>
                <w:rFonts w:ascii="Arial Narrow" w:hAnsi="Arial Narrow"/>
                <w:b w:val="0"/>
                <w:color w:val="4F81BD" w:themeColor="accent1"/>
                <w:sz w:val="16"/>
                <w:szCs w:val="16"/>
              </w:rPr>
            </w:pPr>
            <w:r w:rsidRPr="006F54E8">
              <w:rPr>
                <w:rFonts w:ascii="Arial Narrow" w:hAnsi="Arial Narrow"/>
                <w:b w:val="0"/>
                <w:color w:val="4F81BD" w:themeColor="accent1"/>
                <w:sz w:val="16"/>
                <w:szCs w:val="16"/>
              </w:rPr>
              <w:t>4.</w:t>
            </w:r>
          </w:p>
        </w:tc>
        <w:tc>
          <w:tcPr>
            <w:tcW w:w="1145" w:type="pct"/>
            <w:noWrap/>
            <w:hideMark/>
          </w:tcPr>
          <w:p w:rsidR="00510707" w:rsidRPr="006F54E8"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color w:val="4F81BD" w:themeColor="accent1"/>
                <w:sz w:val="16"/>
                <w:szCs w:val="16"/>
              </w:rPr>
            </w:pPr>
            <w:r w:rsidRPr="006F54E8">
              <w:rPr>
                <w:rFonts w:ascii="Arial Narrow" w:hAnsi="Arial Narrow"/>
                <w:b/>
                <w:color w:val="4F81BD" w:themeColor="accent1"/>
                <w:sz w:val="16"/>
                <w:szCs w:val="16"/>
              </w:rPr>
              <w:t>Slovenija</w:t>
            </w:r>
          </w:p>
        </w:tc>
        <w:tc>
          <w:tcPr>
            <w:tcW w:w="388" w:type="pct"/>
            <w:noWrap/>
            <w:hideMark/>
          </w:tcPr>
          <w:p w:rsidR="00510707" w:rsidRPr="006F54E8"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color w:val="4F81BD" w:themeColor="accent1"/>
                <w:sz w:val="16"/>
                <w:szCs w:val="16"/>
              </w:rPr>
            </w:pPr>
            <w:r w:rsidRPr="006F54E8">
              <w:rPr>
                <w:rFonts w:ascii="Arial Narrow" w:hAnsi="Arial Narrow"/>
                <w:b/>
                <w:color w:val="4F81BD" w:themeColor="accent1"/>
                <w:sz w:val="16"/>
                <w:szCs w:val="16"/>
              </w:rPr>
              <w:t>0,8</w:t>
            </w:r>
          </w:p>
        </w:tc>
        <w:tc>
          <w:tcPr>
            <w:tcW w:w="387" w:type="pct"/>
            <w:noWrap/>
            <w:hideMark/>
          </w:tcPr>
          <w:p w:rsidR="00510707" w:rsidRPr="006F54E8"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color w:val="4F81BD" w:themeColor="accent1"/>
                <w:sz w:val="16"/>
                <w:szCs w:val="16"/>
              </w:rPr>
            </w:pPr>
            <w:r w:rsidRPr="006F54E8">
              <w:rPr>
                <w:rFonts w:ascii="Arial Narrow" w:hAnsi="Arial Narrow"/>
                <w:b/>
                <w:color w:val="4F81BD" w:themeColor="accent1"/>
                <w:sz w:val="16"/>
                <w:szCs w:val="16"/>
              </w:rPr>
              <w:t>0,9</w:t>
            </w:r>
          </w:p>
        </w:tc>
        <w:tc>
          <w:tcPr>
            <w:tcW w:w="387" w:type="pct"/>
            <w:noWrap/>
            <w:hideMark/>
          </w:tcPr>
          <w:p w:rsidR="00510707" w:rsidRPr="006F54E8"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color w:val="4F81BD" w:themeColor="accent1"/>
                <w:sz w:val="16"/>
                <w:szCs w:val="16"/>
              </w:rPr>
            </w:pPr>
            <w:r w:rsidRPr="006F54E8">
              <w:rPr>
                <w:rFonts w:ascii="Arial Narrow" w:hAnsi="Arial Narrow"/>
                <w:b/>
                <w:color w:val="4F81BD" w:themeColor="accent1"/>
                <w:sz w:val="16"/>
                <w:szCs w:val="16"/>
              </w:rPr>
              <w:t>0,9</w:t>
            </w:r>
          </w:p>
        </w:tc>
        <w:tc>
          <w:tcPr>
            <w:tcW w:w="387" w:type="pct"/>
            <w:noWrap/>
            <w:hideMark/>
          </w:tcPr>
          <w:p w:rsidR="00510707" w:rsidRPr="006F54E8"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color w:val="4F81BD" w:themeColor="accent1"/>
                <w:sz w:val="16"/>
                <w:szCs w:val="16"/>
              </w:rPr>
            </w:pPr>
            <w:r w:rsidRPr="006F54E8">
              <w:rPr>
                <w:rFonts w:ascii="Arial Narrow" w:hAnsi="Arial Narrow"/>
                <w:b/>
                <w:color w:val="4F81BD" w:themeColor="accent1"/>
                <w:sz w:val="16"/>
                <w:szCs w:val="16"/>
              </w:rPr>
              <w:t>0,8</w:t>
            </w:r>
          </w:p>
        </w:tc>
        <w:tc>
          <w:tcPr>
            <w:tcW w:w="388" w:type="pct"/>
            <w:noWrap/>
            <w:hideMark/>
          </w:tcPr>
          <w:p w:rsidR="00510707" w:rsidRPr="006F54E8"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color w:val="4F81BD" w:themeColor="accent1"/>
                <w:sz w:val="16"/>
                <w:szCs w:val="16"/>
              </w:rPr>
            </w:pPr>
            <w:r w:rsidRPr="006F54E8">
              <w:rPr>
                <w:rFonts w:ascii="Arial Narrow" w:hAnsi="Arial Narrow"/>
                <w:b/>
                <w:color w:val="4F81BD" w:themeColor="accent1"/>
                <w:sz w:val="16"/>
                <w:szCs w:val="16"/>
              </w:rPr>
              <w:t>0,8</w:t>
            </w:r>
          </w:p>
        </w:tc>
        <w:tc>
          <w:tcPr>
            <w:tcW w:w="387" w:type="pct"/>
            <w:noWrap/>
            <w:hideMark/>
          </w:tcPr>
          <w:p w:rsidR="00510707" w:rsidRPr="006F54E8"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color w:val="4F81BD" w:themeColor="accent1"/>
                <w:sz w:val="16"/>
                <w:szCs w:val="16"/>
              </w:rPr>
            </w:pPr>
            <w:r w:rsidRPr="006F54E8">
              <w:rPr>
                <w:rFonts w:ascii="Arial Narrow" w:hAnsi="Arial Narrow"/>
                <w:b/>
                <w:color w:val="4F81BD" w:themeColor="accent1"/>
                <w:sz w:val="16"/>
                <w:szCs w:val="16"/>
              </w:rPr>
              <w:t>0,8</w:t>
            </w:r>
          </w:p>
        </w:tc>
        <w:tc>
          <w:tcPr>
            <w:tcW w:w="387" w:type="pct"/>
            <w:noWrap/>
            <w:hideMark/>
          </w:tcPr>
          <w:p w:rsidR="00510707" w:rsidRPr="006F54E8"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color w:val="4F81BD" w:themeColor="accent1"/>
                <w:sz w:val="16"/>
                <w:szCs w:val="16"/>
              </w:rPr>
            </w:pPr>
            <w:r w:rsidRPr="006F54E8">
              <w:rPr>
                <w:rFonts w:ascii="Arial Narrow" w:hAnsi="Arial Narrow"/>
                <w:b/>
                <w:color w:val="4F81BD" w:themeColor="accent1"/>
                <w:sz w:val="16"/>
                <w:szCs w:val="16"/>
              </w:rPr>
              <w:t>0,8</w:t>
            </w:r>
          </w:p>
        </w:tc>
        <w:tc>
          <w:tcPr>
            <w:tcW w:w="387" w:type="pct"/>
            <w:noWrap/>
            <w:hideMark/>
          </w:tcPr>
          <w:p w:rsidR="00510707" w:rsidRPr="006F54E8"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color w:val="4F81BD" w:themeColor="accent1"/>
                <w:sz w:val="16"/>
                <w:szCs w:val="16"/>
              </w:rPr>
            </w:pPr>
            <w:r w:rsidRPr="006F54E8">
              <w:rPr>
                <w:rFonts w:ascii="Arial Narrow" w:hAnsi="Arial Narrow"/>
                <w:b/>
                <w:color w:val="4F81BD" w:themeColor="accent1"/>
                <w:sz w:val="16"/>
                <w:szCs w:val="16"/>
              </w:rPr>
              <w:t>0,7</w:t>
            </w:r>
          </w:p>
        </w:tc>
      </w:tr>
      <w:tr w:rsidR="00510707" w:rsidRPr="004F387D" w:rsidTr="006F54E8">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760" w:type="pct"/>
            <w:noWrap/>
            <w:hideMark/>
          </w:tcPr>
          <w:p w:rsidR="00510707" w:rsidRPr="006F54E8" w:rsidRDefault="00510707" w:rsidP="00510707">
            <w:pPr>
              <w:spacing w:after="0" w:line="240" w:lineRule="auto"/>
              <w:rPr>
                <w:rFonts w:ascii="Arial Narrow" w:hAnsi="Arial Narrow"/>
                <w:b w:val="0"/>
                <w:sz w:val="16"/>
                <w:szCs w:val="16"/>
              </w:rPr>
            </w:pPr>
            <w:r w:rsidRPr="006F54E8">
              <w:rPr>
                <w:rFonts w:ascii="Arial Narrow" w:hAnsi="Arial Narrow"/>
                <w:b w:val="0"/>
                <w:sz w:val="16"/>
                <w:szCs w:val="16"/>
              </w:rPr>
              <w:t>5.</w:t>
            </w:r>
          </w:p>
        </w:tc>
        <w:tc>
          <w:tcPr>
            <w:tcW w:w="1145"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Češka</w:t>
            </w:r>
          </w:p>
        </w:tc>
        <w:tc>
          <w:tcPr>
            <w:tcW w:w="388"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0,6</w:t>
            </w:r>
          </w:p>
        </w:tc>
        <w:tc>
          <w:tcPr>
            <w:tcW w:w="387"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0,7</w:t>
            </w:r>
          </w:p>
        </w:tc>
        <w:tc>
          <w:tcPr>
            <w:tcW w:w="387"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0,7</w:t>
            </w:r>
          </w:p>
        </w:tc>
        <w:tc>
          <w:tcPr>
            <w:tcW w:w="387"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0,6</w:t>
            </w:r>
          </w:p>
        </w:tc>
        <w:tc>
          <w:tcPr>
            <w:tcW w:w="388"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0,6</w:t>
            </w:r>
          </w:p>
        </w:tc>
        <w:tc>
          <w:tcPr>
            <w:tcW w:w="387"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0,6</w:t>
            </w:r>
          </w:p>
        </w:tc>
        <w:tc>
          <w:tcPr>
            <w:tcW w:w="387"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0,6</w:t>
            </w:r>
          </w:p>
        </w:tc>
        <w:tc>
          <w:tcPr>
            <w:tcW w:w="387"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0,6</w:t>
            </w:r>
          </w:p>
        </w:tc>
      </w:tr>
      <w:tr w:rsidR="00510707" w:rsidRPr="004F387D" w:rsidTr="006F54E8">
        <w:trPr>
          <w:trHeight w:val="102"/>
        </w:trPr>
        <w:tc>
          <w:tcPr>
            <w:cnfStyle w:val="001000000000" w:firstRow="0" w:lastRow="0" w:firstColumn="1" w:lastColumn="0" w:oddVBand="0" w:evenVBand="0" w:oddHBand="0" w:evenHBand="0" w:firstRowFirstColumn="0" w:firstRowLastColumn="0" w:lastRowFirstColumn="0" w:lastRowLastColumn="0"/>
            <w:tcW w:w="760" w:type="pct"/>
            <w:noWrap/>
            <w:hideMark/>
          </w:tcPr>
          <w:p w:rsidR="00510707" w:rsidRPr="006F54E8" w:rsidRDefault="00510707" w:rsidP="00510707">
            <w:pPr>
              <w:spacing w:after="0" w:line="240" w:lineRule="auto"/>
              <w:rPr>
                <w:rFonts w:ascii="Arial Narrow" w:hAnsi="Arial Narrow"/>
                <w:b w:val="0"/>
                <w:sz w:val="16"/>
                <w:szCs w:val="16"/>
              </w:rPr>
            </w:pPr>
            <w:r w:rsidRPr="006F54E8">
              <w:rPr>
                <w:rFonts w:ascii="Arial Narrow" w:hAnsi="Arial Narrow"/>
                <w:b w:val="0"/>
                <w:sz w:val="16"/>
                <w:szCs w:val="16"/>
              </w:rPr>
              <w:t>5.</w:t>
            </w:r>
          </w:p>
        </w:tc>
        <w:tc>
          <w:tcPr>
            <w:tcW w:w="1145"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Litva</w:t>
            </w:r>
          </w:p>
        </w:tc>
        <w:tc>
          <w:tcPr>
            <w:tcW w:w="388"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0,7</w:t>
            </w:r>
          </w:p>
        </w:tc>
        <w:tc>
          <w:tcPr>
            <w:tcW w:w="387"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0,8</w:t>
            </w:r>
          </w:p>
        </w:tc>
        <w:tc>
          <w:tcPr>
            <w:tcW w:w="387"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0,6</w:t>
            </w:r>
          </w:p>
        </w:tc>
        <w:tc>
          <w:tcPr>
            <w:tcW w:w="387"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0,6</w:t>
            </w:r>
          </w:p>
        </w:tc>
        <w:tc>
          <w:tcPr>
            <w:tcW w:w="388"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0,6</w:t>
            </w:r>
          </w:p>
        </w:tc>
        <w:tc>
          <w:tcPr>
            <w:tcW w:w="387"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0,6</w:t>
            </w:r>
          </w:p>
        </w:tc>
        <w:tc>
          <w:tcPr>
            <w:tcW w:w="387"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0,6</w:t>
            </w:r>
          </w:p>
        </w:tc>
        <w:tc>
          <w:tcPr>
            <w:tcW w:w="387"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0,6</w:t>
            </w:r>
          </w:p>
        </w:tc>
      </w:tr>
      <w:tr w:rsidR="00510707" w:rsidRPr="004F387D" w:rsidTr="006F54E8">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760" w:type="pct"/>
            <w:noWrap/>
            <w:hideMark/>
          </w:tcPr>
          <w:p w:rsidR="00510707" w:rsidRPr="006F54E8" w:rsidRDefault="00510707" w:rsidP="00510707">
            <w:pPr>
              <w:spacing w:after="0" w:line="240" w:lineRule="auto"/>
              <w:rPr>
                <w:rFonts w:ascii="Arial Narrow" w:hAnsi="Arial Narrow"/>
                <w:b w:val="0"/>
                <w:sz w:val="16"/>
                <w:szCs w:val="16"/>
              </w:rPr>
            </w:pPr>
            <w:r w:rsidRPr="006F54E8">
              <w:rPr>
                <w:rFonts w:ascii="Arial Narrow" w:hAnsi="Arial Narrow"/>
                <w:b w:val="0"/>
                <w:sz w:val="16"/>
                <w:szCs w:val="16"/>
              </w:rPr>
              <w:t>5.</w:t>
            </w:r>
          </w:p>
        </w:tc>
        <w:tc>
          <w:tcPr>
            <w:tcW w:w="1145"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Poljska</w:t>
            </w:r>
          </w:p>
        </w:tc>
        <w:tc>
          <w:tcPr>
            <w:tcW w:w="388"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0,8</w:t>
            </w:r>
          </w:p>
        </w:tc>
        <w:tc>
          <w:tcPr>
            <w:tcW w:w="387"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0,7</w:t>
            </w:r>
          </w:p>
        </w:tc>
        <w:tc>
          <w:tcPr>
            <w:tcW w:w="387"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0,7</w:t>
            </w:r>
          </w:p>
        </w:tc>
        <w:tc>
          <w:tcPr>
            <w:tcW w:w="387"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0,6</w:t>
            </w:r>
          </w:p>
        </w:tc>
        <w:tc>
          <w:tcPr>
            <w:tcW w:w="388"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0,6</w:t>
            </w:r>
          </w:p>
        </w:tc>
        <w:tc>
          <w:tcPr>
            <w:tcW w:w="387"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0,6</w:t>
            </w:r>
          </w:p>
        </w:tc>
        <w:tc>
          <w:tcPr>
            <w:tcW w:w="387"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0,7</w:t>
            </w:r>
          </w:p>
        </w:tc>
        <w:tc>
          <w:tcPr>
            <w:tcW w:w="387"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0,6</w:t>
            </w:r>
          </w:p>
        </w:tc>
      </w:tr>
      <w:tr w:rsidR="00510707" w:rsidRPr="004F387D" w:rsidTr="006F54E8">
        <w:trPr>
          <w:trHeight w:val="102"/>
        </w:trPr>
        <w:tc>
          <w:tcPr>
            <w:cnfStyle w:val="001000000000" w:firstRow="0" w:lastRow="0" w:firstColumn="1" w:lastColumn="0" w:oddVBand="0" w:evenVBand="0" w:oddHBand="0" w:evenHBand="0" w:firstRowFirstColumn="0" w:firstRowLastColumn="0" w:lastRowFirstColumn="0" w:lastRowLastColumn="0"/>
            <w:tcW w:w="760" w:type="pct"/>
            <w:noWrap/>
            <w:hideMark/>
          </w:tcPr>
          <w:p w:rsidR="00510707" w:rsidRPr="006F54E8" w:rsidRDefault="00510707" w:rsidP="00510707">
            <w:pPr>
              <w:spacing w:after="0" w:line="240" w:lineRule="auto"/>
              <w:rPr>
                <w:rFonts w:ascii="Arial Narrow" w:hAnsi="Arial Narrow"/>
                <w:b w:val="0"/>
                <w:sz w:val="16"/>
                <w:szCs w:val="16"/>
              </w:rPr>
            </w:pPr>
            <w:r w:rsidRPr="006F54E8">
              <w:rPr>
                <w:rFonts w:ascii="Arial Narrow" w:hAnsi="Arial Narrow"/>
                <w:b w:val="0"/>
                <w:sz w:val="16"/>
                <w:szCs w:val="16"/>
              </w:rPr>
              <w:t>5.</w:t>
            </w:r>
          </w:p>
        </w:tc>
        <w:tc>
          <w:tcPr>
            <w:tcW w:w="1145"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Norveška</w:t>
            </w:r>
          </w:p>
        </w:tc>
        <w:tc>
          <w:tcPr>
            <w:tcW w:w="388"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0,5</w:t>
            </w:r>
          </w:p>
        </w:tc>
        <w:tc>
          <w:tcPr>
            <w:tcW w:w="387"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0,6</w:t>
            </w:r>
          </w:p>
        </w:tc>
        <w:tc>
          <w:tcPr>
            <w:tcW w:w="387"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0,6</w:t>
            </w:r>
          </w:p>
        </w:tc>
        <w:tc>
          <w:tcPr>
            <w:tcW w:w="387"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0,6</w:t>
            </w:r>
          </w:p>
        </w:tc>
        <w:tc>
          <w:tcPr>
            <w:tcW w:w="388"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0,6</w:t>
            </w:r>
          </w:p>
        </w:tc>
        <w:tc>
          <w:tcPr>
            <w:tcW w:w="387"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0,6</w:t>
            </w:r>
          </w:p>
        </w:tc>
        <w:tc>
          <w:tcPr>
            <w:tcW w:w="387"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0,6</w:t>
            </w:r>
          </w:p>
        </w:tc>
        <w:tc>
          <w:tcPr>
            <w:tcW w:w="387"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0,6</w:t>
            </w:r>
          </w:p>
        </w:tc>
      </w:tr>
      <w:tr w:rsidR="00510707" w:rsidRPr="004F387D" w:rsidTr="006F54E8">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760" w:type="pct"/>
            <w:noWrap/>
            <w:hideMark/>
          </w:tcPr>
          <w:p w:rsidR="00510707" w:rsidRPr="006F54E8" w:rsidRDefault="00510707" w:rsidP="00510707">
            <w:pPr>
              <w:spacing w:after="0" w:line="240" w:lineRule="auto"/>
              <w:rPr>
                <w:rFonts w:ascii="Arial Narrow" w:hAnsi="Arial Narrow"/>
                <w:b w:val="0"/>
                <w:sz w:val="16"/>
                <w:szCs w:val="16"/>
              </w:rPr>
            </w:pPr>
            <w:r w:rsidRPr="006F54E8">
              <w:rPr>
                <w:rFonts w:ascii="Arial Narrow" w:hAnsi="Arial Narrow"/>
                <w:b w:val="0"/>
                <w:sz w:val="16"/>
                <w:szCs w:val="16"/>
              </w:rPr>
              <w:t>6.</w:t>
            </w:r>
          </w:p>
        </w:tc>
        <w:tc>
          <w:tcPr>
            <w:tcW w:w="1145"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Belgija</w:t>
            </w:r>
          </w:p>
        </w:tc>
        <w:tc>
          <w:tcPr>
            <w:tcW w:w="388"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0,5</w:t>
            </w:r>
          </w:p>
        </w:tc>
        <w:tc>
          <w:tcPr>
            <w:tcW w:w="387"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0,5</w:t>
            </w:r>
          </w:p>
        </w:tc>
        <w:tc>
          <w:tcPr>
            <w:tcW w:w="387"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0,5</w:t>
            </w:r>
          </w:p>
        </w:tc>
        <w:tc>
          <w:tcPr>
            <w:tcW w:w="387"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0,5</w:t>
            </w:r>
          </w:p>
        </w:tc>
        <w:tc>
          <w:tcPr>
            <w:tcW w:w="388"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0,5</w:t>
            </w:r>
          </w:p>
        </w:tc>
        <w:tc>
          <w:tcPr>
            <w:tcW w:w="387"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0,5</w:t>
            </w:r>
          </w:p>
        </w:tc>
        <w:tc>
          <w:tcPr>
            <w:tcW w:w="387"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0,5</w:t>
            </w:r>
          </w:p>
        </w:tc>
        <w:tc>
          <w:tcPr>
            <w:tcW w:w="387"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0,5</w:t>
            </w:r>
          </w:p>
        </w:tc>
      </w:tr>
      <w:tr w:rsidR="00510707" w:rsidRPr="004F387D" w:rsidTr="006F54E8">
        <w:trPr>
          <w:trHeight w:val="102"/>
        </w:trPr>
        <w:tc>
          <w:tcPr>
            <w:cnfStyle w:val="001000000000" w:firstRow="0" w:lastRow="0" w:firstColumn="1" w:lastColumn="0" w:oddVBand="0" w:evenVBand="0" w:oddHBand="0" w:evenHBand="0" w:firstRowFirstColumn="0" w:firstRowLastColumn="0" w:lastRowFirstColumn="0" w:lastRowLastColumn="0"/>
            <w:tcW w:w="760" w:type="pct"/>
            <w:noWrap/>
            <w:hideMark/>
          </w:tcPr>
          <w:p w:rsidR="00510707" w:rsidRPr="006F54E8" w:rsidRDefault="00510707" w:rsidP="00510707">
            <w:pPr>
              <w:spacing w:after="0" w:line="240" w:lineRule="auto"/>
              <w:rPr>
                <w:rFonts w:ascii="Arial Narrow" w:hAnsi="Arial Narrow"/>
                <w:b w:val="0"/>
                <w:sz w:val="16"/>
                <w:szCs w:val="16"/>
              </w:rPr>
            </w:pPr>
            <w:r w:rsidRPr="006F54E8">
              <w:rPr>
                <w:rFonts w:ascii="Arial Narrow" w:hAnsi="Arial Narrow"/>
                <w:b w:val="0"/>
                <w:sz w:val="16"/>
                <w:szCs w:val="16"/>
              </w:rPr>
              <w:t>6.</w:t>
            </w:r>
          </w:p>
        </w:tc>
        <w:tc>
          <w:tcPr>
            <w:tcW w:w="1145"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Luksemburg</w:t>
            </w:r>
          </w:p>
        </w:tc>
        <w:tc>
          <w:tcPr>
            <w:tcW w:w="388"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0,6</w:t>
            </w:r>
          </w:p>
        </w:tc>
        <w:tc>
          <w:tcPr>
            <w:tcW w:w="387"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0,6</w:t>
            </w:r>
          </w:p>
        </w:tc>
        <w:tc>
          <w:tcPr>
            <w:tcW w:w="387"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0,5</w:t>
            </w:r>
          </w:p>
        </w:tc>
        <w:tc>
          <w:tcPr>
            <w:tcW w:w="387"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0,5</w:t>
            </w:r>
          </w:p>
        </w:tc>
        <w:tc>
          <w:tcPr>
            <w:tcW w:w="388"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0,5</w:t>
            </w:r>
          </w:p>
        </w:tc>
        <w:tc>
          <w:tcPr>
            <w:tcW w:w="387"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0,5</w:t>
            </w:r>
          </w:p>
        </w:tc>
        <w:tc>
          <w:tcPr>
            <w:tcW w:w="387"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0,5</w:t>
            </w:r>
          </w:p>
        </w:tc>
        <w:tc>
          <w:tcPr>
            <w:tcW w:w="387"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0,5</w:t>
            </w:r>
          </w:p>
        </w:tc>
      </w:tr>
      <w:tr w:rsidR="00510707" w:rsidRPr="004F387D" w:rsidTr="006F54E8">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760" w:type="pct"/>
            <w:noWrap/>
            <w:hideMark/>
          </w:tcPr>
          <w:p w:rsidR="00510707" w:rsidRPr="006F54E8" w:rsidRDefault="00510707" w:rsidP="00510707">
            <w:pPr>
              <w:spacing w:after="0" w:line="240" w:lineRule="auto"/>
              <w:rPr>
                <w:rFonts w:ascii="Arial Narrow" w:hAnsi="Arial Narrow"/>
                <w:b w:val="0"/>
                <w:sz w:val="16"/>
                <w:szCs w:val="16"/>
              </w:rPr>
            </w:pPr>
            <w:r w:rsidRPr="006F54E8">
              <w:rPr>
                <w:rFonts w:ascii="Arial Narrow" w:hAnsi="Arial Narrow"/>
                <w:b w:val="0"/>
                <w:sz w:val="16"/>
                <w:szCs w:val="16"/>
              </w:rPr>
              <w:t>6.</w:t>
            </w:r>
          </w:p>
        </w:tc>
        <w:tc>
          <w:tcPr>
            <w:tcW w:w="1145"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Avstrija</w:t>
            </w:r>
          </w:p>
        </w:tc>
        <w:tc>
          <w:tcPr>
            <w:tcW w:w="388"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0,6</w:t>
            </w:r>
          </w:p>
        </w:tc>
        <w:tc>
          <w:tcPr>
            <w:tcW w:w="387"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0,6</w:t>
            </w:r>
          </w:p>
        </w:tc>
        <w:tc>
          <w:tcPr>
            <w:tcW w:w="387"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0,6</w:t>
            </w:r>
          </w:p>
        </w:tc>
        <w:tc>
          <w:tcPr>
            <w:tcW w:w="387"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0,6</w:t>
            </w:r>
          </w:p>
        </w:tc>
        <w:tc>
          <w:tcPr>
            <w:tcW w:w="388"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0,6</w:t>
            </w:r>
          </w:p>
        </w:tc>
        <w:tc>
          <w:tcPr>
            <w:tcW w:w="387"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0,6</w:t>
            </w:r>
          </w:p>
        </w:tc>
        <w:tc>
          <w:tcPr>
            <w:tcW w:w="387"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0,6</w:t>
            </w:r>
          </w:p>
        </w:tc>
        <w:tc>
          <w:tcPr>
            <w:tcW w:w="387"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0,5</w:t>
            </w:r>
          </w:p>
        </w:tc>
      </w:tr>
      <w:tr w:rsidR="00510707" w:rsidRPr="004F387D" w:rsidTr="006F54E8">
        <w:trPr>
          <w:trHeight w:val="102"/>
        </w:trPr>
        <w:tc>
          <w:tcPr>
            <w:cnfStyle w:val="001000000000" w:firstRow="0" w:lastRow="0" w:firstColumn="1" w:lastColumn="0" w:oddVBand="0" w:evenVBand="0" w:oddHBand="0" w:evenHBand="0" w:firstRowFirstColumn="0" w:firstRowLastColumn="0" w:lastRowFirstColumn="0" w:lastRowLastColumn="0"/>
            <w:tcW w:w="760" w:type="pct"/>
            <w:noWrap/>
            <w:hideMark/>
          </w:tcPr>
          <w:p w:rsidR="00510707" w:rsidRPr="006F54E8" w:rsidRDefault="00510707" w:rsidP="00510707">
            <w:pPr>
              <w:spacing w:after="0" w:line="240" w:lineRule="auto"/>
              <w:rPr>
                <w:rFonts w:ascii="Arial Narrow" w:hAnsi="Arial Narrow"/>
                <w:b w:val="0"/>
                <w:sz w:val="16"/>
                <w:szCs w:val="16"/>
              </w:rPr>
            </w:pPr>
            <w:r w:rsidRPr="006F54E8">
              <w:rPr>
                <w:rFonts w:ascii="Arial Narrow" w:hAnsi="Arial Narrow"/>
                <w:b w:val="0"/>
                <w:sz w:val="16"/>
                <w:szCs w:val="16"/>
              </w:rPr>
              <w:t>6.</w:t>
            </w:r>
          </w:p>
        </w:tc>
        <w:tc>
          <w:tcPr>
            <w:tcW w:w="1145"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Slovaška</w:t>
            </w:r>
          </w:p>
        </w:tc>
        <w:tc>
          <w:tcPr>
            <w:tcW w:w="388"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0,4</w:t>
            </w:r>
          </w:p>
        </w:tc>
        <w:tc>
          <w:tcPr>
            <w:tcW w:w="387"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0,5</w:t>
            </w:r>
          </w:p>
        </w:tc>
        <w:tc>
          <w:tcPr>
            <w:tcW w:w="387"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0,5</w:t>
            </w:r>
          </w:p>
        </w:tc>
        <w:tc>
          <w:tcPr>
            <w:tcW w:w="387"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0,5</w:t>
            </w:r>
          </w:p>
        </w:tc>
        <w:tc>
          <w:tcPr>
            <w:tcW w:w="388"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0,5</w:t>
            </w:r>
          </w:p>
        </w:tc>
        <w:tc>
          <w:tcPr>
            <w:tcW w:w="387"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0,5</w:t>
            </w:r>
          </w:p>
        </w:tc>
        <w:tc>
          <w:tcPr>
            <w:tcW w:w="387"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0,5</w:t>
            </w:r>
          </w:p>
        </w:tc>
        <w:tc>
          <w:tcPr>
            <w:tcW w:w="387"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0,5</w:t>
            </w:r>
          </w:p>
        </w:tc>
      </w:tr>
      <w:tr w:rsidR="00510707" w:rsidRPr="004F387D" w:rsidTr="006F54E8">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760" w:type="pct"/>
            <w:noWrap/>
            <w:hideMark/>
          </w:tcPr>
          <w:p w:rsidR="00510707" w:rsidRPr="006F54E8" w:rsidRDefault="00510707" w:rsidP="00510707">
            <w:pPr>
              <w:spacing w:after="0" w:line="240" w:lineRule="auto"/>
              <w:rPr>
                <w:rFonts w:ascii="Arial Narrow" w:hAnsi="Arial Narrow"/>
                <w:b w:val="0"/>
                <w:sz w:val="16"/>
                <w:szCs w:val="16"/>
              </w:rPr>
            </w:pPr>
            <w:r w:rsidRPr="006F54E8">
              <w:rPr>
                <w:rFonts w:ascii="Arial Narrow" w:hAnsi="Arial Narrow"/>
                <w:b w:val="0"/>
                <w:sz w:val="16"/>
                <w:szCs w:val="16"/>
              </w:rPr>
              <w:t>6.</w:t>
            </w:r>
          </w:p>
        </w:tc>
        <w:tc>
          <w:tcPr>
            <w:tcW w:w="1145"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Finska</w:t>
            </w:r>
          </w:p>
        </w:tc>
        <w:tc>
          <w:tcPr>
            <w:tcW w:w="388"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0,5</w:t>
            </w:r>
          </w:p>
        </w:tc>
        <w:tc>
          <w:tcPr>
            <w:tcW w:w="387"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0,5</w:t>
            </w:r>
          </w:p>
        </w:tc>
        <w:tc>
          <w:tcPr>
            <w:tcW w:w="387"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0,5</w:t>
            </w:r>
          </w:p>
        </w:tc>
        <w:tc>
          <w:tcPr>
            <w:tcW w:w="387"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0,5</w:t>
            </w:r>
          </w:p>
        </w:tc>
        <w:tc>
          <w:tcPr>
            <w:tcW w:w="388"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0,5</w:t>
            </w:r>
          </w:p>
        </w:tc>
        <w:tc>
          <w:tcPr>
            <w:tcW w:w="387"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0,5</w:t>
            </w:r>
          </w:p>
        </w:tc>
        <w:tc>
          <w:tcPr>
            <w:tcW w:w="387"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0,5</w:t>
            </w:r>
          </w:p>
        </w:tc>
        <w:tc>
          <w:tcPr>
            <w:tcW w:w="387"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0,5</w:t>
            </w:r>
          </w:p>
        </w:tc>
      </w:tr>
      <w:tr w:rsidR="00510707" w:rsidRPr="004F387D" w:rsidTr="006F54E8">
        <w:trPr>
          <w:trHeight w:val="102"/>
        </w:trPr>
        <w:tc>
          <w:tcPr>
            <w:cnfStyle w:val="001000000000" w:firstRow="0" w:lastRow="0" w:firstColumn="1" w:lastColumn="0" w:oddVBand="0" w:evenVBand="0" w:oddHBand="0" w:evenHBand="0" w:firstRowFirstColumn="0" w:firstRowLastColumn="0" w:lastRowFirstColumn="0" w:lastRowLastColumn="0"/>
            <w:tcW w:w="760" w:type="pct"/>
            <w:noWrap/>
            <w:hideMark/>
          </w:tcPr>
          <w:p w:rsidR="00510707" w:rsidRPr="006F54E8" w:rsidRDefault="00510707" w:rsidP="00510707">
            <w:pPr>
              <w:spacing w:after="0" w:line="240" w:lineRule="auto"/>
              <w:rPr>
                <w:rFonts w:ascii="Arial Narrow" w:hAnsi="Arial Narrow"/>
                <w:b w:val="0"/>
                <w:sz w:val="16"/>
                <w:szCs w:val="16"/>
              </w:rPr>
            </w:pPr>
            <w:r w:rsidRPr="006F54E8">
              <w:rPr>
                <w:rFonts w:ascii="Arial Narrow" w:hAnsi="Arial Narrow"/>
                <w:b w:val="0"/>
                <w:sz w:val="16"/>
                <w:szCs w:val="16"/>
              </w:rPr>
              <w:t>6.</w:t>
            </w:r>
          </w:p>
        </w:tc>
        <w:tc>
          <w:tcPr>
            <w:tcW w:w="1145"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Švedska</w:t>
            </w:r>
          </w:p>
        </w:tc>
        <w:tc>
          <w:tcPr>
            <w:tcW w:w="388"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0,6</w:t>
            </w:r>
          </w:p>
        </w:tc>
        <w:tc>
          <w:tcPr>
            <w:tcW w:w="387"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0,6</w:t>
            </w:r>
          </w:p>
        </w:tc>
        <w:tc>
          <w:tcPr>
            <w:tcW w:w="387"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0,6</w:t>
            </w:r>
          </w:p>
        </w:tc>
        <w:tc>
          <w:tcPr>
            <w:tcW w:w="387"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0,6</w:t>
            </w:r>
          </w:p>
        </w:tc>
        <w:tc>
          <w:tcPr>
            <w:tcW w:w="388"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0,6</w:t>
            </w:r>
          </w:p>
        </w:tc>
        <w:tc>
          <w:tcPr>
            <w:tcW w:w="387"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0,6</w:t>
            </w:r>
          </w:p>
        </w:tc>
        <w:tc>
          <w:tcPr>
            <w:tcW w:w="387"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0,5</w:t>
            </w:r>
          </w:p>
        </w:tc>
        <w:tc>
          <w:tcPr>
            <w:tcW w:w="387"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0,5</w:t>
            </w:r>
          </w:p>
        </w:tc>
      </w:tr>
      <w:tr w:rsidR="00510707" w:rsidRPr="004F387D" w:rsidTr="006F54E8">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760" w:type="pct"/>
            <w:noWrap/>
            <w:hideMark/>
          </w:tcPr>
          <w:p w:rsidR="00510707" w:rsidRPr="006F54E8" w:rsidRDefault="00510707" w:rsidP="00510707">
            <w:pPr>
              <w:spacing w:after="0" w:line="240" w:lineRule="auto"/>
              <w:rPr>
                <w:rFonts w:ascii="Arial Narrow" w:hAnsi="Arial Narrow"/>
                <w:b w:val="0"/>
                <w:sz w:val="16"/>
                <w:szCs w:val="16"/>
              </w:rPr>
            </w:pPr>
          </w:p>
        </w:tc>
        <w:tc>
          <w:tcPr>
            <w:tcW w:w="1145" w:type="pct"/>
            <w:noWrap/>
            <w:hideMark/>
          </w:tcPr>
          <w:p w:rsidR="00510707" w:rsidRPr="004F387D" w:rsidRDefault="00510707" w:rsidP="00C217E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sz w:val="16"/>
                <w:szCs w:val="16"/>
              </w:rPr>
            </w:pPr>
            <w:r w:rsidRPr="004F387D">
              <w:rPr>
                <w:rFonts w:ascii="Arial Narrow" w:hAnsi="Arial Narrow"/>
                <w:b/>
                <w:sz w:val="16"/>
                <w:szCs w:val="16"/>
              </w:rPr>
              <w:t>EU</w:t>
            </w:r>
            <w:r>
              <w:rPr>
                <w:rFonts w:ascii="Arial Narrow" w:hAnsi="Arial Narrow"/>
                <w:b/>
                <w:sz w:val="16"/>
                <w:szCs w:val="16"/>
              </w:rPr>
              <w:t>–</w:t>
            </w:r>
            <w:r w:rsidRPr="004F387D">
              <w:rPr>
                <w:rFonts w:ascii="Arial Narrow" w:hAnsi="Arial Narrow"/>
                <w:b/>
                <w:sz w:val="16"/>
                <w:szCs w:val="16"/>
              </w:rPr>
              <w:t>28</w:t>
            </w:r>
          </w:p>
        </w:tc>
        <w:tc>
          <w:tcPr>
            <w:tcW w:w="388"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sz w:val="16"/>
                <w:szCs w:val="16"/>
              </w:rPr>
            </w:pPr>
            <w:r>
              <w:rPr>
                <w:rFonts w:ascii="Arial Narrow" w:hAnsi="Arial Narrow"/>
                <w:b/>
                <w:sz w:val="16"/>
                <w:szCs w:val="16"/>
              </w:rPr>
              <w:t>–</w:t>
            </w:r>
          </w:p>
        </w:tc>
        <w:tc>
          <w:tcPr>
            <w:tcW w:w="387"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sz w:val="16"/>
                <w:szCs w:val="16"/>
              </w:rPr>
            </w:pPr>
            <w:r w:rsidRPr="004F387D">
              <w:rPr>
                <w:rFonts w:ascii="Arial Narrow" w:hAnsi="Arial Narrow"/>
                <w:b/>
                <w:sz w:val="16"/>
                <w:szCs w:val="16"/>
              </w:rPr>
              <w:t>0,5</w:t>
            </w:r>
          </w:p>
        </w:tc>
        <w:tc>
          <w:tcPr>
            <w:tcW w:w="387"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sz w:val="16"/>
                <w:szCs w:val="16"/>
              </w:rPr>
            </w:pPr>
            <w:r w:rsidRPr="004F387D">
              <w:rPr>
                <w:rFonts w:ascii="Arial Narrow" w:hAnsi="Arial Narrow"/>
                <w:b/>
                <w:sz w:val="16"/>
                <w:szCs w:val="16"/>
              </w:rPr>
              <w:t>0,5</w:t>
            </w:r>
          </w:p>
        </w:tc>
        <w:tc>
          <w:tcPr>
            <w:tcW w:w="387"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sz w:val="16"/>
                <w:szCs w:val="16"/>
              </w:rPr>
            </w:pPr>
            <w:r w:rsidRPr="004F387D">
              <w:rPr>
                <w:rFonts w:ascii="Arial Narrow" w:hAnsi="Arial Narrow"/>
                <w:b/>
                <w:sz w:val="16"/>
                <w:szCs w:val="16"/>
              </w:rPr>
              <w:t>0,5</w:t>
            </w:r>
          </w:p>
        </w:tc>
        <w:tc>
          <w:tcPr>
            <w:tcW w:w="388"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sz w:val="16"/>
                <w:szCs w:val="16"/>
              </w:rPr>
            </w:pPr>
            <w:r w:rsidRPr="004F387D">
              <w:rPr>
                <w:rFonts w:ascii="Arial Narrow" w:hAnsi="Arial Narrow"/>
                <w:b/>
                <w:sz w:val="16"/>
                <w:szCs w:val="16"/>
              </w:rPr>
              <w:t>0,5</w:t>
            </w:r>
          </w:p>
        </w:tc>
        <w:tc>
          <w:tcPr>
            <w:tcW w:w="387"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sz w:val="16"/>
                <w:szCs w:val="16"/>
              </w:rPr>
            </w:pPr>
            <w:r w:rsidRPr="004F387D">
              <w:rPr>
                <w:rFonts w:ascii="Arial Narrow" w:hAnsi="Arial Narrow"/>
                <w:b/>
                <w:sz w:val="16"/>
                <w:szCs w:val="16"/>
              </w:rPr>
              <w:t>0,5</w:t>
            </w:r>
          </w:p>
        </w:tc>
        <w:tc>
          <w:tcPr>
            <w:tcW w:w="387"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sz w:val="16"/>
                <w:szCs w:val="16"/>
              </w:rPr>
            </w:pPr>
            <w:r w:rsidRPr="004F387D">
              <w:rPr>
                <w:rFonts w:ascii="Arial Narrow" w:hAnsi="Arial Narrow"/>
                <w:b/>
                <w:sz w:val="16"/>
                <w:szCs w:val="16"/>
              </w:rPr>
              <w:t>0,5</w:t>
            </w:r>
          </w:p>
        </w:tc>
        <w:tc>
          <w:tcPr>
            <w:tcW w:w="387"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sz w:val="16"/>
                <w:szCs w:val="16"/>
              </w:rPr>
            </w:pPr>
            <w:r w:rsidRPr="004F387D">
              <w:rPr>
                <w:rFonts w:ascii="Arial Narrow" w:hAnsi="Arial Narrow"/>
                <w:b/>
                <w:sz w:val="16"/>
                <w:szCs w:val="16"/>
              </w:rPr>
              <w:t>0,4</w:t>
            </w:r>
          </w:p>
        </w:tc>
      </w:tr>
      <w:tr w:rsidR="00510707" w:rsidRPr="004F387D" w:rsidTr="006F54E8">
        <w:trPr>
          <w:trHeight w:val="102"/>
        </w:trPr>
        <w:tc>
          <w:tcPr>
            <w:cnfStyle w:val="001000000000" w:firstRow="0" w:lastRow="0" w:firstColumn="1" w:lastColumn="0" w:oddVBand="0" w:evenVBand="0" w:oddHBand="0" w:evenHBand="0" w:firstRowFirstColumn="0" w:firstRowLastColumn="0" w:lastRowFirstColumn="0" w:lastRowLastColumn="0"/>
            <w:tcW w:w="760" w:type="pct"/>
            <w:noWrap/>
            <w:hideMark/>
          </w:tcPr>
          <w:p w:rsidR="00510707" w:rsidRPr="006F54E8" w:rsidRDefault="00510707" w:rsidP="00510707">
            <w:pPr>
              <w:spacing w:after="0" w:line="240" w:lineRule="auto"/>
              <w:rPr>
                <w:rFonts w:ascii="Arial Narrow" w:hAnsi="Arial Narrow"/>
                <w:b w:val="0"/>
                <w:sz w:val="16"/>
                <w:szCs w:val="16"/>
              </w:rPr>
            </w:pPr>
            <w:r w:rsidRPr="006F54E8">
              <w:rPr>
                <w:rFonts w:ascii="Arial Narrow" w:hAnsi="Arial Narrow"/>
                <w:b w:val="0"/>
                <w:sz w:val="16"/>
                <w:szCs w:val="16"/>
              </w:rPr>
              <w:t>7.</w:t>
            </w:r>
          </w:p>
        </w:tc>
        <w:tc>
          <w:tcPr>
            <w:tcW w:w="1145"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Nemčija</w:t>
            </w:r>
          </w:p>
        </w:tc>
        <w:tc>
          <w:tcPr>
            <w:tcW w:w="388"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0,4</w:t>
            </w:r>
          </w:p>
        </w:tc>
        <w:tc>
          <w:tcPr>
            <w:tcW w:w="387"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0,4</w:t>
            </w:r>
          </w:p>
        </w:tc>
        <w:tc>
          <w:tcPr>
            <w:tcW w:w="387"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0,4</w:t>
            </w:r>
          </w:p>
        </w:tc>
        <w:tc>
          <w:tcPr>
            <w:tcW w:w="387"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0,4</w:t>
            </w:r>
          </w:p>
        </w:tc>
        <w:tc>
          <w:tcPr>
            <w:tcW w:w="388"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0,4</w:t>
            </w:r>
          </w:p>
        </w:tc>
        <w:tc>
          <w:tcPr>
            <w:tcW w:w="387"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0,4</w:t>
            </w:r>
          </w:p>
        </w:tc>
        <w:tc>
          <w:tcPr>
            <w:tcW w:w="387"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0,4</w:t>
            </w:r>
          </w:p>
        </w:tc>
        <w:tc>
          <w:tcPr>
            <w:tcW w:w="387"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0,4</w:t>
            </w:r>
          </w:p>
        </w:tc>
      </w:tr>
      <w:tr w:rsidR="00510707" w:rsidRPr="004F387D" w:rsidTr="006F54E8">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760" w:type="pct"/>
            <w:noWrap/>
            <w:hideMark/>
          </w:tcPr>
          <w:p w:rsidR="00510707" w:rsidRPr="006F54E8" w:rsidRDefault="00510707" w:rsidP="00510707">
            <w:pPr>
              <w:spacing w:after="0" w:line="240" w:lineRule="auto"/>
              <w:rPr>
                <w:rFonts w:ascii="Arial Narrow" w:hAnsi="Arial Narrow"/>
                <w:b w:val="0"/>
                <w:sz w:val="16"/>
                <w:szCs w:val="16"/>
              </w:rPr>
            </w:pPr>
            <w:r w:rsidRPr="006F54E8">
              <w:rPr>
                <w:rFonts w:ascii="Arial Narrow" w:hAnsi="Arial Narrow"/>
                <w:b w:val="0"/>
                <w:sz w:val="16"/>
                <w:szCs w:val="16"/>
              </w:rPr>
              <w:t>7.</w:t>
            </w:r>
          </w:p>
        </w:tc>
        <w:tc>
          <w:tcPr>
            <w:tcW w:w="1145"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Španija</w:t>
            </w:r>
          </w:p>
        </w:tc>
        <w:tc>
          <w:tcPr>
            <w:tcW w:w="388"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0,7</w:t>
            </w:r>
          </w:p>
        </w:tc>
        <w:tc>
          <w:tcPr>
            <w:tcW w:w="387"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0,6</w:t>
            </w:r>
          </w:p>
        </w:tc>
        <w:tc>
          <w:tcPr>
            <w:tcW w:w="387"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0,6</w:t>
            </w:r>
          </w:p>
        </w:tc>
        <w:tc>
          <w:tcPr>
            <w:tcW w:w="387"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0,6</w:t>
            </w:r>
          </w:p>
        </w:tc>
        <w:tc>
          <w:tcPr>
            <w:tcW w:w="388"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0,5</w:t>
            </w:r>
          </w:p>
        </w:tc>
        <w:tc>
          <w:tcPr>
            <w:tcW w:w="387"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0,4</w:t>
            </w:r>
          </w:p>
        </w:tc>
        <w:tc>
          <w:tcPr>
            <w:tcW w:w="387"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0,5</w:t>
            </w:r>
          </w:p>
        </w:tc>
        <w:tc>
          <w:tcPr>
            <w:tcW w:w="387"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0,4</w:t>
            </w:r>
          </w:p>
        </w:tc>
      </w:tr>
      <w:tr w:rsidR="00510707" w:rsidRPr="004F387D" w:rsidTr="006F54E8">
        <w:trPr>
          <w:trHeight w:val="102"/>
        </w:trPr>
        <w:tc>
          <w:tcPr>
            <w:cnfStyle w:val="001000000000" w:firstRow="0" w:lastRow="0" w:firstColumn="1" w:lastColumn="0" w:oddVBand="0" w:evenVBand="0" w:oddHBand="0" w:evenHBand="0" w:firstRowFirstColumn="0" w:firstRowLastColumn="0" w:lastRowFirstColumn="0" w:lastRowLastColumn="0"/>
            <w:tcW w:w="760" w:type="pct"/>
            <w:noWrap/>
            <w:hideMark/>
          </w:tcPr>
          <w:p w:rsidR="00510707" w:rsidRPr="006F54E8" w:rsidRDefault="00510707" w:rsidP="00510707">
            <w:pPr>
              <w:spacing w:after="0" w:line="240" w:lineRule="auto"/>
              <w:rPr>
                <w:rFonts w:ascii="Arial Narrow" w:hAnsi="Arial Narrow"/>
                <w:b w:val="0"/>
                <w:sz w:val="16"/>
                <w:szCs w:val="16"/>
              </w:rPr>
            </w:pPr>
            <w:r w:rsidRPr="006F54E8">
              <w:rPr>
                <w:rFonts w:ascii="Arial Narrow" w:hAnsi="Arial Narrow"/>
                <w:b w:val="0"/>
                <w:sz w:val="16"/>
                <w:szCs w:val="16"/>
              </w:rPr>
              <w:t>7.</w:t>
            </w:r>
          </w:p>
        </w:tc>
        <w:tc>
          <w:tcPr>
            <w:tcW w:w="1145"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Italija</w:t>
            </w:r>
          </w:p>
        </w:tc>
        <w:tc>
          <w:tcPr>
            <w:tcW w:w="388"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0,4</w:t>
            </w:r>
          </w:p>
        </w:tc>
        <w:tc>
          <w:tcPr>
            <w:tcW w:w="387"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0,4</w:t>
            </w:r>
          </w:p>
        </w:tc>
        <w:tc>
          <w:tcPr>
            <w:tcW w:w="387"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0,4</w:t>
            </w:r>
          </w:p>
        </w:tc>
        <w:tc>
          <w:tcPr>
            <w:tcW w:w="387"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0,3</w:t>
            </w:r>
          </w:p>
        </w:tc>
        <w:tc>
          <w:tcPr>
            <w:tcW w:w="388"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0,3</w:t>
            </w:r>
          </w:p>
        </w:tc>
        <w:tc>
          <w:tcPr>
            <w:tcW w:w="387"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0,3</w:t>
            </w:r>
          </w:p>
        </w:tc>
        <w:tc>
          <w:tcPr>
            <w:tcW w:w="387"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0,3</w:t>
            </w:r>
          </w:p>
        </w:tc>
        <w:tc>
          <w:tcPr>
            <w:tcW w:w="387"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0,4</w:t>
            </w:r>
          </w:p>
        </w:tc>
      </w:tr>
      <w:tr w:rsidR="00510707" w:rsidRPr="004F387D" w:rsidTr="006F54E8">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760" w:type="pct"/>
            <w:noWrap/>
            <w:hideMark/>
          </w:tcPr>
          <w:p w:rsidR="00510707" w:rsidRPr="006F54E8" w:rsidRDefault="00510707" w:rsidP="00510707">
            <w:pPr>
              <w:spacing w:after="0" w:line="240" w:lineRule="auto"/>
              <w:rPr>
                <w:rFonts w:ascii="Arial Narrow" w:hAnsi="Arial Narrow"/>
                <w:b w:val="0"/>
                <w:sz w:val="16"/>
                <w:szCs w:val="16"/>
              </w:rPr>
            </w:pPr>
            <w:r w:rsidRPr="006F54E8">
              <w:rPr>
                <w:rFonts w:ascii="Arial Narrow" w:hAnsi="Arial Narrow"/>
                <w:b w:val="0"/>
                <w:sz w:val="16"/>
                <w:szCs w:val="16"/>
              </w:rPr>
              <w:t>7.</w:t>
            </w:r>
          </w:p>
        </w:tc>
        <w:tc>
          <w:tcPr>
            <w:tcW w:w="1145"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Nizozemska</w:t>
            </w:r>
          </w:p>
        </w:tc>
        <w:tc>
          <w:tcPr>
            <w:tcW w:w="388"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0,5</w:t>
            </w:r>
          </w:p>
        </w:tc>
        <w:tc>
          <w:tcPr>
            <w:tcW w:w="387"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0,5</w:t>
            </w:r>
          </w:p>
        </w:tc>
        <w:tc>
          <w:tcPr>
            <w:tcW w:w="387"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0,5</w:t>
            </w:r>
          </w:p>
        </w:tc>
        <w:tc>
          <w:tcPr>
            <w:tcW w:w="387"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0,5</w:t>
            </w:r>
          </w:p>
        </w:tc>
        <w:tc>
          <w:tcPr>
            <w:tcW w:w="388"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0,5</w:t>
            </w:r>
          </w:p>
        </w:tc>
        <w:tc>
          <w:tcPr>
            <w:tcW w:w="387"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0,5</w:t>
            </w:r>
          </w:p>
        </w:tc>
        <w:tc>
          <w:tcPr>
            <w:tcW w:w="387"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0,5</w:t>
            </w:r>
          </w:p>
        </w:tc>
        <w:tc>
          <w:tcPr>
            <w:tcW w:w="387"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0,4</w:t>
            </w:r>
          </w:p>
        </w:tc>
      </w:tr>
      <w:tr w:rsidR="00510707" w:rsidRPr="004F387D" w:rsidTr="006F54E8">
        <w:trPr>
          <w:trHeight w:val="102"/>
        </w:trPr>
        <w:tc>
          <w:tcPr>
            <w:cnfStyle w:val="001000000000" w:firstRow="0" w:lastRow="0" w:firstColumn="1" w:lastColumn="0" w:oddVBand="0" w:evenVBand="0" w:oddHBand="0" w:evenHBand="0" w:firstRowFirstColumn="0" w:firstRowLastColumn="0" w:lastRowFirstColumn="0" w:lastRowLastColumn="0"/>
            <w:tcW w:w="760" w:type="pct"/>
            <w:noWrap/>
            <w:hideMark/>
          </w:tcPr>
          <w:p w:rsidR="00510707" w:rsidRPr="006F54E8" w:rsidRDefault="00510707" w:rsidP="00510707">
            <w:pPr>
              <w:spacing w:after="0" w:line="240" w:lineRule="auto"/>
              <w:rPr>
                <w:rFonts w:ascii="Arial Narrow" w:hAnsi="Arial Narrow"/>
                <w:b w:val="0"/>
                <w:sz w:val="16"/>
                <w:szCs w:val="16"/>
              </w:rPr>
            </w:pPr>
            <w:r w:rsidRPr="006F54E8">
              <w:rPr>
                <w:rFonts w:ascii="Arial Narrow" w:hAnsi="Arial Narrow"/>
                <w:b w:val="0"/>
                <w:sz w:val="16"/>
                <w:szCs w:val="16"/>
              </w:rPr>
              <w:t>7.</w:t>
            </w:r>
          </w:p>
        </w:tc>
        <w:tc>
          <w:tcPr>
            <w:tcW w:w="1145"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Romunija</w:t>
            </w:r>
          </w:p>
        </w:tc>
        <w:tc>
          <w:tcPr>
            <w:tcW w:w="388"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Pr>
                <w:rFonts w:ascii="Arial Narrow" w:hAnsi="Arial Narrow"/>
                <w:sz w:val="16"/>
                <w:szCs w:val="16"/>
              </w:rPr>
              <w:t>–</w:t>
            </w:r>
          </w:p>
        </w:tc>
        <w:tc>
          <w:tcPr>
            <w:tcW w:w="387"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0,4</w:t>
            </w:r>
          </w:p>
        </w:tc>
        <w:tc>
          <w:tcPr>
            <w:tcW w:w="387"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0,4</w:t>
            </w:r>
          </w:p>
        </w:tc>
        <w:tc>
          <w:tcPr>
            <w:tcW w:w="387"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0,4</w:t>
            </w:r>
          </w:p>
        </w:tc>
        <w:tc>
          <w:tcPr>
            <w:tcW w:w="388"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0,4</w:t>
            </w:r>
          </w:p>
        </w:tc>
        <w:tc>
          <w:tcPr>
            <w:tcW w:w="387"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0,4</w:t>
            </w:r>
          </w:p>
        </w:tc>
        <w:tc>
          <w:tcPr>
            <w:tcW w:w="387"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0,4</w:t>
            </w:r>
          </w:p>
        </w:tc>
        <w:tc>
          <w:tcPr>
            <w:tcW w:w="387"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0,4</w:t>
            </w:r>
          </w:p>
        </w:tc>
      </w:tr>
      <w:tr w:rsidR="00510707" w:rsidRPr="004F387D" w:rsidTr="006F54E8">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760" w:type="pct"/>
            <w:noWrap/>
            <w:hideMark/>
          </w:tcPr>
          <w:p w:rsidR="00510707" w:rsidRPr="006F54E8" w:rsidRDefault="00510707" w:rsidP="00510707">
            <w:pPr>
              <w:spacing w:after="0" w:line="240" w:lineRule="auto"/>
              <w:rPr>
                <w:rFonts w:ascii="Arial Narrow" w:hAnsi="Arial Narrow"/>
                <w:b w:val="0"/>
                <w:sz w:val="16"/>
                <w:szCs w:val="16"/>
              </w:rPr>
            </w:pPr>
            <w:r w:rsidRPr="006F54E8">
              <w:rPr>
                <w:rFonts w:ascii="Arial Narrow" w:hAnsi="Arial Narrow"/>
                <w:b w:val="0"/>
                <w:sz w:val="16"/>
                <w:szCs w:val="16"/>
              </w:rPr>
              <w:t>8.</w:t>
            </w:r>
          </w:p>
        </w:tc>
        <w:tc>
          <w:tcPr>
            <w:tcW w:w="1145"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Ciper</w:t>
            </w:r>
          </w:p>
        </w:tc>
        <w:tc>
          <w:tcPr>
            <w:tcW w:w="388"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0,3</w:t>
            </w:r>
          </w:p>
        </w:tc>
        <w:tc>
          <w:tcPr>
            <w:tcW w:w="387"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0,4</w:t>
            </w:r>
          </w:p>
        </w:tc>
        <w:tc>
          <w:tcPr>
            <w:tcW w:w="387"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0,4</w:t>
            </w:r>
          </w:p>
        </w:tc>
        <w:tc>
          <w:tcPr>
            <w:tcW w:w="387"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0,4</w:t>
            </w:r>
          </w:p>
        </w:tc>
        <w:tc>
          <w:tcPr>
            <w:tcW w:w="388"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0,3</w:t>
            </w:r>
          </w:p>
        </w:tc>
        <w:tc>
          <w:tcPr>
            <w:tcW w:w="387"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0,3</w:t>
            </w:r>
          </w:p>
        </w:tc>
        <w:tc>
          <w:tcPr>
            <w:tcW w:w="387"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0,2</w:t>
            </w:r>
          </w:p>
        </w:tc>
        <w:tc>
          <w:tcPr>
            <w:tcW w:w="387"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0,3</w:t>
            </w:r>
          </w:p>
        </w:tc>
      </w:tr>
      <w:tr w:rsidR="00510707" w:rsidRPr="004F387D" w:rsidTr="006F54E8">
        <w:trPr>
          <w:trHeight w:val="102"/>
        </w:trPr>
        <w:tc>
          <w:tcPr>
            <w:cnfStyle w:val="001000000000" w:firstRow="0" w:lastRow="0" w:firstColumn="1" w:lastColumn="0" w:oddVBand="0" w:evenVBand="0" w:oddHBand="0" w:evenHBand="0" w:firstRowFirstColumn="0" w:firstRowLastColumn="0" w:lastRowFirstColumn="0" w:lastRowLastColumn="0"/>
            <w:tcW w:w="760" w:type="pct"/>
            <w:noWrap/>
            <w:hideMark/>
          </w:tcPr>
          <w:p w:rsidR="00510707" w:rsidRPr="006F54E8" w:rsidRDefault="00510707" w:rsidP="00510707">
            <w:pPr>
              <w:spacing w:after="0" w:line="240" w:lineRule="auto"/>
              <w:rPr>
                <w:rFonts w:ascii="Arial Narrow" w:hAnsi="Arial Narrow"/>
                <w:b w:val="0"/>
                <w:sz w:val="16"/>
                <w:szCs w:val="16"/>
              </w:rPr>
            </w:pPr>
            <w:r w:rsidRPr="006F54E8">
              <w:rPr>
                <w:rFonts w:ascii="Arial Narrow" w:hAnsi="Arial Narrow"/>
                <w:b w:val="0"/>
                <w:sz w:val="16"/>
                <w:szCs w:val="16"/>
              </w:rPr>
              <w:t>8.</w:t>
            </w:r>
          </w:p>
        </w:tc>
        <w:tc>
          <w:tcPr>
            <w:tcW w:w="1145"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Velika Britanija</w:t>
            </w:r>
          </w:p>
        </w:tc>
        <w:tc>
          <w:tcPr>
            <w:tcW w:w="388"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0,3</w:t>
            </w:r>
          </w:p>
        </w:tc>
        <w:tc>
          <w:tcPr>
            <w:tcW w:w="387"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0,4</w:t>
            </w:r>
          </w:p>
        </w:tc>
        <w:tc>
          <w:tcPr>
            <w:tcW w:w="387"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0,4</w:t>
            </w:r>
          </w:p>
        </w:tc>
        <w:tc>
          <w:tcPr>
            <w:tcW w:w="387"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0,3</w:t>
            </w:r>
          </w:p>
        </w:tc>
        <w:tc>
          <w:tcPr>
            <w:tcW w:w="388"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0,3</w:t>
            </w:r>
          </w:p>
        </w:tc>
        <w:tc>
          <w:tcPr>
            <w:tcW w:w="387"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0,3</w:t>
            </w:r>
          </w:p>
        </w:tc>
        <w:tc>
          <w:tcPr>
            <w:tcW w:w="387"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0,3</w:t>
            </w:r>
          </w:p>
        </w:tc>
        <w:tc>
          <w:tcPr>
            <w:tcW w:w="387"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0,3</w:t>
            </w:r>
          </w:p>
        </w:tc>
      </w:tr>
      <w:tr w:rsidR="00510707" w:rsidRPr="004F387D" w:rsidTr="006F54E8">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760" w:type="pct"/>
            <w:noWrap/>
            <w:hideMark/>
          </w:tcPr>
          <w:p w:rsidR="00510707" w:rsidRPr="006F54E8" w:rsidRDefault="00510707" w:rsidP="00510707">
            <w:pPr>
              <w:spacing w:after="0" w:line="240" w:lineRule="auto"/>
              <w:rPr>
                <w:rFonts w:ascii="Arial Narrow" w:hAnsi="Arial Narrow"/>
                <w:b w:val="0"/>
                <w:sz w:val="16"/>
                <w:szCs w:val="16"/>
              </w:rPr>
            </w:pPr>
            <w:r w:rsidRPr="006F54E8">
              <w:rPr>
                <w:rFonts w:ascii="Arial Narrow" w:hAnsi="Arial Narrow"/>
                <w:b w:val="0"/>
                <w:sz w:val="16"/>
                <w:szCs w:val="16"/>
              </w:rPr>
              <w:t>9.</w:t>
            </w:r>
          </w:p>
        </w:tc>
        <w:tc>
          <w:tcPr>
            <w:tcW w:w="1145"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Irska</w:t>
            </w:r>
          </w:p>
        </w:tc>
        <w:tc>
          <w:tcPr>
            <w:tcW w:w="388"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0,4</w:t>
            </w:r>
          </w:p>
        </w:tc>
        <w:tc>
          <w:tcPr>
            <w:tcW w:w="387"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0,4</w:t>
            </w:r>
          </w:p>
        </w:tc>
        <w:tc>
          <w:tcPr>
            <w:tcW w:w="387"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0,4</w:t>
            </w:r>
          </w:p>
        </w:tc>
        <w:tc>
          <w:tcPr>
            <w:tcW w:w="387"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0,4</w:t>
            </w:r>
          </w:p>
        </w:tc>
        <w:tc>
          <w:tcPr>
            <w:tcW w:w="388"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0,4</w:t>
            </w:r>
          </w:p>
        </w:tc>
        <w:tc>
          <w:tcPr>
            <w:tcW w:w="387"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0,3</w:t>
            </w:r>
          </w:p>
        </w:tc>
        <w:tc>
          <w:tcPr>
            <w:tcW w:w="387"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0,3</w:t>
            </w:r>
          </w:p>
        </w:tc>
        <w:tc>
          <w:tcPr>
            <w:tcW w:w="387"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0,2</w:t>
            </w:r>
          </w:p>
        </w:tc>
      </w:tr>
      <w:tr w:rsidR="00510707" w:rsidRPr="004F387D" w:rsidTr="006F54E8">
        <w:trPr>
          <w:trHeight w:val="217"/>
        </w:trPr>
        <w:tc>
          <w:tcPr>
            <w:cnfStyle w:val="001000000000" w:firstRow="0" w:lastRow="0" w:firstColumn="1" w:lastColumn="0" w:oddVBand="0" w:evenVBand="0" w:oddHBand="0" w:evenHBand="0" w:firstRowFirstColumn="0" w:firstRowLastColumn="0" w:lastRowFirstColumn="0" w:lastRowLastColumn="0"/>
            <w:tcW w:w="760" w:type="pct"/>
            <w:noWrap/>
            <w:hideMark/>
          </w:tcPr>
          <w:p w:rsidR="00510707" w:rsidRPr="006F54E8" w:rsidRDefault="00510707" w:rsidP="00510707">
            <w:pPr>
              <w:spacing w:after="0" w:line="240" w:lineRule="auto"/>
              <w:rPr>
                <w:rFonts w:ascii="Arial Narrow" w:hAnsi="Arial Narrow"/>
                <w:b w:val="0"/>
                <w:sz w:val="16"/>
                <w:szCs w:val="16"/>
              </w:rPr>
            </w:pPr>
            <w:r w:rsidRPr="006F54E8">
              <w:rPr>
                <w:rFonts w:ascii="Arial Narrow" w:hAnsi="Arial Narrow"/>
                <w:b w:val="0"/>
                <w:sz w:val="16"/>
                <w:szCs w:val="16"/>
              </w:rPr>
              <w:t>9.</w:t>
            </w:r>
          </w:p>
        </w:tc>
        <w:tc>
          <w:tcPr>
            <w:tcW w:w="1145"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Portugalska</w:t>
            </w:r>
          </w:p>
        </w:tc>
        <w:tc>
          <w:tcPr>
            <w:tcW w:w="388"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0,4</w:t>
            </w:r>
          </w:p>
        </w:tc>
        <w:tc>
          <w:tcPr>
            <w:tcW w:w="387"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0,4</w:t>
            </w:r>
          </w:p>
        </w:tc>
        <w:tc>
          <w:tcPr>
            <w:tcW w:w="387"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0,4</w:t>
            </w:r>
          </w:p>
        </w:tc>
        <w:tc>
          <w:tcPr>
            <w:tcW w:w="387"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0,3</w:t>
            </w:r>
          </w:p>
        </w:tc>
        <w:tc>
          <w:tcPr>
            <w:tcW w:w="388"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0,3</w:t>
            </w:r>
          </w:p>
        </w:tc>
        <w:tc>
          <w:tcPr>
            <w:tcW w:w="387"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0,3</w:t>
            </w:r>
          </w:p>
        </w:tc>
        <w:tc>
          <w:tcPr>
            <w:tcW w:w="387"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0,2</w:t>
            </w:r>
          </w:p>
        </w:tc>
        <w:tc>
          <w:tcPr>
            <w:tcW w:w="387" w:type="pct"/>
            <w:noWrap/>
            <w:hideMark/>
          </w:tcPr>
          <w:p w:rsidR="00510707" w:rsidRPr="004F387D" w:rsidRDefault="00510707" w:rsidP="004F387D">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0,2</w:t>
            </w:r>
          </w:p>
        </w:tc>
      </w:tr>
      <w:tr w:rsidR="00510707" w:rsidRPr="004F387D" w:rsidTr="006F54E8">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760" w:type="pct"/>
            <w:noWrap/>
            <w:hideMark/>
          </w:tcPr>
          <w:p w:rsidR="00510707" w:rsidRPr="006F54E8" w:rsidRDefault="00510707" w:rsidP="00510707">
            <w:pPr>
              <w:spacing w:after="0" w:line="240" w:lineRule="auto"/>
              <w:rPr>
                <w:rFonts w:ascii="Arial Narrow" w:hAnsi="Arial Narrow"/>
                <w:b w:val="0"/>
                <w:sz w:val="16"/>
                <w:szCs w:val="16"/>
              </w:rPr>
            </w:pPr>
            <w:r w:rsidRPr="006F54E8">
              <w:rPr>
                <w:rFonts w:ascii="Arial Narrow" w:hAnsi="Arial Narrow"/>
                <w:b w:val="0"/>
                <w:sz w:val="16"/>
                <w:szCs w:val="16"/>
              </w:rPr>
              <w:t>10.</w:t>
            </w:r>
          </w:p>
        </w:tc>
        <w:tc>
          <w:tcPr>
            <w:tcW w:w="1145"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Grčija</w:t>
            </w:r>
          </w:p>
        </w:tc>
        <w:tc>
          <w:tcPr>
            <w:tcW w:w="388"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0,2</w:t>
            </w:r>
          </w:p>
        </w:tc>
        <w:tc>
          <w:tcPr>
            <w:tcW w:w="387"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0,1</w:t>
            </w:r>
          </w:p>
        </w:tc>
        <w:tc>
          <w:tcPr>
            <w:tcW w:w="387"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0,1</w:t>
            </w:r>
          </w:p>
        </w:tc>
        <w:tc>
          <w:tcPr>
            <w:tcW w:w="387"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0,1</w:t>
            </w:r>
          </w:p>
        </w:tc>
        <w:tc>
          <w:tcPr>
            <w:tcW w:w="388"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0,1</w:t>
            </w:r>
          </w:p>
        </w:tc>
        <w:tc>
          <w:tcPr>
            <w:tcW w:w="387"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0,1</w:t>
            </w:r>
          </w:p>
        </w:tc>
        <w:tc>
          <w:tcPr>
            <w:tcW w:w="387"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0,1</w:t>
            </w:r>
          </w:p>
        </w:tc>
        <w:tc>
          <w:tcPr>
            <w:tcW w:w="387" w:type="pct"/>
            <w:noWrap/>
            <w:hideMark/>
          </w:tcPr>
          <w:p w:rsidR="00510707" w:rsidRPr="004F387D" w:rsidRDefault="00510707" w:rsidP="004F387D">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4F387D">
              <w:rPr>
                <w:rFonts w:ascii="Arial Narrow" w:hAnsi="Arial Narrow"/>
                <w:sz w:val="16"/>
                <w:szCs w:val="16"/>
              </w:rPr>
              <w:t>0,1</w:t>
            </w:r>
          </w:p>
        </w:tc>
      </w:tr>
    </w:tbl>
    <w:p w:rsidR="00BE4198" w:rsidRDefault="00915E35" w:rsidP="00DE1E54">
      <w:pPr>
        <w:pStyle w:val="Podpispodtabeloaligrafom"/>
        <w:spacing w:after="0"/>
      </w:pPr>
      <w:r w:rsidRPr="00915E35">
        <w:t xml:space="preserve">Vir: </w:t>
      </w:r>
      <w:proofErr w:type="spellStart"/>
      <w:r w:rsidRPr="00915E35">
        <w:t>Eurostat</w:t>
      </w:r>
      <w:proofErr w:type="spellEnd"/>
      <w:r w:rsidR="005252BB">
        <w:t>.</w:t>
      </w:r>
    </w:p>
    <w:p w:rsidR="002927CC" w:rsidRDefault="0017044D" w:rsidP="0017044D">
      <w:pPr>
        <w:pStyle w:val="Podpispodtabeloaligrafom"/>
        <w:rPr>
          <w:b/>
        </w:rPr>
      </w:pPr>
      <w:r>
        <w:t xml:space="preserve">* </w:t>
      </w:r>
      <w:r w:rsidRPr="004352C0">
        <w:t>V javnih izdatkih za kulturne storitve so upoštevani tako državni (t.i. centralna država) kot lokalni proračuni (</w:t>
      </w:r>
      <w:r>
        <w:t>t.i. lokalna država).</w:t>
      </w:r>
    </w:p>
    <w:p w:rsidR="000239A2" w:rsidRDefault="000239A2" w:rsidP="000239A2">
      <w:bookmarkStart w:id="40" w:name="_Toc477339469"/>
      <w:bookmarkStart w:id="41" w:name="_Toc477339725"/>
      <w:bookmarkStart w:id="42" w:name="_Toc477339893"/>
    </w:p>
    <w:p w:rsidR="000239A2" w:rsidRDefault="000239A2" w:rsidP="000239A2">
      <w:r>
        <w:t>Nominalni zneski javnih izdatkov za kulturne storitve (tj. državnega in lokalnih proračunov skupaj) so v obdobju od 200</w:t>
      </w:r>
      <w:r w:rsidR="00510707">
        <w:t>8</w:t>
      </w:r>
      <w:r>
        <w:t xml:space="preserve"> do 2010 naraščali – od </w:t>
      </w:r>
      <w:r w:rsidR="00DA266C">
        <w:t>301</w:t>
      </w:r>
      <w:r>
        <w:t xml:space="preserve"> </w:t>
      </w:r>
      <w:r w:rsidR="00DA266C">
        <w:t>milijona</w:t>
      </w:r>
      <w:r>
        <w:t xml:space="preserve"> evrov v letu 200</w:t>
      </w:r>
      <w:r w:rsidR="00DA266C">
        <w:t>8</w:t>
      </w:r>
      <w:r>
        <w:t xml:space="preserve"> do 320 milijonov evrov leta 2010, ko je Slovenija za kulturne storitve namenila največ. Od takrat naprej sredstva padajo – leta 2014 so znašala dobrih 286 milijonov evrov, leta 2015 pa dobrih 275. Znižanje skupnega zneska za 11 milijonov evrov v letu dni kaže pripisa</w:t>
      </w:r>
      <w:r w:rsidR="003D031D">
        <w:t xml:space="preserve">ti predvsem lokalnim proračunom. Lokalne skupnosti so v obdobju 2008–2015 namenjale za kulturne storitve </w:t>
      </w:r>
      <w:proofErr w:type="spellStart"/>
      <w:r w:rsidR="003D031D">
        <w:t>prbližno</w:t>
      </w:r>
      <w:proofErr w:type="spellEnd"/>
      <w:r w:rsidR="003D031D">
        <w:t xml:space="preserve"> toliko kot državni proračun.</w:t>
      </w:r>
    </w:p>
    <w:p w:rsidR="00CC3D3A" w:rsidRDefault="00CC3D3A">
      <w:pPr>
        <w:rPr>
          <w:b/>
        </w:rPr>
      </w:pPr>
      <w:r>
        <w:br w:type="page"/>
      </w:r>
      <w:bookmarkStart w:id="43" w:name="_GoBack"/>
      <w:bookmarkEnd w:id="43"/>
    </w:p>
    <w:p w:rsidR="008A31B2" w:rsidRPr="008A31B2" w:rsidRDefault="00892C9B" w:rsidP="008A31B2">
      <w:pPr>
        <w:pStyle w:val="Naslovtabele"/>
      </w:pPr>
      <w:bookmarkStart w:id="44" w:name="_Toc490053347"/>
      <w:bookmarkStart w:id="45" w:name="_Toc490053718"/>
      <w:bookmarkStart w:id="46" w:name="_Toc490599990"/>
      <w:r>
        <w:lastRenderedPageBreak/>
        <w:t>Graf</w:t>
      </w:r>
      <w:r w:rsidR="00834B2E">
        <w:t xml:space="preserve"> 9</w:t>
      </w:r>
      <w:r w:rsidR="00916B1E" w:rsidRPr="00CF5B6F">
        <w:t>: Javni izdatki za kulturne storitve</w:t>
      </w:r>
      <w:r w:rsidR="00120C01">
        <w:t xml:space="preserve"> </w:t>
      </w:r>
      <w:r w:rsidR="00304644">
        <w:t>v</w:t>
      </w:r>
      <w:r w:rsidR="00120C01">
        <w:t xml:space="preserve"> nominalni</w:t>
      </w:r>
      <w:r w:rsidR="00304644">
        <w:t>h</w:t>
      </w:r>
      <w:r w:rsidR="00120C01">
        <w:t xml:space="preserve"> zneski</w:t>
      </w:r>
      <w:r w:rsidR="00304644">
        <w:t>h</w:t>
      </w:r>
      <w:r w:rsidR="00916B1E" w:rsidRPr="00CF5B6F">
        <w:t xml:space="preserve"> </w:t>
      </w:r>
      <w:r w:rsidR="008C30DD">
        <w:t xml:space="preserve">(Slovenija, </w:t>
      </w:r>
      <w:r w:rsidR="00916B1E" w:rsidRPr="00CF5B6F">
        <w:t>200</w:t>
      </w:r>
      <w:r w:rsidR="00510707">
        <w:t>8</w:t>
      </w:r>
      <w:r w:rsidR="00916B1E" w:rsidRPr="00CF5B6F">
        <w:t>–2015</w:t>
      </w:r>
      <w:r w:rsidR="008C30DD">
        <w:t>)</w:t>
      </w:r>
      <w:bookmarkEnd w:id="40"/>
      <w:bookmarkEnd w:id="41"/>
      <w:bookmarkEnd w:id="42"/>
      <w:bookmarkEnd w:id="44"/>
      <w:bookmarkEnd w:id="45"/>
      <w:r w:rsidR="00365B05">
        <w:t>*</w:t>
      </w:r>
      <w:bookmarkEnd w:id="46"/>
    </w:p>
    <w:p w:rsidR="006C446E" w:rsidRDefault="00510707" w:rsidP="005C43D4">
      <w:pPr>
        <w:pStyle w:val="Podpispodtabeloaligrafom"/>
      </w:pPr>
      <w:r>
        <w:rPr>
          <w:noProof/>
          <w:lang w:eastAsia="sl-SI"/>
        </w:rPr>
        <w:drawing>
          <wp:inline distT="0" distB="0" distL="0" distR="0" wp14:anchorId="75BFA8B1" wp14:editId="54B77CE5">
            <wp:extent cx="6159500" cy="2743200"/>
            <wp:effectExtent l="0" t="0" r="0" b="0"/>
            <wp:docPr id="24" name="Grafikon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916B1E" w:rsidRDefault="00916B1E" w:rsidP="00DE1E54">
      <w:pPr>
        <w:pStyle w:val="Podpispodtabeloaligrafom"/>
        <w:spacing w:after="0"/>
      </w:pPr>
      <w:r w:rsidRPr="00E87C93">
        <w:t>Vir: Statistični urad Republike Slovenije</w:t>
      </w:r>
      <w:r>
        <w:t xml:space="preserve"> (</w:t>
      </w:r>
      <w:r w:rsidRPr="00E87C93">
        <w:t>Podatki pred letom 2007 so preračunani v evre po fiksnem</w:t>
      </w:r>
      <w:r>
        <w:t xml:space="preserve"> tečaju 1 evro = 239,64 tolarja</w:t>
      </w:r>
      <w:r w:rsidR="00B44952">
        <w:t>.</w:t>
      </w:r>
      <w:r>
        <w:t>)</w:t>
      </w:r>
      <w:r w:rsidR="00B44952">
        <w:t>.</w:t>
      </w:r>
    </w:p>
    <w:p w:rsidR="008A31B2" w:rsidRPr="008A31B2" w:rsidRDefault="00916B1E" w:rsidP="00A071AF">
      <w:pPr>
        <w:pStyle w:val="Podpispodtabeloaligrafom"/>
      </w:pPr>
      <w:r w:rsidRPr="00141827">
        <w:t xml:space="preserve">*Zneski v </w:t>
      </w:r>
      <w:r w:rsidR="006D1211">
        <w:t>vrstici</w:t>
      </w:r>
      <w:r w:rsidRPr="00141827">
        <w:t xml:space="preserve"> »država« so</w:t>
      </w:r>
      <w:r w:rsidR="006D1211">
        <w:t xml:space="preserve"> ustreznejša informacija o javnih sredstvih za kulturne storitve kot preprost seštevek</w:t>
      </w:r>
      <w:r w:rsidR="007F1C17">
        <w:t xml:space="preserve"> </w:t>
      </w:r>
      <w:r w:rsidR="006D1211">
        <w:t>zneskov iz vrstic »centralna država« (tj. državni proračun za kulturo) in »lokalna država« (proračuni za kulturo v lokalnih skupnostih). Od vsote</w:t>
      </w:r>
      <w:r w:rsidRPr="00141827">
        <w:t xml:space="preserve"> zneskov »centralna država« in »lokalna država«</w:t>
      </w:r>
      <w:r>
        <w:t xml:space="preserve"> </w:t>
      </w:r>
      <w:r w:rsidR="006D1211">
        <w:t xml:space="preserve">so nižji </w:t>
      </w:r>
      <w:r w:rsidR="003D031D">
        <w:t>predvsem</w:t>
      </w:r>
      <w:r>
        <w:t xml:space="preserve"> zato, ker </w:t>
      </w:r>
      <w:r w:rsidR="00CC3D3A">
        <w:t>ne vsebujejo izdatkov</w:t>
      </w:r>
      <w:r>
        <w:t xml:space="preserve"> iz lokalnih proračunov, ki so bili prilivi iz državnega.</w:t>
      </w:r>
    </w:p>
    <w:p w:rsidR="000239A2" w:rsidRDefault="000239A2" w:rsidP="008A31B2"/>
    <w:p w:rsidR="00FE3FB5" w:rsidRDefault="00FE3FB5" w:rsidP="00FE3FB5">
      <w:pPr>
        <w:pStyle w:val="Podnaslov3"/>
      </w:pPr>
      <w:bookmarkStart w:id="47" w:name="_Toc489859809"/>
      <w:bookmarkStart w:id="48" w:name="_Toc490047572"/>
      <w:bookmarkStart w:id="49" w:name="_Toc490599937"/>
      <w:bookmarkStart w:id="50" w:name="_Toc506192066"/>
      <w:r>
        <w:t>Razmerje med ravnmi oblasti</w:t>
      </w:r>
      <w:bookmarkEnd w:id="47"/>
      <w:bookmarkEnd w:id="48"/>
      <w:bookmarkEnd w:id="49"/>
      <w:bookmarkEnd w:id="50"/>
    </w:p>
    <w:p w:rsidR="00C02D90" w:rsidRDefault="00C02D90" w:rsidP="008A31B2">
      <w:r>
        <w:t>V nadaljevanju preverimo, kakšno je razmerje med lokalnimi in državnimi proračuni v drugih evropskih državah.</w:t>
      </w:r>
    </w:p>
    <w:p w:rsidR="00654267" w:rsidRDefault="004C72B7" w:rsidP="00654267">
      <w:pPr>
        <w:pStyle w:val="Naslovtabele"/>
      </w:pPr>
      <w:bookmarkStart w:id="51" w:name="_Toc490053348"/>
      <w:bookmarkStart w:id="52" w:name="_Toc490053719"/>
      <w:bookmarkStart w:id="53" w:name="_Toc490599991"/>
      <w:r>
        <w:t xml:space="preserve">Tabela 4: </w:t>
      </w:r>
      <w:r w:rsidR="00654267">
        <w:t>Razmerje med državno in drugimi ravnmi oblasti pri financiranju kulturnih storitev (</w:t>
      </w:r>
      <w:r w:rsidR="00705636">
        <w:t>evropske države</w:t>
      </w:r>
      <w:r w:rsidR="00654267">
        <w:t>, 2008 in 2015)</w:t>
      </w:r>
      <w:bookmarkEnd w:id="51"/>
      <w:bookmarkEnd w:id="52"/>
      <w:bookmarkEnd w:id="53"/>
    </w:p>
    <w:tbl>
      <w:tblPr>
        <w:tblStyle w:val="Svetelseznampoudarek3"/>
        <w:tblW w:w="0" w:type="auto"/>
        <w:tblLook w:val="04A0" w:firstRow="1" w:lastRow="0" w:firstColumn="1" w:lastColumn="0" w:noHBand="0" w:noVBand="1"/>
      </w:tblPr>
      <w:tblGrid>
        <w:gridCol w:w="1004"/>
        <w:gridCol w:w="763"/>
        <w:gridCol w:w="610"/>
        <w:gridCol w:w="610"/>
        <w:gridCol w:w="949"/>
        <w:gridCol w:w="1559"/>
        <w:gridCol w:w="1559"/>
        <w:gridCol w:w="1276"/>
        <w:gridCol w:w="1443"/>
      </w:tblGrid>
      <w:tr w:rsidR="00295BB9" w:rsidRPr="00654267" w:rsidTr="00CC3D3A">
        <w:trPr>
          <w:cnfStyle w:val="100000000000" w:firstRow="1" w:lastRow="0" w:firstColumn="0" w:lastColumn="0" w:oddVBand="0" w:evenVBand="0" w:oddHBand="0" w:evenHBand="0" w:firstRowFirstColumn="0" w:firstRowLastColumn="0" w:lastRowFirstColumn="0" w:lastRowLastColumn="0"/>
          <w:trHeight w:val="1400"/>
          <w:tblHeader/>
        </w:trPr>
        <w:tc>
          <w:tcPr>
            <w:cnfStyle w:val="001000000000" w:firstRow="0" w:lastRow="0" w:firstColumn="1" w:lastColumn="0" w:oddVBand="0" w:evenVBand="0" w:oddHBand="0" w:evenHBand="0" w:firstRowFirstColumn="0" w:firstRowLastColumn="0" w:lastRowFirstColumn="0" w:lastRowLastColumn="0"/>
            <w:tcW w:w="1004" w:type="dxa"/>
            <w:hideMark/>
          </w:tcPr>
          <w:p w:rsidR="00654267" w:rsidRPr="00CC544A" w:rsidRDefault="00654267" w:rsidP="00F315B1">
            <w:pPr>
              <w:rPr>
                <w:rFonts w:ascii="Arial Narrow" w:hAnsi="Arial Narrow"/>
                <w:sz w:val="16"/>
                <w:szCs w:val="16"/>
              </w:rPr>
            </w:pPr>
          </w:p>
        </w:tc>
        <w:tc>
          <w:tcPr>
            <w:tcW w:w="763" w:type="dxa"/>
            <w:textDirection w:val="btLr"/>
            <w:hideMark/>
          </w:tcPr>
          <w:p w:rsidR="00654267" w:rsidRPr="00295BB9" w:rsidRDefault="00654267" w:rsidP="00225808">
            <w:pPr>
              <w:ind w:left="113" w:right="113"/>
              <w:cnfStyle w:val="100000000000" w:firstRow="1" w:lastRow="0" w:firstColumn="0" w:lastColumn="0" w:oddVBand="0" w:evenVBand="0" w:oddHBand="0" w:evenHBand="0" w:firstRowFirstColumn="0" w:firstRowLastColumn="0" w:lastRowFirstColumn="0" w:lastRowLastColumn="0"/>
              <w:rPr>
                <w:rFonts w:ascii="Arial Narrow" w:hAnsi="Arial Narrow"/>
                <w:sz w:val="16"/>
                <w:szCs w:val="16"/>
              </w:rPr>
            </w:pPr>
            <w:r w:rsidRPr="00295BB9">
              <w:rPr>
                <w:rFonts w:ascii="Arial Narrow" w:hAnsi="Arial Narrow"/>
                <w:sz w:val="16"/>
                <w:szCs w:val="16"/>
              </w:rPr>
              <w:t xml:space="preserve">Državni </w:t>
            </w:r>
            <w:r w:rsidR="00225808" w:rsidRPr="00295BB9">
              <w:rPr>
                <w:rFonts w:ascii="Arial Narrow" w:hAnsi="Arial Narrow"/>
                <w:bCs w:val="0"/>
                <w:sz w:val="16"/>
                <w:szCs w:val="16"/>
              </w:rPr>
              <w:t xml:space="preserve">proračun </w:t>
            </w:r>
            <w:r w:rsidRPr="00295BB9">
              <w:rPr>
                <w:rFonts w:ascii="Arial Narrow" w:hAnsi="Arial Narrow"/>
                <w:sz w:val="16"/>
                <w:szCs w:val="16"/>
              </w:rPr>
              <w:t>(2008, milijoni EUR)</w:t>
            </w:r>
          </w:p>
        </w:tc>
        <w:tc>
          <w:tcPr>
            <w:tcW w:w="610" w:type="dxa"/>
            <w:textDirection w:val="btLr"/>
            <w:hideMark/>
          </w:tcPr>
          <w:p w:rsidR="00654267" w:rsidRPr="00295BB9" w:rsidRDefault="00654267" w:rsidP="00225808">
            <w:pPr>
              <w:ind w:left="113" w:right="113"/>
              <w:cnfStyle w:val="100000000000" w:firstRow="1" w:lastRow="0" w:firstColumn="0" w:lastColumn="0" w:oddVBand="0" w:evenVBand="0" w:oddHBand="0" w:evenHBand="0" w:firstRowFirstColumn="0" w:firstRowLastColumn="0" w:lastRowFirstColumn="0" w:lastRowLastColumn="0"/>
              <w:rPr>
                <w:rFonts w:ascii="Arial Narrow" w:hAnsi="Arial Narrow"/>
                <w:sz w:val="16"/>
                <w:szCs w:val="16"/>
              </w:rPr>
            </w:pPr>
            <w:r w:rsidRPr="00295BB9">
              <w:rPr>
                <w:rFonts w:ascii="Arial Narrow" w:hAnsi="Arial Narrow"/>
                <w:sz w:val="16"/>
                <w:szCs w:val="16"/>
              </w:rPr>
              <w:t>Državni proračun (2015, milijoni EUR)</w:t>
            </w:r>
          </w:p>
        </w:tc>
        <w:tc>
          <w:tcPr>
            <w:tcW w:w="0" w:type="auto"/>
            <w:textDirection w:val="btLr"/>
            <w:hideMark/>
          </w:tcPr>
          <w:p w:rsidR="00654267" w:rsidRPr="00295BB9" w:rsidRDefault="00654267" w:rsidP="00225808">
            <w:pPr>
              <w:ind w:left="113" w:right="113"/>
              <w:cnfStyle w:val="100000000000" w:firstRow="1" w:lastRow="0" w:firstColumn="0" w:lastColumn="0" w:oddVBand="0" w:evenVBand="0" w:oddHBand="0" w:evenHBand="0" w:firstRowFirstColumn="0" w:firstRowLastColumn="0" w:lastRowFirstColumn="0" w:lastRowLastColumn="0"/>
              <w:rPr>
                <w:rFonts w:ascii="Arial Narrow" w:hAnsi="Arial Narrow"/>
                <w:sz w:val="16"/>
                <w:szCs w:val="16"/>
              </w:rPr>
            </w:pPr>
            <w:r w:rsidRPr="00295BB9">
              <w:rPr>
                <w:rFonts w:ascii="Arial Narrow" w:hAnsi="Arial Narrow"/>
                <w:sz w:val="16"/>
                <w:szCs w:val="16"/>
              </w:rPr>
              <w:t>Lokalni proračun (2008, milijoni EUR)</w:t>
            </w:r>
          </w:p>
        </w:tc>
        <w:tc>
          <w:tcPr>
            <w:tcW w:w="949" w:type="dxa"/>
            <w:textDirection w:val="btLr"/>
            <w:hideMark/>
          </w:tcPr>
          <w:p w:rsidR="00654267" w:rsidRPr="00295BB9" w:rsidRDefault="00654267" w:rsidP="00225808">
            <w:pPr>
              <w:ind w:left="113" w:right="113"/>
              <w:cnfStyle w:val="100000000000" w:firstRow="1" w:lastRow="0" w:firstColumn="0" w:lastColumn="0" w:oddVBand="0" w:evenVBand="0" w:oddHBand="0" w:evenHBand="0" w:firstRowFirstColumn="0" w:firstRowLastColumn="0" w:lastRowFirstColumn="0" w:lastRowLastColumn="0"/>
              <w:rPr>
                <w:rFonts w:ascii="Arial Narrow" w:hAnsi="Arial Narrow"/>
                <w:sz w:val="16"/>
                <w:szCs w:val="16"/>
              </w:rPr>
            </w:pPr>
            <w:r w:rsidRPr="00295BB9">
              <w:rPr>
                <w:rFonts w:ascii="Arial Narrow" w:hAnsi="Arial Narrow"/>
                <w:sz w:val="16"/>
                <w:szCs w:val="16"/>
              </w:rPr>
              <w:t>Lokalni proračun (2015, milijoni EUR)</w:t>
            </w:r>
          </w:p>
        </w:tc>
        <w:tc>
          <w:tcPr>
            <w:tcW w:w="1559" w:type="dxa"/>
            <w:textDirection w:val="btLr"/>
            <w:hideMark/>
          </w:tcPr>
          <w:p w:rsidR="00654267" w:rsidRPr="00295BB9" w:rsidRDefault="00654267" w:rsidP="00F315B1">
            <w:pPr>
              <w:ind w:left="113" w:right="113"/>
              <w:cnfStyle w:val="100000000000" w:firstRow="1" w:lastRow="0" w:firstColumn="0" w:lastColumn="0" w:oddVBand="0" w:evenVBand="0" w:oddHBand="0" w:evenHBand="0" w:firstRowFirstColumn="0" w:firstRowLastColumn="0" w:lastRowFirstColumn="0" w:lastRowLastColumn="0"/>
              <w:rPr>
                <w:rFonts w:ascii="Arial Narrow" w:hAnsi="Arial Narrow"/>
                <w:sz w:val="16"/>
                <w:szCs w:val="16"/>
              </w:rPr>
            </w:pPr>
            <w:r w:rsidRPr="00295BB9">
              <w:rPr>
                <w:rFonts w:ascii="Arial Narrow" w:hAnsi="Arial Narrow"/>
                <w:sz w:val="16"/>
                <w:szCs w:val="16"/>
              </w:rPr>
              <w:t>Proračuni enot oblasti, ki so manjše od države in večje od lokalnih skupnosti (2008, milijoni EUR)</w:t>
            </w:r>
          </w:p>
        </w:tc>
        <w:tc>
          <w:tcPr>
            <w:tcW w:w="1559" w:type="dxa"/>
            <w:textDirection w:val="btLr"/>
            <w:hideMark/>
          </w:tcPr>
          <w:p w:rsidR="00654267" w:rsidRPr="00295BB9" w:rsidRDefault="00654267" w:rsidP="00F315B1">
            <w:pPr>
              <w:ind w:left="113" w:right="113"/>
              <w:cnfStyle w:val="100000000000" w:firstRow="1" w:lastRow="0" w:firstColumn="0" w:lastColumn="0" w:oddVBand="0" w:evenVBand="0" w:oddHBand="0" w:evenHBand="0" w:firstRowFirstColumn="0" w:firstRowLastColumn="0" w:lastRowFirstColumn="0" w:lastRowLastColumn="0"/>
              <w:rPr>
                <w:rFonts w:ascii="Arial Narrow" w:hAnsi="Arial Narrow"/>
                <w:sz w:val="16"/>
                <w:szCs w:val="16"/>
              </w:rPr>
            </w:pPr>
            <w:r w:rsidRPr="00295BB9">
              <w:rPr>
                <w:rFonts w:ascii="Arial Narrow" w:hAnsi="Arial Narrow"/>
                <w:sz w:val="16"/>
                <w:szCs w:val="16"/>
              </w:rPr>
              <w:t>Proračuni enot oblasti, ki so manjše od države in večje od lokalnih skupnosti (2015, milijoni EUR)</w:t>
            </w:r>
          </w:p>
        </w:tc>
        <w:tc>
          <w:tcPr>
            <w:tcW w:w="1276" w:type="dxa"/>
            <w:textDirection w:val="btLr"/>
            <w:hideMark/>
          </w:tcPr>
          <w:p w:rsidR="00654267" w:rsidRPr="00295BB9" w:rsidRDefault="00654267" w:rsidP="00F315B1">
            <w:pPr>
              <w:ind w:left="113" w:right="113"/>
              <w:cnfStyle w:val="100000000000" w:firstRow="1" w:lastRow="0" w:firstColumn="0" w:lastColumn="0" w:oddVBand="0" w:evenVBand="0" w:oddHBand="0" w:evenHBand="0" w:firstRowFirstColumn="0" w:firstRowLastColumn="0" w:lastRowFirstColumn="0" w:lastRowLastColumn="0"/>
              <w:rPr>
                <w:rFonts w:ascii="Arial Narrow" w:hAnsi="Arial Narrow"/>
                <w:sz w:val="16"/>
                <w:szCs w:val="16"/>
              </w:rPr>
            </w:pPr>
            <w:r w:rsidRPr="00295BB9">
              <w:rPr>
                <w:rFonts w:ascii="Arial Narrow" w:hAnsi="Arial Narrow"/>
                <w:sz w:val="16"/>
                <w:szCs w:val="16"/>
              </w:rPr>
              <w:t>Kateri proračun je prispeval več sredstev za kulturne storitve? (2008)</w:t>
            </w:r>
          </w:p>
        </w:tc>
        <w:tc>
          <w:tcPr>
            <w:tcW w:w="1443" w:type="dxa"/>
            <w:textDirection w:val="btLr"/>
            <w:hideMark/>
          </w:tcPr>
          <w:p w:rsidR="00654267" w:rsidRPr="00295BB9" w:rsidRDefault="00654267" w:rsidP="00F315B1">
            <w:pPr>
              <w:ind w:left="113" w:right="113"/>
              <w:cnfStyle w:val="100000000000" w:firstRow="1" w:lastRow="0" w:firstColumn="0" w:lastColumn="0" w:oddVBand="0" w:evenVBand="0" w:oddHBand="0" w:evenHBand="0" w:firstRowFirstColumn="0" w:firstRowLastColumn="0" w:lastRowFirstColumn="0" w:lastRowLastColumn="0"/>
              <w:rPr>
                <w:rFonts w:ascii="Arial Narrow" w:hAnsi="Arial Narrow"/>
                <w:sz w:val="16"/>
                <w:szCs w:val="16"/>
              </w:rPr>
            </w:pPr>
            <w:r w:rsidRPr="00295BB9">
              <w:rPr>
                <w:rFonts w:ascii="Arial Narrow" w:hAnsi="Arial Narrow"/>
                <w:sz w:val="16"/>
                <w:szCs w:val="16"/>
              </w:rPr>
              <w:t>Kateri proračun je prispeval več sredstev za kulturne storitve? (2015)</w:t>
            </w:r>
          </w:p>
        </w:tc>
      </w:tr>
      <w:tr w:rsidR="006C5A7E" w:rsidRPr="00654267" w:rsidTr="00CC3D3A">
        <w:trPr>
          <w:cnfStyle w:val="000000100000" w:firstRow="0" w:lastRow="0" w:firstColumn="0" w:lastColumn="0" w:oddVBand="0" w:evenVBand="0" w:oddHBand="1" w:evenHBand="0" w:firstRowFirstColumn="0" w:firstRowLastColumn="0" w:lastRowFirstColumn="0" w:lastRowLastColumn="0"/>
          <w:trHeight w:val="400"/>
        </w:trPr>
        <w:tc>
          <w:tcPr>
            <w:cnfStyle w:val="001000000000" w:firstRow="0" w:lastRow="0" w:firstColumn="1" w:lastColumn="0" w:oddVBand="0" w:evenVBand="0" w:oddHBand="0" w:evenHBand="0" w:firstRowFirstColumn="0" w:firstRowLastColumn="0" w:lastRowFirstColumn="0" w:lastRowLastColumn="0"/>
            <w:tcW w:w="1004" w:type="dxa"/>
            <w:hideMark/>
          </w:tcPr>
          <w:p w:rsidR="00654267" w:rsidRPr="00CC544A" w:rsidRDefault="00654267" w:rsidP="00F315B1">
            <w:pPr>
              <w:spacing w:after="0" w:line="240" w:lineRule="auto"/>
              <w:rPr>
                <w:rFonts w:ascii="Arial Narrow" w:hAnsi="Arial Narrow"/>
                <w:sz w:val="16"/>
                <w:szCs w:val="16"/>
              </w:rPr>
            </w:pPr>
            <w:r w:rsidRPr="00CC544A">
              <w:rPr>
                <w:rFonts w:ascii="Arial Narrow" w:hAnsi="Arial Narrow"/>
                <w:sz w:val="16"/>
                <w:szCs w:val="16"/>
              </w:rPr>
              <w:t>Belgija</w:t>
            </w:r>
          </w:p>
        </w:tc>
        <w:tc>
          <w:tcPr>
            <w:tcW w:w="763" w:type="dxa"/>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89</w:t>
            </w:r>
          </w:p>
        </w:tc>
        <w:tc>
          <w:tcPr>
            <w:tcW w:w="610" w:type="dxa"/>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101</w:t>
            </w:r>
          </w:p>
        </w:tc>
        <w:tc>
          <w:tcPr>
            <w:tcW w:w="0" w:type="auto"/>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921</w:t>
            </w:r>
          </w:p>
        </w:tc>
        <w:tc>
          <w:tcPr>
            <w:tcW w:w="949" w:type="dxa"/>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1.119</w:t>
            </w:r>
          </w:p>
        </w:tc>
        <w:tc>
          <w:tcPr>
            <w:tcW w:w="1559" w:type="dxa"/>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882</w:t>
            </w:r>
          </w:p>
        </w:tc>
        <w:tc>
          <w:tcPr>
            <w:tcW w:w="1559" w:type="dxa"/>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963</w:t>
            </w:r>
          </w:p>
        </w:tc>
        <w:tc>
          <w:tcPr>
            <w:tcW w:w="1276" w:type="dxa"/>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več lokalne skupnosti (in druge oblasti)</w:t>
            </w:r>
          </w:p>
        </w:tc>
        <w:tc>
          <w:tcPr>
            <w:tcW w:w="1443" w:type="dxa"/>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več lokalne skupnosti (in druge oblasti)</w:t>
            </w:r>
          </w:p>
        </w:tc>
      </w:tr>
      <w:tr w:rsidR="001E2C3F" w:rsidRPr="00654267" w:rsidTr="00CC3D3A">
        <w:trPr>
          <w:trHeight w:val="200"/>
        </w:trPr>
        <w:tc>
          <w:tcPr>
            <w:cnfStyle w:val="001000000000" w:firstRow="0" w:lastRow="0" w:firstColumn="1" w:lastColumn="0" w:oddVBand="0" w:evenVBand="0" w:oddHBand="0" w:evenHBand="0" w:firstRowFirstColumn="0" w:firstRowLastColumn="0" w:lastRowFirstColumn="0" w:lastRowLastColumn="0"/>
            <w:tcW w:w="1004" w:type="dxa"/>
            <w:hideMark/>
          </w:tcPr>
          <w:p w:rsidR="00654267" w:rsidRPr="00CC544A" w:rsidRDefault="00654267" w:rsidP="00F315B1">
            <w:pPr>
              <w:spacing w:after="0" w:line="240" w:lineRule="auto"/>
              <w:rPr>
                <w:rFonts w:ascii="Arial Narrow" w:hAnsi="Arial Narrow"/>
                <w:sz w:val="16"/>
                <w:szCs w:val="16"/>
              </w:rPr>
            </w:pPr>
            <w:r w:rsidRPr="00CC544A">
              <w:rPr>
                <w:rFonts w:ascii="Arial Narrow" w:hAnsi="Arial Narrow"/>
                <w:sz w:val="16"/>
                <w:szCs w:val="16"/>
              </w:rPr>
              <w:t>Bolgarija</w:t>
            </w:r>
          </w:p>
        </w:tc>
        <w:tc>
          <w:tcPr>
            <w:tcW w:w="763" w:type="dxa"/>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77</w:t>
            </w:r>
          </w:p>
        </w:tc>
        <w:tc>
          <w:tcPr>
            <w:tcW w:w="610" w:type="dxa"/>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93</w:t>
            </w:r>
          </w:p>
        </w:tc>
        <w:tc>
          <w:tcPr>
            <w:tcW w:w="0" w:type="auto"/>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80</w:t>
            </w:r>
          </w:p>
        </w:tc>
        <w:tc>
          <w:tcPr>
            <w:tcW w:w="949" w:type="dxa"/>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239</w:t>
            </w:r>
          </w:p>
        </w:tc>
        <w:tc>
          <w:tcPr>
            <w:tcW w:w="1559" w:type="dxa"/>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 </w:t>
            </w:r>
          </w:p>
        </w:tc>
        <w:tc>
          <w:tcPr>
            <w:tcW w:w="1559" w:type="dxa"/>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 </w:t>
            </w:r>
          </w:p>
        </w:tc>
        <w:tc>
          <w:tcPr>
            <w:tcW w:w="1276" w:type="dxa"/>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več lokalne skupnosti</w:t>
            </w:r>
          </w:p>
        </w:tc>
        <w:tc>
          <w:tcPr>
            <w:tcW w:w="1443" w:type="dxa"/>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več lokalne skupnosti</w:t>
            </w:r>
          </w:p>
        </w:tc>
      </w:tr>
      <w:tr w:rsidR="001E2C3F" w:rsidRPr="00654267" w:rsidTr="00CC3D3A">
        <w:trPr>
          <w:cnfStyle w:val="000000100000" w:firstRow="0" w:lastRow="0" w:firstColumn="0" w:lastColumn="0" w:oddVBand="0" w:evenVBand="0" w:oddHBand="1" w:evenHBand="0" w:firstRowFirstColumn="0" w:firstRowLastColumn="0" w:lastRowFirstColumn="0" w:lastRowLastColumn="0"/>
          <w:trHeight w:val="200"/>
        </w:trPr>
        <w:tc>
          <w:tcPr>
            <w:cnfStyle w:val="001000000000" w:firstRow="0" w:lastRow="0" w:firstColumn="1" w:lastColumn="0" w:oddVBand="0" w:evenVBand="0" w:oddHBand="0" w:evenHBand="0" w:firstRowFirstColumn="0" w:firstRowLastColumn="0" w:lastRowFirstColumn="0" w:lastRowLastColumn="0"/>
            <w:tcW w:w="1004" w:type="dxa"/>
            <w:hideMark/>
          </w:tcPr>
          <w:p w:rsidR="00654267" w:rsidRPr="00CC544A" w:rsidRDefault="00654267" w:rsidP="00F315B1">
            <w:pPr>
              <w:spacing w:after="0" w:line="240" w:lineRule="auto"/>
              <w:rPr>
                <w:rFonts w:ascii="Arial Narrow" w:hAnsi="Arial Narrow"/>
                <w:sz w:val="16"/>
                <w:szCs w:val="16"/>
              </w:rPr>
            </w:pPr>
            <w:r w:rsidRPr="00CC544A">
              <w:rPr>
                <w:rFonts w:ascii="Arial Narrow" w:hAnsi="Arial Narrow"/>
                <w:sz w:val="16"/>
                <w:szCs w:val="16"/>
              </w:rPr>
              <w:t>Češka</w:t>
            </w:r>
          </w:p>
        </w:tc>
        <w:tc>
          <w:tcPr>
            <w:tcW w:w="763" w:type="dxa"/>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317</w:t>
            </w:r>
          </w:p>
        </w:tc>
        <w:tc>
          <w:tcPr>
            <w:tcW w:w="610" w:type="dxa"/>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323</w:t>
            </w:r>
          </w:p>
        </w:tc>
        <w:tc>
          <w:tcPr>
            <w:tcW w:w="0" w:type="auto"/>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590</w:t>
            </w:r>
          </w:p>
        </w:tc>
        <w:tc>
          <w:tcPr>
            <w:tcW w:w="949" w:type="dxa"/>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671</w:t>
            </w:r>
          </w:p>
        </w:tc>
        <w:tc>
          <w:tcPr>
            <w:tcW w:w="1559" w:type="dxa"/>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 </w:t>
            </w:r>
          </w:p>
        </w:tc>
        <w:tc>
          <w:tcPr>
            <w:tcW w:w="1559" w:type="dxa"/>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 </w:t>
            </w:r>
          </w:p>
        </w:tc>
        <w:tc>
          <w:tcPr>
            <w:tcW w:w="1276" w:type="dxa"/>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več lokalne skupnosti</w:t>
            </w:r>
          </w:p>
        </w:tc>
        <w:tc>
          <w:tcPr>
            <w:tcW w:w="1443" w:type="dxa"/>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več lokalne skupnosti</w:t>
            </w:r>
          </w:p>
        </w:tc>
      </w:tr>
      <w:tr w:rsidR="001E2C3F" w:rsidRPr="00654267" w:rsidTr="00CC3D3A">
        <w:trPr>
          <w:trHeight w:val="200"/>
        </w:trPr>
        <w:tc>
          <w:tcPr>
            <w:cnfStyle w:val="001000000000" w:firstRow="0" w:lastRow="0" w:firstColumn="1" w:lastColumn="0" w:oddVBand="0" w:evenVBand="0" w:oddHBand="0" w:evenHBand="0" w:firstRowFirstColumn="0" w:firstRowLastColumn="0" w:lastRowFirstColumn="0" w:lastRowLastColumn="0"/>
            <w:tcW w:w="1004" w:type="dxa"/>
            <w:hideMark/>
          </w:tcPr>
          <w:p w:rsidR="00654267" w:rsidRPr="00CC544A" w:rsidRDefault="00654267" w:rsidP="00F315B1">
            <w:pPr>
              <w:spacing w:after="0" w:line="240" w:lineRule="auto"/>
              <w:rPr>
                <w:rFonts w:ascii="Arial Narrow" w:hAnsi="Arial Narrow"/>
                <w:sz w:val="16"/>
                <w:szCs w:val="16"/>
              </w:rPr>
            </w:pPr>
            <w:r w:rsidRPr="00CC544A">
              <w:rPr>
                <w:rFonts w:ascii="Arial Narrow" w:hAnsi="Arial Narrow"/>
                <w:sz w:val="16"/>
                <w:szCs w:val="16"/>
              </w:rPr>
              <w:t>Danska</w:t>
            </w:r>
          </w:p>
        </w:tc>
        <w:tc>
          <w:tcPr>
            <w:tcW w:w="763" w:type="dxa"/>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518</w:t>
            </w:r>
          </w:p>
        </w:tc>
        <w:tc>
          <w:tcPr>
            <w:tcW w:w="610" w:type="dxa"/>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674</w:t>
            </w:r>
          </w:p>
        </w:tc>
        <w:tc>
          <w:tcPr>
            <w:tcW w:w="0" w:type="auto"/>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988</w:t>
            </w:r>
          </w:p>
        </w:tc>
        <w:tc>
          <w:tcPr>
            <w:tcW w:w="949" w:type="dxa"/>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1.239</w:t>
            </w:r>
          </w:p>
        </w:tc>
        <w:tc>
          <w:tcPr>
            <w:tcW w:w="1559" w:type="dxa"/>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 </w:t>
            </w:r>
          </w:p>
        </w:tc>
        <w:tc>
          <w:tcPr>
            <w:tcW w:w="1559" w:type="dxa"/>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 </w:t>
            </w:r>
          </w:p>
        </w:tc>
        <w:tc>
          <w:tcPr>
            <w:tcW w:w="1276" w:type="dxa"/>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več lokalne skupnosti</w:t>
            </w:r>
          </w:p>
        </w:tc>
        <w:tc>
          <w:tcPr>
            <w:tcW w:w="1443" w:type="dxa"/>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več lokalne skupnosti</w:t>
            </w:r>
          </w:p>
        </w:tc>
      </w:tr>
      <w:tr w:rsidR="006C5A7E" w:rsidRPr="00654267" w:rsidTr="00CC3D3A">
        <w:trPr>
          <w:cnfStyle w:val="000000100000" w:firstRow="0" w:lastRow="0" w:firstColumn="0" w:lastColumn="0" w:oddVBand="0" w:evenVBand="0" w:oddHBand="1" w:evenHBand="0" w:firstRowFirstColumn="0" w:firstRowLastColumn="0" w:lastRowFirstColumn="0" w:lastRowLastColumn="0"/>
          <w:trHeight w:val="200"/>
        </w:trPr>
        <w:tc>
          <w:tcPr>
            <w:cnfStyle w:val="001000000000" w:firstRow="0" w:lastRow="0" w:firstColumn="1" w:lastColumn="0" w:oddVBand="0" w:evenVBand="0" w:oddHBand="0" w:evenHBand="0" w:firstRowFirstColumn="0" w:firstRowLastColumn="0" w:lastRowFirstColumn="0" w:lastRowLastColumn="0"/>
            <w:tcW w:w="1004" w:type="dxa"/>
            <w:hideMark/>
          </w:tcPr>
          <w:p w:rsidR="00654267" w:rsidRPr="00CC544A" w:rsidRDefault="00654267" w:rsidP="00F315B1">
            <w:pPr>
              <w:spacing w:after="0" w:line="240" w:lineRule="auto"/>
              <w:rPr>
                <w:rFonts w:ascii="Arial Narrow" w:hAnsi="Arial Narrow"/>
                <w:sz w:val="16"/>
                <w:szCs w:val="16"/>
              </w:rPr>
            </w:pPr>
            <w:r w:rsidRPr="00CC544A">
              <w:rPr>
                <w:rFonts w:ascii="Arial Narrow" w:hAnsi="Arial Narrow"/>
                <w:sz w:val="16"/>
                <w:szCs w:val="16"/>
              </w:rPr>
              <w:t>Nemčija</w:t>
            </w:r>
          </w:p>
        </w:tc>
        <w:tc>
          <w:tcPr>
            <w:tcW w:w="763" w:type="dxa"/>
            <w:noWrap/>
            <w:hideMark/>
          </w:tcPr>
          <w:p w:rsidR="00654267" w:rsidRPr="00CC544A" w:rsidRDefault="00295BB9"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Pr>
                <w:rFonts w:ascii="Arial Narrow" w:hAnsi="Arial Narrow"/>
                <w:sz w:val="16"/>
                <w:szCs w:val="16"/>
              </w:rPr>
              <w:t>ni pod.</w:t>
            </w:r>
          </w:p>
        </w:tc>
        <w:tc>
          <w:tcPr>
            <w:tcW w:w="610" w:type="dxa"/>
            <w:noWrap/>
            <w:hideMark/>
          </w:tcPr>
          <w:p w:rsidR="00654267" w:rsidRPr="00CC544A" w:rsidRDefault="00295BB9"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Pr>
                <w:rFonts w:ascii="Arial Narrow" w:hAnsi="Arial Narrow"/>
                <w:sz w:val="16"/>
                <w:szCs w:val="16"/>
              </w:rPr>
              <w:t>ni pod.</w:t>
            </w:r>
          </w:p>
        </w:tc>
        <w:tc>
          <w:tcPr>
            <w:tcW w:w="0" w:type="auto"/>
            <w:noWrap/>
            <w:hideMark/>
          </w:tcPr>
          <w:p w:rsidR="00654267" w:rsidRPr="00CC544A" w:rsidRDefault="00295BB9"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Pr>
                <w:rFonts w:ascii="Arial Narrow" w:hAnsi="Arial Narrow"/>
                <w:sz w:val="16"/>
                <w:szCs w:val="16"/>
              </w:rPr>
              <w:t>ni pod.</w:t>
            </w:r>
          </w:p>
        </w:tc>
        <w:tc>
          <w:tcPr>
            <w:tcW w:w="949" w:type="dxa"/>
            <w:noWrap/>
            <w:hideMark/>
          </w:tcPr>
          <w:p w:rsidR="00654267" w:rsidRPr="00CC544A" w:rsidRDefault="00295BB9"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Pr>
                <w:rFonts w:ascii="Arial Narrow" w:hAnsi="Arial Narrow"/>
                <w:sz w:val="16"/>
                <w:szCs w:val="16"/>
              </w:rPr>
              <w:t>ni pod.</w:t>
            </w:r>
          </w:p>
        </w:tc>
        <w:tc>
          <w:tcPr>
            <w:tcW w:w="1559" w:type="dxa"/>
            <w:noWrap/>
            <w:hideMark/>
          </w:tcPr>
          <w:p w:rsidR="00654267" w:rsidRPr="00CC544A" w:rsidRDefault="00295BB9"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Pr>
                <w:rFonts w:ascii="Arial Narrow" w:hAnsi="Arial Narrow"/>
                <w:sz w:val="16"/>
                <w:szCs w:val="16"/>
              </w:rPr>
              <w:t>ni pod.</w:t>
            </w:r>
          </w:p>
        </w:tc>
        <w:tc>
          <w:tcPr>
            <w:tcW w:w="1559" w:type="dxa"/>
            <w:noWrap/>
            <w:hideMark/>
          </w:tcPr>
          <w:p w:rsidR="00654267" w:rsidRPr="00CC544A" w:rsidRDefault="00295BB9"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Pr>
                <w:rFonts w:ascii="Arial Narrow" w:hAnsi="Arial Narrow"/>
                <w:sz w:val="16"/>
                <w:szCs w:val="16"/>
              </w:rPr>
              <w:t>ni pod.</w:t>
            </w:r>
          </w:p>
        </w:tc>
        <w:tc>
          <w:tcPr>
            <w:tcW w:w="1276" w:type="dxa"/>
            <w:hideMark/>
          </w:tcPr>
          <w:p w:rsidR="00654267" w:rsidRPr="00CC544A" w:rsidRDefault="00295BB9"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Pr>
                <w:rFonts w:ascii="Arial Narrow" w:hAnsi="Arial Narrow"/>
                <w:sz w:val="16"/>
                <w:szCs w:val="16"/>
              </w:rPr>
              <w:t>ni pod.</w:t>
            </w:r>
          </w:p>
        </w:tc>
        <w:tc>
          <w:tcPr>
            <w:tcW w:w="1443" w:type="dxa"/>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 </w:t>
            </w:r>
            <w:r w:rsidR="00295BB9">
              <w:rPr>
                <w:rFonts w:ascii="Arial Narrow" w:hAnsi="Arial Narrow"/>
                <w:sz w:val="16"/>
                <w:szCs w:val="16"/>
              </w:rPr>
              <w:t>ni pod.</w:t>
            </w:r>
          </w:p>
        </w:tc>
      </w:tr>
      <w:tr w:rsidR="001E2C3F" w:rsidRPr="00654267" w:rsidTr="00CC3D3A">
        <w:trPr>
          <w:trHeight w:val="200"/>
        </w:trPr>
        <w:tc>
          <w:tcPr>
            <w:cnfStyle w:val="001000000000" w:firstRow="0" w:lastRow="0" w:firstColumn="1" w:lastColumn="0" w:oddVBand="0" w:evenVBand="0" w:oddHBand="0" w:evenHBand="0" w:firstRowFirstColumn="0" w:firstRowLastColumn="0" w:lastRowFirstColumn="0" w:lastRowLastColumn="0"/>
            <w:tcW w:w="1004" w:type="dxa"/>
            <w:hideMark/>
          </w:tcPr>
          <w:p w:rsidR="00654267" w:rsidRPr="00CC544A" w:rsidRDefault="00654267" w:rsidP="00F315B1">
            <w:pPr>
              <w:spacing w:after="0" w:line="240" w:lineRule="auto"/>
              <w:rPr>
                <w:rFonts w:ascii="Arial Narrow" w:hAnsi="Arial Narrow"/>
                <w:sz w:val="16"/>
                <w:szCs w:val="16"/>
              </w:rPr>
            </w:pPr>
            <w:r w:rsidRPr="00CC544A">
              <w:rPr>
                <w:rFonts w:ascii="Arial Narrow" w:hAnsi="Arial Narrow"/>
                <w:sz w:val="16"/>
                <w:szCs w:val="16"/>
              </w:rPr>
              <w:t>Estonija</w:t>
            </w:r>
          </w:p>
        </w:tc>
        <w:tc>
          <w:tcPr>
            <w:tcW w:w="763" w:type="dxa"/>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118</w:t>
            </w:r>
          </w:p>
        </w:tc>
        <w:tc>
          <w:tcPr>
            <w:tcW w:w="610" w:type="dxa"/>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131</w:t>
            </w:r>
          </w:p>
        </w:tc>
        <w:tc>
          <w:tcPr>
            <w:tcW w:w="0" w:type="auto"/>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116</w:t>
            </w:r>
          </w:p>
        </w:tc>
        <w:tc>
          <w:tcPr>
            <w:tcW w:w="949" w:type="dxa"/>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92</w:t>
            </w:r>
          </w:p>
        </w:tc>
        <w:tc>
          <w:tcPr>
            <w:tcW w:w="1559" w:type="dxa"/>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 </w:t>
            </w:r>
          </w:p>
        </w:tc>
        <w:tc>
          <w:tcPr>
            <w:tcW w:w="1559" w:type="dxa"/>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 </w:t>
            </w:r>
          </w:p>
        </w:tc>
        <w:tc>
          <w:tcPr>
            <w:tcW w:w="1276" w:type="dxa"/>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več centralna država</w:t>
            </w:r>
          </w:p>
        </w:tc>
        <w:tc>
          <w:tcPr>
            <w:tcW w:w="1443" w:type="dxa"/>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več centralna država</w:t>
            </w:r>
          </w:p>
        </w:tc>
      </w:tr>
      <w:tr w:rsidR="001E2C3F" w:rsidRPr="00654267" w:rsidTr="00CC3D3A">
        <w:trPr>
          <w:cnfStyle w:val="000000100000" w:firstRow="0" w:lastRow="0" w:firstColumn="0" w:lastColumn="0" w:oddVBand="0" w:evenVBand="0" w:oddHBand="1" w:evenHBand="0" w:firstRowFirstColumn="0" w:firstRowLastColumn="0" w:lastRowFirstColumn="0" w:lastRowLastColumn="0"/>
          <w:trHeight w:val="200"/>
        </w:trPr>
        <w:tc>
          <w:tcPr>
            <w:cnfStyle w:val="001000000000" w:firstRow="0" w:lastRow="0" w:firstColumn="1" w:lastColumn="0" w:oddVBand="0" w:evenVBand="0" w:oddHBand="0" w:evenHBand="0" w:firstRowFirstColumn="0" w:firstRowLastColumn="0" w:lastRowFirstColumn="0" w:lastRowLastColumn="0"/>
            <w:tcW w:w="1004" w:type="dxa"/>
            <w:hideMark/>
          </w:tcPr>
          <w:p w:rsidR="00654267" w:rsidRPr="00CC544A" w:rsidRDefault="00654267" w:rsidP="00F315B1">
            <w:pPr>
              <w:spacing w:after="0" w:line="240" w:lineRule="auto"/>
              <w:rPr>
                <w:rFonts w:ascii="Arial Narrow" w:hAnsi="Arial Narrow"/>
                <w:sz w:val="16"/>
                <w:szCs w:val="16"/>
              </w:rPr>
            </w:pPr>
            <w:r w:rsidRPr="00CC544A">
              <w:rPr>
                <w:rFonts w:ascii="Arial Narrow" w:hAnsi="Arial Narrow"/>
                <w:sz w:val="16"/>
                <w:szCs w:val="16"/>
              </w:rPr>
              <w:t>Irska</w:t>
            </w:r>
          </w:p>
        </w:tc>
        <w:tc>
          <w:tcPr>
            <w:tcW w:w="763" w:type="dxa"/>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379</w:t>
            </w:r>
          </w:p>
        </w:tc>
        <w:tc>
          <w:tcPr>
            <w:tcW w:w="610" w:type="dxa"/>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289</w:t>
            </w:r>
          </w:p>
        </w:tc>
        <w:tc>
          <w:tcPr>
            <w:tcW w:w="0" w:type="auto"/>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436</w:t>
            </w:r>
          </w:p>
        </w:tc>
        <w:tc>
          <w:tcPr>
            <w:tcW w:w="949" w:type="dxa"/>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296</w:t>
            </w:r>
          </w:p>
        </w:tc>
        <w:tc>
          <w:tcPr>
            <w:tcW w:w="1559" w:type="dxa"/>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 </w:t>
            </w:r>
          </w:p>
        </w:tc>
        <w:tc>
          <w:tcPr>
            <w:tcW w:w="1559" w:type="dxa"/>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 </w:t>
            </w:r>
          </w:p>
        </w:tc>
        <w:tc>
          <w:tcPr>
            <w:tcW w:w="1276" w:type="dxa"/>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več lokalne skupnosti</w:t>
            </w:r>
          </w:p>
        </w:tc>
        <w:tc>
          <w:tcPr>
            <w:tcW w:w="1443" w:type="dxa"/>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več lokalne skupnosti</w:t>
            </w:r>
          </w:p>
        </w:tc>
      </w:tr>
      <w:tr w:rsidR="001E2C3F" w:rsidRPr="00654267" w:rsidTr="00CC3D3A">
        <w:trPr>
          <w:trHeight w:val="200"/>
        </w:trPr>
        <w:tc>
          <w:tcPr>
            <w:cnfStyle w:val="001000000000" w:firstRow="0" w:lastRow="0" w:firstColumn="1" w:lastColumn="0" w:oddVBand="0" w:evenVBand="0" w:oddHBand="0" w:evenHBand="0" w:firstRowFirstColumn="0" w:firstRowLastColumn="0" w:lastRowFirstColumn="0" w:lastRowLastColumn="0"/>
            <w:tcW w:w="1004" w:type="dxa"/>
            <w:hideMark/>
          </w:tcPr>
          <w:p w:rsidR="00654267" w:rsidRPr="00CC544A" w:rsidRDefault="00654267" w:rsidP="00F315B1">
            <w:pPr>
              <w:spacing w:after="0" w:line="240" w:lineRule="auto"/>
              <w:rPr>
                <w:rFonts w:ascii="Arial Narrow" w:hAnsi="Arial Narrow"/>
                <w:sz w:val="16"/>
                <w:szCs w:val="16"/>
              </w:rPr>
            </w:pPr>
            <w:r w:rsidRPr="00CC544A">
              <w:rPr>
                <w:rFonts w:ascii="Arial Narrow" w:hAnsi="Arial Narrow"/>
                <w:sz w:val="16"/>
                <w:szCs w:val="16"/>
              </w:rPr>
              <w:t>Grčija</w:t>
            </w:r>
          </w:p>
        </w:tc>
        <w:tc>
          <w:tcPr>
            <w:tcW w:w="763" w:type="dxa"/>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378</w:t>
            </w:r>
          </w:p>
        </w:tc>
        <w:tc>
          <w:tcPr>
            <w:tcW w:w="610" w:type="dxa"/>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84</w:t>
            </w:r>
          </w:p>
        </w:tc>
        <w:tc>
          <w:tcPr>
            <w:tcW w:w="0" w:type="auto"/>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10</w:t>
            </w:r>
          </w:p>
        </w:tc>
        <w:tc>
          <w:tcPr>
            <w:tcW w:w="949" w:type="dxa"/>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95</w:t>
            </w:r>
          </w:p>
        </w:tc>
        <w:tc>
          <w:tcPr>
            <w:tcW w:w="1559" w:type="dxa"/>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 </w:t>
            </w:r>
          </w:p>
        </w:tc>
        <w:tc>
          <w:tcPr>
            <w:tcW w:w="1559" w:type="dxa"/>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 </w:t>
            </w:r>
          </w:p>
        </w:tc>
        <w:tc>
          <w:tcPr>
            <w:tcW w:w="1276" w:type="dxa"/>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več centralna država</w:t>
            </w:r>
          </w:p>
        </w:tc>
        <w:tc>
          <w:tcPr>
            <w:tcW w:w="1443" w:type="dxa"/>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več lokalne skupnosti</w:t>
            </w:r>
          </w:p>
        </w:tc>
      </w:tr>
      <w:tr w:rsidR="006C5A7E" w:rsidRPr="00654267" w:rsidTr="00CC3D3A">
        <w:trPr>
          <w:cnfStyle w:val="000000100000" w:firstRow="0" w:lastRow="0" w:firstColumn="0" w:lastColumn="0" w:oddVBand="0" w:evenVBand="0" w:oddHBand="1" w:evenHBand="0" w:firstRowFirstColumn="0" w:firstRowLastColumn="0" w:lastRowFirstColumn="0" w:lastRowLastColumn="0"/>
          <w:trHeight w:val="480"/>
        </w:trPr>
        <w:tc>
          <w:tcPr>
            <w:cnfStyle w:val="001000000000" w:firstRow="0" w:lastRow="0" w:firstColumn="1" w:lastColumn="0" w:oddVBand="0" w:evenVBand="0" w:oddHBand="0" w:evenHBand="0" w:firstRowFirstColumn="0" w:firstRowLastColumn="0" w:lastRowFirstColumn="0" w:lastRowLastColumn="0"/>
            <w:tcW w:w="1004" w:type="dxa"/>
            <w:hideMark/>
          </w:tcPr>
          <w:p w:rsidR="00654267" w:rsidRPr="00CC544A" w:rsidRDefault="00654267" w:rsidP="00F315B1">
            <w:pPr>
              <w:spacing w:after="0" w:line="240" w:lineRule="auto"/>
              <w:rPr>
                <w:rFonts w:ascii="Arial Narrow" w:hAnsi="Arial Narrow"/>
                <w:sz w:val="16"/>
                <w:szCs w:val="16"/>
              </w:rPr>
            </w:pPr>
            <w:r w:rsidRPr="00CC544A">
              <w:rPr>
                <w:rFonts w:ascii="Arial Narrow" w:hAnsi="Arial Narrow"/>
                <w:sz w:val="16"/>
                <w:szCs w:val="16"/>
              </w:rPr>
              <w:t>Španija</w:t>
            </w:r>
          </w:p>
        </w:tc>
        <w:tc>
          <w:tcPr>
            <w:tcW w:w="763" w:type="dxa"/>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1.543</w:t>
            </w:r>
          </w:p>
        </w:tc>
        <w:tc>
          <w:tcPr>
            <w:tcW w:w="610" w:type="dxa"/>
            <w:hideMark/>
          </w:tcPr>
          <w:p w:rsidR="00654267" w:rsidRPr="00CC544A" w:rsidRDefault="00295BB9"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Pr>
                <w:rFonts w:ascii="Arial Narrow" w:hAnsi="Arial Narrow"/>
                <w:sz w:val="16"/>
                <w:szCs w:val="16"/>
              </w:rPr>
              <w:t>ni pod.</w:t>
            </w:r>
          </w:p>
        </w:tc>
        <w:tc>
          <w:tcPr>
            <w:tcW w:w="0" w:type="auto"/>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4.090</w:t>
            </w:r>
          </w:p>
        </w:tc>
        <w:tc>
          <w:tcPr>
            <w:tcW w:w="949" w:type="dxa"/>
            <w:hideMark/>
          </w:tcPr>
          <w:p w:rsidR="00654267" w:rsidRPr="00CC544A" w:rsidRDefault="00295BB9"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Pr>
                <w:rFonts w:ascii="Arial Narrow" w:hAnsi="Arial Narrow"/>
                <w:sz w:val="16"/>
                <w:szCs w:val="16"/>
              </w:rPr>
              <w:t>ni pod.</w:t>
            </w:r>
          </w:p>
        </w:tc>
        <w:tc>
          <w:tcPr>
            <w:tcW w:w="1559" w:type="dxa"/>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2.138</w:t>
            </w:r>
          </w:p>
        </w:tc>
        <w:tc>
          <w:tcPr>
            <w:tcW w:w="1559" w:type="dxa"/>
            <w:hideMark/>
          </w:tcPr>
          <w:p w:rsidR="00654267" w:rsidRPr="00CC544A" w:rsidRDefault="00295BB9"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Pr>
                <w:rFonts w:ascii="Arial Narrow" w:hAnsi="Arial Narrow"/>
                <w:sz w:val="16"/>
                <w:szCs w:val="16"/>
              </w:rPr>
              <w:t>ni pod.</w:t>
            </w:r>
          </w:p>
        </w:tc>
        <w:tc>
          <w:tcPr>
            <w:tcW w:w="1276" w:type="dxa"/>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več lokalne skupnosti (in druge oblasti)</w:t>
            </w:r>
          </w:p>
        </w:tc>
        <w:tc>
          <w:tcPr>
            <w:tcW w:w="1443" w:type="dxa"/>
            <w:hideMark/>
          </w:tcPr>
          <w:p w:rsidR="00654267" w:rsidRPr="00CC544A" w:rsidRDefault="00295BB9"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Pr>
                <w:rFonts w:ascii="Arial Narrow" w:hAnsi="Arial Narrow"/>
                <w:sz w:val="16"/>
                <w:szCs w:val="16"/>
              </w:rPr>
              <w:t>ni pod.</w:t>
            </w:r>
          </w:p>
        </w:tc>
      </w:tr>
      <w:tr w:rsidR="001E2C3F" w:rsidRPr="00654267" w:rsidTr="00CC3D3A">
        <w:trPr>
          <w:trHeight w:val="200"/>
        </w:trPr>
        <w:tc>
          <w:tcPr>
            <w:cnfStyle w:val="001000000000" w:firstRow="0" w:lastRow="0" w:firstColumn="1" w:lastColumn="0" w:oddVBand="0" w:evenVBand="0" w:oddHBand="0" w:evenHBand="0" w:firstRowFirstColumn="0" w:firstRowLastColumn="0" w:lastRowFirstColumn="0" w:lastRowLastColumn="0"/>
            <w:tcW w:w="1004" w:type="dxa"/>
            <w:hideMark/>
          </w:tcPr>
          <w:p w:rsidR="00654267" w:rsidRPr="00CC544A" w:rsidRDefault="00654267" w:rsidP="00F315B1">
            <w:pPr>
              <w:spacing w:after="0" w:line="240" w:lineRule="auto"/>
              <w:rPr>
                <w:rFonts w:ascii="Arial Narrow" w:hAnsi="Arial Narrow"/>
                <w:sz w:val="16"/>
                <w:szCs w:val="16"/>
              </w:rPr>
            </w:pPr>
            <w:r w:rsidRPr="00CC544A">
              <w:rPr>
                <w:rFonts w:ascii="Arial Narrow" w:hAnsi="Arial Narrow"/>
                <w:sz w:val="16"/>
                <w:szCs w:val="16"/>
              </w:rPr>
              <w:t>Francija</w:t>
            </w:r>
          </w:p>
        </w:tc>
        <w:tc>
          <w:tcPr>
            <w:tcW w:w="763" w:type="dxa"/>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5.138</w:t>
            </w:r>
          </w:p>
        </w:tc>
        <w:tc>
          <w:tcPr>
            <w:tcW w:w="610" w:type="dxa"/>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5.084</w:t>
            </w:r>
          </w:p>
        </w:tc>
        <w:tc>
          <w:tcPr>
            <w:tcW w:w="0" w:type="auto"/>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9.609</w:t>
            </w:r>
          </w:p>
        </w:tc>
        <w:tc>
          <w:tcPr>
            <w:tcW w:w="949" w:type="dxa"/>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11.236</w:t>
            </w:r>
          </w:p>
        </w:tc>
        <w:tc>
          <w:tcPr>
            <w:tcW w:w="1559" w:type="dxa"/>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 </w:t>
            </w:r>
          </w:p>
        </w:tc>
        <w:tc>
          <w:tcPr>
            <w:tcW w:w="1559" w:type="dxa"/>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 </w:t>
            </w:r>
          </w:p>
        </w:tc>
        <w:tc>
          <w:tcPr>
            <w:tcW w:w="1276" w:type="dxa"/>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več lokalne skupnosti</w:t>
            </w:r>
          </w:p>
        </w:tc>
        <w:tc>
          <w:tcPr>
            <w:tcW w:w="1443" w:type="dxa"/>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več lokalne skupnosti</w:t>
            </w:r>
          </w:p>
        </w:tc>
      </w:tr>
      <w:tr w:rsidR="001E2C3F" w:rsidRPr="00654267" w:rsidTr="00CC3D3A">
        <w:trPr>
          <w:cnfStyle w:val="000000100000" w:firstRow="0" w:lastRow="0" w:firstColumn="0" w:lastColumn="0" w:oddVBand="0" w:evenVBand="0" w:oddHBand="1" w:evenHBand="0" w:firstRowFirstColumn="0" w:firstRowLastColumn="0" w:lastRowFirstColumn="0" w:lastRowLastColumn="0"/>
          <w:trHeight w:val="200"/>
        </w:trPr>
        <w:tc>
          <w:tcPr>
            <w:cnfStyle w:val="001000000000" w:firstRow="0" w:lastRow="0" w:firstColumn="1" w:lastColumn="0" w:oddVBand="0" w:evenVBand="0" w:oddHBand="0" w:evenHBand="0" w:firstRowFirstColumn="0" w:firstRowLastColumn="0" w:lastRowFirstColumn="0" w:lastRowLastColumn="0"/>
            <w:tcW w:w="1004" w:type="dxa"/>
            <w:hideMark/>
          </w:tcPr>
          <w:p w:rsidR="00654267" w:rsidRPr="00CC544A" w:rsidRDefault="00654267" w:rsidP="00F315B1">
            <w:pPr>
              <w:spacing w:after="0" w:line="240" w:lineRule="auto"/>
              <w:rPr>
                <w:rFonts w:ascii="Arial Narrow" w:hAnsi="Arial Narrow"/>
                <w:sz w:val="16"/>
                <w:szCs w:val="16"/>
              </w:rPr>
            </w:pPr>
            <w:r w:rsidRPr="00CC544A">
              <w:rPr>
                <w:rFonts w:ascii="Arial Narrow" w:hAnsi="Arial Narrow"/>
                <w:sz w:val="16"/>
                <w:szCs w:val="16"/>
              </w:rPr>
              <w:t>Hrvaška</w:t>
            </w:r>
          </w:p>
        </w:tc>
        <w:tc>
          <w:tcPr>
            <w:tcW w:w="763" w:type="dxa"/>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61</w:t>
            </w:r>
          </w:p>
        </w:tc>
        <w:tc>
          <w:tcPr>
            <w:tcW w:w="610" w:type="dxa"/>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146</w:t>
            </w:r>
          </w:p>
        </w:tc>
        <w:tc>
          <w:tcPr>
            <w:tcW w:w="0" w:type="auto"/>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178</w:t>
            </w:r>
          </w:p>
        </w:tc>
        <w:tc>
          <w:tcPr>
            <w:tcW w:w="949" w:type="dxa"/>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153</w:t>
            </w:r>
          </w:p>
        </w:tc>
        <w:tc>
          <w:tcPr>
            <w:tcW w:w="1559" w:type="dxa"/>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 </w:t>
            </w:r>
          </w:p>
        </w:tc>
        <w:tc>
          <w:tcPr>
            <w:tcW w:w="1559" w:type="dxa"/>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 </w:t>
            </w:r>
          </w:p>
        </w:tc>
        <w:tc>
          <w:tcPr>
            <w:tcW w:w="1276" w:type="dxa"/>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več lokalne skupnosti</w:t>
            </w:r>
          </w:p>
        </w:tc>
        <w:tc>
          <w:tcPr>
            <w:tcW w:w="1443" w:type="dxa"/>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več lokalne skupnosti</w:t>
            </w:r>
          </w:p>
        </w:tc>
      </w:tr>
      <w:tr w:rsidR="001E2C3F" w:rsidRPr="00654267" w:rsidTr="00CC3D3A">
        <w:trPr>
          <w:trHeight w:val="200"/>
        </w:trPr>
        <w:tc>
          <w:tcPr>
            <w:cnfStyle w:val="001000000000" w:firstRow="0" w:lastRow="0" w:firstColumn="1" w:lastColumn="0" w:oddVBand="0" w:evenVBand="0" w:oddHBand="0" w:evenHBand="0" w:firstRowFirstColumn="0" w:firstRowLastColumn="0" w:lastRowFirstColumn="0" w:lastRowLastColumn="0"/>
            <w:tcW w:w="1004" w:type="dxa"/>
            <w:hideMark/>
          </w:tcPr>
          <w:p w:rsidR="00654267" w:rsidRPr="00CC544A" w:rsidRDefault="00654267" w:rsidP="00F315B1">
            <w:pPr>
              <w:spacing w:after="0" w:line="240" w:lineRule="auto"/>
              <w:rPr>
                <w:rFonts w:ascii="Arial Narrow" w:hAnsi="Arial Narrow"/>
                <w:sz w:val="16"/>
                <w:szCs w:val="16"/>
              </w:rPr>
            </w:pPr>
            <w:r w:rsidRPr="00CC544A">
              <w:rPr>
                <w:rFonts w:ascii="Arial Narrow" w:hAnsi="Arial Narrow"/>
                <w:sz w:val="16"/>
                <w:szCs w:val="16"/>
              </w:rPr>
              <w:t>Italija</w:t>
            </w:r>
          </w:p>
        </w:tc>
        <w:tc>
          <w:tcPr>
            <w:tcW w:w="763" w:type="dxa"/>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2.551</w:t>
            </w:r>
          </w:p>
        </w:tc>
        <w:tc>
          <w:tcPr>
            <w:tcW w:w="610" w:type="dxa"/>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2.956</w:t>
            </w:r>
          </w:p>
        </w:tc>
        <w:tc>
          <w:tcPr>
            <w:tcW w:w="0" w:type="auto"/>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4.605</w:t>
            </w:r>
          </w:p>
        </w:tc>
        <w:tc>
          <w:tcPr>
            <w:tcW w:w="949" w:type="dxa"/>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3.488</w:t>
            </w:r>
          </w:p>
        </w:tc>
        <w:tc>
          <w:tcPr>
            <w:tcW w:w="1559" w:type="dxa"/>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 </w:t>
            </w:r>
          </w:p>
        </w:tc>
        <w:tc>
          <w:tcPr>
            <w:tcW w:w="1559" w:type="dxa"/>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 </w:t>
            </w:r>
          </w:p>
        </w:tc>
        <w:tc>
          <w:tcPr>
            <w:tcW w:w="1276" w:type="dxa"/>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 xml:space="preserve">več lokalne </w:t>
            </w:r>
            <w:r w:rsidRPr="00CC544A">
              <w:rPr>
                <w:rFonts w:ascii="Arial Narrow" w:hAnsi="Arial Narrow"/>
                <w:sz w:val="16"/>
                <w:szCs w:val="16"/>
              </w:rPr>
              <w:lastRenderedPageBreak/>
              <w:t>skupnosti</w:t>
            </w:r>
          </w:p>
        </w:tc>
        <w:tc>
          <w:tcPr>
            <w:tcW w:w="1443" w:type="dxa"/>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lastRenderedPageBreak/>
              <w:t xml:space="preserve">več lokalne </w:t>
            </w:r>
            <w:r w:rsidRPr="00CC544A">
              <w:rPr>
                <w:rFonts w:ascii="Arial Narrow" w:hAnsi="Arial Narrow"/>
                <w:sz w:val="16"/>
                <w:szCs w:val="16"/>
              </w:rPr>
              <w:lastRenderedPageBreak/>
              <w:t>skupnosti</w:t>
            </w:r>
          </w:p>
        </w:tc>
      </w:tr>
      <w:tr w:rsidR="001E2C3F" w:rsidRPr="00654267" w:rsidTr="00CC3D3A">
        <w:trPr>
          <w:cnfStyle w:val="000000100000" w:firstRow="0" w:lastRow="0" w:firstColumn="0" w:lastColumn="0" w:oddVBand="0" w:evenVBand="0" w:oddHBand="1" w:evenHBand="0" w:firstRowFirstColumn="0" w:firstRowLastColumn="0" w:lastRowFirstColumn="0" w:lastRowLastColumn="0"/>
          <w:trHeight w:val="200"/>
        </w:trPr>
        <w:tc>
          <w:tcPr>
            <w:cnfStyle w:val="001000000000" w:firstRow="0" w:lastRow="0" w:firstColumn="1" w:lastColumn="0" w:oddVBand="0" w:evenVBand="0" w:oddHBand="0" w:evenHBand="0" w:firstRowFirstColumn="0" w:firstRowLastColumn="0" w:lastRowFirstColumn="0" w:lastRowLastColumn="0"/>
            <w:tcW w:w="1004" w:type="dxa"/>
            <w:hideMark/>
          </w:tcPr>
          <w:p w:rsidR="00654267" w:rsidRPr="00CC544A" w:rsidRDefault="00654267" w:rsidP="00F315B1">
            <w:pPr>
              <w:spacing w:after="0" w:line="240" w:lineRule="auto"/>
              <w:rPr>
                <w:rFonts w:ascii="Arial Narrow" w:hAnsi="Arial Narrow"/>
                <w:sz w:val="16"/>
                <w:szCs w:val="16"/>
              </w:rPr>
            </w:pPr>
            <w:r w:rsidRPr="00CC544A">
              <w:rPr>
                <w:rFonts w:ascii="Arial Narrow" w:hAnsi="Arial Narrow"/>
                <w:sz w:val="16"/>
                <w:szCs w:val="16"/>
              </w:rPr>
              <w:lastRenderedPageBreak/>
              <w:t>Ciper</w:t>
            </w:r>
          </w:p>
        </w:tc>
        <w:tc>
          <w:tcPr>
            <w:tcW w:w="763" w:type="dxa"/>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44</w:t>
            </w:r>
          </w:p>
        </w:tc>
        <w:tc>
          <w:tcPr>
            <w:tcW w:w="610" w:type="dxa"/>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31</w:t>
            </w:r>
          </w:p>
        </w:tc>
        <w:tc>
          <w:tcPr>
            <w:tcW w:w="0" w:type="auto"/>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18</w:t>
            </w:r>
          </w:p>
        </w:tc>
        <w:tc>
          <w:tcPr>
            <w:tcW w:w="949" w:type="dxa"/>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16</w:t>
            </w:r>
          </w:p>
        </w:tc>
        <w:tc>
          <w:tcPr>
            <w:tcW w:w="1559" w:type="dxa"/>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 </w:t>
            </w:r>
          </w:p>
        </w:tc>
        <w:tc>
          <w:tcPr>
            <w:tcW w:w="1559" w:type="dxa"/>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 </w:t>
            </w:r>
          </w:p>
        </w:tc>
        <w:tc>
          <w:tcPr>
            <w:tcW w:w="1276" w:type="dxa"/>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več centralna država</w:t>
            </w:r>
          </w:p>
        </w:tc>
        <w:tc>
          <w:tcPr>
            <w:tcW w:w="1443" w:type="dxa"/>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več centralna država</w:t>
            </w:r>
          </w:p>
        </w:tc>
      </w:tr>
      <w:tr w:rsidR="001E2C3F" w:rsidRPr="00654267" w:rsidTr="00CC3D3A">
        <w:trPr>
          <w:trHeight w:val="200"/>
        </w:trPr>
        <w:tc>
          <w:tcPr>
            <w:cnfStyle w:val="001000000000" w:firstRow="0" w:lastRow="0" w:firstColumn="1" w:lastColumn="0" w:oddVBand="0" w:evenVBand="0" w:oddHBand="0" w:evenHBand="0" w:firstRowFirstColumn="0" w:firstRowLastColumn="0" w:lastRowFirstColumn="0" w:lastRowLastColumn="0"/>
            <w:tcW w:w="1004" w:type="dxa"/>
            <w:hideMark/>
          </w:tcPr>
          <w:p w:rsidR="00654267" w:rsidRPr="00CC544A" w:rsidRDefault="00654267" w:rsidP="00F315B1">
            <w:pPr>
              <w:spacing w:after="0" w:line="240" w:lineRule="auto"/>
              <w:rPr>
                <w:rFonts w:ascii="Arial Narrow" w:hAnsi="Arial Narrow"/>
                <w:sz w:val="16"/>
                <w:szCs w:val="16"/>
              </w:rPr>
            </w:pPr>
            <w:r w:rsidRPr="00CC544A">
              <w:rPr>
                <w:rFonts w:ascii="Arial Narrow" w:hAnsi="Arial Narrow"/>
                <w:sz w:val="16"/>
                <w:szCs w:val="16"/>
              </w:rPr>
              <w:t>Latvija</w:t>
            </w:r>
          </w:p>
        </w:tc>
        <w:tc>
          <w:tcPr>
            <w:tcW w:w="763" w:type="dxa"/>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138</w:t>
            </w:r>
          </w:p>
        </w:tc>
        <w:tc>
          <w:tcPr>
            <w:tcW w:w="610" w:type="dxa"/>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119</w:t>
            </w:r>
          </w:p>
        </w:tc>
        <w:tc>
          <w:tcPr>
            <w:tcW w:w="0" w:type="auto"/>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150</w:t>
            </w:r>
          </w:p>
        </w:tc>
        <w:tc>
          <w:tcPr>
            <w:tcW w:w="949" w:type="dxa"/>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156</w:t>
            </w:r>
          </w:p>
        </w:tc>
        <w:tc>
          <w:tcPr>
            <w:tcW w:w="1559" w:type="dxa"/>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 </w:t>
            </w:r>
          </w:p>
        </w:tc>
        <w:tc>
          <w:tcPr>
            <w:tcW w:w="1559" w:type="dxa"/>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 </w:t>
            </w:r>
          </w:p>
        </w:tc>
        <w:tc>
          <w:tcPr>
            <w:tcW w:w="1276" w:type="dxa"/>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več lokalne skupnosti</w:t>
            </w:r>
          </w:p>
        </w:tc>
        <w:tc>
          <w:tcPr>
            <w:tcW w:w="1443" w:type="dxa"/>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več lokalne skupnosti</w:t>
            </w:r>
          </w:p>
        </w:tc>
      </w:tr>
      <w:tr w:rsidR="001E2C3F" w:rsidRPr="00654267" w:rsidTr="00CC3D3A">
        <w:trPr>
          <w:cnfStyle w:val="000000100000" w:firstRow="0" w:lastRow="0" w:firstColumn="0" w:lastColumn="0" w:oddVBand="0" w:evenVBand="0" w:oddHBand="1" w:evenHBand="0" w:firstRowFirstColumn="0" w:firstRowLastColumn="0" w:lastRowFirstColumn="0" w:lastRowLastColumn="0"/>
          <w:trHeight w:val="200"/>
        </w:trPr>
        <w:tc>
          <w:tcPr>
            <w:cnfStyle w:val="001000000000" w:firstRow="0" w:lastRow="0" w:firstColumn="1" w:lastColumn="0" w:oddVBand="0" w:evenVBand="0" w:oddHBand="0" w:evenHBand="0" w:firstRowFirstColumn="0" w:firstRowLastColumn="0" w:lastRowFirstColumn="0" w:lastRowLastColumn="0"/>
            <w:tcW w:w="1004" w:type="dxa"/>
            <w:hideMark/>
          </w:tcPr>
          <w:p w:rsidR="00654267" w:rsidRPr="00CC544A" w:rsidRDefault="00654267" w:rsidP="00F315B1">
            <w:pPr>
              <w:spacing w:after="0" w:line="240" w:lineRule="auto"/>
              <w:rPr>
                <w:rFonts w:ascii="Arial Narrow" w:hAnsi="Arial Narrow"/>
                <w:sz w:val="16"/>
                <w:szCs w:val="16"/>
              </w:rPr>
            </w:pPr>
            <w:r w:rsidRPr="00CC544A">
              <w:rPr>
                <w:rFonts w:ascii="Arial Narrow" w:hAnsi="Arial Narrow"/>
                <w:sz w:val="16"/>
                <w:szCs w:val="16"/>
              </w:rPr>
              <w:t>Litva</w:t>
            </w:r>
          </w:p>
        </w:tc>
        <w:tc>
          <w:tcPr>
            <w:tcW w:w="763" w:type="dxa"/>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147</w:t>
            </w:r>
          </w:p>
        </w:tc>
        <w:tc>
          <w:tcPr>
            <w:tcW w:w="610" w:type="dxa"/>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132</w:t>
            </w:r>
          </w:p>
        </w:tc>
        <w:tc>
          <w:tcPr>
            <w:tcW w:w="0" w:type="auto"/>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97</w:t>
            </w:r>
          </w:p>
        </w:tc>
        <w:tc>
          <w:tcPr>
            <w:tcW w:w="949" w:type="dxa"/>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108</w:t>
            </w:r>
          </w:p>
        </w:tc>
        <w:tc>
          <w:tcPr>
            <w:tcW w:w="1559" w:type="dxa"/>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 </w:t>
            </w:r>
          </w:p>
        </w:tc>
        <w:tc>
          <w:tcPr>
            <w:tcW w:w="1559" w:type="dxa"/>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 </w:t>
            </w:r>
          </w:p>
        </w:tc>
        <w:tc>
          <w:tcPr>
            <w:tcW w:w="1276" w:type="dxa"/>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več centralna država</w:t>
            </w:r>
          </w:p>
        </w:tc>
        <w:tc>
          <w:tcPr>
            <w:tcW w:w="1443" w:type="dxa"/>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več centralna država</w:t>
            </w:r>
          </w:p>
        </w:tc>
      </w:tr>
      <w:tr w:rsidR="001E2C3F" w:rsidRPr="00654267" w:rsidTr="00CC3D3A">
        <w:trPr>
          <w:trHeight w:val="200"/>
        </w:trPr>
        <w:tc>
          <w:tcPr>
            <w:cnfStyle w:val="001000000000" w:firstRow="0" w:lastRow="0" w:firstColumn="1" w:lastColumn="0" w:oddVBand="0" w:evenVBand="0" w:oddHBand="0" w:evenHBand="0" w:firstRowFirstColumn="0" w:firstRowLastColumn="0" w:lastRowFirstColumn="0" w:lastRowLastColumn="0"/>
            <w:tcW w:w="1004" w:type="dxa"/>
            <w:hideMark/>
          </w:tcPr>
          <w:p w:rsidR="00654267" w:rsidRPr="00CC544A" w:rsidRDefault="00654267" w:rsidP="00F315B1">
            <w:pPr>
              <w:spacing w:after="0" w:line="240" w:lineRule="auto"/>
              <w:rPr>
                <w:rFonts w:ascii="Arial Narrow" w:hAnsi="Arial Narrow"/>
                <w:sz w:val="16"/>
                <w:szCs w:val="16"/>
              </w:rPr>
            </w:pPr>
            <w:r w:rsidRPr="00CC544A">
              <w:rPr>
                <w:rFonts w:ascii="Arial Narrow" w:hAnsi="Arial Narrow"/>
                <w:sz w:val="16"/>
                <w:szCs w:val="16"/>
              </w:rPr>
              <w:t>Luksemburg</w:t>
            </w:r>
          </w:p>
        </w:tc>
        <w:tc>
          <w:tcPr>
            <w:tcW w:w="763" w:type="dxa"/>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180</w:t>
            </w:r>
          </w:p>
        </w:tc>
        <w:tc>
          <w:tcPr>
            <w:tcW w:w="610" w:type="dxa"/>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189</w:t>
            </w:r>
          </w:p>
        </w:tc>
        <w:tc>
          <w:tcPr>
            <w:tcW w:w="0" w:type="auto"/>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96</w:t>
            </w:r>
          </w:p>
        </w:tc>
        <w:tc>
          <w:tcPr>
            <w:tcW w:w="949" w:type="dxa"/>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94</w:t>
            </w:r>
          </w:p>
        </w:tc>
        <w:tc>
          <w:tcPr>
            <w:tcW w:w="1559" w:type="dxa"/>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 </w:t>
            </w:r>
          </w:p>
        </w:tc>
        <w:tc>
          <w:tcPr>
            <w:tcW w:w="1559" w:type="dxa"/>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 </w:t>
            </w:r>
          </w:p>
        </w:tc>
        <w:tc>
          <w:tcPr>
            <w:tcW w:w="1276" w:type="dxa"/>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več centralna država</w:t>
            </w:r>
          </w:p>
        </w:tc>
        <w:tc>
          <w:tcPr>
            <w:tcW w:w="1443" w:type="dxa"/>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več centralna država</w:t>
            </w:r>
          </w:p>
        </w:tc>
      </w:tr>
      <w:tr w:rsidR="001E2C3F" w:rsidRPr="00654267" w:rsidTr="00CC3D3A">
        <w:trPr>
          <w:cnfStyle w:val="000000100000" w:firstRow="0" w:lastRow="0" w:firstColumn="0" w:lastColumn="0" w:oddVBand="0" w:evenVBand="0" w:oddHBand="1" w:evenHBand="0" w:firstRowFirstColumn="0" w:firstRowLastColumn="0" w:lastRowFirstColumn="0" w:lastRowLastColumn="0"/>
          <w:trHeight w:val="200"/>
        </w:trPr>
        <w:tc>
          <w:tcPr>
            <w:cnfStyle w:val="001000000000" w:firstRow="0" w:lastRow="0" w:firstColumn="1" w:lastColumn="0" w:oddVBand="0" w:evenVBand="0" w:oddHBand="0" w:evenHBand="0" w:firstRowFirstColumn="0" w:firstRowLastColumn="0" w:lastRowFirstColumn="0" w:lastRowLastColumn="0"/>
            <w:tcW w:w="1004" w:type="dxa"/>
            <w:hideMark/>
          </w:tcPr>
          <w:p w:rsidR="00654267" w:rsidRPr="00CC544A" w:rsidRDefault="00654267" w:rsidP="00F315B1">
            <w:pPr>
              <w:spacing w:after="0" w:line="240" w:lineRule="auto"/>
              <w:rPr>
                <w:rFonts w:ascii="Arial Narrow" w:hAnsi="Arial Narrow"/>
                <w:sz w:val="16"/>
                <w:szCs w:val="16"/>
              </w:rPr>
            </w:pPr>
            <w:r w:rsidRPr="00CC544A">
              <w:rPr>
                <w:rFonts w:ascii="Arial Narrow" w:hAnsi="Arial Narrow"/>
                <w:sz w:val="16"/>
                <w:szCs w:val="16"/>
              </w:rPr>
              <w:t>Madžarska</w:t>
            </w:r>
          </w:p>
        </w:tc>
        <w:tc>
          <w:tcPr>
            <w:tcW w:w="763" w:type="dxa"/>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448</w:t>
            </w:r>
          </w:p>
        </w:tc>
        <w:tc>
          <w:tcPr>
            <w:tcW w:w="610" w:type="dxa"/>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595</w:t>
            </w:r>
          </w:p>
        </w:tc>
        <w:tc>
          <w:tcPr>
            <w:tcW w:w="0" w:type="auto"/>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346</w:t>
            </w:r>
          </w:p>
        </w:tc>
        <w:tc>
          <w:tcPr>
            <w:tcW w:w="949" w:type="dxa"/>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465</w:t>
            </w:r>
          </w:p>
        </w:tc>
        <w:tc>
          <w:tcPr>
            <w:tcW w:w="1559" w:type="dxa"/>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 </w:t>
            </w:r>
          </w:p>
        </w:tc>
        <w:tc>
          <w:tcPr>
            <w:tcW w:w="1559" w:type="dxa"/>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 </w:t>
            </w:r>
          </w:p>
        </w:tc>
        <w:tc>
          <w:tcPr>
            <w:tcW w:w="1276" w:type="dxa"/>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več centralna država</w:t>
            </w:r>
          </w:p>
        </w:tc>
        <w:tc>
          <w:tcPr>
            <w:tcW w:w="1443" w:type="dxa"/>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več centralna država</w:t>
            </w:r>
          </w:p>
        </w:tc>
      </w:tr>
      <w:tr w:rsidR="001E2C3F" w:rsidRPr="00654267" w:rsidTr="00CC3D3A">
        <w:trPr>
          <w:trHeight w:val="200"/>
        </w:trPr>
        <w:tc>
          <w:tcPr>
            <w:cnfStyle w:val="001000000000" w:firstRow="0" w:lastRow="0" w:firstColumn="1" w:lastColumn="0" w:oddVBand="0" w:evenVBand="0" w:oddHBand="0" w:evenHBand="0" w:firstRowFirstColumn="0" w:firstRowLastColumn="0" w:lastRowFirstColumn="0" w:lastRowLastColumn="0"/>
            <w:tcW w:w="1004" w:type="dxa"/>
            <w:hideMark/>
          </w:tcPr>
          <w:p w:rsidR="00654267" w:rsidRPr="00CC544A" w:rsidRDefault="00654267" w:rsidP="00F315B1">
            <w:pPr>
              <w:spacing w:after="0" w:line="240" w:lineRule="auto"/>
              <w:rPr>
                <w:rFonts w:ascii="Arial Narrow" w:hAnsi="Arial Narrow"/>
                <w:sz w:val="16"/>
                <w:szCs w:val="16"/>
              </w:rPr>
            </w:pPr>
            <w:r w:rsidRPr="00CC544A">
              <w:rPr>
                <w:rFonts w:ascii="Arial Narrow" w:hAnsi="Arial Narrow"/>
                <w:sz w:val="16"/>
                <w:szCs w:val="16"/>
              </w:rPr>
              <w:t>Malta</w:t>
            </w:r>
          </w:p>
        </w:tc>
        <w:tc>
          <w:tcPr>
            <w:tcW w:w="763" w:type="dxa"/>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25</w:t>
            </w:r>
          </w:p>
        </w:tc>
        <w:tc>
          <w:tcPr>
            <w:tcW w:w="610" w:type="dxa"/>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80</w:t>
            </w:r>
          </w:p>
        </w:tc>
        <w:tc>
          <w:tcPr>
            <w:tcW w:w="0" w:type="auto"/>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2</w:t>
            </w:r>
          </w:p>
        </w:tc>
        <w:tc>
          <w:tcPr>
            <w:tcW w:w="949" w:type="dxa"/>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3</w:t>
            </w:r>
          </w:p>
        </w:tc>
        <w:tc>
          <w:tcPr>
            <w:tcW w:w="1559" w:type="dxa"/>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 </w:t>
            </w:r>
          </w:p>
        </w:tc>
        <w:tc>
          <w:tcPr>
            <w:tcW w:w="1559" w:type="dxa"/>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 </w:t>
            </w:r>
          </w:p>
        </w:tc>
        <w:tc>
          <w:tcPr>
            <w:tcW w:w="1276" w:type="dxa"/>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več centralna država</w:t>
            </w:r>
          </w:p>
        </w:tc>
        <w:tc>
          <w:tcPr>
            <w:tcW w:w="1443" w:type="dxa"/>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več centralna država</w:t>
            </w:r>
          </w:p>
        </w:tc>
      </w:tr>
      <w:tr w:rsidR="001E2C3F" w:rsidRPr="00654267" w:rsidTr="00CC3D3A">
        <w:trPr>
          <w:cnfStyle w:val="000000100000" w:firstRow="0" w:lastRow="0" w:firstColumn="0" w:lastColumn="0" w:oddVBand="0" w:evenVBand="0" w:oddHBand="1" w:evenHBand="0" w:firstRowFirstColumn="0" w:firstRowLastColumn="0" w:lastRowFirstColumn="0" w:lastRowLastColumn="0"/>
          <w:trHeight w:val="200"/>
        </w:trPr>
        <w:tc>
          <w:tcPr>
            <w:cnfStyle w:val="001000000000" w:firstRow="0" w:lastRow="0" w:firstColumn="1" w:lastColumn="0" w:oddVBand="0" w:evenVBand="0" w:oddHBand="0" w:evenHBand="0" w:firstRowFirstColumn="0" w:firstRowLastColumn="0" w:lastRowFirstColumn="0" w:lastRowLastColumn="0"/>
            <w:tcW w:w="1004" w:type="dxa"/>
            <w:hideMark/>
          </w:tcPr>
          <w:p w:rsidR="00654267" w:rsidRPr="00CC544A" w:rsidRDefault="00654267" w:rsidP="00F315B1">
            <w:pPr>
              <w:spacing w:after="0" w:line="240" w:lineRule="auto"/>
              <w:rPr>
                <w:rFonts w:ascii="Arial Narrow" w:hAnsi="Arial Narrow"/>
                <w:sz w:val="16"/>
                <w:szCs w:val="16"/>
              </w:rPr>
            </w:pPr>
            <w:r w:rsidRPr="00CC544A">
              <w:rPr>
                <w:rFonts w:ascii="Arial Narrow" w:hAnsi="Arial Narrow"/>
                <w:sz w:val="16"/>
                <w:szCs w:val="16"/>
              </w:rPr>
              <w:t>Nizozemska</w:t>
            </w:r>
          </w:p>
        </w:tc>
        <w:tc>
          <w:tcPr>
            <w:tcW w:w="763" w:type="dxa"/>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1.015</w:t>
            </w:r>
          </w:p>
        </w:tc>
        <w:tc>
          <w:tcPr>
            <w:tcW w:w="610" w:type="dxa"/>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735</w:t>
            </w:r>
          </w:p>
        </w:tc>
        <w:tc>
          <w:tcPr>
            <w:tcW w:w="0" w:type="auto"/>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2.574</w:t>
            </w:r>
          </w:p>
        </w:tc>
        <w:tc>
          <w:tcPr>
            <w:tcW w:w="949" w:type="dxa"/>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2.454</w:t>
            </w:r>
          </w:p>
        </w:tc>
        <w:tc>
          <w:tcPr>
            <w:tcW w:w="1559" w:type="dxa"/>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 </w:t>
            </w:r>
          </w:p>
        </w:tc>
        <w:tc>
          <w:tcPr>
            <w:tcW w:w="1559" w:type="dxa"/>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 </w:t>
            </w:r>
          </w:p>
        </w:tc>
        <w:tc>
          <w:tcPr>
            <w:tcW w:w="1276" w:type="dxa"/>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več lokalne skupnosti</w:t>
            </w:r>
          </w:p>
        </w:tc>
        <w:tc>
          <w:tcPr>
            <w:tcW w:w="1443" w:type="dxa"/>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več lokalne skupnosti</w:t>
            </w:r>
          </w:p>
        </w:tc>
      </w:tr>
      <w:tr w:rsidR="006C5A7E" w:rsidRPr="00654267" w:rsidTr="00CC3D3A">
        <w:trPr>
          <w:trHeight w:val="200"/>
        </w:trPr>
        <w:tc>
          <w:tcPr>
            <w:cnfStyle w:val="001000000000" w:firstRow="0" w:lastRow="0" w:firstColumn="1" w:lastColumn="0" w:oddVBand="0" w:evenVBand="0" w:oddHBand="0" w:evenHBand="0" w:firstRowFirstColumn="0" w:firstRowLastColumn="0" w:lastRowFirstColumn="0" w:lastRowLastColumn="0"/>
            <w:tcW w:w="1004" w:type="dxa"/>
            <w:hideMark/>
          </w:tcPr>
          <w:p w:rsidR="00654267" w:rsidRPr="00CC544A" w:rsidRDefault="00654267" w:rsidP="00F315B1">
            <w:pPr>
              <w:spacing w:after="0" w:line="240" w:lineRule="auto"/>
              <w:rPr>
                <w:rFonts w:ascii="Arial Narrow" w:hAnsi="Arial Narrow"/>
                <w:sz w:val="16"/>
                <w:szCs w:val="16"/>
              </w:rPr>
            </w:pPr>
            <w:r w:rsidRPr="00CC544A">
              <w:rPr>
                <w:rFonts w:ascii="Arial Narrow" w:hAnsi="Arial Narrow"/>
                <w:sz w:val="16"/>
                <w:szCs w:val="16"/>
              </w:rPr>
              <w:t>Avstrija</w:t>
            </w:r>
          </w:p>
        </w:tc>
        <w:tc>
          <w:tcPr>
            <w:tcW w:w="763" w:type="dxa"/>
            <w:noWrap/>
            <w:hideMark/>
          </w:tcPr>
          <w:p w:rsidR="00654267" w:rsidRPr="00CC544A" w:rsidRDefault="00295BB9"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Pr>
                <w:rFonts w:ascii="Arial Narrow" w:hAnsi="Arial Narrow"/>
                <w:sz w:val="16"/>
                <w:szCs w:val="16"/>
              </w:rPr>
              <w:t>ni pod.</w:t>
            </w:r>
          </w:p>
        </w:tc>
        <w:tc>
          <w:tcPr>
            <w:tcW w:w="610" w:type="dxa"/>
            <w:noWrap/>
            <w:hideMark/>
          </w:tcPr>
          <w:p w:rsidR="00654267" w:rsidRPr="00CC544A" w:rsidRDefault="00295BB9"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Pr>
                <w:rFonts w:ascii="Arial Narrow" w:hAnsi="Arial Narrow"/>
                <w:sz w:val="16"/>
                <w:szCs w:val="16"/>
              </w:rPr>
              <w:t>ni pod.</w:t>
            </w:r>
          </w:p>
        </w:tc>
        <w:tc>
          <w:tcPr>
            <w:tcW w:w="0" w:type="auto"/>
            <w:noWrap/>
            <w:hideMark/>
          </w:tcPr>
          <w:p w:rsidR="00654267" w:rsidRPr="00CC544A" w:rsidRDefault="00295BB9"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Pr>
                <w:rFonts w:ascii="Arial Narrow" w:hAnsi="Arial Narrow"/>
                <w:sz w:val="16"/>
                <w:szCs w:val="16"/>
              </w:rPr>
              <w:t>ni pod.</w:t>
            </w:r>
          </w:p>
        </w:tc>
        <w:tc>
          <w:tcPr>
            <w:tcW w:w="949" w:type="dxa"/>
            <w:noWrap/>
            <w:hideMark/>
          </w:tcPr>
          <w:p w:rsidR="00654267" w:rsidRPr="00CC544A" w:rsidRDefault="00295BB9"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Pr>
                <w:rFonts w:ascii="Arial Narrow" w:hAnsi="Arial Narrow"/>
                <w:sz w:val="16"/>
                <w:szCs w:val="16"/>
              </w:rPr>
              <w:t>ni pod.</w:t>
            </w:r>
          </w:p>
        </w:tc>
        <w:tc>
          <w:tcPr>
            <w:tcW w:w="1559" w:type="dxa"/>
            <w:noWrap/>
            <w:hideMark/>
          </w:tcPr>
          <w:p w:rsidR="00654267" w:rsidRPr="00CC544A" w:rsidRDefault="00295BB9"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Pr>
                <w:rFonts w:ascii="Arial Narrow" w:hAnsi="Arial Narrow"/>
                <w:sz w:val="16"/>
                <w:szCs w:val="16"/>
              </w:rPr>
              <w:t>ni pod.</w:t>
            </w:r>
          </w:p>
        </w:tc>
        <w:tc>
          <w:tcPr>
            <w:tcW w:w="1559" w:type="dxa"/>
            <w:hideMark/>
          </w:tcPr>
          <w:p w:rsidR="00654267" w:rsidRPr="00CC544A" w:rsidRDefault="00295BB9"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Pr>
                <w:rFonts w:ascii="Arial Narrow" w:hAnsi="Arial Narrow"/>
                <w:sz w:val="16"/>
                <w:szCs w:val="16"/>
              </w:rPr>
              <w:t>ni pod.</w:t>
            </w:r>
          </w:p>
        </w:tc>
        <w:tc>
          <w:tcPr>
            <w:tcW w:w="1276" w:type="dxa"/>
            <w:hideMark/>
          </w:tcPr>
          <w:p w:rsidR="00654267" w:rsidRPr="00CC544A" w:rsidRDefault="00295BB9"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Pr>
                <w:rFonts w:ascii="Arial Narrow" w:hAnsi="Arial Narrow"/>
                <w:sz w:val="16"/>
                <w:szCs w:val="16"/>
              </w:rPr>
              <w:t>ni pod.</w:t>
            </w:r>
          </w:p>
        </w:tc>
        <w:tc>
          <w:tcPr>
            <w:tcW w:w="1443" w:type="dxa"/>
            <w:hideMark/>
          </w:tcPr>
          <w:p w:rsidR="00654267" w:rsidRPr="00CC544A" w:rsidRDefault="00295BB9"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Pr>
                <w:rFonts w:ascii="Arial Narrow" w:hAnsi="Arial Narrow"/>
                <w:sz w:val="16"/>
                <w:szCs w:val="16"/>
              </w:rPr>
              <w:t>ni pod.</w:t>
            </w:r>
          </w:p>
        </w:tc>
      </w:tr>
      <w:tr w:rsidR="001E2C3F" w:rsidRPr="00654267" w:rsidTr="00CC3D3A">
        <w:trPr>
          <w:cnfStyle w:val="000000100000" w:firstRow="0" w:lastRow="0" w:firstColumn="0" w:lastColumn="0" w:oddVBand="0" w:evenVBand="0" w:oddHBand="1" w:evenHBand="0" w:firstRowFirstColumn="0" w:firstRowLastColumn="0" w:lastRowFirstColumn="0" w:lastRowLastColumn="0"/>
          <w:trHeight w:val="200"/>
        </w:trPr>
        <w:tc>
          <w:tcPr>
            <w:cnfStyle w:val="001000000000" w:firstRow="0" w:lastRow="0" w:firstColumn="1" w:lastColumn="0" w:oddVBand="0" w:evenVBand="0" w:oddHBand="0" w:evenHBand="0" w:firstRowFirstColumn="0" w:firstRowLastColumn="0" w:lastRowFirstColumn="0" w:lastRowLastColumn="0"/>
            <w:tcW w:w="1004" w:type="dxa"/>
            <w:hideMark/>
          </w:tcPr>
          <w:p w:rsidR="00654267" w:rsidRPr="00CC544A" w:rsidRDefault="00654267" w:rsidP="00F315B1">
            <w:pPr>
              <w:spacing w:after="0" w:line="240" w:lineRule="auto"/>
              <w:rPr>
                <w:rFonts w:ascii="Arial Narrow" w:hAnsi="Arial Narrow"/>
                <w:sz w:val="16"/>
                <w:szCs w:val="16"/>
              </w:rPr>
            </w:pPr>
            <w:r w:rsidRPr="00CC544A">
              <w:rPr>
                <w:rFonts w:ascii="Arial Narrow" w:hAnsi="Arial Narrow"/>
                <w:sz w:val="16"/>
                <w:szCs w:val="16"/>
              </w:rPr>
              <w:t>Poljska</w:t>
            </w:r>
          </w:p>
        </w:tc>
        <w:tc>
          <w:tcPr>
            <w:tcW w:w="763" w:type="dxa"/>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1.051</w:t>
            </w:r>
          </w:p>
        </w:tc>
        <w:tc>
          <w:tcPr>
            <w:tcW w:w="610" w:type="dxa"/>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645</w:t>
            </w:r>
          </w:p>
        </w:tc>
        <w:tc>
          <w:tcPr>
            <w:tcW w:w="0" w:type="auto"/>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2.009</w:t>
            </w:r>
          </w:p>
        </w:tc>
        <w:tc>
          <w:tcPr>
            <w:tcW w:w="949" w:type="dxa"/>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2.117</w:t>
            </w:r>
          </w:p>
        </w:tc>
        <w:tc>
          <w:tcPr>
            <w:tcW w:w="1559" w:type="dxa"/>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 </w:t>
            </w:r>
          </w:p>
        </w:tc>
        <w:tc>
          <w:tcPr>
            <w:tcW w:w="1559" w:type="dxa"/>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 </w:t>
            </w:r>
          </w:p>
        </w:tc>
        <w:tc>
          <w:tcPr>
            <w:tcW w:w="1276" w:type="dxa"/>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več lokalne skupnosti</w:t>
            </w:r>
          </w:p>
        </w:tc>
        <w:tc>
          <w:tcPr>
            <w:tcW w:w="1443" w:type="dxa"/>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več lokalne skupnosti</w:t>
            </w:r>
          </w:p>
        </w:tc>
      </w:tr>
      <w:tr w:rsidR="001E2C3F" w:rsidRPr="00654267" w:rsidTr="00CC3D3A">
        <w:trPr>
          <w:trHeight w:val="200"/>
        </w:trPr>
        <w:tc>
          <w:tcPr>
            <w:cnfStyle w:val="001000000000" w:firstRow="0" w:lastRow="0" w:firstColumn="1" w:lastColumn="0" w:oddVBand="0" w:evenVBand="0" w:oddHBand="0" w:evenHBand="0" w:firstRowFirstColumn="0" w:firstRowLastColumn="0" w:lastRowFirstColumn="0" w:lastRowLastColumn="0"/>
            <w:tcW w:w="1004" w:type="dxa"/>
            <w:hideMark/>
          </w:tcPr>
          <w:p w:rsidR="00654267" w:rsidRPr="00CC544A" w:rsidRDefault="00654267" w:rsidP="00F315B1">
            <w:pPr>
              <w:spacing w:after="0" w:line="240" w:lineRule="auto"/>
              <w:rPr>
                <w:rFonts w:ascii="Arial Narrow" w:hAnsi="Arial Narrow"/>
                <w:sz w:val="16"/>
                <w:szCs w:val="16"/>
              </w:rPr>
            </w:pPr>
            <w:r w:rsidRPr="00CC544A">
              <w:rPr>
                <w:rFonts w:ascii="Arial Narrow" w:hAnsi="Arial Narrow"/>
                <w:sz w:val="16"/>
                <w:szCs w:val="16"/>
              </w:rPr>
              <w:t>Portugalska</w:t>
            </w:r>
          </w:p>
        </w:tc>
        <w:tc>
          <w:tcPr>
            <w:tcW w:w="763" w:type="dxa"/>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281</w:t>
            </w:r>
          </w:p>
        </w:tc>
        <w:tc>
          <w:tcPr>
            <w:tcW w:w="610" w:type="dxa"/>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137</w:t>
            </w:r>
          </w:p>
        </w:tc>
        <w:tc>
          <w:tcPr>
            <w:tcW w:w="0" w:type="auto"/>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395</w:t>
            </w:r>
          </w:p>
        </w:tc>
        <w:tc>
          <w:tcPr>
            <w:tcW w:w="949" w:type="dxa"/>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270</w:t>
            </w:r>
          </w:p>
        </w:tc>
        <w:tc>
          <w:tcPr>
            <w:tcW w:w="1559" w:type="dxa"/>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 </w:t>
            </w:r>
          </w:p>
        </w:tc>
        <w:tc>
          <w:tcPr>
            <w:tcW w:w="1559" w:type="dxa"/>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 </w:t>
            </w:r>
          </w:p>
        </w:tc>
        <w:tc>
          <w:tcPr>
            <w:tcW w:w="1276" w:type="dxa"/>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več lokalne skupnosti</w:t>
            </w:r>
          </w:p>
        </w:tc>
        <w:tc>
          <w:tcPr>
            <w:tcW w:w="1443" w:type="dxa"/>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več lokalne skupnosti</w:t>
            </w:r>
          </w:p>
        </w:tc>
      </w:tr>
      <w:tr w:rsidR="001E2C3F" w:rsidRPr="00654267" w:rsidTr="00CC3D3A">
        <w:trPr>
          <w:cnfStyle w:val="000000100000" w:firstRow="0" w:lastRow="0" w:firstColumn="0" w:lastColumn="0" w:oddVBand="0" w:evenVBand="0" w:oddHBand="1" w:evenHBand="0" w:firstRowFirstColumn="0" w:firstRowLastColumn="0" w:lastRowFirstColumn="0" w:lastRowLastColumn="0"/>
          <w:trHeight w:val="200"/>
        </w:trPr>
        <w:tc>
          <w:tcPr>
            <w:cnfStyle w:val="001000000000" w:firstRow="0" w:lastRow="0" w:firstColumn="1" w:lastColumn="0" w:oddVBand="0" w:evenVBand="0" w:oddHBand="0" w:evenHBand="0" w:firstRowFirstColumn="0" w:firstRowLastColumn="0" w:lastRowFirstColumn="0" w:lastRowLastColumn="0"/>
            <w:tcW w:w="1004" w:type="dxa"/>
            <w:hideMark/>
          </w:tcPr>
          <w:p w:rsidR="00654267" w:rsidRPr="00CC544A" w:rsidRDefault="00654267" w:rsidP="00F315B1">
            <w:pPr>
              <w:spacing w:after="0" w:line="240" w:lineRule="auto"/>
              <w:rPr>
                <w:rFonts w:ascii="Arial Narrow" w:hAnsi="Arial Narrow"/>
                <w:sz w:val="16"/>
                <w:szCs w:val="16"/>
              </w:rPr>
            </w:pPr>
            <w:r w:rsidRPr="00CC544A">
              <w:rPr>
                <w:rFonts w:ascii="Arial Narrow" w:hAnsi="Arial Narrow"/>
                <w:sz w:val="16"/>
                <w:szCs w:val="16"/>
              </w:rPr>
              <w:t>Romunija</w:t>
            </w:r>
          </w:p>
        </w:tc>
        <w:tc>
          <w:tcPr>
            <w:tcW w:w="763" w:type="dxa"/>
            <w:noWrap/>
            <w:hideMark/>
          </w:tcPr>
          <w:p w:rsidR="00654267" w:rsidRPr="00CC544A" w:rsidRDefault="00295BB9"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Pr>
                <w:rFonts w:ascii="Arial Narrow" w:hAnsi="Arial Narrow"/>
                <w:sz w:val="16"/>
                <w:szCs w:val="16"/>
              </w:rPr>
              <w:t>ni pod.</w:t>
            </w:r>
          </w:p>
        </w:tc>
        <w:tc>
          <w:tcPr>
            <w:tcW w:w="610" w:type="dxa"/>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153</w:t>
            </w:r>
          </w:p>
        </w:tc>
        <w:tc>
          <w:tcPr>
            <w:tcW w:w="0" w:type="auto"/>
            <w:noWrap/>
            <w:hideMark/>
          </w:tcPr>
          <w:p w:rsidR="00654267" w:rsidRPr="00CC544A" w:rsidRDefault="00295BB9"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Pr>
                <w:rFonts w:ascii="Arial Narrow" w:hAnsi="Arial Narrow"/>
                <w:sz w:val="16"/>
                <w:szCs w:val="16"/>
              </w:rPr>
              <w:t>ni pod.</w:t>
            </w:r>
          </w:p>
        </w:tc>
        <w:tc>
          <w:tcPr>
            <w:tcW w:w="949" w:type="dxa"/>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547</w:t>
            </w:r>
          </w:p>
        </w:tc>
        <w:tc>
          <w:tcPr>
            <w:tcW w:w="1559" w:type="dxa"/>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 </w:t>
            </w:r>
          </w:p>
        </w:tc>
        <w:tc>
          <w:tcPr>
            <w:tcW w:w="1559" w:type="dxa"/>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 </w:t>
            </w:r>
          </w:p>
        </w:tc>
        <w:tc>
          <w:tcPr>
            <w:tcW w:w="1276" w:type="dxa"/>
            <w:hideMark/>
          </w:tcPr>
          <w:p w:rsidR="00654267" w:rsidRPr="00CC544A" w:rsidRDefault="00295BB9"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Pr>
                <w:rFonts w:ascii="Arial Narrow" w:hAnsi="Arial Narrow"/>
                <w:sz w:val="16"/>
                <w:szCs w:val="16"/>
              </w:rPr>
              <w:t>ni pod.</w:t>
            </w:r>
          </w:p>
        </w:tc>
        <w:tc>
          <w:tcPr>
            <w:tcW w:w="1443" w:type="dxa"/>
            <w:hideMark/>
          </w:tcPr>
          <w:p w:rsidR="00654267" w:rsidRPr="00CC544A" w:rsidRDefault="00295BB9"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Pr>
                <w:rFonts w:ascii="Arial Narrow" w:hAnsi="Arial Narrow"/>
                <w:sz w:val="16"/>
                <w:szCs w:val="16"/>
              </w:rPr>
              <w:t>ni pod.</w:t>
            </w:r>
          </w:p>
        </w:tc>
      </w:tr>
      <w:tr w:rsidR="001E2C3F" w:rsidRPr="00654267" w:rsidTr="00CC3D3A">
        <w:trPr>
          <w:trHeight w:val="200"/>
        </w:trPr>
        <w:tc>
          <w:tcPr>
            <w:cnfStyle w:val="001000000000" w:firstRow="0" w:lastRow="0" w:firstColumn="1" w:lastColumn="0" w:oddVBand="0" w:evenVBand="0" w:oddHBand="0" w:evenHBand="0" w:firstRowFirstColumn="0" w:firstRowLastColumn="0" w:lastRowFirstColumn="0" w:lastRowLastColumn="0"/>
            <w:tcW w:w="1004" w:type="dxa"/>
            <w:hideMark/>
          </w:tcPr>
          <w:p w:rsidR="00654267" w:rsidRPr="00CC544A" w:rsidRDefault="00654267" w:rsidP="00F315B1">
            <w:pPr>
              <w:spacing w:after="0" w:line="240" w:lineRule="auto"/>
              <w:rPr>
                <w:rFonts w:ascii="Arial Narrow" w:hAnsi="Arial Narrow"/>
                <w:color w:val="4F81BD" w:themeColor="accent1"/>
                <w:sz w:val="16"/>
                <w:szCs w:val="16"/>
              </w:rPr>
            </w:pPr>
            <w:r w:rsidRPr="00CC544A">
              <w:rPr>
                <w:rFonts w:ascii="Arial Narrow" w:hAnsi="Arial Narrow"/>
                <w:color w:val="4F81BD" w:themeColor="accent1"/>
                <w:sz w:val="16"/>
                <w:szCs w:val="16"/>
              </w:rPr>
              <w:t>Slovenija</w:t>
            </w:r>
          </w:p>
        </w:tc>
        <w:tc>
          <w:tcPr>
            <w:tcW w:w="763" w:type="dxa"/>
            <w:hideMark/>
          </w:tcPr>
          <w:p w:rsidR="00654267" w:rsidRPr="006C5A7E"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color w:val="4F81BD" w:themeColor="accent1"/>
                <w:sz w:val="16"/>
                <w:szCs w:val="16"/>
              </w:rPr>
            </w:pPr>
            <w:r w:rsidRPr="006C5A7E">
              <w:rPr>
                <w:rFonts w:ascii="Arial Narrow" w:hAnsi="Arial Narrow"/>
                <w:b/>
                <w:color w:val="4F81BD" w:themeColor="accent1"/>
                <w:sz w:val="16"/>
                <w:szCs w:val="16"/>
              </w:rPr>
              <w:t>164</w:t>
            </w:r>
          </w:p>
        </w:tc>
        <w:tc>
          <w:tcPr>
            <w:tcW w:w="610" w:type="dxa"/>
            <w:hideMark/>
          </w:tcPr>
          <w:p w:rsidR="00654267" w:rsidRPr="006C5A7E"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color w:val="4F81BD" w:themeColor="accent1"/>
                <w:sz w:val="16"/>
                <w:szCs w:val="16"/>
              </w:rPr>
            </w:pPr>
            <w:r w:rsidRPr="006C5A7E">
              <w:rPr>
                <w:rFonts w:ascii="Arial Narrow" w:hAnsi="Arial Narrow"/>
                <w:b/>
                <w:color w:val="4F81BD" w:themeColor="accent1"/>
                <w:sz w:val="16"/>
                <w:szCs w:val="16"/>
              </w:rPr>
              <w:t>153</w:t>
            </w:r>
          </w:p>
        </w:tc>
        <w:tc>
          <w:tcPr>
            <w:tcW w:w="0" w:type="auto"/>
            <w:hideMark/>
          </w:tcPr>
          <w:p w:rsidR="00654267" w:rsidRPr="006C5A7E"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color w:val="4F81BD" w:themeColor="accent1"/>
                <w:sz w:val="16"/>
                <w:szCs w:val="16"/>
              </w:rPr>
            </w:pPr>
            <w:r w:rsidRPr="006C5A7E">
              <w:rPr>
                <w:rFonts w:ascii="Arial Narrow" w:hAnsi="Arial Narrow"/>
                <w:b/>
                <w:color w:val="4F81BD" w:themeColor="accent1"/>
                <w:sz w:val="16"/>
                <w:szCs w:val="16"/>
              </w:rPr>
              <w:t>165</w:t>
            </w:r>
          </w:p>
        </w:tc>
        <w:tc>
          <w:tcPr>
            <w:tcW w:w="949" w:type="dxa"/>
            <w:hideMark/>
          </w:tcPr>
          <w:p w:rsidR="00654267" w:rsidRPr="006C5A7E"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color w:val="4F81BD" w:themeColor="accent1"/>
                <w:sz w:val="16"/>
                <w:szCs w:val="16"/>
              </w:rPr>
            </w:pPr>
            <w:r w:rsidRPr="006C5A7E">
              <w:rPr>
                <w:rFonts w:ascii="Arial Narrow" w:hAnsi="Arial Narrow"/>
                <w:b/>
                <w:color w:val="4F81BD" w:themeColor="accent1"/>
                <w:sz w:val="16"/>
                <w:szCs w:val="16"/>
              </w:rPr>
              <w:t>155</w:t>
            </w:r>
          </w:p>
        </w:tc>
        <w:tc>
          <w:tcPr>
            <w:tcW w:w="1559" w:type="dxa"/>
            <w:hideMark/>
          </w:tcPr>
          <w:p w:rsidR="00654267" w:rsidRPr="006C5A7E"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color w:val="4F81BD" w:themeColor="accent1"/>
                <w:sz w:val="16"/>
                <w:szCs w:val="16"/>
              </w:rPr>
            </w:pPr>
            <w:r w:rsidRPr="006C5A7E">
              <w:rPr>
                <w:rFonts w:ascii="Arial Narrow" w:hAnsi="Arial Narrow"/>
                <w:b/>
                <w:color w:val="4F81BD" w:themeColor="accent1"/>
                <w:sz w:val="16"/>
                <w:szCs w:val="16"/>
              </w:rPr>
              <w:t> </w:t>
            </w:r>
          </w:p>
        </w:tc>
        <w:tc>
          <w:tcPr>
            <w:tcW w:w="1559" w:type="dxa"/>
            <w:hideMark/>
          </w:tcPr>
          <w:p w:rsidR="00654267" w:rsidRPr="006C5A7E"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color w:val="4F81BD" w:themeColor="accent1"/>
                <w:sz w:val="16"/>
                <w:szCs w:val="16"/>
              </w:rPr>
            </w:pPr>
            <w:r w:rsidRPr="006C5A7E">
              <w:rPr>
                <w:rFonts w:ascii="Arial Narrow" w:hAnsi="Arial Narrow"/>
                <w:b/>
                <w:color w:val="4F81BD" w:themeColor="accent1"/>
                <w:sz w:val="16"/>
                <w:szCs w:val="16"/>
              </w:rPr>
              <w:t> </w:t>
            </w:r>
          </w:p>
        </w:tc>
        <w:tc>
          <w:tcPr>
            <w:tcW w:w="1276" w:type="dxa"/>
            <w:hideMark/>
          </w:tcPr>
          <w:p w:rsidR="00654267" w:rsidRPr="006C5A7E"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color w:val="4F81BD" w:themeColor="accent1"/>
                <w:sz w:val="16"/>
                <w:szCs w:val="16"/>
              </w:rPr>
            </w:pPr>
            <w:r w:rsidRPr="006C5A7E">
              <w:rPr>
                <w:rFonts w:ascii="Arial Narrow" w:hAnsi="Arial Narrow"/>
                <w:b/>
                <w:color w:val="4F81BD" w:themeColor="accent1"/>
                <w:sz w:val="16"/>
                <w:szCs w:val="16"/>
              </w:rPr>
              <w:t>več lokalne skupnosti</w:t>
            </w:r>
          </w:p>
        </w:tc>
        <w:tc>
          <w:tcPr>
            <w:tcW w:w="1443" w:type="dxa"/>
            <w:hideMark/>
          </w:tcPr>
          <w:p w:rsidR="00654267" w:rsidRPr="006C5A7E"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color w:val="4F81BD" w:themeColor="accent1"/>
                <w:sz w:val="16"/>
                <w:szCs w:val="16"/>
              </w:rPr>
            </w:pPr>
            <w:r w:rsidRPr="006C5A7E">
              <w:rPr>
                <w:rFonts w:ascii="Arial Narrow" w:hAnsi="Arial Narrow"/>
                <w:b/>
                <w:color w:val="4F81BD" w:themeColor="accent1"/>
                <w:sz w:val="16"/>
                <w:szCs w:val="16"/>
              </w:rPr>
              <w:t>več lokalne skupnosti</w:t>
            </w:r>
          </w:p>
        </w:tc>
      </w:tr>
      <w:tr w:rsidR="001E2C3F" w:rsidRPr="00654267" w:rsidTr="00CC3D3A">
        <w:trPr>
          <w:cnfStyle w:val="000000100000" w:firstRow="0" w:lastRow="0" w:firstColumn="0" w:lastColumn="0" w:oddVBand="0" w:evenVBand="0" w:oddHBand="1" w:evenHBand="0" w:firstRowFirstColumn="0" w:firstRowLastColumn="0" w:lastRowFirstColumn="0" w:lastRowLastColumn="0"/>
          <w:trHeight w:val="200"/>
        </w:trPr>
        <w:tc>
          <w:tcPr>
            <w:cnfStyle w:val="001000000000" w:firstRow="0" w:lastRow="0" w:firstColumn="1" w:lastColumn="0" w:oddVBand="0" w:evenVBand="0" w:oddHBand="0" w:evenHBand="0" w:firstRowFirstColumn="0" w:firstRowLastColumn="0" w:lastRowFirstColumn="0" w:lastRowLastColumn="0"/>
            <w:tcW w:w="1004" w:type="dxa"/>
            <w:hideMark/>
          </w:tcPr>
          <w:p w:rsidR="00654267" w:rsidRPr="00CC544A" w:rsidRDefault="00654267" w:rsidP="00F315B1">
            <w:pPr>
              <w:spacing w:after="0" w:line="240" w:lineRule="auto"/>
              <w:rPr>
                <w:rFonts w:ascii="Arial Narrow" w:hAnsi="Arial Narrow"/>
                <w:sz w:val="16"/>
                <w:szCs w:val="16"/>
              </w:rPr>
            </w:pPr>
            <w:r w:rsidRPr="00CC544A">
              <w:rPr>
                <w:rFonts w:ascii="Arial Narrow" w:hAnsi="Arial Narrow"/>
                <w:sz w:val="16"/>
                <w:szCs w:val="16"/>
              </w:rPr>
              <w:t>Slovaška</w:t>
            </w:r>
          </w:p>
        </w:tc>
        <w:tc>
          <w:tcPr>
            <w:tcW w:w="763" w:type="dxa"/>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148</w:t>
            </w:r>
          </w:p>
        </w:tc>
        <w:tc>
          <w:tcPr>
            <w:tcW w:w="610" w:type="dxa"/>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231</w:t>
            </w:r>
          </w:p>
        </w:tc>
        <w:tc>
          <w:tcPr>
            <w:tcW w:w="0" w:type="auto"/>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151</w:t>
            </w:r>
          </w:p>
        </w:tc>
        <w:tc>
          <w:tcPr>
            <w:tcW w:w="949" w:type="dxa"/>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206</w:t>
            </w:r>
          </w:p>
        </w:tc>
        <w:tc>
          <w:tcPr>
            <w:tcW w:w="1559" w:type="dxa"/>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 </w:t>
            </w:r>
          </w:p>
        </w:tc>
        <w:tc>
          <w:tcPr>
            <w:tcW w:w="1559" w:type="dxa"/>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 </w:t>
            </w:r>
          </w:p>
        </w:tc>
        <w:tc>
          <w:tcPr>
            <w:tcW w:w="1276" w:type="dxa"/>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več lokalne skupnosti</w:t>
            </w:r>
          </w:p>
        </w:tc>
        <w:tc>
          <w:tcPr>
            <w:tcW w:w="1443" w:type="dxa"/>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več centralna država</w:t>
            </w:r>
          </w:p>
        </w:tc>
      </w:tr>
      <w:tr w:rsidR="001E2C3F" w:rsidRPr="00654267" w:rsidTr="00CC3D3A">
        <w:trPr>
          <w:trHeight w:val="200"/>
        </w:trPr>
        <w:tc>
          <w:tcPr>
            <w:cnfStyle w:val="001000000000" w:firstRow="0" w:lastRow="0" w:firstColumn="1" w:lastColumn="0" w:oddVBand="0" w:evenVBand="0" w:oddHBand="0" w:evenHBand="0" w:firstRowFirstColumn="0" w:firstRowLastColumn="0" w:lastRowFirstColumn="0" w:lastRowLastColumn="0"/>
            <w:tcW w:w="1004" w:type="dxa"/>
            <w:hideMark/>
          </w:tcPr>
          <w:p w:rsidR="00654267" w:rsidRPr="00CC544A" w:rsidRDefault="00654267" w:rsidP="00F315B1">
            <w:pPr>
              <w:spacing w:after="0" w:line="240" w:lineRule="auto"/>
              <w:rPr>
                <w:rFonts w:ascii="Arial Narrow" w:hAnsi="Arial Narrow"/>
                <w:sz w:val="16"/>
                <w:szCs w:val="16"/>
              </w:rPr>
            </w:pPr>
            <w:r w:rsidRPr="00CC544A">
              <w:rPr>
                <w:rFonts w:ascii="Arial Narrow" w:hAnsi="Arial Narrow"/>
                <w:sz w:val="16"/>
                <w:szCs w:val="16"/>
              </w:rPr>
              <w:t>Finska</w:t>
            </w:r>
          </w:p>
        </w:tc>
        <w:tc>
          <w:tcPr>
            <w:tcW w:w="763" w:type="dxa"/>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468</w:t>
            </w:r>
          </w:p>
        </w:tc>
        <w:tc>
          <w:tcPr>
            <w:tcW w:w="610" w:type="dxa"/>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554</w:t>
            </w:r>
          </w:p>
        </w:tc>
        <w:tc>
          <w:tcPr>
            <w:tcW w:w="0" w:type="auto"/>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635</w:t>
            </w:r>
          </w:p>
        </w:tc>
        <w:tc>
          <w:tcPr>
            <w:tcW w:w="949" w:type="dxa"/>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740</w:t>
            </w:r>
          </w:p>
        </w:tc>
        <w:tc>
          <w:tcPr>
            <w:tcW w:w="1559" w:type="dxa"/>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 </w:t>
            </w:r>
          </w:p>
        </w:tc>
        <w:tc>
          <w:tcPr>
            <w:tcW w:w="1559" w:type="dxa"/>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 </w:t>
            </w:r>
          </w:p>
        </w:tc>
        <w:tc>
          <w:tcPr>
            <w:tcW w:w="1276" w:type="dxa"/>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več lokalne skupnosti</w:t>
            </w:r>
          </w:p>
        </w:tc>
        <w:tc>
          <w:tcPr>
            <w:tcW w:w="1443" w:type="dxa"/>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več lokalne skupnosti</w:t>
            </w:r>
          </w:p>
        </w:tc>
      </w:tr>
      <w:tr w:rsidR="001E2C3F" w:rsidRPr="00654267" w:rsidTr="00CC3D3A">
        <w:trPr>
          <w:cnfStyle w:val="000000100000" w:firstRow="0" w:lastRow="0" w:firstColumn="0" w:lastColumn="0" w:oddVBand="0" w:evenVBand="0" w:oddHBand="1" w:evenHBand="0" w:firstRowFirstColumn="0" w:firstRowLastColumn="0" w:lastRowFirstColumn="0" w:lastRowLastColumn="0"/>
          <w:trHeight w:val="200"/>
        </w:trPr>
        <w:tc>
          <w:tcPr>
            <w:cnfStyle w:val="001000000000" w:firstRow="0" w:lastRow="0" w:firstColumn="1" w:lastColumn="0" w:oddVBand="0" w:evenVBand="0" w:oddHBand="0" w:evenHBand="0" w:firstRowFirstColumn="0" w:firstRowLastColumn="0" w:lastRowFirstColumn="0" w:lastRowLastColumn="0"/>
            <w:tcW w:w="1004" w:type="dxa"/>
            <w:hideMark/>
          </w:tcPr>
          <w:p w:rsidR="00654267" w:rsidRPr="00CC544A" w:rsidRDefault="00654267" w:rsidP="00F315B1">
            <w:pPr>
              <w:spacing w:after="0" w:line="240" w:lineRule="auto"/>
              <w:rPr>
                <w:rFonts w:ascii="Arial Narrow" w:hAnsi="Arial Narrow"/>
                <w:sz w:val="16"/>
                <w:szCs w:val="16"/>
              </w:rPr>
            </w:pPr>
            <w:r w:rsidRPr="00CC544A">
              <w:rPr>
                <w:rFonts w:ascii="Arial Narrow" w:hAnsi="Arial Narrow"/>
                <w:sz w:val="16"/>
                <w:szCs w:val="16"/>
              </w:rPr>
              <w:t>Švedska</w:t>
            </w:r>
          </w:p>
        </w:tc>
        <w:tc>
          <w:tcPr>
            <w:tcW w:w="763" w:type="dxa"/>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831</w:t>
            </w:r>
          </w:p>
        </w:tc>
        <w:tc>
          <w:tcPr>
            <w:tcW w:w="610" w:type="dxa"/>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958</w:t>
            </w:r>
          </w:p>
        </w:tc>
        <w:tc>
          <w:tcPr>
            <w:tcW w:w="0" w:type="auto"/>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1.345</w:t>
            </w:r>
          </w:p>
        </w:tc>
        <w:tc>
          <w:tcPr>
            <w:tcW w:w="949" w:type="dxa"/>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1.613</w:t>
            </w:r>
          </w:p>
        </w:tc>
        <w:tc>
          <w:tcPr>
            <w:tcW w:w="1559" w:type="dxa"/>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 </w:t>
            </w:r>
          </w:p>
        </w:tc>
        <w:tc>
          <w:tcPr>
            <w:tcW w:w="1559" w:type="dxa"/>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 </w:t>
            </w:r>
          </w:p>
        </w:tc>
        <w:tc>
          <w:tcPr>
            <w:tcW w:w="1276" w:type="dxa"/>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več lokalne skupnosti</w:t>
            </w:r>
          </w:p>
        </w:tc>
        <w:tc>
          <w:tcPr>
            <w:tcW w:w="1443" w:type="dxa"/>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več lokalne skupnosti</w:t>
            </w:r>
          </w:p>
        </w:tc>
      </w:tr>
      <w:tr w:rsidR="001E2C3F" w:rsidRPr="00654267" w:rsidTr="00CC3D3A">
        <w:trPr>
          <w:trHeight w:val="200"/>
        </w:trPr>
        <w:tc>
          <w:tcPr>
            <w:cnfStyle w:val="001000000000" w:firstRow="0" w:lastRow="0" w:firstColumn="1" w:lastColumn="0" w:oddVBand="0" w:evenVBand="0" w:oddHBand="0" w:evenHBand="0" w:firstRowFirstColumn="0" w:firstRowLastColumn="0" w:lastRowFirstColumn="0" w:lastRowLastColumn="0"/>
            <w:tcW w:w="1004" w:type="dxa"/>
            <w:hideMark/>
          </w:tcPr>
          <w:p w:rsidR="00654267" w:rsidRPr="00CC544A" w:rsidRDefault="00654267" w:rsidP="00F315B1">
            <w:pPr>
              <w:spacing w:after="0" w:line="240" w:lineRule="auto"/>
              <w:rPr>
                <w:rFonts w:ascii="Arial Narrow" w:hAnsi="Arial Narrow"/>
                <w:sz w:val="16"/>
                <w:szCs w:val="16"/>
              </w:rPr>
            </w:pPr>
            <w:r w:rsidRPr="00CC544A">
              <w:rPr>
                <w:rFonts w:ascii="Arial Narrow" w:hAnsi="Arial Narrow"/>
                <w:sz w:val="16"/>
                <w:szCs w:val="16"/>
              </w:rPr>
              <w:t>Velika Britanija</w:t>
            </w:r>
          </w:p>
        </w:tc>
        <w:tc>
          <w:tcPr>
            <w:tcW w:w="763" w:type="dxa"/>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3.288</w:t>
            </w:r>
          </w:p>
        </w:tc>
        <w:tc>
          <w:tcPr>
            <w:tcW w:w="610" w:type="dxa"/>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3.669</w:t>
            </w:r>
          </w:p>
        </w:tc>
        <w:tc>
          <w:tcPr>
            <w:tcW w:w="0" w:type="auto"/>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3.866</w:t>
            </w:r>
          </w:p>
        </w:tc>
        <w:tc>
          <w:tcPr>
            <w:tcW w:w="949" w:type="dxa"/>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3.184</w:t>
            </w:r>
          </w:p>
        </w:tc>
        <w:tc>
          <w:tcPr>
            <w:tcW w:w="1559" w:type="dxa"/>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 </w:t>
            </w:r>
          </w:p>
        </w:tc>
        <w:tc>
          <w:tcPr>
            <w:tcW w:w="1559" w:type="dxa"/>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 </w:t>
            </w:r>
          </w:p>
        </w:tc>
        <w:tc>
          <w:tcPr>
            <w:tcW w:w="1276" w:type="dxa"/>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več lokalne skupnosti</w:t>
            </w:r>
          </w:p>
        </w:tc>
        <w:tc>
          <w:tcPr>
            <w:tcW w:w="1443" w:type="dxa"/>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več centralna država</w:t>
            </w:r>
          </w:p>
        </w:tc>
      </w:tr>
      <w:tr w:rsidR="001E2C3F" w:rsidRPr="00654267" w:rsidTr="00CC3D3A">
        <w:trPr>
          <w:cnfStyle w:val="000000100000" w:firstRow="0" w:lastRow="0" w:firstColumn="0" w:lastColumn="0" w:oddVBand="0" w:evenVBand="0" w:oddHBand="1" w:evenHBand="0" w:firstRowFirstColumn="0" w:firstRowLastColumn="0" w:lastRowFirstColumn="0" w:lastRowLastColumn="0"/>
          <w:trHeight w:val="200"/>
        </w:trPr>
        <w:tc>
          <w:tcPr>
            <w:cnfStyle w:val="001000000000" w:firstRow="0" w:lastRow="0" w:firstColumn="1" w:lastColumn="0" w:oddVBand="0" w:evenVBand="0" w:oddHBand="0" w:evenHBand="0" w:firstRowFirstColumn="0" w:firstRowLastColumn="0" w:lastRowFirstColumn="0" w:lastRowLastColumn="0"/>
            <w:tcW w:w="1004" w:type="dxa"/>
            <w:hideMark/>
          </w:tcPr>
          <w:p w:rsidR="00654267" w:rsidRPr="00CC544A" w:rsidRDefault="00654267" w:rsidP="00F315B1">
            <w:pPr>
              <w:spacing w:after="0" w:line="240" w:lineRule="auto"/>
              <w:rPr>
                <w:rFonts w:ascii="Arial Narrow" w:hAnsi="Arial Narrow"/>
                <w:sz w:val="16"/>
                <w:szCs w:val="16"/>
              </w:rPr>
            </w:pPr>
            <w:r w:rsidRPr="00CC544A">
              <w:rPr>
                <w:rFonts w:ascii="Arial Narrow" w:hAnsi="Arial Narrow"/>
                <w:sz w:val="16"/>
                <w:szCs w:val="16"/>
              </w:rPr>
              <w:t>Islandija</w:t>
            </w:r>
          </w:p>
        </w:tc>
        <w:tc>
          <w:tcPr>
            <w:tcW w:w="763" w:type="dxa"/>
            <w:noWrap/>
            <w:hideMark/>
          </w:tcPr>
          <w:p w:rsidR="00654267" w:rsidRPr="00CC544A" w:rsidRDefault="00295BB9"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Pr>
                <w:rFonts w:ascii="Arial Narrow" w:hAnsi="Arial Narrow"/>
                <w:sz w:val="16"/>
                <w:szCs w:val="16"/>
              </w:rPr>
              <w:t>ni pod.</w:t>
            </w:r>
          </w:p>
        </w:tc>
        <w:tc>
          <w:tcPr>
            <w:tcW w:w="610" w:type="dxa"/>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70</w:t>
            </w:r>
          </w:p>
        </w:tc>
        <w:tc>
          <w:tcPr>
            <w:tcW w:w="0" w:type="auto"/>
            <w:noWrap/>
            <w:hideMark/>
          </w:tcPr>
          <w:p w:rsidR="00654267" w:rsidRPr="00CC544A" w:rsidRDefault="00295BB9"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Pr>
                <w:rFonts w:ascii="Arial Narrow" w:hAnsi="Arial Narrow"/>
                <w:sz w:val="16"/>
                <w:szCs w:val="16"/>
              </w:rPr>
              <w:t>ni pod.</w:t>
            </w:r>
          </w:p>
        </w:tc>
        <w:tc>
          <w:tcPr>
            <w:tcW w:w="949" w:type="dxa"/>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96</w:t>
            </w:r>
          </w:p>
        </w:tc>
        <w:tc>
          <w:tcPr>
            <w:tcW w:w="1559" w:type="dxa"/>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 </w:t>
            </w:r>
          </w:p>
        </w:tc>
        <w:tc>
          <w:tcPr>
            <w:tcW w:w="1559" w:type="dxa"/>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 </w:t>
            </w:r>
          </w:p>
        </w:tc>
        <w:tc>
          <w:tcPr>
            <w:tcW w:w="1276" w:type="dxa"/>
            <w:hideMark/>
          </w:tcPr>
          <w:p w:rsidR="00654267" w:rsidRPr="00CC544A" w:rsidRDefault="00295BB9"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Pr>
                <w:rFonts w:ascii="Arial Narrow" w:hAnsi="Arial Narrow"/>
                <w:sz w:val="16"/>
                <w:szCs w:val="16"/>
              </w:rPr>
              <w:t>ni pod.</w:t>
            </w:r>
          </w:p>
        </w:tc>
        <w:tc>
          <w:tcPr>
            <w:tcW w:w="1443" w:type="dxa"/>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več lokalne skupnosti</w:t>
            </w:r>
          </w:p>
        </w:tc>
      </w:tr>
      <w:tr w:rsidR="001E2C3F" w:rsidRPr="00654267" w:rsidTr="00CC3D3A">
        <w:trPr>
          <w:trHeight w:val="200"/>
        </w:trPr>
        <w:tc>
          <w:tcPr>
            <w:cnfStyle w:val="001000000000" w:firstRow="0" w:lastRow="0" w:firstColumn="1" w:lastColumn="0" w:oddVBand="0" w:evenVBand="0" w:oddHBand="0" w:evenHBand="0" w:firstRowFirstColumn="0" w:firstRowLastColumn="0" w:lastRowFirstColumn="0" w:lastRowLastColumn="0"/>
            <w:tcW w:w="1004" w:type="dxa"/>
            <w:hideMark/>
          </w:tcPr>
          <w:p w:rsidR="00654267" w:rsidRPr="00CC544A" w:rsidRDefault="00654267" w:rsidP="00F315B1">
            <w:pPr>
              <w:spacing w:after="0" w:line="240" w:lineRule="auto"/>
              <w:rPr>
                <w:rFonts w:ascii="Arial Narrow" w:hAnsi="Arial Narrow"/>
                <w:sz w:val="16"/>
                <w:szCs w:val="16"/>
              </w:rPr>
            </w:pPr>
            <w:r w:rsidRPr="00CC544A">
              <w:rPr>
                <w:rFonts w:ascii="Arial Narrow" w:hAnsi="Arial Narrow"/>
                <w:sz w:val="16"/>
                <w:szCs w:val="16"/>
              </w:rPr>
              <w:t>Norveška</w:t>
            </w:r>
          </w:p>
        </w:tc>
        <w:tc>
          <w:tcPr>
            <w:tcW w:w="763" w:type="dxa"/>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854</w:t>
            </w:r>
          </w:p>
        </w:tc>
        <w:tc>
          <w:tcPr>
            <w:tcW w:w="610" w:type="dxa"/>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1.240</w:t>
            </w:r>
          </w:p>
        </w:tc>
        <w:tc>
          <w:tcPr>
            <w:tcW w:w="0" w:type="auto"/>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767</w:t>
            </w:r>
          </w:p>
        </w:tc>
        <w:tc>
          <w:tcPr>
            <w:tcW w:w="949" w:type="dxa"/>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1.178</w:t>
            </w:r>
          </w:p>
        </w:tc>
        <w:tc>
          <w:tcPr>
            <w:tcW w:w="1559" w:type="dxa"/>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 </w:t>
            </w:r>
          </w:p>
        </w:tc>
        <w:tc>
          <w:tcPr>
            <w:tcW w:w="1559" w:type="dxa"/>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 </w:t>
            </w:r>
          </w:p>
        </w:tc>
        <w:tc>
          <w:tcPr>
            <w:tcW w:w="1276" w:type="dxa"/>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več centralna država</w:t>
            </w:r>
          </w:p>
        </w:tc>
        <w:tc>
          <w:tcPr>
            <w:tcW w:w="1443" w:type="dxa"/>
            <w:hideMark/>
          </w:tcPr>
          <w:p w:rsidR="00654267" w:rsidRPr="00CC544A" w:rsidRDefault="00654267" w:rsidP="00F315B1">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več centralna država</w:t>
            </w:r>
          </w:p>
        </w:tc>
      </w:tr>
      <w:tr w:rsidR="006C5A7E" w:rsidRPr="00654267" w:rsidTr="00CC3D3A">
        <w:trPr>
          <w:cnfStyle w:val="000000100000" w:firstRow="0" w:lastRow="0" w:firstColumn="0" w:lastColumn="0" w:oddVBand="0" w:evenVBand="0" w:oddHBand="1" w:evenHBand="0" w:firstRowFirstColumn="0" w:firstRowLastColumn="0" w:lastRowFirstColumn="0" w:lastRowLastColumn="0"/>
          <w:trHeight w:val="400"/>
        </w:trPr>
        <w:tc>
          <w:tcPr>
            <w:cnfStyle w:val="001000000000" w:firstRow="0" w:lastRow="0" w:firstColumn="1" w:lastColumn="0" w:oddVBand="0" w:evenVBand="0" w:oddHBand="0" w:evenHBand="0" w:firstRowFirstColumn="0" w:firstRowLastColumn="0" w:lastRowFirstColumn="0" w:lastRowLastColumn="0"/>
            <w:tcW w:w="1004" w:type="dxa"/>
            <w:hideMark/>
          </w:tcPr>
          <w:p w:rsidR="00654267" w:rsidRPr="00CC544A" w:rsidRDefault="00654267" w:rsidP="00F315B1">
            <w:pPr>
              <w:spacing w:after="0" w:line="240" w:lineRule="auto"/>
              <w:rPr>
                <w:rFonts w:ascii="Arial Narrow" w:hAnsi="Arial Narrow"/>
                <w:sz w:val="16"/>
                <w:szCs w:val="16"/>
              </w:rPr>
            </w:pPr>
            <w:r w:rsidRPr="00CC544A">
              <w:rPr>
                <w:rFonts w:ascii="Arial Narrow" w:hAnsi="Arial Narrow"/>
                <w:sz w:val="16"/>
                <w:szCs w:val="16"/>
              </w:rPr>
              <w:t>Švica</w:t>
            </w:r>
          </w:p>
        </w:tc>
        <w:tc>
          <w:tcPr>
            <w:tcW w:w="763" w:type="dxa"/>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137</w:t>
            </w:r>
          </w:p>
        </w:tc>
        <w:tc>
          <w:tcPr>
            <w:tcW w:w="610" w:type="dxa"/>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231</w:t>
            </w:r>
          </w:p>
        </w:tc>
        <w:tc>
          <w:tcPr>
            <w:tcW w:w="0" w:type="auto"/>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692</w:t>
            </w:r>
          </w:p>
        </w:tc>
        <w:tc>
          <w:tcPr>
            <w:tcW w:w="949" w:type="dxa"/>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1.234</w:t>
            </w:r>
          </w:p>
        </w:tc>
        <w:tc>
          <w:tcPr>
            <w:tcW w:w="1559" w:type="dxa"/>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572</w:t>
            </w:r>
          </w:p>
        </w:tc>
        <w:tc>
          <w:tcPr>
            <w:tcW w:w="1559" w:type="dxa"/>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1.083</w:t>
            </w:r>
          </w:p>
        </w:tc>
        <w:tc>
          <w:tcPr>
            <w:tcW w:w="1276" w:type="dxa"/>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več lokalne skupnosti (in druge oblasti)</w:t>
            </w:r>
          </w:p>
        </w:tc>
        <w:tc>
          <w:tcPr>
            <w:tcW w:w="1443" w:type="dxa"/>
            <w:hideMark/>
          </w:tcPr>
          <w:p w:rsidR="00654267" w:rsidRPr="00CC544A" w:rsidRDefault="00654267" w:rsidP="00F315B1">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CC544A">
              <w:rPr>
                <w:rFonts w:ascii="Arial Narrow" w:hAnsi="Arial Narrow"/>
                <w:sz w:val="16"/>
                <w:szCs w:val="16"/>
              </w:rPr>
              <w:t>več lokalne skupnosti (in druge oblasti)</w:t>
            </w:r>
          </w:p>
        </w:tc>
      </w:tr>
    </w:tbl>
    <w:p w:rsidR="00654267" w:rsidRDefault="00F315B1" w:rsidP="00F315B1">
      <w:pPr>
        <w:pStyle w:val="Podpispodtabeloaligrafom"/>
      </w:pPr>
      <w:r>
        <w:t xml:space="preserve">Vir: </w:t>
      </w:r>
      <w:proofErr w:type="spellStart"/>
      <w:r>
        <w:t>Eurostat</w:t>
      </w:r>
      <w:proofErr w:type="spellEnd"/>
      <w:r>
        <w:t>.</w:t>
      </w:r>
    </w:p>
    <w:p w:rsidR="00F315B1" w:rsidRDefault="008D728F" w:rsidP="008A31B2">
      <w:r>
        <w:t>Iz tabele 4</w:t>
      </w:r>
      <w:r w:rsidR="00F315B1">
        <w:t xml:space="preserve"> je razvidno, da v Evropi lokalne skupnosti praviloma prispevajo </w:t>
      </w:r>
      <w:r w:rsidR="001E2C3F">
        <w:t xml:space="preserve">vsaj toliko ali </w:t>
      </w:r>
      <w:r w:rsidR="00F315B1">
        <w:t>več sredstev za kulturne storitve kot državni proračun.</w:t>
      </w:r>
      <w:r w:rsidR="001E2C3F">
        <w:t xml:space="preserve"> Leta 2008 je bilo tako v </w:t>
      </w:r>
      <w:r w:rsidR="00A66C64">
        <w:t>19</w:t>
      </w:r>
      <w:r w:rsidR="002D1748">
        <w:t>-ih</w:t>
      </w:r>
      <w:r w:rsidR="001E2C3F">
        <w:t xml:space="preserve"> državah od 2</w:t>
      </w:r>
      <w:r w:rsidR="00A66C64">
        <w:t>7</w:t>
      </w:r>
      <w:r w:rsidR="002D1748">
        <w:t>-ih</w:t>
      </w:r>
      <w:r w:rsidR="006C5A7E">
        <w:t>,</w:t>
      </w:r>
      <w:r w:rsidR="001E2C3F">
        <w:t xml:space="preserve"> za katere so podatki, leta 2015 pa v </w:t>
      </w:r>
      <w:r w:rsidR="00A66C64">
        <w:t>18 državah.</w:t>
      </w:r>
      <w:r w:rsidR="007F1E52">
        <w:t xml:space="preserve"> </w:t>
      </w:r>
      <w:r w:rsidR="00225808">
        <w:t xml:space="preserve">Podatki za Slovenijo kažejo malenkost večji prispevek lokalnih proračunov v obeh opazovanih letih. </w:t>
      </w:r>
      <w:r w:rsidR="007F1E52">
        <w:t>Posebej velike razlike v obsegu prispevka med državnim in lokalnimi proračuni</w:t>
      </w:r>
      <w:r w:rsidR="00225808">
        <w:t xml:space="preserve"> so na Malti, kjer državni proračun za kulturne storitve </w:t>
      </w:r>
      <w:r w:rsidR="00CC3D3A">
        <w:t>obsega</w:t>
      </w:r>
      <w:r w:rsidR="00225808">
        <w:t xml:space="preserve"> 32-kratnik prispevka lokalnih skupnosti in v Belgiji, kjer prispevajo lokalne skupnosti 11-krat </w:t>
      </w:r>
      <w:r w:rsidR="00CC3D3A">
        <w:t>toliko</w:t>
      </w:r>
      <w:r w:rsidR="00225808">
        <w:t xml:space="preserve">, regije/province pa 9-krat </w:t>
      </w:r>
      <w:r w:rsidR="00CC3D3A">
        <w:t>toliko</w:t>
      </w:r>
      <w:r w:rsidR="00225808">
        <w:t xml:space="preserve"> </w:t>
      </w:r>
      <w:r w:rsidR="00CC3D3A">
        <w:t>kot</w:t>
      </w:r>
      <w:r w:rsidR="00225808">
        <w:t xml:space="preserve"> centraln</w:t>
      </w:r>
      <w:r w:rsidR="00CC3D3A">
        <w:t>a</w:t>
      </w:r>
      <w:r w:rsidR="00225808">
        <w:t xml:space="preserve"> držav</w:t>
      </w:r>
      <w:r w:rsidR="00CC3D3A">
        <w:t>a</w:t>
      </w:r>
      <w:r w:rsidR="00225808">
        <w:t>.</w:t>
      </w:r>
    </w:p>
    <w:p w:rsidR="000C0131" w:rsidRDefault="00510707" w:rsidP="008A31B2">
      <w:r w:rsidRPr="005252BB">
        <w:t xml:space="preserve">Poleg odstotka BDP so na razpolago tudi mednarodno primerljivi podatki o javnih izdatkih za kulturne storitve glede na </w:t>
      </w:r>
      <w:r w:rsidR="005252BB">
        <w:t>vse javne izdatke</w:t>
      </w:r>
      <w:r w:rsidR="000C0131">
        <w:t xml:space="preserve">. Države z najvišjimi odstotki javnih sredstev za kulturne storitve so bolj ali manj iste kot države z najvišjimi odstotki bruto domačega proizvoda za kulturne storitve. V Sloveniji </w:t>
      </w:r>
      <w:r w:rsidR="005252BB">
        <w:t xml:space="preserve">je odstotek </w:t>
      </w:r>
      <w:r w:rsidR="000C0131">
        <w:t xml:space="preserve">javnih izdatkov </w:t>
      </w:r>
      <w:r w:rsidR="005252BB">
        <w:t xml:space="preserve">za kulturne storitve </w:t>
      </w:r>
      <w:r w:rsidR="000C0131">
        <w:t>v obdobju 2008–2010 znašal 1</w:t>
      </w:r>
      <w:r w:rsidR="00A67D53">
        <w:t>,8</w:t>
      </w:r>
      <w:r w:rsidR="000C0131">
        <w:t xml:space="preserve">. Nato se je leta </w:t>
      </w:r>
      <w:r w:rsidR="00A67D53">
        <w:t>201</w:t>
      </w:r>
      <w:r w:rsidR="005252BB">
        <w:t>1</w:t>
      </w:r>
      <w:r w:rsidR="00A67D53">
        <w:t xml:space="preserve"> </w:t>
      </w:r>
      <w:r w:rsidR="000C0131">
        <w:t>začel zniževati in</w:t>
      </w:r>
      <w:r w:rsidR="005252BB">
        <w:t xml:space="preserve"> </w:t>
      </w:r>
      <w:r w:rsidR="00A67D53">
        <w:t xml:space="preserve">leta 2013 </w:t>
      </w:r>
      <w:r w:rsidR="005252BB">
        <w:t>dosegel najnižjo raven doslej</w:t>
      </w:r>
      <w:r w:rsidR="000C0131">
        <w:t xml:space="preserve"> (1,3 %).</w:t>
      </w:r>
      <w:r w:rsidR="005252BB">
        <w:t xml:space="preserve"> </w:t>
      </w:r>
      <w:r w:rsidR="000C0131">
        <w:t>V</w:t>
      </w:r>
      <w:r w:rsidR="00A67D53">
        <w:t xml:space="preserve"> let</w:t>
      </w:r>
      <w:r w:rsidR="000C0131">
        <w:t>u</w:t>
      </w:r>
      <w:r w:rsidR="00A67D53">
        <w:t xml:space="preserve"> 2014 </w:t>
      </w:r>
      <w:r w:rsidR="000C0131">
        <w:t xml:space="preserve">se je krivulja obrnila navzgor </w:t>
      </w:r>
      <w:r w:rsidR="00A67D53">
        <w:t xml:space="preserve">in </w:t>
      </w:r>
      <w:r w:rsidR="000C0131">
        <w:t xml:space="preserve">leta </w:t>
      </w:r>
      <w:r w:rsidR="00A67D53">
        <w:t xml:space="preserve">2015 </w:t>
      </w:r>
      <w:r w:rsidR="000C0131">
        <w:t xml:space="preserve">je </w:t>
      </w:r>
      <w:r w:rsidR="007C5AAB">
        <w:t>bil</w:t>
      </w:r>
      <w:r w:rsidR="00A67D53">
        <w:t xml:space="preserve"> </w:t>
      </w:r>
      <w:r w:rsidR="000C0131">
        <w:t xml:space="preserve">1,5, kar uvršča Slovenijo </w:t>
      </w:r>
      <w:r w:rsidR="005F093B">
        <w:t xml:space="preserve">na sedmo mesto med </w:t>
      </w:r>
      <w:r w:rsidR="00CC3D3A">
        <w:t>evropskimi državami</w:t>
      </w:r>
      <w:r w:rsidR="005F093B">
        <w:t xml:space="preserve"> in nad povprečje EU</w:t>
      </w:r>
      <w:r w:rsidR="007C5AAB">
        <w:t>–</w:t>
      </w:r>
      <w:r w:rsidR="005F093B">
        <w:t>28, ki je 1 %.</w:t>
      </w:r>
    </w:p>
    <w:p w:rsidR="00CA7F6D" w:rsidRDefault="00CA7F6D">
      <w:pPr>
        <w:spacing w:after="0" w:line="240" w:lineRule="auto"/>
        <w:rPr>
          <w:b/>
        </w:rPr>
      </w:pPr>
      <w:bookmarkStart w:id="54" w:name="_Toc477339470"/>
      <w:bookmarkStart w:id="55" w:name="_Toc477339726"/>
      <w:bookmarkStart w:id="56" w:name="_Toc477339894"/>
      <w:r>
        <w:br w:type="page"/>
      </w:r>
    </w:p>
    <w:p w:rsidR="008A31B2" w:rsidRDefault="004C72B7" w:rsidP="008A31B2">
      <w:pPr>
        <w:pStyle w:val="Naslovtabele"/>
      </w:pPr>
      <w:bookmarkStart w:id="57" w:name="_Toc490053349"/>
      <w:bookmarkStart w:id="58" w:name="_Toc490053720"/>
      <w:bookmarkStart w:id="59" w:name="_Toc490599992"/>
      <w:r>
        <w:lastRenderedPageBreak/>
        <w:t>Tabela 5</w:t>
      </w:r>
      <w:r w:rsidR="00A67D53" w:rsidRPr="00CF5B6F">
        <w:t xml:space="preserve">: Javni izdatki za kulturne storitve </w:t>
      </w:r>
      <w:r w:rsidR="008C30DD">
        <w:t>kot odstotek vseh javnih izdatkov (</w:t>
      </w:r>
      <w:r w:rsidR="00CC3D3A">
        <w:t>evropske države</w:t>
      </w:r>
      <w:r w:rsidR="000107CC">
        <w:t xml:space="preserve">, </w:t>
      </w:r>
      <w:r w:rsidR="00A67D53" w:rsidRPr="00CF5B6F">
        <w:t>200</w:t>
      </w:r>
      <w:r w:rsidR="00510707">
        <w:t>8</w:t>
      </w:r>
      <w:r w:rsidR="00A67D53" w:rsidRPr="00CF5B6F">
        <w:t>–2015</w:t>
      </w:r>
      <w:bookmarkEnd w:id="54"/>
      <w:bookmarkEnd w:id="55"/>
      <w:bookmarkEnd w:id="56"/>
      <w:r w:rsidR="008C30DD">
        <w:t>)</w:t>
      </w:r>
      <w:bookmarkEnd w:id="57"/>
      <w:bookmarkEnd w:id="58"/>
      <w:bookmarkEnd w:id="59"/>
    </w:p>
    <w:tbl>
      <w:tblPr>
        <w:tblStyle w:val="Svetelseznampoudarek3"/>
        <w:tblW w:w="5000" w:type="pct"/>
        <w:tblLook w:val="04A0" w:firstRow="1" w:lastRow="0" w:firstColumn="1" w:lastColumn="0" w:noHBand="0" w:noVBand="1"/>
      </w:tblPr>
      <w:tblGrid>
        <w:gridCol w:w="1996"/>
        <w:gridCol w:w="1459"/>
        <w:gridCol w:w="809"/>
        <w:gridCol w:w="813"/>
        <w:gridCol w:w="815"/>
        <w:gridCol w:w="812"/>
        <w:gridCol w:w="814"/>
        <w:gridCol w:w="816"/>
        <w:gridCol w:w="814"/>
        <w:gridCol w:w="808"/>
      </w:tblGrid>
      <w:tr w:rsidR="007C1749" w:rsidRPr="005252BB" w:rsidTr="006F282B">
        <w:trPr>
          <w:cnfStyle w:val="100000000000" w:firstRow="1" w:lastRow="0" w:firstColumn="0" w:lastColumn="0" w:oddVBand="0" w:evenVBand="0" w:oddHBand="0" w:evenHBand="0" w:firstRowFirstColumn="0" w:firstRowLastColumn="0" w:lastRowFirstColumn="0" w:lastRowLastColumn="0"/>
          <w:trHeight w:val="280"/>
          <w:tblHeader/>
        </w:trPr>
        <w:tc>
          <w:tcPr>
            <w:cnfStyle w:val="001000000000" w:firstRow="0" w:lastRow="0" w:firstColumn="1" w:lastColumn="0" w:oddVBand="0" w:evenVBand="0" w:oddHBand="0" w:evenHBand="0" w:firstRowFirstColumn="0" w:firstRowLastColumn="0" w:lastRowFirstColumn="0" w:lastRowLastColumn="0"/>
            <w:tcW w:w="1002" w:type="pct"/>
            <w:noWrap/>
            <w:hideMark/>
          </w:tcPr>
          <w:p w:rsidR="005252BB" w:rsidRPr="006F54E8" w:rsidRDefault="005252BB" w:rsidP="006F54E8">
            <w:pPr>
              <w:rPr>
                <w:rFonts w:ascii="Arial Narrow" w:hAnsi="Arial Narrow"/>
                <w:sz w:val="16"/>
                <w:szCs w:val="16"/>
              </w:rPr>
            </w:pPr>
            <w:r w:rsidRPr="006F54E8">
              <w:rPr>
                <w:rFonts w:ascii="Arial Narrow" w:hAnsi="Arial Narrow"/>
                <w:sz w:val="16"/>
                <w:szCs w:val="16"/>
              </w:rPr>
              <w:t xml:space="preserve">Vrstni red </w:t>
            </w:r>
            <w:r w:rsidR="006F54E8" w:rsidRPr="006F54E8">
              <w:rPr>
                <w:rFonts w:ascii="Arial Narrow" w:hAnsi="Arial Narrow"/>
                <w:sz w:val="16"/>
                <w:szCs w:val="16"/>
              </w:rPr>
              <w:t>v</w:t>
            </w:r>
            <w:r w:rsidRPr="006F54E8">
              <w:rPr>
                <w:rFonts w:ascii="Arial Narrow" w:hAnsi="Arial Narrow"/>
                <w:sz w:val="16"/>
                <w:szCs w:val="16"/>
              </w:rPr>
              <w:t xml:space="preserve"> </w:t>
            </w:r>
            <w:r w:rsidR="006F54E8" w:rsidRPr="006F54E8">
              <w:rPr>
                <w:rFonts w:ascii="Arial Narrow" w:hAnsi="Arial Narrow"/>
                <w:sz w:val="16"/>
                <w:szCs w:val="16"/>
              </w:rPr>
              <w:t>letu</w:t>
            </w:r>
            <w:r w:rsidRPr="006F54E8">
              <w:rPr>
                <w:rFonts w:ascii="Arial Narrow" w:hAnsi="Arial Narrow"/>
                <w:sz w:val="16"/>
                <w:szCs w:val="16"/>
              </w:rPr>
              <w:t xml:space="preserve"> 2015</w:t>
            </w:r>
          </w:p>
        </w:tc>
        <w:tc>
          <w:tcPr>
            <w:tcW w:w="732" w:type="pct"/>
            <w:noWrap/>
            <w:hideMark/>
          </w:tcPr>
          <w:p w:rsidR="005252BB" w:rsidRPr="00406471" w:rsidRDefault="005252BB" w:rsidP="005252BB">
            <w:pPr>
              <w:cnfStyle w:val="100000000000" w:firstRow="1" w:lastRow="0" w:firstColumn="0" w:lastColumn="0" w:oddVBand="0" w:evenVBand="0" w:oddHBand="0" w:evenHBand="0" w:firstRowFirstColumn="0" w:firstRowLastColumn="0" w:lastRowFirstColumn="0" w:lastRowLastColumn="0"/>
              <w:rPr>
                <w:rFonts w:ascii="Arial Narrow" w:hAnsi="Arial Narrow"/>
                <w:sz w:val="16"/>
                <w:szCs w:val="16"/>
              </w:rPr>
            </w:pPr>
            <w:r w:rsidRPr="00406471">
              <w:rPr>
                <w:rFonts w:ascii="Arial Narrow" w:hAnsi="Arial Narrow"/>
                <w:sz w:val="16"/>
                <w:szCs w:val="16"/>
              </w:rPr>
              <w:t>Država</w:t>
            </w:r>
          </w:p>
        </w:tc>
        <w:tc>
          <w:tcPr>
            <w:tcW w:w="406" w:type="pct"/>
            <w:noWrap/>
            <w:hideMark/>
          </w:tcPr>
          <w:p w:rsidR="005252BB" w:rsidRPr="00406471" w:rsidRDefault="005252BB" w:rsidP="005252BB">
            <w:pPr>
              <w:cnfStyle w:val="100000000000" w:firstRow="1" w:lastRow="0" w:firstColumn="0" w:lastColumn="0" w:oddVBand="0" w:evenVBand="0" w:oddHBand="0" w:evenHBand="0" w:firstRowFirstColumn="0" w:firstRowLastColumn="0" w:lastRowFirstColumn="0" w:lastRowLastColumn="0"/>
              <w:rPr>
                <w:rFonts w:ascii="Arial Narrow" w:hAnsi="Arial Narrow"/>
                <w:sz w:val="16"/>
                <w:szCs w:val="16"/>
              </w:rPr>
            </w:pPr>
            <w:r w:rsidRPr="00406471">
              <w:rPr>
                <w:rFonts w:ascii="Arial Narrow" w:hAnsi="Arial Narrow"/>
                <w:sz w:val="16"/>
                <w:szCs w:val="16"/>
              </w:rPr>
              <w:t>2008</w:t>
            </w:r>
          </w:p>
        </w:tc>
        <w:tc>
          <w:tcPr>
            <w:tcW w:w="408" w:type="pct"/>
            <w:noWrap/>
            <w:hideMark/>
          </w:tcPr>
          <w:p w:rsidR="005252BB" w:rsidRPr="00406471" w:rsidRDefault="005252BB" w:rsidP="005252BB">
            <w:pPr>
              <w:cnfStyle w:val="100000000000" w:firstRow="1" w:lastRow="0" w:firstColumn="0" w:lastColumn="0" w:oddVBand="0" w:evenVBand="0" w:oddHBand="0" w:evenHBand="0" w:firstRowFirstColumn="0" w:firstRowLastColumn="0" w:lastRowFirstColumn="0" w:lastRowLastColumn="0"/>
              <w:rPr>
                <w:rFonts w:ascii="Arial Narrow" w:hAnsi="Arial Narrow"/>
                <w:sz w:val="16"/>
                <w:szCs w:val="16"/>
              </w:rPr>
            </w:pPr>
            <w:r w:rsidRPr="00406471">
              <w:rPr>
                <w:rFonts w:ascii="Arial Narrow" w:hAnsi="Arial Narrow"/>
                <w:sz w:val="16"/>
                <w:szCs w:val="16"/>
              </w:rPr>
              <w:t>2009</w:t>
            </w:r>
          </w:p>
        </w:tc>
        <w:tc>
          <w:tcPr>
            <w:tcW w:w="409" w:type="pct"/>
            <w:noWrap/>
            <w:hideMark/>
          </w:tcPr>
          <w:p w:rsidR="005252BB" w:rsidRPr="00406471" w:rsidRDefault="005252BB" w:rsidP="005252BB">
            <w:pPr>
              <w:cnfStyle w:val="100000000000" w:firstRow="1" w:lastRow="0" w:firstColumn="0" w:lastColumn="0" w:oddVBand="0" w:evenVBand="0" w:oddHBand="0" w:evenHBand="0" w:firstRowFirstColumn="0" w:firstRowLastColumn="0" w:lastRowFirstColumn="0" w:lastRowLastColumn="0"/>
              <w:rPr>
                <w:rFonts w:ascii="Arial Narrow" w:hAnsi="Arial Narrow"/>
                <w:sz w:val="16"/>
                <w:szCs w:val="16"/>
              </w:rPr>
            </w:pPr>
            <w:r w:rsidRPr="00406471">
              <w:rPr>
                <w:rFonts w:ascii="Arial Narrow" w:hAnsi="Arial Narrow"/>
                <w:sz w:val="16"/>
                <w:szCs w:val="16"/>
              </w:rPr>
              <w:t>2010</w:t>
            </w:r>
          </w:p>
        </w:tc>
        <w:tc>
          <w:tcPr>
            <w:tcW w:w="408" w:type="pct"/>
            <w:noWrap/>
            <w:hideMark/>
          </w:tcPr>
          <w:p w:rsidR="005252BB" w:rsidRPr="00406471" w:rsidRDefault="005252BB" w:rsidP="005252BB">
            <w:pPr>
              <w:cnfStyle w:val="100000000000" w:firstRow="1" w:lastRow="0" w:firstColumn="0" w:lastColumn="0" w:oddVBand="0" w:evenVBand="0" w:oddHBand="0" w:evenHBand="0" w:firstRowFirstColumn="0" w:firstRowLastColumn="0" w:lastRowFirstColumn="0" w:lastRowLastColumn="0"/>
              <w:rPr>
                <w:rFonts w:ascii="Arial Narrow" w:hAnsi="Arial Narrow"/>
                <w:sz w:val="16"/>
                <w:szCs w:val="16"/>
              </w:rPr>
            </w:pPr>
            <w:r w:rsidRPr="00406471">
              <w:rPr>
                <w:rFonts w:ascii="Arial Narrow" w:hAnsi="Arial Narrow"/>
                <w:sz w:val="16"/>
                <w:szCs w:val="16"/>
              </w:rPr>
              <w:t>2011</w:t>
            </w:r>
          </w:p>
        </w:tc>
        <w:tc>
          <w:tcPr>
            <w:tcW w:w="409" w:type="pct"/>
            <w:noWrap/>
            <w:hideMark/>
          </w:tcPr>
          <w:p w:rsidR="005252BB" w:rsidRPr="00406471" w:rsidRDefault="005252BB" w:rsidP="005252BB">
            <w:pPr>
              <w:cnfStyle w:val="100000000000" w:firstRow="1" w:lastRow="0" w:firstColumn="0" w:lastColumn="0" w:oddVBand="0" w:evenVBand="0" w:oddHBand="0" w:evenHBand="0" w:firstRowFirstColumn="0" w:firstRowLastColumn="0" w:lastRowFirstColumn="0" w:lastRowLastColumn="0"/>
              <w:rPr>
                <w:rFonts w:ascii="Arial Narrow" w:hAnsi="Arial Narrow"/>
                <w:sz w:val="16"/>
                <w:szCs w:val="16"/>
              </w:rPr>
            </w:pPr>
            <w:r w:rsidRPr="00406471">
              <w:rPr>
                <w:rFonts w:ascii="Arial Narrow" w:hAnsi="Arial Narrow"/>
                <w:sz w:val="16"/>
                <w:szCs w:val="16"/>
              </w:rPr>
              <w:t>2012</w:t>
            </w:r>
          </w:p>
        </w:tc>
        <w:tc>
          <w:tcPr>
            <w:tcW w:w="410" w:type="pct"/>
            <w:noWrap/>
            <w:hideMark/>
          </w:tcPr>
          <w:p w:rsidR="005252BB" w:rsidRPr="00406471" w:rsidRDefault="005252BB" w:rsidP="005252BB">
            <w:pPr>
              <w:cnfStyle w:val="100000000000" w:firstRow="1" w:lastRow="0" w:firstColumn="0" w:lastColumn="0" w:oddVBand="0" w:evenVBand="0" w:oddHBand="0" w:evenHBand="0" w:firstRowFirstColumn="0" w:firstRowLastColumn="0" w:lastRowFirstColumn="0" w:lastRowLastColumn="0"/>
              <w:rPr>
                <w:rFonts w:ascii="Arial Narrow" w:hAnsi="Arial Narrow"/>
                <w:sz w:val="16"/>
                <w:szCs w:val="16"/>
              </w:rPr>
            </w:pPr>
            <w:r w:rsidRPr="00406471">
              <w:rPr>
                <w:rFonts w:ascii="Arial Narrow" w:hAnsi="Arial Narrow"/>
                <w:sz w:val="16"/>
                <w:szCs w:val="16"/>
              </w:rPr>
              <w:t>2013</w:t>
            </w:r>
          </w:p>
        </w:tc>
        <w:tc>
          <w:tcPr>
            <w:tcW w:w="409" w:type="pct"/>
            <w:noWrap/>
            <w:hideMark/>
          </w:tcPr>
          <w:p w:rsidR="005252BB" w:rsidRPr="00406471" w:rsidRDefault="005252BB" w:rsidP="005252BB">
            <w:pPr>
              <w:cnfStyle w:val="100000000000" w:firstRow="1" w:lastRow="0" w:firstColumn="0" w:lastColumn="0" w:oddVBand="0" w:evenVBand="0" w:oddHBand="0" w:evenHBand="0" w:firstRowFirstColumn="0" w:firstRowLastColumn="0" w:lastRowFirstColumn="0" w:lastRowLastColumn="0"/>
              <w:rPr>
                <w:rFonts w:ascii="Arial Narrow" w:hAnsi="Arial Narrow"/>
                <w:sz w:val="16"/>
                <w:szCs w:val="16"/>
              </w:rPr>
            </w:pPr>
            <w:r w:rsidRPr="00406471">
              <w:rPr>
                <w:rFonts w:ascii="Arial Narrow" w:hAnsi="Arial Narrow"/>
                <w:sz w:val="16"/>
                <w:szCs w:val="16"/>
              </w:rPr>
              <w:t>2014</w:t>
            </w:r>
          </w:p>
        </w:tc>
        <w:tc>
          <w:tcPr>
            <w:tcW w:w="406" w:type="pct"/>
            <w:noWrap/>
            <w:hideMark/>
          </w:tcPr>
          <w:p w:rsidR="005252BB" w:rsidRPr="00406471" w:rsidRDefault="005252BB" w:rsidP="005252BB">
            <w:pPr>
              <w:cnfStyle w:val="100000000000" w:firstRow="1" w:lastRow="0" w:firstColumn="0" w:lastColumn="0" w:oddVBand="0" w:evenVBand="0" w:oddHBand="0" w:evenHBand="0" w:firstRowFirstColumn="0" w:firstRowLastColumn="0" w:lastRowFirstColumn="0" w:lastRowLastColumn="0"/>
              <w:rPr>
                <w:rFonts w:ascii="Arial Narrow" w:hAnsi="Arial Narrow"/>
                <w:sz w:val="16"/>
                <w:szCs w:val="16"/>
              </w:rPr>
            </w:pPr>
            <w:r w:rsidRPr="00406471">
              <w:rPr>
                <w:rFonts w:ascii="Arial Narrow" w:hAnsi="Arial Narrow"/>
                <w:sz w:val="16"/>
                <w:szCs w:val="16"/>
              </w:rPr>
              <w:t>2015</w:t>
            </w:r>
          </w:p>
        </w:tc>
      </w:tr>
      <w:tr w:rsidR="006F282B" w:rsidRPr="005252BB" w:rsidTr="006F282B">
        <w:trPr>
          <w:cnfStyle w:val="100000000000" w:firstRow="1" w:lastRow="0" w:firstColumn="0" w:lastColumn="0" w:oddVBand="0" w:evenVBand="0" w:oddHBand="0" w:evenHBand="0" w:firstRowFirstColumn="0" w:firstRowLastColumn="0" w:lastRowFirstColumn="0" w:lastRowLastColumn="0"/>
          <w:trHeight w:val="280"/>
          <w:tblHeader/>
        </w:trPr>
        <w:tc>
          <w:tcPr>
            <w:cnfStyle w:val="001000000000" w:firstRow="0" w:lastRow="0" w:firstColumn="1" w:lastColumn="0" w:oddVBand="0" w:evenVBand="0" w:oddHBand="0" w:evenHBand="0" w:firstRowFirstColumn="0" w:firstRowLastColumn="0" w:lastRowFirstColumn="0" w:lastRowLastColumn="0"/>
            <w:tcW w:w="1002" w:type="pct"/>
            <w:noWrap/>
          </w:tcPr>
          <w:p w:rsidR="006F282B" w:rsidRPr="006F54E8" w:rsidRDefault="006F282B" w:rsidP="005252BB">
            <w:pPr>
              <w:rPr>
                <w:rFonts w:ascii="Arial Narrow" w:hAnsi="Arial Narrow"/>
                <w:b w:val="0"/>
                <w:sz w:val="16"/>
                <w:szCs w:val="16"/>
              </w:rPr>
            </w:pPr>
          </w:p>
        </w:tc>
        <w:tc>
          <w:tcPr>
            <w:tcW w:w="732" w:type="pct"/>
            <w:noWrap/>
          </w:tcPr>
          <w:p w:rsidR="006F282B" w:rsidRPr="006F282B" w:rsidRDefault="006F282B" w:rsidP="005252BB">
            <w:pPr>
              <w:cnfStyle w:val="100000000000" w:firstRow="1" w:lastRow="0" w:firstColumn="0" w:lastColumn="0" w:oddVBand="0" w:evenVBand="0" w:oddHBand="0" w:evenHBand="0" w:firstRowFirstColumn="0" w:firstRowLastColumn="0" w:lastRowFirstColumn="0" w:lastRowLastColumn="0"/>
              <w:rPr>
                <w:rFonts w:ascii="Arial Narrow" w:hAnsi="Arial Narrow"/>
                <w:sz w:val="16"/>
                <w:szCs w:val="16"/>
              </w:rPr>
            </w:pPr>
            <w:r w:rsidRPr="006F282B">
              <w:rPr>
                <w:rFonts w:ascii="Arial Narrow" w:hAnsi="Arial Narrow"/>
                <w:sz w:val="16"/>
                <w:szCs w:val="16"/>
              </w:rPr>
              <w:t>%</w:t>
            </w:r>
          </w:p>
        </w:tc>
        <w:tc>
          <w:tcPr>
            <w:tcW w:w="406" w:type="pct"/>
            <w:noWrap/>
          </w:tcPr>
          <w:p w:rsidR="006F282B" w:rsidRPr="006F282B" w:rsidRDefault="006F282B" w:rsidP="005252BB">
            <w:pPr>
              <w:cnfStyle w:val="100000000000" w:firstRow="1" w:lastRow="0" w:firstColumn="0" w:lastColumn="0" w:oddVBand="0" w:evenVBand="0" w:oddHBand="0" w:evenHBand="0" w:firstRowFirstColumn="0" w:firstRowLastColumn="0" w:lastRowFirstColumn="0" w:lastRowLastColumn="0"/>
              <w:rPr>
                <w:rFonts w:ascii="Arial Narrow" w:hAnsi="Arial Narrow"/>
                <w:sz w:val="16"/>
                <w:szCs w:val="16"/>
              </w:rPr>
            </w:pPr>
            <w:r w:rsidRPr="006F282B">
              <w:rPr>
                <w:rFonts w:ascii="Arial Narrow" w:hAnsi="Arial Narrow"/>
                <w:sz w:val="16"/>
                <w:szCs w:val="16"/>
              </w:rPr>
              <w:t>%</w:t>
            </w:r>
          </w:p>
        </w:tc>
        <w:tc>
          <w:tcPr>
            <w:tcW w:w="408" w:type="pct"/>
            <w:noWrap/>
          </w:tcPr>
          <w:p w:rsidR="006F282B" w:rsidRPr="006F282B" w:rsidRDefault="006F282B" w:rsidP="005252BB">
            <w:pPr>
              <w:cnfStyle w:val="100000000000" w:firstRow="1" w:lastRow="0" w:firstColumn="0" w:lastColumn="0" w:oddVBand="0" w:evenVBand="0" w:oddHBand="0" w:evenHBand="0" w:firstRowFirstColumn="0" w:firstRowLastColumn="0" w:lastRowFirstColumn="0" w:lastRowLastColumn="0"/>
              <w:rPr>
                <w:rFonts w:ascii="Arial Narrow" w:hAnsi="Arial Narrow"/>
                <w:sz w:val="16"/>
                <w:szCs w:val="16"/>
              </w:rPr>
            </w:pPr>
            <w:r w:rsidRPr="006F282B">
              <w:rPr>
                <w:rFonts w:ascii="Arial Narrow" w:hAnsi="Arial Narrow"/>
                <w:sz w:val="16"/>
                <w:szCs w:val="16"/>
              </w:rPr>
              <w:t>%</w:t>
            </w:r>
          </w:p>
        </w:tc>
        <w:tc>
          <w:tcPr>
            <w:tcW w:w="409" w:type="pct"/>
            <w:noWrap/>
          </w:tcPr>
          <w:p w:rsidR="006F282B" w:rsidRPr="006F282B" w:rsidRDefault="006F282B" w:rsidP="005252BB">
            <w:pPr>
              <w:cnfStyle w:val="100000000000" w:firstRow="1" w:lastRow="0" w:firstColumn="0" w:lastColumn="0" w:oddVBand="0" w:evenVBand="0" w:oddHBand="0" w:evenHBand="0" w:firstRowFirstColumn="0" w:firstRowLastColumn="0" w:lastRowFirstColumn="0" w:lastRowLastColumn="0"/>
              <w:rPr>
                <w:rFonts w:ascii="Arial Narrow" w:hAnsi="Arial Narrow"/>
                <w:sz w:val="16"/>
                <w:szCs w:val="16"/>
              </w:rPr>
            </w:pPr>
            <w:r w:rsidRPr="006F282B">
              <w:rPr>
                <w:rFonts w:ascii="Arial Narrow" w:hAnsi="Arial Narrow"/>
                <w:sz w:val="16"/>
                <w:szCs w:val="16"/>
              </w:rPr>
              <w:t>%</w:t>
            </w:r>
          </w:p>
        </w:tc>
        <w:tc>
          <w:tcPr>
            <w:tcW w:w="408" w:type="pct"/>
            <w:noWrap/>
          </w:tcPr>
          <w:p w:rsidR="006F282B" w:rsidRPr="006F282B" w:rsidRDefault="006F282B" w:rsidP="005252BB">
            <w:pPr>
              <w:cnfStyle w:val="100000000000" w:firstRow="1" w:lastRow="0" w:firstColumn="0" w:lastColumn="0" w:oddVBand="0" w:evenVBand="0" w:oddHBand="0" w:evenHBand="0" w:firstRowFirstColumn="0" w:firstRowLastColumn="0" w:lastRowFirstColumn="0" w:lastRowLastColumn="0"/>
              <w:rPr>
                <w:rFonts w:ascii="Arial Narrow" w:hAnsi="Arial Narrow"/>
                <w:sz w:val="16"/>
                <w:szCs w:val="16"/>
              </w:rPr>
            </w:pPr>
            <w:r w:rsidRPr="006F282B">
              <w:rPr>
                <w:rFonts w:ascii="Arial Narrow" w:hAnsi="Arial Narrow"/>
                <w:sz w:val="16"/>
                <w:szCs w:val="16"/>
              </w:rPr>
              <w:t>%</w:t>
            </w:r>
          </w:p>
        </w:tc>
        <w:tc>
          <w:tcPr>
            <w:tcW w:w="409" w:type="pct"/>
            <w:noWrap/>
          </w:tcPr>
          <w:p w:rsidR="006F282B" w:rsidRPr="006F282B" w:rsidRDefault="006F282B" w:rsidP="005252BB">
            <w:pPr>
              <w:cnfStyle w:val="100000000000" w:firstRow="1" w:lastRow="0" w:firstColumn="0" w:lastColumn="0" w:oddVBand="0" w:evenVBand="0" w:oddHBand="0" w:evenHBand="0" w:firstRowFirstColumn="0" w:firstRowLastColumn="0" w:lastRowFirstColumn="0" w:lastRowLastColumn="0"/>
              <w:rPr>
                <w:rFonts w:ascii="Arial Narrow" w:hAnsi="Arial Narrow"/>
                <w:sz w:val="16"/>
                <w:szCs w:val="16"/>
              </w:rPr>
            </w:pPr>
            <w:r w:rsidRPr="006F282B">
              <w:rPr>
                <w:rFonts w:ascii="Arial Narrow" w:hAnsi="Arial Narrow"/>
                <w:sz w:val="16"/>
                <w:szCs w:val="16"/>
              </w:rPr>
              <w:t>%</w:t>
            </w:r>
          </w:p>
        </w:tc>
        <w:tc>
          <w:tcPr>
            <w:tcW w:w="410" w:type="pct"/>
            <w:noWrap/>
          </w:tcPr>
          <w:p w:rsidR="006F282B" w:rsidRPr="006F282B" w:rsidRDefault="006F282B" w:rsidP="005252BB">
            <w:pPr>
              <w:cnfStyle w:val="100000000000" w:firstRow="1" w:lastRow="0" w:firstColumn="0" w:lastColumn="0" w:oddVBand="0" w:evenVBand="0" w:oddHBand="0" w:evenHBand="0" w:firstRowFirstColumn="0" w:firstRowLastColumn="0" w:lastRowFirstColumn="0" w:lastRowLastColumn="0"/>
              <w:rPr>
                <w:rFonts w:ascii="Arial Narrow" w:hAnsi="Arial Narrow"/>
                <w:sz w:val="16"/>
                <w:szCs w:val="16"/>
              </w:rPr>
            </w:pPr>
            <w:r w:rsidRPr="006F282B">
              <w:rPr>
                <w:rFonts w:ascii="Arial Narrow" w:hAnsi="Arial Narrow"/>
                <w:sz w:val="16"/>
                <w:szCs w:val="16"/>
              </w:rPr>
              <w:t>%</w:t>
            </w:r>
          </w:p>
        </w:tc>
        <w:tc>
          <w:tcPr>
            <w:tcW w:w="409" w:type="pct"/>
            <w:noWrap/>
          </w:tcPr>
          <w:p w:rsidR="006F282B" w:rsidRPr="006F282B" w:rsidRDefault="006F282B" w:rsidP="005252BB">
            <w:pPr>
              <w:cnfStyle w:val="100000000000" w:firstRow="1" w:lastRow="0" w:firstColumn="0" w:lastColumn="0" w:oddVBand="0" w:evenVBand="0" w:oddHBand="0" w:evenHBand="0" w:firstRowFirstColumn="0" w:firstRowLastColumn="0" w:lastRowFirstColumn="0" w:lastRowLastColumn="0"/>
              <w:rPr>
                <w:rFonts w:ascii="Arial Narrow" w:hAnsi="Arial Narrow"/>
                <w:sz w:val="16"/>
                <w:szCs w:val="16"/>
              </w:rPr>
            </w:pPr>
            <w:r w:rsidRPr="006F282B">
              <w:rPr>
                <w:rFonts w:ascii="Arial Narrow" w:hAnsi="Arial Narrow"/>
                <w:sz w:val="16"/>
                <w:szCs w:val="16"/>
              </w:rPr>
              <w:t>%</w:t>
            </w:r>
          </w:p>
        </w:tc>
        <w:tc>
          <w:tcPr>
            <w:tcW w:w="406" w:type="pct"/>
            <w:noWrap/>
          </w:tcPr>
          <w:p w:rsidR="006F282B" w:rsidRPr="006F282B" w:rsidRDefault="006F282B" w:rsidP="005252BB">
            <w:pPr>
              <w:cnfStyle w:val="100000000000" w:firstRow="1" w:lastRow="0" w:firstColumn="0" w:lastColumn="0" w:oddVBand="0" w:evenVBand="0" w:oddHBand="0" w:evenHBand="0" w:firstRowFirstColumn="0" w:firstRowLastColumn="0" w:lastRowFirstColumn="0" w:lastRowLastColumn="0"/>
              <w:rPr>
                <w:rFonts w:ascii="Arial Narrow" w:hAnsi="Arial Narrow"/>
                <w:sz w:val="16"/>
                <w:szCs w:val="16"/>
              </w:rPr>
            </w:pPr>
            <w:r w:rsidRPr="006F282B">
              <w:rPr>
                <w:rFonts w:ascii="Arial Narrow" w:hAnsi="Arial Narrow"/>
                <w:sz w:val="16"/>
                <w:szCs w:val="16"/>
              </w:rPr>
              <w:t>%</w:t>
            </w:r>
          </w:p>
        </w:tc>
      </w:tr>
      <w:tr w:rsidR="007C1749" w:rsidRPr="005252BB" w:rsidTr="006F54E8">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1002" w:type="pct"/>
            <w:noWrap/>
            <w:hideMark/>
          </w:tcPr>
          <w:p w:rsidR="005252BB" w:rsidRPr="006F54E8" w:rsidRDefault="005252BB" w:rsidP="005252BB">
            <w:pPr>
              <w:spacing w:after="0" w:line="240" w:lineRule="auto"/>
              <w:rPr>
                <w:rFonts w:ascii="Arial Narrow" w:hAnsi="Arial Narrow"/>
                <w:b w:val="0"/>
                <w:sz w:val="16"/>
                <w:szCs w:val="16"/>
              </w:rPr>
            </w:pPr>
            <w:r w:rsidRPr="006F54E8">
              <w:rPr>
                <w:rFonts w:ascii="Arial Narrow" w:hAnsi="Arial Narrow"/>
                <w:b w:val="0"/>
                <w:sz w:val="16"/>
                <w:szCs w:val="16"/>
              </w:rPr>
              <w:t>1.</w:t>
            </w:r>
          </w:p>
        </w:tc>
        <w:tc>
          <w:tcPr>
            <w:tcW w:w="732"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Latvija</w:t>
            </w:r>
          </w:p>
        </w:tc>
        <w:tc>
          <w:tcPr>
            <w:tcW w:w="406"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3,1</w:t>
            </w:r>
          </w:p>
        </w:tc>
        <w:tc>
          <w:tcPr>
            <w:tcW w:w="408"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2,7</w:t>
            </w:r>
          </w:p>
        </w:tc>
        <w:tc>
          <w:tcPr>
            <w:tcW w:w="409"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2,5</w:t>
            </w:r>
          </w:p>
        </w:tc>
        <w:tc>
          <w:tcPr>
            <w:tcW w:w="408"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2,5</w:t>
            </w:r>
          </w:p>
        </w:tc>
        <w:tc>
          <w:tcPr>
            <w:tcW w:w="409"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2,9</w:t>
            </w:r>
          </w:p>
        </w:tc>
        <w:tc>
          <w:tcPr>
            <w:tcW w:w="410"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3,2</w:t>
            </w:r>
          </w:p>
        </w:tc>
        <w:tc>
          <w:tcPr>
            <w:tcW w:w="409"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3,2</w:t>
            </w:r>
          </w:p>
        </w:tc>
        <w:tc>
          <w:tcPr>
            <w:tcW w:w="406"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3,0</w:t>
            </w:r>
          </w:p>
        </w:tc>
      </w:tr>
      <w:tr w:rsidR="007C1749" w:rsidRPr="005252BB" w:rsidTr="006F54E8">
        <w:trPr>
          <w:trHeight w:val="102"/>
        </w:trPr>
        <w:tc>
          <w:tcPr>
            <w:cnfStyle w:val="001000000000" w:firstRow="0" w:lastRow="0" w:firstColumn="1" w:lastColumn="0" w:oddVBand="0" w:evenVBand="0" w:oddHBand="0" w:evenHBand="0" w:firstRowFirstColumn="0" w:firstRowLastColumn="0" w:lastRowFirstColumn="0" w:lastRowLastColumn="0"/>
            <w:tcW w:w="1002" w:type="pct"/>
            <w:noWrap/>
            <w:hideMark/>
          </w:tcPr>
          <w:p w:rsidR="005252BB" w:rsidRPr="006F54E8" w:rsidRDefault="005252BB" w:rsidP="005252BB">
            <w:pPr>
              <w:spacing w:after="0" w:line="240" w:lineRule="auto"/>
              <w:rPr>
                <w:rFonts w:ascii="Arial Narrow" w:hAnsi="Arial Narrow"/>
                <w:b w:val="0"/>
                <w:sz w:val="16"/>
                <w:szCs w:val="16"/>
              </w:rPr>
            </w:pPr>
            <w:r w:rsidRPr="006F54E8">
              <w:rPr>
                <w:rFonts w:ascii="Arial Narrow" w:hAnsi="Arial Narrow"/>
                <w:b w:val="0"/>
                <w:sz w:val="16"/>
                <w:szCs w:val="16"/>
              </w:rPr>
              <w:t>2.</w:t>
            </w:r>
          </w:p>
        </w:tc>
        <w:tc>
          <w:tcPr>
            <w:tcW w:w="732"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Estonija</w:t>
            </w:r>
          </w:p>
        </w:tc>
        <w:tc>
          <w:tcPr>
            <w:tcW w:w="406"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3,4</w:t>
            </w:r>
          </w:p>
        </w:tc>
        <w:tc>
          <w:tcPr>
            <w:tcW w:w="408"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2,7</w:t>
            </w:r>
          </w:p>
        </w:tc>
        <w:tc>
          <w:tcPr>
            <w:tcW w:w="409"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2,7</w:t>
            </w:r>
          </w:p>
        </w:tc>
        <w:tc>
          <w:tcPr>
            <w:tcW w:w="408"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2,8</w:t>
            </w:r>
          </w:p>
        </w:tc>
        <w:tc>
          <w:tcPr>
            <w:tcW w:w="409"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2,5</w:t>
            </w:r>
          </w:p>
        </w:tc>
        <w:tc>
          <w:tcPr>
            <w:tcW w:w="410"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2,9</w:t>
            </w:r>
          </w:p>
        </w:tc>
        <w:tc>
          <w:tcPr>
            <w:tcW w:w="409"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2,8</w:t>
            </w:r>
          </w:p>
        </w:tc>
        <w:tc>
          <w:tcPr>
            <w:tcW w:w="406"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2,7</w:t>
            </w:r>
          </w:p>
        </w:tc>
      </w:tr>
      <w:tr w:rsidR="007C1749" w:rsidRPr="005252BB" w:rsidTr="006F54E8">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1002" w:type="pct"/>
            <w:noWrap/>
            <w:hideMark/>
          </w:tcPr>
          <w:p w:rsidR="005252BB" w:rsidRPr="006F54E8" w:rsidRDefault="005252BB" w:rsidP="005252BB">
            <w:pPr>
              <w:spacing w:after="0" w:line="240" w:lineRule="auto"/>
              <w:rPr>
                <w:rFonts w:ascii="Arial Narrow" w:hAnsi="Arial Narrow"/>
                <w:b w:val="0"/>
                <w:sz w:val="16"/>
                <w:szCs w:val="16"/>
              </w:rPr>
            </w:pPr>
            <w:r w:rsidRPr="006F54E8">
              <w:rPr>
                <w:rFonts w:ascii="Arial Narrow" w:hAnsi="Arial Narrow"/>
                <w:b w:val="0"/>
                <w:sz w:val="16"/>
                <w:szCs w:val="16"/>
              </w:rPr>
              <w:t>3.</w:t>
            </w:r>
          </w:p>
        </w:tc>
        <w:tc>
          <w:tcPr>
            <w:tcW w:w="732"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Islandija</w:t>
            </w:r>
          </w:p>
        </w:tc>
        <w:tc>
          <w:tcPr>
            <w:tcW w:w="406" w:type="pct"/>
            <w:noWrap/>
            <w:hideMark/>
          </w:tcPr>
          <w:p w:rsidR="005252BB" w:rsidRPr="005252BB" w:rsidRDefault="007C5AA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Pr>
                <w:rFonts w:ascii="Arial Narrow" w:hAnsi="Arial Narrow"/>
                <w:sz w:val="16"/>
                <w:szCs w:val="16"/>
              </w:rPr>
              <w:t>–</w:t>
            </w:r>
          </w:p>
        </w:tc>
        <w:tc>
          <w:tcPr>
            <w:tcW w:w="408" w:type="pct"/>
            <w:noWrap/>
            <w:hideMark/>
          </w:tcPr>
          <w:p w:rsidR="005252BB" w:rsidRPr="005252BB" w:rsidRDefault="007C5AA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Pr>
                <w:rFonts w:ascii="Arial Narrow" w:hAnsi="Arial Narrow"/>
                <w:sz w:val="16"/>
                <w:szCs w:val="16"/>
              </w:rPr>
              <w:t>–</w:t>
            </w:r>
          </w:p>
        </w:tc>
        <w:tc>
          <w:tcPr>
            <w:tcW w:w="409" w:type="pct"/>
            <w:noWrap/>
            <w:hideMark/>
          </w:tcPr>
          <w:p w:rsidR="005252BB" w:rsidRPr="005252BB" w:rsidRDefault="007C5AA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Pr>
                <w:rFonts w:ascii="Arial Narrow" w:hAnsi="Arial Narrow"/>
                <w:sz w:val="16"/>
                <w:szCs w:val="16"/>
              </w:rPr>
              <w:t>–</w:t>
            </w:r>
          </w:p>
        </w:tc>
        <w:tc>
          <w:tcPr>
            <w:tcW w:w="408" w:type="pct"/>
            <w:noWrap/>
            <w:hideMark/>
          </w:tcPr>
          <w:p w:rsidR="005252BB" w:rsidRPr="005252BB" w:rsidRDefault="007C5AA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Pr>
                <w:rFonts w:ascii="Arial Narrow" w:hAnsi="Arial Narrow"/>
                <w:sz w:val="16"/>
                <w:szCs w:val="16"/>
              </w:rPr>
              <w:t>–</w:t>
            </w:r>
          </w:p>
        </w:tc>
        <w:tc>
          <w:tcPr>
            <w:tcW w:w="409" w:type="pct"/>
            <w:noWrap/>
            <w:hideMark/>
          </w:tcPr>
          <w:p w:rsidR="005252BB" w:rsidRPr="005252BB" w:rsidRDefault="007C5AA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Pr>
                <w:rFonts w:ascii="Arial Narrow" w:hAnsi="Arial Narrow"/>
                <w:sz w:val="16"/>
                <w:szCs w:val="16"/>
              </w:rPr>
              <w:t>–</w:t>
            </w:r>
          </w:p>
        </w:tc>
        <w:tc>
          <w:tcPr>
            <w:tcW w:w="410"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2,6</w:t>
            </w:r>
          </w:p>
        </w:tc>
        <w:tc>
          <w:tcPr>
            <w:tcW w:w="409"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2,3</w:t>
            </w:r>
          </w:p>
        </w:tc>
        <w:tc>
          <w:tcPr>
            <w:tcW w:w="406"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2,5</w:t>
            </w:r>
          </w:p>
        </w:tc>
      </w:tr>
      <w:tr w:rsidR="007C1749" w:rsidRPr="005252BB" w:rsidTr="006F54E8">
        <w:trPr>
          <w:trHeight w:val="102"/>
        </w:trPr>
        <w:tc>
          <w:tcPr>
            <w:cnfStyle w:val="001000000000" w:firstRow="0" w:lastRow="0" w:firstColumn="1" w:lastColumn="0" w:oddVBand="0" w:evenVBand="0" w:oddHBand="0" w:evenHBand="0" w:firstRowFirstColumn="0" w:firstRowLastColumn="0" w:lastRowFirstColumn="0" w:lastRowLastColumn="0"/>
            <w:tcW w:w="1002" w:type="pct"/>
            <w:noWrap/>
            <w:hideMark/>
          </w:tcPr>
          <w:p w:rsidR="005252BB" w:rsidRPr="006F54E8" w:rsidRDefault="005252BB" w:rsidP="005252BB">
            <w:pPr>
              <w:spacing w:after="0" w:line="240" w:lineRule="auto"/>
              <w:rPr>
                <w:rFonts w:ascii="Arial Narrow" w:hAnsi="Arial Narrow"/>
                <w:b w:val="0"/>
                <w:sz w:val="16"/>
                <w:szCs w:val="16"/>
              </w:rPr>
            </w:pPr>
            <w:r w:rsidRPr="006F54E8">
              <w:rPr>
                <w:rFonts w:ascii="Arial Narrow" w:hAnsi="Arial Narrow"/>
                <w:b w:val="0"/>
                <w:sz w:val="16"/>
                <w:szCs w:val="16"/>
              </w:rPr>
              <w:t>4.</w:t>
            </w:r>
          </w:p>
        </w:tc>
        <w:tc>
          <w:tcPr>
            <w:tcW w:w="732"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Malta</w:t>
            </w:r>
          </w:p>
        </w:tc>
        <w:tc>
          <w:tcPr>
            <w:tcW w:w="406"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1,0</w:t>
            </w:r>
          </w:p>
        </w:tc>
        <w:tc>
          <w:tcPr>
            <w:tcW w:w="408"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1,2</w:t>
            </w:r>
          </w:p>
        </w:tc>
        <w:tc>
          <w:tcPr>
            <w:tcW w:w="409"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1,3</w:t>
            </w:r>
          </w:p>
        </w:tc>
        <w:tc>
          <w:tcPr>
            <w:tcW w:w="408"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1,4</w:t>
            </w:r>
          </w:p>
        </w:tc>
        <w:tc>
          <w:tcPr>
            <w:tcW w:w="409"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1,5</w:t>
            </w:r>
          </w:p>
        </w:tc>
        <w:tc>
          <w:tcPr>
            <w:tcW w:w="410"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1,6</w:t>
            </w:r>
          </w:p>
        </w:tc>
        <w:tc>
          <w:tcPr>
            <w:tcW w:w="409"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2,0</w:t>
            </w:r>
          </w:p>
        </w:tc>
        <w:tc>
          <w:tcPr>
            <w:tcW w:w="406"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2,2</w:t>
            </w:r>
          </w:p>
        </w:tc>
      </w:tr>
      <w:tr w:rsidR="007C1749" w:rsidRPr="005252BB" w:rsidTr="006F54E8">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1002" w:type="pct"/>
            <w:noWrap/>
            <w:hideMark/>
          </w:tcPr>
          <w:p w:rsidR="005252BB" w:rsidRPr="006F54E8" w:rsidRDefault="005252BB" w:rsidP="005252BB">
            <w:pPr>
              <w:spacing w:after="0" w:line="240" w:lineRule="auto"/>
              <w:rPr>
                <w:rFonts w:ascii="Arial Narrow" w:hAnsi="Arial Narrow"/>
                <w:b w:val="0"/>
                <w:sz w:val="16"/>
                <w:szCs w:val="16"/>
              </w:rPr>
            </w:pPr>
            <w:r w:rsidRPr="006F54E8">
              <w:rPr>
                <w:rFonts w:ascii="Arial Narrow" w:hAnsi="Arial Narrow"/>
                <w:b w:val="0"/>
                <w:sz w:val="16"/>
                <w:szCs w:val="16"/>
              </w:rPr>
              <w:t>5.</w:t>
            </w:r>
          </w:p>
        </w:tc>
        <w:tc>
          <w:tcPr>
            <w:tcW w:w="732"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Bolgarija</w:t>
            </w:r>
          </w:p>
        </w:tc>
        <w:tc>
          <w:tcPr>
            <w:tcW w:w="406"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1,1</w:t>
            </w:r>
          </w:p>
        </w:tc>
        <w:tc>
          <w:tcPr>
            <w:tcW w:w="408"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0,9</w:t>
            </w:r>
          </w:p>
        </w:tc>
        <w:tc>
          <w:tcPr>
            <w:tcW w:w="409"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1,0</w:t>
            </w:r>
          </w:p>
        </w:tc>
        <w:tc>
          <w:tcPr>
            <w:tcW w:w="408"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1,1</w:t>
            </w:r>
          </w:p>
        </w:tc>
        <w:tc>
          <w:tcPr>
            <w:tcW w:w="409"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1,2</w:t>
            </w:r>
          </w:p>
        </w:tc>
        <w:tc>
          <w:tcPr>
            <w:tcW w:w="410"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1,2</w:t>
            </w:r>
          </w:p>
        </w:tc>
        <w:tc>
          <w:tcPr>
            <w:tcW w:w="409"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1,5</w:t>
            </w:r>
          </w:p>
        </w:tc>
        <w:tc>
          <w:tcPr>
            <w:tcW w:w="406"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1,8</w:t>
            </w:r>
          </w:p>
        </w:tc>
      </w:tr>
      <w:tr w:rsidR="007C1749" w:rsidRPr="005252BB" w:rsidTr="006F54E8">
        <w:trPr>
          <w:trHeight w:val="102"/>
        </w:trPr>
        <w:tc>
          <w:tcPr>
            <w:cnfStyle w:val="001000000000" w:firstRow="0" w:lastRow="0" w:firstColumn="1" w:lastColumn="0" w:oddVBand="0" w:evenVBand="0" w:oddHBand="0" w:evenHBand="0" w:firstRowFirstColumn="0" w:firstRowLastColumn="0" w:lastRowFirstColumn="0" w:lastRowLastColumn="0"/>
            <w:tcW w:w="1002" w:type="pct"/>
            <w:noWrap/>
            <w:hideMark/>
          </w:tcPr>
          <w:p w:rsidR="005252BB" w:rsidRPr="006F54E8" w:rsidRDefault="005252BB" w:rsidP="005252BB">
            <w:pPr>
              <w:spacing w:after="0" w:line="240" w:lineRule="auto"/>
              <w:rPr>
                <w:rFonts w:ascii="Arial Narrow" w:hAnsi="Arial Narrow"/>
                <w:b w:val="0"/>
                <w:sz w:val="16"/>
                <w:szCs w:val="16"/>
              </w:rPr>
            </w:pPr>
            <w:r w:rsidRPr="006F54E8">
              <w:rPr>
                <w:rFonts w:ascii="Arial Narrow" w:hAnsi="Arial Narrow"/>
                <w:b w:val="0"/>
                <w:sz w:val="16"/>
                <w:szCs w:val="16"/>
              </w:rPr>
              <w:t>5.</w:t>
            </w:r>
          </w:p>
        </w:tc>
        <w:tc>
          <w:tcPr>
            <w:tcW w:w="732"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Litva</w:t>
            </w:r>
          </w:p>
        </w:tc>
        <w:tc>
          <w:tcPr>
            <w:tcW w:w="406"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2,0</w:t>
            </w:r>
          </w:p>
        </w:tc>
        <w:tc>
          <w:tcPr>
            <w:tcW w:w="408"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1,8</w:t>
            </w:r>
          </w:p>
        </w:tc>
        <w:tc>
          <w:tcPr>
            <w:tcW w:w="409"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1,5</w:t>
            </w:r>
          </w:p>
        </w:tc>
        <w:tc>
          <w:tcPr>
            <w:tcW w:w="408"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1,4</w:t>
            </w:r>
          </w:p>
        </w:tc>
        <w:tc>
          <w:tcPr>
            <w:tcW w:w="409"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1,5</w:t>
            </w:r>
          </w:p>
        </w:tc>
        <w:tc>
          <w:tcPr>
            <w:tcW w:w="410"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1,6</w:t>
            </w:r>
          </w:p>
        </w:tc>
        <w:tc>
          <w:tcPr>
            <w:tcW w:w="409"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1,7</w:t>
            </w:r>
          </w:p>
        </w:tc>
        <w:tc>
          <w:tcPr>
            <w:tcW w:w="406"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1,8</w:t>
            </w:r>
          </w:p>
        </w:tc>
      </w:tr>
      <w:tr w:rsidR="007C1749" w:rsidRPr="005252BB" w:rsidTr="006F54E8">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1002" w:type="pct"/>
            <w:noWrap/>
            <w:hideMark/>
          </w:tcPr>
          <w:p w:rsidR="005252BB" w:rsidRPr="006F54E8" w:rsidRDefault="005252BB" w:rsidP="005252BB">
            <w:pPr>
              <w:spacing w:after="0" w:line="240" w:lineRule="auto"/>
              <w:rPr>
                <w:rFonts w:ascii="Arial Narrow" w:hAnsi="Arial Narrow"/>
                <w:b w:val="0"/>
                <w:sz w:val="16"/>
                <w:szCs w:val="16"/>
              </w:rPr>
            </w:pPr>
            <w:r w:rsidRPr="006F54E8">
              <w:rPr>
                <w:rFonts w:ascii="Arial Narrow" w:hAnsi="Arial Narrow"/>
                <w:b w:val="0"/>
                <w:sz w:val="16"/>
                <w:szCs w:val="16"/>
              </w:rPr>
              <w:t>6.</w:t>
            </w:r>
          </w:p>
        </w:tc>
        <w:tc>
          <w:tcPr>
            <w:tcW w:w="732"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Madžarska</w:t>
            </w:r>
          </w:p>
        </w:tc>
        <w:tc>
          <w:tcPr>
            <w:tcW w:w="406"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1,2</w:t>
            </w:r>
          </w:p>
        </w:tc>
        <w:tc>
          <w:tcPr>
            <w:tcW w:w="408"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1,3</w:t>
            </w:r>
          </w:p>
        </w:tc>
        <w:tc>
          <w:tcPr>
            <w:tcW w:w="409"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1,6</w:t>
            </w:r>
          </w:p>
        </w:tc>
        <w:tc>
          <w:tcPr>
            <w:tcW w:w="408"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1,6</w:t>
            </w:r>
          </w:p>
        </w:tc>
        <w:tc>
          <w:tcPr>
            <w:tcW w:w="409"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1,4</w:t>
            </w:r>
          </w:p>
        </w:tc>
        <w:tc>
          <w:tcPr>
            <w:tcW w:w="410"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1,5</w:t>
            </w:r>
          </w:p>
        </w:tc>
        <w:tc>
          <w:tcPr>
            <w:tcW w:w="409"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1,6</w:t>
            </w:r>
          </w:p>
        </w:tc>
        <w:tc>
          <w:tcPr>
            <w:tcW w:w="406"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1,7</w:t>
            </w:r>
          </w:p>
        </w:tc>
      </w:tr>
      <w:tr w:rsidR="007C1749" w:rsidRPr="005252BB" w:rsidTr="006F54E8">
        <w:trPr>
          <w:trHeight w:val="102"/>
        </w:trPr>
        <w:tc>
          <w:tcPr>
            <w:cnfStyle w:val="001000000000" w:firstRow="0" w:lastRow="0" w:firstColumn="1" w:lastColumn="0" w:oddVBand="0" w:evenVBand="0" w:oddHBand="0" w:evenHBand="0" w:firstRowFirstColumn="0" w:firstRowLastColumn="0" w:lastRowFirstColumn="0" w:lastRowLastColumn="0"/>
            <w:tcW w:w="1002" w:type="pct"/>
            <w:noWrap/>
            <w:hideMark/>
          </w:tcPr>
          <w:p w:rsidR="005252BB" w:rsidRPr="006F54E8" w:rsidRDefault="005252BB" w:rsidP="005252BB">
            <w:pPr>
              <w:spacing w:after="0" w:line="240" w:lineRule="auto"/>
              <w:rPr>
                <w:rFonts w:ascii="Arial Narrow" w:hAnsi="Arial Narrow"/>
                <w:b w:val="0"/>
                <w:sz w:val="16"/>
                <w:szCs w:val="16"/>
              </w:rPr>
            </w:pPr>
            <w:r w:rsidRPr="006F54E8">
              <w:rPr>
                <w:rFonts w:ascii="Arial Narrow" w:hAnsi="Arial Narrow"/>
                <w:b w:val="0"/>
                <w:sz w:val="16"/>
                <w:szCs w:val="16"/>
              </w:rPr>
              <w:t>7.</w:t>
            </w:r>
          </w:p>
        </w:tc>
        <w:tc>
          <w:tcPr>
            <w:tcW w:w="732"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Hrvaška</w:t>
            </w:r>
          </w:p>
        </w:tc>
        <w:tc>
          <w:tcPr>
            <w:tcW w:w="406"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1,1</w:t>
            </w:r>
          </w:p>
        </w:tc>
        <w:tc>
          <w:tcPr>
            <w:tcW w:w="408"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1,1</w:t>
            </w:r>
          </w:p>
        </w:tc>
        <w:tc>
          <w:tcPr>
            <w:tcW w:w="409"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1,0</w:t>
            </w:r>
          </w:p>
        </w:tc>
        <w:tc>
          <w:tcPr>
            <w:tcW w:w="408"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1,0</w:t>
            </w:r>
          </w:p>
        </w:tc>
        <w:tc>
          <w:tcPr>
            <w:tcW w:w="409"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1,0</w:t>
            </w:r>
          </w:p>
        </w:tc>
        <w:tc>
          <w:tcPr>
            <w:tcW w:w="410"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1,4</w:t>
            </w:r>
          </w:p>
        </w:tc>
        <w:tc>
          <w:tcPr>
            <w:tcW w:w="409"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1,2</w:t>
            </w:r>
          </w:p>
        </w:tc>
        <w:tc>
          <w:tcPr>
            <w:tcW w:w="406"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1,5</w:t>
            </w:r>
          </w:p>
        </w:tc>
      </w:tr>
      <w:tr w:rsidR="007C1749" w:rsidRPr="005252BB" w:rsidTr="006F54E8">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1002" w:type="pct"/>
            <w:noWrap/>
            <w:hideMark/>
          </w:tcPr>
          <w:p w:rsidR="005252BB" w:rsidRPr="006F54E8" w:rsidRDefault="005252BB" w:rsidP="005252BB">
            <w:pPr>
              <w:spacing w:after="0" w:line="240" w:lineRule="auto"/>
              <w:rPr>
                <w:rFonts w:ascii="Arial Narrow" w:hAnsi="Arial Narrow"/>
                <w:b w:val="0"/>
                <w:sz w:val="16"/>
                <w:szCs w:val="16"/>
              </w:rPr>
            </w:pPr>
            <w:r w:rsidRPr="006F54E8">
              <w:rPr>
                <w:rFonts w:ascii="Arial Narrow" w:hAnsi="Arial Narrow"/>
                <w:b w:val="0"/>
                <w:sz w:val="16"/>
                <w:szCs w:val="16"/>
              </w:rPr>
              <w:t>7.</w:t>
            </w:r>
          </w:p>
        </w:tc>
        <w:tc>
          <w:tcPr>
            <w:tcW w:w="732"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Poljska</w:t>
            </w:r>
          </w:p>
        </w:tc>
        <w:tc>
          <w:tcPr>
            <w:tcW w:w="406"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1,9</w:t>
            </w:r>
          </w:p>
        </w:tc>
        <w:tc>
          <w:tcPr>
            <w:tcW w:w="408"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1,6</w:t>
            </w:r>
          </w:p>
        </w:tc>
        <w:tc>
          <w:tcPr>
            <w:tcW w:w="409"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1,5</w:t>
            </w:r>
          </w:p>
        </w:tc>
        <w:tc>
          <w:tcPr>
            <w:tcW w:w="408"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1,5</w:t>
            </w:r>
          </w:p>
        </w:tc>
        <w:tc>
          <w:tcPr>
            <w:tcW w:w="409"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1,5</w:t>
            </w:r>
          </w:p>
        </w:tc>
        <w:tc>
          <w:tcPr>
            <w:tcW w:w="410"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1,5</w:t>
            </w:r>
          </w:p>
        </w:tc>
        <w:tc>
          <w:tcPr>
            <w:tcW w:w="409"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1,6</w:t>
            </w:r>
          </w:p>
        </w:tc>
        <w:tc>
          <w:tcPr>
            <w:tcW w:w="406"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1,5</w:t>
            </w:r>
          </w:p>
        </w:tc>
      </w:tr>
      <w:tr w:rsidR="007C1749" w:rsidRPr="005252BB" w:rsidTr="006F54E8">
        <w:trPr>
          <w:trHeight w:val="102"/>
        </w:trPr>
        <w:tc>
          <w:tcPr>
            <w:cnfStyle w:val="001000000000" w:firstRow="0" w:lastRow="0" w:firstColumn="1" w:lastColumn="0" w:oddVBand="0" w:evenVBand="0" w:oddHBand="0" w:evenHBand="0" w:firstRowFirstColumn="0" w:firstRowLastColumn="0" w:lastRowFirstColumn="0" w:lastRowLastColumn="0"/>
            <w:tcW w:w="1002" w:type="pct"/>
            <w:noWrap/>
            <w:hideMark/>
          </w:tcPr>
          <w:p w:rsidR="005252BB" w:rsidRPr="006F54E8" w:rsidRDefault="005252BB" w:rsidP="005252BB">
            <w:pPr>
              <w:spacing w:after="0" w:line="240" w:lineRule="auto"/>
              <w:rPr>
                <w:rFonts w:ascii="Arial Narrow" w:hAnsi="Arial Narrow"/>
                <w:b w:val="0"/>
                <w:color w:val="4F81BD" w:themeColor="accent1"/>
                <w:sz w:val="16"/>
                <w:szCs w:val="16"/>
              </w:rPr>
            </w:pPr>
            <w:r w:rsidRPr="006F54E8">
              <w:rPr>
                <w:rFonts w:ascii="Arial Narrow" w:hAnsi="Arial Narrow"/>
                <w:b w:val="0"/>
                <w:color w:val="4F81BD" w:themeColor="accent1"/>
                <w:sz w:val="16"/>
                <w:szCs w:val="16"/>
              </w:rPr>
              <w:t>7.</w:t>
            </w:r>
          </w:p>
        </w:tc>
        <w:tc>
          <w:tcPr>
            <w:tcW w:w="732" w:type="pct"/>
            <w:noWrap/>
            <w:hideMark/>
          </w:tcPr>
          <w:p w:rsidR="005252BB" w:rsidRPr="006F54E8"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bCs/>
                <w:color w:val="4F81BD" w:themeColor="accent1"/>
                <w:sz w:val="16"/>
                <w:szCs w:val="16"/>
              </w:rPr>
            </w:pPr>
            <w:r w:rsidRPr="006F54E8">
              <w:rPr>
                <w:rFonts w:ascii="Arial Narrow" w:hAnsi="Arial Narrow"/>
                <w:b/>
                <w:bCs/>
                <w:color w:val="4F81BD" w:themeColor="accent1"/>
                <w:sz w:val="16"/>
                <w:szCs w:val="16"/>
              </w:rPr>
              <w:t>Slovenija</w:t>
            </w:r>
          </w:p>
        </w:tc>
        <w:tc>
          <w:tcPr>
            <w:tcW w:w="406" w:type="pct"/>
            <w:noWrap/>
            <w:hideMark/>
          </w:tcPr>
          <w:p w:rsidR="005252BB" w:rsidRPr="006F54E8"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bCs/>
                <w:color w:val="4F81BD" w:themeColor="accent1"/>
                <w:sz w:val="16"/>
                <w:szCs w:val="16"/>
              </w:rPr>
            </w:pPr>
            <w:r w:rsidRPr="006F54E8">
              <w:rPr>
                <w:rFonts w:ascii="Arial Narrow" w:hAnsi="Arial Narrow"/>
                <w:b/>
                <w:bCs/>
                <w:color w:val="4F81BD" w:themeColor="accent1"/>
                <w:sz w:val="16"/>
                <w:szCs w:val="16"/>
              </w:rPr>
              <w:t>1,8</w:t>
            </w:r>
          </w:p>
        </w:tc>
        <w:tc>
          <w:tcPr>
            <w:tcW w:w="408" w:type="pct"/>
            <w:noWrap/>
            <w:hideMark/>
          </w:tcPr>
          <w:p w:rsidR="005252BB" w:rsidRPr="006F54E8"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bCs/>
                <w:color w:val="4F81BD" w:themeColor="accent1"/>
                <w:sz w:val="16"/>
                <w:szCs w:val="16"/>
              </w:rPr>
            </w:pPr>
            <w:r w:rsidRPr="006F54E8">
              <w:rPr>
                <w:rFonts w:ascii="Arial Narrow" w:hAnsi="Arial Narrow"/>
                <w:b/>
                <w:bCs/>
                <w:color w:val="4F81BD" w:themeColor="accent1"/>
                <w:sz w:val="16"/>
                <w:szCs w:val="16"/>
              </w:rPr>
              <w:t>1,8</w:t>
            </w:r>
          </w:p>
        </w:tc>
        <w:tc>
          <w:tcPr>
            <w:tcW w:w="409" w:type="pct"/>
            <w:noWrap/>
            <w:hideMark/>
          </w:tcPr>
          <w:p w:rsidR="005252BB" w:rsidRPr="006F54E8"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bCs/>
                <w:color w:val="4F81BD" w:themeColor="accent1"/>
                <w:sz w:val="16"/>
                <w:szCs w:val="16"/>
              </w:rPr>
            </w:pPr>
            <w:r w:rsidRPr="006F54E8">
              <w:rPr>
                <w:rFonts w:ascii="Arial Narrow" w:hAnsi="Arial Narrow"/>
                <w:b/>
                <w:bCs/>
                <w:color w:val="4F81BD" w:themeColor="accent1"/>
                <w:sz w:val="16"/>
                <w:szCs w:val="16"/>
              </w:rPr>
              <w:t>1,8</w:t>
            </w:r>
          </w:p>
        </w:tc>
        <w:tc>
          <w:tcPr>
            <w:tcW w:w="408" w:type="pct"/>
            <w:noWrap/>
            <w:hideMark/>
          </w:tcPr>
          <w:p w:rsidR="005252BB" w:rsidRPr="006F54E8"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bCs/>
                <w:color w:val="4F81BD" w:themeColor="accent1"/>
                <w:sz w:val="16"/>
                <w:szCs w:val="16"/>
              </w:rPr>
            </w:pPr>
            <w:r w:rsidRPr="006F54E8">
              <w:rPr>
                <w:rFonts w:ascii="Arial Narrow" w:hAnsi="Arial Narrow"/>
                <w:b/>
                <w:bCs/>
                <w:color w:val="4F81BD" w:themeColor="accent1"/>
                <w:sz w:val="16"/>
                <w:szCs w:val="16"/>
              </w:rPr>
              <w:t>1,7</w:t>
            </w:r>
          </w:p>
        </w:tc>
        <w:tc>
          <w:tcPr>
            <w:tcW w:w="409" w:type="pct"/>
            <w:noWrap/>
            <w:hideMark/>
          </w:tcPr>
          <w:p w:rsidR="005252BB" w:rsidRPr="006F54E8"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bCs/>
                <w:color w:val="4F81BD" w:themeColor="accent1"/>
                <w:sz w:val="16"/>
                <w:szCs w:val="16"/>
              </w:rPr>
            </w:pPr>
            <w:r w:rsidRPr="006F54E8">
              <w:rPr>
                <w:rFonts w:ascii="Arial Narrow" w:hAnsi="Arial Narrow"/>
                <w:b/>
                <w:bCs/>
                <w:color w:val="4F81BD" w:themeColor="accent1"/>
                <w:sz w:val="16"/>
                <w:szCs w:val="16"/>
              </w:rPr>
              <w:t>1,6</w:t>
            </w:r>
          </w:p>
        </w:tc>
        <w:tc>
          <w:tcPr>
            <w:tcW w:w="410" w:type="pct"/>
            <w:noWrap/>
            <w:hideMark/>
          </w:tcPr>
          <w:p w:rsidR="005252BB" w:rsidRPr="006F54E8"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bCs/>
                <w:color w:val="4F81BD" w:themeColor="accent1"/>
                <w:sz w:val="16"/>
                <w:szCs w:val="16"/>
              </w:rPr>
            </w:pPr>
            <w:r w:rsidRPr="006F54E8">
              <w:rPr>
                <w:rFonts w:ascii="Arial Narrow" w:hAnsi="Arial Narrow"/>
                <w:b/>
                <w:bCs/>
                <w:color w:val="4F81BD" w:themeColor="accent1"/>
                <w:sz w:val="16"/>
                <w:szCs w:val="16"/>
              </w:rPr>
              <w:t>1,3</w:t>
            </w:r>
          </w:p>
        </w:tc>
        <w:tc>
          <w:tcPr>
            <w:tcW w:w="409" w:type="pct"/>
            <w:noWrap/>
            <w:hideMark/>
          </w:tcPr>
          <w:p w:rsidR="005252BB" w:rsidRPr="006F54E8"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bCs/>
                <w:color w:val="4F81BD" w:themeColor="accent1"/>
                <w:sz w:val="16"/>
                <w:szCs w:val="16"/>
              </w:rPr>
            </w:pPr>
            <w:r w:rsidRPr="006F54E8">
              <w:rPr>
                <w:rFonts w:ascii="Arial Narrow" w:hAnsi="Arial Narrow"/>
                <w:b/>
                <w:bCs/>
                <w:color w:val="4F81BD" w:themeColor="accent1"/>
                <w:sz w:val="16"/>
                <w:szCs w:val="16"/>
              </w:rPr>
              <w:t>1,5</w:t>
            </w:r>
          </w:p>
        </w:tc>
        <w:tc>
          <w:tcPr>
            <w:tcW w:w="406" w:type="pct"/>
            <w:noWrap/>
            <w:hideMark/>
          </w:tcPr>
          <w:p w:rsidR="005252BB" w:rsidRPr="006F54E8"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bCs/>
                <w:color w:val="4F81BD" w:themeColor="accent1"/>
                <w:sz w:val="16"/>
                <w:szCs w:val="16"/>
              </w:rPr>
            </w:pPr>
            <w:r w:rsidRPr="006F54E8">
              <w:rPr>
                <w:rFonts w:ascii="Arial Narrow" w:hAnsi="Arial Narrow"/>
                <w:b/>
                <w:bCs/>
                <w:color w:val="4F81BD" w:themeColor="accent1"/>
                <w:sz w:val="16"/>
                <w:szCs w:val="16"/>
              </w:rPr>
              <w:t>1,5</w:t>
            </w:r>
          </w:p>
        </w:tc>
      </w:tr>
      <w:tr w:rsidR="007C1749" w:rsidRPr="005252BB" w:rsidTr="006F54E8">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1002" w:type="pct"/>
            <w:noWrap/>
            <w:hideMark/>
          </w:tcPr>
          <w:p w:rsidR="005252BB" w:rsidRPr="006F54E8" w:rsidRDefault="005252BB" w:rsidP="005252BB">
            <w:pPr>
              <w:spacing w:after="0" w:line="240" w:lineRule="auto"/>
              <w:rPr>
                <w:rFonts w:ascii="Arial Narrow" w:hAnsi="Arial Narrow"/>
                <w:b w:val="0"/>
                <w:sz w:val="16"/>
                <w:szCs w:val="16"/>
              </w:rPr>
            </w:pPr>
            <w:r w:rsidRPr="006F54E8">
              <w:rPr>
                <w:rFonts w:ascii="Arial Narrow" w:hAnsi="Arial Narrow"/>
                <w:b w:val="0"/>
                <w:sz w:val="16"/>
                <w:szCs w:val="16"/>
              </w:rPr>
              <w:t>8.</w:t>
            </w:r>
          </w:p>
        </w:tc>
        <w:tc>
          <w:tcPr>
            <w:tcW w:w="732"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Češka</w:t>
            </w:r>
          </w:p>
        </w:tc>
        <w:tc>
          <w:tcPr>
            <w:tcW w:w="406"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1,4</w:t>
            </w:r>
          </w:p>
        </w:tc>
        <w:tc>
          <w:tcPr>
            <w:tcW w:w="408"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1,5</w:t>
            </w:r>
          </w:p>
        </w:tc>
        <w:tc>
          <w:tcPr>
            <w:tcW w:w="409"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1,5</w:t>
            </w:r>
          </w:p>
        </w:tc>
        <w:tc>
          <w:tcPr>
            <w:tcW w:w="408"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1,5</w:t>
            </w:r>
          </w:p>
        </w:tc>
        <w:tc>
          <w:tcPr>
            <w:tcW w:w="409"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1,4</w:t>
            </w:r>
          </w:p>
        </w:tc>
        <w:tc>
          <w:tcPr>
            <w:tcW w:w="410"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1,4</w:t>
            </w:r>
          </w:p>
        </w:tc>
        <w:tc>
          <w:tcPr>
            <w:tcW w:w="409"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1,4</w:t>
            </w:r>
          </w:p>
        </w:tc>
        <w:tc>
          <w:tcPr>
            <w:tcW w:w="406"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1,4</w:t>
            </w:r>
          </w:p>
        </w:tc>
      </w:tr>
      <w:tr w:rsidR="007C1749" w:rsidRPr="005252BB" w:rsidTr="006F54E8">
        <w:trPr>
          <w:trHeight w:val="102"/>
        </w:trPr>
        <w:tc>
          <w:tcPr>
            <w:cnfStyle w:val="001000000000" w:firstRow="0" w:lastRow="0" w:firstColumn="1" w:lastColumn="0" w:oddVBand="0" w:evenVBand="0" w:oddHBand="0" w:evenHBand="0" w:firstRowFirstColumn="0" w:firstRowLastColumn="0" w:lastRowFirstColumn="0" w:lastRowLastColumn="0"/>
            <w:tcW w:w="1002" w:type="pct"/>
            <w:noWrap/>
            <w:hideMark/>
          </w:tcPr>
          <w:p w:rsidR="005252BB" w:rsidRPr="006F54E8" w:rsidRDefault="005252BB" w:rsidP="005252BB">
            <w:pPr>
              <w:spacing w:after="0" w:line="240" w:lineRule="auto"/>
              <w:rPr>
                <w:rFonts w:ascii="Arial Narrow" w:hAnsi="Arial Narrow"/>
                <w:b w:val="0"/>
                <w:sz w:val="16"/>
                <w:szCs w:val="16"/>
              </w:rPr>
            </w:pPr>
            <w:r w:rsidRPr="006F54E8">
              <w:rPr>
                <w:rFonts w:ascii="Arial Narrow" w:hAnsi="Arial Narrow"/>
                <w:b w:val="0"/>
                <w:sz w:val="16"/>
                <w:szCs w:val="16"/>
              </w:rPr>
              <w:t>9.</w:t>
            </w:r>
          </w:p>
        </w:tc>
        <w:tc>
          <w:tcPr>
            <w:tcW w:w="732"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Francija</w:t>
            </w:r>
          </w:p>
        </w:tc>
        <w:tc>
          <w:tcPr>
            <w:tcW w:w="406"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1,3</w:t>
            </w:r>
          </w:p>
        </w:tc>
        <w:tc>
          <w:tcPr>
            <w:tcW w:w="408"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1,3</w:t>
            </w:r>
          </w:p>
        </w:tc>
        <w:tc>
          <w:tcPr>
            <w:tcW w:w="409"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1,4</w:t>
            </w:r>
          </w:p>
        </w:tc>
        <w:tc>
          <w:tcPr>
            <w:tcW w:w="408"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1,3</w:t>
            </w:r>
          </w:p>
        </w:tc>
        <w:tc>
          <w:tcPr>
            <w:tcW w:w="409"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1,4</w:t>
            </w:r>
          </w:p>
        </w:tc>
        <w:tc>
          <w:tcPr>
            <w:tcW w:w="410"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1,4</w:t>
            </w:r>
          </w:p>
        </w:tc>
        <w:tc>
          <w:tcPr>
            <w:tcW w:w="409"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1,4</w:t>
            </w:r>
          </w:p>
        </w:tc>
        <w:tc>
          <w:tcPr>
            <w:tcW w:w="406"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1,3</w:t>
            </w:r>
          </w:p>
        </w:tc>
      </w:tr>
      <w:tr w:rsidR="007C1749" w:rsidRPr="005252BB" w:rsidTr="006F54E8">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1002" w:type="pct"/>
            <w:noWrap/>
            <w:hideMark/>
          </w:tcPr>
          <w:p w:rsidR="005252BB" w:rsidRPr="006F54E8" w:rsidRDefault="005252BB" w:rsidP="005252BB">
            <w:pPr>
              <w:spacing w:after="0" w:line="240" w:lineRule="auto"/>
              <w:rPr>
                <w:rFonts w:ascii="Arial Narrow" w:hAnsi="Arial Narrow"/>
                <w:b w:val="0"/>
                <w:sz w:val="16"/>
                <w:szCs w:val="16"/>
              </w:rPr>
            </w:pPr>
            <w:r w:rsidRPr="006F54E8">
              <w:rPr>
                <w:rFonts w:ascii="Arial Narrow" w:hAnsi="Arial Narrow"/>
                <w:b w:val="0"/>
                <w:sz w:val="16"/>
                <w:szCs w:val="16"/>
              </w:rPr>
              <w:t>9.</w:t>
            </w:r>
          </w:p>
        </w:tc>
        <w:tc>
          <w:tcPr>
            <w:tcW w:w="732"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Norveška</w:t>
            </w:r>
          </w:p>
        </w:tc>
        <w:tc>
          <w:tcPr>
            <w:tcW w:w="406"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1,2</w:t>
            </w:r>
          </w:p>
        </w:tc>
        <w:tc>
          <w:tcPr>
            <w:tcW w:w="408"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1,3</w:t>
            </w:r>
          </w:p>
        </w:tc>
        <w:tc>
          <w:tcPr>
            <w:tcW w:w="409"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1,3</w:t>
            </w:r>
          </w:p>
        </w:tc>
        <w:tc>
          <w:tcPr>
            <w:tcW w:w="408"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1,3</w:t>
            </w:r>
          </w:p>
        </w:tc>
        <w:tc>
          <w:tcPr>
            <w:tcW w:w="409"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1,3</w:t>
            </w:r>
          </w:p>
        </w:tc>
        <w:tc>
          <w:tcPr>
            <w:tcW w:w="410"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1,3</w:t>
            </w:r>
          </w:p>
        </w:tc>
        <w:tc>
          <w:tcPr>
            <w:tcW w:w="409"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1,3</w:t>
            </w:r>
          </w:p>
        </w:tc>
        <w:tc>
          <w:tcPr>
            <w:tcW w:w="406"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1,3</w:t>
            </w:r>
          </w:p>
        </w:tc>
      </w:tr>
      <w:tr w:rsidR="007C1749" w:rsidRPr="005252BB" w:rsidTr="006F54E8">
        <w:trPr>
          <w:trHeight w:val="102"/>
        </w:trPr>
        <w:tc>
          <w:tcPr>
            <w:cnfStyle w:val="001000000000" w:firstRow="0" w:lastRow="0" w:firstColumn="1" w:lastColumn="0" w:oddVBand="0" w:evenVBand="0" w:oddHBand="0" w:evenHBand="0" w:firstRowFirstColumn="0" w:firstRowLastColumn="0" w:lastRowFirstColumn="0" w:lastRowLastColumn="0"/>
            <w:tcW w:w="1002" w:type="pct"/>
            <w:noWrap/>
            <w:hideMark/>
          </w:tcPr>
          <w:p w:rsidR="005252BB" w:rsidRPr="006F54E8" w:rsidRDefault="005252BB" w:rsidP="005252BB">
            <w:pPr>
              <w:spacing w:after="0" w:line="240" w:lineRule="auto"/>
              <w:rPr>
                <w:rFonts w:ascii="Arial Narrow" w:hAnsi="Arial Narrow"/>
                <w:b w:val="0"/>
                <w:sz w:val="16"/>
                <w:szCs w:val="16"/>
              </w:rPr>
            </w:pPr>
            <w:r w:rsidRPr="006F54E8">
              <w:rPr>
                <w:rFonts w:ascii="Arial Narrow" w:hAnsi="Arial Narrow"/>
                <w:b w:val="0"/>
                <w:sz w:val="16"/>
                <w:szCs w:val="16"/>
              </w:rPr>
              <w:t>10.</w:t>
            </w:r>
          </w:p>
        </w:tc>
        <w:tc>
          <w:tcPr>
            <w:tcW w:w="732"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Danska</w:t>
            </w:r>
          </w:p>
        </w:tc>
        <w:tc>
          <w:tcPr>
            <w:tcW w:w="406"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1,2</w:t>
            </w:r>
          </w:p>
        </w:tc>
        <w:tc>
          <w:tcPr>
            <w:tcW w:w="408"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1,2</w:t>
            </w:r>
          </w:p>
        </w:tc>
        <w:tc>
          <w:tcPr>
            <w:tcW w:w="409"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1,2</w:t>
            </w:r>
          </w:p>
        </w:tc>
        <w:tc>
          <w:tcPr>
            <w:tcW w:w="408"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1,2</w:t>
            </w:r>
          </w:p>
        </w:tc>
        <w:tc>
          <w:tcPr>
            <w:tcW w:w="409"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1,2</w:t>
            </w:r>
          </w:p>
        </w:tc>
        <w:tc>
          <w:tcPr>
            <w:tcW w:w="410"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1,2</w:t>
            </w:r>
          </w:p>
        </w:tc>
        <w:tc>
          <w:tcPr>
            <w:tcW w:w="409"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1,2</w:t>
            </w:r>
          </w:p>
        </w:tc>
        <w:tc>
          <w:tcPr>
            <w:tcW w:w="406"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1,2</w:t>
            </w:r>
          </w:p>
        </w:tc>
      </w:tr>
      <w:tr w:rsidR="007C1749" w:rsidRPr="005252BB" w:rsidTr="006F54E8">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1002" w:type="pct"/>
            <w:noWrap/>
            <w:hideMark/>
          </w:tcPr>
          <w:p w:rsidR="005252BB" w:rsidRPr="006F54E8" w:rsidRDefault="005252BB" w:rsidP="005252BB">
            <w:pPr>
              <w:spacing w:after="0" w:line="240" w:lineRule="auto"/>
              <w:rPr>
                <w:rFonts w:ascii="Arial Narrow" w:hAnsi="Arial Narrow"/>
                <w:b w:val="0"/>
                <w:sz w:val="16"/>
                <w:szCs w:val="16"/>
              </w:rPr>
            </w:pPr>
            <w:r w:rsidRPr="006F54E8">
              <w:rPr>
                <w:rFonts w:ascii="Arial Narrow" w:hAnsi="Arial Narrow"/>
                <w:b w:val="0"/>
                <w:sz w:val="16"/>
                <w:szCs w:val="16"/>
              </w:rPr>
              <w:t>10.</w:t>
            </w:r>
          </w:p>
        </w:tc>
        <w:tc>
          <w:tcPr>
            <w:tcW w:w="732"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Luksemburg</w:t>
            </w:r>
          </w:p>
        </w:tc>
        <w:tc>
          <w:tcPr>
            <w:tcW w:w="406"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1,4</w:t>
            </w:r>
          </w:p>
        </w:tc>
        <w:tc>
          <w:tcPr>
            <w:tcW w:w="408"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1,3</w:t>
            </w:r>
          </w:p>
        </w:tc>
        <w:tc>
          <w:tcPr>
            <w:tcW w:w="409"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1,2</w:t>
            </w:r>
          </w:p>
        </w:tc>
        <w:tc>
          <w:tcPr>
            <w:tcW w:w="408"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1,2</w:t>
            </w:r>
          </w:p>
        </w:tc>
        <w:tc>
          <w:tcPr>
            <w:tcW w:w="409"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1,1</w:t>
            </w:r>
          </w:p>
        </w:tc>
        <w:tc>
          <w:tcPr>
            <w:tcW w:w="410"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1,2</w:t>
            </w:r>
          </w:p>
        </w:tc>
        <w:tc>
          <w:tcPr>
            <w:tcW w:w="409"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1,1</w:t>
            </w:r>
          </w:p>
        </w:tc>
        <w:tc>
          <w:tcPr>
            <w:tcW w:w="406"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1,2</w:t>
            </w:r>
          </w:p>
        </w:tc>
      </w:tr>
      <w:tr w:rsidR="007C1749" w:rsidRPr="005252BB" w:rsidTr="006F54E8">
        <w:trPr>
          <w:trHeight w:val="102"/>
        </w:trPr>
        <w:tc>
          <w:tcPr>
            <w:cnfStyle w:val="001000000000" w:firstRow="0" w:lastRow="0" w:firstColumn="1" w:lastColumn="0" w:oddVBand="0" w:evenVBand="0" w:oddHBand="0" w:evenHBand="0" w:firstRowFirstColumn="0" w:firstRowLastColumn="0" w:lastRowFirstColumn="0" w:lastRowLastColumn="0"/>
            <w:tcW w:w="1002" w:type="pct"/>
            <w:noWrap/>
            <w:hideMark/>
          </w:tcPr>
          <w:p w:rsidR="005252BB" w:rsidRPr="006F54E8" w:rsidRDefault="005252BB" w:rsidP="005252BB">
            <w:pPr>
              <w:spacing w:after="0" w:line="240" w:lineRule="auto"/>
              <w:rPr>
                <w:rFonts w:ascii="Arial Narrow" w:hAnsi="Arial Narrow"/>
                <w:b w:val="0"/>
                <w:sz w:val="16"/>
                <w:szCs w:val="16"/>
              </w:rPr>
            </w:pPr>
            <w:r w:rsidRPr="006F54E8">
              <w:rPr>
                <w:rFonts w:ascii="Arial Narrow" w:hAnsi="Arial Narrow"/>
                <w:b w:val="0"/>
                <w:sz w:val="16"/>
                <w:szCs w:val="16"/>
              </w:rPr>
              <w:t>10.</w:t>
            </w:r>
          </w:p>
        </w:tc>
        <w:tc>
          <w:tcPr>
            <w:tcW w:w="732"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Romunija</w:t>
            </w:r>
          </w:p>
        </w:tc>
        <w:tc>
          <w:tcPr>
            <w:tcW w:w="406"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w:t>
            </w:r>
          </w:p>
        </w:tc>
        <w:tc>
          <w:tcPr>
            <w:tcW w:w="408"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1,1</w:t>
            </w:r>
          </w:p>
        </w:tc>
        <w:tc>
          <w:tcPr>
            <w:tcW w:w="409"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1,1</w:t>
            </w:r>
          </w:p>
        </w:tc>
        <w:tc>
          <w:tcPr>
            <w:tcW w:w="408"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1,1</w:t>
            </w:r>
          </w:p>
        </w:tc>
        <w:tc>
          <w:tcPr>
            <w:tcW w:w="409"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1,1</w:t>
            </w:r>
          </w:p>
        </w:tc>
        <w:tc>
          <w:tcPr>
            <w:tcW w:w="410"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1,1</w:t>
            </w:r>
          </w:p>
        </w:tc>
        <w:tc>
          <w:tcPr>
            <w:tcW w:w="409"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1,3</w:t>
            </w:r>
          </w:p>
        </w:tc>
        <w:tc>
          <w:tcPr>
            <w:tcW w:w="406"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1,2</w:t>
            </w:r>
          </w:p>
        </w:tc>
      </w:tr>
      <w:tr w:rsidR="007C1749" w:rsidRPr="005252BB" w:rsidTr="006F54E8">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1002" w:type="pct"/>
            <w:noWrap/>
            <w:hideMark/>
          </w:tcPr>
          <w:p w:rsidR="005252BB" w:rsidRPr="006F54E8" w:rsidRDefault="005252BB" w:rsidP="005252BB">
            <w:pPr>
              <w:spacing w:after="0" w:line="240" w:lineRule="auto"/>
              <w:rPr>
                <w:rFonts w:ascii="Arial Narrow" w:hAnsi="Arial Narrow"/>
                <w:b w:val="0"/>
                <w:sz w:val="16"/>
                <w:szCs w:val="16"/>
              </w:rPr>
            </w:pPr>
            <w:r w:rsidRPr="006F54E8">
              <w:rPr>
                <w:rFonts w:ascii="Arial Narrow" w:hAnsi="Arial Narrow"/>
                <w:b w:val="0"/>
                <w:sz w:val="16"/>
                <w:szCs w:val="16"/>
              </w:rPr>
              <w:t>10.</w:t>
            </w:r>
          </w:p>
        </w:tc>
        <w:tc>
          <w:tcPr>
            <w:tcW w:w="732"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Slovaška</w:t>
            </w:r>
          </w:p>
        </w:tc>
        <w:tc>
          <w:tcPr>
            <w:tcW w:w="406"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1,2</w:t>
            </w:r>
          </w:p>
        </w:tc>
        <w:tc>
          <w:tcPr>
            <w:tcW w:w="408"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1,2</w:t>
            </w:r>
          </w:p>
        </w:tc>
        <w:tc>
          <w:tcPr>
            <w:tcW w:w="409"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1,2</w:t>
            </w:r>
          </w:p>
        </w:tc>
        <w:tc>
          <w:tcPr>
            <w:tcW w:w="408"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1,2</w:t>
            </w:r>
          </w:p>
        </w:tc>
        <w:tc>
          <w:tcPr>
            <w:tcW w:w="409"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1,2</w:t>
            </w:r>
          </w:p>
        </w:tc>
        <w:tc>
          <w:tcPr>
            <w:tcW w:w="410"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1,1</w:t>
            </w:r>
          </w:p>
        </w:tc>
        <w:tc>
          <w:tcPr>
            <w:tcW w:w="409"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1,1</w:t>
            </w:r>
          </w:p>
        </w:tc>
        <w:tc>
          <w:tcPr>
            <w:tcW w:w="406"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1,2</w:t>
            </w:r>
          </w:p>
        </w:tc>
      </w:tr>
      <w:tr w:rsidR="007C1749" w:rsidRPr="005252BB" w:rsidTr="006F54E8">
        <w:trPr>
          <w:trHeight w:val="102"/>
        </w:trPr>
        <w:tc>
          <w:tcPr>
            <w:cnfStyle w:val="001000000000" w:firstRow="0" w:lastRow="0" w:firstColumn="1" w:lastColumn="0" w:oddVBand="0" w:evenVBand="0" w:oddHBand="0" w:evenHBand="0" w:firstRowFirstColumn="0" w:firstRowLastColumn="0" w:lastRowFirstColumn="0" w:lastRowLastColumn="0"/>
            <w:tcW w:w="1002" w:type="pct"/>
            <w:noWrap/>
            <w:hideMark/>
          </w:tcPr>
          <w:p w:rsidR="005252BB" w:rsidRPr="006F54E8" w:rsidRDefault="005252BB" w:rsidP="005252BB">
            <w:pPr>
              <w:spacing w:after="0" w:line="240" w:lineRule="auto"/>
              <w:rPr>
                <w:rFonts w:ascii="Arial Narrow" w:hAnsi="Arial Narrow"/>
                <w:b w:val="0"/>
                <w:sz w:val="16"/>
                <w:szCs w:val="16"/>
              </w:rPr>
            </w:pPr>
            <w:r w:rsidRPr="006F54E8">
              <w:rPr>
                <w:rFonts w:ascii="Arial Narrow" w:hAnsi="Arial Narrow"/>
                <w:b w:val="0"/>
                <w:sz w:val="16"/>
                <w:szCs w:val="16"/>
              </w:rPr>
              <w:t>10.</w:t>
            </w:r>
          </w:p>
        </w:tc>
        <w:tc>
          <w:tcPr>
            <w:tcW w:w="732"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Švica</w:t>
            </w:r>
          </w:p>
        </w:tc>
        <w:tc>
          <w:tcPr>
            <w:tcW w:w="406"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1,2</w:t>
            </w:r>
          </w:p>
        </w:tc>
        <w:tc>
          <w:tcPr>
            <w:tcW w:w="408"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1,2</w:t>
            </w:r>
          </w:p>
        </w:tc>
        <w:tc>
          <w:tcPr>
            <w:tcW w:w="409"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1,2</w:t>
            </w:r>
          </w:p>
        </w:tc>
        <w:tc>
          <w:tcPr>
            <w:tcW w:w="408"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1,2</w:t>
            </w:r>
          </w:p>
        </w:tc>
        <w:tc>
          <w:tcPr>
            <w:tcW w:w="409"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1,3</w:t>
            </w:r>
          </w:p>
        </w:tc>
        <w:tc>
          <w:tcPr>
            <w:tcW w:w="410"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1,2</w:t>
            </w:r>
          </w:p>
        </w:tc>
        <w:tc>
          <w:tcPr>
            <w:tcW w:w="409"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1,2</w:t>
            </w:r>
          </w:p>
        </w:tc>
        <w:tc>
          <w:tcPr>
            <w:tcW w:w="406"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1,2</w:t>
            </w:r>
          </w:p>
        </w:tc>
      </w:tr>
      <w:tr w:rsidR="007C1749" w:rsidRPr="005252BB" w:rsidTr="006F54E8">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1002" w:type="pct"/>
            <w:noWrap/>
            <w:hideMark/>
          </w:tcPr>
          <w:p w:rsidR="005252BB" w:rsidRPr="006F54E8" w:rsidRDefault="005252BB" w:rsidP="005252BB">
            <w:pPr>
              <w:spacing w:after="0" w:line="240" w:lineRule="auto"/>
              <w:rPr>
                <w:rFonts w:ascii="Arial Narrow" w:hAnsi="Arial Narrow"/>
                <w:sz w:val="16"/>
                <w:szCs w:val="16"/>
              </w:rPr>
            </w:pPr>
          </w:p>
        </w:tc>
        <w:tc>
          <w:tcPr>
            <w:tcW w:w="732" w:type="pct"/>
            <w:noWrap/>
            <w:hideMark/>
          </w:tcPr>
          <w:p w:rsidR="005252BB" w:rsidRPr="006F54E8"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sz w:val="16"/>
                <w:szCs w:val="16"/>
              </w:rPr>
            </w:pPr>
            <w:r w:rsidRPr="006F54E8">
              <w:rPr>
                <w:rFonts w:ascii="Arial Narrow" w:hAnsi="Arial Narrow"/>
                <w:b/>
                <w:sz w:val="16"/>
                <w:szCs w:val="16"/>
              </w:rPr>
              <w:t>EU-28</w:t>
            </w:r>
          </w:p>
        </w:tc>
        <w:tc>
          <w:tcPr>
            <w:tcW w:w="406" w:type="pct"/>
            <w:noWrap/>
            <w:hideMark/>
          </w:tcPr>
          <w:p w:rsidR="005252BB" w:rsidRPr="006F54E8"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sz w:val="16"/>
                <w:szCs w:val="16"/>
              </w:rPr>
            </w:pPr>
            <w:r w:rsidRPr="006F54E8">
              <w:rPr>
                <w:rFonts w:ascii="Arial Narrow" w:hAnsi="Arial Narrow"/>
                <w:b/>
                <w:sz w:val="16"/>
                <w:szCs w:val="16"/>
              </w:rPr>
              <w:t>:</w:t>
            </w:r>
          </w:p>
        </w:tc>
        <w:tc>
          <w:tcPr>
            <w:tcW w:w="408" w:type="pct"/>
            <w:noWrap/>
            <w:hideMark/>
          </w:tcPr>
          <w:p w:rsidR="005252BB" w:rsidRPr="006F54E8"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sz w:val="16"/>
                <w:szCs w:val="16"/>
              </w:rPr>
            </w:pPr>
            <w:r w:rsidRPr="006F54E8">
              <w:rPr>
                <w:rFonts w:ascii="Arial Narrow" w:hAnsi="Arial Narrow"/>
                <w:b/>
                <w:sz w:val="16"/>
                <w:szCs w:val="16"/>
              </w:rPr>
              <w:t>1,0</w:t>
            </w:r>
          </w:p>
        </w:tc>
        <w:tc>
          <w:tcPr>
            <w:tcW w:w="409" w:type="pct"/>
            <w:noWrap/>
            <w:hideMark/>
          </w:tcPr>
          <w:p w:rsidR="005252BB" w:rsidRPr="006F54E8"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sz w:val="16"/>
                <w:szCs w:val="16"/>
              </w:rPr>
            </w:pPr>
            <w:r w:rsidRPr="006F54E8">
              <w:rPr>
                <w:rFonts w:ascii="Arial Narrow" w:hAnsi="Arial Narrow"/>
                <w:b/>
                <w:sz w:val="16"/>
                <w:szCs w:val="16"/>
              </w:rPr>
              <w:t>1,0</w:t>
            </w:r>
          </w:p>
        </w:tc>
        <w:tc>
          <w:tcPr>
            <w:tcW w:w="408" w:type="pct"/>
            <w:noWrap/>
            <w:hideMark/>
          </w:tcPr>
          <w:p w:rsidR="005252BB" w:rsidRPr="006F54E8"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sz w:val="16"/>
                <w:szCs w:val="16"/>
              </w:rPr>
            </w:pPr>
            <w:r w:rsidRPr="006F54E8">
              <w:rPr>
                <w:rFonts w:ascii="Arial Narrow" w:hAnsi="Arial Narrow"/>
                <w:b/>
                <w:sz w:val="16"/>
                <w:szCs w:val="16"/>
              </w:rPr>
              <w:t>1,0</w:t>
            </w:r>
          </w:p>
        </w:tc>
        <w:tc>
          <w:tcPr>
            <w:tcW w:w="409" w:type="pct"/>
            <w:noWrap/>
            <w:hideMark/>
          </w:tcPr>
          <w:p w:rsidR="005252BB" w:rsidRPr="006F54E8"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sz w:val="16"/>
                <w:szCs w:val="16"/>
              </w:rPr>
            </w:pPr>
            <w:r w:rsidRPr="006F54E8">
              <w:rPr>
                <w:rFonts w:ascii="Arial Narrow" w:hAnsi="Arial Narrow"/>
                <w:b/>
                <w:sz w:val="16"/>
                <w:szCs w:val="16"/>
              </w:rPr>
              <w:t>1,0</w:t>
            </w:r>
          </w:p>
        </w:tc>
        <w:tc>
          <w:tcPr>
            <w:tcW w:w="410" w:type="pct"/>
            <w:noWrap/>
            <w:hideMark/>
          </w:tcPr>
          <w:p w:rsidR="005252BB" w:rsidRPr="006F54E8"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sz w:val="16"/>
                <w:szCs w:val="16"/>
              </w:rPr>
            </w:pPr>
            <w:r w:rsidRPr="006F54E8">
              <w:rPr>
                <w:rFonts w:ascii="Arial Narrow" w:hAnsi="Arial Narrow"/>
                <w:b/>
                <w:sz w:val="16"/>
                <w:szCs w:val="16"/>
              </w:rPr>
              <w:t>1,0</w:t>
            </w:r>
          </w:p>
        </w:tc>
        <w:tc>
          <w:tcPr>
            <w:tcW w:w="409" w:type="pct"/>
            <w:noWrap/>
            <w:hideMark/>
          </w:tcPr>
          <w:p w:rsidR="005252BB" w:rsidRPr="006F54E8"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sz w:val="16"/>
                <w:szCs w:val="16"/>
              </w:rPr>
            </w:pPr>
            <w:r w:rsidRPr="006F54E8">
              <w:rPr>
                <w:rFonts w:ascii="Arial Narrow" w:hAnsi="Arial Narrow"/>
                <w:b/>
                <w:sz w:val="16"/>
                <w:szCs w:val="16"/>
              </w:rPr>
              <w:t>1,0</w:t>
            </w:r>
          </w:p>
        </w:tc>
        <w:tc>
          <w:tcPr>
            <w:tcW w:w="406" w:type="pct"/>
            <w:noWrap/>
            <w:hideMark/>
          </w:tcPr>
          <w:p w:rsidR="005252BB" w:rsidRPr="006F54E8"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sz w:val="16"/>
                <w:szCs w:val="16"/>
              </w:rPr>
            </w:pPr>
            <w:r w:rsidRPr="006F54E8">
              <w:rPr>
                <w:rFonts w:ascii="Arial Narrow" w:hAnsi="Arial Narrow"/>
                <w:b/>
                <w:sz w:val="16"/>
                <w:szCs w:val="16"/>
              </w:rPr>
              <w:t>1,0</w:t>
            </w:r>
          </w:p>
        </w:tc>
      </w:tr>
      <w:tr w:rsidR="007C1749" w:rsidRPr="005252BB" w:rsidTr="006F54E8">
        <w:trPr>
          <w:trHeight w:val="102"/>
        </w:trPr>
        <w:tc>
          <w:tcPr>
            <w:cnfStyle w:val="001000000000" w:firstRow="0" w:lastRow="0" w:firstColumn="1" w:lastColumn="0" w:oddVBand="0" w:evenVBand="0" w:oddHBand="0" w:evenHBand="0" w:firstRowFirstColumn="0" w:firstRowLastColumn="0" w:lastRowFirstColumn="0" w:lastRowLastColumn="0"/>
            <w:tcW w:w="1002" w:type="pct"/>
            <w:noWrap/>
            <w:hideMark/>
          </w:tcPr>
          <w:p w:rsidR="005252BB" w:rsidRPr="006F54E8" w:rsidRDefault="005252BB" w:rsidP="005252BB">
            <w:pPr>
              <w:spacing w:after="0" w:line="240" w:lineRule="auto"/>
              <w:rPr>
                <w:rFonts w:ascii="Arial Narrow" w:hAnsi="Arial Narrow"/>
                <w:b w:val="0"/>
                <w:sz w:val="16"/>
                <w:szCs w:val="16"/>
              </w:rPr>
            </w:pPr>
            <w:r w:rsidRPr="006F54E8">
              <w:rPr>
                <w:rFonts w:ascii="Arial Narrow" w:hAnsi="Arial Narrow"/>
                <w:b w:val="0"/>
                <w:sz w:val="16"/>
                <w:szCs w:val="16"/>
              </w:rPr>
              <w:t>11.</w:t>
            </w:r>
          </w:p>
        </w:tc>
        <w:tc>
          <w:tcPr>
            <w:tcW w:w="732"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Španija</w:t>
            </w:r>
          </w:p>
        </w:tc>
        <w:tc>
          <w:tcPr>
            <w:tcW w:w="406"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1,7</w:t>
            </w:r>
          </w:p>
        </w:tc>
        <w:tc>
          <w:tcPr>
            <w:tcW w:w="408"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1,4</w:t>
            </w:r>
          </w:p>
        </w:tc>
        <w:tc>
          <w:tcPr>
            <w:tcW w:w="409"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1,4</w:t>
            </w:r>
          </w:p>
        </w:tc>
        <w:tc>
          <w:tcPr>
            <w:tcW w:w="408"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1,3</w:t>
            </w:r>
          </w:p>
        </w:tc>
        <w:tc>
          <w:tcPr>
            <w:tcW w:w="409"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1,0</w:t>
            </w:r>
          </w:p>
        </w:tc>
        <w:tc>
          <w:tcPr>
            <w:tcW w:w="410"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1,0</w:t>
            </w:r>
          </w:p>
        </w:tc>
        <w:tc>
          <w:tcPr>
            <w:tcW w:w="409"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1,0</w:t>
            </w:r>
          </w:p>
        </w:tc>
        <w:tc>
          <w:tcPr>
            <w:tcW w:w="406"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1,0</w:t>
            </w:r>
          </w:p>
        </w:tc>
      </w:tr>
      <w:tr w:rsidR="007C1749" w:rsidRPr="005252BB" w:rsidTr="006F54E8">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1002" w:type="pct"/>
            <w:noWrap/>
            <w:hideMark/>
          </w:tcPr>
          <w:p w:rsidR="005252BB" w:rsidRPr="006F54E8" w:rsidRDefault="005252BB" w:rsidP="005252BB">
            <w:pPr>
              <w:spacing w:after="0" w:line="240" w:lineRule="auto"/>
              <w:rPr>
                <w:rFonts w:ascii="Arial Narrow" w:hAnsi="Arial Narrow"/>
                <w:b w:val="0"/>
                <w:sz w:val="16"/>
                <w:szCs w:val="16"/>
              </w:rPr>
            </w:pPr>
            <w:r w:rsidRPr="006F54E8">
              <w:rPr>
                <w:rFonts w:ascii="Arial Narrow" w:hAnsi="Arial Narrow"/>
                <w:b w:val="0"/>
                <w:sz w:val="16"/>
                <w:szCs w:val="16"/>
              </w:rPr>
              <w:t>11.</w:t>
            </w:r>
          </w:p>
        </w:tc>
        <w:tc>
          <w:tcPr>
            <w:tcW w:w="732"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Nizozemska</w:t>
            </w:r>
          </w:p>
        </w:tc>
        <w:tc>
          <w:tcPr>
            <w:tcW w:w="406"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1,2</w:t>
            </w:r>
          </w:p>
        </w:tc>
        <w:tc>
          <w:tcPr>
            <w:tcW w:w="408"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1,1</w:t>
            </w:r>
          </w:p>
        </w:tc>
        <w:tc>
          <w:tcPr>
            <w:tcW w:w="409"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1,1</w:t>
            </w:r>
          </w:p>
        </w:tc>
        <w:tc>
          <w:tcPr>
            <w:tcW w:w="408"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1,1</w:t>
            </w:r>
          </w:p>
        </w:tc>
        <w:tc>
          <w:tcPr>
            <w:tcW w:w="409"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1,1</w:t>
            </w:r>
          </w:p>
        </w:tc>
        <w:tc>
          <w:tcPr>
            <w:tcW w:w="410"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1,0</w:t>
            </w:r>
          </w:p>
        </w:tc>
        <w:tc>
          <w:tcPr>
            <w:tcW w:w="409"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1,0</w:t>
            </w:r>
          </w:p>
        </w:tc>
        <w:tc>
          <w:tcPr>
            <w:tcW w:w="406"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1,0</w:t>
            </w:r>
          </w:p>
        </w:tc>
      </w:tr>
      <w:tr w:rsidR="007C1749" w:rsidRPr="005252BB" w:rsidTr="006F54E8">
        <w:trPr>
          <w:trHeight w:val="102"/>
        </w:trPr>
        <w:tc>
          <w:tcPr>
            <w:cnfStyle w:val="001000000000" w:firstRow="0" w:lastRow="0" w:firstColumn="1" w:lastColumn="0" w:oddVBand="0" w:evenVBand="0" w:oddHBand="0" w:evenHBand="0" w:firstRowFirstColumn="0" w:firstRowLastColumn="0" w:lastRowFirstColumn="0" w:lastRowLastColumn="0"/>
            <w:tcW w:w="1002" w:type="pct"/>
            <w:noWrap/>
            <w:hideMark/>
          </w:tcPr>
          <w:p w:rsidR="005252BB" w:rsidRPr="006F54E8" w:rsidRDefault="005252BB" w:rsidP="005252BB">
            <w:pPr>
              <w:spacing w:after="0" w:line="240" w:lineRule="auto"/>
              <w:rPr>
                <w:rFonts w:ascii="Arial Narrow" w:hAnsi="Arial Narrow"/>
                <w:b w:val="0"/>
                <w:sz w:val="16"/>
                <w:szCs w:val="16"/>
              </w:rPr>
            </w:pPr>
            <w:r w:rsidRPr="006F54E8">
              <w:rPr>
                <w:rFonts w:ascii="Arial Narrow" w:hAnsi="Arial Narrow"/>
                <w:b w:val="0"/>
                <w:sz w:val="16"/>
                <w:szCs w:val="16"/>
              </w:rPr>
              <w:t>11.</w:t>
            </w:r>
          </w:p>
        </w:tc>
        <w:tc>
          <w:tcPr>
            <w:tcW w:w="732"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Avstrija</w:t>
            </w:r>
          </w:p>
        </w:tc>
        <w:tc>
          <w:tcPr>
            <w:tcW w:w="406"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1,2</w:t>
            </w:r>
          </w:p>
        </w:tc>
        <w:tc>
          <w:tcPr>
            <w:tcW w:w="408"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1,2</w:t>
            </w:r>
          </w:p>
        </w:tc>
        <w:tc>
          <w:tcPr>
            <w:tcW w:w="409"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1,1</w:t>
            </w:r>
          </w:p>
        </w:tc>
        <w:tc>
          <w:tcPr>
            <w:tcW w:w="408"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1,1</w:t>
            </w:r>
          </w:p>
        </w:tc>
        <w:tc>
          <w:tcPr>
            <w:tcW w:w="409"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1,1</w:t>
            </w:r>
          </w:p>
        </w:tc>
        <w:tc>
          <w:tcPr>
            <w:tcW w:w="410"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1,1</w:t>
            </w:r>
          </w:p>
        </w:tc>
        <w:tc>
          <w:tcPr>
            <w:tcW w:w="409"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1,0</w:t>
            </w:r>
          </w:p>
        </w:tc>
        <w:tc>
          <w:tcPr>
            <w:tcW w:w="406"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1,0</w:t>
            </w:r>
          </w:p>
        </w:tc>
      </w:tr>
      <w:tr w:rsidR="007C1749" w:rsidRPr="005252BB" w:rsidTr="006F54E8">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1002" w:type="pct"/>
            <w:noWrap/>
            <w:hideMark/>
          </w:tcPr>
          <w:p w:rsidR="005252BB" w:rsidRPr="006F54E8" w:rsidRDefault="005252BB" w:rsidP="005252BB">
            <w:pPr>
              <w:spacing w:after="0" w:line="240" w:lineRule="auto"/>
              <w:rPr>
                <w:rFonts w:ascii="Arial Narrow" w:hAnsi="Arial Narrow"/>
                <w:b w:val="0"/>
                <w:sz w:val="16"/>
                <w:szCs w:val="16"/>
              </w:rPr>
            </w:pPr>
            <w:r w:rsidRPr="006F54E8">
              <w:rPr>
                <w:rFonts w:ascii="Arial Narrow" w:hAnsi="Arial Narrow"/>
                <w:b w:val="0"/>
                <w:sz w:val="16"/>
                <w:szCs w:val="16"/>
              </w:rPr>
              <w:t>11.</w:t>
            </w:r>
          </w:p>
        </w:tc>
        <w:tc>
          <w:tcPr>
            <w:tcW w:w="732"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Švedska</w:t>
            </w:r>
          </w:p>
        </w:tc>
        <w:tc>
          <w:tcPr>
            <w:tcW w:w="406"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1,1</w:t>
            </w:r>
          </w:p>
        </w:tc>
        <w:tc>
          <w:tcPr>
            <w:tcW w:w="408"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1,1</w:t>
            </w:r>
          </w:p>
        </w:tc>
        <w:tc>
          <w:tcPr>
            <w:tcW w:w="409"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1,1</w:t>
            </w:r>
          </w:p>
        </w:tc>
        <w:tc>
          <w:tcPr>
            <w:tcW w:w="408"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1,1</w:t>
            </w:r>
          </w:p>
        </w:tc>
        <w:tc>
          <w:tcPr>
            <w:tcW w:w="409"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1,1</w:t>
            </w:r>
          </w:p>
        </w:tc>
        <w:tc>
          <w:tcPr>
            <w:tcW w:w="410"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1,1</w:t>
            </w:r>
          </w:p>
        </w:tc>
        <w:tc>
          <w:tcPr>
            <w:tcW w:w="409"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1,0</w:t>
            </w:r>
          </w:p>
        </w:tc>
        <w:tc>
          <w:tcPr>
            <w:tcW w:w="406"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1,0</w:t>
            </w:r>
          </w:p>
        </w:tc>
      </w:tr>
      <w:tr w:rsidR="007C1749" w:rsidRPr="005252BB" w:rsidTr="006F54E8">
        <w:trPr>
          <w:trHeight w:val="102"/>
        </w:trPr>
        <w:tc>
          <w:tcPr>
            <w:cnfStyle w:val="001000000000" w:firstRow="0" w:lastRow="0" w:firstColumn="1" w:lastColumn="0" w:oddVBand="0" w:evenVBand="0" w:oddHBand="0" w:evenHBand="0" w:firstRowFirstColumn="0" w:firstRowLastColumn="0" w:lastRowFirstColumn="0" w:lastRowLastColumn="0"/>
            <w:tcW w:w="1002" w:type="pct"/>
            <w:noWrap/>
            <w:hideMark/>
          </w:tcPr>
          <w:p w:rsidR="005252BB" w:rsidRPr="006F54E8" w:rsidRDefault="005252BB" w:rsidP="005252BB">
            <w:pPr>
              <w:spacing w:after="0" w:line="240" w:lineRule="auto"/>
              <w:rPr>
                <w:rFonts w:ascii="Arial Narrow" w:hAnsi="Arial Narrow"/>
                <w:b w:val="0"/>
                <w:sz w:val="16"/>
                <w:szCs w:val="16"/>
              </w:rPr>
            </w:pPr>
            <w:r w:rsidRPr="006F54E8">
              <w:rPr>
                <w:rFonts w:ascii="Arial Narrow" w:hAnsi="Arial Narrow"/>
                <w:b w:val="0"/>
                <w:sz w:val="16"/>
                <w:szCs w:val="16"/>
              </w:rPr>
              <w:t>12.</w:t>
            </w:r>
          </w:p>
        </w:tc>
        <w:tc>
          <w:tcPr>
            <w:tcW w:w="732"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Belgija</w:t>
            </w:r>
          </w:p>
        </w:tc>
        <w:tc>
          <w:tcPr>
            <w:tcW w:w="406"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1,0</w:t>
            </w:r>
          </w:p>
        </w:tc>
        <w:tc>
          <w:tcPr>
            <w:tcW w:w="408"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0,9</w:t>
            </w:r>
          </w:p>
        </w:tc>
        <w:tc>
          <w:tcPr>
            <w:tcW w:w="409"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0,9</w:t>
            </w:r>
          </w:p>
        </w:tc>
        <w:tc>
          <w:tcPr>
            <w:tcW w:w="408"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0,9</w:t>
            </w:r>
          </w:p>
        </w:tc>
        <w:tc>
          <w:tcPr>
            <w:tcW w:w="409"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0,9</w:t>
            </w:r>
          </w:p>
        </w:tc>
        <w:tc>
          <w:tcPr>
            <w:tcW w:w="410"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0,9</w:t>
            </w:r>
          </w:p>
        </w:tc>
        <w:tc>
          <w:tcPr>
            <w:tcW w:w="409"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0,9</w:t>
            </w:r>
          </w:p>
        </w:tc>
        <w:tc>
          <w:tcPr>
            <w:tcW w:w="406"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0,9</w:t>
            </w:r>
          </w:p>
        </w:tc>
      </w:tr>
      <w:tr w:rsidR="007C1749" w:rsidRPr="005252BB" w:rsidTr="006F54E8">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1002" w:type="pct"/>
            <w:noWrap/>
            <w:hideMark/>
          </w:tcPr>
          <w:p w:rsidR="005252BB" w:rsidRPr="006F54E8" w:rsidRDefault="005252BB" w:rsidP="005252BB">
            <w:pPr>
              <w:spacing w:after="0" w:line="240" w:lineRule="auto"/>
              <w:rPr>
                <w:rFonts w:ascii="Arial Narrow" w:hAnsi="Arial Narrow"/>
                <w:b w:val="0"/>
                <w:sz w:val="16"/>
                <w:szCs w:val="16"/>
              </w:rPr>
            </w:pPr>
            <w:r w:rsidRPr="006F54E8">
              <w:rPr>
                <w:rFonts w:ascii="Arial Narrow" w:hAnsi="Arial Narrow"/>
                <w:b w:val="0"/>
                <w:sz w:val="16"/>
                <w:szCs w:val="16"/>
              </w:rPr>
              <w:t>12.</w:t>
            </w:r>
          </w:p>
        </w:tc>
        <w:tc>
          <w:tcPr>
            <w:tcW w:w="732"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Nemčija</w:t>
            </w:r>
          </w:p>
        </w:tc>
        <w:tc>
          <w:tcPr>
            <w:tcW w:w="406"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0,8</w:t>
            </w:r>
          </w:p>
        </w:tc>
        <w:tc>
          <w:tcPr>
            <w:tcW w:w="408"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0,8</w:t>
            </w:r>
          </w:p>
        </w:tc>
        <w:tc>
          <w:tcPr>
            <w:tcW w:w="409"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0,8</w:t>
            </w:r>
          </w:p>
        </w:tc>
        <w:tc>
          <w:tcPr>
            <w:tcW w:w="408"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0,9</w:t>
            </w:r>
          </w:p>
        </w:tc>
        <w:tc>
          <w:tcPr>
            <w:tcW w:w="409"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0,9</w:t>
            </w:r>
          </w:p>
        </w:tc>
        <w:tc>
          <w:tcPr>
            <w:tcW w:w="410"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0,9</w:t>
            </w:r>
          </w:p>
        </w:tc>
        <w:tc>
          <w:tcPr>
            <w:tcW w:w="409"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0,9</w:t>
            </w:r>
          </w:p>
        </w:tc>
        <w:tc>
          <w:tcPr>
            <w:tcW w:w="406"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0,9</w:t>
            </w:r>
          </w:p>
        </w:tc>
      </w:tr>
      <w:tr w:rsidR="007C1749" w:rsidRPr="005252BB" w:rsidTr="006F54E8">
        <w:trPr>
          <w:trHeight w:val="102"/>
        </w:trPr>
        <w:tc>
          <w:tcPr>
            <w:cnfStyle w:val="001000000000" w:firstRow="0" w:lastRow="0" w:firstColumn="1" w:lastColumn="0" w:oddVBand="0" w:evenVBand="0" w:oddHBand="0" w:evenHBand="0" w:firstRowFirstColumn="0" w:firstRowLastColumn="0" w:lastRowFirstColumn="0" w:lastRowLastColumn="0"/>
            <w:tcW w:w="1002" w:type="pct"/>
            <w:noWrap/>
            <w:hideMark/>
          </w:tcPr>
          <w:p w:rsidR="005252BB" w:rsidRPr="006F54E8" w:rsidRDefault="005252BB" w:rsidP="005252BB">
            <w:pPr>
              <w:spacing w:after="0" w:line="240" w:lineRule="auto"/>
              <w:rPr>
                <w:rFonts w:ascii="Arial Narrow" w:hAnsi="Arial Narrow"/>
                <w:b w:val="0"/>
                <w:sz w:val="16"/>
                <w:szCs w:val="16"/>
              </w:rPr>
            </w:pPr>
            <w:r w:rsidRPr="006F54E8">
              <w:rPr>
                <w:rFonts w:ascii="Arial Narrow" w:hAnsi="Arial Narrow"/>
                <w:b w:val="0"/>
                <w:sz w:val="16"/>
                <w:szCs w:val="16"/>
              </w:rPr>
              <w:t>12.</w:t>
            </w:r>
          </w:p>
        </w:tc>
        <w:tc>
          <w:tcPr>
            <w:tcW w:w="732"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Finska</w:t>
            </w:r>
          </w:p>
        </w:tc>
        <w:tc>
          <w:tcPr>
            <w:tcW w:w="406"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1,0</w:t>
            </w:r>
          </w:p>
        </w:tc>
        <w:tc>
          <w:tcPr>
            <w:tcW w:w="408"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1,0</w:t>
            </w:r>
          </w:p>
        </w:tc>
        <w:tc>
          <w:tcPr>
            <w:tcW w:w="409"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1,0</w:t>
            </w:r>
          </w:p>
        </w:tc>
        <w:tc>
          <w:tcPr>
            <w:tcW w:w="408"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1,0</w:t>
            </w:r>
          </w:p>
        </w:tc>
        <w:tc>
          <w:tcPr>
            <w:tcW w:w="409"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1,0</w:t>
            </w:r>
          </w:p>
        </w:tc>
        <w:tc>
          <w:tcPr>
            <w:tcW w:w="410"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0,9</w:t>
            </w:r>
          </w:p>
        </w:tc>
        <w:tc>
          <w:tcPr>
            <w:tcW w:w="409"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0,9</w:t>
            </w:r>
          </w:p>
        </w:tc>
        <w:tc>
          <w:tcPr>
            <w:tcW w:w="406"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0,9</w:t>
            </w:r>
          </w:p>
        </w:tc>
      </w:tr>
      <w:tr w:rsidR="007C1749" w:rsidRPr="005252BB" w:rsidTr="006F54E8">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1002" w:type="pct"/>
            <w:noWrap/>
            <w:hideMark/>
          </w:tcPr>
          <w:p w:rsidR="005252BB" w:rsidRPr="006F54E8" w:rsidRDefault="005252BB" w:rsidP="005252BB">
            <w:pPr>
              <w:spacing w:after="0" w:line="240" w:lineRule="auto"/>
              <w:rPr>
                <w:rFonts w:ascii="Arial Narrow" w:hAnsi="Arial Narrow"/>
                <w:b w:val="0"/>
                <w:sz w:val="16"/>
                <w:szCs w:val="16"/>
              </w:rPr>
            </w:pPr>
            <w:r w:rsidRPr="006F54E8">
              <w:rPr>
                <w:rFonts w:ascii="Arial Narrow" w:hAnsi="Arial Narrow"/>
                <w:b w:val="0"/>
                <w:sz w:val="16"/>
                <w:szCs w:val="16"/>
              </w:rPr>
              <w:t>13.</w:t>
            </w:r>
          </w:p>
        </w:tc>
        <w:tc>
          <w:tcPr>
            <w:tcW w:w="732"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Irska</w:t>
            </w:r>
          </w:p>
        </w:tc>
        <w:tc>
          <w:tcPr>
            <w:tcW w:w="406"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1,0</w:t>
            </w:r>
          </w:p>
        </w:tc>
        <w:tc>
          <w:tcPr>
            <w:tcW w:w="408"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0,9</w:t>
            </w:r>
          </w:p>
        </w:tc>
        <w:tc>
          <w:tcPr>
            <w:tcW w:w="409"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0,6</w:t>
            </w:r>
          </w:p>
        </w:tc>
        <w:tc>
          <w:tcPr>
            <w:tcW w:w="408"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0,8</w:t>
            </w:r>
          </w:p>
        </w:tc>
        <w:tc>
          <w:tcPr>
            <w:tcW w:w="409"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0,9</w:t>
            </w:r>
          </w:p>
        </w:tc>
        <w:tc>
          <w:tcPr>
            <w:tcW w:w="410"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0,8</w:t>
            </w:r>
          </w:p>
        </w:tc>
        <w:tc>
          <w:tcPr>
            <w:tcW w:w="409"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0,8</w:t>
            </w:r>
          </w:p>
        </w:tc>
        <w:tc>
          <w:tcPr>
            <w:tcW w:w="406"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0,8</w:t>
            </w:r>
          </w:p>
        </w:tc>
      </w:tr>
      <w:tr w:rsidR="007C1749" w:rsidRPr="005252BB" w:rsidTr="006F54E8">
        <w:trPr>
          <w:trHeight w:val="102"/>
        </w:trPr>
        <w:tc>
          <w:tcPr>
            <w:cnfStyle w:val="001000000000" w:firstRow="0" w:lastRow="0" w:firstColumn="1" w:lastColumn="0" w:oddVBand="0" w:evenVBand="0" w:oddHBand="0" w:evenHBand="0" w:firstRowFirstColumn="0" w:firstRowLastColumn="0" w:lastRowFirstColumn="0" w:lastRowLastColumn="0"/>
            <w:tcW w:w="1002" w:type="pct"/>
            <w:noWrap/>
            <w:hideMark/>
          </w:tcPr>
          <w:p w:rsidR="005252BB" w:rsidRPr="006F54E8" w:rsidRDefault="005252BB" w:rsidP="005252BB">
            <w:pPr>
              <w:spacing w:after="0" w:line="240" w:lineRule="auto"/>
              <w:rPr>
                <w:rFonts w:ascii="Arial Narrow" w:hAnsi="Arial Narrow"/>
                <w:b w:val="0"/>
                <w:sz w:val="16"/>
                <w:szCs w:val="16"/>
              </w:rPr>
            </w:pPr>
            <w:r w:rsidRPr="006F54E8">
              <w:rPr>
                <w:rFonts w:ascii="Arial Narrow" w:hAnsi="Arial Narrow"/>
                <w:b w:val="0"/>
                <w:sz w:val="16"/>
                <w:szCs w:val="16"/>
              </w:rPr>
              <w:t>14.</w:t>
            </w:r>
          </w:p>
        </w:tc>
        <w:tc>
          <w:tcPr>
            <w:tcW w:w="732"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Italija</w:t>
            </w:r>
          </w:p>
        </w:tc>
        <w:tc>
          <w:tcPr>
            <w:tcW w:w="406"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0,8</w:t>
            </w:r>
          </w:p>
        </w:tc>
        <w:tc>
          <w:tcPr>
            <w:tcW w:w="408"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0,9</w:t>
            </w:r>
          </w:p>
        </w:tc>
        <w:tc>
          <w:tcPr>
            <w:tcW w:w="409"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0,7</w:t>
            </w:r>
          </w:p>
        </w:tc>
        <w:tc>
          <w:tcPr>
            <w:tcW w:w="408"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0,7</w:t>
            </w:r>
          </w:p>
        </w:tc>
        <w:tc>
          <w:tcPr>
            <w:tcW w:w="409"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0,7</w:t>
            </w:r>
          </w:p>
        </w:tc>
        <w:tc>
          <w:tcPr>
            <w:tcW w:w="410"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0,7</w:t>
            </w:r>
          </w:p>
        </w:tc>
        <w:tc>
          <w:tcPr>
            <w:tcW w:w="409"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0,7</w:t>
            </w:r>
          </w:p>
        </w:tc>
        <w:tc>
          <w:tcPr>
            <w:tcW w:w="406"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0,7</w:t>
            </w:r>
          </w:p>
        </w:tc>
      </w:tr>
      <w:tr w:rsidR="007C1749" w:rsidRPr="005252BB" w:rsidTr="006F54E8">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1002" w:type="pct"/>
            <w:noWrap/>
            <w:hideMark/>
          </w:tcPr>
          <w:p w:rsidR="005252BB" w:rsidRPr="006F54E8" w:rsidRDefault="005252BB" w:rsidP="005252BB">
            <w:pPr>
              <w:spacing w:after="0" w:line="240" w:lineRule="auto"/>
              <w:rPr>
                <w:rFonts w:ascii="Arial Narrow" w:hAnsi="Arial Narrow"/>
                <w:b w:val="0"/>
                <w:sz w:val="16"/>
                <w:szCs w:val="16"/>
              </w:rPr>
            </w:pPr>
            <w:r w:rsidRPr="006F54E8">
              <w:rPr>
                <w:rFonts w:ascii="Arial Narrow" w:hAnsi="Arial Narrow"/>
                <w:b w:val="0"/>
                <w:sz w:val="16"/>
                <w:szCs w:val="16"/>
              </w:rPr>
              <w:t>14.</w:t>
            </w:r>
          </w:p>
        </w:tc>
        <w:tc>
          <w:tcPr>
            <w:tcW w:w="732"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Ciper</w:t>
            </w:r>
          </w:p>
        </w:tc>
        <w:tc>
          <w:tcPr>
            <w:tcW w:w="406"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0,8</w:t>
            </w:r>
          </w:p>
        </w:tc>
        <w:tc>
          <w:tcPr>
            <w:tcW w:w="408"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0,9</w:t>
            </w:r>
          </w:p>
        </w:tc>
        <w:tc>
          <w:tcPr>
            <w:tcW w:w="409"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0,8</w:t>
            </w:r>
          </w:p>
        </w:tc>
        <w:tc>
          <w:tcPr>
            <w:tcW w:w="408"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0,9</w:t>
            </w:r>
          </w:p>
        </w:tc>
        <w:tc>
          <w:tcPr>
            <w:tcW w:w="409"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0,7</w:t>
            </w:r>
          </w:p>
        </w:tc>
        <w:tc>
          <w:tcPr>
            <w:tcW w:w="410"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0,7</w:t>
            </w:r>
          </w:p>
        </w:tc>
        <w:tc>
          <w:tcPr>
            <w:tcW w:w="409"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0,5</w:t>
            </w:r>
          </w:p>
        </w:tc>
        <w:tc>
          <w:tcPr>
            <w:tcW w:w="406"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0,7</w:t>
            </w:r>
          </w:p>
        </w:tc>
      </w:tr>
      <w:tr w:rsidR="007C1749" w:rsidRPr="005252BB" w:rsidTr="006F54E8">
        <w:trPr>
          <w:trHeight w:val="102"/>
        </w:trPr>
        <w:tc>
          <w:tcPr>
            <w:cnfStyle w:val="001000000000" w:firstRow="0" w:lastRow="0" w:firstColumn="1" w:lastColumn="0" w:oddVBand="0" w:evenVBand="0" w:oddHBand="0" w:evenHBand="0" w:firstRowFirstColumn="0" w:firstRowLastColumn="0" w:lastRowFirstColumn="0" w:lastRowLastColumn="0"/>
            <w:tcW w:w="1002" w:type="pct"/>
            <w:noWrap/>
            <w:hideMark/>
          </w:tcPr>
          <w:p w:rsidR="005252BB" w:rsidRPr="006F54E8" w:rsidRDefault="005252BB" w:rsidP="005252BB">
            <w:pPr>
              <w:spacing w:after="0" w:line="240" w:lineRule="auto"/>
              <w:rPr>
                <w:rFonts w:ascii="Arial Narrow" w:hAnsi="Arial Narrow"/>
                <w:b w:val="0"/>
                <w:sz w:val="16"/>
                <w:szCs w:val="16"/>
              </w:rPr>
            </w:pPr>
            <w:r w:rsidRPr="006F54E8">
              <w:rPr>
                <w:rFonts w:ascii="Arial Narrow" w:hAnsi="Arial Narrow"/>
                <w:b w:val="0"/>
                <w:sz w:val="16"/>
                <w:szCs w:val="16"/>
              </w:rPr>
              <w:t>15.</w:t>
            </w:r>
          </w:p>
        </w:tc>
        <w:tc>
          <w:tcPr>
            <w:tcW w:w="732"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Velika Britanija</w:t>
            </w:r>
          </w:p>
        </w:tc>
        <w:tc>
          <w:tcPr>
            <w:tcW w:w="406"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0,8</w:t>
            </w:r>
          </w:p>
        </w:tc>
        <w:tc>
          <w:tcPr>
            <w:tcW w:w="408"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0,7</w:t>
            </w:r>
          </w:p>
        </w:tc>
        <w:tc>
          <w:tcPr>
            <w:tcW w:w="409"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0,7</w:t>
            </w:r>
          </w:p>
        </w:tc>
        <w:tc>
          <w:tcPr>
            <w:tcW w:w="408"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0,7</w:t>
            </w:r>
          </w:p>
        </w:tc>
        <w:tc>
          <w:tcPr>
            <w:tcW w:w="409"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0,7</w:t>
            </w:r>
          </w:p>
        </w:tc>
        <w:tc>
          <w:tcPr>
            <w:tcW w:w="410"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0,6</w:t>
            </w:r>
          </w:p>
        </w:tc>
        <w:tc>
          <w:tcPr>
            <w:tcW w:w="409"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0,6</w:t>
            </w:r>
          </w:p>
        </w:tc>
        <w:tc>
          <w:tcPr>
            <w:tcW w:w="406"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0,6</w:t>
            </w:r>
          </w:p>
        </w:tc>
      </w:tr>
      <w:tr w:rsidR="007C1749" w:rsidRPr="005252BB" w:rsidTr="006F54E8">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1002" w:type="pct"/>
            <w:noWrap/>
            <w:hideMark/>
          </w:tcPr>
          <w:p w:rsidR="005252BB" w:rsidRPr="006F54E8" w:rsidRDefault="005252BB" w:rsidP="005252BB">
            <w:pPr>
              <w:spacing w:after="0" w:line="240" w:lineRule="auto"/>
              <w:rPr>
                <w:rFonts w:ascii="Arial Narrow" w:hAnsi="Arial Narrow"/>
                <w:b w:val="0"/>
                <w:sz w:val="16"/>
                <w:szCs w:val="16"/>
              </w:rPr>
            </w:pPr>
            <w:r w:rsidRPr="006F54E8">
              <w:rPr>
                <w:rFonts w:ascii="Arial Narrow" w:hAnsi="Arial Narrow"/>
                <w:b w:val="0"/>
                <w:sz w:val="16"/>
                <w:szCs w:val="16"/>
              </w:rPr>
              <w:t>16.</w:t>
            </w:r>
          </w:p>
        </w:tc>
        <w:tc>
          <w:tcPr>
            <w:tcW w:w="732"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Portugalska</w:t>
            </w:r>
          </w:p>
        </w:tc>
        <w:tc>
          <w:tcPr>
            <w:tcW w:w="406"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0,8</w:t>
            </w:r>
          </w:p>
        </w:tc>
        <w:tc>
          <w:tcPr>
            <w:tcW w:w="408"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0,8</w:t>
            </w:r>
          </w:p>
        </w:tc>
        <w:tc>
          <w:tcPr>
            <w:tcW w:w="409"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0,8</w:t>
            </w:r>
          </w:p>
        </w:tc>
        <w:tc>
          <w:tcPr>
            <w:tcW w:w="408"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0,7</w:t>
            </w:r>
          </w:p>
        </w:tc>
        <w:tc>
          <w:tcPr>
            <w:tcW w:w="409"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0,6</w:t>
            </w:r>
          </w:p>
        </w:tc>
        <w:tc>
          <w:tcPr>
            <w:tcW w:w="410"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0,6</w:t>
            </w:r>
          </w:p>
        </w:tc>
        <w:tc>
          <w:tcPr>
            <w:tcW w:w="409"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0,4</w:t>
            </w:r>
          </w:p>
        </w:tc>
        <w:tc>
          <w:tcPr>
            <w:tcW w:w="406" w:type="pct"/>
            <w:noWrap/>
            <w:hideMark/>
          </w:tcPr>
          <w:p w:rsidR="005252BB" w:rsidRPr="005252BB" w:rsidRDefault="005252BB" w:rsidP="005252B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0,5</w:t>
            </w:r>
          </w:p>
        </w:tc>
      </w:tr>
      <w:tr w:rsidR="007C1749" w:rsidRPr="005252BB" w:rsidTr="006F54E8">
        <w:trPr>
          <w:trHeight w:val="102"/>
        </w:trPr>
        <w:tc>
          <w:tcPr>
            <w:cnfStyle w:val="001000000000" w:firstRow="0" w:lastRow="0" w:firstColumn="1" w:lastColumn="0" w:oddVBand="0" w:evenVBand="0" w:oddHBand="0" w:evenHBand="0" w:firstRowFirstColumn="0" w:firstRowLastColumn="0" w:lastRowFirstColumn="0" w:lastRowLastColumn="0"/>
            <w:tcW w:w="1002" w:type="pct"/>
            <w:noWrap/>
            <w:hideMark/>
          </w:tcPr>
          <w:p w:rsidR="005252BB" w:rsidRPr="006F54E8" w:rsidRDefault="005252BB" w:rsidP="005252BB">
            <w:pPr>
              <w:spacing w:after="0" w:line="240" w:lineRule="auto"/>
              <w:rPr>
                <w:rFonts w:ascii="Arial Narrow" w:hAnsi="Arial Narrow"/>
                <w:b w:val="0"/>
                <w:sz w:val="16"/>
                <w:szCs w:val="16"/>
              </w:rPr>
            </w:pPr>
            <w:r w:rsidRPr="006F54E8">
              <w:rPr>
                <w:rFonts w:ascii="Arial Narrow" w:hAnsi="Arial Narrow"/>
                <w:b w:val="0"/>
                <w:sz w:val="16"/>
                <w:szCs w:val="16"/>
              </w:rPr>
              <w:t>17.</w:t>
            </w:r>
          </w:p>
        </w:tc>
        <w:tc>
          <w:tcPr>
            <w:tcW w:w="732"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Grčija</w:t>
            </w:r>
          </w:p>
        </w:tc>
        <w:tc>
          <w:tcPr>
            <w:tcW w:w="406"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0,3</w:t>
            </w:r>
          </w:p>
        </w:tc>
        <w:tc>
          <w:tcPr>
            <w:tcW w:w="408"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0,2</w:t>
            </w:r>
          </w:p>
        </w:tc>
        <w:tc>
          <w:tcPr>
            <w:tcW w:w="409"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0,1</w:t>
            </w:r>
          </w:p>
        </w:tc>
        <w:tc>
          <w:tcPr>
            <w:tcW w:w="408"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0,2</w:t>
            </w:r>
          </w:p>
        </w:tc>
        <w:tc>
          <w:tcPr>
            <w:tcW w:w="409"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0,2</w:t>
            </w:r>
          </w:p>
        </w:tc>
        <w:tc>
          <w:tcPr>
            <w:tcW w:w="410"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0,2</w:t>
            </w:r>
          </w:p>
        </w:tc>
        <w:tc>
          <w:tcPr>
            <w:tcW w:w="409"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0,2</w:t>
            </w:r>
          </w:p>
        </w:tc>
        <w:tc>
          <w:tcPr>
            <w:tcW w:w="406" w:type="pct"/>
            <w:noWrap/>
            <w:hideMark/>
          </w:tcPr>
          <w:p w:rsidR="005252BB" w:rsidRPr="005252BB" w:rsidRDefault="005252BB" w:rsidP="005252B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5252BB">
              <w:rPr>
                <w:rFonts w:ascii="Arial Narrow" w:hAnsi="Arial Narrow"/>
                <w:sz w:val="16"/>
                <w:szCs w:val="16"/>
              </w:rPr>
              <w:t>0,2</w:t>
            </w:r>
          </w:p>
        </w:tc>
      </w:tr>
    </w:tbl>
    <w:p w:rsidR="004B3ABB" w:rsidRDefault="004B3ABB" w:rsidP="005C43D4">
      <w:pPr>
        <w:pStyle w:val="Podpispodtabeloaligrafom"/>
      </w:pPr>
      <w:r w:rsidRPr="00915E35">
        <w:t xml:space="preserve">Vir: </w:t>
      </w:r>
      <w:proofErr w:type="spellStart"/>
      <w:r w:rsidRPr="00915E35">
        <w:t>Eurostat</w:t>
      </w:r>
      <w:proofErr w:type="spellEnd"/>
      <w:r w:rsidR="005252BB">
        <w:t>.</w:t>
      </w:r>
    </w:p>
    <w:p w:rsidR="00367B4B" w:rsidRDefault="00367B4B" w:rsidP="004B3ABB"/>
    <w:p w:rsidR="004F779D" w:rsidRDefault="008C1124" w:rsidP="00512FBD">
      <w:pPr>
        <w:pStyle w:val="Podnaslov2"/>
      </w:pPr>
      <w:bookmarkStart w:id="60" w:name="_Toc477339471"/>
      <w:bookmarkStart w:id="61" w:name="_Toc477339727"/>
      <w:bookmarkStart w:id="62" w:name="_Toc477339895"/>
      <w:bookmarkStart w:id="63" w:name="_Toc489859810"/>
      <w:bookmarkStart w:id="64" w:name="_Toc490047573"/>
      <w:bookmarkStart w:id="65" w:name="_Toc490599938"/>
      <w:bookmarkStart w:id="66" w:name="_Toc506192067"/>
      <w:r>
        <w:t>Nacionalni j</w:t>
      </w:r>
      <w:r w:rsidR="004F779D">
        <w:t xml:space="preserve">avni izdatki za </w:t>
      </w:r>
      <w:r w:rsidR="006D5D69">
        <w:t xml:space="preserve">storitve radia, televizije in </w:t>
      </w:r>
      <w:r w:rsidR="00017437">
        <w:t>založništva</w:t>
      </w:r>
      <w:bookmarkEnd w:id="60"/>
      <w:bookmarkEnd w:id="61"/>
      <w:bookmarkEnd w:id="62"/>
      <w:bookmarkEnd w:id="63"/>
      <w:bookmarkEnd w:id="64"/>
      <w:bookmarkEnd w:id="65"/>
      <w:bookmarkEnd w:id="66"/>
    </w:p>
    <w:p w:rsidR="004F779D" w:rsidRDefault="004F779D" w:rsidP="004352C0">
      <w:r w:rsidRPr="004F779D">
        <w:t xml:space="preserve">V javne izdatke na področju kulture poleg izdatkov za kulturne </w:t>
      </w:r>
      <w:r w:rsidR="00E55470">
        <w:t>storitve</w:t>
      </w:r>
      <w:r w:rsidRPr="004F779D">
        <w:t xml:space="preserve"> sodijo še javni iz</w:t>
      </w:r>
      <w:r w:rsidR="0017044D">
        <w:t>datki za RTV in založništvo (enovita</w:t>
      </w:r>
      <w:r w:rsidRPr="004F779D">
        <w:t xml:space="preserve"> skupina), ki pa jih ne obravnavajo vse države na enak način; oziroma, nekatere izdatkov za </w:t>
      </w:r>
      <w:r w:rsidR="007C5AAB">
        <w:t>nacionalno</w:t>
      </w:r>
      <w:r w:rsidRPr="004F779D">
        <w:t xml:space="preserve"> televizijo in radio ne štejejo med javne izdatke</w:t>
      </w:r>
      <w:r w:rsidR="00CC3D3A">
        <w:t>,</w:t>
      </w:r>
      <w:r w:rsidR="00B16087">
        <w:t xml:space="preserve"> ampak jih obravnavajo kot </w:t>
      </w:r>
      <w:r w:rsidR="00C225D9">
        <w:t xml:space="preserve">tržni </w:t>
      </w:r>
      <w:r w:rsidR="00B16087">
        <w:t xml:space="preserve">prihodek </w:t>
      </w:r>
      <w:r w:rsidR="00C225D9">
        <w:t>nacionalnih RTV-jev, čeprav jih zbira</w:t>
      </w:r>
      <w:r w:rsidRPr="004F779D">
        <w:t xml:space="preserve">jo na podoben način kot Slovenija, tj. z obveznim prispevkom gospodinjstev. Zato podatki o javnih izdatkih za RTV niso mednarodno primerljivi, kar povzroča tudi neprimerljivost podatkov o javnih izdatkih za založništvo, ker jih </w:t>
      </w:r>
      <w:r>
        <w:t>državne</w:t>
      </w:r>
      <w:r w:rsidRPr="004F779D">
        <w:t xml:space="preserve"> statistike prikazujejo v isti skupini.</w:t>
      </w:r>
      <w:r>
        <w:t xml:space="preserve"> </w:t>
      </w:r>
      <w:r w:rsidR="00C522CF">
        <w:t>To je razlog, da</w:t>
      </w:r>
      <w:r>
        <w:t xml:space="preserve"> </w:t>
      </w:r>
      <w:r w:rsidR="00A323D1">
        <w:t xml:space="preserve">javne izdatke za </w:t>
      </w:r>
      <w:r w:rsidR="00017437">
        <w:t xml:space="preserve">storitve radia, televizije </w:t>
      </w:r>
      <w:r w:rsidR="00A323D1">
        <w:t>in založništv</w:t>
      </w:r>
      <w:r w:rsidR="00017437">
        <w:t xml:space="preserve">a </w:t>
      </w:r>
      <w:r w:rsidR="00A323D1">
        <w:t>obravnavamo ločeno in jih ne prikazujemo v mednarodnem kontekstu.</w:t>
      </w:r>
    </w:p>
    <w:p w:rsidR="00805ED2" w:rsidRDefault="0062441F" w:rsidP="0062441F">
      <w:r>
        <w:t xml:space="preserve">Leta 2015 so javni izdatki za storitve radia, televizije in založništva znašali slabih </w:t>
      </w:r>
      <w:r w:rsidR="00D84F93">
        <w:t xml:space="preserve">0,3 % </w:t>
      </w:r>
      <w:r w:rsidR="00CC3D3A">
        <w:t>bruto družbenega proizvoda</w:t>
      </w:r>
      <w:r w:rsidR="00D84F93">
        <w:t xml:space="preserve"> oz. 0,7 % vseh javnih izdatkov oz. </w:t>
      </w:r>
      <w:r>
        <w:t>133 milijonov evrov (graf</w:t>
      </w:r>
      <w:r w:rsidR="00CA2762">
        <w:t xml:space="preserve"> 10</w:t>
      </w:r>
      <w:r w:rsidR="00D84F93">
        <w:t>).</w:t>
      </w:r>
      <w:r w:rsidR="00805ED2">
        <w:t xml:space="preserve"> </w:t>
      </w:r>
      <w:r w:rsidR="00D84F93">
        <w:t xml:space="preserve">To </w:t>
      </w:r>
      <w:r w:rsidR="00805ED2">
        <w:t xml:space="preserve">je skoraj 15 milijonov evrov manj kot v letu 2008 oz. 28 milijonov manj kot v letu 2010, ko so bila </w:t>
      </w:r>
      <w:r w:rsidR="007C5AAB">
        <w:t xml:space="preserve">sredstva </w:t>
      </w:r>
      <w:r w:rsidR="00805ED2">
        <w:t xml:space="preserve">najvišja. </w:t>
      </w:r>
    </w:p>
    <w:p w:rsidR="0062441F" w:rsidRDefault="00805ED2" w:rsidP="0062441F">
      <w:r>
        <w:t>Lokalne skupnos</w:t>
      </w:r>
      <w:r w:rsidR="00BB4E21">
        <w:t>ti prispevajo za storitve radia,</w:t>
      </w:r>
      <w:r>
        <w:t xml:space="preserve"> televizije in založništva le malo. </w:t>
      </w:r>
      <w:r w:rsidR="00B26B0A">
        <w:t>Veliko v</w:t>
      </w:r>
      <w:r w:rsidR="0062441F">
        <w:t xml:space="preserve">ečino </w:t>
      </w:r>
      <w:r>
        <w:t>izdatkov</w:t>
      </w:r>
      <w:r w:rsidR="00B26B0A">
        <w:t xml:space="preserve"> </w:t>
      </w:r>
      <w:r w:rsidR="0062441F">
        <w:t>predstavljajo odhodki nacionaln</w:t>
      </w:r>
      <w:r w:rsidR="00B26B0A">
        <w:t>ega radia in televizije</w:t>
      </w:r>
      <w:r>
        <w:t>:</w:t>
      </w:r>
      <w:r w:rsidR="00B26B0A">
        <w:t xml:space="preserve"> </w:t>
      </w:r>
      <w:r w:rsidR="0062441F">
        <w:t xml:space="preserve">Ministrstvo za kulturo (oz. Javna agencija za knjigo) </w:t>
      </w:r>
      <w:r>
        <w:t xml:space="preserve">je leta </w:t>
      </w:r>
      <w:r w:rsidRPr="00805ED2">
        <w:t>2015</w:t>
      </w:r>
      <w:r w:rsidR="00B26B0A">
        <w:t xml:space="preserve"> za založništvo namenilo 4,6 milijona</w:t>
      </w:r>
      <w:r w:rsidR="0062441F">
        <w:t xml:space="preserve"> evrov, prihodki od RTV prispevka (ki so kasneje postali izdatki) so znašali </w:t>
      </w:r>
      <w:r w:rsidR="00B26B0A">
        <w:t>93,5 milijonov</w:t>
      </w:r>
      <w:r w:rsidR="0062441F">
        <w:t xml:space="preserve"> evrov, celotni </w:t>
      </w:r>
      <w:r w:rsidR="00CC3D3A">
        <w:t>izdatki</w:t>
      </w:r>
      <w:r w:rsidR="0062441F">
        <w:t xml:space="preserve"> RTV</w:t>
      </w:r>
      <w:r w:rsidR="00B26B0A">
        <w:t xml:space="preserve"> pa 127,3 milijone</w:t>
      </w:r>
      <w:r w:rsidR="0062441F">
        <w:t xml:space="preserve"> evrov (</w:t>
      </w:r>
      <w:hyperlink r:id="rId18" w:history="1">
        <w:r w:rsidR="0062441F" w:rsidRPr="002F7FAD">
          <w:rPr>
            <w:rStyle w:val="Hiperpovezava"/>
          </w:rPr>
          <w:t>Letno poročilo RTV Slovenija 2015</w:t>
        </w:r>
      </w:hyperlink>
      <w:r>
        <w:t>).</w:t>
      </w:r>
    </w:p>
    <w:p w:rsidR="006F54E8" w:rsidRDefault="006F54E8">
      <w:pPr>
        <w:rPr>
          <w:b/>
        </w:rPr>
      </w:pPr>
      <w:bookmarkStart w:id="67" w:name="_Toc477339473"/>
      <w:bookmarkStart w:id="68" w:name="_Toc477339729"/>
      <w:bookmarkStart w:id="69" w:name="_Toc477339897"/>
      <w:bookmarkStart w:id="70" w:name="_Toc490053350"/>
      <w:bookmarkStart w:id="71" w:name="_Toc490053721"/>
      <w:r>
        <w:br w:type="page"/>
      </w:r>
    </w:p>
    <w:p w:rsidR="007C1749" w:rsidRPr="007C1749" w:rsidRDefault="00175C6F" w:rsidP="007C1749">
      <w:pPr>
        <w:pStyle w:val="Naslovtabele"/>
      </w:pPr>
      <w:bookmarkStart w:id="72" w:name="_Toc490599993"/>
      <w:r>
        <w:lastRenderedPageBreak/>
        <w:t>Graf</w:t>
      </w:r>
      <w:r w:rsidR="00834B2E">
        <w:t xml:space="preserve"> 10</w:t>
      </w:r>
      <w:r w:rsidR="00F52C09" w:rsidRPr="00F358C1">
        <w:t>: Javni izdatki za storitve radia, televizije in z</w:t>
      </w:r>
      <w:r w:rsidR="00892C9B">
        <w:t>aložništva</w:t>
      </w:r>
      <w:r w:rsidR="00120C01">
        <w:t xml:space="preserve"> </w:t>
      </w:r>
      <w:r w:rsidR="00237893">
        <w:t>(</w:t>
      </w:r>
      <w:r w:rsidR="00892C9B" w:rsidRPr="00972C48">
        <w:t>200</w:t>
      </w:r>
      <w:r w:rsidR="00972C48" w:rsidRPr="00972C48">
        <w:t>8</w:t>
      </w:r>
      <w:r w:rsidR="00892C9B">
        <w:t>–2015</w:t>
      </w:r>
      <w:bookmarkEnd w:id="67"/>
      <w:bookmarkEnd w:id="68"/>
      <w:bookmarkEnd w:id="69"/>
      <w:r w:rsidR="00237893">
        <w:t>)</w:t>
      </w:r>
      <w:r w:rsidR="006F76AB">
        <w:t>*</w:t>
      </w:r>
      <w:bookmarkEnd w:id="70"/>
      <w:bookmarkEnd w:id="71"/>
      <w:bookmarkEnd w:id="72"/>
    </w:p>
    <w:p w:rsidR="00D84F93" w:rsidRDefault="00D84F93" w:rsidP="00F52C09">
      <w:r>
        <w:rPr>
          <w:noProof/>
          <w:lang w:eastAsia="sl-SI"/>
        </w:rPr>
        <w:drawing>
          <wp:inline distT="0" distB="0" distL="0" distR="0" wp14:anchorId="1E3F3AEE" wp14:editId="7AC478DA">
            <wp:extent cx="6191250" cy="2743200"/>
            <wp:effectExtent l="0" t="0" r="6350" b="0"/>
            <wp:docPr id="31" name="Grafikon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D84F93" w:rsidRDefault="00D84F93" w:rsidP="00DE1E54">
      <w:pPr>
        <w:pStyle w:val="Podpispodtabeloaligrafom"/>
        <w:spacing w:after="0"/>
      </w:pPr>
      <w:r w:rsidRPr="00E87C93">
        <w:t>Vir: Statistični urad Republike Slovenije</w:t>
      </w:r>
      <w:r w:rsidR="002816A9">
        <w:t>.</w:t>
      </w:r>
      <w:r>
        <w:t xml:space="preserve"> (</w:t>
      </w:r>
      <w:r w:rsidRPr="00E87C93">
        <w:t>Podatki pred letom 2007 so preračunani v evre po fiksnem</w:t>
      </w:r>
      <w:r>
        <w:t xml:space="preserve"> t</w:t>
      </w:r>
      <w:r w:rsidR="002816A9">
        <w:t>ečaju 1 evro = 239,64 tolarja.)</w:t>
      </w:r>
    </w:p>
    <w:p w:rsidR="00DC0ADC" w:rsidRDefault="00DC0ADC" w:rsidP="00D84F93">
      <w:pPr>
        <w:pStyle w:val="Podpispodtabeloaligrafom"/>
      </w:pPr>
      <w:r w:rsidRPr="00C522CF">
        <w:t>*Zneski v stolpcu »država«</w:t>
      </w:r>
      <w:r>
        <w:t xml:space="preserve"> (skupaj državni proračun in proračuni lokalnih skupnosti)</w:t>
      </w:r>
      <w:r w:rsidRPr="00C522CF">
        <w:t xml:space="preserve"> so nižji od vsote zneskov »centralna država«</w:t>
      </w:r>
      <w:r>
        <w:t xml:space="preserve"> (državni proračun)</w:t>
      </w:r>
      <w:r w:rsidRPr="00C522CF">
        <w:t xml:space="preserve"> in »lokalna država«</w:t>
      </w:r>
      <w:r>
        <w:t xml:space="preserve"> (proračuni lokalnih skupnosti)</w:t>
      </w:r>
      <w:r w:rsidRPr="00C522CF">
        <w:t xml:space="preserve"> </w:t>
      </w:r>
      <w:r w:rsidR="001711FE">
        <w:t>predvsem</w:t>
      </w:r>
      <w:r w:rsidRPr="00C522CF">
        <w:t xml:space="preserve"> zato, ker </w:t>
      </w:r>
      <w:r w:rsidR="00CC3D3A">
        <w:t>ne vsebujejo izdatkov</w:t>
      </w:r>
      <w:r w:rsidRPr="00C522CF">
        <w:t xml:space="preserve"> iz lokalnih proračunov, ki so bili prilivi iz državnega.</w:t>
      </w:r>
    </w:p>
    <w:p w:rsidR="00D84F93" w:rsidRDefault="00D84F93" w:rsidP="00F52C09"/>
    <w:p w:rsidR="00A53117" w:rsidRDefault="008C1124" w:rsidP="00512FBD">
      <w:pPr>
        <w:pStyle w:val="Podnaslov2"/>
      </w:pPr>
      <w:bookmarkStart w:id="73" w:name="_Toc477339475"/>
      <w:bookmarkStart w:id="74" w:name="_Toc477339731"/>
      <w:bookmarkStart w:id="75" w:name="_Toc477339899"/>
      <w:bookmarkStart w:id="76" w:name="_Toc489859811"/>
      <w:bookmarkStart w:id="77" w:name="_Toc490047574"/>
      <w:bookmarkStart w:id="78" w:name="_Toc490599939"/>
      <w:bookmarkStart w:id="79" w:name="_Toc506192068"/>
      <w:r>
        <w:t>Nacionalni j</w:t>
      </w:r>
      <w:r w:rsidR="00A53117">
        <w:t>avni izdatki za kulturne storitve v primerjavi z izdatki</w:t>
      </w:r>
      <w:r w:rsidR="00F37A49">
        <w:t xml:space="preserve"> za druga področja</w:t>
      </w:r>
      <w:bookmarkEnd w:id="73"/>
      <w:bookmarkEnd w:id="74"/>
      <w:bookmarkEnd w:id="75"/>
      <w:bookmarkEnd w:id="76"/>
      <w:bookmarkEnd w:id="77"/>
      <w:bookmarkEnd w:id="78"/>
      <w:bookmarkEnd w:id="79"/>
    </w:p>
    <w:p w:rsidR="00B45DB6" w:rsidRDefault="00155460" w:rsidP="004352C0">
      <w:r>
        <w:t>O p</w:t>
      </w:r>
      <w:r w:rsidR="00436259">
        <w:t>omen</w:t>
      </w:r>
      <w:r>
        <w:t>u</w:t>
      </w:r>
      <w:r w:rsidR="000E5D09">
        <w:t xml:space="preserve">, ki ga </w:t>
      </w:r>
      <w:r>
        <w:t>določenemu področju</w:t>
      </w:r>
      <w:r w:rsidR="00436259">
        <w:t xml:space="preserve"> </w:t>
      </w:r>
      <w:r>
        <w:t>pripisujeta državna in lokalna politika</w:t>
      </w:r>
      <w:r w:rsidR="00436259">
        <w:t xml:space="preserve">, je mogoče </w:t>
      </w:r>
      <w:r>
        <w:t xml:space="preserve">sklepati tudi </w:t>
      </w:r>
      <w:r w:rsidR="00981242">
        <w:t xml:space="preserve">iz </w:t>
      </w:r>
      <w:r>
        <w:t xml:space="preserve">obsega sredstev, ki mu </w:t>
      </w:r>
      <w:r w:rsidR="00A0329A">
        <w:t>jih</w:t>
      </w:r>
      <w:r>
        <w:t xml:space="preserve"> namenja</w:t>
      </w:r>
      <w:r w:rsidR="00A0329A">
        <w:t>ta</w:t>
      </w:r>
      <w:r>
        <w:t xml:space="preserve"> v primerjavi z drugimi področji</w:t>
      </w:r>
      <w:r w:rsidR="00436259">
        <w:t>. Zato v nadaljevanju primerjamo javne izdatke za kulturne storitve z javnim</w:t>
      </w:r>
      <w:r w:rsidR="00A03C8A">
        <w:t>i</w:t>
      </w:r>
      <w:r w:rsidR="00436259">
        <w:t xml:space="preserve"> izdatki za druga področja. </w:t>
      </w:r>
    </w:p>
    <w:p w:rsidR="00436259" w:rsidRPr="00436259" w:rsidRDefault="00436259" w:rsidP="004352C0">
      <w:r>
        <w:t>Uporabili bomo</w:t>
      </w:r>
      <w:r w:rsidR="00B45DB6">
        <w:t xml:space="preserve"> podatke za leto 2008 in</w:t>
      </w:r>
      <w:r>
        <w:t xml:space="preserve"> zadnje dostopne podatke (iz leta 2015</w:t>
      </w:r>
      <w:r w:rsidR="000E5D09">
        <w:t xml:space="preserve"> za </w:t>
      </w:r>
      <w:r w:rsidR="00A0329A">
        <w:t>državni in lokalne proračune skupaj</w:t>
      </w:r>
      <w:r>
        <w:t>) zbrane z enako metodologijo (COFOG)</w:t>
      </w:r>
      <w:r>
        <w:rPr>
          <w:rStyle w:val="Sprotnaopomba-sklic"/>
        </w:rPr>
        <w:footnoteReference w:id="15"/>
      </w:r>
      <w:r>
        <w:t xml:space="preserve"> kot podatki, ki smo jih </w:t>
      </w:r>
      <w:r w:rsidR="000E5D09">
        <w:t>predstavljali</w:t>
      </w:r>
      <w:r>
        <w:t xml:space="preserve"> doslej.</w:t>
      </w:r>
    </w:p>
    <w:p w:rsidR="001C5708" w:rsidRDefault="00B45DB6" w:rsidP="00C236C3">
      <w:r w:rsidRPr="001C5708">
        <w:t>Slovenija je leta 2008</w:t>
      </w:r>
      <w:r w:rsidR="00EB27C9" w:rsidRPr="001C5708">
        <w:t xml:space="preserve"> za kulturne storitve namenila 301,3 milijone evrov, za storitve radia, televizije in</w:t>
      </w:r>
      <w:r w:rsidR="00EB27C9">
        <w:t xml:space="preserve"> založništva pa 147,6 milijonov. </w:t>
      </w:r>
      <w:r w:rsidR="00EB27C9" w:rsidRPr="001C5708">
        <w:rPr>
          <w:u w:val="single"/>
        </w:rPr>
        <w:t>Na hierarhični lestvici javnih izdatkov, ki ima 69 mest, so bile kulturne storitve na 16.</w:t>
      </w:r>
      <w:r w:rsidR="00A071AF">
        <w:rPr>
          <w:u w:val="single"/>
        </w:rPr>
        <w:t>-</w:t>
      </w:r>
      <w:r w:rsidR="00EB27C9" w:rsidRPr="001C5708">
        <w:rPr>
          <w:u w:val="single"/>
        </w:rPr>
        <w:t xml:space="preserve">, storitve radia, televizije in založništva pa na 25. mestu. </w:t>
      </w:r>
      <w:r w:rsidR="00EB27C9" w:rsidRPr="00EB27C9">
        <w:t>Več javnih sredstev kot za kulturne storitve je država namenila</w:t>
      </w:r>
      <w:r w:rsidR="00EB27C9">
        <w:t xml:space="preserve"> za starost (pokojnine), izvršilne in zakonodajne organe, bolnišnične </w:t>
      </w:r>
      <w:r w:rsidR="001C5708">
        <w:t xml:space="preserve">in </w:t>
      </w:r>
      <w:proofErr w:type="spellStart"/>
      <w:r w:rsidR="001C5708">
        <w:t>izvenbolnišnične</w:t>
      </w:r>
      <w:proofErr w:type="spellEnd"/>
      <w:r w:rsidR="001C5708">
        <w:t xml:space="preserve"> </w:t>
      </w:r>
      <w:r w:rsidR="00EB27C9">
        <w:t>storitve</w:t>
      </w:r>
      <w:r w:rsidR="001C5708">
        <w:t xml:space="preserve"> ter medicinske proizvode, medicinske pripomočke in medicinsko opremo</w:t>
      </w:r>
      <w:r w:rsidR="00EB27C9">
        <w:t>, bolezen in invalidnost (bolniška nadomestila, invalidske pokojnine), transport (</w:t>
      </w:r>
      <w:r w:rsidR="00EB27C9" w:rsidRPr="00EB27C9">
        <w:t>izdatki za ceste, železnice, zračni in vodni promet ter komunikacije</w:t>
      </w:r>
      <w:r w:rsidR="00EB27C9">
        <w:t>), različne ravni izobraževanja (</w:t>
      </w:r>
      <w:r w:rsidR="00393AD9">
        <w:t xml:space="preserve">vrtci, osnovne in srednje šole ter univerze), družine in otroke </w:t>
      </w:r>
      <w:r w:rsidR="00393AD9" w:rsidRPr="00393AD9">
        <w:t>(otroški dodatki, porodniška in starševska nadomestila, subvencije staršem za vrtce)</w:t>
      </w:r>
      <w:r w:rsidR="00393AD9">
        <w:t>, servisiranje javnega dolga, policijo in voj</w:t>
      </w:r>
      <w:r w:rsidR="001C5708">
        <w:t xml:space="preserve">aško obrambo. </w:t>
      </w:r>
    </w:p>
    <w:p w:rsidR="00B45DB6" w:rsidRDefault="0078130E" w:rsidP="0078130E">
      <w:pPr>
        <w:pStyle w:val="Naslovtabele"/>
      </w:pPr>
      <w:bookmarkStart w:id="80" w:name="_Toc490053351"/>
      <w:bookmarkStart w:id="81" w:name="_Toc490053722"/>
      <w:bookmarkStart w:id="82" w:name="_Toc490599994"/>
      <w:r>
        <w:t>Tabel</w:t>
      </w:r>
      <w:r w:rsidR="004C72B7">
        <w:t>a 6</w:t>
      </w:r>
      <w:r w:rsidR="00A071AF">
        <w:t>: Hierarhija javnih izdatkov</w:t>
      </w:r>
      <w:r>
        <w:t xml:space="preserve"> </w:t>
      </w:r>
      <w:r w:rsidR="00610BDE">
        <w:t>(2008</w:t>
      </w:r>
      <w:r>
        <w:t>)</w:t>
      </w:r>
      <w:r w:rsidR="006F76AB">
        <w:t>*</w:t>
      </w:r>
      <w:bookmarkEnd w:id="80"/>
      <w:bookmarkEnd w:id="81"/>
      <w:bookmarkEnd w:id="82"/>
    </w:p>
    <w:tbl>
      <w:tblPr>
        <w:tblStyle w:val="Svetelseznampoudarek3"/>
        <w:tblW w:w="0" w:type="auto"/>
        <w:tblLook w:val="04A0" w:firstRow="1" w:lastRow="0" w:firstColumn="1" w:lastColumn="0" w:noHBand="0" w:noVBand="1"/>
      </w:tblPr>
      <w:tblGrid>
        <w:gridCol w:w="1100"/>
        <w:gridCol w:w="3683"/>
        <w:gridCol w:w="3675"/>
        <w:gridCol w:w="1498"/>
      </w:tblGrid>
      <w:tr w:rsidR="00610BDE" w:rsidRPr="00610BDE" w:rsidTr="00092F0C">
        <w:trPr>
          <w:cnfStyle w:val="100000000000" w:firstRow="1" w:lastRow="0" w:firstColumn="0" w:lastColumn="0" w:oddVBand="0" w:evenVBand="0" w:oddHBand="0" w:evenHBand="0" w:firstRowFirstColumn="0" w:firstRowLastColumn="0" w:lastRowFirstColumn="0" w:lastRowLastColumn="0"/>
          <w:trHeight w:val="227"/>
          <w:tblHeader/>
        </w:trPr>
        <w:tc>
          <w:tcPr>
            <w:cnfStyle w:val="001000000000" w:firstRow="0" w:lastRow="0" w:firstColumn="1" w:lastColumn="0" w:oddVBand="0" w:evenVBand="0" w:oddHBand="0" w:evenHBand="0" w:firstRowFirstColumn="0" w:firstRowLastColumn="0" w:lastRowFirstColumn="0" w:lastRowLastColumn="0"/>
            <w:tcW w:w="1200" w:type="dxa"/>
            <w:hideMark/>
          </w:tcPr>
          <w:p w:rsidR="00610BDE" w:rsidRPr="00E969A4" w:rsidRDefault="00610BDE" w:rsidP="00610BDE">
            <w:pPr>
              <w:rPr>
                <w:rFonts w:ascii="Arial Narrow" w:hAnsi="Arial Narrow"/>
                <w:bCs w:val="0"/>
                <w:sz w:val="16"/>
                <w:szCs w:val="16"/>
              </w:rPr>
            </w:pPr>
            <w:r w:rsidRPr="00E969A4">
              <w:rPr>
                <w:rFonts w:ascii="Arial Narrow" w:hAnsi="Arial Narrow"/>
                <w:bCs w:val="0"/>
                <w:sz w:val="16"/>
                <w:szCs w:val="16"/>
              </w:rPr>
              <w:t>Vrstni red</w:t>
            </w:r>
          </w:p>
        </w:tc>
        <w:tc>
          <w:tcPr>
            <w:tcW w:w="4200" w:type="dxa"/>
            <w:hideMark/>
          </w:tcPr>
          <w:p w:rsidR="00610BDE" w:rsidRPr="00E969A4" w:rsidRDefault="00610BDE" w:rsidP="00610BDE">
            <w:pPr>
              <w:cnfStyle w:val="100000000000" w:firstRow="1" w:lastRow="0" w:firstColumn="0" w:lastColumn="0" w:oddVBand="0" w:evenVBand="0" w:oddHBand="0" w:evenHBand="0" w:firstRowFirstColumn="0" w:firstRowLastColumn="0" w:lastRowFirstColumn="0" w:lastRowLastColumn="0"/>
              <w:rPr>
                <w:rFonts w:ascii="Arial Narrow" w:hAnsi="Arial Narrow"/>
                <w:bCs w:val="0"/>
                <w:sz w:val="16"/>
                <w:szCs w:val="16"/>
              </w:rPr>
            </w:pPr>
            <w:r w:rsidRPr="00E969A4">
              <w:rPr>
                <w:rFonts w:ascii="Arial Narrow" w:hAnsi="Arial Narrow"/>
                <w:bCs w:val="0"/>
                <w:sz w:val="16"/>
                <w:szCs w:val="16"/>
              </w:rPr>
              <w:t>Področje (raven I.) po metodologiji COFOG</w:t>
            </w:r>
          </w:p>
        </w:tc>
        <w:tc>
          <w:tcPr>
            <w:tcW w:w="4140" w:type="dxa"/>
            <w:hideMark/>
          </w:tcPr>
          <w:p w:rsidR="00610BDE" w:rsidRPr="00E969A4" w:rsidRDefault="00610BDE" w:rsidP="00610BDE">
            <w:pPr>
              <w:cnfStyle w:val="100000000000" w:firstRow="1" w:lastRow="0" w:firstColumn="0" w:lastColumn="0" w:oddVBand="0" w:evenVBand="0" w:oddHBand="0" w:evenHBand="0" w:firstRowFirstColumn="0" w:firstRowLastColumn="0" w:lastRowFirstColumn="0" w:lastRowLastColumn="0"/>
              <w:rPr>
                <w:rFonts w:ascii="Arial Narrow" w:hAnsi="Arial Narrow"/>
                <w:bCs w:val="0"/>
                <w:sz w:val="16"/>
                <w:szCs w:val="16"/>
              </w:rPr>
            </w:pPr>
            <w:r w:rsidRPr="00E969A4">
              <w:rPr>
                <w:rFonts w:ascii="Arial Narrow" w:hAnsi="Arial Narrow"/>
                <w:bCs w:val="0"/>
                <w:sz w:val="16"/>
                <w:szCs w:val="16"/>
              </w:rPr>
              <w:t>Oddelek (raven 2) po metodologiji COFOG</w:t>
            </w:r>
          </w:p>
        </w:tc>
        <w:tc>
          <w:tcPr>
            <w:tcW w:w="1660" w:type="dxa"/>
            <w:hideMark/>
          </w:tcPr>
          <w:p w:rsidR="00610BDE" w:rsidRPr="00E969A4" w:rsidRDefault="00610BDE" w:rsidP="00610BDE">
            <w:pPr>
              <w:cnfStyle w:val="100000000000" w:firstRow="1" w:lastRow="0" w:firstColumn="0" w:lastColumn="0" w:oddVBand="0" w:evenVBand="0" w:oddHBand="0" w:evenHBand="0" w:firstRowFirstColumn="0" w:firstRowLastColumn="0" w:lastRowFirstColumn="0" w:lastRowLastColumn="0"/>
              <w:rPr>
                <w:rFonts w:ascii="Arial Narrow" w:hAnsi="Arial Narrow"/>
                <w:bCs w:val="0"/>
                <w:sz w:val="16"/>
                <w:szCs w:val="16"/>
              </w:rPr>
            </w:pPr>
            <w:r w:rsidRPr="00E969A4">
              <w:rPr>
                <w:rFonts w:ascii="Arial Narrow" w:hAnsi="Arial Narrow"/>
                <w:bCs w:val="0"/>
                <w:sz w:val="16"/>
                <w:szCs w:val="16"/>
              </w:rPr>
              <w:t>Milijoni evrov</w:t>
            </w:r>
          </w:p>
        </w:tc>
      </w:tr>
      <w:tr w:rsidR="00610BDE" w:rsidRPr="00610BDE" w:rsidTr="00E969A4">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200" w:type="dxa"/>
            <w:hideMark/>
          </w:tcPr>
          <w:p w:rsidR="00610BDE" w:rsidRPr="00E969A4" w:rsidRDefault="00610BDE" w:rsidP="00610BDE">
            <w:pPr>
              <w:spacing w:after="0" w:line="240" w:lineRule="auto"/>
              <w:rPr>
                <w:rFonts w:ascii="Arial Narrow" w:hAnsi="Arial Narrow"/>
                <w:sz w:val="16"/>
                <w:szCs w:val="16"/>
              </w:rPr>
            </w:pPr>
            <w:r w:rsidRPr="00E969A4">
              <w:rPr>
                <w:rFonts w:ascii="Arial Narrow" w:hAnsi="Arial Narrow"/>
                <w:sz w:val="16"/>
                <w:szCs w:val="16"/>
              </w:rPr>
              <w:t>1</w:t>
            </w:r>
            <w:r w:rsidR="00E969A4" w:rsidRPr="00E969A4">
              <w:rPr>
                <w:rFonts w:ascii="Arial Narrow" w:hAnsi="Arial Narrow"/>
                <w:sz w:val="16"/>
                <w:szCs w:val="16"/>
              </w:rPr>
              <w:t>.</w:t>
            </w:r>
          </w:p>
        </w:tc>
        <w:tc>
          <w:tcPr>
            <w:tcW w:w="4200" w:type="dxa"/>
            <w:hideMark/>
          </w:tcPr>
          <w:p w:rsidR="00610BDE" w:rsidRPr="00610BDE"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Socialna zaščita</w:t>
            </w:r>
          </w:p>
        </w:tc>
        <w:tc>
          <w:tcPr>
            <w:tcW w:w="4140" w:type="dxa"/>
            <w:hideMark/>
          </w:tcPr>
          <w:p w:rsidR="00610BDE" w:rsidRPr="00E969A4"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sz w:val="16"/>
                <w:szCs w:val="16"/>
              </w:rPr>
            </w:pPr>
            <w:r w:rsidRPr="00E969A4">
              <w:rPr>
                <w:rFonts w:ascii="Arial Narrow" w:hAnsi="Arial Narrow"/>
                <w:b/>
                <w:sz w:val="16"/>
                <w:szCs w:val="16"/>
              </w:rPr>
              <w:t>Starost</w:t>
            </w:r>
          </w:p>
        </w:tc>
        <w:tc>
          <w:tcPr>
            <w:tcW w:w="1660" w:type="dxa"/>
            <w:hideMark/>
          </w:tcPr>
          <w:p w:rsidR="00610BDE" w:rsidRPr="00610BDE"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3161,9</w:t>
            </w:r>
          </w:p>
        </w:tc>
      </w:tr>
      <w:tr w:rsidR="00610BDE" w:rsidRPr="00610BDE" w:rsidTr="00E969A4">
        <w:trPr>
          <w:trHeight w:val="227"/>
        </w:trPr>
        <w:tc>
          <w:tcPr>
            <w:cnfStyle w:val="001000000000" w:firstRow="0" w:lastRow="0" w:firstColumn="1" w:lastColumn="0" w:oddVBand="0" w:evenVBand="0" w:oddHBand="0" w:evenHBand="0" w:firstRowFirstColumn="0" w:firstRowLastColumn="0" w:lastRowFirstColumn="0" w:lastRowLastColumn="0"/>
            <w:tcW w:w="1200" w:type="dxa"/>
            <w:hideMark/>
          </w:tcPr>
          <w:p w:rsidR="00610BDE" w:rsidRPr="00E969A4" w:rsidRDefault="00610BDE" w:rsidP="00610BDE">
            <w:pPr>
              <w:spacing w:after="0" w:line="240" w:lineRule="auto"/>
              <w:rPr>
                <w:rFonts w:ascii="Arial Narrow" w:hAnsi="Arial Narrow"/>
                <w:sz w:val="16"/>
                <w:szCs w:val="16"/>
              </w:rPr>
            </w:pPr>
            <w:r w:rsidRPr="00E969A4">
              <w:rPr>
                <w:rFonts w:ascii="Arial Narrow" w:hAnsi="Arial Narrow"/>
                <w:sz w:val="16"/>
                <w:szCs w:val="16"/>
              </w:rPr>
              <w:t>2</w:t>
            </w:r>
            <w:r w:rsidR="00E969A4" w:rsidRPr="00E969A4">
              <w:rPr>
                <w:rFonts w:ascii="Arial Narrow" w:hAnsi="Arial Narrow"/>
                <w:sz w:val="16"/>
                <w:szCs w:val="16"/>
              </w:rPr>
              <w:t>.</w:t>
            </w:r>
          </w:p>
        </w:tc>
        <w:tc>
          <w:tcPr>
            <w:tcW w:w="4200" w:type="dxa"/>
            <w:hideMark/>
          </w:tcPr>
          <w:p w:rsidR="00610BDE" w:rsidRPr="00610BDE" w:rsidRDefault="00610BDE" w:rsidP="00610BD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Javna uprava</w:t>
            </w:r>
          </w:p>
        </w:tc>
        <w:tc>
          <w:tcPr>
            <w:tcW w:w="4140" w:type="dxa"/>
            <w:hideMark/>
          </w:tcPr>
          <w:p w:rsidR="00610BDE" w:rsidRPr="00E969A4" w:rsidRDefault="00610BDE" w:rsidP="00610BD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sz w:val="16"/>
                <w:szCs w:val="16"/>
              </w:rPr>
            </w:pPr>
            <w:r w:rsidRPr="00E969A4">
              <w:rPr>
                <w:rFonts w:ascii="Arial Narrow" w:hAnsi="Arial Narrow"/>
                <w:b/>
                <w:sz w:val="16"/>
                <w:szCs w:val="16"/>
              </w:rPr>
              <w:t>Izvršilni in zakonodajni organi, finančne in davčne zadeve, zunanje zadeve</w:t>
            </w:r>
          </w:p>
        </w:tc>
        <w:tc>
          <w:tcPr>
            <w:tcW w:w="1660" w:type="dxa"/>
            <w:hideMark/>
          </w:tcPr>
          <w:p w:rsidR="00610BDE" w:rsidRPr="00610BDE" w:rsidRDefault="00610BDE" w:rsidP="00610BD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962,6</w:t>
            </w:r>
          </w:p>
        </w:tc>
      </w:tr>
      <w:tr w:rsidR="00610BDE" w:rsidRPr="00610BDE" w:rsidTr="00E969A4">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200" w:type="dxa"/>
            <w:hideMark/>
          </w:tcPr>
          <w:p w:rsidR="00610BDE" w:rsidRPr="00E969A4" w:rsidRDefault="00610BDE" w:rsidP="00610BDE">
            <w:pPr>
              <w:spacing w:after="0" w:line="240" w:lineRule="auto"/>
              <w:rPr>
                <w:rFonts w:ascii="Arial Narrow" w:hAnsi="Arial Narrow"/>
                <w:sz w:val="16"/>
                <w:szCs w:val="16"/>
              </w:rPr>
            </w:pPr>
            <w:r w:rsidRPr="00E969A4">
              <w:rPr>
                <w:rFonts w:ascii="Arial Narrow" w:hAnsi="Arial Narrow"/>
                <w:sz w:val="16"/>
                <w:szCs w:val="16"/>
              </w:rPr>
              <w:t>3</w:t>
            </w:r>
            <w:r w:rsidR="00E969A4" w:rsidRPr="00E969A4">
              <w:rPr>
                <w:rFonts w:ascii="Arial Narrow" w:hAnsi="Arial Narrow"/>
                <w:sz w:val="16"/>
                <w:szCs w:val="16"/>
              </w:rPr>
              <w:t>.</w:t>
            </w:r>
          </w:p>
        </w:tc>
        <w:tc>
          <w:tcPr>
            <w:tcW w:w="4200" w:type="dxa"/>
            <w:hideMark/>
          </w:tcPr>
          <w:p w:rsidR="00610BDE" w:rsidRPr="00610BDE"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Zdravstvo</w:t>
            </w:r>
          </w:p>
        </w:tc>
        <w:tc>
          <w:tcPr>
            <w:tcW w:w="4140" w:type="dxa"/>
            <w:hideMark/>
          </w:tcPr>
          <w:p w:rsidR="00610BDE" w:rsidRPr="00E969A4"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sz w:val="16"/>
                <w:szCs w:val="16"/>
              </w:rPr>
            </w:pPr>
            <w:r w:rsidRPr="00E969A4">
              <w:rPr>
                <w:rFonts w:ascii="Arial Narrow" w:hAnsi="Arial Narrow"/>
                <w:b/>
                <w:sz w:val="16"/>
                <w:szCs w:val="16"/>
              </w:rPr>
              <w:t>Bolnišnične storitve</w:t>
            </w:r>
          </w:p>
        </w:tc>
        <w:tc>
          <w:tcPr>
            <w:tcW w:w="1660" w:type="dxa"/>
            <w:hideMark/>
          </w:tcPr>
          <w:p w:rsidR="00610BDE" w:rsidRPr="00610BDE"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952,4</w:t>
            </w:r>
          </w:p>
        </w:tc>
      </w:tr>
      <w:tr w:rsidR="00610BDE" w:rsidRPr="00610BDE" w:rsidTr="00E969A4">
        <w:trPr>
          <w:trHeight w:val="227"/>
        </w:trPr>
        <w:tc>
          <w:tcPr>
            <w:cnfStyle w:val="001000000000" w:firstRow="0" w:lastRow="0" w:firstColumn="1" w:lastColumn="0" w:oddVBand="0" w:evenVBand="0" w:oddHBand="0" w:evenHBand="0" w:firstRowFirstColumn="0" w:firstRowLastColumn="0" w:lastRowFirstColumn="0" w:lastRowLastColumn="0"/>
            <w:tcW w:w="1200" w:type="dxa"/>
            <w:hideMark/>
          </w:tcPr>
          <w:p w:rsidR="00610BDE" w:rsidRPr="00E969A4" w:rsidRDefault="00610BDE" w:rsidP="00610BDE">
            <w:pPr>
              <w:spacing w:after="0" w:line="240" w:lineRule="auto"/>
              <w:rPr>
                <w:rFonts w:ascii="Arial Narrow" w:hAnsi="Arial Narrow"/>
                <w:sz w:val="16"/>
                <w:szCs w:val="16"/>
              </w:rPr>
            </w:pPr>
            <w:r w:rsidRPr="00E969A4">
              <w:rPr>
                <w:rFonts w:ascii="Arial Narrow" w:hAnsi="Arial Narrow"/>
                <w:sz w:val="16"/>
                <w:szCs w:val="16"/>
              </w:rPr>
              <w:t>4</w:t>
            </w:r>
            <w:r w:rsidR="00E969A4" w:rsidRPr="00E969A4">
              <w:rPr>
                <w:rFonts w:ascii="Arial Narrow" w:hAnsi="Arial Narrow"/>
                <w:sz w:val="16"/>
                <w:szCs w:val="16"/>
              </w:rPr>
              <w:t>.</w:t>
            </w:r>
          </w:p>
        </w:tc>
        <w:tc>
          <w:tcPr>
            <w:tcW w:w="4200" w:type="dxa"/>
            <w:hideMark/>
          </w:tcPr>
          <w:p w:rsidR="00610BDE" w:rsidRPr="00610BDE" w:rsidRDefault="00610BDE" w:rsidP="00610BD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Socialna zaščita</w:t>
            </w:r>
          </w:p>
        </w:tc>
        <w:tc>
          <w:tcPr>
            <w:tcW w:w="4140" w:type="dxa"/>
            <w:hideMark/>
          </w:tcPr>
          <w:p w:rsidR="00610BDE" w:rsidRPr="00E969A4" w:rsidRDefault="00610BDE" w:rsidP="00610BD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sz w:val="16"/>
                <w:szCs w:val="16"/>
              </w:rPr>
            </w:pPr>
            <w:r w:rsidRPr="00E969A4">
              <w:rPr>
                <w:rFonts w:ascii="Arial Narrow" w:hAnsi="Arial Narrow"/>
                <w:b/>
                <w:sz w:val="16"/>
                <w:szCs w:val="16"/>
              </w:rPr>
              <w:t>Bolezen in invalidnost</w:t>
            </w:r>
          </w:p>
        </w:tc>
        <w:tc>
          <w:tcPr>
            <w:tcW w:w="1660" w:type="dxa"/>
            <w:hideMark/>
          </w:tcPr>
          <w:p w:rsidR="00610BDE" w:rsidRPr="00610BDE" w:rsidRDefault="00610BDE" w:rsidP="00610BD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934,7</w:t>
            </w:r>
          </w:p>
        </w:tc>
      </w:tr>
      <w:tr w:rsidR="00610BDE" w:rsidRPr="00610BDE" w:rsidTr="00E969A4">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200" w:type="dxa"/>
            <w:hideMark/>
          </w:tcPr>
          <w:p w:rsidR="00610BDE" w:rsidRPr="00E969A4" w:rsidRDefault="00610BDE" w:rsidP="00610BDE">
            <w:pPr>
              <w:spacing w:after="0" w:line="240" w:lineRule="auto"/>
              <w:rPr>
                <w:rFonts w:ascii="Arial Narrow" w:hAnsi="Arial Narrow"/>
                <w:sz w:val="16"/>
                <w:szCs w:val="16"/>
              </w:rPr>
            </w:pPr>
            <w:r w:rsidRPr="00E969A4">
              <w:rPr>
                <w:rFonts w:ascii="Arial Narrow" w:hAnsi="Arial Narrow"/>
                <w:sz w:val="16"/>
                <w:szCs w:val="16"/>
              </w:rPr>
              <w:t>5</w:t>
            </w:r>
            <w:r w:rsidR="00E969A4" w:rsidRPr="00E969A4">
              <w:rPr>
                <w:rFonts w:ascii="Arial Narrow" w:hAnsi="Arial Narrow"/>
                <w:sz w:val="16"/>
                <w:szCs w:val="16"/>
              </w:rPr>
              <w:t>.</w:t>
            </w:r>
          </w:p>
        </w:tc>
        <w:tc>
          <w:tcPr>
            <w:tcW w:w="4200" w:type="dxa"/>
            <w:hideMark/>
          </w:tcPr>
          <w:p w:rsidR="00610BDE" w:rsidRPr="00610BDE"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Ekonomske dejavnosti</w:t>
            </w:r>
          </w:p>
        </w:tc>
        <w:tc>
          <w:tcPr>
            <w:tcW w:w="4140" w:type="dxa"/>
            <w:hideMark/>
          </w:tcPr>
          <w:p w:rsidR="00610BDE" w:rsidRPr="00E969A4"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sz w:val="16"/>
                <w:szCs w:val="16"/>
              </w:rPr>
            </w:pPr>
            <w:r w:rsidRPr="00E969A4">
              <w:rPr>
                <w:rFonts w:ascii="Arial Narrow" w:hAnsi="Arial Narrow"/>
                <w:b/>
                <w:sz w:val="16"/>
                <w:szCs w:val="16"/>
              </w:rPr>
              <w:t>Transport</w:t>
            </w:r>
          </w:p>
        </w:tc>
        <w:tc>
          <w:tcPr>
            <w:tcW w:w="1660" w:type="dxa"/>
            <w:hideMark/>
          </w:tcPr>
          <w:p w:rsidR="00610BDE" w:rsidRPr="00610BDE"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914,8</w:t>
            </w:r>
          </w:p>
        </w:tc>
      </w:tr>
      <w:tr w:rsidR="00610BDE" w:rsidRPr="00610BDE" w:rsidTr="00E969A4">
        <w:trPr>
          <w:trHeight w:val="227"/>
        </w:trPr>
        <w:tc>
          <w:tcPr>
            <w:cnfStyle w:val="001000000000" w:firstRow="0" w:lastRow="0" w:firstColumn="1" w:lastColumn="0" w:oddVBand="0" w:evenVBand="0" w:oddHBand="0" w:evenHBand="0" w:firstRowFirstColumn="0" w:firstRowLastColumn="0" w:lastRowFirstColumn="0" w:lastRowLastColumn="0"/>
            <w:tcW w:w="1200" w:type="dxa"/>
            <w:hideMark/>
          </w:tcPr>
          <w:p w:rsidR="00610BDE" w:rsidRPr="00E969A4" w:rsidRDefault="00610BDE" w:rsidP="00610BDE">
            <w:pPr>
              <w:spacing w:after="0" w:line="240" w:lineRule="auto"/>
              <w:rPr>
                <w:rFonts w:ascii="Arial Narrow" w:hAnsi="Arial Narrow"/>
                <w:sz w:val="16"/>
                <w:szCs w:val="16"/>
              </w:rPr>
            </w:pPr>
            <w:r w:rsidRPr="00E969A4">
              <w:rPr>
                <w:rFonts w:ascii="Arial Narrow" w:hAnsi="Arial Narrow"/>
                <w:sz w:val="16"/>
                <w:szCs w:val="16"/>
              </w:rPr>
              <w:t>6</w:t>
            </w:r>
            <w:r w:rsidR="00E969A4" w:rsidRPr="00E969A4">
              <w:rPr>
                <w:rFonts w:ascii="Arial Narrow" w:hAnsi="Arial Narrow"/>
                <w:sz w:val="16"/>
                <w:szCs w:val="16"/>
              </w:rPr>
              <w:t>.</w:t>
            </w:r>
          </w:p>
        </w:tc>
        <w:tc>
          <w:tcPr>
            <w:tcW w:w="4200" w:type="dxa"/>
            <w:hideMark/>
          </w:tcPr>
          <w:p w:rsidR="00610BDE" w:rsidRPr="00610BDE" w:rsidRDefault="00610BDE" w:rsidP="00610BD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Izobraževanje</w:t>
            </w:r>
          </w:p>
        </w:tc>
        <w:tc>
          <w:tcPr>
            <w:tcW w:w="4140" w:type="dxa"/>
            <w:hideMark/>
          </w:tcPr>
          <w:p w:rsidR="00610BDE" w:rsidRPr="00E969A4" w:rsidRDefault="00610BDE" w:rsidP="00610BD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sz w:val="16"/>
                <w:szCs w:val="16"/>
              </w:rPr>
            </w:pPr>
            <w:r w:rsidRPr="00E969A4">
              <w:rPr>
                <w:rFonts w:ascii="Arial Narrow" w:hAnsi="Arial Narrow"/>
                <w:b/>
                <w:sz w:val="16"/>
                <w:szCs w:val="16"/>
              </w:rPr>
              <w:t>Sekundarno izobraževanje</w:t>
            </w:r>
          </w:p>
        </w:tc>
        <w:tc>
          <w:tcPr>
            <w:tcW w:w="1660" w:type="dxa"/>
            <w:hideMark/>
          </w:tcPr>
          <w:p w:rsidR="00610BDE" w:rsidRPr="00610BDE" w:rsidRDefault="00610BDE" w:rsidP="00610BD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862,5</w:t>
            </w:r>
          </w:p>
        </w:tc>
      </w:tr>
      <w:tr w:rsidR="00610BDE" w:rsidRPr="00610BDE" w:rsidTr="00E969A4">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200" w:type="dxa"/>
            <w:hideMark/>
          </w:tcPr>
          <w:p w:rsidR="00610BDE" w:rsidRPr="00E969A4" w:rsidRDefault="00610BDE" w:rsidP="00610BDE">
            <w:pPr>
              <w:spacing w:after="0" w:line="240" w:lineRule="auto"/>
              <w:rPr>
                <w:rFonts w:ascii="Arial Narrow" w:hAnsi="Arial Narrow"/>
                <w:sz w:val="16"/>
                <w:szCs w:val="16"/>
              </w:rPr>
            </w:pPr>
            <w:r w:rsidRPr="00E969A4">
              <w:rPr>
                <w:rFonts w:ascii="Arial Narrow" w:hAnsi="Arial Narrow"/>
                <w:sz w:val="16"/>
                <w:szCs w:val="16"/>
              </w:rPr>
              <w:t>7</w:t>
            </w:r>
            <w:r w:rsidR="00E969A4" w:rsidRPr="00E969A4">
              <w:rPr>
                <w:rFonts w:ascii="Arial Narrow" w:hAnsi="Arial Narrow"/>
                <w:sz w:val="16"/>
                <w:szCs w:val="16"/>
              </w:rPr>
              <w:t>.</w:t>
            </w:r>
          </w:p>
        </w:tc>
        <w:tc>
          <w:tcPr>
            <w:tcW w:w="4200" w:type="dxa"/>
            <w:hideMark/>
          </w:tcPr>
          <w:p w:rsidR="00610BDE" w:rsidRPr="00610BDE"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Izobraževanje</w:t>
            </w:r>
          </w:p>
        </w:tc>
        <w:tc>
          <w:tcPr>
            <w:tcW w:w="4140" w:type="dxa"/>
            <w:hideMark/>
          </w:tcPr>
          <w:p w:rsidR="00610BDE" w:rsidRPr="00E969A4"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sz w:val="16"/>
                <w:szCs w:val="16"/>
              </w:rPr>
            </w:pPr>
            <w:proofErr w:type="spellStart"/>
            <w:r w:rsidRPr="00E969A4">
              <w:rPr>
                <w:rFonts w:ascii="Arial Narrow" w:hAnsi="Arial Narrow"/>
                <w:b/>
                <w:sz w:val="16"/>
                <w:szCs w:val="16"/>
              </w:rPr>
              <w:t>Predprimarno</w:t>
            </w:r>
            <w:proofErr w:type="spellEnd"/>
            <w:r w:rsidRPr="00E969A4">
              <w:rPr>
                <w:rFonts w:ascii="Arial Narrow" w:hAnsi="Arial Narrow"/>
                <w:b/>
                <w:sz w:val="16"/>
                <w:szCs w:val="16"/>
              </w:rPr>
              <w:t xml:space="preserve"> in primarno izobraževanje</w:t>
            </w:r>
          </w:p>
        </w:tc>
        <w:tc>
          <w:tcPr>
            <w:tcW w:w="1660" w:type="dxa"/>
            <w:hideMark/>
          </w:tcPr>
          <w:p w:rsidR="00610BDE" w:rsidRPr="00610BDE"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814,6</w:t>
            </w:r>
          </w:p>
        </w:tc>
      </w:tr>
      <w:tr w:rsidR="00610BDE" w:rsidRPr="00610BDE" w:rsidTr="00E969A4">
        <w:trPr>
          <w:trHeight w:val="227"/>
        </w:trPr>
        <w:tc>
          <w:tcPr>
            <w:cnfStyle w:val="001000000000" w:firstRow="0" w:lastRow="0" w:firstColumn="1" w:lastColumn="0" w:oddVBand="0" w:evenVBand="0" w:oddHBand="0" w:evenHBand="0" w:firstRowFirstColumn="0" w:firstRowLastColumn="0" w:lastRowFirstColumn="0" w:lastRowLastColumn="0"/>
            <w:tcW w:w="1200" w:type="dxa"/>
            <w:hideMark/>
          </w:tcPr>
          <w:p w:rsidR="00610BDE" w:rsidRPr="00E969A4" w:rsidRDefault="00610BDE" w:rsidP="00610BDE">
            <w:pPr>
              <w:spacing w:after="0" w:line="240" w:lineRule="auto"/>
              <w:rPr>
                <w:rFonts w:ascii="Arial Narrow" w:hAnsi="Arial Narrow"/>
                <w:sz w:val="16"/>
                <w:szCs w:val="16"/>
              </w:rPr>
            </w:pPr>
            <w:r w:rsidRPr="00E969A4">
              <w:rPr>
                <w:rFonts w:ascii="Arial Narrow" w:hAnsi="Arial Narrow"/>
                <w:sz w:val="16"/>
                <w:szCs w:val="16"/>
              </w:rPr>
              <w:t>8</w:t>
            </w:r>
            <w:r w:rsidR="00E969A4" w:rsidRPr="00E969A4">
              <w:rPr>
                <w:rFonts w:ascii="Arial Narrow" w:hAnsi="Arial Narrow"/>
                <w:sz w:val="16"/>
                <w:szCs w:val="16"/>
              </w:rPr>
              <w:t>.</w:t>
            </w:r>
          </w:p>
        </w:tc>
        <w:tc>
          <w:tcPr>
            <w:tcW w:w="4200" w:type="dxa"/>
            <w:hideMark/>
          </w:tcPr>
          <w:p w:rsidR="00610BDE" w:rsidRPr="00610BDE" w:rsidRDefault="00610BDE" w:rsidP="00610BD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Zdravstvo</w:t>
            </w:r>
          </w:p>
        </w:tc>
        <w:tc>
          <w:tcPr>
            <w:tcW w:w="4140" w:type="dxa"/>
            <w:hideMark/>
          </w:tcPr>
          <w:p w:rsidR="00610BDE" w:rsidRPr="00E969A4" w:rsidRDefault="00610BDE" w:rsidP="00610BD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sz w:val="16"/>
                <w:szCs w:val="16"/>
              </w:rPr>
            </w:pPr>
            <w:proofErr w:type="spellStart"/>
            <w:r w:rsidRPr="00E969A4">
              <w:rPr>
                <w:rFonts w:ascii="Arial Narrow" w:hAnsi="Arial Narrow"/>
                <w:b/>
                <w:sz w:val="16"/>
                <w:szCs w:val="16"/>
              </w:rPr>
              <w:t>Zunajbolnišnične</w:t>
            </w:r>
            <w:proofErr w:type="spellEnd"/>
            <w:r w:rsidRPr="00E969A4">
              <w:rPr>
                <w:rFonts w:ascii="Arial Narrow" w:hAnsi="Arial Narrow"/>
                <w:b/>
                <w:sz w:val="16"/>
                <w:szCs w:val="16"/>
              </w:rPr>
              <w:t xml:space="preserve"> storitve</w:t>
            </w:r>
          </w:p>
        </w:tc>
        <w:tc>
          <w:tcPr>
            <w:tcW w:w="1660" w:type="dxa"/>
            <w:hideMark/>
          </w:tcPr>
          <w:p w:rsidR="00610BDE" w:rsidRPr="00610BDE" w:rsidRDefault="00610BDE" w:rsidP="00610BD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793,4</w:t>
            </w:r>
          </w:p>
        </w:tc>
      </w:tr>
      <w:tr w:rsidR="00610BDE" w:rsidRPr="00610BDE" w:rsidTr="00E969A4">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200" w:type="dxa"/>
            <w:hideMark/>
          </w:tcPr>
          <w:p w:rsidR="00610BDE" w:rsidRPr="00E969A4" w:rsidRDefault="00610BDE" w:rsidP="00610BDE">
            <w:pPr>
              <w:spacing w:after="0" w:line="240" w:lineRule="auto"/>
              <w:rPr>
                <w:rFonts w:ascii="Arial Narrow" w:hAnsi="Arial Narrow"/>
                <w:sz w:val="16"/>
                <w:szCs w:val="16"/>
              </w:rPr>
            </w:pPr>
            <w:r w:rsidRPr="00E969A4">
              <w:rPr>
                <w:rFonts w:ascii="Arial Narrow" w:hAnsi="Arial Narrow"/>
                <w:sz w:val="16"/>
                <w:szCs w:val="16"/>
              </w:rPr>
              <w:lastRenderedPageBreak/>
              <w:t>9</w:t>
            </w:r>
            <w:r w:rsidR="00E969A4">
              <w:rPr>
                <w:rFonts w:ascii="Arial Narrow" w:hAnsi="Arial Narrow"/>
                <w:sz w:val="16"/>
                <w:szCs w:val="16"/>
              </w:rPr>
              <w:t>.</w:t>
            </w:r>
          </w:p>
        </w:tc>
        <w:tc>
          <w:tcPr>
            <w:tcW w:w="4200" w:type="dxa"/>
            <w:hideMark/>
          </w:tcPr>
          <w:p w:rsidR="00610BDE" w:rsidRPr="00610BDE"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Socialna zaščita</w:t>
            </w:r>
          </w:p>
        </w:tc>
        <w:tc>
          <w:tcPr>
            <w:tcW w:w="4140" w:type="dxa"/>
            <w:hideMark/>
          </w:tcPr>
          <w:p w:rsidR="00610BDE" w:rsidRPr="00E969A4"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sz w:val="16"/>
                <w:szCs w:val="16"/>
              </w:rPr>
            </w:pPr>
            <w:r w:rsidRPr="00E969A4">
              <w:rPr>
                <w:rFonts w:ascii="Arial Narrow" w:hAnsi="Arial Narrow"/>
                <w:b/>
                <w:sz w:val="16"/>
                <w:szCs w:val="16"/>
              </w:rPr>
              <w:t>Družine in otroci</w:t>
            </w:r>
          </w:p>
        </w:tc>
        <w:tc>
          <w:tcPr>
            <w:tcW w:w="1660" w:type="dxa"/>
            <w:hideMark/>
          </w:tcPr>
          <w:p w:rsidR="00610BDE" w:rsidRPr="00610BDE"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716,1</w:t>
            </w:r>
          </w:p>
        </w:tc>
      </w:tr>
      <w:tr w:rsidR="00610BDE" w:rsidRPr="00610BDE" w:rsidTr="00E969A4">
        <w:trPr>
          <w:trHeight w:val="227"/>
        </w:trPr>
        <w:tc>
          <w:tcPr>
            <w:cnfStyle w:val="001000000000" w:firstRow="0" w:lastRow="0" w:firstColumn="1" w:lastColumn="0" w:oddVBand="0" w:evenVBand="0" w:oddHBand="0" w:evenHBand="0" w:firstRowFirstColumn="0" w:firstRowLastColumn="0" w:lastRowFirstColumn="0" w:lastRowLastColumn="0"/>
            <w:tcW w:w="1200" w:type="dxa"/>
            <w:hideMark/>
          </w:tcPr>
          <w:p w:rsidR="00610BDE" w:rsidRPr="00E969A4" w:rsidRDefault="00610BDE" w:rsidP="00610BDE">
            <w:pPr>
              <w:spacing w:after="0" w:line="240" w:lineRule="auto"/>
              <w:rPr>
                <w:rFonts w:ascii="Arial Narrow" w:hAnsi="Arial Narrow"/>
                <w:sz w:val="16"/>
                <w:szCs w:val="16"/>
              </w:rPr>
            </w:pPr>
            <w:r w:rsidRPr="00E969A4">
              <w:rPr>
                <w:rFonts w:ascii="Arial Narrow" w:hAnsi="Arial Narrow"/>
                <w:sz w:val="16"/>
                <w:szCs w:val="16"/>
              </w:rPr>
              <w:t>10</w:t>
            </w:r>
            <w:r w:rsidR="00E969A4">
              <w:rPr>
                <w:rFonts w:ascii="Arial Narrow" w:hAnsi="Arial Narrow"/>
                <w:sz w:val="16"/>
                <w:szCs w:val="16"/>
              </w:rPr>
              <w:t>.</w:t>
            </w:r>
          </w:p>
        </w:tc>
        <w:tc>
          <w:tcPr>
            <w:tcW w:w="4200" w:type="dxa"/>
            <w:hideMark/>
          </w:tcPr>
          <w:p w:rsidR="00610BDE" w:rsidRPr="00610BDE" w:rsidRDefault="00610BDE" w:rsidP="00610BD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Socialna zaščita</w:t>
            </w:r>
          </w:p>
        </w:tc>
        <w:tc>
          <w:tcPr>
            <w:tcW w:w="4140" w:type="dxa"/>
            <w:hideMark/>
          </w:tcPr>
          <w:p w:rsidR="00610BDE" w:rsidRPr="00E969A4" w:rsidRDefault="00610BDE" w:rsidP="00610BD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sz w:val="16"/>
                <w:szCs w:val="16"/>
              </w:rPr>
            </w:pPr>
            <w:r w:rsidRPr="00E969A4">
              <w:rPr>
                <w:rFonts w:ascii="Arial Narrow" w:hAnsi="Arial Narrow"/>
                <w:b/>
                <w:sz w:val="16"/>
                <w:szCs w:val="16"/>
              </w:rPr>
              <w:t>Preživeli družinski člani</w:t>
            </w:r>
          </w:p>
        </w:tc>
        <w:tc>
          <w:tcPr>
            <w:tcW w:w="1660" w:type="dxa"/>
            <w:hideMark/>
          </w:tcPr>
          <w:p w:rsidR="00610BDE" w:rsidRPr="00610BDE" w:rsidRDefault="00610BDE" w:rsidP="00610BD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575,4</w:t>
            </w:r>
          </w:p>
        </w:tc>
      </w:tr>
      <w:tr w:rsidR="00610BDE" w:rsidRPr="00610BDE" w:rsidTr="00E969A4">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200" w:type="dxa"/>
            <w:hideMark/>
          </w:tcPr>
          <w:p w:rsidR="00610BDE" w:rsidRPr="00E969A4" w:rsidRDefault="00610BDE" w:rsidP="00610BDE">
            <w:pPr>
              <w:spacing w:after="0" w:line="240" w:lineRule="auto"/>
              <w:rPr>
                <w:rFonts w:ascii="Arial Narrow" w:hAnsi="Arial Narrow"/>
                <w:sz w:val="16"/>
                <w:szCs w:val="16"/>
              </w:rPr>
            </w:pPr>
            <w:r w:rsidRPr="00E969A4">
              <w:rPr>
                <w:rFonts w:ascii="Arial Narrow" w:hAnsi="Arial Narrow"/>
                <w:sz w:val="16"/>
                <w:szCs w:val="16"/>
              </w:rPr>
              <w:t>11</w:t>
            </w:r>
            <w:r w:rsidR="00E969A4">
              <w:rPr>
                <w:rFonts w:ascii="Arial Narrow" w:hAnsi="Arial Narrow"/>
                <w:sz w:val="16"/>
                <w:szCs w:val="16"/>
              </w:rPr>
              <w:t>.</w:t>
            </w:r>
          </w:p>
        </w:tc>
        <w:tc>
          <w:tcPr>
            <w:tcW w:w="4200" w:type="dxa"/>
            <w:hideMark/>
          </w:tcPr>
          <w:p w:rsidR="00610BDE" w:rsidRPr="00610BDE"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Obramba</w:t>
            </w:r>
          </w:p>
        </w:tc>
        <w:tc>
          <w:tcPr>
            <w:tcW w:w="4140" w:type="dxa"/>
            <w:hideMark/>
          </w:tcPr>
          <w:p w:rsidR="00610BDE" w:rsidRPr="00E969A4"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sz w:val="16"/>
                <w:szCs w:val="16"/>
              </w:rPr>
            </w:pPr>
            <w:r w:rsidRPr="00E969A4">
              <w:rPr>
                <w:rFonts w:ascii="Arial Narrow" w:hAnsi="Arial Narrow"/>
                <w:b/>
                <w:sz w:val="16"/>
                <w:szCs w:val="16"/>
              </w:rPr>
              <w:t>Vojaška obramba</w:t>
            </w:r>
          </w:p>
        </w:tc>
        <w:tc>
          <w:tcPr>
            <w:tcW w:w="1660" w:type="dxa"/>
            <w:hideMark/>
          </w:tcPr>
          <w:p w:rsidR="00610BDE" w:rsidRPr="00610BDE"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432,4</w:t>
            </w:r>
          </w:p>
        </w:tc>
      </w:tr>
      <w:tr w:rsidR="00610BDE" w:rsidRPr="00610BDE" w:rsidTr="00E969A4">
        <w:trPr>
          <w:trHeight w:val="227"/>
        </w:trPr>
        <w:tc>
          <w:tcPr>
            <w:cnfStyle w:val="001000000000" w:firstRow="0" w:lastRow="0" w:firstColumn="1" w:lastColumn="0" w:oddVBand="0" w:evenVBand="0" w:oddHBand="0" w:evenHBand="0" w:firstRowFirstColumn="0" w:firstRowLastColumn="0" w:lastRowFirstColumn="0" w:lastRowLastColumn="0"/>
            <w:tcW w:w="1200" w:type="dxa"/>
            <w:hideMark/>
          </w:tcPr>
          <w:p w:rsidR="00610BDE" w:rsidRPr="00E969A4" w:rsidRDefault="00610BDE" w:rsidP="00610BDE">
            <w:pPr>
              <w:spacing w:after="0" w:line="240" w:lineRule="auto"/>
              <w:rPr>
                <w:rFonts w:ascii="Arial Narrow" w:hAnsi="Arial Narrow"/>
                <w:sz w:val="16"/>
                <w:szCs w:val="16"/>
              </w:rPr>
            </w:pPr>
            <w:r w:rsidRPr="00E969A4">
              <w:rPr>
                <w:rFonts w:ascii="Arial Narrow" w:hAnsi="Arial Narrow"/>
                <w:sz w:val="16"/>
                <w:szCs w:val="16"/>
              </w:rPr>
              <w:t>12</w:t>
            </w:r>
            <w:r w:rsidR="00E969A4">
              <w:rPr>
                <w:rFonts w:ascii="Arial Narrow" w:hAnsi="Arial Narrow"/>
                <w:sz w:val="16"/>
                <w:szCs w:val="16"/>
              </w:rPr>
              <w:t>.</w:t>
            </w:r>
          </w:p>
        </w:tc>
        <w:tc>
          <w:tcPr>
            <w:tcW w:w="4200" w:type="dxa"/>
            <w:hideMark/>
          </w:tcPr>
          <w:p w:rsidR="00610BDE" w:rsidRPr="00610BDE" w:rsidRDefault="00610BDE" w:rsidP="00610BD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Javna uprava</w:t>
            </w:r>
          </w:p>
        </w:tc>
        <w:tc>
          <w:tcPr>
            <w:tcW w:w="4140" w:type="dxa"/>
            <w:hideMark/>
          </w:tcPr>
          <w:p w:rsidR="00610BDE" w:rsidRPr="00E969A4" w:rsidRDefault="00610BDE" w:rsidP="00610BD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sz w:val="16"/>
                <w:szCs w:val="16"/>
              </w:rPr>
            </w:pPr>
            <w:r w:rsidRPr="00E969A4">
              <w:rPr>
                <w:rFonts w:ascii="Arial Narrow" w:hAnsi="Arial Narrow"/>
                <w:b/>
                <w:sz w:val="16"/>
                <w:szCs w:val="16"/>
              </w:rPr>
              <w:t>Servisiranje javnega dolga</w:t>
            </w:r>
          </w:p>
        </w:tc>
        <w:tc>
          <w:tcPr>
            <w:tcW w:w="1660" w:type="dxa"/>
            <w:hideMark/>
          </w:tcPr>
          <w:p w:rsidR="00610BDE" w:rsidRPr="00610BDE" w:rsidRDefault="00610BDE" w:rsidP="00610BD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428,0</w:t>
            </w:r>
          </w:p>
        </w:tc>
      </w:tr>
      <w:tr w:rsidR="00610BDE" w:rsidRPr="00610BDE" w:rsidTr="00E969A4">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200" w:type="dxa"/>
            <w:hideMark/>
          </w:tcPr>
          <w:p w:rsidR="00610BDE" w:rsidRPr="00E969A4" w:rsidRDefault="00610BDE" w:rsidP="00610BDE">
            <w:pPr>
              <w:spacing w:after="0" w:line="240" w:lineRule="auto"/>
              <w:rPr>
                <w:rFonts w:ascii="Arial Narrow" w:hAnsi="Arial Narrow"/>
                <w:sz w:val="16"/>
                <w:szCs w:val="16"/>
              </w:rPr>
            </w:pPr>
            <w:r w:rsidRPr="00E969A4">
              <w:rPr>
                <w:rFonts w:ascii="Arial Narrow" w:hAnsi="Arial Narrow"/>
                <w:sz w:val="16"/>
                <w:szCs w:val="16"/>
              </w:rPr>
              <w:t>13</w:t>
            </w:r>
            <w:r w:rsidR="00E969A4">
              <w:rPr>
                <w:rFonts w:ascii="Arial Narrow" w:hAnsi="Arial Narrow"/>
                <w:sz w:val="16"/>
                <w:szCs w:val="16"/>
              </w:rPr>
              <w:t>.</w:t>
            </w:r>
          </w:p>
        </w:tc>
        <w:tc>
          <w:tcPr>
            <w:tcW w:w="4200" w:type="dxa"/>
            <w:hideMark/>
          </w:tcPr>
          <w:p w:rsidR="00610BDE" w:rsidRPr="00610BDE"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Izobraževanje</w:t>
            </w:r>
          </w:p>
        </w:tc>
        <w:tc>
          <w:tcPr>
            <w:tcW w:w="4140" w:type="dxa"/>
            <w:hideMark/>
          </w:tcPr>
          <w:p w:rsidR="00610BDE" w:rsidRPr="00E969A4"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sz w:val="16"/>
                <w:szCs w:val="16"/>
              </w:rPr>
            </w:pPr>
            <w:r w:rsidRPr="00E969A4">
              <w:rPr>
                <w:rFonts w:ascii="Arial Narrow" w:hAnsi="Arial Narrow"/>
                <w:b/>
                <w:sz w:val="16"/>
                <w:szCs w:val="16"/>
              </w:rPr>
              <w:t>Terciarno izobraževanje</w:t>
            </w:r>
          </w:p>
        </w:tc>
        <w:tc>
          <w:tcPr>
            <w:tcW w:w="1660" w:type="dxa"/>
            <w:hideMark/>
          </w:tcPr>
          <w:p w:rsidR="00610BDE" w:rsidRPr="00610BDE"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401,9</w:t>
            </w:r>
          </w:p>
        </w:tc>
      </w:tr>
      <w:tr w:rsidR="00610BDE" w:rsidRPr="00610BDE" w:rsidTr="00E969A4">
        <w:trPr>
          <w:trHeight w:val="227"/>
        </w:trPr>
        <w:tc>
          <w:tcPr>
            <w:cnfStyle w:val="001000000000" w:firstRow="0" w:lastRow="0" w:firstColumn="1" w:lastColumn="0" w:oddVBand="0" w:evenVBand="0" w:oddHBand="0" w:evenHBand="0" w:firstRowFirstColumn="0" w:firstRowLastColumn="0" w:lastRowFirstColumn="0" w:lastRowLastColumn="0"/>
            <w:tcW w:w="1200" w:type="dxa"/>
            <w:hideMark/>
          </w:tcPr>
          <w:p w:rsidR="00610BDE" w:rsidRPr="00E969A4" w:rsidRDefault="00610BDE" w:rsidP="00610BDE">
            <w:pPr>
              <w:spacing w:after="0" w:line="240" w:lineRule="auto"/>
              <w:rPr>
                <w:rFonts w:ascii="Arial Narrow" w:hAnsi="Arial Narrow"/>
                <w:sz w:val="16"/>
                <w:szCs w:val="16"/>
              </w:rPr>
            </w:pPr>
            <w:r w:rsidRPr="00E969A4">
              <w:rPr>
                <w:rFonts w:ascii="Arial Narrow" w:hAnsi="Arial Narrow"/>
                <w:sz w:val="16"/>
                <w:szCs w:val="16"/>
              </w:rPr>
              <w:t>14</w:t>
            </w:r>
            <w:r w:rsidR="00E969A4">
              <w:rPr>
                <w:rFonts w:ascii="Arial Narrow" w:hAnsi="Arial Narrow"/>
                <w:sz w:val="16"/>
                <w:szCs w:val="16"/>
              </w:rPr>
              <w:t>.</w:t>
            </w:r>
          </w:p>
        </w:tc>
        <w:tc>
          <w:tcPr>
            <w:tcW w:w="4200" w:type="dxa"/>
            <w:hideMark/>
          </w:tcPr>
          <w:p w:rsidR="00610BDE" w:rsidRPr="00610BDE" w:rsidRDefault="00610BDE" w:rsidP="00610BD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Zdravstvo</w:t>
            </w:r>
          </w:p>
        </w:tc>
        <w:tc>
          <w:tcPr>
            <w:tcW w:w="4140" w:type="dxa"/>
            <w:hideMark/>
          </w:tcPr>
          <w:p w:rsidR="00610BDE" w:rsidRPr="00E969A4" w:rsidRDefault="00610BDE" w:rsidP="00610BD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sz w:val="16"/>
                <w:szCs w:val="16"/>
              </w:rPr>
            </w:pPr>
            <w:r w:rsidRPr="00E969A4">
              <w:rPr>
                <w:rFonts w:ascii="Arial Narrow" w:hAnsi="Arial Narrow"/>
                <w:b/>
                <w:sz w:val="16"/>
                <w:szCs w:val="16"/>
              </w:rPr>
              <w:t>Medicinski proizvodi, pripomočki in oprema</w:t>
            </w:r>
          </w:p>
        </w:tc>
        <w:tc>
          <w:tcPr>
            <w:tcW w:w="1660" w:type="dxa"/>
            <w:hideMark/>
          </w:tcPr>
          <w:p w:rsidR="00610BDE" w:rsidRPr="00610BDE" w:rsidRDefault="00610BDE" w:rsidP="00610BD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386,0</w:t>
            </w:r>
          </w:p>
        </w:tc>
      </w:tr>
      <w:tr w:rsidR="00610BDE" w:rsidRPr="00610BDE" w:rsidTr="00E969A4">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200" w:type="dxa"/>
            <w:hideMark/>
          </w:tcPr>
          <w:p w:rsidR="00610BDE" w:rsidRPr="00E969A4" w:rsidRDefault="00610BDE" w:rsidP="00610BDE">
            <w:pPr>
              <w:spacing w:after="0" w:line="240" w:lineRule="auto"/>
              <w:rPr>
                <w:rFonts w:ascii="Arial Narrow" w:hAnsi="Arial Narrow"/>
                <w:sz w:val="16"/>
                <w:szCs w:val="16"/>
              </w:rPr>
            </w:pPr>
            <w:r w:rsidRPr="00E969A4">
              <w:rPr>
                <w:rFonts w:ascii="Arial Narrow" w:hAnsi="Arial Narrow"/>
                <w:sz w:val="16"/>
                <w:szCs w:val="16"/>
              </w:rPr>
              <w:t>15</w:t>
            </w:r>
            <w:r w:rsidR="00E969A4">
              <w:rPr>
                <w:rFonts w:ascii="Arial Narrow" w:hAnsi="Arial Narrow"/>
                <w:sz w:val="16"/>
                <w:szCs w:val="16"/>
              </w:rPr>
              <w:t>.</w:t>
            </w:r>
          </w:p>
        </w:tc>
        <w:tc>
          <w:tcPr>
            <w:tcW w:w="4200" w:type="dxa"/>
            <w:hideMark/>
          </w:tcPr>
          <w:p w:rsidR="00610BDE" w:rsidRPr="00610BDE"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Javni red in varnost</w:t>
            </w:r>
          </w:p>
        </w:tc>
        <w:tc>
          <w:tcPr>
            <w:tcW w:w="4140" w:type="dxa"/>
            <w:hideMark/>
          </w:tcPr>
          <w:p w:rsidR="00610BDE" w:rsidRPr="00E969A4"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sz w:val="16"/>
                <w:szCs w:val="16"/>
              </w:rPr>
            </w:pPr>
            <w:r w:rsidRPr="00E969A4">
              <w:rPr>
                <w:rFonts w:ascii="Arial Narrow" w:hAnsi="Arial Narrow"/>
                <w:b/>
                <w:sz w:val="16"/>
                <w:szCs w:val="16"/>
              </w:rPr>
              <w:t>Policija</w:t>
            </w:r>
          </w:p>
        </w:tc>
        <w:tc>
          <w:tcPr>
            <w:tcW w:w="1660" w:type="dxa"/>
            <w:hideMark/>
          </w:tcPr>
          <w:p w:rsidR="00610BDE" w:rsidRPr="00610BDE"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308,2</w:t>
            </w:r>
          </w:p>
        </w:tc>
      </w:tr>
      <w:tr w:rsidR="00610BDE" w:rsidRPr="00610BDE" w:rsidTr="00E969A4">
        <w:trPr>
          <w:trHeight w:val="227"/>
        </w:trPr>
        <w:tc>
          <w:tcPr>
            <w:cnfStyle w:val="001000000000" w:firstRow="0" w:lastRow="0" w:firstColumn="1" w:lastColumn="0" w:oddVBand="0" w:evenVBand="0" w:oddHBand="0" w:evenHBand="0" w:firstRowFirstColumn="0" w:firstRowLastColumn="0" w:lastRowFirstColumn="0" w:lastRowLastColumn="0"/>
            <w:tcW w:w="1200" w:type="dxa"/>
            <w:hideMark/>
          </w:tcPr>
          <w:p w:rsidR="00610BDE" w:rsidRPr="00E969A4" w:rsidRDefault="00610BDE" w:rsidP="00610BDE">
            <w:pPr>
              <w:spacing w:after="0" w:line="240" w:lineRule="auto"/>
              <w:rPr>
                <w:rFonts w:ascii="Arial Narrow" w:hAnsi="Arial Narrow"/>
                <w:color w:val="4F81BD" w:themeColor="accent1"/>
                <w:sz w:val="16"/>
                <w:szCs w:val="16"/>
              </w:rPr>
            </w:pPr>
            <w:r w:rsidRPr="00E969A4">
              <w:rPr>
                <w:rFonts w:ascii="Arial Narrow" w:hAnsi="Arial Narrow"/>
                <w:color w:val="4F81BD" w:themeColor="accent1"/>
                <w:sz w:val="16"/>
                <w:szCs w:val="16"/>
              </w:rPr>
              <w:t>16</w:t>
            </w:r>
            <w:r w:rsidR="00E969A4">
              <w:rPr>
                <w:rFonts w:ascii="Arial Narrow" w:hAnsi="Arial Narrow"/>
                <w:color w:val="4F81BD" w:themeColor="accent1"/>
                <w:sz w:val="16"/>
                <w:szCs w:val="16"/>
              </w:rPr>
              <w:t>.</w:t>
            </w:r>
          </w:p>
        </w:tc>
        <w:tc>
          <w:tcPr>
            <w:tcW w:w="4200" w:type="dxa"/>
            <w:hideMark/>
          </w:tcPr>
          <w:p w:rsidR="00610BDE" w:rsidRPr="00E969A4" w:rsidRDefault="00610BDE" w:rsidP="00610BD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bCs/>
                <w:color w:val="4F81BD" w:themeColor="accent1"/>
                <w:sz w:val="16"/>
                <w:szCs w:val="16"/>
              </w:rPr>
            </w:pPr>
            <w:r w:rsidRPr="00E969A4">
              <w:rPr>
                <w:rFonts w:ascii="Arial Narrow" w:hAnsi="Arial Narrow"/>
                <w:b/>
                <w:bCs/>
                <w:color w:val="4F81BD" w:themeColor="accent1"/>
                <w:sz w:val="16"/>
                <w:szCs w:val="16"/>
              </w:rPr>
              <w:t>Rekreacija, kultura in religija</w:t>
            </w:r>
          </w:p>
        </w:tc>
        <w:tc>
          <w:tcPr>
            <w:tcW w:w="4140" w:type="dxa"/>
            <w:hideMark/>
          </w:tcPr>
          <w:p w:rsidR="00610BDE" w:rsidRPr="00E969A4" w:rsidRDefault="00610BDE" w:rsidP="00610BD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bCs/>
                <w:color w:val="4F81BD" w:themeColor="accent1"/>
                <w:sz w:val="16"/>
                <w:szCs w:val="16"/>
              </w:rPr>
            </w:pPr>
            <w:r w:rsidRPr="00E969A4">
              <w:rPr>
                <w:rFonts w:ascii="Arial Narrow" w:hAnsi="Arial Narrow"/>
                <w:b/>
                <w:bCs/>
                <w:color w:val="4F81BD" w:themeColor="accent1"/>
                <w:sz w:val="16"/>
                <w:szCs w:val="16"/>
              </w:rPr>
              <w:t>Kulturne storitve</w:t>
            </w:r>
          </w:p>
        </w:tc>
        <w:tc>
          <w:tcPr>
            <w:tcW w:w="1660" w:type="dxa"/>
            <w:hideMark/>
          </w:tcPr>
          <w:p w:rsidR="00610BDE" w:rsidRPr="00E969A4" w:rsidRDefault="00610BDE" w:rsidP="00610BD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bCs/>
                <w:color w:val="4F81BD" w:themeColor="accent1"/>
                <w:sz w:val="16"/>
                <w:szCs w:val="16"/>
              </w:rPr>
            </w:pPr>
            <w:r w:rsidRPr="00E969A4">
              <w:rPr>
                <w:rFonts w:ascii="Arial Narrow" w:hAnsi="Arial Narrow"/>
                <w:b/>
                <w:bCs/>
                <w:color w:val="4F81BD" w:themeColor="accent1"/>
                <w:sz w:val="16"/>
                <w:szCs w:val="16"/>
              </w:rPr>
              <w:t>301,3</w:t>
            </w:r>
          </w:p>
        </w:tc>
      </w:tr>
      <w:tr w:rsidR="00610BDE" w:rsidRPr="00610BDE" w:rsidTr="00E969A4">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200" w:type="dxa"/>
            <w:hideMark/>
          </w:tcPr>
          <w:p w:rsidR="00610BDE" w:rsidRPr="00E969A4" w:rsidRDefault="00610BDE" w:rsidP="00610BDE">
            <w:pPr>
              <w:spacing w:after="0" w:line="240" w:lineRule="auto"/>
              <w:rPr>
                <w:rFonts w:ascii="Arial Narrow" w:hAnsi="Arial Narrow"/>
                <w:sz w:val="16"/>
                <w:szCs w:val="16"/>
              </w:rPr>
            </w:pPr>
            <w:r w:rsidRPr="00E969A4">
              <w:rPr>
                <w:rFonts w:ascii="Arial Narrow" w:hAnsi="Arial Narrow"/>
                <w:sz w:val="16"/>
                <w:szCs w:val="16"/>
              </w:rPr>
              <w:t>17</w:t>
            </w:r>
            <w:r w:rsidR="00E969A4">
              <w:rPr>
                <w:rFonts w:ascii="Arial Narrow" w:hAnsi="Arial Narrow"/>
                <w:sz w:val="16"/>
                <w:szCs w:val="16"/>
              </w:rPr>
              <w:t>.</w:t>
            </w:r>
          </w:p>
        </w:tc>
        <w:tc>
          <w:tcPr>
            <w:tcW w:w="4200" w:type="dxa"/>
            <w:hideMark/>
          </w:tcPr>
          <w:p w:rsidR="00610BDE" w:rsidRPr="00610BDE"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Ekonomske dejavnosti</w:t>
            </w:r>
          </w:p>
        </w:tc>
        <w:tc>
          <w:tcPr>
            <w:tcW w:w="4140" w:type="dxa"/>
            <w:hideMark/>
          </w:tcPr>
          <w:p w:rsidR="00610BDE" w:rsidRPr="00E969A4"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sz w:val="16"/>
                <w:szCs w:val="16"/>
              </w:rPr>
            </w:pPr>
            <w:r w:rsidRPr="00E969A4">
              <w:rPr>
                <w:rFonts w:ascii="Arial Narrow" w:hAnsi="Arial Narrow"/>
                <w:b/>
                <w:sz w:val="16"/>
                <w:szCs w:val="16"/>
              </w:rPr>
              <w:t>Kmetijstvo, gozdarstvo, ribištvo in lov</w:t>
            </w:r>
          </w:p>
        </w:tc>
        <w:tc>
          <w:tcPr>
            <w:tcW w:w="1660" w:type="dxa"/>
            <w:hideMark/>
          </w:tcPr>
          <w:p w:rsidR="00610BDE" w:rsidRPr="00610BDE"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275,5</w:t>
            </w:r>
          </w:p>
        </w:tc>
      </w:tr>
      <w:tr w:rsidR="00610BDE" w:rsidRPr="00610BDE" w:rsidTr="00E969A4">
        <w:trPr>
          <w:trHeight w:val="227"/>
        </w:trPr>
        <w:tc>
          <w:tcPr>
            <w:cnfStyle w:val="001000000000" w:firstRow="0" w:lastRow="0" w:firstColumn="1" w:lastColumn="0" w:oddVBand="0" w:evenVBand="0" w:oddHBand="0" w:evenHBand="0" w:firstRowFirstColumn="0" w:firstRowLastColumn="0" w:lastRowFirstColumn="0" w:lastRowLastColumn="0"/>
            <w:tcW w:w="1200" w:type="dxa"/>
            <w:hideMark/>
          </w:tcPr>
          <w:p w:rsidR="00610BDE" w:rsidRPr="00E969A4" w:rsidRDefault="00610BDE" w:rsidP="00610BDE">
            <w:pPr>
              <w:spacing w:after="0" w:line="240" w:lineRule="auto"/>
              <w:rPr>
                <w:rFonts w:ascii="Arial Narrow" w:hAnsi="Arial Narrow"/>
                <w:sz w:val="16"/>
                <w:szCs w:val="16"/>
              </w:rPr>
            </w:pPr>
            <w:r w:rsidRPr="00E969A4">
              <w:rPr>
                <w:rFonts w:ascii="Arial Narrow" w:hAnsi="Arial Narrow"/>
                <w:sz w:val="16"/>
                <w:szCs w:val="16"/>
              </w:rPr>
              <w:t>18</w:t>
            </w:r>
            <w:r w:rsidR="00E969A4">
              <w:rPr>
                <w:rFonts w:ascii="Arial Narrow" w:hAnsi="Arial Narrow"/>
                <w:sz w:val="16"/>
                <w:szCs w:val="16"/>
              </w:rPr>
              <w:t>.</w:t>
            </w:r>
          </w:p>
        </w:tc>
        <w:tc>
          <w:tcPr>
            <w:tcW w:w="4200" w:type="dxa"/>
            <w:hideMark/>
          </w:tcPr>
          <w:p w:rsidR="00610BDE" w:rsidRPr="00610BDE" w:rsidRDefault="00610BDE" w:rsidP="00610BD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Ekonomske dejavnosti</w:t>
            </w:r>
          </w:p>
        </w:tc>
        <w:tc>
          <w:tcPr>
            <w:tcW w:w="4140" w:type="dxa"/>
            <w:hideMark/>
          </w:tcPr>
          <w:p w:rsidR="00610BDE" w:rsidRPr="00E969A4" w:rsidRDefault="00610BDE" w:rsidP="00610BD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sz w:val="16"/>
                <w:szCs w:val="16"/>
              </w:rPr>
            </w:pPr>
            <w:r w:rsidRPr="00E969A4">
              <w:rPr>
                <w:rFonts w:ascii="Arial Narrow" w:hAnsi="Arial Narrow"/>
                <w:b/>
                <w:sz w:val="16"/>
                <w:szCs w:val="16"/>
              </w:rPr>
              <w:t>Splošne ekonomske in trgovinske zadeve in zadeve, povezane z zaposlovanjem</w:t>
            </w:r>
          </w:p>
        </w:tc>
        <w:tc>
          <w:tcPr>
            <w:tcW w:w="1660" w:type="dxa"/>
            <w:hideMark/>
          </w:tcPr>
          <w:p w:rsidR="00610BDE" w:rsidRPr="00610BDE" w:rsidRDefault="00610BDE" w:rsidP="00610BD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229,8</w:t>
            </w:r>
          </w:p>
        </w:tc>
      </w:tr>
      <w:tr w:rsidR="00610BDE" w:rsidRPr="00610BDE" w:rsidTr="00E969A4">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200" w:type="dxa"/>
            <w:hideMark/>
          </w:tcPr>
          <w:p w:rsidR="00610BDE" w:rsidRPr="00E969A4" w:rsidRDefault="00610BDE" w:rsidP="00610BDE">
            <w:pPr>
              <w:spacing w:after="0" w:line="240" w:lineRule="auto"/>
              <w:rPr>
                <w:rFonts w:ascii="Arial Narrow" w:hAnsi="Arial Narrow"/>
                <w:sz w:val="16"/>
                <w:szCs w:val="16"/>
              </w:rPr>
            </w:pPr>
            <w:r w:rsidRPr="00E969A4">
              <w:rPr>
                <w:rFonts w:ascii="Arial Narrow" w:hAnsi="Arial Narrow"/>
                <w:sz w:val="16"/>
                <w:szCs w:val="16"/>
              </w:rPr>
              <w:t>19</w:t>
            </w:r>
            <w:r w:rsidR="00E969A4">
              <w:rPr>
                <w:rFonts w:ascii="Arial Narrow" w:hAnsi="Arial Narrow"/>
                <w:sz w:val="16"/>
                <w:szCs w:val="16"/>
              </w:rPr>
              <w:t>.</w:t>
            </w:r>
          </w:p>
        </w:tc>
        <w:tc>
          <w:tcPr>
            <w:tcW w:w="4200" w:type="dxa"/>
            <w:hideMark/>
          </w:tcPr>
          <w:p w:rsidR="00610BDE" w:rsidRPr="00610BDE"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Javna uprava</w:t>
            </w:r>
          </w:p>
        </w:tc>
        <w:tc>
          <w:tcPr>
            <w:tcW w:w="4140" w:type="dxa"/>
            <w:hideMark/>
          </w:tcPr>
          <w:p w:rsidR="00610BDE" w:rsidRPr="00E969A4"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sz w:val="16"/>
                <w:szCs w:val="16"/>
              </w:rPr>
            </w:pPr>
            <w:r w:rsidRPr="00E969A4">
              <w:rPr>
                <w:rFonts w:ascii="Arial Narrow" w:hAnsi="Arial Narrow"/>
                <w:b/>
                <w:sz w:val="16"/>
                <w:szCs w:val="16"/>
              </w:rPr>
              <w:t>Splošne storitve</w:t>
            </w:r>
          </w:p>
        </w:tc>
        <w:tc>
          <w:tcPr>
            <w:tcW w:w="1660" w:type="dxa"/>
            <w:hideMark/>
          </w:tcPr>
          <w:p w:rsidR="00610BDE" w:rsidRPr="00610BDE"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229,5</w:t>
            </w:r>
          </w:p>
        </w:tc>
      </w:tr>
      <w:tr w:rsidR="00610BDE" w:rsidRPr="00610BDE" w:rsidTr="00E969A4">
        <w:trPr>
          <w:trHeight w:val="227"/>
        </w:trPr>
        <w:tc>
          <w:tcPr>
            <w:cnfStyle w:val="001000000000" w:firstRow="0" w:lastRow="0" w:firstColumn="1" w:lastColumn="0" w:oddVBand="0" w:evenVBand="0" w:oddHBand="0" w:evenHBand="0" w:firstRowFirstColumn="0" w:firstRowLastColumn="0" w:lastRowFirstColumn="0" w:lastRowLastColumn="0"/>
            <w:tcW w:w="1200" w:type="dxa"/>
            <w:hideMark/>
          </w:tcPr>
          <w:p w:rsidR="00610BDE" w:rsidRPr="00E969A4" w:rsidRDefault="00610BDE" w:rsidP="00610BDE">
            <w:pPr>
              <w:spacing w:after="0" w:line="240" w:lineRule="auto"/>
              <w:rPr>
                <w:rFonts w:ascii="Arial Narrow" w:hAnsi="Arial Narrow"/>
                <w:sz w:val="16"/>
                <w:szCs w:val="16"/>
              </w:rPr>
            </w:pPr>
            <w:r w:rsidRPr="00E969A4">
              <w:rPr>
                <w:rFonts w:ascii="Arial Narrow" w:hAnsi="Arial Narrow"/>
                <w:sz w:val="16"/>
                <w:szCs w:val="16"/>
              </w:rPr>
              <w:t>20</w:t>
            </w:r>
            <w:r w:rsidR="00E969A4">
              <w:rPr>
                <w:rFonts w:ascii="Arial Narrow" w:hAnsi="Arial Narrow"/>
                <w:sz w:val="16"/>
                <w:szCs w:val="16"/>
              </w:rPr>
              <w:t>.</w:t>
            </w:r>
          </w:p>
        </w:tc>
        <w:tc>
          <w:tcPr>
            <w:tcW w:w="4200" w:type="dxa"/>
            <w:hideMark/>
          </w:tcPr>
          <w:p w:rsidR="00610BDE" w:rsidRPr="00610BDE" w:rsidRDefault="00610BDE" w:rsidP="00610BD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Socialna zaščita</w:t>
            </w:r>
          </w:p>
        </w:tc>
        <w:tc>
          <w:tcPr>
            <w:tcW w:w="4140" w:type="dxa"/>
            <w:hideMark/>
          </w:tcPr>
          <w:p w:rsidR="00610BDE" w:rsidRPr="00E969A4" w:rsidRDefault="00610BDE" w:rsidP="00610BD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sz w:val="16"/>
                <w:szCs w:val="16"/>
              </w:rPr>
            </w:pPr>
            <w:r w:rsidRPr="00E969A4">
              <w:rPr>
                <w:rFonts w:ascii="Arial Narrow" w:hAnsi="Arial Narrow"/>
                <w:b/>
                <w:sz w:val="16"/>
                <w:szCs w:val="16"/>
              </w:rPr>
              <w:t>Druge oblike socialne izključenosti</w:t>
            </w:r>
          </w:p>
        </w:tc>
        <w:tc>
          <w:tcPr>
            <w:tcW w:w="1660" w:type="dxa"/>
            <w:hideMark/>
          </w:tcPr>
          <w:p w:rsidR="00610BDE" w:rsidRPr="00610BDE" w:rsidRDefault="00610BDE" w:rsidP="00610BD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199,6</w:t>
            </w:r>
          </w:p>
        </w:tc>
      </w:tr>
      <w:tr w:rsidR="00610BDE" w:rsidRPr="00610BDE" w:rsidTr="00E969A4">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200" w:type="dxa"/>
            <w:hideMark/>
          </w:tcPr>
          <w:p w:rsidR="00610BDE" w:rsidRPr="00E969A4" w:rsidRDefault="00610BDE" w:rsidP="00610BDE">
            <w:pPr>
              <w:spacing w:after="0" w:line="240" w:lineRule="auto"/>
              <w:rPr>
                <w:rFonts w:ascii="Arial Narrow" w:hAnsi="Arial Narrow"/>
                <w:sz w:val="16"/>
                <w:szCs w:val="16"/>
              </w:rPr>
            </w:pPr>
            <w:r w:rsidRPr="00E969A4">
              <w:rPr>
                <w:rFonts w:ascii="Arial Narrow" w:hAnsi="Arial Narrow"/>
                <w:sz w:val="16"/>
                <w:szCs w:val="16"/>
              </w:rPr>
              <w:t>21</w:t>
            </w:r>
            <w:r w:rsidR="00E969A4">
              <w:rPr>
                <w:rFonts w:ascii="Arial Narrow" w:hAnsi="Arial Narrow"/>
                <w:sz w:val="16"/>
                <w:szCs w:val="16"/>
              </w:rPr>
              <w:t>.</w:t>
            </w:r>
          </w:p>
        </w:tc>
        <w:tc>
          <w:tcPr>
            <w:tcW w:w="4200" w:type="dxa"/>
            <w:hideMark/>
          </w:tcPr>
          <w:p w:rsidR="00610BDE" w:rsidRPr="00610BDE"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Javni red in varnost</w:t>
            </w:r>
          </w:p>
        </w:tc>
        <w:tc>
          <w:tcPr>
            <w:tcW w:w="4140" w:type="dxa"/>
            <w:hideMark/>
          </w:tcPr>
          <w:p w:rsidR="00610BDE" w:rsidRPr="00E969A4"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sz w:val="16"/>
                <w:szCs w:val="16"/>
              </w:rPr>
            </w:pPr>
            <w:r w:rsidRPr="00E969A4">
              <w:rPr>
                <w:rFonts w:ascii="Arial Narrow" w:hAnsi="Arial Narrow"/>
                <w:b/>
                <w:sz w:val="16"/>
                <w:szCs w:val="16"/>
              </w:rPr>
              <w:t>Sodišča in drugi pravosodni organi</w:t>
            </w:r>
          </w:p>
        </w:tc>
        <w:tc>
          <w:tcPr>
            <w:tcW w:w="1660" w:type="dxa"/>
            <w:hideMark/>
          </w:tcPr>
          <w:p w:rsidR="00610BDE" w:rsidRPr="00610BDE"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197,9</w:t>
            </w:r>
          </w:p>
        </w:tc>
      </w:tr>
      <w:tr w:rsidR="00610BDE" w:rsidRPr="00610BDE" w:rsidTr="00E969A4">
        <w:trPr>
          <w:trHeight w:val="227"/>
        </w:trPr>
        <w:tc>
          <w:tcPr>
            <w:cnfStyle w:val="001000000000" w:firstRow="0" w:lastRow="0" w:firstColumn="1" w:lastColumn="0" w:oddVBand="0" w:evenVBand="0" w:oddHBand="0" w:evenHBand="0" w:firstRowFirstColumn="0" w:firstRowLastColumn="0" w:lastRowFirstColumn="0" w:lastRowLastColumn="0"/>
            <w:tcW w:w="1200" w:type="dxa"/>
            <w:hideMark/>
          </w:tcPr>
          <w:p w:rsidR="00610BDE" w:rsidRPr="00E969A4" w:rsidRDefault="00610BDE" w:rsidP="00610BDE">
            <w:pPr>
              <w:spacing w:after="0" w:line="240" w:lineRule="auto"/>
              <w:rPr>
                <w:rFonts w:ascii="Arial Narrow" w:hAnsi="Arial Narrow"/>
                <w:sz w:val="16"/>
                <w:szCs w:val="16"/>
              </w:rPr>
            </w:pPr>
            <w:r w:rsidRPr="00E969A4">
              <w:rPr>
                <w:rFonts w:ascii="Arial Narrow" w:hAnsi="Arial Narrow"/>
                <w:sz w:val="16"/>
                <w:szCs w:val="16"/>
              </w:rPr>
              <w:t>22</w:t>
            </w:r>
            <w:r w:rsidR="00E969A4">
              <w:rPr>
                <w:rFonts w:ascii="Arial Narrow" w:hAnsi="Arial Narrow"/>
                <w:sz w:val="16"/>
                <w:szCs w:val="16"/>
              </w:rPr>
              <w:t>.</w:t>
            </w:r>
          </w:p>
        </w:tc>
        <w:tc>
          <w:tcPr>
            <w:tcW w:w="4200" w:type="dxa"/>
            <w:hideMark/>
          </w:tcPr>
          <w:p w:rsidR="00610BDE" w:rsidRPr="00610BDE" w:rsidRDefault="00610BDE" w:rsidP="00610BD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Javna uprava</w:t>
            </w:r>
          </w:p>
        </w:tc>
        <w:tc>
          <w:tcPr>
            <w:tcW w:w="4140" w:type="dxa"/>
            <w:hideMark/>
          </w:tcPr>
          <w:p w:rsidR="00610BDE" w:rsidRPr="00E969A4" w:rsidRDefault="00610BDE" w:rsidP="00610BD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sz w:val="16"/>
                <w:szCs w:val="16"/>
              </w:rPr>
            </w:pPr>
            <w:r w:rsidRPr="00E969A4">
              <w:rPr>
                <w:rFonts w:ascii="Arial Narrow" w:hAnsi="Arial Narrow"/>
                <w:b/>
                <w:sz w:val="16"/>
                <w:szCs w:val="16"/>
              </w:rPr>
              <w:t>Temeljne raziskave</w:t>
            </w:r>
          </w:p>
        </w:tc>
        <w:tc>
          <w:tcPr>
            <w:tcW w:w="1660" w:type="dxa"/>
            <w:hideMark/>
          </w:tcPr>
          <w:p w:rsidR="00610BDE" w:rsidRPr="00610BDE" w:rsidRDefault="00610BDE" w:rsidP="00610BD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184,1</w:t>
            </w:r>
          </w:p>
        </w:tc>
      </w:tr>
      <w:tr w:rsidR="00610BDE" w:rsidRPr="00610BDE" w:rsidTr="00E969A4">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200" w:type="dxa"/>
            <w:hideMark/>
          </w:tcPr>
          <w:p w:rsidR="00610BDE" w:rsidRPr="00E969A4" w:rsidRDefault="00610BDE" w:rsidP="00610BDE">
            <w:pPr>
              <w:spacing w:after="0" w:line="240" w:lineRule="auto"/>
              <w:rPr>
                <w:rFonts w:ascii="Arial Narrow" w:hAnsi="Arial Narrow"/>
                <w:sz w:val="16"/>
                <w:szCs w:val="16"/>
              </w:rPr>
            </w:pPr>
            <w:r w:rsidRPr="00E969A4">
              <w:rPr>
                <w:rFonts w:ascii="Arial Narrow" w:hAnsi="Arial Narrow"/>
                <w:sz w:val="16"/>
                <w:szCs w:val="16"/>
              </w:rPr>
              <w:t>23</w:t>
            </w:r>
          </w:p>
        </w:tc>
        <w:tc>
          <w:tcPr>
            <w:tcW w:w="4200" w:type="dxa"/>
            <w:hideMark/>
          </w:tcPr>
          <w:p w:rsidR="00610BDE" w:rsidRPr="00610BDE"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Socialna zaščita</w:t>
            </w:r>
          </w:p>
        </w:tc>
        <w:tc>
          <w:tcPr>
            <w:tcW w:w="4140" w:type="dxa"/>
            <w:hideMark/>
          </w:tcPr>
          <w:p w:rsidR="00610BDE" w:rsidRPr="00E969A4"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sz w:val="16"/>
                <w:szCs w:val="16"/>
              </w:rPr>
            </w:pPr>
            <w:r w:rsidRPr="00E969A4">
              <w:rPr>
                <w:rFonts w:ascii="Arial Narrow" w:hAnsi="Arial Narrow"/>
                <w:b/>
                <w:sz w:val="16"/>
                <w:szCs w:val="16"/>
              </w:rPr>
              <w:t>Druge dejavnosti s področja socialne zaščite</w:t>
            </w:r>
          </w:p>
        </w:tc>
        <w:tc>
          <w:tcPr>
            <w:tcW w:w="1660" w:type="dxa"/>
            <w:hideMark/>
          </w:tcPr>
          <w:p w:rsidR="00610BDE" w:rsidRPr="00610BDE"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182,7</w:t>
            </w:r>
          </w:p>
        </w:tc>
      </w:tr>
      <w:tr w:rsidR="00610BDE" w:rsidRPr="00610BDE" w:rsidTr="00E969A4">
        <w:trPr>
          <w:trHeight w:val="227"/>
        </w:trPr>
        <w:tc>
          <w:tcPr>
            <w:cnfStyle w:val="001000000000" w:firstRow="0" w:lastRow="0" w:firstColumn="1" w:lastColumn="0" w:oddVBand="0" w:evenVBand="0" w:oddHBand="0" w:evenHBand="0" w:firstRowFirstColumn="0" w:firstRowLastColumn="0" w:lastRowFirstColumn="0" w:lastRowLastColumn="0"/>
            <w:tcW w:w="1200" w:type="dxa"/>
            <w:hideMark/>
          </w:tcPr>
          <w:p w:rsidR="00610BDE" w:rsidRPr="00E969A4" w:rsidRDefault="00610BDE" w:rsidP="00610BDE">
            <w:pPr>
              <w:spacing w:after="0" w:line="240" w:lineRule="auto"/>
              <w:rPr>
                <w:rFonts w:ascii="Arial Narrow" w:hAnsi="Arial Narrow"/>
                <w:sz w:val="16"/>
                <w:szCs w:val="16"/>
              </w:rPr>
            </w:pPr>
            <w:r w:rsidRPr="00E969A4">
              <w:rPr>
                <w:rFonts w:ascii="Arial Narrow" w:hAnsi="Arial Narrow"/>
                <w:sz w:val="16"/>
                <w:szCs w:val="16"/>
              </w:rPr>
              <w:t>24</w:t>
            </w:r>
          </w:p>
        </w:tc>
        <w:tc>
          <w:tcPr>
            <w:tcW w:w="4200" w:type="dxa"/>
            <w:hideMark/>
          </w:tcPr>
          <w:p w:rsidR="00610BDE" w:rsidRPr="00610BDE" w:rsidRDefault="00610BDE" w:rsidP="00610BD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Ekonomske dejavnosti</w:t>
            </w:r>
          </w:p>
        </w:tc>
        <w:tc>
          <w:tcPr>
            <w:tcW w:w="4140" w:type="dxa"/>
            <w:hideMark/>
          </w:tcPr>
          <w:p w:rsidR="00610BDE" w:rsidRPr="00E969A4" w:rsidRDefault="00610BDE" w:rsidP="00610BD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sz w:val="16"/>
                <w:szCs w:val="16"/>
              </w:rPr>
            </w:pPr>
            <w:r w:rsidRPr="00E969A4">
              <w:rPr>
                <w:rFonts w:ascii="Arial Narrow" w:hAnsi="Arial Narrow"/>
                <w:b/>
                <w:sz w:val="16"/>
                <w:szCs w:val="16"/>
              </w:rPr>
              <w:t>Raziskave in razvoj na področju ekonomskih dejavnosti</w:t>
            </w:r>
          </w:p>
        </w:tc>
        <w:tc>
          <w:tcPr>
            <w:tcW w:w="1660" w:type="dxa"/>
            <w:hideMark/>
          </w:tcPr>
          <w:p w:rsidR="00610BDE" w:rsidRPr="00610BDE" w:rsidRDefault="00610BDE" w:rsidP="00610BD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162,5</w:t>
            </w:r>
          </w:p>
        </w:tc>
      </w:tr>
      <w:tr w:rsidR="00610BDE" w:rsidRPr="00610BDE" w:rsidTr="00E969A4">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200" w:type="dxa"/>
            <w:hideMark/>
          </w:tcPr>
          <w:p w:rsidR="00610BDE" w:rsidRPr="00EB27C9" w:rsidRDefault="00610BDE" w:rsidP="00610BDE">
            <w:pPr>
              <w:spacing w:after="0" w:line="240" w:lineRule="auto"/>
              <w:rPr>
                <w:rFonts w:ascii="Arial Narrow" w:hAnsi="Arial Narrow"/>
                <w:color w:val="4F81BD" w:themeColor="accent1"/>
                <w:sz w:val="16"/>
                <w:szCs w:val="16"/>
              </w:rPr>
            </w:pPr>
            <w:r w:rsidRPr="00EB27C9">
              <w:rPr>
                <w:rFonts w:ascii="Arial Narrow" w:hAnsi="Arial Narrow"/>
                <w:color w:val="4F81BD" w:themeColor="accent1"/>
                <w:sz w:val="16"/>
                <w:szCs w:val="16"/>
              </w:rPr>
              <w:t>25</w:t>
            </w:r>
          </w:p>
        </w:tc>
        <w:tc>
          <w:tcPr>
            <w:tcW w:w="4200" w:type="dxa"/>
            <w:hideMark/>
          </w:tcPr>
          <w:p w:rsidR="00610BDE" w:rsidRPr="00EB27C9"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color w:val="4F81BD" w:themeColor="accent1"/>
                <w:sz w:val="16"/>
                <w:szCs w:val="16"/>
              </w:rPr>
            </w:pPr>
            <w:r w:rsidRPr="00EB27C9">
              <w:rPr>
                <w:rFonts w:ascii="Arial Narrow" w:hAnsi="Arial Narrow"/>
                <w:b/>
                <w:color w:val="4F81BD" w:themeColor="accent1"/>
                <w:sz w:val="16"/>
                <w:szCs w:val="16"/>
              </w:rPr>
              <w:t>Rekreacija, kultura in religija</w:t>
            </w:r>
          </w:p>
        </w:tc>
        <w:tc>
          <w:tcPr>
            <w:tcW w:w="4140" w:type="dxa"/>
            <w:hideMark/>
          </w:tcPr>
          <w:p w:rsidR="00610BDE" w:rsidRPr="00EB27C9"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color w:val="4F81BD" w:themeColor="accent1"/>
                <w:sz w:val="16"/>
                <w:szCs w:val="16"/>
              </w:rPr>
            </w:pPr>
            <w:r w:rsidRPr="00EB27C9">
              <w:rPr>
                <w:rFonts w:ascii="Arial Narrow" w:hAnsi="Arial Narrow"/>
                <w:b/>
                <w:color w:val="4F81BD" w:themeColor="accent1"/>
                <w:sz w:val="16"/>
                <w:szCs w:val="16"/>
              </w:rPr>
              <w:t>Storitve radia, televizije in založništva</w:t>
            </w:r>
          </w:p>
        </w:tc>
        <w:tc>
          <w:tcPr>
            <w:tcW w:w="1660" w:type="dxa"/>
            <w:hideMark/>
          </w:tcPr>
          <w:p w:rsidR="00610BDE" w:rsidRPr="00EB27C9"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color w:val="4F81BD" w:themeColor="accent1"/>
                <w:sz w:val="16"/>
                <w:szCs w:val="16"/>
              </w:rPr>
            </w:pPr>
            <w:r w:rsidRPr="00EB27C9">
              <w:rPr>
                <w:rFonts w:ascii="Arial Narrow" w:hAnsi="Arial Narrow"/>
                <w:b/>
                <w:color w:val="4F81BD" w:themeColor="accent1"/>
                <w:sz w:val="16"/>
                <w:szCs w:val="16"/>
              </w:rPr>
              <w:t>147,6</w:t>
            </w:r>
          </w:p>
        </w:tc>
      </w:tr>
      <w:tr w:rsidR="00610BDE" w:rsidRPr="00610BDE" w:rsidTr="00E969A4">
        <w:trPr>
          <w:trHeight w:val="227"/>
        </w:trPr>
        <w:tc>
          <w:tcPr>
            <w:cnfStyle w:val="001000000000" w:firstRow="0" w:lastRow="0" w:firstColumn="1" w:lastColumn="0" w:oddVBand="0" w:evenVBand="0" w:oddHBand="0" w:evenHBand="0" w:firstRowFirstColumn="0" w:firstRowLastColumn="0" w:lastRowFirstColumn="0" w:lastRowLastColumn="0"/>
            <w:tcW w:w="1200" w:type="dxa"/>
            <w:hideMark/>
          </w:tcPr>
          <w:p w:rsidR="00610BDE" w:rsidRPr="00E969A4" w:rsidRDefault="00610BDE" w:rsidP="00610BDE">
            <w:pPr>
              <w:spacing w:after="0" w:line="240" w:lineRule="auto"/>
              <w:rPr>
                <w:rFonts w:ascii="Arial Narrow" w:hAnsi="Arial Narrow"/>
                <w:sz w:val="16"/>
                <w:szCs w:val="16"/>
              </w:rPr>
            </w:pPr>
            <w:r w:rsidRPr="00E969A4">
              <w:rPr>
                <w:rFonts w:ascii="Arial Narrow" w:hAnsi="Arial Narrow"/>
                <w:sz w:val="16"/>
                <w:szCs w:val="16"/>
              </w:rPr>
              <w:t>26</w:t>
            </w:r>
          </w:p>
        </w:tc>
        <w:tc>
          <w:tcPr>
            <w:tcW w:w="4200" w:type="dxa"/>
            <w:hideMark/>
          </w:tcPr>
          <w:p w:rsidR="00610BDE" w:rsidRPr="00610BDE" w:rsidRDefault="00610BDE" w:rsidP="00610BD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Javna uprava</w:t>
            </w:r>
          </w:p>
        </w:tc>
        <w:tc>
          <w:tcPr>
            <w:tcW w:w="4140" w:type="dxa"/>
            <w:hideMark/>
          </w:tcPr>
          <w:p w:rsidR="00610BDE" w:rsidRPr="00E969A4" w:rsidRDefault="00610BDE" w:rsidP="00610BD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sz w:val="16"/>
                <w:szCs w:val="16"/>
              </w:rPr>
            </w:pPr>
            <w:r w:rsidRPr="00E969A4">
              <w:rPr>
                <w:rFonts w:ascii="Arial Narrow" w:hAnsi="Arial Narrow"/>
                <w:b/>
                <w:sz w:val="16"/>
                <w:szCs w:val="16"/>
              </w:rPr>
              <w:t>Druge dejavnosti s področja javne uprave</w:t>
            </w:r>
          </w:p>
        </w:tc>
        <w:tc>
          <w:tcPr>
            <w:tcW w:w="1660" w:type="dxa"/>
            <w:hideMark/>
          </w:tcPr>
          <w:p w:rsidR="00610BDE" w:rsidRPr="00610BDE" w:rsidRDefault="00610BDE" w:rsidP="00610BD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141,4</w:t>
            </w:r>
          </w:p>
        </w:tc>
      </w:tr>
      <w:tr w:rsidR="00610BDE" w:rsidRPr="00610BDE" w:rsidTr="00E969A4">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200" w:type="dxa"/>
            <w:hideMark/>
          </w:tcPr>
          <w:p w:rsidR="00610BDE" w:rsidRPr="00E969A4" w:rsidRDefault="00610BDE" w:rsidP="00610BDE">
            <w:pPr>
              <w:spacing w:after="0" w:line="240" w:lineRule="auto"/>
              <w:rPr>
                <w:rFonts w:ascii="Arial Narrow" w:hAnsi="Arial Narrow"/>
                <w:sz w:val="16"/>
                <w:szCs w:val="16"/>
              </w:rPr>
            </w:pPr>
            <w:r w:rsidRPr="00E969A4">
              <w:rPr>
                <w:rFonts w:ascii="Arial Narrow" w:hAnsi="Arial Narrow"/>
                <w:sz w:val="16"/>
                <w:szCs w:val="16"/>
              </w:rPr>
              <w:t>27</w:t>
            </w:r>
          </w:p>
        </w:tc>
        <w:tc>
          <w:tcPr>
            <w:tcW w:w="4200" w:type="dxa"/>
            <w:hideMark/>
          </w:tcPr>
          <w:p w:rsidR="00610BDE" w:rsidRPr="00610BDE"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Ekonomske dejavnosti</w:t>
            </w:r>
          </w:p>
        </w:tc>
        <w:tc>
          <w:tcPr>
            <w:tcW w:w="4140" w:type="dxa"/>
            <w:hideMark/>
          </w:tcPr>
          <w:p w:rsidR="00610BDE" w:rsidRPr="00E969A4"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sz w:val="16"/>
                <w:szCs w:val="16"/>
              </w:rPr>
            </w:pPr>
            <w:r w:rsidRPr="00E969A4">
              <w:rPr>
                <w:rFonts w:ascii="Arial Narrow" w:hAnsi="Arial Narrow"/>
                <w:b/>
                <w:sz w:val="16"/>
                <w:szCs w:val="16"/>
              </w:rPr>
              <w:t>Komunikacije</w:t>
            </w:r>
          </w:p>
        </w:tc>
        <w:tc>
          <w:tcPr>
            <w:tcW w:w="1660" w:type="dxa"/>
            <w:hideMark/>
          </w:tcPr>
          <w:p w:rsidR="00610BDE" w:rsidRPr="00610BDE"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121,7</w:t>
            </w:r>
          </w:p>
        </w:tc>
      </w:tr>
      <w:tr w:rsidR="00610BDE" w:rsidRPr="00610BDE" w:rsidTr="00E969A4">
        <w:trPr>
          <w:trHeight w:val="227"/>
        </w:trPr>
        <w:tc>
          <w:tcPr>
            <w:cnfStyle w:val="001000000000" w:firstRow="0" w:lastRow="0" w:firstColumn="1" w:lastColumn="0" w:oddVBand="0" w:evenVBand="0" w:oddHBand="0" w:evenHBand="0" w:firstRowFirstColumn="0" w:firstRowLastColumn="0" w:lastRowFirstColumn="0" w:lastRowLastColumn="0"/>
            <w:tcW w:w="1200" w:type="dxa"/>
            <w:hideMark/>
          </w:tcPr>
          <w:p w:rsidR="00610BDE" w:rsidRPr="00E969A4" w:rsidRDefault="00610BDE" w:rsidP="00610BDE">
            <w:pPr>
              <w:spacing w:after="0" w:line="240" w:lineRule="auto"/>
              <w:rPr>
                <w:rFonts w:ascii="Arial Narrow" w:hAnsi="Arial Narrow"/>
                <w:sz w:val="16"/>
                <w:szCs w:val="16"/>
              </w:rPr>
            </w:pPr>
            <w:r w:rsidRPr="00E969A4">
              <w:rPr>
                <w:rFonts w:ascii="Arial Narrow" w:hAnsi="Arial Narrow"/>
                <w:sz w:val="16"/>
                <w:szCs w:val="16"/>
              </w:rPr>
              <w:t>28</w:t>
            </w:r>
          </w:p>
        </w:tc>
        <w:tc>
          <w:tcPr>
            <w:tcW w:w="4200" w:type="dxa"/>
            <w:hideMark/>
          </w:tcPr>
          <w:p w:rsidR="00610BDE" w:rsidRPr="00610BDE" w:rsidRDefault="00610BDE" w:rsidP="00610BD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Socialna zaščita</w:t>
            </w:r>
          </w:p>
        </w:tc>
        <w:tc>
          <w:tcPr>
            <w:tcW w:w="4140" w:type="dxa"/>
            <w:hideMark/>
          </w:tcPr>
          <w:p w:rsidR="00610BDE" w:rsidRPr="00E969A4" w:rsidRDefault="00610BDE" w:rsidP="00610BD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sz w:val="16"/>
                <w:szCs w:val="16"/>
              </w:rPr>
            </w:pPr>
            <w:r w:rsidRPr="00E969A4">
              <w:rPr>
                <w:rFonts w:ascii="Arial Narrow" w:hAnsi="Arial Narrow"/>
                <w:b/>
                <w:sz w:val="16"/>
                <w:szCs w:val="16"/>
              </w:rPr>
              <w:t>Brezposelnost</w:t>
            </w:r>
          </w:p>
        </w:tc>
        <w:tc>
          <w:tcPr>
            <w:tcW w:w="1660" w:type="dxa"/>
            <w:hideMark/>
          </w:tcPr>
          <w:p w:rsidR="00610BDE" w:rsidRPr="00610BDE" w:rsidRDefault="00610BDE" w:rsidP="00610BD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119,1</w:t>
            </w:r>
          </w:p>
        </w:tc>
      </w:tr>
      <w:tr w:rsidR="00610BDE" w:rsidRPr="00610BDE" w:rsidTr="00E969A4">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200" w:type="dxa"/>
            <w:hideMark/>
          </w:tcPr>
          <w:p w:rsidR="00610BDE" w:rsidRPr="00E969A4" w:rsidRDefault="00610BDE" w:rsidP="00610BDE">
            <w:pPr>
              <w:spacing w:after="0" w:line="240" w:lineRule="auto"/>
              <w:rPr>
                <w:rFonts w:ascii="Arial Narrow" w:hAnsi="Arial Narrow"/>
                <w:sz w:val="16"/>
                <w:szCs w:val="16"/>
              </w:rPr>
            </w:pPr>
            <w:r w:rsidRPr="00E969A4">
              <w:rPr>
                <w:rFonts w:ascii="Arial Narrow" w:hAnsi="Arial Narrow"/>
                <w:sz w:val="16"/>
                <w:szCs w:val="16"/>
              </w:rPr>
              <w:t>29</w:t>
            </w:r>
          </w:p>
        </w:tc>
        <w:tc>
          <w:tcPr>
            <w:tcW w:w="4200" w:type="dxa"/>
            <w:hideMark/>
          </w:tcPr>
          <w:p w:rsidR="00610BDE" w:rsidRPr="00610BDE"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Varstvo okolja</w:t>
            </w:r>
          </w:p>
        </w:tc>
        <w:tc>
          <w:tcPr>
            <w:tcW w:w="4140" w:type="dxa"/>
            <w:hideMark/>
          </w:tcPr>
          <w:p w:rsidR="00610BDE" w:rsidRPr="00E969A4"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sz w:val="16"/>
                <w:szCs w:val="16"/>
              </w:rPr>
            </w:pPr>
            <w:r w:rsidRPr="00E969A4">
              <w:rPr>
                <w:rFonts w:ascii="Arial Narrow" w:hAnsi="Arial Narrow"/>
                <w:b/>
                <w:sz w:val="16"/>
                <w:szCs w:val="16"/>
              </w:rPr>
              <w:t>Ravnanje z odpadno vodo</w:t>
            </w:r>
          </w:p>
        </w:tc>
        <w:tc>
          <w:tcPr>
            <w:tcW w:w="1660" w:type="dxa"/>
            <w:hideMark/>
          </w:tcPr>
          <w:p w:rsidR="00610BDE" w:rsidRPr="00610BDE"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111,4</w:t>
            </w:r>
          </w:p>
        </w:tc>
      </w:tr>
      <w:tr w:rsidR="00610BDE" w:rsidRPr="00610BDE" w:rsidTr="00E969A4">
        <w:trPr>
          <w:trHeight w:val="227"/>
        </w:trPr>
        <w:tc>
          <w:tcPr>
            <w:cnfStyle w:val="001000000000" w:firstRow="0" w:lastRow="0" w:firstColumn="1" w:lastColumn="0" w:oddVBand="0" w:evenVBand="0" w:oddHBand="0" w:evenHBand="0" w:firstRowFirstColumn="0" w:firstRowLastColumn="0" w:lastRowFirstColumn="0" w:lastRowLastColumn="0"/>
            <w:tcW w:w="1200" w:type="dxa"/>
            <w:hideMark/>
          </w:tcPr>
          <w:p w:rsidR="00610BDE" w:rsidRPr="00E969A4" w:rsidRDefault="00610BDE" w:rsidP="00610BDE">
            <w:pPr>
              <w:spacing w:after="0" w:line="240" w:lineRule="auto"/>
              <w:rPr>
                <w:rFonts w:ascii="Arial Narrow" w:hAnsi="Arial Narrow"/>
                <w:sz w:val="16"/>
                <w:szCs w:val="16"/>
              </w:rPr>
            </w:pPr>
            <w:r w:rsidRPr="00E969A4">
              <w:rPr>
                <w:rFonts w:ascii="Arial Narrow" w:hAnsi="Arial Narrow"/>
                <w:sz w:val="16"/>
                <w:szCs w:val="16"/>
              </w:rPr>
              <w:t>30</w:t>
            </w:r>
          </w:p>
        </w:tc>
        <w:tc>
          <w:tcPr>
            <w:tcW w:w="4200" w:type="dxa"/>
            <w:hideMark/>
          </w:tcPr>
          <w:p w:rsidR="00610BDE" w:rsidRPr="00610BDE" w:rsidRDefault="00610BDE" w:rsidP="00610BD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Varstvo okolja</w:t>
            </w:r>
          </w:p>
        </w:tc>
        <w:tc>
          <w:tcPr>
            <w:tcW w:w="4140" w:type="dxa"/>
            <w:hideMark/>
          </w:tcPr>
          <w:p w:rsidR="00610BDE" w:rsidRPr="00E969A4" w:rsidRDefault="00610BDE" w:rsidP="00610BD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sz w:val="16"/>
                <w:szCs w:val="16"/>
              </w:rPr>
            </w:pPr>
            <w:r w:rsidRPr="00E969A4">
              <w:rPr>
                <w:rFonts w:ascii="Arial Narrow" w:hAnsi="Arial Narrow"/>
                <w:b/>
                <w:sz w:val="16"/>
                <w:szCs w:val="16"/>
              </w:rPr>
              <w:t>Oskrba z vodo</w:t>
            </w:r>
          </w:p>
        </w:tc>
        <w:tc>
          <w:tcPr>
            <w:tcW w:w="1660" w:type="dxa"/>
            <w:hideMark/>
          </w:tcPr>
          <w:p w:rsidR="00610BDE" w:rsidRPr="00610BDE" w:rsidRDefault="00610BDE" w:rsidP="00610BD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104,2</w:t>
            </w:r>
          </w:p>
        </w:tc>
      </w:tr>
      <w:tr w:rsidR="00610BDE" w:rsidRPr="00610BDE" w:rsidTr="00E969A4">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200" w:type="dxa"/>
            <w:hideMark/>
          </w:tcPr>
          <w:p w:rsidR="00610BDE" w:rsidRPr="00E969A4" w:rsidRDefault="00610BDE" w:rsidP="00610BDE">
            <w:pPr>
              <w:spacing w:after="0" w:line="240" w:lineRule="auto"/>
              <w:rPr>
                <w:rFonts w:ascii="Arial Narrow" w:hAnsi="Arial Narrow"/>
                <w:sz w:val="16"/>
                <w:szCs w:val="16"/>
              </w:rPr>
            </w:pPr>
            <w:r w:rsidRPr="00E969A4">
              <w:rPr>
                <w:rFonts w:ascii="Arial Narrow" w:hAnsi="Arial Narrow"/>
                <w:sz w:val="16"/>
                <w:szCs w:val="16"/>
              </w:rPr>
              <w:t>31</w:t>
            </w:r>
          </w:p>
        </w:tc>
        <w:tc>
          <w:tcPr>
            <w:tcW w:w="4200" w:type="dxa"/>
            <w:hideMark/>
          </w:tcPr>
          <w:p w:rsidR="00610BDE" w:rsidRPr="00610BDE"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Rekreacija, kultura in religija</w:t>
            </w:r>
          </w:p>
        </w:tc>
        <w:tc>
          <w:tcPr>
            <w:tcW w:w="4140" w:type="dxa"/>
            <w:hideMark/>
          </w:tcPr>
          <w:p w:rsidR="00610BDE" w:rsidRPr="00E969A4"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sz w:val="16"/>
                <w:szCs w:val="16"/>
              </w:rPr>
            </w:pPr>
            <w:r w:rsidRPr="00E969A4">
              <w:rPr>
                <w:rFonts w:ascii="Arial Narrow" w:hAnsi="Arial Narrow"/>
                <w:b/>
                <w:sz w:val="16"/>
                <w:szCs w:val="16"/>
              </w:rPr>
              <w:t>Rekreacijske in športne storitve</w:t>
            </w:r>
          </w:p>
        </w:tc>
        <w:tc>
          <w:tcPr>
            <w:tcW w:w="1660" w:type="dxa"/>
            <w:hideMark/>
          </w:tcPr>
          <w:p w:rsidR="00610BDE" w:rsidRPr="00610BDE"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101,6</w:t>
            </w:r>
          </w:p>
        </w:tc>
      </w:tr>
      <w:tr w:rsidR="00610BDE" w:rsidRPr="00610BDE" w:rsidTr="00E969A4">
        <w:trPr>
          <w:trHeight w:val="227"/>
        </w:trPr>
        <w:tc>
          <w:tcPr>
            <w:cnfStyle w:val="001000000000" w:firstRow="0" w:lastRow="0" w:firstColumn="1" w:lastColumn="0" w:oddVBand="0" w:evenVBand="0" w:oddHBand="0" w:evenHBand="0" w:firstRowFirstColumn="0" w:firstRowLastColumn="0" w:lastRowFirstColumn="0" w:lastRowLastColumn="0"/>
            <w:tcW w:w="1200" w:type="dxa"/>
            <w:hideMark/>
          </w:tcPr>
          <w:p w:rsidR="00610BDE" w:rsidRPr="00E969A4" w:rsidRDefault="00610BDE" w:rsidP="00610BDE">
            <w:pPr>
              <w:spacing w:after="0" w:line="240" w:lineRule="auto"/>
              <w:rPr>
                <w:rFonts w:ascii="Arial Narrow" w:hAnsi="Arial Narrow"/>
                <w:sz w:val="16"/>
                <w:szCs w:val="16"/>
              </w:rPr>
            </w:pPr>
            <w:r w:rsidRPr="00E969A4">
              <w:rPr>
                <w:rFonts w:ascii="Arial Narrow" w:hAnsi="Arial Narrow"/>
                <w:sz w:val="16"/>
                <w:szCs w:val="16"/>
              </w:rPr>
              <w:t>32</w:t>
            </w:r>
          </w:p>
        </w:tc>
        <w:tc>
          <w:tcPr>
            <w:tcW w:w="4200" w:type="dxa"/>
            <w:hideMark/>
          </w:tcPr>
          <w:p w:rsidR="00610BDE" w:rsidRPr="00610BDE" w:rsidRDefault="00610BDE" w:rsidP="00610BD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Varstvo okolja</w:t>
            </w:r>
          </w:p>
        </w:tc>
        <w:tc>
          <w:tcPr>
            <w:tcW w:w="4140" w:type="dxa"/>
            <w:hideMark/>
          </w:tcPr>
          <w:p w:rsidR="00610BDE" w:rsidRPr="00E969A4" w:rsidRDefault="00610BDE" w:rsidP="00610BD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sz w:val="16"/>
                <w:szCs w:val="16"/>
              </w:rPr>
            </w:pPr>
            <w:r w:rsidRPr="00E969A4">
              <w:rPr>
                <w:rFonts w:ascii="Arial Narrow" w:hAnsi="Arial Narrow"/>
                <w:b/>
                <w:sz w:val="16"/>
                <w:szCs w:val="16"/>
              </w:rPr>
              <w:t>Stanovanjske dejavnosti</w:t>
            </w:r>
          </w:p>
        </w:tc>
        <w:tc>
          <w:tcPr>
            <w:tcW w:w="1660" w:type="dxa"/>
            <w:hideMark/>
          </w:tcPr>
          <w:p w:rsidR="00610BDE" w:rsidRPr="00610BDE" w:rsidRDefault="00610BDE" w:rsidP="00610BD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100,3</w:t>
            </w:r>
          </w:p>
        </w:tc>
      </w:tr>
      <w:tr w:rsidR="00610BDE" w:rsidRPr="00610BDE" w:rsidTr="00E969A4">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200" w:type="dxa"/>
            <w:hideMark/>
          </w:tcPr>
          <w:p w:rsidR="00610BDE" w:rsidRPr="00E969A4" w:rsidRDefault="00610BDE" w:rsidP="00610BDE">
            <w:pPr>
              <w:spacing w:after="0" w:line="240" w:lineRule="auto"/>
              <w:rPr>
                <w:rFonts w:ascii="Arial Narrow" w:hAnsi="Arial Narrow"/>
                <w:sz w:val="16"/>
                <w:szCs w:val="16"/>
              </w:rPr>
            </w:pPr>
            <w:r w:rsidRPr="00E969A4">
              <w:rPr>
                <w:rFonts w:ascii="Arial Narrow" w:hAnsi="Arial Narrow"/>
                <w:sz w:val="16"/>
                <w:szCs w:val="16"/>
              </w:rPr>
              <w:t>33</w:t>
            </w:r>
          </w:p>
        </w:tc>
        <w:tc>
          <w:tcPr>
            <w:tcW w:w="4200" w:type="dxa"/>
            <w:hideMark/>
          </w:tcPr>
          <w:p w:rsidR="00610BDE" w:rsidRPr="00610BDE"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Zdravstvo</w:t>
            </w:r>
          </w:p>
        </w:tc>
        <w:tc>
          <w:tcPr>
            <w:tcW w:w="4140" w:type="dxa"/>
            <w:hideMark/>
          </w:tcPr>
          <w:p w:rsidR="00610BDE" w:rsidRPr="00E969A4"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sz w:val="16"/>
                <w:szCs w:val="16"/>
              </w:rPr>
            </w:pPr>
            <w:r w:rsidRPr="00E969A4">
              <w:rPr>
                <w:rFonts w:ascii="Arial Narrow" w:hAnsi="Arial Narrow"/>
                <w:b/>
                <w:sz w:val="16"/>
                <w:szCs w:val="16"/>
              </w:rPr>
              <w:t>Druge dejavnosti s področja zdravstva</w:t>
            </w:r>
          </w:p>
        </w:tc>
        <w:tc>
          <w:tcPr>
            <w:tcW w:w="1660" w:type="dxa"/>
            <w:hideMark/>
          </w:tcPr>
          <w:p w:rsidR="00610BDE" w:rsidRPr="00610BDE"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91,7</w:t>
            </w:r>
          </w:p>
        </w:tc>
      </w:tr>
      <w:tr w:rsidR="00610BDE" w:rsidRPr="00610BDE" w:rsidTr="00E969A4">
        <w:trPr>
          <w:trHeight w:val="227"/>
        </w:trPr>
        <w:tc>
          <w:tcPr>
            <w:cnfStyle w:val="001000000000" w:firstRow="0" w:lastRow="0" w:firstColumn="1" w:lastColumn="0" w:oddVBand="0" w:evenVBand="0" w:oddHBand="0" w:evenHBand="0" w:firstRowFirstColumn="0" w:firstRowLastColumn="0" w:lastRowFirstColumn="0" w:lastRowLastColumn="0"/>
            <w:tcW w:w="1200" w:type="dxa"/>
            <w:hideMark/>
          </w:tcPr>
          <w:p w:rsidR="00610BDE" w:rsidRPr="00E969A4" w:rsidRDefault="00610BDE" w:rsidP="00610BDE">
            <w:pPr>
              <w:spacing w:after="0" w:line="240" w:lineRule="auto"/>
              <w:rPr>
                <w:rFonts w:ascii="Arial Narrow" w:hAnsi="Arial Narrow"/>
                <w:sz w:val="16"/>
                <w:szCs w:val="16"/>
              </w:rPr>
            </w:pPr>
            <w:r w:rsidRPr="00E969A4">
              <w:rPr>
                <w:rFonts w:ascii="Arial Narrow" w:hAnsi="Arial Narrow"/>
                <w:sz w:val="16"/>
                <w:szCs w:val="16"/>
              </w:rPr>
              <w:t>34</w:t>
            </w:r>
          </w:p>
        </w:tc>
        <w:tc>
          <w:tcPr>
            <w:tcW w:w="4200" w:type="dxa"/>
            <w:hideMark/>
          </w:tcPr>
          <w:p w:rsidR="00610BDE" w:rsidRPr="00610BDE" w:rsidRDefault="00610BDE" w:rsidP="00610BD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Ekonomske dejavnosti</w:t>
            </w:r>
          </w:p>
        </w:tc>
        <w:tc>
          <w:tcPr>
            <w:tcW w:w="4140" w:type="dxa"/>
            <w:hideMark/>
          </w:tcPr>
          <w:p w:rsidR="00610BDE" w:rsidRPr="00E969A4" w:rsidRDefault="00610BDE" w:rsidP="00610BD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sz w:val="16"/>
                <w:szCs w:val="16"/>
              </w:rPr>
            </w:pPr>
            <w:r w:rsidRPr="00E969A4">
              <w:rPr>
                <w:rFonts w:ascii="Arial Narrow" w:hAnsi="Arial Narrow"/>
                <w:b/>
                <w:sz w:val="16"/>
                <w:szCs w:val="16"/>
              </w:rPr>
              <w:t>Druge dejavnosti</w:t>
            </w:r>
          </w:p>
        </w:tc>
        <w:tc>
          <w:tcPr>
            <w:tcW w:w="1660" w:type="dxa"/>
            <w:hideMark/>
          </w:tcPr>
          <w:p w:rsidR="00610BDE" w:rsidRPr="00610BDE" w:rsidRDefault="00610BDE" w:rsidP="00610BD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80,0</w:t>
            </w:r>
          </w:p>
        </w:tc>
      </w:tr>
      <w:tr w:rsidR="00610BDE" w:rsidRPr="00610BDE" w:rsidTr="00E969A4">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200" w:type="dxa"/>
            <w:hideMark/>
          </w:tcPr>
          <w:p w:rsidR="00610BDE" w:rsidRPr="00E969A4" w:rsidRDefault="00610BDE" w:rsidP="00610BDE">
            <w:pPr>
              <w:spacing w:after="0" w:line="240" w:lineRule="auto"/>
              <w:rPr>
                <w:rFonts w:ascii="Arial Narrow" w:hAnsi="Arial Narrow"/>
                <w:sz w:val="16"/>
                <w:szCs w:val="16"/>
              </w:rPr>
            </w:pPr>
            <w:r w:rsidRPr="00E969A4">
              <w:rPr>
                <w:rFonts w:ascii="Arial Narrow" w:hAnsi="Arial Narrow"/>
                <w:sz w:val="16"/>
                <w:szCs w:val="16"/>
              </w:rPr>
              <w:t>35</w:t>
            </w:r>
          </w:p>
        </w:tc>
        <w:tc>
          <w:tcPr>
            <w:tcW w:w="4200" w:type="dxa"/>
            <w:hideMark/>
          </w:tcPr>
          <w:p w:rsidR="00610BDE" w:rsidRPr="00610BDE"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Izobraževanje</w:t>
            </w:r>
          </w:p>
        </w:tc>
        <w:tc>
          <w:tcPr>
            <w:tcW w:w="4140" w:type="dxa"/>
            <w:hideMark/>
          </w:tcPr>
          <w:p w:rsidR="00610BDE" w:rsidRPr="00E969A4"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sz w:val="16"/>
                <w:szCs w:val="16"/>
              </w:rPr>
            </w:pPr>
            <w:r w:rsidRPr="00E969A4">
              <w:rPr>
                <w:rFonts w:ascii="Arial Narrow" w:hAnsi="Arial Narrow"/>
                <w:b/>
                <w:sz w:val="16"/>
                <w:szCs w:val="16"/>
              </w:rPr>
              <w:t>Dopolnilne izobraževalne storitve</w:t>
            </w:r>
          </w:p>
        </w:tc>
        <w:tc>
          <w:tcPr>
            <w:tcW w:w="1660" w:type="dxa"/>
            <w:hideMark/>
          </w:tcPr>
          <w:p w:rsidR="00610BDE" w:rsidRPr="00610BDE"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73,8</w:t>
            </w:r>
          </w:p>
        </w:tc>
      </w:tr>
      <w:tr w:rsidR="00610BDE" w:rsidRPr="00610BDE" w:rsidTr="00E969A4">
        <w:trPr>
          <w:trHeight w:val="227"/>
        </w:trPr>
        <w:tc>
          <w:tcPr>
            <w:cnfStyle w:val="001000000000" w:firstRow="0" w:lastRow="0" w:firstColumn="1" w:lastColumn="0" w:oddVBand="0" w:evenVBand="0" w:oddHBand="0" w:evenHBand="0" w:firstRowFirstColumn="0" w:firstRowLastColumn="0" w:lastRowFirstColumn="0" w:lastRowLastColumn="0"/>
            <w:tcW w:w="1200" w:type="dxa"/>
            <w:hideMark/>
          </w:tcPr>
          <w:p w:rsidR="00610BDE" w:rsidRPr="00E969A4" w:rsidRDefault="00610BDE" w:rsidP="00610BDE">
            <w:pPr>
              <w:spacing w:after="0" w:line="240" w:lineRule="auto"/>
              <w:rPr>
                <w:rFonts w:ascii="Arial Narrow" w:hAnsi="Arial Narrow"/>
                <w:sz w:val="16"/>
                <w:szCs w:val="16"/>
              </w:rPr>
            </w:pPr>
            <w:r w:rsidRPr="00E969A4">
              <w:rPr>
                <w:rFonts w:ascii="Arial Narrow" w:hAnsi="Arial Narrow"/>
                <w:sz w:val="16"/>
                <w:szCs w:val="16"/>
              </w:rPr>
              <w:t>36</w:t>
            </w:r>
          </w:p>
        </w:tc>
        <w:tc>
          <w:tcPr>
            <w:tcW w:w="4200" w:type="dxa"/>
            <w:hideMark/>
          </w:tcPr>
          <w:p w:rsidR="00610BDE" w:rsidRPr="00610BDE" w:rsidRDefault="00610BDE" w:rsidP="00610BD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Izobraževanje</w:t>
            </w:r>
          </w:p>
        </w:tc>
        <w:tc>
          <w:tcPr>
            <w:tcW w:w="4140" w:type="dxa"/>
            <w:hideMark/>
          </w:tcPr>
          <w:p w:rsidR="00610BDE" w:rsidRPr="00E969A4" w:rsidRDefault="00610BDE" w:rsidP="00610BD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sz w:val="16"/>
                <w:szCs w:val="16"/>
              </w:rPr>
            </w:pPr>
            <w:r w:rsidRPr="00E969A4">
              <w:rPr>
                <w:rFonts w:ascii="Arial Narrow" w:hAnsi="Arial Narrow"/>
                <w:b/>
                <w:sz w:val="16"/>
                <w:szCs w:val="16"/>
              </w:rPr>
              <w:t>Druge dejavnosti s področja izobraževanja</w:t>
            </w:r>
          </w:p>
        </w:tc>
        <w:tc>
          <w:tcPr>
            <w:tcW w:w="1660" w:type="dxa"/>
            <w:hideMark/>
          </w:tcPr>
          <w:p w:rsidR="00610BDE" w:rsidRPr="00610BDE" w:rsidRDefault="00610BDE" w:rsidP="00610BD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73,3</w:t>
            </w:r>
          </w:p>
        </w:tc>
      </w:tr>
      <w:tr w:rsidR="00610BDE" w:rsidRPr="00610BDE" w:rsidTr="00E969A4">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200" w:type="dxa"/>
            <w:hideMark/>
          </w:tcPr>
          <w:p w:rsidR="00610BDE" w:rsidRPr="00E969A4" w:rsidRDefault="00610BDE" w:rsidP="00610BDE">
            <w:pPr>
              <w:spacing w:after="0" w:line="240" w:lineRule="auto"/>
              <w:rPr>
                <w:rFonts w:ascii="Arial Narrow" w:hAnsi="Arial Narrow"/>
                <w:sz w:val="16"/>
                <w:szCs w:val="16"/>
              </w:rPr>
            </w:pPr>
            <w:r w:rsidRPr="00E969A4">
              <w:rPr>
                <w:rFonts w:ascii="Arial Narrow" w:hAnsi="Arial Narrow"/>
                <w:sz w:val="16"/>
                <w:szCs w:val="16"/>
              </w:rPr>
              <w:t>37</w:t>
            </w:r>
          </w:p>
        </w:tc>
        <w:tc>
          <w:tcPr>
            <w:tcW w:w="4200" w:type="dxa"/>
            <w:hideMark/>
          </w:tcPr>
          <w:p w:rsidR="00610BDE" w:rsidRPr="00610BDE"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Izobraževanje</w:t>
            </w:r>
          </w:p>
        </w:tc>
        <w:tc>
          <w:tcPr>
            <w:tcW w:w="4140" w:type="dxa"/>
            <w:hideMark/>
          </w:tcPr>
          <w:p w:rsidR="00610BDE" w:rsidRPr="00E969A4"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sz w:val="16"/>
                <w:szCs w:val="16"/>
              </w:rPr>
            </w:pPr>
            <w:r w:rsidRPr="00E969A4">
              <w:rPr>
                <w:rFonts w:ascii="Arial Narrow" w:hAnsi="Arial Narrow"/>
                <w:b/>
                <w:sz w:val="16"/>
                <w:szCs w:val="16"/>
              </w:rPr>
              <w:t>Izobraževanje, ki ni opredeljeno po stopnjah</w:t>
            </w:r>
          </w:p>
        </w:tc>
        <w:tc>
          <w:tcPr>
            <w:tcW w:w="1660" w:type="dxa"/>
            <w:hideMark/>
          </w:tcPr>
          <w:p w:rsidR="00610BDE" w:rsidRPr="00610BDE"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71,6</w:t>
            </w:r>
          </w:p>
        </w:tc>
      </w:tr>
      <w:tr w:rsidR="00610BDE" w:rsidRPr="00610BDE" w:rsidTr="00E969A4">
        <w:trPr>
          <w:trHeight w:val="227"/>
        </w:trPr>
        <w:tc>
          <w:tcPr>
            <w:cnfStyle w:val="001000000000" w:firstRow="0" w:lastRow="0" w:firstColumn="1" w:lastColumn="0" w:oddVBand="0" w:evenVBand="0" w:oddHBand="0" w:evenHBand="0" w:firstRowFirstColumn="0" w:firstRowLastColumn="0" w:lastRowFirstColumn="0" w:lastRowLastColumn="0"/>
            <w:tcW w:w="1200" w:type="dxa"/>
            <w:hideMark/>
          </w:tcPr>
          <w:p w:rsidR="00610BDE" w:rsidRPr="00E969A4" w:rsidRDefault="00610BDE" w:rsidP="00610BDE">
            <w:pPr>
              <w:spacing w:after="0" w:line="240" w:lineRule="auto"/>
              <w:rPr>
                <w:rFonts w:ascii="Arial Narrow" w:hAnsi="Arial Narrow"/>
                <w:sz w:val="16"/>
                <w:szCs w:val="16"/>
              </w:rPr>
            </w:pPr>
            <w:r w:rsidRPr="00E969A4">
              <w:rPr>
                <w:rFonts w:ascii="Arial Narrow" w:hAnsi="Arial Narrow"/>
                <w:sz w:val="16"/>
                <w:szCs w:val="16"/>
              </w:rPr>
              <w:t>38</w:t>
            </w:r>
          </w:p>
        </w:tc>
        <w:tc>
          <w:tcPr>
            <w:tcW w:w="4200" w:type="dxa"/>
            <w:hideMark/>
          </w:tcPr>
          <w:p w:rsidR="00610BDE" w:rsidRPr="00610BDE" w:rsidRDefault="00610BDE" w:rsidP="00610BD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Zdravstvo</w:t>
            </w:r>
          </w:p>
        </w:tc>
        <w:tc>
          <w:tcPr>
            <w:tcW w:w="4140" w:type="dxa"/>
            <w:hideMark/>
          </w:tcPr>
          <w:p w:rsidR="00610BDE" w:rsidRPr="00E969A4" w:rsidRDefault="00610BDE" w:rsidP="00610BD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sz w:val="16"/>
                <w:szCs w:val="16"/>
              </w:rPr>
            </w:pPr>
            <w:r w:rsidRPr="00E969A4">
              <w:rPr>
                <w:rFonts w:ascii="Arial Narrow" w:hAnsi="Arial Narrow"/>
                <w:b/>
                <w:sz w:val="16"/>
                <w:szCs w:val="16"/>
              </w:rPr>
              <w:t>Javno zdravstvo</w:t>
            </w:r>
            <w:r w:rsidR="00605318" w:rsidRPr="00605318">
              <w:rPr>
                <w:rFonts w:ascii="Arial Narrow" w:hAnsi="Arial Narrow"/>
                <w:b/>
                <w:sz w:val="16"/>
                <w:szCs w:val="16"/>
                <w:vertAlign w:val="superscript"/>
              </w:rPr>
              <w:t>1</w:t>
            </w:r>
          </w:p>
        </w:tc>
        <w:tc>
          <w:tcPr>
            <w:tcW w:w="1660" w:type="dxa"/>
            <w:hideMark/>
          </w:tcPr>
          <w:p w:rsidR="00610BDE" w:rsidRPr="00610BDE" w:rsidRDefault="00610BDE" w:rsidP="00610BD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69,9</w:t>
            </w:r>
          </w:p>
        </w:tc>
      </w:tr>
      <w:tr w:rsidR="00610BDE" w:rsidRPr="00610BDE" w:rsidTr="00E969A4">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200" w:type="dxa"/>
            <w:hideMark/>
          </w:tcPr>
          <w:p w:rsidR="00610BDE" w:rsidRPr="00E969A4" w:rsidRDefault="00610BDE" w:rsidP="00610BDE">
            <w:pPr>
              <w:spacing w:after="0" w:line="240" w:lineRule="auto"/>
              <w:rPr>
                <w:rFonts w:ascii="Arial Narrow" w:hAnsi="Arial Narrow"/>
                <w:sz w:val="16"/>
                <w:szCs w:val="16"/>
              </w:rPr>
            </w:pPr>
            <w:r w:rsidRPr="00E969A4">
              <w:rPr>
                <w:rFonts w:ascii="Arial Narrow" w:hAnsi="Arial Narrow"/>
                <w:sz w:val="16"/>
                <w:szCs w:val="16"/>
              </w:rPr>
              <w:t>39</w:t>
            </w:r>
          </w:p>
        </w:tc>
        <w:tc>
          <w:tcPr>
            <w:tcW w:w="4200" w:type="dxa"/>
            <w:hideMark/>
          </w:tcPr>
          <w:p w:rsidR="00610BDE" w:rsidRPr="00610BDE"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Obramba</w:t>
            </w:r>
          </w:p>
        </w:tc>
        <w:tc>
          <w:tcPr>
            <w:tcW w:w="4140" w:type="dxa"/>
            <w:hideMark/>
          </w:tcPr>
          <w:p w:rsidR="00610BDE" w:rsidRPr="00E969A4"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sz w:val="16"/>
                <w:szCs w:val="16"/>
              </w:rPr>
            </w:pPr>
            <w:r w:rsidRPr="00E969A4">
              <w:rPr>
                <w:rFonts w:ascii="Arial Narrow" w:hAnsi="Arial Narrow"/>
                <w:b/>
                <w:sz w:val="16"/>
                <w:szCs w:val="16"/>
              </w:rPr>
              <w:t>Druge dejavnosti s področja obrambe</w:t>
            </w:r>
          </w:p>
        </w:tc>
        <w:tc>
          <w:tcPr>
            <w:tcW w:w="1660" w:type="dxa"/>
            <w:hideMark/>
          </w:tcPr>
          <w:p w:rsidR="00610BDE" w:rsidRPr="00610BDE"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67,0</w:t>
            </w:r>
          </w:p>
        </w:tc>
      </w:tr>
      <w:tr w:rsidR="00610BDE" w:rsidRPr="00610BDE" w:rsidTr="00E969A4">
        <w:trPr>
          <w:trHeight w:val="227"/>
        </w:trPr>
        <w:tc>
          <w:tcPr>
            <w:cnfStyle w:val="001000000000" w:firstRow="0" w:lastRow="0" w:firstColumn="1" w:lastColumn="0" w:oddVBand="0" w:evenVBand="0" w:oddHBand="0" w:evenHBand="0" w:firstRowFirstColumn="0" w:firstRowLastColumn="0" w:lastRowFirstColumn="0" w:lastRowLastColumn="0"/>
            <w:tcW w:w="1200" w:type="dxa"/>
            <w:hideMark/>
          </w:tcPr>
          <w:p w:rsidR="00610BDE" w:rsidRPr="00E969A4" w:rsidRDefault="00610BDE" w:rsidP="00610BDE">
            <w:pPr>
              <w:spacing w:after="0" w:line="240" w:lineRule="auto"/>
              <w:rPr>
                <w:rFonts w:ascii="Arial Narrow" w:hAnsi="Arial Narrow"/>
                <w:sz w:val="16"/>
                <w:szCs w:val="16"/>
              </w:rPr>
            </w:pPr>
            <w:r w:rsidRPr="00E969A4">
              <w:rPr>
                <w:rFonts w:ascii="Arial Narrow" w:hAnsi="Arial Narrow"/>
                <w:sz w:val="16"/>
                <w:szCs w:val="16"/>
              </w:rPr>
              <w:t>40</w:t>
            </w:r>
          </w:p>
        </w:tc>
        <w:tc>
          <w:tcPr>
            <w:tcW w:w="4200" w:type="dxa"/>
            <w:hideMark/>
          </w:tcPr>
          <w:p w:rsidR="00610BDE" w:rsidRPr="00610BDE" w:rsidRDefault="00610BDE" w:rsidP="00610BD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Varstvo okolja</w:t>
            </w:r>
          </w:p>
        </w:tc>
        <w:tc>
          <w:tcPr>
            <w:tcW w:w="4140" w:type="dxa"/>
            <w:hideMark/>
          </w:tcPr>
          <w:p w:rsidR="00610BDE" w:rsidRPr="00E969A4" w:rsidRDefault="00610BDE" w:rsidP="00610BD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sz w:val="16"/>
                <w:szCs w:val="16"/>
              </w:rPr>
            </w:pPr>
            <w:r w:rsidRPr="00E969A4">
              <w:rPr>
                <w:rFonts w:ascii="Arial Narrow" w:hAnsi="Arial Narrow"/>
                <w:b/>
                <w:sz w:val="16"/>
                <w:szCs w:val="16"/>
              </w:rPr>
              <w:t>Varstvo biološke raznovrstnosti in krajine</w:t>
            </w:r>
          </w:p>
        </w:tc>
        <w:tc>
          <w:tcPr>
            <w:tcW w:w="1660" w:type="dxa"/>
            <w:hideMark/>
          </w:tcPr>
          <w:p w:rsidR="00610BDE" w:rsidRPr="00610BDE" w:rsidRDefault="00610BDE" w:rsidP="00610BD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63,7</w:t>
            </w:r>
          </w:p>
        </w:tc>
      </w:tr>
      <w:tr w:rsidR="00610BDE" w:rsidRPr="00610BDE" w:rsidTr="00E969A4">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200" w:type="dxa"/>
            <w:hideMark/>
          </w:tcPr>
          <w:p w:rsidR="00610BDE" w:rsidRPr="00E969A4" w:rsidRDefault="00610BDE" w:rsidP="00610BDE">
            <w:pPr>
              <w:spacing w:after="0" w:line="240" w:lineRule="auto"/>
              <w:rPr>
                <w:rFonts w:ascii="Arial Narrow" w:hAnsi="Arial Narrow"/>
                <w:sz w:val="16"/>
                <w:szCs w:val="16"/>
              </w:rPr>
            </w:pPr>
            <w:r w:rsidRPr="00E969A4">
              <w:rPr>
                <w:rFonts w:ascii="Arial Narrow" w:hAnsi="Arial Narrow"/>
                <w:sz w:val="16"/>
                <w:szCs w:val="16"/>
              </w:rPr>
              <w:t>41</w:t>
            </w:r>
          </w:p>
        </w:tc>
        <w:tc>
          <w:tcPr>
            <w:tcW w:w="4200" w:type="dxa"/>
            <w:hideMark/>
          </w:tcPr>
          <w:p w:rsidR="00610BDE" w:rsidRPr="00610BDE"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Varstvo okolja</w:t>
            </w:r>
          </w:p>
        </w:tc>
        <w:tc>
          <w:tcPr>
            <w:tcW w:w="4140" w:type="dxa"/>
            <w:hideMark/>
          </w:tcPr>
          <w:p w:rsidR="00610BDE" w:rsidRPr="00E969A4"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sz w:val="16"/>
                <w:szCs w:val="16"/>
              </w:rPr>
            </w:pPr>
            <w:r w:rsidRPr="00E969A4">
              <w:rPr>
                <w:rFonts w:ascii="Arial Narrow" w:hAnsi="Arial Narrow"/>
                <w:b/>
                <w:sz w:val="16"/>
                <w:szCs w:val="16"/>
              </w:rPr>
              <w:t>Ravnanje z odpadki</w:t>
            </w:r>
          </w:p>
        </w:tc>
        <w:tc>
          <w:tcPr>
            <w:tcW w:w="1660" w:type="dxa"/>
            <w:hideMark/>
          </w:tcPr>
          <w:p w:rsidR="00610BDE" w:rsidRPr="00610BDE"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59,8</w:t>
            </w:r>
          </w:p>
        </w:tc>
      </w:tr>
      <w:tr w:rsidR="00610BDE" w:rsidRPr="00610BDE" w:rsidTr="00E969A4">
        <w:trPr>
          <w:trHeight w:val="227"/>
        </w:trPr>
        <w:tc>
          <w:tcPr>
            <w:cnfStyle w:val="001000000000" w:firstRow="0" w:lastRow="0" w:firstColumn="1" w:lastColumn="0" w:oddVBand="0" w:evenVBand="0" w:oddHBand="0" w:evenHBand="0" w:firstRowFirstColumn="0" w:firstRowLastColumn="0" w:lastRowFirstColumn="0" w:lastRowLastColumn="0"/>
            <w:tcW w:w="1200" w:type="dxa"/>
            <w:hideMark/>
          </w:tcPr>
          <w:p w:rsidR="00610BDE" w:rsidRPr="00E969A4" w:rsidRDefault="00610BDE" w:rsidP="00610BDE">
            <w:pPr>
              <w:spacing w:after="0" w:line="240" w:lineRule="auto"/>
              <w:rPr>
                <w:rFonts w:ascii="Arial Narrow" w:hAnsi="Arial Narrow"/>
                <w:sz w:val="16"/>
                <w:szCs w:val="16"/>
              </w:rPr>
            </w:pPr>
            <w:r w:rsidRPr="00E969A4">
              <w:rPr>
                <w:rFonts w:ascii="Arial Narrow" w:hAnsi="Arial Narrow"/>
                <w:sz w:val="16"/>
                <w:szCs w:val="16"/>
              </w:rPr>
              <w:t>42</w:t>
            </w:r>
          </w:p>
        </w:tc>
        <w:tc>
          <w:tcPr>
            <w:tcW w:w="4200" w:type="dxa"/>
            <w:hideMark/>
          </w:tcPr>
          <w:p w:rsidR="00610BDE" w:rsidRPr="00610BDE" w:rsidRDefault="00610BDE" w:rsidP="00610BD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Javni red in varnost</w:t>
            </w:r>
          </w:p>
        </w:tc>
        <w:tc>
          <w:tcPr>
            <w:tcW w:w="4140" w:type="dxa"/>
            <w:hideMark/>
          </w:tcPr>
          <w:p w:rsidR="00610BDE" w:rsidRPr="00E969A4" w:rsidRDefault="00610BDE" w:rsidP="00610BD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sz w:val="16"/>
                <w:szCs w:val="16"/>
              </w:rPr>
            </w:pPr>
            <w:r w:rsidRPr="00E969A4">
              <w:rPr>
                <w:rFonts w:ascii="Arial Narrow" w:hAnsi="Arial Narrow"/>
                <w:b/>
                <w:sz w:val="16"/>
                <w:szCs w:val="16"/>
              </w:rPr>
              <w:t>Gasilci</w:t>
            </w:r>
          </w:p>
        </w:tc>
        <w:tc>
          <w:tcPr>
            <w:tcW w:w="1660" w:type="dxa"/>
            <w:hideMark/>
          </w:tcPr>
          <w:p w:rsidR="00610BDE" w:rsidRPr="00610BDE" w:rsidRDefault="00610BDE" w:rsidP="00610BD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57,2</w:t>
            </w:r>
          </w:p>
        </w:tc>
      </w:tr>
      <w:tr w:rsidR="00610BDE" w:rsidRPr="00610BDE" w:rsidTr="00E969A4">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200" w:type="dxa"/>
            <w:hideMark/>
          </w:tcPr>
          <w:p w:rsidR="00610BDE" w:rsidRPr="00E969A4" w:rsidRDefault="00610BDE" w:rsidP="00610BDE">
            <w:pPr>
              <w:spacing w:after="0" w:line="240" w:lineRule="auto"/>
              <w:rPr>
                <w:rFonts w:ascii="Arial Narrow" w:hAnsi="Arial Narrow"/>
                <w:sz w:val="16"/>
                <w:szCs w:val="16"/>
              </w:rPr>
            </w:pPr>
            <w:r w:rsidRPr="00E969A4">
              <w:rPr>
                <w:rFonts w:ascii="Arial Narrow" w:hAnsi="Arial Narrow"/>
                <w:sz w:val="16"/>
                <w:szCs w:val="16"/>
              </w:rPr>
              <w:t>43</w:t>
            </w:r>
          </w:p>
        </w:tc>
        <w:tc>
          <w:tcPr>
            <w:tcW w:w="4200" w:type="dxa"/>
            <w:hideMark/>
          </w:tcPr>
          <w:p w:rsidR="00610BDE" w:rsidRPr="00610BDE"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Javni red in varnost</w:t>
            </w:r>
          </w:p>
        </w:tc>
        <w:tc>
          <w:tcPr>
            <w:tcW w:w="4140" w:type="dxa"/>
            <w:hideMark/>
          </w:tcPr>
          <w:p w:rsidR="00610BDE" w:rsidRPr="00E969A4"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sz w:val="16"/>
                <w:szCs w:val="16"/>
              </w:rPr>
            </w:pPr>
            <w:r w:rsidRPr="00E969A4">
              <w:rPr>
                <w:rFonts w:ascii="Arial Narrow" w:hAnsi="Arial Narrow"/>
                <w:b/>
                <w:sz w:val="16"/>
                <w:szCs w:val="16"/>
              </w:rPr>
              <w:t>Druge dejavnosti s področja javnega reda in varnosti</w:t>
            </w:r>
          </w:p>
        </w:tc>
        <w:tc>
          <w:tcPr>
            <w:tcW w:w="1660" w:type="dxa"/>
            <w:hideMark/>
          </w:tcPr>
          <w:p w:rsidR="00610BDE" w:rsidRPr="00610BDE"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50,6</w:t>
            </w:r>
          </w:p>
        </w:tc>
      </w:tr>
      <w:tr w:rsidR="00610BDE" w:rsidRPr="00610BDE" w:rsidTr="00E969A4">
        <w:trPr>
          <w:trHeight w:val="227"/>
        </w:trPr>
        <w:tc>
          <w:tcPr>
            <w:cnfStyle w:val="001000000000" w:firstRow="0" w:lastRow="0" w:firstColumn="1" w:lastColumn="0" w:oddVBand="0" w:evenVBand="0" w:oddHBand="0" w:evenHBand="0" w:firstRowFirstColumn="0" w:firstRowLastColumn="0" w:lastRowFirstColumn="0" w:lastRowLastColumn="0"/>
            <w:tcW w:w="1200" w:type="dxa"/>
            <w:hideMark/>
          </w:tcPr>
          <w:p w:rsidR="00610BDE" w:rsidRPr="00E969A4" w:rsidRDefault="00610BDE" w:rsidP="00610BDE">
            <w:pPr>
              <w:spacing w:after="0" w:line="240" w:lineRule="auto"/>
              <w:rPr>
                <w:rFonts w:ascii="Arial Narrow" w:hAnsi="Arial Narrow"/>
                <w:sz w:val="16"/>
                <w:szCs w:val="16"/>
              </w:rPr>
            </w:pPr>
            <w:r w:rsidRPr="00E969A4">
              <w:rPr>
                <w:rFonts w:ascii="Arial Narrow" w:hAnsi="Arial Narrow"/>
                <w:sz w:val="16"/>
                <w:szCs w:val="16"/>
              </w:rPr>
              <w:t>44</w:t>
            </w:r>
          </w:p>
        </w:tc>
        <w:tc>
          <w:tcPr>
            <w:tcW w:w="4200" w:type="dxa"/>
            <w:hideMark/>
          </w:tcPr>
          <w:p w:rsidR="00610BDE" w:rsidRPr="00610BDE" w:rsidRDefault="00610BDE" w:rsidP="00610BD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Rekreacija, kultura in religija</w:t>
            </w:r>
          </w:p>
        </w:tc>
        <w:tc>
          <w:tcPr>
            <w:tcW w:w="4140" w:type="dxa"/>
            <w:hideMark/>
          </w:tcPr>
          <w:p w:rsidR="00610BDE" w:rsidRPr="00E969A4" w:rsidRDefault="00610BDE" w:rsidP="00610BD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sz w:val="16"/>
                <w:szCs w:val="16"/>
              </w:rPr>
            </w:pPr>
            <w:r w:rsidRPr="00E969A4">
              <w:rPr>
                <w:rFonts w:ascii="Arial Narrow" w:hAnsi="Arial Narrow"/>
                <w:b/>
                <w:sz w:val="16"/>
                <w:szCs w:val="16"/>
              </w:rPr>
              <w:t>Druge dejavnosti s področja rekreacije, kulture in religije</w:t>
            </w:r>
          </w:p>
        </w:tc>
        <w:tc>
          <w:tcPr>
            <w:tcW w:w="1660" w:type="dxa"/>
            <w:hideMark/>
          </w:tcPr>
          <w:p w:rsidR="00610BDE" w:rsidRPr="00610BDE" w:rsidRDefault="00610BDE" w:rsidP="00610BD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45,2</w:t>
            </w:r>
          </w:p>
        </w:tc>
      </w:tr>
      <w:tr w:rsidR="00610BDE" w:rsidRPr="00610BDE" w:rsidTr="00E969A4">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200" w:type="dxa"/>
            <w:hideMark/>
          </w:tcPr>
          <w:p w:rsidR="00610BDE" w:rsidRPr="00E969A4" w:rsidRDefault="00610BDE" w:rsidP="00610BDE">
            <w:pPr>
              <w:spacing w:after="0" w:line="240" w:lineRule="auto"/>
              <w:rPr>
                <w:rFonts w:ascii="Arial Narrow" w:hAnsi="Arial Narrow"/>
                <w:sz w:val="16"/>
                <w:szCs w:val="16"/>
              </w:rPr>
            </w:pPr>
            <w:r w:rsidRPr="00E969A4">
              <w:rPr>
                <w:rFonts w:ascii="Arial Narrow" w:hAnsi="Arial Narrow"/>
                <w:sz w:val="16"/>
                <w:szCs w:val="16"/>
              </w:rPr>
              <w:t>45</w:t>
            </w:r>
          </w:p>
        </w:tc>
        <w:tc>
          <w:tcPr>
            <w:tcW w:w="4200" w:type="dxa"/>
            <w:hideMark/>
          </w:tcPr>
          <w:p w:rsidR="00610BDE" w:rsidRPr="00610BDE"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Varstvo okolja</w:t>
            </w:r>
          </w:p>
        </w:tc>
        <w:tc>
          <w:tcPr>
            <w:tcW w:w="4140" w:type="dxa"/>
            <w:hideMark/>
          </w:tcPr>
          <w:p w:rsidR="00610BDE" w:rsidRPr="00E969A4"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sz w:val="16"/>
                <w:szCs w:val="16"/>
              </w:rPr>
            </w:pPr>
            <w:r w:rsidRPr="00E969A4">
              <w:rPr>
                <w:rFonts w:ascii="Arial Narrow" w:hAnsi="Arial Narrow"/>
                <w:b/>
                <w:sz w:val="16"/>
                <w:szCs w:val="16"/>
              </w:rPr>
              <w:t>Druge dejavnosti s področja varstva okolja</w:t>
            </w:r>
          </w:p>
        </w:tc>
        <w:tc>
          <w:tcPr>
            <w:tcW w:w="1660" w:type="dxa"/>
            <w:hideMark/>
          </w:tcPr>
          <w:p w:rsidR="00610BDE" w:rsidRPr="00610BDE"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37,4</w:t>
            </w:r>
          </w:p>
        </w:tc>
      </w:tr>
      <w:tr w:rsidR="00610BDE" w:rsidRPr="00610BDE" w:rsidTr="00E969A4">
        <w:trPr>
          <w:trHeight w:val="227"/>
        </w:trPr>
        <w:tc>
          <w:tcPr>
            <w:cnfStyle w:val="001000000000" w:firstRow="0" w:lastRow="0" w:firstColumn="1" w:lastColumn="0" w:oddVBand="0" w:evenVBand="0" w:oddHBand="0" w:evenHBand="0" w:firstRowFirstColumn="0" w:firstRowLastColumn="0" w:lastRowFirstColumn="0" w:lastRowLastColumn="0"/>
            <w:tcW w:w="1200" w:type="dxa"/>
            <w:hideMark/>
          </w:tcPr>
          <w:p w:rsidR="00610BDE" w:rsidRPr="00E969A4" w:rsidRDefault="00610BDE" w:rsidP="00610BDE">
            <w:pPr>
              <w:spacing w:after="0" w:line="240" w:lineRule="auto"/>
              <w:rPr>
                <w:rFonts w:ascii="Arial Narrow" w:hAnsi="Arial Narrow"/>
                <w:sz w:val="16"/>
                <w:szCs w:val="16"/>
              </w:rPr>
            </w:pPr>
            <w:r w:rsidRPr="00E969A4">
              <w:rPr>
                <w:rFonts w:ascii="Arial Narrow" w:hAnsi="Arial Narrow"/>
                <w:sz w:val="16"/>
                <w:szCs w:val="16"/>
              </w:rPr>
              <w:t>46</w:t>
            </w:r>
          </w:p>
        </w:tc>
        <w:tc>
          <w:tcPr>
            <w:tcW w:w="4200" w:type="dxa"/>
            <w:hideMark/>
          </w:tcPr>
          <w:p w:rsidR="00610BDE" w:rsidRPr="00610BDE" w:rsidRDefault="00610BDE" w:rsidP="00610BD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Varstvo okolja</w:t>
            </w:r>
          </w:p>
        </w:tc>
        <w:tc>
          <w:tcPr>
            <w:tcW w:w="4140" w:type="dxa"/>
            <w:hideMark/>
          </w:tcPr>
          <w:p w:rsidR="00610BDE" w:rsidRPr="00E969A4" w:rsidRDefault="00610BDE" w:rsidP="00610BD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sz w:val="16"/>
                <w:szCs w:val="16"/>
              </w:rPr>
            </w:pPr>
            <w:r w:rsidRPr="00E969A4">
              <w:rPr>
                <w:rFonts w:ascii="Arial Narrow" w:hAnsi="Arial Narrow"/>
                <w:b/>
                <w:sz w:val="16"/>
                <w:szCs w:val="16"/>
              </w:rPr>
              <w:t>Javna razsvetljava</w:t>
            </w:r>
          </w:p>
        </w:tc>
        <w:tc>
          <w:tcPr>
            <w:tcW w:w="1660" w:type="dxa"/>
            <w:hideMark/>
          </w:tcPr>
          <w:p w:rsidR="00610BDE" w:rsidRPr="00610BDE" w:rsidRDefault="00610BDE" w:rsidP="00610BD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35,9</w:t>
            </w:r>
          </w:p>
        </w:tc>
      </w:tr>
      <w:tr w:rsidR="00610BDE" w:rsidRPr="00610BDE" w:rsidTr="00E969A4">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200" w:type="dxa"/>
            <w:hideMark/>
          </w:tcPr>
          <w:p w:rsidR="00610BDE" w:rsidRPr="00E969A4" w:rsidRDefault="00610BDE" w:rsidP="00610BDE">
            <w:pPr>
              <w:spacing w:after="0" w:line="240" w:lineRule="auto"/>
              <w:rPr>
                <w:rFonts w:ascii="Arial Narrow" w:hAnsi="Arial Narrow"/>
                <w:sz w:val="16"/>
                <w:szCs w:val="16"/>
              </w:rPr>
            </w:pPr>
            <w:r w:rsidRPr="00E969A4">
              <w:rPr>
                <w:rFonts w:ascii="Arial Narrow" w:hAnsi="Arial Narrow"/>
                <w:sz w:val="16"/>
                <w:szCs w:val="16"/>
              </w:rPr>
              <w:t>47</w:t>
            </w:r>
          </w:p>
        </w:tc>
        <w:tc>
          <w:tcPr>
            <w:tcW w:w="4200" w:type="dxa"/>
            <w:hideMark/>
          </w:tcPr>
          <w:p w:rsidR="00610BDE" w:rsidRPr="00610BDE"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Obramba</w:t>
            </w:r>
          </w:p>
        </w:tc>
        <w:tc>
          <w:tcPr>
            <w:tcW w:w="4140" w:type="dxa"/>
            <w:hideMark/>
          </w:tcPr>
          <w:p w:rsidR="00610BDE" w:rsidRPr="00E969A4"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sz w:val="16"/>
                <w:szCs w:val="16"/>
              </w:rPr>
            </w:pPr>
            <w:r w:rsidRPr="00E969A4">
              <w:rPr>
                <w:rFonts w:ascii="Arial Narrow" w:hAnsi="Arial Narrow"/>
                <w:b/>
                <w:sz w:val="16"/>
                <w:szCs w:val="16"/>
              </w:rPr>
              <w:t>Civilna obramba</w:t>
            </w:r>
          </w:p>
        </w:tc>
        <w:tc>
          <w:tcPr>
            <w:tcW w:w="1660" w:type="dxa"/>
            <w:hideMark/>
          </w:tcPr>
          <w:p w:rsidR="00610BDE" w:rsidRPr="00610BDE"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32,0</w:t>
            </w:r>
          </w:p>
        </w:tc>
      </w:tr>
      <w:tr w:rsidR="00610BDE" w:rsidRPr="00610BDE" w:rsidTr="00E969A4">
        <w:trPr>
          <w:trHeight w:val="227"/>
        </w:trPr>
        <w:tc>
          <w:tcPr>
            <w:cnfStyle w:val="001000000000" w:firstRow="0" w:lastRow="0" w:firstColumn="1" w:lastColumn="0" w:oddVBand="0" w:evenVBand="0" w:oddHBand="0" w:evenHBand="0" w:firstRowFirstColumn="0" w:firstRowLastColumn="0" w:lastRowFirstColumn="0" w:lastRowLastColumn="0"/>
            <w:tcW w:w="1200" w:type="dxa"/>
            <w:hideMark/>
          </w:tcPr>
          <w:p w:rsidR="00610BDE" w:rsidRPr="00E969A4" w:rsidRDefault="00610BDE" w:rsidP="00610BDE">
            <w:pPr>
              <w:spacing w:after="0" w:line="240" w:lineRule="auto"/>
              <w:rPr>
                <w:rFonts w:ascii="Arial Narrow" w:hAnsi="Arial Narrow"/>
                <w:sz w:val="16"/>
                <w:szCs w:val="16"/>
              </w:rPr>
            </w:pPr>
            <w:r w:rsidRPr="00E969A4">
              <w:rPr>
                <w:rFonts w:ascii="Arial Narrow" w:hAnsi="Arial Narrow"/>
                <w:sz w:val="16"/>
                <w:szCs w:val="16"/>
              </w:rPr>
              <w:t>48</w:t>
            </w:r>
          </w:p>
        </w:tc>
        <w:tc>
          <w:tcPr>
            <w:tcW w:w="4200" w:type="dxa"/>
            <w:hideMark/>
          </w:tcPr>
          <w:p w:rsidR="00610BDE" w:rsidRPr="00610BDE" w:rsidRDefault="00610BDE" w:rsidP="00610BD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Javni red in varnost</w:t>
            </w:r>
          </w:p>
        </w:tc>
        <w:tc>
          <w:tcPr>
            <w:tcW w:w="4140" w:type="dxa"/>
            <w:hideMark/>
          </w:tcPr>
          <w:p w:rsidR="00610BDE" w:rsidRPr="00E969A4" w:rsidRDefault="00610BDE" w:rsidP="00610BD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sz w:val="16"/>
                <w:szCs w:val="16"/>
              </w:rPr>
            </w:pPr>
            <w:r w:rsidRPr="00E969A4">
              <w:rPr>
                <w:rFonts w:ascii="Arial Narrow" w:hAnsi="Arial Narrow"/>
                <w:b/>
                <w:sz w:val="16"/>
                <w:szCs w:val="16"/>
              </w:rPr>
              <w:t>Zapori</w:t>
            </w:r>
          </w:p>
        </w:tc>
        <w:tc>
          <w:tcPr>
            <w:tcW w:w="1660" w:type="dxa"/>
            <w:hideMark/>
          </w:tcPr>
          <w:p w:rsidR="00610BDE" w:rsidRPr="00610BDE" w:rsidRDefault="00610BDE" w:rsidP="00610BD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31,6</w:t>
            </w:r>
          </w:p>
        </w:tc>
      </w:tr>
      <w:tr w:rsidR="00610BDE" w:rsidRPr="00610BDE" w:rsidTr="00E969A4">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200" w:type="dxa"/>
            <w:hideMark/>
          </w:tcPr>
          <w:p w:rsidR="00610BDE" w:rsidRPr="00E969A4" w:rsidRDefault="00610BDE" w:rsidP="00610BDE">
            <w:pPr>
              <w:spacing w:after="0" w:line="240" w:lineRule="auto"/>
              <w:rPr>
                <w:rFonts w:ascii="Arial Narrow" w:hAnsi="Arial Narrow"/>
                <w:sz w:val="16"/>
                <w:szCs w:val="16"/>
              </w:rPr>
            </w:pPr>
            <w:r w:rsidRPr="00E969A4">
              <w:rPr>
                <w:rFonts w:ascii="Arial Narrow" w:hAnsi="Arial Narrow"/>
                <w:sz w:val="16"/>
                <w:szCs w:val="16"/>
              </w:rPr>
              <w:t>49</w:t>
            </w:r>
          </w:p>
        </w:tc>
        <w:tc>
          <w:tcPr>
            <w:tcW w:w="4200" w:type="dxa"/>
            <w:hideMark/>
          </w:tcPr>
          <w:p w:rsidR="00610BDE" w:rsidRPr="00610BDE"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Varstvo okolja</w:t>
            </w:r>
          </w:p>
        </w:tc>
        <w:tc>
          <w:tcPr>
            <w:tcW w:w="4140" w:type="dxa"/>
            <w:hideMark/>
          </w:tcPr>
          <w:p w:rsidR="00610BDE" w:rsidRPr="00E969A4"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sz w:val="16"/>
                <w:szCs w:val="16"/>
              </w:rPr>
            </w:pPr>
            <w:r w:rsidRPr="00E969A4">
              <w:rPr>
                <w:rFonts w:ascii="Arial Narrow" w:hAnsi="Arial Narrow"/>
                <w:b/>
                <w:sz w:val="16"/>
                <w:szCs w:val="16"/>
              </w:rPr>
              <w:t>Prostorski razvoj</w:t>
            </w:r>
          </w:p>
        </w:tc>
        <w:tc>
          <w:tcPr>
            <w:tcW w:w="1660" w:type="dxa"/>
            <w:hideMark/>
          </w:tcPr>
          <w:p w:rsidR="00610BDE" w:rsidRPr="00610BDE"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27,4</w:t>
            </w:r>
          </w:p>
        </w:tc>
      </w:tr>
      <w:tr w:rsidR="00610BDE" w:rsidRPr="00610BDE" w:rsidTr="00E969A4">
        <w:trPr>
          <w:trHeight w:val="227"/>
        </w:trPr>
        <w:tc>
          <w:tcPr>
            <w:cnfStyle w:val="001000000000" w:firstRow="0" w:lastRow="0" w:firstColumn="1" w:lastColumn="0" w:oddVBand="0" w:evenVBand="0" w:oddHBand="0" w:evenHBand="0" w:firstRowFirstColumn="0" w:firstRowLastColumn="0" w:lastRowFirstColumn="0" w:lastRowLastColumn="0"/>
            <w:tcW w:w="1200" w:type="dxa"/>
            <w:hideMark/>
          </w:tcPr>
          <w:p w:rsidR="00610BDE" w:rsidRPr="00E969A4" w:rsidRDefault="00610BDE" w:rsidP="00610BDE">
            <w:pPr>
              <w:spacing w:after="0" w:line="240" w:lineRule="auto"/>
              <w:rPr>
                <w:rFonts w:ascii="Arial Narrow" w:hAnsi="Arial Narrow"/>
                <w:sz w:val="16"/>
                <w:szCs w:val="16"/>
              </w:rPr>
            </w:pPr>
            <w:r w:rsidRPr="00E969A4">
              <w:rPr>
                <w:rFonts w:ascii="Arial Narrow" w:hAnsi="Arial Narrow"/>
                <w:sz w:val="16"/>
                <w:szCs w:val="16"/>
              </w:rPr>
              <w:t>50</w:t>
            </w:r>
          </w:p>
        </w:tc>
        <w:tc>
          <w:tcPr>
            <w:tcW w:w="4200" w:type="dxa"/>
            <w:hideMark/>
          </w:tcPr>
          <w:p w:rsidR="00610BDE" w:rsidRPr="00610BDE" w:rsidRDefault="00610BDE" w:rsidP="00610BD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Varstvo okolja</w:t>
            </w:r>
          </w:p>
        </w:tc>
        <w:tc>
          <w:tcPr>
            <w:tcW w:w="4140" w:type="dxa"/>
            <w:hideMark/>
          </w:tcPr>
          <w:p w:rsidR="00610BDE" w:rsidRPr="00E969A4" w:rsidRDefault="00610BDE" w:rsidP="00610BD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sz w:val="16"/>
                <w:szCs w:val="16"/>
              </w:rPr>
            </w:pPr>
            <w:r w:rsidRPr="00E969A4">
              <w:rPr>
                <w:rFonts w:ascii="Arial Narrow" w:hAnsi="Arial Narrow"/>
                <w:b/>
                <w:sz w:val="16"/>
                <w:szCs w:val="16"/>
              </w:rPr>
              <w:t>Druge dejavnosti s področja stanovanjske dejavnosti in urejanja okolja</w:t>
            </w:r>
          </w:p>
        </w:tc>
        <w:tc>
          <w:tcPr>
            <w:tcW w:w="1660" w:type="dxa"/>
            <w:hideMark/>
          </w:tcPr>
          <w:p w:rsidR="00610BDE" w:rsidRPr="00610BDE" w:rsidRDefault="00610BDE" w:rsidP="00610BD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27,4</w:t>
            </w:r>
          </w:p>
        </w:tc>
      </w:tr>
      <w:tr w:rsidR="00610BDE" w:rsidRPr="00610BDE" w:rsidTr="00E969A4">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200" w:type="dxa"/>
            <w:hideMark/>
          </w:tcPr>
          <w:p w:rsidR="00610BDE" w:rsidRPr="00E969A4" w:rsidRDefault="00610BDE" w:rsidP="00610BDE">
            <w:pPr>
              <w:spacing w:after="0" w:line="240" w:lineRule="auto"/>
              <w:rPr>
                <w:rFonts w:ascii="Arial Narrow" w:hAnsi="Arial Narrow"/>
                <w:sz w:val="16"/>
                <w:szCs w:val="16"/>
              </w:rPr>
            </w:pPr>
            <w:r w:rsidRPr="00E969A4">
              <w:rPr>
                <w:rFonts w:ascii="Arial Narrow" w:hAnsi="Arial Narrow"/>
                <w:sz w:val="16"/>
                <w:szCs w:val="16"/>
              </w:rPr>
              <w:t>51</w:t>
            </w:r>
          </w:p>
        </w:tc>
        <w:tc>
          <w:tcPr>
            <w:tcW w:w="4200" w:type="dxa"/>
            <w:hideMark/>
          </w:tcPr>
          <w:p w:rsidR="00610BDE" w:rsidRPr="00610BDE"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Rekreacija, kultura in religija</w:t>
            </w:r>
          </w:p>
        </w:tc>
        <w:tc>
          <w:tcPr>
            <w:tcW w:w="4140" w:type="dxa"/>
            <w:hideMark/>
          </w:tcPr>
          <w:p w:rsidR="00610BDE" w:rsidRPr="00E969A4"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sz w:val="16"/>
                <w:szCs w:val="16"/>
              </w:rPr>
            </w:pPr>
            <w:r w:rsidRPr="00E969A4">
              <w:rPr>
                <w:rFonts w:ascii="Arial Narrow" w:hAnsi="Arial Narrow"/>
                <w:b/>
                <w:sz w:val="16"/>
                <w:szCs w:val="16"/>
              </w:rPr>
              <w:t>Verske in druge družbene storitve</w:t>
            </w:r>
          </w:p>
        </w:tc>
        <w:tc>
          <w:tcPr>
            <w:tcW w:w="1660" w:type="dxa"/>
            <w:hideMark/>
          </w:tcPr>
          <w:p w:rsidR="00610BDE" w:rsidRPr="00610BDE"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20,9</w:t>
            </w:r>
          </w:p>
        </w:tc>
      </w:tr>
      <w:tr w:rsidR="00610BDE" w:rsidRPr="00610BDE" w:rsidTr="00E969A4">
        <w:trPr>
          <w:trHeight w:val="227"/>
        </w:trPr>
        <w:tc>
          <w:tcPr>
            <w:cnfStyle w:val="001000000000" w:firstRow="0" w:lastRow="0" w:firstColumn="1" w:lastColumn="0" w:oddVBand="0" w:evenVBand="0" w:oddHBand="0" w:evenHBand="0" w:firstRowFirstColumn="0" w:firstRowLastColumn="0" w:lastRowFirstColumn="0" w:lastRowLastColumn="0"/>
            <w:tcW w:w="1200" w:type="dxa"/>
            <w:hideMark/>
          </w:tcPr>
          <w:p w:rsidR="00610BDE" w:rsidRPr="00E969A4" w:rsidRDefault="00610BDE" w:rsidP="00610BDE">
            <w:pPr>
              <w:spacing w:after="0" w:line="240" w:lineRule="auto"/>
              <w:rPr>
                <w:rFonts w:ascii="Arial Narrow" w:hAnsi="Arial Narrow"/>
                <w:sz w:val="16"/>
                <w:szCs w:val="16"/>
              </w:rPr>
            </w:pPr>
            <w:r w:rsidRPr="00E969A4">
              <w:rPr>
                <w:rFonts w:ascii="Arial Narrow" w:hAnsi="Arial Narrow"/>
                <w:sz w:val="16"/>
                <w:szCs w:val="16"/>
              </w:rPr>
              <w:t>52</w:t>
            </w:r>
          </w:p>
        </w:tc>
        <w:tc>
          <w:tcPr>
            <w:tcW w:w="4200" w:type="dxa"/>
            <w:hideMark/>
          </w:tcPr>
          <w:p w:rsidR="00610BDE" w:rsidRPr="00610BDE" w:rsidRDefault="00610BDE" w:rsidP="00610BD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Ekonomske dejavnosti</w:t>
            </w:r>
          </w:p>
        </w:tc>
        <w:tc>
          <w:tcPr>
            <w:tcW w:w="4140" w:type="dxa"/>
            <w:hideMark/>
          </w:tcPr>
          <w:p w:rsidR="00610BDE" w:rsidRPr="00E969A4" w:rsidRDefault="00610BDE" w:rsidP="00610BD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sz w:val="16"/>
                <w:szCs w:val="16"/>
              </w:rPr>
            </w:pPr>
            <w:r w:rsidRPr="00E969A4">
              <w:rPr>
                <w:rFonts w:ascii="Arial Narrow" w:hAnsi="Arial Narrow"/>
                <w:b/>
                <w:sz w:val="16"/>
                <w:szCs w:val="16"/>
              </w:rPr>
              <w:t>Pridobivanje in distribucija goriv in energije</w:t>
            </w:r>
          </w:p>
        </w:tc>
        <w:tc>
          <w:tcPr>
            <w:tcW w:w="1660" w:type="dxa"/>
            <w:hideMark/>
          </w:tcPr>
          <w:p w:rsidR="00610BDE" w:rsidRPr="00610BDE" w:rsidRDefault="00610BDE" w:rsidP="00610BD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16,2</w:t>
            </w:r>
          </w:p>
        </w:tc>
      </w:tr>
      <w:tr w:rsidR="00610BDE" w:rsidRPr="00610BDE" w:rsidTr="00E969A4">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200" w:type="dxa"/>
            <w:hideMark/>
          </w:tcPr>
          <w:p w:rsidR="00610BDE" w:rsidRPr="00E969A4" w:rsidRDefault="00610BDE" w:rsidP="00610BDE">
            <w:pPr>
              <w:spacing w:after="0" w:line="240" w:lineRule="auto"/>
              <w:rPr>
                <w:rFonts w:ascii="Arial Narrow" w:hAnsi="Arial Narrow"/>
                <w:sz w:val="16"/>
                <w:szCs w:val="16"/>
              </w:rPr>
            </w:pPr>
            <w:r w:rsidRPr="00E969A4">
              <w:rPr>
                <w:rFonts w:ascii="Arial Narrow" w:hAnsi="Arial Narrow"/>
                <w:sz w:val="16"/>
                <w:szCs w:val="16"/>
              </w:rPr>
              <w:t>53</w:t>
            </w:r>
          </w:p>
        </w:tc>
        <w:tc>
          <w:tcPr>
            <w:tcW w:w="4200" w:type="dxa"/>
            <w:hideMark/>
          </w:tcPr>
          <w:p w:rsidR="00610BDE" w:rsidRPr="00610BDE"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Varstvo okolja</w:t>
            </w:r>
          </w:p>
        </w:tc>
        <w:tc>
          <w:tcPr>
            <w:tcW w:w="4140" w:type="dxa"/>
            <w:hideMark/>
          </w:tcPr>
          <w:p w:rsidR="00610BDE" w:rsidRPr="00E969A4"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sz w:val="16"/>
                <w:szCs w:val="16"/>
              </w:rPr>
            </w:pPr>
            <w:r w:rsidRPr="00E969A4">
              <w:rPr>
                <w:rFonts w:ascii="Arial Narrow" w:hAnsi="Arial Narrow"/>
                <w:b/>
                <w:sz w:val="16"/>
                <w:szCs w:val="16"/>
              </w:rPr>
              <w:t>Raziskave in razvoj na področju varstva okolja</w:t>
            </w:r>
          </w:p>
        </w:tc>
        <w:tc>
          <w:tcPr>
            <w:tcW w:w="1660" w:type="dxa"/>
            <w:hideMark/>
          </w:tcPr>
          <w:p w:rsidR="00610BDE" w:rsidRPr="00610BDE"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12,1</w:t>
            </w:r>
          </w:p>
        </w:tc>
      </w:tr>
      <w:tr w:rsidR="00610BDE" w:rsidRPr="00610BDE" w:rsidTr="00E969A4">
        <w:trPr>
          <w:trHeight w:val="227"/>
        </w:trPr>
        <w:tc>
          <w:tcPr>
            <w:cnfStyle w:val="001000000000" w:firstRow="0" w:lastRow="0" w:firstColumn="1" w:lastColumn="0" w:oddVBand="0" w:evenVBand="0" w:oddHBand="0" w:evenHBand="0" w:firstRowFirstColumn="0" w:firstRowLastColumn="0" w:lastRowFirstColumn="0" w:lastRowLastColumn="0"/>
            <w:tcW w:w="1200" w:type="dxa"/>
            <w:hideMark/>
          </w:tcPr>
          <w:p w:rsidR="00610BDE" w:rsidRPr="00E969A4" w:rsidRDefault="00610BDE" w:rsidP="00610BDE">
            <w:pPr>
              <w:spacing w:after="0" w:line="240" w:lineRule="auto"/>
              <w:rPr>
                <w:rFonts w:ascii="Arial Narrow" w:hAnsi="Arial Narrow"/>
                <w:sz w:val="16"/>
                <w:szCs w:val="16"/>
              </w:rPr>
            </w:pPr>
            <w:r w:rsidRPr="00E969A4">
              <w:rPr>
                <w:rFonts w:ascii="Arial Narrow" w:hAnsi="Arial Narrow"/>
                <w:sz w:val="16"/>
                <w:szCs w:val="16"/>
              </w:rPr>
              <w:t>54</w:t>
            </w:r>
          </w:p>
        </w:tc>
        <w:tc>
          <w:tcPr>
            <w:tcW w:w="4200" w:type="dxa"/>
            <w:hideMark/>
          </w:tcPr>
          <w:p w:rsidR="00610BDE" w:rsidRPr="00610BDE" w:rsidRDefault="00610BDE" w:rsidP="00610BD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Zdravstvo</w:t>
            </w:r>
          </w:p>
        </w:tc>
        <w:tc>
          <w:tcPr>
            <w:tcW w:w="4140" w:type="dxa"/>
            <w:hideMark/>
          </w:tcPr>
          <w:p w:rsidR="00610BDE" w:rsidRPr="00E969A4" w:rsidRDefault="00610BDE" w:rsidP="00610BD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sz w:val="16"/>
                <w:szCs w:val="16"/>
              </w:rPr>
            </w:pPr>
            <w:r w:rsidRPr="00E969A4">
              <w:rPr>
                <w:rFonts w:ascii="Arial Narrow" w:hAnsi="Arial Narrow"/>
                <w:b/>
                <w:sz w:val="16"/>
                <w:szCs w:val="16"/>
              </w:rPr>
              <w:t>Raziskave in razvoj na področju zdravstva</w:t>
            </w:r>
          </w:p>
        </w:tc>
        <w:tc>
          <w:tcPr>
            <w:tcW w:w="1660" w:type="dxa"/>
            <w:hideMark/>
          </w:tcPr>
          <w:p w:rsidR="00610BDE" w:rsidRPr="00610BDE" w:rsidRDefault="00610BDE" w:rsidP="00610BD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11,1</w:t>
            </w:r>
          </w:p>
        </w:tc>
      </w:tr>
      <w:tr w:rsidR="00610BDE" w:rsidRPr="00610BDE" w:rsidTr="00E969A4">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200" w:type="dxa"/>
            <w:hideMark/>
          </w:tcPr>
          <w:p w:rsidR="00610BDE" w:rsidRPr="00E969A4" w:rsidRDefault="00610BDE" w:rsidP="00610BDE">
            <w:pPr>
              <w:spacing w:after="0" w:line="240" w:lineRule="auto"/>
              <w:rPr>
                <w:rFonts w:ascii="Arial Narrow" w:hAnsi="Arial Narrow"/>
                <w:sz w:val="16"/>
                <w:szCs w:val="16"/>
              </w:rPr>
            </w:pPr>
            <w:r w:rsidRPr="00E969A4">
              <w:rPr>
                <w:rFonts w:ascii="Arial Narrow" w:hAnsi="Arial Narrow"/>
                <w:sz w:val="16"/>
                <w:szCs w:val="16"/>
              </w:rPr>
              <w:t>55</w:t>
            </w:r>
          </w:p>
        </w:tc>
        <w:tc>
          <w:tcPr>
            <w:tcW w:w="4200" w:type="dxa"/>
            <w:hideMark/>
          </w:tcPr>
          <w:p w:rsidR="00610BDE" w:rsidRPr="00610BDE"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Varstvo okolja</w:t>
            </w:r>
          </w:p>
        </w:tc>
        <w:tc>
          <w:tcPr>
            <w:tcW w:w="4140" w:type="dxa"/>
            <w:hideMark/>
          </w:tcPr>
          <w:p w:rsidR="00610BDE" w:rsidRPr="00E969A4"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sz w:val="16"/>
                <w:szCs w:val="16"/>
              </w:rPr>
            </w:pPr>
            <w:r w:rsidRPr="00E969A4">
              <w:rPr>
                <w:rFonts w:ascii="Arial Narrow" w:hAnsi="Arial Narrow"/>
                <w:b/>
                <w:sz w:val="16"/>
                <w:szCs w:val="16"/>
              </w:rPr>
              <w:t>Zmanjševanje onesnaževanja</w:t>
            </w:r>
          </w:p>
        </w:tc>
        <w:tc>
          <w:tcPr>
            <w:tcW w:w="1660" w:type="dxa"/>
            <w:hideMark/>
          </w:tcPr>
          <w:p w:rsidR="00610BDE" w:rsidRPr="00610BDE"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9,3</w:t>
            </w:r>
          </w:p>
        </w:tc>
      </w:tr>
      <w:tr w:rsidR="00610BDE" w:rsidRPr="00610BDE" w:rsidTr="00E969A4">
        <w:trPr>
          <w:trHeight w:val="227"/>
        </w:trPr>
        <w:tc>
          <w:tcPr>
            <w:cnfStyle w:val="001000000000" w:firstRow="0" w:lastRow="0" w:firstColumn="1" w:lastColumn="0" w:oddVBand="0" w:evenVBand="0" w:oddHBand="0" w:evenHBand="0" w:firstRowFirstColumn="0" w:firstRowLastColumn="0" w:lastRowFirstColumn="0" w:lastRowLastColumn="0"/>
            <w:tcW w:w="1200" w:type="dxa"/>
            <w:hideMark/>
          </w:tcPr>
          <w:p w:rsidR="00610BDE" w:rsidRPr="00E969A4" w:rsidRDefault="00610BDE" w:rsidP="00610BDE">
            <w:pPr>
              <w:spacing w:after="0" w:line="240" w:lineRule="auto"/>
              <w:rPr>
                <w:rFonts w:ascii="Arial Narrow" w:hAnsi="Arial Narrow"/>
                <w:sz w:val="16"/>
                <w:szCs w:val="16"/>
              </w:rPr>
            </w:pPr>
            <w:r w:rsidRPr="00E969A4">
              <w:rPr>
                <w:rFonts w:ascii="Arial Narrow" w:hAnsi="Arial Narrow"/>
                <w:sz w:val="16"/>
                <w:szCs w:val="16"/>
              </w:rPr>
              <w:t>56</w:t>
            </w:r>
          </w:p>
        </w:tc>
        <w:tc>
          <w:tcPr>
            <w:tcW w:w="4200" w:type="dxa"/>
            <w:hideMark/>
          </w:tcPr>
          <w:p w:rsidR="00610BDE" w:rsidRPr="00610BDE" w:rsidRDefault="00610BDE" w:rsidP="00610BD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Javna uprava</w:t>
            </w:r>
          </w:p>
        </w:tc>
        <w:tc>
          <w:tcPr>
            <w:tcW w:w="4140" w:type="dxa"/>
            <w:hideMark/>
          </w:tcPr>
          <w:p w:rsidR="00610BDE" w:rsidRPr="00E969A4" w:rsidRDefault="00610BDE" w:rsidP="00610BD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sz w:val="16"/>
                <w:szCs w:val="16"/>
              </w:rPr>
            </w:pPr>
            <w:r w:rsidRPr="00E969A4">
              <w:rPr>
                <w:rFonts w:ascii="Arial Narrow" w:hAnsi="Arial Narrow"/>
                <w:b/>
                <w:sz w:val="16"/>
                <w:szCs w:val="16"/>
              </w:rPr>
              <w:t>Raziskave in razvoj na področju javne uprave</w:t>
            </w:r>
          </w:p>
        </w:tc>
        <w:tc>
          <w:tcPr>
            <w:tcW w:w="1660" w:type="dxa"/>
            <w:hideMark/>
          </w:tcPr>
          <w:p w:rsidR="00610BDE" w:rsidRPr="00610BDE" w:rsidRDefault="00610BDE" w:rsidP="00610BD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6,0</w:t>
            </w:r>
          </w:p>
        </w:tc>
      </w:tr>
      <w:tr w:rsidR="00610BDE" w:rsidRPr="00610BDE" w:rsidTr="00E969A4">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200" w:type="dxa"/>
            <w:hideMark/>
          </w:tcPr>
          <w:p w:rsidR="00610BDE" w:rsidRPr="00E969A4" w:rsidRDefault="00610BDE" w:rsidP="00610BDE">
            <w:pPr>
              <w:spacing w:after="0" w:line="240" w:lineRule="auto"/>
              <w:rPr>
                <w:rFonts w:ascii="Arial Narrow" w:hAnsi="Arial Narrow"/>
                <w:sz w:val="16"/>
                <w:szCs w:val="16"/>
              </w:rPr>
            </w:pPr>
            <w:r w:rsidRPr="00E969A4">
              <w:rPr>
                <w:rFonts w:ascii="Arial Narrow" w:hAnsi="Arial Narrow"/>
                <w:sz w:val="16"/>
                <w:szCs w:val="16"/>
              </w:rPr>
              <w:t>57</w:t>
            </w:r>
          </w:p>
        </w:tc>
        <w:tc>
          <w:tcPr>
            <w:tcW w:w="4200" w:type="dxa"/>
            <w:hideMark/>
          </w:tcPr>
          <w:p w:rsidR="00610BDE" w:rsidRPr="00610BDE"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Javna uprava</w:t>
            </w:r>
          </w:p>
        </w:tc>
        <w:tc>
          <w:tcPr>
            <w:tcW w:w="4140" w:type="dxa"/>
            <w:hideMark/>
          </w:tcPr>
          <w:p w:rsidR="00610BDE" w:rsidRPr="00E969A4"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sz w:val="16"/>
                <w:szCs w:val="16"/>
              </w:rPr>
            </w:pPr>
            <w:r w:rsidRPr="00E969A4">
              <w:rPr>
                <w:rFonts w:ascii="Arial Narrow" w:hAnsi="Arial Narrow"/>
                <w:b/>
                <w:sz w:val="16"/>
                <w:szCs w:val="16"/>
              </w:rPr>
              <w:t>Gospodarska pomoč tujini</w:t>
            </w:r>
          </w:p>
        </w:tc>
        <w:tc>
          <w:tcPr>
            <w:tcW w:w="1660" w:type="dxa"/>
            <w:hideMark/>
          </w:tcPr>
          <w:p w:rsidR="00610BDE" w:rsidRPr="00610BDE"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5,2</w:t>
            </w:r>
          </w:p>
        </w:tc>
      </w:tr>
      <w:tr w:rsidR="00610BDE" w:rsidRPr="00610BDE" w:rsidTr="00E969A4">
        <w:trPr>
          <w:trHeight w:val="227"/>
        </w:trPr>
        <w:tc>
          <w:tcPr>
            <w:cnfStyle w:val="001000000000" w:firstRow="0" w:lastRow="0" w:firstColumn="1" w:lastColumn="0" w:oddVBand="0" w:evenVBand="0" w:oddHBand="0" w:evenHBand="0" w:firstRowFirstColumn="0" w:firstRowLastColumn="0" w:lastRowFirstColumn="0" w:lastRowLastColumn="0"/>
            <w:tcW w:w="1200" w:type="dxa"/>
            <w:hideMark/>
          </w:tcPr>
          <w:p w:rsidR="00610BDE" w:rsidRPr="00E969A4" w:rsidRDefault="00610BDE" w:rsidP="00610BDE">
            <w:pPr>
              <w:spacing w:after="0" w:line="240" w:lineRule="auto"/>
              <w:rPr>
                <w:rFonts w:ascii="Arial Narrow" w:hAnsi="Arial Narrow"/>
                <w:sz w:val="16"/>
                <w:szCs w:val="16"/>
              </w:rPr>
            </w:pPr>
            <w:r w:rsidRPr="00E969A4">
              <w:rPr>
                <w:rFonts w:ascii="Arial Narrow" w:hAnsi="Arial Narrow"/>
                <w:sz w:val="16"/>
                <w:szCs w:val="16"/>
              </w:rPr>
              <w:t>58</w:t>
            </w:r>
          </w:p>
        </w:tc>
        <w:tc>
          <w:tcPr>
            <w:tcW w:w="4200" w:type="dxa"/>
            <w:hideMark/>
          </w:tcPr>
          <w:p w:rsidR="00610BDE" w:rsidRPr="00610BDE" w:rsidRDefault="00610BDE" w:rsidP="00610BD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Varstvo okolja</w:t>
            </w:r>
          </w:p>
        </w:tc>
        <w:tc>
          <w:tcPr>
            <w:tcW w:w="4140" w:type="dxa"/>
            <w:hideMark/>
          </w:tcPr>
          <w:p w:rsidR="00610BDE" w:rsidRPr="00E969A4" w:rsidRDefault="00610BDE" w:rsidP="00610BD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sz w:val="16"/>
                <w:szCs w:val="16"/>
              </w:rPr>
            </w:pPr>
            <w:r w:rsidRPr="00E969A4">
              <w:rPr>
                <w:rFonts w:ascii="Arial Narrow" w:hAnsi="Arial Narrow"/>
                <w:b/>
                <w:sz w:val="16"/>
                <w:szCs w:val="16"/>
              </w:rPr>
              <w:t>Raziskave in razvoj na področju stanovanjskih dejavnosti in urejanja okolja</w:t>
            </w:r>
          </w:p>
        </w:tc>
        <w:tc>
          <w:tcPr>
            <w:tcW w:w="1660" w:type="dxa"/>
            <w:hideMark/>
          </w:tcPr>
          <w:p w:rsidR="00610BDE" w:rsidRPr="00610BDE" w:rsidRDefault="00610BDE" w:rsidP="00610BD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5,2</w:t>
            </w:r>
          </w:p>
        </w:tc>
      </w:tr>
      <w:tr w:rsidR="00610BDE" w:rsidRPr="00610BDE" w:rsidTr="00E969A4">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200" w:type="dxa"/>
            <w:hideMark/>
          </w:tcPr>
          <w:p w:rsidR="00610BDE" w:rsidRPr="00E969A4" w:rsidRDefault="00610BDE" w:rsidP="00610BDE">
            <w:pPr>
              <w:spacing w:after="0" w:line="240" w:lineRule="auto"/>
              <w:rPr>
                <w:rFonts w:ascii="Arial Narrow" w:hAnsi="Arial Narrow"/>
                <w:sz w:val="16"/>
                <w:szCs w:val="16"/>
              </w:rPr>
            </w:pPr>
            <w:r w:rsidRPr="00E969A4">
              <w:rPr>
                <w:rFonts w:ascii="Arial Narrow" w:hAnsi="Arial Narrow"/>
                <w:sz w:val="16"/>
                <w:szCs w:val="16"/>
              </w:rPr>
              <w:t>59</w:t>
            </w:r>
          </w:p>
        </w:tc>
        <w:tc>
          <w:tcPr>
            <w:tcW w:w="4200" w:type="dxa"/>
            <w:hideMark/>
          </w:tcPr>
          <w:p w:rsidR="00610BDE" w:rsidRPr="00610BDE"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Socialna zaščita</w:t>
            </w:r>
          </w:p>
        </w:tc>
        <w:tc>
          <w:tcPr>
            <w:tcW w:w="4140" w:type="dxa"/>
            <w:hideMark/>
          </w:tcPr>
          <w:p w:rsidR="00610BDE" w:rsidRPr="00E969A4"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sz w:val="16"/>
                <w:szCs w:val="16"/>
              </w:rPr>
            </w:pPr>
            <w:r w:rsidRPr="00E969A4">
              <w:rPr>
                <w:rFonts w:ascii="Arial Narrow" w:hAnsi="Arial Narrow"/>
                <w:b/>
                <w:sz w:val="16"/>
                <w:szCs w:val="16"/>
              </w:rPr>
              <w:t>Stanovanja</w:t>
            </w:r>
          </w:p>
        </w:tc>
        <w:tc>
          <w:tcPr>
            <w:tcW w:w="1660" w:type="dxa"/>
            <w:hideMark/>
          </w:tcPr>
          <w:p w:rsidR="00610BDE" w:rsidRPr="00610BDE"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5,1</w:t>
            </w:r>
          </w:p>
        </w:tc>
      </w:tr>
      <w:tr w:rsidR="00610BDE" w:rsidRPr="00610BDE" w:rsidTr="00E969A4">
        <w:trPr>
          <w:trHeight w:val="227"/>
        </w:trPr>
        <w:tc>
          <w:tcPr>
            <w:cnfStyle w:val="001000000000" w:firstRow="0" w:lastRow="0" w:firstColumn="1" w:lastColumn="0" w:oddVBand="0" w:evenVBand="0" w:oddHBand="0" w:evenHBand="0" w:firstRowFirstColumn="0" w:firstRowLastColumn="0" w:lastRowFirstColumn="0" w:lastRowLastColumn="0"/>
            <w:tcW w:w="1200" w:type="dxa"/>
            <w:hideMark/>
          </w:tcPr>
          <w:p w:rsidR="00610BDE" w:rsidRPr="00E969A4" w:rsidRDefault="00610BDE" w:rsidP="00610BDE">
            <w:pPr>
              <w:spacing w:after="0" w:line="240" w:lineRule="auto"/>
              <w:rPr>
                <w:rFonts w:ascii="Arial Narrow" w:hAnsi="Arial Narrow"/>
                <w:sz w:val="16"/>
                <w:szCs w:val="16"/>
              </w:rPr>
            </w:pPr>
            <w:r w:rsidRPr="00E969A4">
              <w:rPr>
                <w:rFonts w:ascii="Arial Narrow" w:hAnsi="Arial Narrow"/>
                <w:sz w:val="16"/>
                <w:szCs w:val="16"/>
              </w:rPr>
              <w:t>60</w:t>
            </w:r>
          </w:p>
        </w:tc>
        <w:tc>
          <w:tcPr>
            <w:tcW w:w="4200" w:type="dxa"/>
            <w:hideMark/>
          </w:tcPr>
          <w:p w:rsidR="00610BDE" w:rsidRPr="00610BDE" w:rsidRDefault="00610BDE" w:rsidP="00610BD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Rekreacija, kultura in religija</w:t>
            </w:r>
          </w:p>
        </w:tc>
        <w:tc>
          <w:tcPr>
            <w:tcW w:w="4140" w:type="dxa"/>
            <w:hideMark/>
          </w:tcPr>
          <w:p w:rsidR="00610BDE" w:rsidRPr="00E969A4" w:rsidRDefault="00610BDE" w:rsidP="00610BD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sz w:val="16"/>
                <w:szCs w:val="16"/>
              </w:rPr>
            </w:pPr>
            <w:r w:rsidRPr="00E969A4">
              <w:rPr>
                <w:rFonts w:ascii="Arial Narrow" w:hAnsi="Arial Narrow"/>
                <w:b/>
                <w:sz w:val="16"/>
                <w:szCs w:val="16"/>
              </w:rPr>
              <w:t xml:space="preserve">Raziskave in razvoj na področju rekreacije, kulture in </w:t>
            </w:r>
            <w:r w:rsidRPr="00E969A4">
              <w:rPr>
                <w:rFonts w:ascii="Arial Narrow" w:hAnsi="Arial Narrow"/>
                <w:b/>
                <w:sz w:val="16"/>
                <w:szCs w:val="16"/>
              </w:rPr>
              <w:lastRenderedPageBreak/>
              <w:t>religije</w:t>
            </w:r>
          </w:p>
        </w:tc>
        <w:tc>
          <w:tcPr>
            <w:tcW w:w="1660" w:type="dxa"/>
            <w:hideMark/>
          </w:tcPr>
          <w:p w:rsidR="00610BDE" w:rsidRPr="00610BDE" w:rsidRDefault="00610BDE" w:rsidP="00610BD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lastRenderedPageBreak/>
              <w:t>4,2</w:t>
            </w:r>
          </w:p>
        </w:tc>
      </w:tr>
      <w:tr w:rsidR="00610BDE" w:rsidRPr="00610BDE" w:rsidTr="00E969A4">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200" w:type="dxa"/>
            <w:hideMark/>
          </w:tcPr>
          <w:p w:rsidR="00610BDE" w:rsidRPr="00E969A4" w:rsidRDefault="00610BDE" w:rsidP="00610BDE">
            <w:pPr>
              <w:spacing w:after="0" w:line="240" w:lineRule="auto"/>
              <w:rPr>
                <w:rFonts w:ascii="Arial Narrow" w:hAnsi="Arial Narrow"/>
                <w:sz w:val="16"/>
                <w:szCs w:val="16"/>
              </w:rPr>
            </w:pPr>
            <w:r w:rsidRPr="00E969A4">
              <w:rPr>
                <w:rFonts w:ascii="Arial Narrow" w:hAnsi="Arial Narrow"/>
                <w:sz w:val="16"/>
                <w:szCs w:val="16"/>
              </w:rPr>
              <w:lastRenderedPageBreak/>
              <w:t>61</w:t>
            </w:r>
          </w:p>
        </w:tc>
        <w:tc>
          <w:tcPr>
            <w:tcW w:w="4200" w:type="dxa"/>
            <w:hideMark/>
          </w:tcPr>
          <w:p w:rsidR="00610BDE" w:rsidRPr="00610BDE"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Obramba</w:t>
            </w:r>
          </w:p>
        </w:tc>
        <w:tc>
          <w:tcPr>
            <w:tcW w:w="4140" w:type="dxa"/>
            <w:hideMark/>
          </w:tcPr>
          <w:p w:rsidR="00610BDE" w:rsidRPr="00E969A4"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sz w:val="16"/>
                <w:szCs w:val="16"/>
              </w:rPr>
            </w:pPr>
            <w:r w:rsidRPr="00E969A4">
              <w:rPr>
                <w:rFonts w:ascii="Arial Narrow" w:hAnsi="Arial Narrow"/>
                <w:b/>
                <w:sz w:val="16"/>
                <w:szCs w:val="16"/>
              </w:rPr>
              <w:t>Raziskave in razvoj na področju obrambe</w:t>
            </w:r>
          </w:p>
        </w:tc>
        <w:tc>
          <w:tcPr>
            <w:tcW w:w="1660" w:type="dxa"/>
            <w:hideMark/>
          </w:tcPr>
          <w:p w:rsidR="00610BDE" w:rsidRPr="00610BDE"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2,0</w:t>
            </w:r>
          </w:p>
        </w:tc>
      </w:tr>
      <w:tr w:rsidR="00610BDE" w:rsidRPr="00610BDE" w:rsidTr="00E969A4">
        <w:trPr>
          <w:trHeight w:val="227"/>
        </w:trPr>
        <w:tc>
          <w:tcPr>
            <w:cnfStyle w:val="001000000000" w:firstRow="0" w:lastRow="0" w:firstColumn="1" w:lastColumn="0" w:oddVBand="0" w:evenVBand="0" w:oddHBand="0" w:evenHBand="0" w:firstRowFirstColumn="0" w:firstRowLastColumn="0" w:lastRowFirstColumn="0" w:lastRowLastColumn="0"/>
            <w:tcW w:w="1200" w:type="dxa"/>
            <w:hideMark/>
          </w:tcPr>
          <w:p w:rsidR="00610BDE" w:rsidRPr="00E969A4" w:rsidRDefault="00610BDE" w:rsidP="00610BDE">
            <w:pPr>
              <w:spacing w:after="0" w:line="240" w:lineRule="auto"/>
              <w:rPr>
                <w:rFonts w:ascii="Arial Narrow" w:hAnsi="Arial Narrow"/>
                <w:sz w:val="16"/>
                <w:szCs w:val="16"/>
              </w:rPr>
            </w:pPr>
            <w:r w:rsidRPr="00E969A4">
              <w:rPr>
                <w:rFonts w:ascii="Arial Narrow" w:hAnsi="Arial Narrow"/>
                <w:sz w:val="16"/>
                <w:szCs w:val="16"/>
              </w:rPr>
              <w:t>62</w:t>
            </w:r>
          </w:p>
        </w:tc>
        <w:tc>
          <w:tcPr>
            <w:tcW w:w="4200" w:type="dxa"/>
            <w:hideMark/>
          </w:tcPr>
          <w:p w:rsidR="00610BDE" w:rsidRPr="00610BDE" w:rsidRDefault="00610BDE" w:rsidP="00610BD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Ekonomske dejavnosti</w:t>
            </w:r>
          </w:p>
        </w:tc>
        <w:tc>
          <w:tcPr>
            <w:tcW w:w="4140" w:type="dxa"/>
            <w:hideMark/>
          </w:tcPr>
          <w:p w:rsidR="00610BDE" w:rsidRPr="00E969A4" w:rsidRDefault="00610BDE" w:rsidP="00610BD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sz w:val="16"/>
                <w:szCs w:val="16"/>
              </w:rPr>
            </w:pPr>
            <w:r w:rsidRPr="00E969A4">
              <w:rPr>
                <w:rFonts w:ascii="Arial Narrow" w:hAnsi="Arial Narrow"/>
                <w:b/>
                <w:sz w:val="16"/>
                <w:szCs w:val="16"/>
              </w:rPr>
              <w:t>Rudarstvo, predelovalne dejavnosti in gradbeništvo</w:t>
            </w:r>
          </w:p>
        </w:tc>
        <w:tc>
          <w:tcPr>
            <w:tcW w:w="1660" w:type="dxa"/>
            <w:hideMark/>
          </w:tcPr>
          <w:p w:rsidR="00610BDE" w:rsidRPr="00610BDE" w:rsidRDefault="00610BDE" w:rsidP="00610BD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0,8</w:t>
            </w:r>
          </w:p>
        </w:tc>
      </w:tr>
      <w:tr w:rsidR="00610BDE" w:rsidRPr="00610BDE" w:rsidTr="00E969A4">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200" w:type="dxa"/>
            <w:hideMark/>
          </w:tcPr>
          <w:p w:rsidR="00610BDE" w:rsidRPr="00E969A4" w:rsidRDefault="00610BDE" w:rsidP="00610BDE">
            <w:pPr>
              <w:spacing w:after="0" w:line="240" w:lineRule="auto"/>
              <w:rPr>
                <w:rFonts w:ascii="Arial Narrow" w:hAnsi="Arial Narrow"/>
                <w:sz w:val="16"/>
                <w:szCs w:val="16"/>
              </w:rPr>
            </w:pPr>
            <w:r w:rsidRPr="00E969A4">
              <w:rPr>
                <w:rFonts w:ascii="Arial Narrow" w:hAnsi="Arial Narrow"/>
                <w:sz w:val="16"/>
                <w:szCs w:val="16"/>
              </w:rPr>
              <w:t>63</w:t>
            </w:r>
          </w:p>
        </w:tc>
        <w:tc>
          <w:tcPr>
            <w:tcW w:w="4200" w:type="dxa"/>
            <w:hideMark/>
          </w:tcPr>
          <w:p w:rsidR="00610BDE" w:rsidRPr="00610BDE"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Socialna zaščita</w:t>
            </w:r>
          </w:p>
        </w:tc>
        <w:tc>
          <w:tcPr>
            <w:tcW w:w="4140" w:type="dxa"/>
            <w:hideMark/>
          </w:tcPr>
          <w:p w:rsidR="00610BDE" w:rsidRPr="00E969A4"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sz w:val="16"/>
                <w:szCs w:val="16"/>
              </w:rPr>
            </w:pPr>
            <w:r w:rsidRPr="00E969A4">
              <w:rPr>
                <w:rFonts w:ascii="Arial Narrow" w:hAnsi="Arial Narrow"/>
                <w:b/>
                <w:sz w:val="16"/>
                <w:szCs w:val="16"/>
              </w:rPr>
              <w:t>Raziskave in razvoj na področju socialne zaščite</w:t>
            </w:r>
          </w:p>
        </w:tc>
        <w:tc>
          <w:tcPr>
            <w:tcW w:w="1660" w:type="dxa"/>
            <w:hideMark/>
          </w:tcPr>
          <w:p w:rsidR="00610BDE" w:rsidRPr="00610BDE"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0,2</w:t>
            </w:r>
          </w:p>
        </w:tc>
      </w:tr>
      <w:tr w:rsidR="00610BDE" w:rsidRPr="00610BDE" w:rsidTr="00E969A4">
        <w:trPr>
          <w:trHeight w:val="227"/>
        </w:trPr>
        <w:tc>
          <w:tcPr>
            <w:cnfStyle w:val="001000000000" w:firstRow="0" w:lastRow="0" w:firstColumn="1" w:lastColumn="0" w:oddVBand="0" w:evenVBand="0" w:oddHBand="0" w:evenHBand="0" w:firstRowFirstColumn="0" w:firstRowLastColumn="0" w:lastRowFirstColumn="0" w:lastRowLastColumn="0"/>
            <w:tcW w:w="1200" w:type="dxa"/>
            <w:hideMark/>
          </w:tcPr>
          <w:p w:rsidR="00610BDE" w:rsidRPr="00E969A4" w:rsidRDefault="00610BDE" w:rsidP="00610BDE">
            <w:pPr>
              <w:spacing w:after="0" w:line="240" w:lineRule="auto"/>
              <w:rPr>
                <w:rFonts w:ascii="Arial Narrow" w:hAnsi="Arial Narrow"/>
                <w:sz w:val="16"/>
                <w:szCs w:val="16"/>
              </w:rPr>
            </w:pPr>
            <w:r w:rsidRPr="00E969A4">
              <w:rPr>
                <w:rFonts w:ascii="Arial Narrow" w:hAnsi="Arial Narrow"/>
                <w:sz w:val="16"/>
                <w:szCs w:val="16"/>
              </w:rPr>
              <w:t>64</w:t>
            </w:r>
          </w:p>
        </w:tc>
        <w:tc>
          <w:tcPr>
            <w:tcW w:w="4200" w:type="dxa"/>
            <w:hideMark/>
          </w:tcPr>
          <w:p w:rsidR="00610BDE" w:rsidRPr="00610BDE" w:rsidRDefault="00610BDE" w:rsidP="00610BD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Javna uprava</w:t>
            </w:r>
          </w:p>
        </w:tc>
        <w:tc>
          <w:tcPr>
            <w:tcW w:w="4140" w:type="dxa"/>
            <w:hideMark/>
          </w:tcPr>
          <w:p w:rsidR="00610BDE" w:rsidRPr="00E969A4" w:rsidRDefault="00610BDE" w:rsidP="00610BD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sz w:val="16"/>
                <w:szCs w:val="16"/>
              </w:rPr>
            </w:pPr>
            <w:r w:rsidRPr="00E969A4">
              <w:rPr>
                <w:rFonts w:ascii="Arial Narrow" w:hAnsi="Arial Narrow"/>
                <w:b/>
                <w:sz w:val="16"/>
                <w:szCs w:val="16"/>
              </w:rPr>
              <w:t>Splošni transferji med različnimi ravnmi države</w:t>
            </w:r>
          </w:p>
        </w:tc>
        <w:tc>
          <w:tcPr>
            <w:tcW w:w="1660" w:type="dxa"/>
            <w:hideMark/>
          </w:tcPr>
          <w:p w:rsidR="00610BDE" w:rsidRPr="00610BDE" w:rsidRDefault="00610BDE" w:rsidP="00610BD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0,0</w:t>
            </w:r>
          </w:p>
        </w:tc>
      </w:tr>
      <w:tr w:rsidR="00610BDE" w:rsidRPr="00610BDE" w:rsidTr="00E969A4">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200" w:type="dxa"/>
            <w:hideMark/>
          </w:tcPr>
          <w:p w:rsidR="00610BDE" w:rsidRPr="00E969A4" w:rsidRDefault="00610BDE" w:rsidP="00610BDE">
            <w:pPr>
              <w:spacing w:after="0" w:line="240" w:lineRule="auto"/>
              <w:rPr>
                <w:rFonts w:ascii="Arial Narrow" w:hAnsi="Arial Narrow"/>
                <w:sz w:val="16"/>
                <w:szCs w:val="16"/>
              </w:rPr>
            </w:pPr>
            <w:r w:rsidRPr="00E969A4">
              <w:rPr>
                <w:rFonts w:ascii="Arial Narrow" w:hAnsi="Arial Narrow"/>
                <w:sz w:val="16"/>
                <w:szCs w:val="16"/>
              </w:rPr>
              <w:t>65</w:t>
            </w:r>
          </w:p>
        </w:tc>
        <w:tc>
          <w:tcPr>
            <w:tcW w:w="4200" w:type="dxa"/>
            <w:hideMark/>
          </w:tcPr>
          <w:p w:rsidR="00610BDE" w:rsidRPr="00610BDE"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Obramba</w:t>
            </w:r>
          </w:p>
        </w:tc>
        <w:tc>
          <w:tcPr>
            <w:tcW w:w="4140" w:type="dxa"/>
            <w:hideMark/>
          </w:tcPr>
          <w:p w:rsidR="00610BDE" w:rsidRPr="00E969A4"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sz w:val="16"/>
                <w:szCs w:val="16"/>
              </w:rPr>
            </w:pPr>
            <w:r w:rsidRPr="00E969A4">
              <w:rPr>
                <w:rFonts w:ascii="Arial Narrow" w:hAnsi="Arial Narrow"/>
                <w:b/>
                <w:sz w:val="16"/>
                <w:szCs w:val="16"/>
              </w:rPr>
              <w:t>Vojaška pomoč tujini</w:t>
            </w:r>
          </w:p>
        </w:tc>
        <w:tc>
          <w:tcPr>
            <w:tcW w:w="1660" w:type="dxa"/>
            <w:hideMark/>
          </w:tcPr>
          <w:p w:rsidR="00610BDE" w:rsidRPr="00610BDE"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0,0</w:t>
            </w:r>
          </w:p>
        </w:tc>
      </w:tr>
      <w:tr w:rsidR="00610BDE" w:rsidRPr="00610BDE" w:rsidTr="00E969A4">
        <w:trPr>
          <w:trHeight w:val="227"/>
        </w:trPr>
        <w:tc>
          <w:tcPr>
            <w:cnfStyle w:val="001000000000" w:firstRow="0" w:lastRow="0" w:firstColumn="1" w:lastColumn="0" w:oddVBand="0" w:evenVBand="0" w:oddHBand="0" w:evenHBand="0" w:firstRowFirstColumn="0" w:firstRowLastColumn="0" w:lastRowFirstColumn="0" w:lastRowLastColumn="0"/>
            <w:tcW w:w="1200" w:type="dxa"/>
            <w:hideMark/>
          </w:tcPr>
          <w:p w:rsidR="00610BDE" w:rsidRPr="00E969A4" w:rsidRDefault="00610BDE" w:rsidP="00610BDE">
            <w:pPr>
              <w:spacing w:after="0" w:line="240" w:lineRule="auto"/>
              <w:rPr>
                <w:rFonts w:ascii="Arial Narrow" w:hAnsi="Arial Narrow"/>
                <w:sz w:val="16"/>
                <w:szCs w:val="16"/>
              </w:rPr>
            </w:pPr>
            <w:r w:rsidRPr="00E969A4">
              <w:rPr>
                <w:rFonts w:ascii="Arial Narrow" w:hAnsi="Arial Narrow"/>
                <w:sz w:val="16"/>
                <w:szCs w:val="16"/>
              </w:rPr>
              <w:t>66</w:t>
            </w:r>
          </w:p>
        </w:tc>
        <w:tc>
          <w:tcPr>
            <w:tcW w:w="4200" w:type="dxa"/>
            <w:hideMark/>
          </w:tcPr>
          <w:p w:rsidR="00610BDE" w:rsidRPr="00610BDE" w:rsidRDefault="00610BDE" w:rsidP="00610BD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Javni red in varnost</w:t>
            </w:r>
          </w:p>
        </w:tc>
        <w:tc>
          <w:tcPr>
            <w:tcW w:w="4140" w:type="dxa"/>
            <w:hideMark/>
          </w:tcPr>
          <w:p w:rsidR="00610BDE" w:rsidRPr="00E969A4" w:rsidRDefault="00610BDE" w:rsidP="00610BD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sz w:val="16"/>
                <w:szCs w:val="16"/>
              </w:rPr>
            </w:pPr>
            <w:r w:rsidRPr="00E969A4">
              <w:rPr>
                <w:rFonts w:ascii="Arial Narrow" w:hAnsi="Arial Narrow"/>
                <w:b/>
                <w:sz w:val="16"/>
                <w:szCs w:val="16"/>
              </w:rPr>
              <w:t>Raziskave in razvoj na področju javnega reda in varnosti</w:t>
            </w:r>
          </w:p>
        </w:tc>
        <w:tc>
          <w:tcPr>
            <w:tcW w:w="1660" w:type="dxa"/>
            <w:hideMark/>
          </w:tcPr>
          <w:p w:rsidR="00610BDE" w:rsidRPr="00610BDE" w:rsidRDefault="00610BDE" w:rsidP="00610BD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0,0</w:t>
            </w:r>
          </w:p>
        </w:tc>
      </w:tr>
      <w:tr w:rsidR="00610BDE" w:rsidRPr="00610BDE" w:rsidTr="00E969A4">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200" w:type="dxa"/>
            <w:hideMark/>
          </w:tcPr>
          <w:p w:rsidR="00610BDE" w:rsidRPr="00E969A4" w:rsidRDefault="00610BDE" w:rsidP="00610BDE">
            <w:pPr>
              <w:spacing w:after="0" w:line="240" w:lineRule="auto"/>
              <w:rPr>
                <w:rFonts w:ascii="Arial Narrow" w:hAnsi="Arial Narrow"/>
                <w:sz w:val="16"/>
                <w:szCs w:val="16"/>
              </w:rPr>
            </w:pPr>
            <w:r w:rsidRPr="00E969A4">
              <w:rPr>
                <w:rFonts w:ascii="Arial Narrow" w:hAnsi="Arial Narrow"/>
                <w:sz w:val="16"/>
                <w:szCs w:val="16"/>
              </w:rPr>
              <w:t>67</w:t>
            </w:r>
          </w:p>
        </w:tc>
        <w:tc>
          <w:tcPr>
            <w:tcW w:w="4200" w:type="dxa"/>
            <w:hideMark/>
          </w:tcPr>
          <w:p w:rsidR="00610BDE" w:rsidRPr="00610BDE"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Ekonomske dejavnosti</w:t>
            </w:r>
          </w:p>
        </w:tc>
        <w:tc>
          <w:tcPr>
            <w:tcW w:w="4140" w:type="dxa"/>
            <w:hideMark/>
          </w:tcPr>
          <w:p w:rsidR="00610BDE" w:rsidRPr="00E969A4"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sz w:val="16"/>
                <w:szCs w:val="16"/>
              </w:rPr>
            </w:pPr>
            <w:r w:rsidRPr="00E969A4">
              <w:rPr>
                <w:rFonts w:ascii="Arial Narrow" w:hAnsi="Arial Narrow"/>
                <w:b/>
                <w:sz w:val="16"/>
                <w:szCs w:val="16"/>
              </w:rPr>
              <w:t>Druge ekonomske dejavnosti</w:t>
            </w:r>
          </w:p>
        </w:tc>
        <w:tc>
          <w:tcPr>
            <w:tcW w:w="1660" w:type="dxa"/>
            <w:hideMark/>
          </w:tcPr>
          <w:p w:rsidR="00610BDE" w:rsidRPr="00610BDE"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0,0</w:t>
            </w:r>
          </w:p>
        </w:tc>
      </w:tr>
      <w:tr w:rsidR="00610BDE" w:rsidRPr="00610BDE" w:rsidTr="00E969A4">
        <w:trPr>
          <w:trHeight w:val="227"/>
        </w:trPr>
        <w:tc>
          <w:tcPr>
            <w:cnfStyle w:val="001000000000" w:firstRow="0" w:lastRow="0" w:firstColumn="1" w:lastColumn="0" w:oddVBand="0" w:evenVBand="0" w:oddHBand="0" w:evenHBand="0" w:firstRowFirstColumn="0" w:firstRowLastColumn="0" w:lastRowFirstColumn="0" w:lastRowLastColumn="0"/>
            <w:tcW w:w="1200" w:type="dxa"/>
            <w:hideMark/>
          </w:tcPr>
          <w:p w:rsidR="00610BDE" w:rsidRPr="00E969A4" w:rsidRDefault="00610BDE" w:rsidP="00610BDE">
            <w:pPr>
              <w:spacing w:after="0" w:line="240" w:lineRule="auto"/>
              <w:rPr>
                <w:rFonts w:ascii="Arial Narrow" w:hAnsi="Arial Narrow"/>
                <w:sz w:val="16"/>
                <w:szCs w:val="16"/>
              </w:rPr>
            </w:pPr>
            <w:r w:rsidRPr="00E969A4">
              <w:rPr>
                <w:rFonts w:ascii="Arial Narrow" w:hAnsi="Arial Narrow"/>
                <w:sz w:val="16"/>
                <w:szCs w:val="16"/>
              </w:rPr>
              <w:t>68</w:t>
            </w:r>
          </w:p>
        </w:tc>
        <w:tc>
          <w:tcPr>
            <w:tcW w:w="4200" w:type="dxa"/>
            <w:hideMark/>
          </w:tcPr>
          <w:p w:rsidR="00610BDE" w:rsidRPr="00610BDE" w:rsidRDefault="00610BDE" w:rsidP="00610BD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Izobraževanje</w:t>
            </w:r>
          </w:p>
        </w:tc>
        <w:tc>
          <w:tcPr>
            <w:tcW w:w="4140" w:type="dxa"/>
            <w:hideMark/>
          </w:tcPr>
          <w:p w:rsidR="00610BDE" w:rsidRPr="00E969A4" w:rsidRDefault="00610BDE" w:rsidP="00610BD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sz w:val="16"/>
                <w:szCs w:val="16"/>
              </w:rPr>
            </w:pPr>
            <w:r w:rsidRPr="00E969A4">
              <w:rPr>
                <w:rFonts w:ascii="Arial Narrow" w:hAnsi="Arial Narrow"/>
                <w:b/>
                <w:sz w:val="16"/>
                <w:szCs w:val="16"/>
              </w:rPr>
              <w:t xml:space="preserve">Post-sekundarno </w:t>
            </w:r>
            <w:proofErr w:type="spellStart"/>
            <w:r w:rsidRPr="00E969A4">
              <w:rPr>
                <w:rFonts w:ascii="Arial Narrow" w:hAnsi="Arial Narrow"/>
                <w:b/>
                <w:sz w:val="16"/>
                <w:szCs w:val="16"/>
              </w:rPr>
              <w:t>neterciarno</w:t>
            </w:r>
            <w:proofErr w:type="spellEnd"/>
            <w:r w:rsidRPr="00E969A4">
              <w:rPr>
                <w:rFonts w:ascii="Arial Narrow" w:hAnsi="Arial Narrow"/>
                <w:b/>
                <w:sz w:val="16"/>
                <w:szCs w:val="16"/>
              </w:rPr>
              <w:t xml:space="preserve"> izobraževanje</w:t>
            </w:r>
          </w:p>
        </w:tc>
        <w:tc>
          <w:tcPr>
            <w:tcW w:w="1660" w:type="dxa"/>
            <w:hideMark/>
          </w:tcPr>
          <w:p w:rsidR="00610BDE" w:rsidRPr="00610BDE" w:rsidRDefault="00610BDE" w:rsidP="00610BD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0,0</w:t>
            </w:r>
          </w:p>
        </w:tc>
      </w:tr>
      <w:tr w:rsidR="00610BDE" w:rsidRPr="00610BDE" w:rsidTr="00E969A4">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200" w:type="dxa"/>
            <w:hideMark/>
          </w:tcPr>
          <w:p w:rsidR="00610BDE" w:rsidRPr="00E969A4" w:rsidRDefault="00610BDE" w:rsidP="00610BDE">
            <w:pPr>
              <w:spacing w:after="0" w:line="240" w:lineRule="auto"/>
              <w:rPr>
                <w:rFonts w:ascii="Arial Narrow" w:hAnsi="Arial Narrow"/>
                <w:sz w:val="16"/>
                <w:szCs w:val="16"/>
              </w:rPr>
            </w:pPr>
            <w:r w:rsidRPr="00E969A4">
              <w:rPr>
                <w:rFonts w:ascii="Arial Narrow" w:hAnsi="Arial Narrow"/>
                <w:sz w:val="16"/>
                <w:szCs w:val="16"/>
              </w:rPr>
              <w:t>69</w:t>
            </w:r>
          </w:p>
        </w:tc>
        <w:tc>
          <w:tcPr>
            <w:tcW w:w="4200" w:type="dxa"/>
            <w:hideMark/>
          </w:tcPr>
          <w:p w:rsidR="00610BDE" w:rsidRPr="00610BDE"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Izobraževanje</w:t>
            </w:r>
          </w:p>
        </w:tc>
        <w:tc>
          <w:tcPr>
            <w:tcW w:w="4140" w:type="dxa"/>
            <w:hideMark/>
          </w:tcPr>
          <w:p w:rsidR="00610BDE" w:rsidRPr="00E969A4"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sz w:val="16"/>
                <w:szCs w:val="16"/>
              </w:rPr>
            </w:pPr>
            <w:r w:rsidRPr="00E969A4">
              <w:rPr>
                <w:rFonts w:ascii="Arial Narrow" w:hAnsi="Arial Narrow"/>
                <w:b/>
                <w:sz w:val="16"/>
                <w:szCs w:val="16"/>
              </w:rPr>
              <w:t>Raziskave in razvoj na področju izobraževanja</w:t>
            </w:r>
          </w:p>
        </w:tc>
        <w:tc>
          <w:tcPr>
            <w:tcW w:w="1660" w:type="dxa"/>
            <w:hideMark/>
          </w:tcPr>
          <w:p w:rsidR="00610BDE" w:rsidRPr="00610BDE" w:rsidRDefault="00610BDE" w:rsidP="00610BD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10BDE">
              <w:rPr>
                <w:rFonts w:ascii="Arial Narrow" w:hAnsi="Arial Narrow"/>
                <w:sz w:val="16"/>
                <w:szCs w:val="16"/>
              </w:rPr>
              <w:t>0,0</w:t>
            </w:r>
          </w:p>
        </w:tc>
      </w:tr>
    </w:tbl>
    <w:p w:rsidR="0078130E" w:rsidRDefault="0078130E" w:rsidP="00DE1E54">
      <w:pPr>
        <w:pStyle w:val="Podpispodtabeloaligrafom"/>
        <w:spacing w:after="0"/>
      </w:pPr>
      <w:r>
        <w:t>Vir: Statistični urad Republike Slovenije.</w:t>
      </w:r>
      <w:r w:rsidR="00A071AF">
        <w:t xml:space="preserve"> Izračuni: </w:t>
      </w:r>
      <w:r w:rsidR="002816A9">
        <w:t>Ministrstvo za kulturo</w:t>
      </w:r>
      <w:r w:rsidR="00A071AF">
        <w:t>.</w:t>
      </w:r>
    </w:p>
    <w:p w:rsidR="0078130E" w:rsidRDefault="0078130E" w:rsidP="00263DE3">
      <w:pPr>
        <w:pStyle w:val="Podpispodtabeloaligrafom"/>
        <w:spacing w:after="0"/>
      </w:pPr>
      <w:r>
        <w:t>* Državni proračun in lokalni proračuni skupaj.</w:t>
      </w:r>
    </w:p>
    <w:p w:rsidR="006F53FE" w:rsidRDefault="00605318" w:rsidP="00263DE3">
      <w:pPr>
        <w:pStyle w:val="Podpispodtabeloaligrafom"/>
      </w:pPr>
      <w:r w:rsidRPr="00605318">
        <w:rPr>
          <w:vertAlign w:val="superscript"/>
        </w:rPr>
        <w:t>1</w:t>
      </w:r>
      <w:r w:rsidR="0078130E">
        <w:t xml:space="preserve"> Pri izdatkih za to področje ne gre za financiranje delovanja inštitucij, ki sestavljajo javno zdravstveno službo (npr. zdravstvenih domov, bolnišnic ipd.), kot bi bilo mogoče sklepati iz poimenovanja, temveč za financiranje t.i. javnega zdravja, področja, ki obsega zlasti preventivne dejavnosti (načrtovanje rojstev, cepljenja, sistematski pregledi, ozaveščanje), spremljanje pojavljanja določenih bolezni (npr. nalezljivih bolezni, kroničnih bolezni), transfuzijsko dejavnost, epidemiološke raziskave ipd.</w:t>
      </w:r>
      <w:bookmarkStart w:id="83" w:name="_Toc477339476"/>
      <w:bookmarkStart w:id="84" w:name="_Toc477339732"/>
      <w:bookmarkStart w:id="85" w:name="_Toc477339900"/>
    </w:p>
    <w:p w:rsidR="006F54E8" w:rsidRDefault="006F54E8" w:rsidP="006F53FE"/>
    <w:p w:rsidR="006F53FE" w:rsidRPr="006F53FE" w:rsidRDefault="006F53FE" w:rsidP="006F53FE">
      <w:r>
        <w:t xml:space="preserve">Leta 2015 je Slovenija za kulturne storitve namenila 275,3 milijone evrov (kar je za </w:t>
      </w:r>
      <w:r w:rsidRPr="006F53FE">
        <w:t>26 milijonov manj kot leta 2008</w:t>
      </w:r>
      <w:r>
        <w:t>), za storitve radia, televizije in založništva pa 132,7 milijonov (kar je 15 milijonov manj kot leta 2008).</w:t>
      </w:r>
      <w:r>
        <w:rPr>
          <w:rStyle w:val="Sprotnaopomba-sklic"/>
        </w:rPr>
        <w:footnoteReference w:id="16"/>
      </w:r>
      <w:r>
        <w:t xml:space="preserve"> </w:t>
      </w:r>
      <w:r w:rsidRPr="001C5708">
        <w:rPr>
          <w:u w:val="single"/>
        </w:rPr>
        <w:t>Na hierarhični lestvici javnih izdatkov, ki ima 69 mest</w:t>
      </w:r>
      <w:r>
        <w:rPr>
          <w:u w:val="single"/>
        </w:rPr>
        <w:t>,</w:t>
      </w:r>
      <w:r w:rsidRPr="001C5708">
        <w:rPr>
          <w:u w:val="single"/>
        </w:rPr>
        <w:t xml:space="preserve"> so bile kulturne storitve na 17. mestu, storitve radia, televizije in založništva pa na 28. </w:t>
      </w:r>
      <w:r>
        <w:t>Sredstva za kulturo so se torej v obdobju 2018–2015 torej zmanjšala tako v absolutnem kot relativnem s</w:t>
      </w:r>
      <w:r w:rsidR="00263DE3">
        <w:t>mislu (vrstni red na lestvici).</w:t>
      </w:r>
    </w:p>
    <w:p w:rsidR="00C236C3" w:rsidRPr="000E5D09" w:rsidRDefault="004C72B7" w:rsidP="0050299F">
      <w:pPr>
        <w:pStyle w:val="Naslovtabele"/>
      </w:pPr>
      <w:bookmarkStart w:id="86" w:name="_Toc490053352"/>
      <w:bookmarkStart w:id="87" w:name="_Toc490053723"/>
      <w:bookmarkStart w:id="88" w:name="_Toc490599995"/>
      <w:r>
        <w:t>Tabela 7</w:t>
      </w:r>
      <w:r w:rsidR="00C236C3">
        <w:t xml:space="preserve">: </w:t>
      </w:r>
      <w:r w:rsidR="00DB6BD5">
        <w:t>Hierarhija javnih izdatkov</w:t>
      </w:r>
      <w:r w:rsidR="00C236C3">
        <w:t xml:space="preserve"> </w:t>
      </w:r>
      <w:bookmarkEnd w:id="83"/>
      <w:bookmarkEnd w:id="84"/>
      <w:bookmarkEnd w:id="85"/>
      <w:r w:rsidR="00DB6BD5">
        <w:t>(2015)</w:t>
      </w:r>
      <w:bookmarkEnd w:id="86"/>
      <w:bookmarkEnd w:id="87"/>
      <w:r w:rsidR="00E76D1C">
        <w:t>*</w:t>
      </w:r>
      <w:bookmarkEnd w:id="88"/>
    </w:p>
    <w:tbl>
      <w:tblPr>
        <w:tblW w:w="5000" w:type="pct"/>
        <w:tblCellMar>
          <w:left w:w="70" w:type="dxa"/>
          <w:right w:w="70" w:type="dxa"/>
        </w:tblCellMar>
        <w:tblLook w:val="04A0" w:firstRow="1" w:lastRow="0" w:firstColumn="1" w:lastColumn="0" w:noHBand="0" w:noVBand="1"/>
      </w:tblPr>
      <w:tblGrid>
        <w:gridCol w:w="921"/>
        <w:gridCol w:w="2836"/>
        <w:gridCol w:w="4819"/>
        <w:gridCol w:w="1304"/>
      </w:tblGrid>
      <w:tr w:rsidR="00A0754F" w:rsidRPr="00A0754F" w:rsidTr="00D52100">
        <w:trPr>
          <w:trHeight w:val="227"/>
          <w:tblHeader/>
        </w:trPr>
        <w:tc>
          <w:tcPr>
            <w:tcW w:w="466" w:type="pct"/>
            <w:tcBorders>
              <w:top w:val="single" w:sz="8" w:space="0" w:color="9BBB59"/>
              <w:left w:val="single" w:sz="8" w:space="0" w:color="9BBB59"/>
              <w:bottom w:val="nil"/>
              <w:right w:val="nil"/>
            </w:tcBorders>
            <w:shd w:val="clear" w:color="000000" w:fill="9BBB59"/>
            <w:hideMark/>
          </w:tcPr>
          <w:p w:rsidR="00A0754F" w:rsidRPr="00A0754F" w:rsidRDefault="00A0754F" w:rsidP="00A0754F">
            <w:pPr>
              <w:spacing w:after="0" w:line="240" w:lineRule="auto"/>
              <w:rPr>
                <w:rFonts w:ascii="Arial Narrow" w:hAnsi="Arial Narrow"/>
                <w:b/>
                <w:bCs/>
                <w:color w:val="FFFFFF"/>
                <w:sz w:val="16"/>
                <w:szCs w:val="16"/>
                <w:lang w:eastAsia="sl-SI"/>
              </w:rPr>
            </w:pPr>
            <w:r w:rsidRPr="00A0754F">
              <w:rPr>
                <w:rFonts w:ascii="Arial Narrow" w:hAnsi="Arial Narrow"/>
                <w:b/>
                <w:bCs/>
                <w:color w:val="FFFFFF" w:themeColor="background1"/>
                <w:sz w:val="16"/>
                <w:szCs w:val="16"/>
                <w:lang w:eastAsia="sl-SI"/>
              </w:rPr>
              <w:t xml:space="preserve">Vrstni red </w:t>
            </w:r>
          </w:p>
        </w:tc>
        <w:tc>
          <w:tcPr>
            <w:tcW w:w="1435" w:type="pct"/>
            <w:tcBorders>
              <w:top w:val="single" w:sz="8" w:space="0" w:color="9BBB59"/>
              <w:left w:val="nil"/>
              <w:bottom w:val="nil"/>
              <w:right w:val="nil"/>
            </w:tcBorders>
            <w:shd w:val="clear" w:color="000000" w:fill="9BBB59"/>
            <w:hideMark/>
          </w:tcPr>
          <w:p w:rsidR="00A0754F" w:rsidRPr="00A0754F" w:rsidRDefault="00A0754F" w:rsidP="00A0754F">
            <w:pPr>
              <w:spacing w:after="0" w:line="240" w:lineRule="auto"/>
              <w:rPr>
                <w:rFonts w:ascii="Arial Narrow" w:hAnsi="Arial Narrow"/>
                <w:b/>
                <w:bCs/>
                <w:color w:val="FFFFFF"/>
                <w:sz w:val="16"/>
                <w:szCs w:val="16"/>
                <w:lang w:eastAsia="sl-SI"/>
              </w:rPr>
            </w:pPr>
            <w:r w:rsidRPr="00A0754F">
              <w:rPr>
                <w:rFonts w:ascii="Arial Narrow" w:hAnsi="Arial Narrow"/>
                <w:b/>
                <w:bCs/>
                <w:color w:val="FFFFFF" w:themeColor="background1"/>
                <w:sz w:val="16"/>
                <w:szCs w:val="16"/>
                <w:lang w:eastAsia="sl-SI"/>
              </w:rPr>
              <w:t>Področje (raven 1) po metodologiji COFOG</w:t>
            </w:r>
          </w:p>
        </w:tc>
        <w:tc>
          <w:tcPr>
            <w:tcW w:w="2439" w:type="pct"/>
            <w:tcBorders>
              <w:top w:val="single" w:sz="8" w:space="0" w:color="9BBB59"/>
              <w:left w:val="nil"/>
              <w:bottom w:val="nil"/>
              <w:right w:val="nil"/>
            </w:tcBorders>
            <w:shd w:val="clear" w:color="000000" w:fill="9BBB59"/>
            <w:hideMark/>
          </w:tcPr>
          <w:p w:rsidR="00A0754F" w:rsidRPr="00A0754F" w:rsidRDefault="00A0754F" w:rsidP="00A0754F">
            <w:pPr>
              <w:spacing w:after="0" w:line="240" w:lineRule="auto"/>
              <w:rPr>
                <w:rFonts w:ascii="Arial Narrow" w:hAnsi="Arial Narrow"/>
                <w:b/>
                <w:bCs/>
                <w:color w:val="FFFFFF"/>
                <w:sz w:val="16"/>
                <w:szCs w:val="16"/>
                <w:lang w:eastAsia="sl-SI"/>
              </w:rPr>
            </w:pPr>
            <w:r w:rsidRPr="00A0754F">
              <w:rPr>
                <w:rFonts w:ascii="Arial Narrow" w:hAnsi="Arial Narrow"/>
                <w:b/>
                <w:bCs/>
                <w:color w:val="FFFFFF" w:themeColor="background1"/>
                <w:sz w:val="16"/>
                <w:szCs w:val="16"/>
                <w:lang w:eastAsia="sl-SI"/>
              </w:rPr>
              <w:t>Oddelek (raven 2) po metodologiji COFOG</w:t>
            </w:r>
          </w:p>
        </w:tc>
        <w:tc>
          <w:tcPr>
            <w:tcW w:w="660" w:type="pct"/>
            <w:tcBorders>
              <w:top w:val="single" w:sz="8" w:space="0" w:color="9BBB59"/>
              <w:left w:val="nil"/>
              <w:bottom w:val="nil"/>
              <w:right w:val="single" w:sz="8" w:space="0" w:color="9BBB59"/>
            </w:tcBorders>
            <w:shd w:val="clear" w:color="000000" w:fill="9BBB59"/>
            <w:hideMark/>
          </w:tcPr>
          <w:p w:rsidR="00A0754F" w:rsidRPr="00A0754F" w:rsidRDefault="00A0754F" w:rsidP="00A0754F">
            <w:pPr>
              <w:spacing w:after="0" w:line="240" w:lineRule="auto"/>
              <w:rPr>
                <w:rFonts w:ascii="Arial Narrow" w:hAnsi="Arial Narrow"/>
                <w:b/>
                <w:bCs/>
                <w:color w:val="FFFFFF"/>
                <w:sz w:val="16"/>
                <w:szCs w:val="16"/>
                <w:lang w:eastAsia="sl-SI"/>
              </w:rPr>
            </w:pPr>
            <w:r w:rsidRPr="00A0754F">
              <w:rPr>
                <w:rFonts w:ascii="Arial Narrow" w:hAnsi="Arial Narrow"/>
                <w:b/>
                <w:bCs/>
                <w:color w:val="FFFFFF" w:themeColor="background1"/>
                <w:sz w:val="16"/>
                <w:szCs w:val="16"/>
                <w:lang w:eastAsia="sl-SI"/>
              </w:rPr>
              <w:t>Milijoni evrov</w:t>
            </w:r>
          </w:p>
        </w:tc>
      </w:tr>
      <w:tr w:rsidR="00A0754F" w:rsidRPr="00A0754F" w:rsidTr="00D52100">
        <w:trPr>
          <w:trHeight w:val="227"/>
        </w:trPr>
        <w:tc>
          <w:tcPr>
            <w:tcW w:w="466" w:type="pct"/>
            <w:tcBorders>
              <w:top w:val="single" w:sz="8" w:space="0" w:color="9BBB59"/>
              <w:left w:val="single" w:sz="8" w:space="0" w:color="9BBB59"/>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1.</w:t>
            </w:r>
          </w:p>
        </w:tc>
        <w:tc>
          <w:tcPr>
            <w:tcW w:w="1435" w:type="pct"/>
            <w:tcBorders>
              <w:top w:val="single" w:sz="8" w:space="0" w:color="9BBB59"/>
              <w:left w:val="nil"/>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Socialna zaščita</w:t>
            </w:r>
          </w:p>
        </w:tc>
        <w:tc>
          <w:tcPr>
            <w:tcW w:w="2439" w:type="pct"/>
            <w:tcBorders>
              <w:top w:val="single" w:sz="8" w:space="0" w:color="9BBB59"/>
              <w:left w:val="nil"/>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Starost</w:t>
            </w:r>
          </w:p>
        </w:tc>
        <w:tc>
          <w:tcPr>
            <w:tcW w:w="660" w:type="pct"/>
            <w:tcBorders>
              <w:top w:val="single" w:sz="8" w:space="0" w:color="9BBB59"/>
              <w:left w:val="nil"/>
              <w:bottom w:val="single" w:sz="8" w:space="0" w:color="9BBB59"/>
              <w:right w:val="single" w:sz="8" w:space="0" w:color="9BBB59"/>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3824,1</w:t>
            </w:r>
          </w:p>
        </w:tc>
      </w:tr>
      <w:tr w:rsidR="00A0754F" w:rsidRPr="00A0754F" w:rsidTr="00D52100">
        <w:trPr>
          <w:trHeight w:val="227"/>
        </w:trPr>
        <w:tc>
          <w:tcPr>
            <w:tcW w:w="466" w:type="pct"/>
            <w:tcBorders>
              <w:top w:val="nil"/>
              <w:left w:val="single" w:sz="8" w:space="0" w:color="9BBB59"/>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2.</w:t>
            </w:r>
          </w:p>
        </w:tc>
        <w:tc>
          <w:tcPr>
            <w:tcW w:w="1435" w:type="pct"/>
            <w:tcBorders>
              <w:top w:val="nil"/>
              <w:left w:val="nil"/>
              <w:bottom w:val="nil"/>
              <w:right w:val="nil"/>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Javna uprava</w:t>
            </w:r>
          </w:p>
        </w:tc>
        <w:tc>
          <w:tcPr>
            <w:tcW w:w="2439" w:type="pct"/>
            <w:tcBorders>
              <w:top w:val="nil"/>
              <w:left w:val="nil"/>
              <w:bottom w:val="nil"/>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Servisiranje javnega dolga</w:t>
            </w:r>
          </w:p>
        </w:tc>
        <w:tc>
          <w:tcPr>
            <w:tcW w:w="660" w:type="pct"/>
            <w:tcBorders>
              <w:top w:val="nil"/>
              <w:left w:val="nil"/>
              <w:bottom w:val="nil"/>
              <w:right w:val="single" w:sz="8" w:space="0" w:color="9BBB59"/>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1185,9</w:t>
            </w:r>
          </w:p>
        </w:tc>
      </w:tr>
      <w:tr w:rsidR="00A0754F" w:rsidRPr="00A0754F" w:rsidTr="00D52100">
        <w:trPr>
          <w:trHeight w:val="227"/>
        </w:trPr>
        <w:tc>
          <w:tcPr>
            <w:tcW w:w="466" w:type="pct"/>
            <w:tcBorders>
              <w:top w:val="nil"/>
              <w:left w:val="single" w:sz="8" w:space="0" w:color="9BBB59"/>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3.</w:t>
            </w:r>
          </w:p>
        </w:tc>
        <w:tc>
          <w:tcPr>
            <w:tcW w:w="1435" w:type="pct"/>
            <w:tcBorders>
              <w:top w:val="single" w:sz="8" w:space="0" w:color="9BBB59"/>
              <w:left w:val="nil"/>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Ekonomske dejavnosti</w:t>
            </w:r>
          </w:p>
        </w:tc>
        <w:tc>
          <w:tcPr>
            <w:tcW w:w="2439" w:type="pct"/>
            <w:tcBorders>
              <w:top w:val="single" w:sz="8" w:space="0" w:color="9BBB59"/>
              <w:left w:val="nil"/>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Transport</w:t>
            </w:r>
          </w:p>
        </w:tc>
        <w:tc>
          <w:tcPr>
            <w:tcW w:w="660" w:type="pct"/>
            <w:tcBorders>
              <w:top w:val="single" w:sz="8" w:space="0" w:color="9BBB59"/>
              <w:left w:val="nil"/>
              <w:bottom w:val="single" w:sz="8" w:space="0" w:color="9BBB59"/>
              <w:right w:val="single" w:sz="8" w:space="0" w:color="9BBB59"/>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1123,8</w:t>
            </w:r>
          </w:p>
        </w:tc>
      </w:tr>
      <w:tr w:rsidR="00A0754F" w:rsidRPr="00A0754F" w:rsidTr="00D52100">
        <w:trPr>
          <w:trHeight w:val="227"/>
        </w:trPr>
        <w:tc>
          <w:tcPr>
            <w:tcW w:w="466" w:type="pct"/>
            <w:tcBorders>
              <w:top w:val="nil"/>
              <w:left w:val="single" w:sz="8" w:space="0" w:color="9BBB59"/>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4.</w:t>
            </w:r>
          </w:p>
        </w:tc>
        <w:tc>
          <w:tcPr>
            <w:tcW w:w="1435" w:type="pct"/>
            <w:tcBorders>
              <w:top w:val="nil"/>
              <w:left w:val="nil"/>
              <w:bottom w:val="nil"/>
              <w:right w:val="nil"/>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Zdravstvo</w:t>
            </w:r>
          </w:p>
        </w:tc>
        <w:tc>
          <w:tcPr>
            <w:tcW w:w="2439" w:type="pct"/>
            <w:tcBorders>
              <w:top w:val="nil"/>
              <w:left w:val="nil"/>
              <w:bottom w:val="nil"/>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Bolnišnične storitve</w:t>
            </w:r>
          </w:p>
        </w:tc>
        <w:tc>
          <w:tcPr>
            <w:tcW w:w="660" w:type="pct"/>
            <w:tcBorders>
              <w:top w:val="nil"/>
              <w:left w:val="nil"/>
              <w:bottom w:val="nil"/>
              <w:right w:val="single" w:sz="8" w:space="0" w:color="9BBB59"/>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1081,6</w:t>
            </w:r>
          </w:p>
        </w:tc>
      </w:tr>
      <w:tr w:rsidR="00A0754F" w:rsidRPr="00A0754F" w:rsidTr="00D52100">
        <w:trPr>
          <w:trHeight w:val="227"/>
        </w:trPr>
        <w:tc>
          <w:tcPr>
            <w:tcW w:w="466" w:type="pct"/>
            <w:tcBorders>
              <w:top w:val="nil"/>
              <w:left w:val="single" w:sz="8" w:space="0" w:color="9BBB59"/>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5.</w:t>
            </w:r>
          </w:p>
        </w:tc>
        <w:tc>
          <w:tcPr>
            <w:tcW w:w="1435" w:type="pct"/>
            <w:tcBorders>
              <w:top w:val="single" w:sz="8" w:space="0" w:color="9BBB59"/>
              <w:left w:val="nil"/>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Javna uprava</w:t>
            </w:r>
          </w:p>
        </w:tc>
        <w:tc>
          <w:tcPr>
            <w:tcW w:w="2439" w:type="pct"/>
            <w:tcBorders>
              <w:top w:val="single" w:sz="8" w:space="0" w:color="9BBB59"/>
              <w:left w:val="nil"/>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Izvršilni in zakonodajni organi, finančne in davčne zadeve, zunanje zadeve</w:t>
            </w:r>
          </w:p>
        </w:tc>
        <w:tc>
          <w:tcPr>
            <w:tcW w:w="660" w:type="pct"/>
            <w:tcBorders>
              <w:top w:val="single" w:sz="8" w:space="0" w:color="9BBB59"/>
              <w:left w:val="nil"/>
              <w:bottom w:val="single" w:sz="8" w:space="0" w:color="9BBB59"/>
              <w:right w:val="single" w:sz="8" w:space="0" w:color="9BBB59"/>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902</w:t>
            </w:r>
          </w:p>
        </w:tc>
      </w:tr>
      <w:tr w:rsidR="00A0754F" w:rsidRPr="00A0754F" w:rsidTr="00D52100">
        <w:trPr>
          <w:trHeight w:val="227"/>
        </w:trPr>
        <w:tc>
          <w:tcPr>
            <w:tcW w:w="466" w:type="pct"/>
            <w:tcBorders>
              <w:top w:val="nil"/>
              <w:left w:val="single" w:sz="8" w:space="0" w:color="9BBB59"/>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6.</w:t>
            </w:r>
          </w:p>
        </w:tc>
        <w:tc>
          <w:tcPr>
            <w:tcW w:w="1435" w:type="pct"/>
            <w:tcBorders>
              <w:top w:val="nil"/>
              <w:left w:val="nil"/>
              <w:bottom w:val="nil"/>
              <w:right w:val="nil"/>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Socialna zaščita</w:t>
            </w:r>
          </w:p>
        </w:tc>
        <w:tc>
          <w:tcPr>
            <w:tcW w:w="2439" w:type="pct"/>
            <w:tcBorders>
              <w:top w:val="nil"/>
              <w:left w:val="nil"/>
              <w:bottom w:val="nil"/>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Bolezen in invalidnost</w:t>
            </w:r>
          </w:p>
        </w:tc>
        <w:tc>
          <w:tcPr>
            <w:tcW w:w="660" w:type="pct"/>
            <w:tcBorders>
              <w:top w:val="nil"/>
              <w:left w:val="nil"/>
              <w:bottom w:val="nil"/>
              <w:right w:val="single" w:sz="8" w:space="0" w:color="9BBB59"/>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874,4</w:t>
            </w:r>
          </w:p>
        </w:tc>
      </w:tr>
      <w:tr w:rsidR="00A0754F" w:rsidRPr="00A0754F" w:rsidTr="00D52100">
        <w:trPr>
          <w:trHeight w:val="227"/>
        </w:trPr>
        <w:tc>
          <w:tcPr>
            <w:tcW w:w="466" w:type="pct"/>
            <w:tcBorders>
              <w:top w:val="nil"/>
              <w:left w:val="single" w:sz="8" w:space="0" w:color="9BBB59"/>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7.</w:t>
            </w:r>
          </w:p>
        </w:tc>
        <w:tc>
          <w:tcPr>
            <w:tcW w:w="1435" w:type="pct"/>
            <w:tcBorders>
              <w:top w:val="single" w:sz="8" w:space="0" w:color="9BBB59"/>
              <w:left w:val="nil"/>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Zdravstvo</w:t>
            </w:r>
          </w:p>
        </w:tc>
        <w:tc>
          <w:tcPr>
            <w:tcW w:w="2439" w:type="pct"/>
            <w:tcBorders>
              <w:top w:val="single" w:sz="8" w:space="0" w:color="9BBB59"/>
              <w:left w:val="nil"/>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proofErr w:type="spellStart"/>
            <w:r w:rsidRPr="00A0754F">
              <w:rPr>
                <w:rFonts w:ascii="Arial Narrow" w:hAnsi="Arial Narrow"/>
                <w:b/>
                <w:bCs/>
                <w:color w:val="000000"/>
                <w:sz w:val="16"/>
                <w:szCs w:val="16"/>
                <w:lang w:eastAsia="sl-SI"/>
              </w:rPr>
              <w:t>Zunajbolnišnične</w:t>
            </w:r>
            <w:proofErr w:type="spellEnd"/>
            <w:r w:rsidRPr="00A0754F">
              <w:rPr>
                <w:rFonts w:ascii="Arial Narrow" w:hAnsi="Arial Narrow"/>
                <w:b/>
                <w:bCs/>
                <w:color w:val="000000"/>
                <w:sz w:val="16"/>
                <w:szCs w:val="16"/>
                <w:lang w:eastAsia="sl-SI"/>
              </w:rPr>
              <w:t xml:space="preserve"> storitve</w:t>
            </w:r>
          </w:p>
        </w:tc>
        <w:tc>
          <w:tcPr>
            <w:tcW w:w="660" w:type="pct"/>
            <w:tcBorders>
              <w:top w:val="single" w:sz="8" w:space="0" w:color="9BBB59"/>
              <w:left w:val="nil"/>
              <w:bottom w:val="single" w:sz="8" w:space="0" w:color="9BBB59"/>
              <w:right w:val="single" w:sz="8" w:space="0" w:color="9BBB59"/>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852,3</w:t>
            </w:r>
          </w:p>
        </w:tc>
      </w:tr>
      <w:tr w:rsidR="00A0754F" w:rsidRPr="00A0754F" w:rsidTr="00D52100">
        <w:trPr>
          <w:trHeight w:val="227"/>
        </w:trPr>
        <w:tc>
          <w:tcPr>
            <w:tcW w:w="466" w:type="pct"/>
            <w:tcBorders>
              <w:top w:val="nil"/>
              <w:left w:val="single" w:sz="8" w:space="0" w:color="9BBB59"/>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8.</w:t>
            </w:r>
          </w:p>
        </w:tc>
        <w:tc>
          <w:tcPr>
            <w:tcW w:w="1435" w:type="pct"/>
            <w:tcBorders>
              <w:top w:val="nil"/>
              <w:left w:val="nil"/>
              <w:bottom w:val="nil"/>
              <w:right w:val="nil"/>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Izobraževanje</w:t>
            </w:r>
          </w:p>
        </w:tc>
        <w:tc>
          <w:tcPr>
            <w:tcW w:w="2439" w:type="pct"/>
            <w:tcBorders>
              <w:top w:val="nil"/>
              <w:left w:val="nil"/>
              <w:bottom w:val="nil"/>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proofErr w:type="spellStart"/>
            <w:r w:rsidRPr="00A0754F">
              <w:rPr>
                <w:rFonts w:ascii="Arial Narrow" w:hAnsi="Arial Narrow"/>
                <w:b/>
                <w:bCs/>
                <w:color w:val="000000"/>
                <w:sz w:val="16"/>
                <w:szCs w:val="16"/>
                <w:lang w:eastAsia="sl-SI"/>
              </w:rPr>
              <w:t>Predprimarno</w:t>
            </w:r>
            <w:proofErr w:type="spellEnd"/>
            <w:r w:rsidRPr="00A0754F">
              <w:rPr>
                <w:rFonts w:ascii="Arial Narrow" w:hAnsi="Arial Narrow"/>
                <w:b/>
                <w:bCs/>
                <w:color w:val="000000"/>
                <w:sz w:val="16"/>
                <w:szCs w:val="16"/>
                <w:lang w:eastAsia="sl-SI"/>
              </w:rPr>
              <w:t xml:space="preserve"> in primarno izobraževanje</w:t>
            </w:r>
          </w:p>
        </w:tc>
        <w:tc>
          <w:tcPr>
            <w:tcW w:w="660" w:type="pct"/>
            <w:tcBorders>
              <w:top w:val="nil"/>
              <w:left w:val="nil"/>
              <w:bottom w:val="nil"/>
              <w:right w:val="single" w:sz="8" w:space="0" w:color="9BBB59"/>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800,4</w:t>
            </w:r>
          </w:p>
        </w:tc>
      </w:tr>
      <w:tr w:rsidR="00A0754F" w:rsidRPr="00A0754F" w:rsidTr="00D52100">
        <w:trPr>
          <w:trHeight w:val="227"/>
        </w:trPr>
        <w:tc>
          <w:tcPr>
            <w:tcW w:w="466" w:type="pct"/>
            <w:tcBorders>
              <w:top w:val="nil"/>
              <w:left w:val="single" w:sz="8" w:space="0" w:color="9BBB59"/>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9.</w:t>
            </w:r>
          </w:p>
        </w:tc>
        <w:tc>
          <w:tcPr>
            <w:tcW w:w="1435" w:type="pct"/>
            <w:tcBorders>
              <w:top w:val="single" w:sz="8" w:space="0" w:color="9BBB59"/>
              <w:left w:val="nil"/>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Izobraževanje</w:t>
            </w:r>
          </w:p>
        </w:tc>
        <w:tc>
          <w:tcPr>
            <w:tcW w:w="2439" w:type="pct"/>
            <w:tcBorders>
              <w:top w:val="single" w:sz="8" w:space="0" w:color="9BBB59"/>
              <w:left w:val="nil"/>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Sekundarno izobraževanje</w:t>
            </w:r>
          </w:p>
        </w:tc>
        <w:tc>
          <w:tcPr>
            <w:tcW w:w="660" w:type="pct"/>
            <w:tcBorders>
              <w:top w:val="single" w:sz="8" w:space="0" w:color="9BBB59"/>
              <w:left w:val="nil"/>
              <w:bottom w:val="single" w:sz="8" w:space="0" w:color="9BBB59"/>
              <w:right w:val="single" w:sz="8" w:space="0" w:color="9BBB59"/>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767</w:t>
            </w:r>
          </w:p>
        </w:tc>
      </w:tr>
      <w:tr w:rsidR="00A0754F" w:rsidRPr="00A0754F" w:rsidTr="00D52100">
        <w:trPr>
          <w:trHeight w:val="227"/>
        </w:trPr>
        <w:tc>
          <w:tcPr>
            <w:tcW w:w="466" w:type="pct"/>
            <w:tcBorders>
              <w:top w:val="nil"/>
              <w:left w:val="single" w:sz="8" w:space="0" w:color="9BBB59"/>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10.</w:t>
            </w:r>
          </w:p>
        </w:tc>
        <w:tc>
          <w:tcPr>
            <w:tcW w:w="1435" w:type="pct"/>
            <w:tcBorders>
              <w:top w:val="nil"/>
              <w:left w:val="nil"/>
              <w:bottom w:val="nil"/>
              <w:right w:val="nil"/>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Socialna zaščita</w:t>
            </w:r>
          </w:p>
        </w:tc>
        <w:tc>
          <w:tcPr>
            <w:tcW w:w="2439" w:type="pct"/>
            <w:tcBorders>
              <w:top w:val="nil"/>
              <w:left w:val="nil"/>
              <w:bottom w:val="nil"/>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Družine in otroci</w:t>
            </w:r>
          </w:p>
        </w:tc>
        <w:tc>
          <w:tcPr>
            <w:tcW w:w="660" w:type="pct"/>
            <w:tcBorders>
              <w:top w:val="nil"/>
              <w:left w:val="nil"/>
              <w:bottom w:val="nil"/>
              <w:right w:val="single" w:sz="8" w:space="0" w:color="9BBB59"/>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758,6</w:t>
            </w:r>
          </w:p>
        </w:tc>
      </w:tr>
      <w:tr w:rsidR="00A0754F" w:rsidRPr="00A0754F" w:rsidTr="00D52100">
        <w:trPr>
          <w:trHeight w:val="227"/>
        </w:trPr>
        <w:tc>
          <w:tcPr>
            <w:tcW w:w="466" w:type="pct"/>
            <w:tcBorders>
              <w:top w:val="nil"/>
              <w:left w:val="single" w:sz="8" w:space="0" w:color="9BBB59"/>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11.</w:t>
            </w:r>
          </w:p>
        </w:tc>
        <w:tc>
          <w:tcPr>
            <w:tcW w:w="1435" w:type="pct"/>
            <w:tcBorders>
              <w:top w:val="single" w:sz="8" w:space="0" w:color="9BBB59"/>
              <w:left w:val="nil"/>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Ekonomske dejavnosti</w:t>
            </w:r>
          </w:p>
        </w:tc>
        <w:tc>
          <w:tcPr>
            <w:tcW w:w="2439" w:type="pct"/>
            <w:tcBorders>
              <w:top w:val="single" w:sz="8" w:space="0" w:color="9BBB59"/>
              <w:left w:val="nil"/>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 xml:space="preserve">Splošne ekonomske in trgovinske zadeve in zadeve, povezane z zaposlovanjem </w:t>
            </w:r>
          </w:p>
        </w:tc>
        <w:tc>
          <w:tcPr>
            <w:tcW w:w="660" w:type="pct"/>
            <w:tcBorders>
              <w:top w:val="single" w:sz="8" w:space="0" w:color="9BBB59"/>
              <w:left w:val="nil"/>
              <w:bottom w:val="single" w:sz="8" w:space="0" w:color="9BBB59"/>
              <w:right w:val="single" w:sz="8" w:space="0" w:color="9BBB59"/>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635,3</w:t>
            </w:r>
          </w:p>
        </w:tc>
      </w:tr>
      <w:tr w:rsidR="00A0754F" w:rsidRPr="00A0754F" w:rsidTr="00D52100">
        <w:trPr>
          <w:trHeight w:val="227"/>
        </w:trPr>
        <w:tc>
          <w:tcPr>
            <w:tcW w:w="466" w:type="pct"/>
            <w:tcBorders>
              <w:top w:val="nil"/>
              <w:left w:val="single" w:sz="8" w:space="0" w:color="9BBB59"/>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12.</w:t>
            </w:r>
          </w:p>
        </w:tc>
        <w:tc>
          <w:tcPr>
            <w:tcW w:w="1435" w:type="pct"/>
            <w:tcBorders>
              <w:top w:val="nil"/>
              <w:left w:val="nil"/>
              <w:bottom w:val="nil"/>
              <w:right w:val="nil"/>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Socialna zaščita</w:t>
            </w:r>
          </w:p>
        </w:tc>
        <w:tc>
          <w:tcPr>
            <w:tcW w:w="2439" w:type="pct"/>
            <w:tcBorders>
              <w:top w:val="nil"/>
              <w:left w:val="nil"/>
              <w:bottom w:val="nil"/>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Preživeli družinski člani</w:t>
            </w:r>
          </w:p>
        </w:tc>
        <w:tc>
          <w:tcPr>
            <w:tcW w:w="660" w:type="pct"/>
            <w:tcBorders>
              <w:top w:val="nil"/>
              <w:left w:val="nil"/>
              <w:bottom w:val="nil"/>
              <w:right w:val="single" w:sz="8" w:space="0" w:color="9BBB59"/>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540,8</w:t>
            </w:r>
          </w:p>
        </w:tc>
      </w:tr>
      <w:tr w:rsidR="00A0754F" w:rsidRPr="00A0754F" w:rsidTr="00D52100">
        <w:trPr>
          <w:trHeight w:val="227"/>
        </w:trPr>
        <w:tc>
          <w:tcPr>
            <w:tcW w:w="466" w:type="pct"/>
            <w:tcBorders>
              <w:top w:val="nil"/>
              <w:left w:val="single" w:sz="8" w:space="0" w:color="9BBB59"/>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13.</w:t>
            </w:r>
          </w:p>
        </w:tc>
        <w:tc>
          <w:tcPr>
            <w:tcW w:w="1435" w:type="pct"/>
            <w:tcBorders>
              <w:top w:val="single" w:sz="8" w:space="0" w:color="9BBB59"/>
              <w:left w:val="nil"/>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Izobraževanje</w:t>
            </w:r>
          </w:p>
        </w:tc>
        <w:tc>
          <w:tcPr>
            <w:tcW w:w="2439" w:type="pct"/>
            <w:tcBorders>
              <w:top w:val="single" w:sz="8" w:space="0" w:color="9BBB59"/>
              <w:left w:val="nil"/>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Terciarno izobraževanje</w:t>
            </w:r>
          </w:p>
        </w:tc>
        <w:tc>
          <w:tcPr>
            <w:tcW w:w="660" w:type="pct"/>
            <w:tcBorders>
              <w:top w:val="single" w:sz="8" w:space="0" w:color="9BBB59"/>
              <w:left w:val="nil"/>
              <w:bottom w:val="single" w:sz="8" w:space="0" w:color="9BBB59"/>
              <w:right w:val="single" w:sz="8" w:space="0" w:color="9BBB59"/>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404</w:t>
            </w:r>
          </w:p>
        </w:tc>
      </w:tr>
      <w:tr w:rsidR="00A0754F" w:rsidRPr="00A0754F" w:rsidTr="00D52100">
        <w:trPr>
          <w:trHeight w:val="227"/>
        </w:trPr>
        <w:tc>
          <w:tcPr>
            <w:tcW w:w="466" w:type="pct"/>
            <w:tcBorders>
              <w:top w:val="nil"/>
              <w:left w:val="single" w:sz="8" w:space="0" w:color="9BBB59"/>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14.</w:t>
            </w:r>
          </w:p>
        </w:tc>
        <w:tc>
          <w:tcPr>
            <w:tcW w:w="1435" w:type="pct"/>
            <w:tcBorders>
              <w:top w:val="nil"/>
              <w:left w:val="nil"/>
              <w:bottom w:val="nil"/>
              <w:right w:val="nil"/>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Zdravstvo</w:t>
            </w:r>
          </w:p>
        </w:tc>
        <w:tc>
          <w:tcPr>
            <w:tcW w:w="2439" w:type="pct"/>
            <w:tcBorders>
              <w:top w:val="nil"/>
              <w:left w:val="nil"/>
              <w:bottom w:val="nil"/>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Medicinski proizvodi, pripomočki in oprema</w:t>
            </w:r>
          </w:p>
        </w:tc>
        <w:tc>
          <w:tcPr>
            <w:tcW w:w="660" w:type="pct"/>
            <w:tcBorders>
              <w:top w:val="nil"/>
              <w:left w:val="nil"/>
              <w:bottom w:val="nil"/>
              <w:right w:val="single" w:sz="8" w:space="0" w:color="9BBB59"/>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375,4</w:t>
            </w:r>
          </w:p>
        </w:tc>
      </w:tr>
      <w:tr w:rsidR="00A0754F" w:rsidRPr="00A0754F" w:rsidTr="00D52100">
        <w:trPr>
          <w:trHeight w:val="227"/>
        </w:trPr>
        <w:tc>
          <w:tcPr>
            <w:tcW w:w="466" w:type="pct"/>
            <w:tcBorders>
              <w:top w:val="nil"/>
              <w:left w:val="single" w:sz="8" w:space="0" w:color="9BBB59"/>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15.</w:t>
            </w:r>
          </w:p>
        </w:tc>
        <w:tc>
          <w:tcPr>
            <w:tcW w:w="1435" w:type="pct"/>
            <w:tcBorders>
              <w:top w:val="single" w:sz="8" w:space="0" w:color="9BBB59"/>
              <w:left w:val="nil"/>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Socialna zaščita</w:t>
            </w:r>
          </w:p>
        </w:tc>
        <w:tc>
          <w:tcPr>
            <w:tcW w:w="2439" w:type="pct"/>
            <w:tcBorders>
              <w:top w:val="single" w:sz="8" w:space="0" w:color="9BBB59"/>
              <w:left w:val="nil"/>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Druge oblike socialne izključenosti</w:t>
            </w:r>
          </w:p>
        </w:tc>
        <w:tc>
          <w:tcPr>
            <w:tcW w:w="660" w:type="pct"/>
            <w:tcBorders>
              <w:top w:val="single" w:sz="8" w:space="0" w:color="9BBB59"/>
              <w:left w:val="nil"/>
              <w:bottom w:val="single" w:sz="8" w:space="0" w:color="9BBB59"/>
              <w:right w:val="single" w:sz="8" w:space="0" w:color="9BBB59"/>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327,1</w:t>
            </w:r>
          </w:p>
        </w:tc>
      </w:tr>
      <w:tr w:rsidR="00A0754F" w:rsidRPr="00A0754F" w:rsidTr="00D52100">
        <w:trPr>
          <w:trHeight w:val="227"/>
        </w:trPr>
        <w:tc>
          <w:tcPr>
            <w:tcW w:w="466" w:type="pct"/>
            <w:tcBorders>
              <w:top w:val="nil"/>
              <w:left w:val="single" w:sz="8" w:space="0" w:color="9BBB59"/>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16.</w:t>
            </w:r>
          </w:p>
        </w:tc>
        <w:tc>
          <w:tcPr>
            <w:tcW w:w="1435" w:type="pct"/>
            <w:tcBorders>
              <w:top w:val="nil"/>
              <w:left w:val="nil"/>
              <w:bottom w:val="nil"/>
              <w:right w:val="nil"/>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Javni red in varnost</w:t>
            </w:r>
          </w:p>
        </w:tc>
        <w:tc>
          <w:tcPr>
            <w:tcW w:w="2439" w:type="pct"/>
            <w:tcBorders>
              <w:top w:val="nil"/>
              <w:left w:val="nil"/>
              <w:bottom w:val="nil"/>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Policija</w:t>
            </w:r>
          </w:p>
        </w:tc>
        <w:tc>
          <w:tcPr>
            <w:tcW w:w="660" w:type="pct"/>
            <w:tcBorders>
              <w:top w:val="nil"/>
              <w:left w:val="nil"/>
              <w:bottom w:val="nil"/>
              <w:right w:val="single" w:sz="8" w:space="0" w:color="9BBB59"/>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290,1</w:t>
            </w:r>
          </w:p>
        </w:tc>
      </w:tr>
      <w:tr w:rsidR="00A0754F" w:rsidRPr="00A0754F" w:rsidTr="00D52100">
        <w:trPr>
          <w:trHeight w:val="227"/>
        </w:trPr>
        <w:tc>
          <w:tcPr>
            <w:tcW w:w="466" w:type="pct"/>
            <w:tcBorders>
              <w:top w:val="nil"/>
              <w:left w:val="single" w:sz="8" w:space="0" w:color="9BBB59"/>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4F81BD" w:themeColor="accent1"/>
                <w:sz w:val="16"/>
                <w:szCs w:val="16"/>
                <w:lang w:eastAsia="sl-SI"/>
              </w:rPr>
              <w:t>17.</w:t>
            </w:r>
          </w:p>
        </w:tc>
        <w:tc>
          <w:tcPr>
            <w:tcW w:w="1435" w:type="pct"/>
            <w:tcBorders>
              <w:top w:val="single" w:sz="8" w:space="0" w:color="9BBB59"/>
              <w:left w:val="nil"/>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4F81BD"/>
                <w:sz w:val="16"/>
                <w:szCs w:val="16"/>
                <w:lang w:eastAsia="sl-SI"/>
              </w:rPr>
            </w:pPr>
            <w:r w:rsidRPr="00A0754F">
              <w:rPr>
                <w:rFonts w:ascii="Arial Narrow" w:hAnsi="Arial Narrow"/>
                <w:b/>
                <w:bCs/>
                <w:color w:val="4F81BD" w:themeColor="accent1"/>
                <w:sz w:val="16"/>
                <w:szCs w:val="16"/>
                <w:lang w:eastAsia="sl-SI"/>
              </w:rPr>
              <w:t>Rekreacija, kultura in religija</w:t>
            </w:r>
          </w:p>
        </w:tc>
        <w:tc>
          <w:tcPr>
            <w:tcW w:w="2439" w:type="pct"/>
            <w:tcBorders>
              <w:top w:val="single" w:sz="8" w:space="0" w:color="9BBB59"/>
              <w:left w:val="nil"/>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4F81BD"/>
                <w:sz w:val="16"/>
                <w:szCs w:val="16"/>
                <w:lang w:eastAsia="sl-SI"/>
              </w:rPr>
            </w:pPr>
            <w:r w:rsidRPr="00A0754F">
              <w:rPr>
                <w:rFonts w:ascii="Arial Narrow" w:hAnsi="Arial Narrow"/>
                <w:b/>
                <w:bCs/>
                <w:color w:val="4F81BD" w:themeColor="accent1"/>
                <w:sz w:val="16"/>
                <w:szCs w:val="16"/>
                <w:lang w:eastAsia="sl-SI"/>
              </w:rPr>
              <w:t>Kulturne storitve</w:t>
            </w:r>
          </w:p>
        </w:tc>
        <w:tc>
          <w:tcPr>
            <w:tcW w:w="660" w:type="pct"/>
            <w:tcBorders>
              <w:top w:val="single" w:sz="8" w:space="0" w:color="9BBB59"/>
              <w:left w:val="nil"/>
              <w:bottom w:val="single" w:sz="8" w:space="0" w:color="9BBB59"/>
              <w:right w:val="single" w:sz="8" w:space="0" w:color="9BBB59"/>
            </w:tcBorders>
            <w:shd w:val="clear" w:color="auto" w:fill="auto"/>
            <w:hideMark/>
          </w:tcPr>
          <w:p w:rsidR="00A0754F" w:rsidRPr="00A0754F" w:rsidRDefault="00A0754F" w:rsidP="00A0754F">
            <w:pPr>
              <w:spacing w:after="0" w:line="240" w:lineRule="auto"/>
              <w:rPr>
                <w:rFonts w:ascii="Arial Narrow" w:hAnsi="Arial Narrow"/>
                <w:b/>
                <w:bCs/>
                <w:color w:val="4F81BD"/>
                <w:sz w:val="16"/>
                <w:szCs w:val="16"/>
                <w:lang w:eastAsia="sl-SI"/>
              </w:rPr>
            </w:pPr>
            <w:r w:rsidRPr="00A0754F">
              <w:rPr>
                <w:rFonts w:ascii="Arial Narrow" w:hAnsi="Arial Narrow"/>
                <w:b/>
                <w:bCs/>
                <w:color w:val="4F81BD" w:themeColor="accent1"/>
                <w:sz w:val="16"/>
                <w:szCs w:val="16"/>
                <w:lang w:eastAsia="sl-SI"/>
              </w:rPr>
              <w:t>275</w:t>
            </w:r>
            <w:r w:rsidR="006F53FE">
              <w:rPr>
                <w:rFonts w:ascii="Arial Narrow" w:hAnsi="Arial Narrow"/>
                <w:b/>
                <w:bCs/>
                <w:color w:val="4F81BD" w:themeColor="accent1"/>
                <w:sz w:val="16"/>
                <w:szCs w:val="16"/>
                <w:lang w:eastAsia="sl-SI"/>
              </w:rPr>
              <w:t>,3</w:t>
            </w:r>
          </w:p>
        </w:tc>
      </w:tr>
      <w:tr w:rsidR="00A0754F" w:rsidRPr="00A0754F" w:rsidTr="00D52100">
        <w:trPr>
          <w:trHeight w:val="227"/>
        </w:trPr>
        <w:tc>
          <w:tcPr>
            <w:tcW w:w="466" w:type="pct"/>
            <w:tcBorders>
              <w:top w:val="nil"/>
              <w:left w:val="single" w:sz="8" w:space="0" w:color="9BBB59"/>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18.</w:t>
            </w:r>
          </w:p>
        </w:tc>
        <w:tc>
          <w:tcPr>
            <w:tcW w:w="1435" w:type="pct"/>
            <w:tcBorders>
              <w:top w:val="nil"/>
              <w:left w:val="nil"/>
              <w:bottom w:val="nil"/>
              <w:right w:val="nil"/>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Obramba</w:t>
            </w:r>
          </w:p>
        </w:tc>
        <w:tc>
          <w:tcPr>
            <w:tcW w:w="2439" w:type="pct"/>
            <w:tcBorders>
              <w:top w:val="nil"/>
              <w:left w:val="nil"/>
              <w:bottom w:val="nil"/>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Vojaška obramba</w:t>
            </w:r>
          </w:p>
        </w:tc>
        <w:tc>
          <w:tcPr>
            <w:tcW w:w="660" w:type="pct"/>
            <w:tcBorders>
              <w:top w:val="nil"/>
              <w:left w:val="nil"/>
              <w:bottom w:val="nil"/>
              <w:right w:val="single" w:sz="8" w:space="0" w:color="9BBB59"/>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244</w:t>
            </w:r>
          </w:p>
        </w:tc>
      </w:tr>
      <w:tr w:rsidR="00A0754F" w:rsidRPr="00A0754F" w:rsidTr="00D52100">
        <w:trPr>
          <w:trHeight w:val="227"/>
        </w:trPr>
        <w:tc>
          <w:tcPr>
            <w:tcW w:w="466" w:type="pct"/>
            <w:tcBorders>
              <w:top w:val="nil"/>
              <w:left w:val="single" w:sz="8" w:space="0" w:color="9BBB59"/>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19.</w:t>
            </w:r>
          </w:p>
        </w:tc>
        <w:tc>
          <w:tcPr>
            <w:tcW w:w="1435" w:type="pct"/>
            <w:tcBorders>
              <w:top w:val="single" w:sz="8" w:space="0" w:color="9BBB59"/>
              <w:left w:val="nil"/>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Socialna zaščita</w:t>
            </w:r>
          </w:p>
        </w:tc>
        <w:tc>
          <w:tcPr>
            <w:tcW w:w="2439" w:type="pct"/>
            <w:tcBorders>
              <w:top w:val="single" w:sz="8" w:space="0" w:color="9BBB59"/>
              <w:left w:val="nil"/>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Brezposelnost</w:t>
            </w:r>
          </w:p>
        </w:tc>
        <w:tc>
          <w:tcPr>
            <w:tcW w:w="660" w:type="pct"/>
            <w:tcBorders>
              <w:top w:val="single" w:sz="8" w:space="0" w:color="9BBB59"/>
              <w:left w:val="nil"/>
              <w:bottom w:val="single" w:sz="8" w:space="0" w:color="9BBB59"/>
              <w:right w:val="single" w:sz="8" w:space="0" w:color="9BBB59"/>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233,6</w:t>
            </w:r>
          </w:p>
        </w:tc>
      </w:tr>
      <w:tr w:rsidR="00A0754F" w:rsidRPr="00A0754F" w:rsidTr="00D52100">
        <w:trPr>
          <w:trHeight w:val="227"/>
        </w:trPr>
        <w:tc>
          <w:tcPr>
            <w:tcW w:w="466" w:type="pct"/>
            <w:tcBorders>
              <w:top w:val="nil"/>
              <w:left w:val="single" w:sz="8" w:space="0" w:color="9BBB59"/>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20.</w:t>
            </w:r>
          </w:p>
        </w:tc>
        <w:tc>
          <w:tcPr>
            <w:tcW w:w="1435" w:type="pct"/>
            <w:tcBorders>
              <w:top w:val="nil"/>
              <w:left w:val="nil"/>
              <w:bottom w:val="nil"/>
              <w:right w:val="nil"/>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Ekonomske dejavnosti</w:t>
            </w:r>
          </w:p>
        </w:tc>
        <w:tc>
          <w:tcPr>
            <w:tcW w:w="2439" w:type="pct"/>
            <w:tcBorders>
              <w:top w:val="nil"/>
              <w:left w:val="nil"/>
              <w:bottom w:val="nil"/>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Kmetijstvo, gozdarstvo, ribištvo in lov</w:t>
            </w:r>
          </w:p>
        </w:tc>
        <w:tc>
          <w:tcPr>
            <w:tcW w:w="660" w:type="pct"/>
            <w:tcBorders>
              <w:top w:val="nil"/>
              <w:left w:val="nil"/>
              <w:bottom w:val="nil"/>
              <w:right w:val="single" w:sz="8" w:space="0" w:color="9BBB59"/>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225,3</w:t>
            </w:r>
          </w:p>
        </w:tc>
      </w:tr>
      <w:tr w:rsidR="00A0754F" w:rsidRPr="00A0754F" w:rsidTr="00D52100">
        <w:trPr>
          <w:trHeight w:val="227"/>
        </w:trPr>
        <w:tc>
          <w:tcPr>
            <w:tcW w:w="466" w:type="pct"/>
            <w:tcBorders>
              <w:top w:val="nil"/>
              <w:left w:val="single" w:sz="8" w:space="0" w:color="9BBB59"/>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21.</w:t>
            </w:r>
          </w:p>
        </w:tc>
        <w:tc>
          <w:tcPr>
            <w:tcW w:w="1435" w:type="pct"/>
            <w:tcBorders>
              <w:top w:val="single" w:sz="8" w:space="0" w:color="9BBB59"/>
              <w:left w:val="nil"/>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Varstvo okolja</w:t>
            </w:r>
          </w:p>
        </w:tc>
        <w:tc>
          <w:tcPr>
            <w:tcW w:w="2439" w:type="pct"/>
            <w:tcBorders>
              <w:top w:val="single" w:sz="8" w:space="0" w:color="9BBB59"/>
              <w:left w:val="nil"/>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Ravnanje z odpadno vodo</w:t>
            </w:r>
          </w:p>
        </w:tc>
        <w:tc>
          <w:tcPr>
            <w:tcW w:w="660" w:type="pct"/>
            <w:tcBorders>
              <w:top w:val="single" w:sz="8" w:space="0" w:color="9BBB59"/>
              <w:left w:val="nil"/>
              <w:bottom w:val="single" w:sz="8" w:space="0" w:color="9BBB59"/>
              <w:right w:val="single" w:sz="8" w:space="0" w:color="9BBB59"/>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220,2</w:t>
            </w:r>
          </w:p>
        </w:tc>
      </w:tr>
      <w:tr w:rsidR="00A0754F" w:rsidRPr="00A0754F" w:rsidTr="00D52100">
        <w:trPr>
          <w:trHeight w:val="227"/>
        </w:trPr>
        <w:tc>
          <w:tcPr>
            <w:tcW w:w="466" w:type="pct"/>
            <w:tcBorders>
              <w:top w:val="nil"/>
              <w:left w:val="single" w:sz="8" w:space="0" w:color="9BBB59"/>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22.</w:t>
            </w:r>
          </w:p>
        </w:tc>
        <w:tc>
          <w:tcPr>
            <w:tcW w:w="1435" w:type="pct"/>
            <w:tcBorders>
              <w:top w:val="nil"/>
              <w:left w:val="nil"/>
              <w:bottom w:val="nil"/>
              <w:right w:val="nil"/>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Javni red in varnost</w:t>
            </w:r>
          </w:p>
        </w:tc>
        <w:tc>
          <w:tcPr>
            <w:tcW w:w="2439" w:type="pct"/>
            <w:tcBorders>
              <w:top w:val="nil"/>
              <w:left w:val="nil"/>
              <w:bottom w:val="nil"/>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Sodišča in drugi pravosodni organi</w:t>
            </w:r>
          </w:p>
        </w:tc>
        <w:tc>
          <w:tcPr>
            <w:tcW w:w="660" w:type="pct"/>
            <w:tcBorders>
              <w:top w:val="nil"/>
              <w:left w:val="nil"/>
              <w:bottom w:val="nil"/>
              <w:right w:val="single" w:sz="8" w:space="0" w:color="9BBB59"/>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189,8</w:t>
            </w:r>
          </w:p>
        </w:tc>
      </w:tr>
      <w:tr w:rsidR="00A0754F" w:rsidRPr="00A0754F" w:rsidTr="00D52100">
        <w:trPr>
          <w:trHeight w:val="227"/>
        </w:trPr>
        <w:tc>
          <w:tcPr>
            <w:tcW w:w="466" w:type="pct"/>
            <w:tcBorders>
              <w:top w:val="nil"/>
              <w:left w:val="single" w:sz="8" w:space="0" w:color="9BBB59"/>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23.</w:t>
            </w:r>
          </w:p>
        </w:tc>
        <w:tc>
          <w:tcPr>
            <w:tcW w:w="1435" w:type="pct"/>
            <w:tcBorders>
              <w:top w:val="single" w:sz="8" w:space="0" w:color="9BBB59"/>
              <w:left w:val="nil"/>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Javna uprava</w:t>
            </w:r>
          </w:p>
        </w:tc>
        <w:tc>
          <w:tcPr>
            <w:tcW w:w="2439" w:type="pct"/>
            <w:tcBorders>
              <w:top w:val="single" w:sz="8" w:space="0" w:color="9BBB59"/>
              <w:left w:val="nil"/>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Temeljne raziskave</w:t>
            </w:r>
          </w:p>
        </w:tc>
        <w:tc>
          <w:tcPr>
            <w:tcW w:w="660" w:type="pct"/>
            <w:tcBorders>
              <w:top w:val="single" w:sz="8" w:space="0" w:color="9BBB59"/>
              <w:left w:val="nil"/>
              <w:bottom w:val="single" w:sz="8" w:space="0" w:color="9BBB59"/>
              <w:right w:val="single" w:sz="8" w:space="0" w:color="9BBB59"/>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186,6</w:t>
            </w:r>
          </w:p>
        </w:tc>
      </w:tr>
      <w:tr w:rsidR="00A0754F" w:rsidRPr="00A0754F" w:rsidTr="00D52100">
        <w:trPr>
          <w:trHeight w:val="227"/>
        </w:trPr>
        <w:tc>
          <w:tcPr>
            <w:tcW w:w="466" w:type="pct"/>
            <w:tcBorders>
              <w:top w:val="nil"/>
              <w:left w:val="single" w:sz="8" w:space="0" w:color="9BBB59"/>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24.</w:t>
            </w:r>
          </w:p>
        </w:tc>
        <w:tc>
          <w:tcPr>
            <w:tcW w:w="1435" w:type="pct"/>
            <w:tcBorders>
              <w:top w:val="nil"/>
              <w:left w:val="nil"/>
              <w:bottom w:val="nil"/>
              <w:right w:val="nil"/>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Ekonomske dejavnosti</w:t>
            </w:r>
          </w:p>
        </w:tc>
        <w:tc>
          <w:tcPr>
            <w:tcW w:w="2439" w:type="pct"/>
            <w:tcBorders>
              <w:top w:val="nil"/>
              <w:left w:val="nil"/>
              <w:bottom w:val="nil"/>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Raziskave in razvoj na področju ekonomskih dejavnosti</w:t>
            </w:r>
          </w:p>
        </w:tc>
        <w:tc>
          <w:tcPr>
            <w:tcW w:w="660" w:type="pct"/>
            <w:tcBorders>
              <w:top w:val="nil"/>
              <w:left w:val="nil"/>
              <w:bottom w:val="nil"/>
              <w:right w:val="single" w:sz="8" w:space="0" w:color="9BBB59"/>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170,5</w:t>
            </w:r>
          </w:p>
        </w:tc>
      </w:tr>
      <w:tr w:rsidR="00A0754F" w:rsidRPr="00A0754F" w:rsidTr="00D52100">
        <w:trPr>
          <w:trHeight w:val="227"/>
        </w:trPr>
        <w:tc>
          <w:tcPr>
            <w:tcW w:w="466" w:type="pct"/>
            <w:tcBorders>
              <w:top w:val="nil"/>
              <w:left w:val="single" w:sz="8" w:space="0" w:color="9BBB59"/>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25.</w:t>
            </w:r>
          </w:p>
        </w:tc>
        <w:tc>
          <w:tcPr>
            <w:tcW w:w="1435" w:type="pct"/>
            <w:tcBorders>
              <w:top w:val="single" w:sz="8" w:space="0" w:color="9BBB59"/>
              <w:left w:val="nil"/>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Stanovanjske dejavnosti in urejanje okolja</w:t>
            </w:r>
          </w:p>
        </w:tc>
        <w:tc>
          <w:tcPr>
            <w:tcW w:w="2439" w:type="pct"/>
            <w:tcBorders>
              <w:top w:val="single" w:sz="8" w:space="0" w:color="9BBB59"/>
              <w:left w:val="nil"/>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Oskrba z vodo</w:t>
            </w:r>
          </w:p>
        </w:tc>
        <w:tc>
          <w:tcPr>
            <w:tcW w:w="660" w:type="pct"/>
            <w:tcBorders>
              <w:top w:val="single" w:sz="8" w:space="0" w:color="9BBB59"/>
              <w:left w:val="nil"/>
              <w:bottom w:val="single" w:sz="8" w:space="0" w:color="9BBB59"/>
              <w:right w:val="single" w:sz="8" w:space="0" w:color="9BBB59"/>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146,5</w:t>
            </w:r>
          </w:p>
        </w:tc>
      </w:tr>
      <w:tr w:rsidR="00A0754F" w:rsidRPr="00A0754F" w:rsidTr="00D52100">
        <w:trPr>
          <w:trHeight w:val="227"/>
        </w:trPr>
        <w:tc>
          <w:tcPr>
            <w:tcW w:w="466" w:type="pct"/>
            <w:tcBorders>
              <w:top w:val="nil"/>
              <w:left w:val="single" w:sz="8" w:space="0" w:color="9BBB59"/>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26.</w:t>
            </w:r>
          </w:p>
        </w:tc>
        <w:tc>
          <w:tcPr>
            <w:tcW w:w="1435" w:type="pct"/>
            <w:tcBorders>
              <w:top w:val="nil"/>
              <w:left w:val="nil"/>
              <w:bottom w:val="nil"/>
              <w:right w:val="nil"/>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Socialna zaščita</w:t>
            </w:r>
          </w:p>
        </w:tc>
        <w:tc>
          <w:tcPr>
            <w:tcW w:w="2439" w:type="pct"/>
            <w:tcBorders>
              <w:top w:val="nil"/>
              <w:left w:val="nil"/>
              <w:bottom w:val="nil"/>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Druge dejavnosti s področja socialne zaščite</w:t>
            </w:r>
          </w:p>
        </w:tc>
        <w:tc>
          <w:tcPr>
            <w:tcW w:w="660" w:type="pct"/>
            <w:tcBorders>
              <w:top w:val="nil"/>
              <w:left w:val="nil"/>
              <w:bottom w:val="nil"/>
              <w:right w:val="single" w:sz="8" w:space="0" w:color="9BBB59"/>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137,8</w:t>
            </w:r>
          </w:p>
        </w:tc>
      </w:tr>
      <w:tr w:rsidR="00A0754F" w:rsidRPr="00A0754F" w:rsidTr="00D52100">
        <w:trPr>
          <w:trHeight w:val="227"/>
        </w:trPr>
        <w:tc>
          <w:tcPr>
            <w:tcW w:w="466" w:type="pct"/>
            <w:tcBorders>
              <w:top w:val="nil"/>
              <w:left w:val="single" w:sz="8" w:space="0" w:color="9BBB59"/>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lastRenderedPageBreak/>
              <w:t>27.</w:t>
            </w:r>
          </w:p>
        </w:tc>
        <w:tc>
          <w:tcPr>
            <w:tcW w:w="1435" w:type="pct"/>
            <w:tcBorders>
              <w:top w:val="single" w:sz="8" w:space="0" w:color="9BBB59"/>
              <w:left w:val="nil"/>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Zdravstvo</w:t>
            </w:r>
          </w:p>
        </w:tc>
        <w:tc>
          <w:tcPr>
            <w:tcW w:w="2439" w:type="pct"/>
            <w:tcBorders>
              <w:top w:val="single" w:sz="8" w:space="0" w:color="9BBB59"/>
              <w:left w:val="nil"/>
              <w:bottom w:val="single" w:sz="8" w:space="0" w:color="9BBB59"/>
              <w:right w:val="nil"/>
            </w:tcBorders>
            <w:shd w:val="clear" w:color="auto" w:fill="auto"/>
            <w:hideMark/>
          </w:tcPr>
          <w:p w:rsidR="00A0754F" w:rsidRPr="00A0754F" w:rsidRDefault="00A0754F" w:rsidP="00A071A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Javno zdravstvo</w:t>
            </w:r>
            <w:r w:rsidR="00A071AF" w:rsidRPr="00A071AF">
              <w:rPr>
                <w:rFonts w:ascii="Arial Narrow" w:hAnsi="Arial Narrow"/>
                <w:b/>
                <w:bCs/>
                <w:color w:val="000000"/>
                <w:sz w:val="16"/>
                <w:szCs w:val="16"/>
                <w:vertAlign w:val="superscript"/>
                <w:lang w:eastAsia="sl-SI"/>
              </w:rPr>
              <w:t>1</w:t>
            </w:r>
          </w:p>
        </w:tc>
        <w:tc>
          <w:tcPr>
            <w:tcW w:w="660" w:type="pct"/>
            <w:tcBorders>
              <w:top w:val="single" w:sz="8" w:space="0" w:color="9BBB59"/>
              <w:left w:val="nil"/>
              <w:bottom w:val="single" w:sz="8" w:space="0" w:color="9BBB59"/>
              <w:right w:val="single" w:sz="8" w:space="0" w:color="9BBB59"/>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134,1</w:t>
            </w:r>
          </w:p>
        </w:tc>
      </w:tr>
      <w:tr w:rsidR="00A0754F" w:rsidRPr="00A0754F" w:rsidTr="00D52100">
        <w:trPr>
          <w:trHeight w:val="227"/>
        </w:trPr>
        <w:tc>
          <w:tcPr>
            <w:tcW w:w="466" w:type="pct"/>
            <w:tcBorders>
              <w:top w:val="nil"/>
              <w:left w:val="single" w:sz="8" w:space="0" w:color="9BBB59"/>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4F81BD" w:themeColor="accent1"/>
                <w:sz w:val="16"/>
                <w:szCs w:val="16"/>
                <w:lang w:eastAsia="sl-SI"/>
              </w:rPr>
              <w:t>28.</w:t>
            </w:r>
          </w:p>
        </w:tc>
        <w:tc>
          <w:tcPr>
            <w:tcW w:w="1435" w:type="pct"/>
            <w:tcBorders>
              <w:top w:val="nil"/>
              <w:left w:val="nil"/>
              <w:bottom w:val="nil"/>
              <w:right w:val="nil"/>
            </w:tcBorders>
            <w:shd w:val="clear" w:color="auto" w:fill="auto"/>
            <w:hideMark/>
          </w:tcPr>
          <w:p w:rsidR="00A0754F" w:rsidRPr="00A0754F" w:rsidRDefault="00A0754F" w:rsidP="00A0754F">
            <w:pPr>
              <w:spacing w:after="0" w:line="240" w:lineRule="auto"/>
              <w:rPr>
                <w:rFonts w:ascii="Arial Narrow" w:hAnsi="Arial Narrow"/>
                <w:b/>
                <w:bCs/>
                <w:color w:val="4F81BD"/>
                <w:sz w:val="16"/>
                <w:szCs w:val="16"/>
                <w:lang w:eastAsia="sl-SI"/>
              </w:rPr>
            </w:pPr>
            <w:r w:rsidRPr="00A0754F">
              <w:rPr>
                <w:rFonts w:ascii="Arial Narrow" w:hAnsi="Arial Narrow"/>
                <w:b/>
                <w:bCs/>
                <w:color w:val="4F81BD" w:themeColor="accent1"/>
                <w:sz w:val="16"/>
                <w:szCs w:val="16"/>
                <w:lang w:eastAsia="sl-SI"/>
              </w:rPr>
              <w:t>Rekreacija, kultura in religija</w:t>
            </w:r>
          </w:p>
        </w:tc>
        <w:tc>
          <w:tcPr>
            <w:tcW w:w="2439" w:type="pct"/>
            <w:tcBorders>
              <w:top w:val="nil"/>
              <w:left w:val="nil"/>
              <w:bottom w:val="nil"/>
              <w:right w:val="nil"/>
            </w:tcBorders>
            <w:shd w:val="clear" w:color="auto" w:fill="auto"/>
            <w:hideMark/>
          </w:tcPr>
          <w:p w:rsidR="00A0754F" w:rsidRPr="00A0754F" w:rsidRDefault="00A0754F" w:rsidP="00A0754F">
            <w:pPr>
              <w:spacing w:after="0" w:line="240" w:lineRule="auto"/>
              <w:rPr>
                <w:rFonts w:ascii="Arial Narrow" w:hAnsi="Arial Narrow"/>
                <w:b/>
                <w:bCs/>
                <w:color w:val="4F81BD"/>
                <w:sz w:val="16"/>
                <w:szCs w:val="16"/>
                <w:lang w:eastAsia="sl-SI"/>
              </w:rPr>
            </w:pPr>
            <w:r w:rsidRPr="00A0754F">
              <w:rPr>
                <w:rFonts w:ascii="Arial Narrow" w:hAnsi="Arial Narrow"/>
                <w:b/>
                <w:bCs/>
                <w:color w:val="4F81BD" w:themeColor="accent1"/>
                <w:sz w:val="16"/>
                <w:szCs w:val="16"/>
                <w:lang w:eastAsia="sl-SI"/>
              </w:rPr>
              <w:t>Storitve radia, televizije in založništva</w:t>
            </w:r>
          </w:p>
        </w:tc>
        <w:tc>
          <w:tcPr>
            <w:tcW w:w="660" w:type="pct"/>
            <w:tcBorders>
              <w:top w:val="nil"/>
              <w:left w:val="nil"/>
              <w:bottom w:val="nil"/>
              <w:right w:val="single" w:sz="8" w:space="0" w:color="9BBB59"/>
            </w:tcBorders>
            <w:shd w:val="clear" w:color="auto" w:fill="auto"/>
            <w:hideMark/>
          </w:tcPr>
          <w:p w:rsidR="00A0754F" w:rsidRPr="00A0754F" w:rsidRDefault="00A0754F" w:rsidP="00A0754F">
            <w:pPr>
              <w:spacing w:after="0" w:line="240" w:lineRule="auto"/>
              <w:rPr>
                <w:rFonts w:ascii="Arial Narrow" w:hAnsi="Arial Narrow"/>
                <w:b/>
                <w:bCs/>
                <w:color w:val="4F81BD"/>
                <w:sz w:val="16"/>
                <w:szCs w:val="16"/>
                <w:lang w:eastAsia="sl-SI"/>
              </w:rPr>
            </w:pPr>
            <w:r w:rsidRPr="00A0754F">
              <w:rPr>
                <w:rFonts w:ascii="Arial Narrow" w:hAnsi="Arial Narrow"/>
                <w:b/>
                <w:bCs/>
                <w:color w:val="4F81BD" w:themeColor="accent1"/>
                <w:sz w:val="16"/>
                <w:szCs w:val="16"/>
                <w:lang w:eastAsia="sl-SI"/>
              </w:rPr>
              <w:t>132,7</w:t>
            </w:r>
          </w:p>
        </w:tc>
      </w:tr>
      <w:tr w:rsidR="00A0754F" w:rsidRPr="00A0754F" w:rsidTr="00D52100">
        <w:trPr>
          <w:trHeight w:val="227"/>
        </w:trPr>
        <w:tc>
          <w:tcPr>
            <w:tcW w:w="466" w:type="pct"/>
            <w:tcBorders>
              <w:top w:val="nil"/>
              <w:left w:val="single" w:sz="8" w:space="0" w:color="9BBB59"/>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29.</w:t>
            </w:r>
          </w:p>
        </w:tc>
        <w:tc>
          <w:tcPr>
            <w:tcW w:w="1435" w:type="pct"/>
            <w:tcBorders>
              <w:top w:val="single" w:sz="8" w:space="0" w:color="9BBB59"/>
              <w:left w:val="nil"/>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Rekreacija, kultura in religija</w:t>
            </w:r>
          </w:p>
        </w:tc>
        <w:tc>
          <w:tcPr>
            <w:tcW w:w="2439" w:type="pct"/>
            <w:tcBorders>
              <w:top w:val="single" w:sz="8" w:space="0" w:color="9BBB59"/>
              <w:left w:val="nil"/>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Rekreacijske in športne storitve</w:t>
            </w:r>
          </w:p>
        </w:tc>
        <w:tc>
          <w:tcPr>
            <w:tcW w:w="660" w:type="pct"/>
            <w:tcBorders>
              <w:top w:val="single" w:sz="8" w:space="0" w:color="9BBB59"/>
              <w:left w:val="nil"/>
              <w:bottom w:val="single" w:sz="8" w:space="0" w:color="9BBB59"/>
              <w:right w:val="single" w:sz="8" w:space="0" w:color="9BBB59"/>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130,4</w:t>
            </w:r>
          </w:p>
        </w:tc>
      </w:tr>
      <w:tr w:rsidR="00A0754F" w:rsidRPr="00A0754F" w:rsidTr="00D52100">
        <w:trPr>
          <w:trHeight w:val="227"/>
        </w:trPr>
        <w:tc>
          <w:tcPr>
            <w:tcW w:w="466" w:type="pct"/>
            <w:tcBorders>
              <w:top w:val="nil"/>
              <w:left w:val="single" w:sz="8" w:space="0" w:color="9BBB59"/>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30.</w:t>
            </w:r>
          </w:p>
        </w:tc>
        <w:tc>
          <w:tcPr>
            <w:tcW w:w="1435" w:type="pct"/>
            <w:tcBorders>
              <w:top w:val="nil"/>
              <w:left w:val="nil"/>
              <w:bottom w:val="nil"/>
              <w:right w:val="nil"/>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Zdravstvo</w:t>
            </w:r>
          </w:p>
        </w:tc>
        <w:tc>
          <w:tcPr>
            <w:tcW w:w="2439" w:type="pct"/>
            <w:tcBorders>
              <w:top w:val="nil"/>
              <w:left w:val="nil"/>
              <w:bottom w:val="nil"/>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Druge dejavnosti s področja zdravstva</w:t>
            </w:r>
          </w:p>
        </w:tc>
        <w:tc>
          <w:tcPr>
            <w:tcW w:w="660" w:type="pct"/>
            <w:tcBorders>
              <w:top w:val="nil"/>
              <w:left w:val="nil"/>
              <w:bottom w:val="nil"/>
              <w:right w:val="single" w:sz="8" w:space="0" w:color="9BBB59"/>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117,6</w:t>
            </w:r>
          </w:p>
        </w:tc>
      </w:tr>
      <w:tr w:rsidR="00A0754F" w:rsidRPr="00A0754F" w:rsidTr="00D52100">
        <w:trPr>
          <w:trHeight w:val="227"/>
        </w:trPr>
        <w:tc>
          <w:tcPr>
            <w:tcW w:w="466" w:type="pct"/>
            <w:tcBorders>
              <w:top w:val="nil"/>
              <w:left w:val="single" w:sz="8" w:space="0" w:color="9BBB59"/>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31.</w:t>
            </w:r>
          </w:p>
        </w:tc>
        <w:tc>
          <w:tcPr>
            <w:tcW w:w="1435" w:type="pct"/>
            <w:tcBorders>
              <w:top w:val="single" w:sz="8" w:space="0" w:color="9BBB59"/>
              <w:left w:val="nil"/>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Javna uprava</w:t>
            </w:r>
          </w:p>
        </w:tc>
        <w:tc>
          <w:tcPr>
            <w:tcW w:w="2439" w:type="pct"/>
            <w:tcBorders>
              <w:top w:val="single" w:sz="8" w:space="0" w:color="9BBB59"/>
              <w:left w:val="nil"/>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Splošne storitve</w:t>
            </w:r>
          </w:p>
        </w:tc>
        <w:tc>
          <w:tcPr>
            <w:tcW w:w="660" w:type="pct"/>
            <w:tcBorders>
              <w:top w:val="single" w:sz="8" w:space="0" w:color="9BBB59"/>
              <w:left w:val="nil"/>
              <w:bottom w:val="single" w:sz="8" w:space="0" w:color="9BBB59"/>
              <w:right w:val="single" w:sz="8" w:space="0" w:color="9BBB59"/>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115,6</w:t>
            </w:r>
          </w:p>
        </w:tc>
      </w:tr>
      <w:tr w:rsidR="00A0754F" w:rsidRPr="00A0754F" w:rsidTr="00D52100">
        <w:trPr>
          <w:trHeight w:val="227"/>
        </w:trPr>
        <w:tc>
          <w:tcPr>
            <w:tcW w:w="466" w:type="pct"/>
            <w:tcBorders>
              <w:top w:val="nil"/>
              <w:left w:val="single" w:sz="8" w:space="0" w:color="9BBB59"/>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32.</w:t>
            </w:r>
          </w:p>
        </w:tc>
        <w:tc>
          <w:tcPr>
            <w:tcW w:w="1435" w:type="pct"/>
            <w:tcBorders>
              <w:top w:val="nil"/>
              <w:left w:val="nil"/>
              <w:bottom w:val="nil"/>
              <w:right w:val="nil"/>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Izobraževanje</w:t>
            </w:r>
          </w:p>
        </w:tc>
        <w:tc>
          <w:tcPr>
            <w:tcW w:w="2439" w:type="pct"/>
            <w:tcBorders>
              <w:top w:val="nil"/>
              <w:left w:val="nil"/>
              <w:bottom w:val="nil"/>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Dopolnilne izobraževalne storitve</w:t>
            </w:r>
          </w:p>
        </w:tc>
        <w:tc>
          <w:tcPr>
            <w:tcW w:w="660" w:type="pct"/>
            <w:tcBorders>
              <w:top w:val="nil"/>
              <w:left w:val="nil"/>
              <w:bottom w:val="nil"/>
              <w:right w:val="single" w:sz="8" w:space="0" w:color="9BBB59"/>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110,2</w:t>
            </w:r>
          </w:p>
        </w:tc>
      </w:tr>
      <w:tr w:rsidR="00A0754F" w:rsidRPr="00A0754F" w:rsidTr="00D52100">
        <w:trPr>
          <w:trHeight w:val="227"/>
        </w:trPr>
        <w:tc>
          <w:tcPr>
            <w:tcW w:w="466" w:type="pct"/>
            <w:tcBorders>
              <w:top w:val="nil"/>
              <w:left w:val="single" w:sz="8" w:space="0" w:color="9BBB59"/>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33.</w:t>
            </w:r>
          </w:p>
        </w:tc>
        <w:tc>
          <w:tcPr>
            <w:tcW w:w="1435" w:type="pct"/>
            <w:tcBorders>
              <w:top w:val="single" w:sz="8" w:space="0" w:color="9BBB59"/>
              <w:left w:val="nil"/>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Javna uprava</w:t>
            </w:r>
          </w:p>
        </w:tc>
        <w:tc>
          <w:tcPr>
            <w:tcW w:w="2439" w:type="pct"/>
            <w:tcBorders>
              <w:top w:val="single" w:sz="8" w:space="0" w:color="9BBB59"/>
              <w:left w:val="nil"/>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Druge dejavnosti s področja javne uprave</w:t>
            </w:r>
          </w:p>
        </w:tc>
        <w:tc>
          <w:tcPr>
            <w:tcW w:w="660" w:type="pct"/>
            <w:tcBorders>
              <w:top w:val="single" w:sz="8" w:space="0" w:color="9BBB59"/>
              <w:left w:val="nil"/>
              <w:bottom w:val="single" w:sz="8" w:space="0" w:color="9BBB59"/>
              <w:right w:val="single" w:sz="8" w:space="0" w:color="9BBB59"/>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110,1</w:t>
            </w:r>
          </w:p>
        </w:tc>
      </w:tr>
      <w:tr w:rsidR="00A0754F" w:rsidRPr="00A0754F" w:rsidTr="00D52100">
        <w:trPr>
          <w:trHeight w:val="227"/>
        </w:trPr>
        <w:tc>
          <w:tcPr>
            <w:tcW w:w="466" w:type="pct"/>
            <w:tcBorders>
              <w:top w:val="nil"/>
              <w:left w:val="single" w:sz="8" w:space="0" w:color="9BBB59"/>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34.</w:t>
            </w:r>
          </w:p>
        </w:tc>
        <w:tc>
          <w:tcPr>
            <w:tcW w:w="1435" w:type="pct"/>
            <w:tcBorders>
              <w:top w:val="nil"/>
              <w:left w:val="nil"/>
              <w:bottom w:val="nil"/>
              <w:right w:val="nil"/>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Varstvo okolja</w:t>
            </w:r>
          </w:p>
        </w:tc>
        <w:tc>
          <w:tcPr>
            <w:tcW w:w="2439" w:type="pct"/>
            <w:tcBorders>
              <w:top w:val="nil"/>
              <w:left w:val="nil"/>
              <w:bottom w:val="nil"/>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Ravnanje z odpadki</w:t>
            </w:r>
          </w:p>
        </w:tc>
        <w:tc>
          <w:tcPr>
            <w:tcW w:w="660" w:type="pct"/>
            <w:tcBorders>
              <w:top w:val="nil"/>
              <w:left w:val="nil"/>
              <w:bottom w:val="nil"/>
              <w:right w:val="single" w:sz="8" w:space="0" w:color="9BBB59"/>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84,6</w:t>
            </w:r>
          </w:p>
        </w:tc>
      </w:tr>
      <w:tr w:rsidR="00A0754F" w:rsidRPr="00A0754F" w:rsidTr="00D52100">
        <w:trPr>
          <w:trHeight w:val="227"/>
        </w:trPr>
        <w:tc>
          <w:tcPr>
            <w:tcW w:w="466" w:type="pct"/>
            <w:tcBorders>
              <w:top w:val="nil"/>
              <w:left w:val="single" w:sz="8" w:space="0" w:color="9BBB59"/>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35.</w:t>
            </w:r>
          </w:p>
        </w:tc>
        <w:tc>
          <w:tcPr>
            <w:tcW w:w="1435" w:type="pct"/>
            <w:tcBorders>
              <w:top w:val="single" w:sz="8" w:space="0" w:color="9BBB59"/>
              <w:left w:val="nil"/>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Ekonomske dejavnosti</w:t>
            </w:r>
          </w:p>
        </w:tc>
        <w:tc>
          <w:tcPr>
            <w:tcW w:w="2439" w:type="pct"/>
            <w:tcBorders>
              <w:top w:val="single" w:sz="8" w:space="0" w:color="9BBB59"/>
              <w:left w:val="nil"/>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Pridobivanje in distribucija goriv in energije</w:t>
            </w:r>
          </w:p>
        </w:tc>
        <w:tc>
          <w:tcPr>
            <w:tcW w:w="660" w:type="pct"/>
            <w:tcBorders>
              <w:top w:val="single" w:sz="8" w:space="0" w:color="9BBB59"/>
              <w:left w:val="nil"/>
              <w:bottom w:val="single" w:sz="8" w:space="0" w:color="9BBB59"/>
              <w:right w:val="single" w:sz="8" w:space="0" w:color="9BBB59"/>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73,9</w:t>
            </w:r>
          </w:p>
        </w:tc>
      </w:tr>
      <w:tr w:rsidR="00A0754F" w:rsidRPr="00A0754F" w:rsidTr="00D52100">
        <w:trPr>
          <w:trHeight w:val="227"/>
        </w:trPr>
        <w:tc>
          <w:tcPr>
            <w:tcW w:w="466" w:type="pct"/>
            <w:tcBorders>
              <w:top w:val="nil"/>
              <w:left w:val="single" w:sz="8" w:space="0" w:color="9BBB59"/>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36.</w:t>
            </w:r>
          </w:p>
        </w:tc>
        <w:tc>
          <w:tcPr>
            <w:tcW w:w="1435" w:type="pct"/>
            <w:tcBorders>
              <w:top w:val="nil"/>
              <w:left w:val="nil"/>
              <w:bottom w:val="nil"/>
              <w:right w:val="nil"/>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Ekonomske dejavnosti</w:t>
            </w:r>
          </w:p>
        </w:tc>
        <w:tc>
          <w:tcPr>
            <w:tcW w:w="2439" w:type="pct"/>
            <w:tcBorders>
              <w:top w:val="nil"/>
              <w:left w:val="nil"/>
              <w:bottom w:val="nil"/>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Druge dejavnosti</w:t>
            </w:r>
          </w:p>
        </w:tc>
        <w:tc>
          <w:tcPr>
            <w:tcW w:w="660" w:type="pct"/>
            <w:tcBorders>
              <w:top w:val="nil"/>
              <w:left w:val="nil"/>
              <w:bottom w:val="nil"/>
              <w:right w:val="single" w:sz="8" w:space="0" w:color="9BBB59"/>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62,5</w:t>
            </w:r>
          </w:p>
        </w:tc>
      </w:tr>
      <w:tr w:rsidR="00A0754F" w:rsidRPr="00A0754F" w:rsidTr="00D52100">
        <w:trPr>
          <w:trHeight w:val="227"/>
        </w:trPr>
        <w:tc>
          <w:tcPr>
            <w:tcW w:w="466" w:type="pct"/>
            <w:tcBorders>
              <w:top w:val="nil"/>
              <w:left w:val="single" w:sz="8" w:space="0" w:color="9BBB59"/>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37.</w:t>
            </w:r>
          </w:p>
        </w:tc>
        <w:tc>
          <w:tcPr>
            <w:tcW w:w="1435" w:type="pct"/>
            <w:tcBorders>
              <w:top w:val="single" w:sz="8" w:space="0" w:color="9BBB59"/>
              <w:left w:val="nil"/>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Javni red in varnost</w:t>
            </w:r>
          </w:p>
        </w:tc>
        <w:tc>
          <w:tcPr>
            <w:tcW w:w="2439" w:type="pct"/>
            <w:tcBorders>
              <w:top w:val="single" w:sz="8" w:space="0" w:color="9BBB59"/>
              <w:left w:val="nil"/>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Gasilci</w:t>
            </w:r>
          </w:p>
        </w:tc>
        <w:tc>
          <w:tcPr>
            <w:tcW w:w="660" w:type="pct"/>
            <w:tcBorders>
              <w:top w:val="single" w:sz="8" w:space="0" w:color="9BBB59"/>
              <w:left w:val="nil"/>
              <w:bottom w:val="single" w:sz="8" w:space="0" w:color="9BBB59"/>
              <w:right w:val="single" w:sz="8" w:space="0" w:color="9BBB59"/>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51,8</w:t>
            </w:r>
          </w:p>
        </w:tc>
      </w:tr>
      <w:tr w:rsidR="00A0754F" w:rsidRPr="00A0754F" w:rsidTr="00D52100">
        <w:trPr>
          <w:trHeight w:val="227"/>
        </w:trPr>
        <w:tc>
          <w:tcPr>
            <w:tcW w:w="466" w:type="pct"/>
            <w:tcBorders>
              <w:top w:val="nil"/>
              <w:left w:val="single" w:sz="8" w:space="0" w:color="9BBB59"/>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38.</w:t>
            </w:r>
          </w:p>
        </w:tc>
        <w:tc>
          <w:tcPr>
            <w:tcW w:w="1435" w:type="pct"/>
            <w:tcBorders>
              <w:top w:val="nil"/>
              <w:left w:val="nil"/>
              <w:bottom w:val="nil"/>
              <w:right w:val="nil"/>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Rekreacija, kultura in religija</w:t>
            </w:r>
          </w:p>
        </w:tc>
        <w:tc>
          <w:tcPr>
            <w:tcW w:w="2439" w:type="pct"/>
            <w:tcBorders>
              <w:top w:val="nil"/>
              <w:left w:val="nil"/>
              <w:bottom w:val="nil"/>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Verske in druge družbene storitve</w:t>
            </w:r>
          </w:p>
        </w:tc>
        <w:tc>
          <w:tcPr>
            <w:tcW w:w="660" w:type="pct"/>
            <w:tcBorders>
              <w:top w:val="nil"/>
              <w:left w:val="nil"/>
              <w:bottom w:val="nil"/>
              <w:right w:val="single" w:sz="8" w:space="0" w:color="9BBB59"/>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41,1</w:t>
            </w:r>
          </w:p>
        </w:tc>
      </w:tr>
      <w:tr w:rsidR="00A0754F" w:rsidRPr="00A0754F" w:rsidTr="00D52100">
        <w:trPr>
          <w:trHeight w:val="227"/>
        </w:trPr>
        <w:tc>
          <w:tcPr>
            <w:tcW w:w="466" w:type="pct"/>
            <w:tcBorders>
              <w:top w:val="nil"/>
              <w:left w:val="single" w:sz="8" w:space="0" w:color="9BBB59"/>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39.</w:t>
            </w:r>
          </w:p>
        </w:tc>
        <w:tc>
          <w:tcPr>
            <w:tcW w:w="1435" w:type="pct"/>
            <w:tcBorders>
              <w:top w:val="single" w:sz="8" w:space="0" w:color="9BBB59"/>
              <w:left w:val="nil"/>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Javni red in varnost</w:t>
            </w:r>
          </w:p>
        </w:tc>
        <w:tc>
          <w:tcPr>
            <w:tcW w:w="2439" w:type="pct"/>
            <w:tcBorders>
              <w:top w:val="single" w:sz="8" w:space="0" w:color="9BBB59"/>
              <w:left w:val="nil"/>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Druge dejavnosti s področja javnega reda in varnosti</w:t>
            </w:r>
          </w:p>
        </w:tc>
        <w:tc>
          <w:tcPr>
            <w:tcW w:w="660" w:type="pct"/>
            <w:tcBorders>
              <w:top w:val="single" w:sz="8" w:space="0" w:color="9BBB59"/>
              <w:left w:val="nil"/>
              <w:bottom w:val="single" w:sz="8" w:space="0" w:color="9BBB59"/>
              <w:right w:val="single" w:sz="8" w:space="0" w:color="9BBB59"/>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38,7</w:t>
            </w:r>
          </w:p>
        </w:tc>
      </w:tr>
      <w:tr w:rsidR="00A0754F" w:rsidRPr="00A0754F" w:rsidTr="00D52100">
        <w:trPr>
          <w:trHeight w:val="227"/>
        </w:trPr>
        <w:tc>
          <w:tcPr>
            <w:tcW w:w="466" w:type="pct"/>
            <w:tcBorders>
              <w:top w:val="nil"/>
              <w:left w:val="single" w:sz="8" w:space="0" w:color="9BBB59"/>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40.</w:t>
            </w:r>
          </w:p>
        </w:tc>
        <w:tc>
          <w:tcPr>
            <w:tcW w:w="1435" w:type="pct"/>
            <w:tcBorders>
              <w:top w:val="nil"/>
              <w:left w:val="nil"/>
              <w:bottom w:val="nil"/>
              <w:right w:val="nil"/>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Rekreacija, kultura in religija</w:t>
            </w:r>
          </w:p>
        </w:tc>
        <w:tc>
          <w:tcPr>
            <w:tcW w:w="2439" w:type="pct"/>
            <w:tcBorders>
              <w:top w:val="nil"/>
              <w:left w:val="nil"/>
              <w:bottom w:val="nil"/>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Druge dejavnosti s področja rekreacije, kulture in religije</w:t>
            </w:r>
          </w:p>
        </w:tc>
        <w:tc>
          <w:tcPr>
            <w:tcW w:w="660" w:type="pct"/>
            <w:tcBorders>
              <w:top w:val="nil"/>
              <w:left w:val="nil"/>
              <w:bottom w:val="nil"/>
              <w:right w:val="single" w:sz="8" w:space="0" w:color="9BBB59"/>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35,3</w:t>
            </w:r>
          </w:p>
        </w:tc>
      </w:tr>
      <w:tr w:rsidR="00A0754F" w:rsidRPr="00A0754F" w:rsidTr="00D52100">
        <w:trPr>
          <w:trHeight w:val="227"/>
        </w:trPr>
        <w:tc>
          <w:tcPr>
            <w:tcW w:w="466" w:type="pct"/>
            <w:tcBorders>
              <w:top w:val="nil"/>
              <w:left w:val="single" w:sz="8" w:space="0" w:color="9BBB59"/>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41.</w:t>
            </w:r>
          </w:p>
        </w:tc>
        <w:tc>
          <w:tcPr>
            <w:tcW w:w="1435" w:type="pct"/>
            <w:tcBorders>
              <w:top w:val="single" w:sz="8" w:space="0" w:color="9BBB59"/>
              <w:left w:val="nil"/>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Stanovanjske dejavnosti in urejanje okolja</w:t>
            </w:r>
          </w:p>
        </w:tc>
        <w:tc>
          <w:tcPr>
            <w:tcW w:w="2439" w:type="pct"/>
            <w:tcBorders>
              <w:top w:val="single" w:sz="8" w:space="0" w:color="9BBB59"/>
              <w:left w:val="nil"/>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Javna razsvetljava</w:t>
            </w:r>
          </w:p>
        </w:tc>
        <w:tc>
          <w:tcPr>
            <w:tcW w:w="660" w:type="pct"/>
            <w:tcBorders>
              <w:top w:val="single" w:sz="8" w:space="0" w:color="9BBB59"/>
              <w:left w:val="nil"/>
              <w:bottom w:val="single" w:sz="8" w:space="0" w:color="9BBB59"/>
              <w:right w:val="single" w:sz="8" w:space="0" w:color="9BBB59"/>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34</w:t>
            </w:r>
          </w:p>
        </w:tc>
      </w:tr>
      <w:tr w:rsidR="00A0754F" w:rsidRPr="00A0754F" w:rsidTr="00D52100">
        <w:trPr>
          <w:trHeight w:val="227"/>
        </w:trPr>
        <w:tc>
          <w:tcPr>
            <w:tcW w:w="466" w:type="pct"/>
            <w:tcBorders>
              <w:top w:val="nil"/>
              <w:left w:val="single" w:sz="8" w:space="0" w:color="9BBB59"/>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42.</w:t>
            </w:r>
          </w:p>
        </w:tc>
        <w:tc>
          <w:tcPr>
            <w:tcW w:w="1435" w:type="pct"/>
            <w:tcBorders>
              <w:top w:val="nil"/>
              <w:left w:val="nil"/>
              <w:bottom w:val="nil"/>
              <w:right w:val="nil"/>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Obramba</w:t>
            </w:r>
          </w:p>
        </w:tc>
        <w:tc>
          <w:tcPr>
            <w:tcW w:w="2439" w:type="pct"/>
            <w:tcBorders>
              <w:top w:val="nil"/>
              <w:left w:val="nil"/>
              <w:bottom w:val="nil"/>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Druge dejavnosti s področja obrambe</w:t>
            </w:r>
          </w:p>
        </w:tc>
        <w:tc>
          <w:tcPr>
            <w:tcW w:w="660" w:type="pct"/>
            <w:tcBorders>
              <w:top w:val="nil"/>
              <w:left w:val="nil"/>
              <w:bottom w:val="nil"/>
              <w:right w:val="single" w:sz="8" w:space="0" w:color="9BBB59"/>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33,6</w:t>
            </w:r>
          </w:p>
        </w:tc>
      </w:tr>
      <w:tr w:rsidR="00A0754F" w:rsidRPr="00A0754F" w:rsidTr="00D52100">
        <w:trPr>
          <w:trHeight w:val="227"/>
        </w:trPr>
        <w:tc>
          <w:tcPr>
            <w:tcW w:w="466" w:type="pct"/>
            <w:tcBorders>
              <w:top w:val="nil"/>
              <w:left w:val="single" w:sz="8" w:space="0" w:color="9BBB59"/>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43.</w:t>
            </w:r>
          </w:p>
        </w:tc>
        <w:tc>
          <w:tcPr>
            <w:tcW w:w="1435" w:type="pct"/>
            <w:tcBorders>
              <w:top w:val="single" w:sz="8" w:space="0" w:color="9BBB59"/>
              <w:left w:val="nil"/>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Izobraževanje</w:t>
            </w:r>
          </w:p>
        </w:tc>
        <w:tc>
          <w:tcPr>
            <w:tcW w:w="2439" w:type="pct"/>
            <w:tcBorders>
              <w:top w:val="single" w:sz="8" w:space="0" w:color="9BBB59"/>
              <w:left w:val="nil"/>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Druge dejavnosti s področja izobraževanja</w:t>
            </w:r>
          </w:p>
        </w:tc>
        <w:tc>
          <w:tcPr>
            <w:tcW w:w="660" w:type="pct"/>
            <w:tcBorders>
              <w:top w:val="single" w:sz="8" w:space="0" w:color="9BBB59"/>
              <w:left w:val="nil"/>
              <w:bottom w:val="single" w:sz="8" w:space="0" w:color="9BBB59"/>
              <w:right w:val="single" w:sz="8" w:space="0" w:color="9BBB59"/>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32,7</w:t>
            </w:r>
          </w:p>
        </w:tc>
      </w:tr>
      <w:tr w:rsidR="00A0754F" w:rsidRPr="00A0754F" w:rsidTr="00D52100">
        <w:trPr>
          <w:trHeight w:val="227"/>
        </w:trPr>
        <w:tc>
          <w:tcPr>
            <w:tcW w:w="466" w:type="pct"/>
            <w:tcBorders>
              <w:top w:val="nil"/>
              <w:left w:val="single" w:sz="8" w:space="0" w:color="9BBB59"/>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44.</w:t>
            </w:r>
          </w:p>
        </w:tc>
        <w:tc>
          <w:tcPr>
            <w:tcW w:w="1435" w:type="pct"/>
            <w:tcBorders>
              <w:top w:val="nil"/>
              <w:left w:val="nil"/>
              <w:bottom w:val="nil"/>
              <w:right w:val="nil"/>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Javni red in varnost</w:t>
            </w:r>
          </w:p>
        </w:tc>
        <w:tc>
          <w:tcPr>
            <w:tcW w:w="2439" w:type="pct"/>
            <w:tcBorders>
              <w:top w:val="nil"/>
              <w:left w:val="nil"/>
              <w:bottom w:val="nil"/>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Zapori</w:t>
            </w:r>
          </w:p>
        </w:tc>
        <w:tc>
          <w:tcPr>
            <w:tcW w:w="660" w:type="pct"/>
            <w:tcBorders>
              <w:top w:val="nil"/>
              <w:left w:val="nil"/>
              <w:bottom w:val="nil"/>
              <w:right w:val="single" w:sz="8" w:space="0" w:color="9BBB59"/>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32,2</w:t>
            </w:r>
          </w:p>
        </w:tc>
      </w:tr>
      <w:tr w:rsidR="00A0754F" w:rsidRPr="00A0754F" w:rsidTr="00D52100">
        <w:trPr>
          <w:trHeight w:val="227"/>
        </w:trPr>
        <w:tc>
          <w:tcPr>
            <w:tcW w:w="466" w:type="pct"/>
            <w:tcBorders>
              <w:top w:val="nil"/>
              <w:left w:val="single" w:sz="8" w:space="0" w:color="9BBB59"/>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45.</w:t>
            </w:r>
          </w:p>
        </w:tc>
        <w:tc>
          <w:tcPr>
            <w:tcW w:w="1435" w:type="pct"/>
            <w:tcBorders>
              <w:top w:val="single" w:sz="8" w:space="0" w:color="9BBB59"/>
              <w:left w:val="nil"/>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Izobraževanje</w:t>
            </w:r>
          </w:p>
        </w:tc>
        <w:tc>
          <w:tcPr>
            <w:tcW w:w="2439" w:type="pct"/>
            <w:tcBorders>
              <w:top w:val="single" w:sz="8" w:space="0" w:color="9BBB59"/>
              <w:left w:val="nil"/>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Izobraževanje, ki ni opredeljeno po stopnjah</w:t>
            </w:r>
          </w:p>
        </w:tc>
        <w:tc>
          <w:tcPr>
            <w:tcW w:w="660" w:type="pct"/>
            <w:tcBorders>
              <w:top w:val="single" w:sz="8" w:space="0" w:color="9BBB59"/>
              <w:left w:val="nil"/>
              <w:bottom w:val="single" w:sz="8" w:space="0" w:color="9BBB59"/>
              <w:right w:val="single" w:sz="8" w:space="0" w:color="9BBB59"/>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30,9</w:t>
            </w:r>
          </w:p>
        </w:tc>
      </w:tr>
      <w:tr w:rsidR="00A0754F" w:rsidRPr="00A0754F" w:rsidTr="00D52100">
        <w:trPr>
          <w:trHeight w:val="227"/>
        </w:trPr>
        <w:tc>
          <w:tcPr>
            <w:tcW w:w="466" w:type="pct"/>
            <w:tcBorders>
              <w:top w:val="nil"/>
              <w:left w:val="single" w:sz="8" w:space="0" w:color="9BBB59"/>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46.</w:t>
            </w:r>
          </w:p>
        </w:tc>
        <w:tc>
          <w:tcPr>
            <w:tcW w:w="1435" w:type="pct"/>
            <w:tcBorders>
              <w:top w:val="nil"/>
              <w:left w:val="nil"/>
              <w:bottom w:val="nil"/>
              <w:right w:val="nil"/>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Zdravstvo</w:t>
            </w:r>
          </w:p>
        </w:tc>
        <w:tc>
          <w:tcPr>
            <w:tcW w:w="2439" w:type="pct"/>
            <w:tcBorders>
              <w:top w:val="nil"/>
              <w:left w:val="nil"/>
              <w:bottom w:val="nil"/>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Raziskave in razvoj na področju zdravstva</w:t>
            </w:r>
          </w:p>
        </w:tc>
        <w:tc>
          <w:tcPr>
            <w:tcW w:w="660" w:type="pct"/>
            <w:tcBorders>
              <w:top w:val="nil"/>
              <w:left w:val="nil"/>
              <w:bottom w:val="nil"/>
              <w:right w:val="single" w:sz="8" w:space="0" w:color="9BBB59"/>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29</w:t>
            </w:r>
          </w:p>
        </w:tc>
      </w:tr>
      <w:tr w:rsidR="00A0754F" w:rsidRPr="00A0754F" w:rsidTr="00D52100">
        <w:trPr>
          <w:trHeight w:val="227"/>
        </w:trPr>
        <w:tc>
          <w:tcPr>
            <w:tcW w:w="466" w:type="pct"/>
            <w:tcBorders>
              <w:top w:val="nil"/>
              <w:left w:val="single" w:sz="8" w:space="0" w:color="9BBB59"/>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47.</w:t>
            </w:r>
          </w:p>
        </w:tc>
        <w:tc>
          <w:tcPr>
            <w:tcW w:w="1435" w:type="pct"/>
            <w:tcBorders>
              <w:top w:val="single" w:sz="8" w:space="0" w:color="9BBB59"/>
              <w:left w:val="nil"/>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Varstvo okolja</w:t>
            </w:r>
          </w:p>
        </w:tc>
        <w:tc>
          <w:tcPr>
            <w:tcW w:w="2439" w:type="pct"/>
            <w:tcBorders>
              <w:top w:val="single" w:sz="8" w:space="0" w:color="9BBB59"/>
              <w:left w:val="nil"/>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Zmanjševanje onesnaževanja</w:t>
            </w:r>
          </w:p>
        </w:tc>
        <w:tc>
          <w:tcPr>
            <w:tcW w:w="660" w:type="pct"/>
            <w:tcBorders>
              <w:top w:val="single" w:sz="8" w:space="0" w:color="9BBB59"/>
              <w:left w:val="nil"/>
              <w:bottom w:val="single" w:sz="8" w:space="0" w:color="9BBB59"/>
              <w:right w:val="single" w:sz="8" w:space="0" w:color="9BBB59"/>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27,9</w:t>
            </w:r>
          </w:p>
        </w:tc>
      </w:tr>
      <w:tr w:rsidR="00A0754F" w:rsidRPr="00A0754F" w:rsidTr="00D52100">
        <w:trPr>
          <w:trHeight w:val="227"/>
        </w:trPr>
        <w:tc>
          <w:tcPr>
            <w:tcW w:w="466" w:type="pct"/>
            <w:tcBorders>
              <w:top w:val="nil"/>
              <w:left w:val="single" w:sz="8" w:space="0" w:color="9BBB59"/>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48.</w:t>
            </w:r>
          </w:p>
        </w:tc>
        <w:tc>
          <w:tcPr>
            <w:tcW w:w="1435" w:type="pct"/>
            <w:tcBorders>
              <w:top w:val="nil"/>
              <w:left w:val="nil"/>
              <w:bottom w:val="nil"/>
              <w:right w:val="nil"/>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Obramba</w:t>
            </w:r>
          </w:p>
        </w:tc>
        <w:tc>
          <w:tcPr>
            <w:tcW w:w="2439" w:type="pct"/>
            <w:tcBorders>
              <w:top w:val="nil"/>
              <w:left w:val="nil"/>
              <w:bottom w:val="nil"/>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Civilna obramba</w:t>
            </w:r>
          </w:p>
        </w:tc>
        <w:tc>
          <w:tcPr>
            <w:tcW w:w="660" w:type="pct"/>
            <w:tcBorders>
              <w:top w:val="nil"/>
              <w:left w:val="nil"/>
              <w:bottom w:val="nil"/>
              <w:right w:val="single" w:sz="8" w:space="0" w:color="9BBB59"/>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26,2</w:t>
            </w:r>
          </w:p>
        </w:tc>
      </w:tr>
      <w:tr w:rsidR="00A0754F" w:rsidRPr="00A0754F" w:rsidTr="00D52100">
        <w:trPr>
          <w:trHeight w:val="227"/>
        </w:trPr>
        <w:tc>
          <w:tcPr>
            <w:tcW w:w="466" w:type="pct"/>
            <w:tcBorders>
              <w:top w:val="nil"/>
              <w:left w:val="single" w:sz="8" w:space="0" w:color="9BBB59"/>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49.</w:t>
            </w:r>
          </w:p>
        </w:tc>
        <w:tc>
          <w:tcPr>
            <w:tcW w:w="1435" w:type="pct"/>
            <w:tcBorders>
              <w:top w:val="single" w:sz="8" w:space="0" w:color="9BBB59"/>
              <w:left w:val="nil"/>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Stanovanjske dejavnosti in urejanje okolja</w:t>
            </w:r>
          </w:p>
        </w:tc>
        <w:tc>
          <w:tcPr>
            <w:tcW w:w="2439" w:type="pct"/>
            <w:tcBorders>
              <w:top w:val="single" w:sz="8" w:space="0" w:color="9BBB59"/>
              <w:left w:val="nil"/>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Stanovanjske dejavnosti</w:t>
            </w:r>
          </w:p>
        </w:tc>
        <w:tc>
          <w:tcPr>
            <w:tcW w:w="660" w:type="pct"/>
            <w:tcBorders>
              <w:top w:val="single" w:sz="8" w:space="0" w:color="9BBB59"/>
              <w:left w:val="nil"/>
              <w:bottom w:val="single" w:sz="8" w:space="0" w:color="9BBB59"/>
              <w:right w:val="single" w:sz="8" w:space="0" w:color="9BBB59"/>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25,6</w:t>
            </w:r>
          </w:p>
        </w:tc>
      </w:tr>
      <w:tr w:rsidR="00A0754F" w:rsidRPr="00A0754F" w:rsidTr="00D52100">
        <w:trPr>
          <w:trHeight w:val="227"/>
        </w:trPr>
        <w:tc>
          <w:tcPr>
            <w:tcW w:w="466" w:type="pct"/>
            <w:tcBorders>
              <w:top w:val="nil"/>
              <w:left w:val="single" w:sz="8" w:space="0" w:color="9BBB59"/>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50.</w:t>
            </w:r>
          </w:p>
        </w:tc>
        <w:tc>
          <w:tcPr>
            <w:tcW w:w="1435" w:type="pct"/>
            <w:tcBorders>
              <w:top w:val="nil"/>
              <w:left w:val="nil"/>
              <w:bottom w:val="nil"/>
              <w:right w:val="nil"/>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Varstvo okolja</w:t>
            </w:r>
          </w:p>
        </w:tc>
        <w:tc>
          <w:tcPr>
            <w:tcW w:w="2439" w:type="pct"/>
            <w:tcBorders>
              <w:top w:val="nil"/>
              <w:left w:val="nil"/>
              <w:bottom w:val="nil"/>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Varstvo biološke raznovrstnosti in krajine</w:t>
            </w:r>
          </w:p>
        </w:tc>
        <w:tc>
          <w:tcPr>
            <w:tcW w:w="660" w:type="pct"/>
            <w:tcBorders>
              <w:top w:val="nil"/>
              <w:left w:val="nil"/>
              <w:bottom w:val="nil"/>
              <w:right w:val="single" w:sz="8" w:space="0" w:color="9BBB59"/>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25,1</w:t>
            </w:r>
          </w:p>
        </w:tc>
      </w:tr>
      <w:tr w:rsidR="00A0754F" w:rsidRPr="00A0754F" w:rsidTr="00D52100">
        <w:trPr>
          <w:trHeight w:val="227"/>
        </w:trPr>
        <w:tc>
          <w:tcPr>
            <w:tcW w:w="466" w:type="pct"/>
            <w:tcBorders>
              <w:top w:val="nil"/>
              <w:left w:val="single" w:sz="8" w:space="0" w:color="9BBB59"/>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51.</w:t>
            </w:r>
          </w:p>
        </w:tc>
        <w:tc>
          <w:tcPr>
            <w:tcW w:w="1435" w:type="pct"/>
            <w:tcBorders>
              <w:top w:val="single" w:sz="8" w:space="0" w:color="9BBB59"/>
              <w:left w:val="nil"/>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Obramba</w:t>
            </w:r>
          </w:p>
        </w:tc>
        <w:tc>
          <w:tcPr>
            <w:tcW w:w="2439" w:type="pct"/>
            <w:tcBorders>
              <w:top w:val="single" w:sz="8" w:space="0" w:color="9BBB59"/>
              <w:left w:val="nil"/>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Vojaška pomoč tujini</w:t>
            </w:r>
          </w:p>
        </w:tc>
        <w:tc>
          <w:tcPr>
            <w:tcW w:w="660" w:type="pct"/>
            <w:tcBorders>
              <w:top w:val="single" w:sz="8" w:space="0" w:color="9BBB59"/>
              <w:left w:val="nil"/>
              <w:bottom w:val="single" w:sz="8" w:space="0" w:color="9BBB59"/>
              <w:right w:val="single" w:sz="8" w:space="0" w:color="9BBB59"/>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23,1</w:t>
            </w:r>
          </w:p>
        </w:tc>
      </w:tr>
      <w:tr w:rsidR="00A0754F" w:rsidRPr="00A0754F" w:rsidTr="00D52100">
        <w:trPr>
          <w:trHeight w:val="227"/>
        </w:trPr>
        <w:tc>
          <w:tcPr>
            <w:tcW w:w="466" w:type="pct"/>
            <w:tcBorders>
              <w:top w:val="nil"/>
              <w:left w:val="single" w:sz="8" w:space="0" w:color="9BBB59"/>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52.</w:t>
            </w:r>
          </w:p>
        </w:tc>
        <w:tc>
          <w:tcPr>
            <w:tcW w:w="1435" w:type="pct"/>
            <w:tcBorders>
              <w:top w:val="nil"/>
              <w:left w:val="nil"/>
              <w:bottom w:val="nil"/>
              <w:right w:val="nil"/>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Varstvo okolja</w:t>
            </w:r>
          </w:p>
        </w:tc>
        <w:tc>
          <w:tcPr>
            <w:tcW w:w="2439" w:type="pct"/>
            <w:tcBorders>
              <w:top w:val="nil"/>
              <w:left w:val="nil"/>
              <w:bottom w:val="nil"/>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Druge dejavnosti s področja varstva okolja</w:t>
            </w:r>
          </w:p>
        </w:tc>
        <w:tc>
          <w:tcPr>
            <w:tcW w:w="660" w:type="pct"/>
            <w:tcBorders>
              <w:top w:val="nil"/>
              <w:left w:val="nil"/>
              <w:bottom w:val="nil"/>
              <w:right w:val="single" w:sz="8" w:space="0" w:color="9BBB59"/>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18,1</w:t>
            </w:r>
          </w:p>
        </w:tc>
      </w:tr>
      <w:tr w:rsidR="00A0754F" w:rsidRPr="00A0754F" w:rsidTr="00D52100">
        <w:trPr>
          <w:trHeight w:val="227"/>
        </w:trPr>
        <w:tc>
          <w:tcPr>
            <w:tcW w:w="466" w:type="pct"/>
            <w:tcBorders>
              <w:top w:val="nil"/>
              <w:left w:val="single" w:sz="8" w:space="0" w:color="9BBB59"/>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53.</w:t>
            </w:r>
          </w:p>
        </w:tc>
        <w:tc>
          <w:tcPr>
            <w:tcW w:w="1435" w:type="pct"/>
            <w:tcBorders>
              <w:top w:val="single" w:sz="8" w:space="0" w:color="9BBB59"/>
              <w:left w:val="nil"/>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Stanovanjske dejavnosti in urejanje okolja</w:t>
            </w:r>
          </w:p>
        </w:tc>
        <w:tc>
          <w:tcPr>
            <w:tcW w:w="2439" w:type="pct"/>
            <w:tcBorders>
              <w:top w:val="single" w:sz="8" w:space="0" w:color="9BBB59"/>
              <w:left w:val="nil"/>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Prostorski razvoj</w:t>
            </w:r>
          </w:p>
        </w:tc>
        <w:tc>
          <w:tcPr>
            <w:tcW w:w="660" w:type="pct"/>
            <w:tcBorders>
              <w:top w:val="single" w:sz="8" w:space="0" w:color="9BBB59"/>
              <w:left w:val="nil"/>
              <w:bottom w:val="single" w:sz="8" w:space="0" w:color="9BBB59"/>
              <w:right w:val="single" w:sz="8" w:space="0" w:color="9BBB59"/>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13,4</w:t>
            </w:r>
          </w:p>
        </w:tc>
      </w:tr>
      <w:tr w:rsidR="00A0754F" w:rsidRPr="00A0754F" w:rsidTr="00D52100">
        <w:trPr>
          <w:trHeight w:val="227"/>
        </w:trPr>
        <w:tc>
          <w:tcPr>
            <w:tcW w:w="466" w:type="pct"/>
            <w:tcBorders>
              <w:top w:val="nil"/>
              <w:left w:val="single" w:sz="8" w:space="0" w:color="9BBB59"/>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54.</w:t>
            </w:r>
          </w:p>
        </w:tc>
        <w:tc>
          <w:tcPr>
            <w:tcW w:w="1435" w:type="pct"/>
            <w:tcBorders>
              <w:top w:val="nil"/>
              <w:left w:val="nil"/>
              <w:bottom w:val="nil"/>
              <w:right w:val="nil"/>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Varstvo okolja</w:t>
            </w:r>
          </w:p>
        </w:tc>
        <w:tc>
          <w:tcPr>
            <w:tcW w:w="2439" w:type="pct"/>
            <w:tcBorders>
              <w:top w:val="nil"/>
              <w:left w:val="nil"/>
              <w:bottom w:val="nil"/>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Raziskave in razvoj na področju varstva okolja</w:t>
            </w:r>
          </w:p>
        </w:tc>
        <w:tc>
          <w:tcPr>
            <w:tcW w:w="660" w:type="pct"/>
            <w:tcBorders>
              <w:top w:val="nil"/>
              <w:left w:val="nil"/>
              <w:bottom w:val="nil"/>
              <w:right w:val="single" w:sz="8" w:space="0" w:color="9BBB59"/>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13</w:t>
            </w:r>
          </w:p>
        </w:tc>
      </w:tr>
      <w:tr w:rsidR="00A0754F" w:rsidRPr="00A0754F" w:rsidTr="00D52100">
        <w:trPr>
          <w:trHeight w:val="227"/>
        </w:trPr>
        <w:tc>
          <w:tcPr>
            <w:tcW w:w="466" w:type="pct"/>
            <w:tcBorders>
              <w:top w:val="nil"/>
              <w:left w:val="single" w:sz="8" w:space="0" w:color="9BBB59"/>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55.</w:t>
            </w:r>
          </w:p>
        </w:tc>
        <w:tc>
          <w:tcPr>
            <w:tcW w:w="1435" w:type="pct"/>
            <w:tcBorders>
              <w:top w:val="single" w:sz="8" w:space="0" w:color="9BBB59"/>
              <w:left w:val="nil"/>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Javna uprava</w:t>
            </w:r>
          </w:p>
        </w:tc>
        <w:tc>
          <w:tcPr>
            <w:tcW w:w="2439" w:type="pct"/>
            <w:tcBorders>
              <w:top w:val="single" w:sz="8" w:space="0" w:color="9BBB59"/>
              <w:left w:val="nil"/>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Gospodarska pomoč tujini</w:t>
            </w:r>
          </w:p>
        </w:tc>
        <w:tc>
          <w:tcPr>
            <w:tcW w:w="660" w:type="pct"/>
            <w:tcBorders>
              <w:top w:val="single" w:sz="8" w:space="0" w:color="9BBB59"/>
              <w:left w:val="nil"/>
              <w:bottom w:val="single" w:sz="8" w:space="0" w:color="9BBB59"/>
              <w:right w:val="single" w:sz="8" w:space="0" w:color="9BBB59"/>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12,8</w:t>
            </w:r>
          </w:p>
        </w:tc>
      </w:tr>
      <w:tr w:rsidR="00A0754F" w:rsidRPr="00A0754F" w:rsidTr="00D52100">
        <w:trPr>
          <w:trHeight w:val="227"/>
        </w:trPr>
        <w:tc>
          <w:tcPr>
            <w:tcW w:w="466" w:type="pct"/>
            <w:tcBorders>
              <w:top w:val="nil"/>
              <w:left w:val="single" w:sz="8" w:space="0" w:color="9BBB59"/>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56.</w:t>
            </w:r>
          </w:p>
        </w:tc>
        <w:tc>
          <w:tcPr>
            <w:tcW w:w="1435" w:type="pct"/>
            <w:tcBorders>
              <w:top w:val="nil"/>
              <w:left w:val="nil"/>
              <w:bottom w:val="nil"/>
              <w:right w:val="nil"/>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Socialna zaščita</w:t>
            </w:r>
          </w:p>
        </w:tc>
        <w:tc>
          <w:tcPr>
            <w:tcW w:w="2439" w:type="pct"/>
            <w:tcBorders>
              <w:top w:val="nil"/>
              <w:left w:val="nil"/>
              <w:bottom w:val="nil"/>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Stanovanja</w:t>
            </w:r>
          </w:p>
        </w:tc>
        <w:tc>
          <w:tcPr>
            <w:tcW w:w="660" w:type="pct"/>
            <w:tcBorders>
              <w:top w:val="nil"/>
              <w:left w:val="nil"/>
              <w:bottom w:val="nil"/>
              <w:right w:val="single" w:sz="8" w:space="0" w:color="9BBB59"/>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9,1</w:t>
            </w:r>
          </w:p>
        </w:tc>
      </w:tr>
      <w:tr w:rsidR="00A0754F" w:rsidRPr="00A0754F" w:rsidTr="00D52100">
        <w:trPr>
          <w:trHeight w:val="227"/>
        </w:trPr>
        <w:tc>
          <w:tcPr>
            <w:tcW w:w="466" w:type="pct"/>
            <w:tcBorders>
              <w:top w:val="nil"/>
              <w:left w:val="single" w:sz="8" w:space="0" w:color="9BBB59"/>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57.</w:t>
            </w:r>
          </w:p>
        </w:tc>
        <w:tc>
          <w:tcPr>
            <w:tcW w:w="1435" w:type="pct"/>
            <w:tcBorders>
              <w:top w:val="single" w:sz="8" w:space="0" w:color="9BBB59"/>
              <w:left w:val="nil"/>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Rekreacija, kultura in religija</w:t>
            </w:r>
          </w:p>
        </w:tc>
        <w:tc>
          <w:tcPr>
            <w:tcW w:w="2439" w:type="pct"/>
            <w:tcBorders>
              <w:top w:val="single" w:sz="8" w:space="0" w:color="9BBB59"/>
              <w:left w:val="nil"/>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Raziskave in razvoj na področju rekreacije, kulture in religije</w:t>
            </w:r>
          </w:p>
        </w:tc>
        <w:tc>
          <w:tcPr>
            <w:tcW w:w="660" w:type="pct"/>
            <w:tcBorders>
              <w:top w:val="single" w:sz="8" w:space="0" w:color="9BBB59"/>
              <w:left w:val="nil"/>
              <w:bottom w:val="single" w:sz="8" w:space="0" w:color="9BBB59"/>
              <w:right w:val="single" w:sz="8" w:space="0" w:color="9BBB59"/>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9</w:t>
            </w:r>
          </w:p>
        </w:tc>
      </w:tr>
      <w:tr w:rsidR="00A0754F" w:rsidRPr="00A0754F" w:rsidTr="00D52100">
        <w:trPr>
          <w:trHeight w:val="227"/>
        </w:trPr>
        <w:tc>
          <w:tcPr>
            <w:tcW w:w="466" w:type="pct"/>
            <w:tcBorders>
              <w:top w:val="nil"/>
              <w:left w:val="single" w:sz="8" w:space="0" w:color="9BBB59"/>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58.</w:t>
            </w:r>
          </w:p>
        </w:tc>
        <w:tc>
          <w:tcPr>
            <w:tcW w:w="1435" w:type="pct"/>
            <w:tcBorders>
              <w:top w:val="nil"/>
              <w:left w:val="nil"/>
              <w:bottom w:val="nil"/>
              <w:right w:val="nil"/>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Ekonomske dejavnosti</w:t>
            </w:r>
          </w:p>
        </w:tc>
        <w:tc>
          <w:tcPr>
            <w:tcW w:w="2439" w:type="pct"/>
            <w:tcBorders>
              <w:top w:val="nil"/>
              <w:left w:val="nil"/>
              <w:bottom w:val="nil"/>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Komunikacije</w:t>
            </w:r>
          </w:p>
        </w:tc>
        <w:tc>
          <w:tcPr>
            <w:tcW w:w="660" w:type="pct"/>
            <w:tcBorders>
              <w:top w:val="nil"/>
              <w:left w:val="nil"/>
              <w:bottom w:val="nil"/>
              <w:right w:val="single" w:sz="8" w:space="0" w:color="9BBB59"/>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8,1</w:t>
            </w:r>
          </w:p>
        </w:tc>
      </w:tr>
      <w:tr w:rsidR="00A0754F" w:rsidRPr="00A0754F" w:rsidTr="00D52100">
        <w:trPr>
          <w:trHeight w:val="227"/>
        </w:trPr>
        <w:tc>
          <w:tcPr>
            <w:tcW w:w="466" w:type="pct"/>
            <w:tcBorders>
              <w:top w:val="nil"/>
              <w:left w:val="single" w:sz="8" w:space="0" w:color="9BBB59"/>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59.</w:t>
            </w:r>
          </w:p>
        </w:tc>
        <w:tc>
          <w:tcPr>
            <w:tcW w:w="1435" w:type="pct"/>
            <w:tcBorders>
              <w:top w:val="single" w:sz="8" w:space="0" w:color="9BBB59"/>
              <w:left w:val="nil"/>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Stanovanjske dejavnosti in urejanje okolja</w:t>
            </w:r>
          </w:p>
        </w:tc>
        <w:tc>
          <w:tcPr>
            <w:tcW w:w="2439" w:type="pct"/>
            <w:tcBorders>
              <w:top w:val="single" w:sz="8" w:space="0" w:color="9BBB59"/>
              <w:left w:val="nil"/>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Raziskave in razvoj na področju stanovanjskih dejavnosti in urejanja okolja</w:t>
            </w:r>
          </w:p>
        </w:tc>
        <w:tc>
          <w:tcPr>
            <w:tcW w:w="660" w:type="pct"/>
            <w:tcBorders>
              <w:top w:val="single" w:sz="8" w:space="0" w:color="9BBB59"/>
              <w:left w:val="nil"/>
              <w:bottom w:val="single" w:sz="8" w:space="0" w:color="9BBB59"/>
              <w:right w:val="single" w:sz="8" w:space="0" w:color="9BBB59"/>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6,4</w:t>
            </w:r>
          </w:p>
        </w:tc>
      </w:tr>
      <w:tr w:rsidR="00A0754F" w:rsidRPr="00A0754F" w:rsidTr="00D52100">
        <w:trPr>
          <w:trHeight w:val="227"/>
        </w:trPr>
        <w:tc>
          <w:tcPr>
            <w:tcW w:w="466" w:type="pct"/>
            <w:tcBorders>
              <w:top w:val="nil"/>
              <w:left w:val="single" w:sz="8" w:space="0" w:color="9BBB59"/>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60.</w:t>
            </w:r>
          </w:p>
        </w:tc>
        <w:tc>
          <w:tcPr>
            <w:tcW w:w="1435" w:type="pct"/>
            <w:tcBorders>
              <w:top w:val="nil"/>
              <w:left w:val="nil"/>
              <w:bottom w:val="nil"/>
              <w:right w:val="nil"/>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Ekonomske dejavnosti</w:t>
            </w:r>
          </w:p>
        </w:tc>
        <w:tc>
          <w:tcPr>
            <w:tcW w:w="2439" w:type="pct"/>
            <w:tcBorders>
              <w:top w:val="nil"/>
              <w:left w:val="nil"/>
              <w:bottom w:val="nil"/>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Rudarstvo, predelovalne dejavnosti in gradbeništvo</w:t>
            </w:r>
          </w:p>
        </w:tc>
        <w:tc>
          <w:tcPr>
            <w:tcW w:w="660" w:type="pct"/>
            <w:tcBorders>
              <w:top w:val="nil"/>
              <w:left w:val="nil"/>
              <w:bottom w:val="nil"/>
              <w:right w:val="single" w:sz="8" w:space="0" w:color="9BBB59"/>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6,3</w:t>
            </w:r>
          </w:p>
        </w:tc>
      </w:tr>
      <w:tr w:rsidR="00A0754F" w:rsidRPr="00A0754F" w:rsidTr="00D52100">
        <w:trPr>
          <w:trHeight w:val="227"/>
        </w:trPr>
        <w:tc>
          <w:tcPr>
            <w:tcW w:w="466" w:type="pct"/>
            <w:tcBorders>
              <w:top w:val="nil"/>
              <w:left w:val="single" w:sz="8" w:space="0" w:color="9BBB59"/>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61.</w:t>
            </w:r>
          </w:p>
        </w:tc>
        <w:tc>
          <w:tcPr>
            <w:tcW w:w="1435" w:type="pct"/>
            <w:tcBorders>
              <w:top w:val="single" w:sz="8" w:space="0" w:color="9BBB59"/>
              <w:left w:val="nil"/>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Stanovanjske dejavnosti in urejanje okolja</w:t>
            </w:r>
          </w:p>
        </w:tc>
        <w:tc>
          <w:tcPr>
            <w:tcW w:w="2439" w:type="pct"/>
            <w:tcBorders>
              <w:top w:val="single" w:sz="8" w:space="0" w:color="9BBB59"/>
              <w:left w:val="nil"/>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Druge dejavnosti s področja stanovanjske dejavnosti in urejanja okolja</w:t>
            </w:r>
          </w:p>
        </w:tc>
        <w:tc>
          <w:tcPr>
            <w:tcW w:w="660" w:type="pct"/>
            <w:tcBorders>
              <w:top w:val="single" w:sz="8" w:space="0" w:color="9BBB59"/>
              <w:left w:val="nil"/>
              <w:bottom w:val="single" w:sz="8" w:space="0" w:color="9BBB59"/>
              <w:right w:val="single" w:sz="8" w:space="0" w:color="9BBB59"/>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6,3</w:t>
            </w:r>
          </w:p>
        </w:tc>
      </w:tr>
      <w:tr w:rsidR="00A0754F" w:rsidRPr="00A0754F" w:rsidTr="00D52100">
        <w:trPr>
          <w:trHeight w:val="227"/>
        </w:trPr>
        <w:tc>
          <w:tcPr>
            <w:tcW w:w="466" w:type="pct"/>
            <w:tcBorders>
              <w:top w:val="nil"/>
              <w:left w:val="single" w:sz="8" w:space="0" w:color="9BBB59"/>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62.</w:t>
            </w:r>
          </w:p>
        </w:tc>
        <w:tc>
          <w:tcPr>
            <w:tcW w:w="1435" w:type="pct"/>
            <w:tcBorders>
              <w:top w:val="nil"/>
              <w:left w:val="nil"/>
              <w:bottom w:val="nil"/>
              <w:right w:val="nil"/>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Javna uprava</w:t>
            </w:r>
          </w:p>
        </w:tc>
        <w:tc>
          <w:tcPr>
            <w:tcW w:w="2439" w:type="pct"/>
            <w:tcBorders>
              <w:top w:val="nil"/>
              <w:left w:val="nil"/>
              <w:bottom w:val="nil"/>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Raziskave in razvoj na področju javne uprave</w:t>
            </w:r>
          </w:p>
        </w:tc>
        <w:tc>
          <w:tcPr>
            <w:tcW w:w="660" w:type="pct"/>
            <w:tcBorders>
              <w:top w:val="nil"/>
              <w:left w:val="nil"/>
              <w:bottom w:val="nil"/>
              <w:right w:val="single" w:sz="8" w:space="0" w:color="9BBB59"/>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3,2</w:t>
            </w:r>
          </w:p>
        </w:tc>
      </w:tr>
      <w:tr w:rsidR="00A0754F" w:rsidRPr="00A0754F" w:rsidTr="00D52100">
        <w:trPr>
          <w:trHeight w:val="227"/>
        </w:trPr>
        <w:tc>
          <w:tcPr>
            <w:tcW w:w="466" w:type="pct"/>
            <w:tcBorders>
              <w:top w:val="nil"/>
              <w:left w:val="single" w:sz="8" w:space="0" w:color="9BBB59"/>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63.</w:t>
            </w:r>
          </w:p>
        </w:tc>
        <w:tc>
          <w:tcPr>
            <w:tcW w:w="1435" w:type="pct"/>
            <w:tcBorders>
              <w:top w:val="single" w:sz="8" w:space="0" w:color="9BBB59"/>
              <w:left w:val="nil"/>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Javni red in varnost</w:t>
            </w:r>
          </w:p>
        </w:tc>
        <w:tc>
          <w:tcPr>
            <w:tcW w:w="2439" w:type="pct"/>
            <w:tcBorders>
              <w:top w:val="single" w:sz="8" w:space="0" w:color="9BBB59"/>
              <w:left w:val="nil"/>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Raziskave in razvoj na področju javnega reda in varnosti</w:t>
            </w:r>
          </w:p>
        </w:tc>
        <w:tc>
          <w:tcPr>
            <w:tcW w:w="660" w:type="pct"/>
            <w:tcBorders>
              <w:top w:val="single" w:sz="8" w:space="0" w:color="9BBB59"/>
              <w:left w:val="nil"/>
              <w:bottom w:val="single" w:sz="8" w:space="0" w:color="9BBB59"/>
              <w:right w:val="single" w:sz="8" w:space="0" w:color="9BBB59"/>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0,6</w:t>
            </w:r>
          </w:p>
        </w:tc>
      </w:tr>
      <w:tr w:rsidR="00A0754F" w:rsidRPr="00A0754F" w:rsidTr="00D52100">
        <w:trPr>
          <w:trHeight w:val="227"/>
        </w:trPr>
        <w:tc>
          <w:tcPr>
            <w:tcW w:w="466" w:type="pct"/>
            <w:tcBorders>
              <w:top w:val="nil"/>
              <w:left w:val="single" w:sz="8" w:space="0" w:color="9BBB59"/>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64.</w:t>
            </w:r>
          </w:p>
        </w:tc>
        <w:tc>
          <w:tcPr>
            <w:tcW w:w="1435" w:type="pct"/>
            <w:tcBorders>
              <w:top w:val="nil"/>
              <w:left w:val="nil"/>
              <w:bottom w:val="nil"/>
              <w:right w:val="nil"/>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Socialna zaščita</w:t>
            </w:r>
          </w:p>
        </w:tc>
        <w:tc>
          <w:tcPr>
            <w:tcW w:w="2439" w:type="pct"/>
            <w:tcBorders>
              <w:top w:val="nil"/>
              <w:left w:val="nil"/>
              <w:bottom w:val="nil"/>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Raziskave in razvoj na področju socialne zaščite</w:t>
            </w:r>
          </w:p>
        </w:tc>
        <w:tc>
          <w:tcPr>
            <w:tcW w:w="660" w:type="pct"/>
            <w:tcBorders>
              <w:top w:val="nil"/>
              <w:left w:val="nil"/>
              <w:bottom w:val="nil"/>
              <w:right w:val="single" w:sz="8" w:space="0" w:color="9BBB59"/>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0,1</w:t>
            </w:r>
          </w:p>
        </w:tc>
      </w:tr>
      <w:tr w:rsidR="00A0754F" w:rsidRPr="00A0754F" w:rsidTr="00D52100">
        <w:trPr>
          <w:trHeight w:val="227"/>
        </w:trPr>
        <w:tc>
          <w:tcPr>
            <w:tcW w:w="466" w:type="pct"/>
            <w:tcBorders>
              <w:top w:val="nil"/>
              <w:left w:val="single" w:sz="8" w:space="0" w:color="9BBB59"/>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65.</w:t>
            </w:r>
          </w:p>
        </w:tc>
        <w:tc>
          <w:tcPr>
            <w:tcW w:w="1435" w:type="pct"/>
            <w:tcBorders>
              <w:top w:val="single" w:sz="8" w:space="0" w:color="9BBB59"/>
              <w:left w:val="nil"/>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Izobraževanje</w:t>
            </w:r>
          </w:p>
        </w:tc>
        <w:tc>
          <w:tcPr>
            <w:tcW w:w="2439" w:type="pct"/>
            <w:tcBorders>
              <w:top w:val="single" w:sz="8" w:space="0" w:color="9BBB59"/>
              <w:left w:val="nil"/>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Raziskave in razvoj na področju izobraževanja</w:t>
            </w:r>
          </w:p>
        </w:tc>
        <w:tc>
          <w:tcPr>
            <w:tcW w:w="660" w:type="pct"/>
            <w:tcBorders>
              <w:top w:val="single" w:sz="8" w:space="0" w:color="9BBB59"/>
              <w:left w:val="nil"/>
              <w:bottom w:val="single" w:sz="8" w:space="0" w:color="9BBB59"/>
              <w:right w:val="single" w:sz="8" w:space="0" w:color="9BBB59"/>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0,1</w:t>
            </w:r>
          </w:p>
        </w:tc>
      </w:tr>
      <w:tr w:rsidR="00A0754F" w:rsidRPr="00A0754F" w:rsidTr="00D52100">
        <w:trPr>
          <w:trHeight w:val="227"/>
        </w:trPr>
        <w:tc>
          <w:tcPr>
            <w:tcW w:w="466" w:type="pct"/>
            <w:tcBorders>
              <w:top w:val="nil"/>
              <w:left w:val="single" w:sz="8" w:space="0" w:color="9BBB59"/>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66.</w:t>
            </w:r>
          </w:p>
        </w:tc>
        <w:tc>
          <w:tcPr>
            <w:tcW w:w="1435" w:type="pct"/>
            <w:tcBorders>
              <w:top w:val="nil"/>
              <w:left w:val="nil"/>
              <w:bottom w:val="nil"/>
              <w:right w:val="nil"/>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Ekonomske dejavnosti</w:t>
            </w:r>
          </w:p>
        </w:tc>
        <w:tc>
          <w:tcPr>
            <w:tcW w:w="2439" w:type="pct"/>
            <w:tcBorders>
              <w:top w:val="nil"/>
              <w:left w:val="nil"/>
              <w:bottom w:val="nil"/>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Druge ekonomske dejavnosti</w:t>
            </w:r>
          </w:p>
        </w:tc>
        <w:tc>
          <w:tcPr>
            <w:tcW w:w="660" w:type="pct"/>
            <w:tcBorders>
              <w:top w:val="nil"/>
              <w:left w:val="nil"/>
              <w:bottom w:val="nil"/>
              <w:right w:val="single" w:sz="8" w:space="0" w:color="9BBB59"/>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0,1</w:t>
            </w:r>
          </w:p>
        </w:tc>
      </w:tr>
      <w:tr w:rsidR="00A0754F" w:rsidRPr="00A0754F" w:rsidTr="00D52100">
        <w:trPr>
          <w:trHeight w:val="227"/>
        </w:trPr>
        <w:tc>
          <w:tcPr>
            <w:tcW w:w="466" w:type="pct"/>
            <w:tcBorders>
              <w:top w:val="nil"/>
              <w:left w:val="single" w:sz="8" w:space="0" w:color="9BBB59"/>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67.</w:t>
            </w:r>
          </w:p>
        </w:tc>
        <w:tc>
          <w:tcPr>
            <w:tcW w:w="1435" w:type="pct"/>
            <w:tcBorders>
              <w:top w:val="single" w:sz="8" w:space="0" w:color="9BBB59"/>
              <w:left w:val="nil"/>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Javna uprava</w:t>
            </w:r>
          </w:p>
        </w:tc>
        <w:tc>
          <w:tcPr>
            <w:tcW w:w="2439" w:type="pct"/>
            <w:tcBorders>
              <w:top w:val="single" w:sz="8" w:space="0" w:color="9BBB59"/>
              <w:left w:val="nil"/>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Splošni transferji med različnimi ravnmi države</w:t>
            </w:r>
          </w:p>
        </w:tc>
        <w:tc>
          <w:tcPr>
            <w:tcW w:w="660" w:type="pct"/>
            <w:tcBorders>
              <w:top w:val="single" w:sz="8" w:space="0" w:color="9BBB59"/>
              <w:left w:val="nil"/>
              <w:bottom w:val="single" w:sz="8" w:space="0" w:color="9BBB59"/>
              <w:right w:val="single" w:sz="8" w:space="0" w:color="9BBB59"/>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0</w:t>
            </w:r>
          </w:p>
        </w:tc>
      </w:tr>
      <w:tr w:rsidR="00A0754F" w:rsidRPr="00A0754F" w:rsidTr="00D52100">
        <w:trPr>
          <w:trHeight w:val="227"/>
        </w:trPr>
        <w:tc>
          <w:tcPr>
            <w:tcW w:w="466" w:type="pct"/>
            <w:tcBorders>
              <w:top w:val="nil"/>
              <w:left w:val="single" w:sz="8" w:space="0" w:color="9BBB59"/>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68.</w:t>
            </w:r>
          </w:p>
        </w:tc>
        <w:tc>
          <w:tcPr>
            <w:tcW w:w="1435" w:type="pct"/>
            <w:tcBorders>
              <w:top w:val="nil"/>
              <w:left w:val="nil"/>
              <w:bottom w:val="nil"/>
              <w:right w:val="nil"/>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Obramba</w:t>
            </w:r>
          </w:p>
        </w:tc>
        <w:tc>
          <w:tcPr>
            <w:tcW w:w="2439" w:type="pct"/>
            <w:tcBorders>
              <w:top w:val="nil"/>
              <w:left w:val="nil"/>
              <w:bottom w:val="nil"/>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Raziskave in razvoj na področju obrambe</w:t>
            </w:r>
          </w:p>
        </w:tc>
        <w:tc>
          <w:tcPr>
            <w:tcW w:w="660" w:type="pct"/>
            <w:tcBorders>
              <w:top w:val="nil"/>
              <w:left w:val="nil"/>
              <w:bottom w:val="nil"/>
              <w:right w:val="single" w:sz="8" w:space="0" w:color="9BBB59"/>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0</w:t>
            </w:r>
          </w:p>
        </w:tc>
      </w:tr>
      <w:tr w:rsidR="00A0754F" w:rsidRPr="00A0754F" w:rsidTr="00D52100">
        <w:trPr>
          <w:trHeight w:val="227"/>
        </w:trPr>
        <w:tc>
          <w:tcPr>
            <w:tcW w:w="466" w:type="pct"/>
            <w:tcBorders>
              <w:top w:val="nil"/>
              <w:left w:val="single" w:sz="8" w:space="0" w:color="9BBB59"/>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69.</w:t>
            </w:r>
          </w:p>
        </w:tc>
        <w:tc>
          <w:tcPr>
            <w:tcW w:w="1435" w:type="pct"/>
            <w:tcBorders>
              <w:top w:val="single" w:sz="8" w:space="0" w:color="9BBB59"/>
              <w:left w:val="nil"/>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Izobraževanje</w:t>
            </w:r>
          </w:p>
        </w:tc>
        <w:tc>
          <w:tcPr>
            <w:tcW w:w="2439" w:type="pct"/>
            <w:tcBorders>
              <w:top w:val="single" w:sz="8" w:space="0" w:color="9BBB59"/>
              <w:left w:val="nil"/>
              <w:bottom w:val="single" w:sz="8" w:space="0" w:color="9BBB59"/>
              <w:right w:val="nil"/>
            </w:tcBorders>
            <w:shd w:val="clear" w:color="auto" w:fill="auto"/>
            <w:hideMark/>
          </w:tcPr>
          <w:p w:rsidR="00A0754F" w:rsidRPr="00A0754F" w:rsidRDefault="00A0754F" w:rsidP="00A0754F">
            <w:pPr>
              <w:spacing w:after="0" w:line="240" w:lineRule="auto"/>
              <w:rPr>
                <w:rFonts w:ascii="Arial Narrow" w:hAnsi="Arial Narrow"/>
                <w:b/>
                <w:bCs/>
                <w:color w:val="000000"/>
                <w:sz w:val="16"/>
                <w:szCs w:val="16"/>
                <w:lang w:eastAsia="sl-SI"/>
              </w:rPr>
            </w:pPr>
            <w:r w:rsidRPr="00A0754F">
              <w:rPr>
                <w:rFonts w:ascii="Arial Narrow" w:hAnsi="Arial Narrow"/>
                <w:b/>
                <w:bCs/>
                <w:color w:val="000000"/>
                <w:sz w:val="16"/>
                <w:szCs w:val="16"/>
                <w:lang w:eastAsia="sl-SI"/>
              </w:rPr>
              <w:t xml:space="preserve">Post-sekundarno </w:t>
            </w:r>
            <w:proofErr w:type="spellStart"/>
            <w:r w:rsidRPr="00A0754F">
              <w:rPr>
                <w:rFonts w:ascii="Arial Narrow" w:hAnsi="Arial Narrow"/>
                <w:b/>
                <w:bCs/>
                <w:color w:val="000000"/>
                <w:sz w:val="16"/>
                <w:szCs w:val="16"/>
                <w:lang w:eastAsia="sl-SI"/>
              </w:rPr>
              <w:t>neterciarno</w:t>
            </w:r>
            <w:proofErr w:type="spellEnd"/>
            <w:r w:rsidRPr="00A0754F">
              <w:rPr>
                <w:rFonts w:ascii="Arial Narrow" w:hAnsi="Arial Narrow"/>
                <w:b/>
                <w:bCs/>
                <w:color w:val="000000"/>
                <w:sz w:val="16"/>
                <w:szCs w:val="16"/>
                <w:lang w:eastAsia="sl-SI"/>
              </w:rPr>
              <w:t xml:space="preserve"> izobraževanje</w:t>
            </w:r>
          </w:p>
        </w:tc>
        <w:tc>
          <w:tcPr>
            <w:tcW w:w="660" w:type="pct"/>
            <w:tcBorders>
              <w:top w:val="single" w:sz="8" w:space="0" w:color="9BBB59"/>
              <w:left w:val="nil"/>
              <w:bottom w:val="single" w:sz="8" w:space="0" w:color="9BBB59"/>
              <w:right w:val="single" w:sz="8" w:space="0" w:color="9BBB59"/>
            </w:tcBorders>
            <w:shd w:val="clear" w:color="auto" w:fill="auto"/>
            <w:hideMark/>
          </w:tcPr>
          <w:p w:rsidR="00A0754F" w:rsidRPr="00A0754F" w:rsidRDefault="00A0754F" w:rsidP="00A0754F">
            <w:pPr>
              <w:spacing w:after="0" w:line="240" w:lineRule="auto"/>
              <w:rPr>
                <w:rFonts w:ascii="Arial Narrow" w:hAnsi="Arial Narrow"/>
                <w:color w:val="000000"/>
                <w:sz w:val="16"/>
                <w:szCs w:val="16"/>
                <w:lang w:eastAsia="sl-SI"/>
              </w:rPr>
            </w:pPr>
            <w:r w:rsidRPr="00A0754F">
              <w:rPr>
                <w:rFonts w:ascii="Arial Narrow" w:hAnsi="Arial Narrow"/>
                <w:color w:val="000000"/>
                <w:sz w:val="16"/>
                <w:szCs w:val="16"/>
                <w:lang w:eastAsia="sl-SI"/>
              </w:rPr>
              <w:t>0</w:t>
            </w:r>
          </w:p>
        </w:tc>
      </w:tr>
    </w:tbl>
    <w:p w:rsidR="00436259" w:rsidRPr="00431E24" w:rsidRDefault="00431E24" w:rsidP="00DE1E54">
      <w:pPr>
        <w:pStyle w:val="Podpispodtabeloaligrafom"/>
        <w:spacing w:after="0"/>
      </w:pPr>
      <w:r w:rsidRPr="00431E24">
        <w:t>Vir: Statis</w:t>
      </w:r>
      <w:r w:rsidR="0094796B">
        <w:t>tični urad Republike Slovenije.</w:t>
      </w:r>
    </w:p>
    <w:p w:rsidR="00BD08B7" w:rsidRDefault="00BD08B7" w:rsidP="00DE1E54">
      <w:pPr>
        <w:pStyle w:val="Podpispodtabeloaligrafom"/>
        <w:spacing w:after="0"/>
      </w:pPr>
      <w:r>
        <w:t>* Državni proračun in lokalni proračuni skupaj.</w:t>
      </w:r>
    </w:p>
    <w:p w:rsidR="00BD08B7" w:rsidRDefault="00A071AF" w:rsidP="00ED675A">
      <w:pPr>
        <w:pStyle w:val="Podpispodtabeloaligrafom"/>
      </w:pPr>
      <w:r w:rsidRPr="00A071AF">
        <w:rPr>
          <w:vertAlign w:val="superscript"/>
        </w:rPr>
        <w:t>1</w:t>
      </w:r>
      <w:r w:rsidR="00ED675A">
        <w:t xml:space="preserve"> Pri izdatkih za to področje ne gre za financiranje delovanja inštitucij, ki sestavljajo javno zdravstveno službo (npr. zdravstvenih domov, bolnišnic ipd.), kot bi bilo mogoče sklepati iz poimenovanja, temveč za financiranje t.i. javnega zdravja, področja, ki obsega zlasti preventivne dejavnosti (načrtovanje rojstev, cepljenja, sistematski pregledi, ozaveščanje), spremljanje pojavljanja določenih bolezni (npr. nalezljivih bolezni, kroničnih bolezni), transfuzijsko dejavnost, epidemiološke raziskave ipd.</w:t>
      </w:r>
    </w:p>
    <w:p w:rsidR="00DB6BD5" w:rsidRDefault="008D728F" w:rsidP="004352C0">
      <w:r>
        <w:t>V tabeli 8</w:t>
      </w:r>
      <w:r w:rsidR="006F53FE">
        <w:t xml:space="preserve"> prikazujemo, kater</w:t>
      </w:r>
      <w:r w:rsidR="001D666C">
        <w:t>e</w:t>
      </w:r>
      <w:r w:rsidR="006F53FE">
        <w:t xml:space="preserve"> </w:t>
      </w:r>
      <w:r w:rsidR="001D666C">
        <w:t>dejavnosti</w:t>
      </w:r>
      <w:r w:rsidR="006F53FE">
        <w:t xml:space="preserve"> so v obdobju 2008–2015 </w:t>
      </w:r>
      <w:r w:rsidR="001D666C">
        <w:t xml:space="preserve">svoja </w:t>
      </w:r>
      <w:r w:rsidR="006F53FE">
        <w:t>mesta ohranil</w:t>
      </w:r>
      <w:r w:rsidR="001D666C">
        <w:t>e</w:t>
      </w:r>
      <w:r w:rsidR="006F53FE">
        <w:t>, pridobil</w:t>
      </w:r>
      <w:r w:rsidR="001D666C">
        <w:t>e</w:t>
      </w:r>
      <w:r w:rsidR="006F53FE">
        <w:t xml:space="preserve"> oz.</w:t>
      </w:r>
      <w:r w:rsidR="001D666C">
        <w:t xml:space="preserve"> izgubile. Svoj položaj je izboljšalo 30 dejavnosti, ohranilo 4, poslabšalo pa 35.</w:t>
      </w:r>
      <w:r w:rsidR="00D42823">
        <w:t xml:space="preserve"> Kulturne storitve so izgubile eno mesto, kar drži tudi za bolnišnične storitve, različne stopnje izobraževanja, temeljne in druge raziskave, sodišča in druge pravosodne organe, policijo ter ukrepe za družine in otroke. </w:t>
      </w:r>
      <w:r w:rsidR="00497F53">
        <w:t xml:space="preserve">Storitve radia, televizije in založništva so </w:t>
      </w:r>
      <w:r w:rsidR="00345F6A">
        <w:t xml:space="preserve">uvrščene </w:t>
      </w:r>
      <w:r w:rsidR="00497F53">
        <w:t xml:space="preserve">nižje za tri mesta; med tistimi, ki so izgubili več </w:t>
      </w:r>
      <w:r w:rsidR="00A3789D">
        <w:t>mest od njih</w:t>
      </w:r>
      <w:r w:rsidR="00497F53">
        <w:t>, kaže omeniti prostorski razvoj (4 mesta nižje kot leta 2008), vojaško obrambo (7 mest nižje), varstvo biološke raznovrstnosti in krajine (10 mest nižje), stanovanjske dejavnosti (17 mest nižje) in komunikacije, ki so izgubile največ, 31 mest</w:t>
      </w:r>
      <w:r w:rsidR="00345F6A">
        <w:t>.</w:t>
      </w:r>
      <w:r w:rsidR="00345F6A">
        <w:rPr>
          <w:highlight w:val="cyan"/>
        </w:rPr>
        <w:t xml:space="preserve"> </w:t>
      </w:r>
    </w:p>
    <w:p w:rsidR="006F53FE" w:rsidRDefault="001D666C" w:rsidP="00A3789D">
      <w:pPr>
        <w:pStyle w:val="Naslovtabele"/>
      </w:pPr>
      <w:bookmarkStart w:id="89" w:name="_Toc490053353"/>
      <w:bookmarkStart w:id="90" w:name="_Toc490053724"/>
      <w:bookmarkStart w:id="91" w:name="_Toc490599996"/>
      <w:r>
        <w:lastRenderedPageBreak/>
        <w:t>Tabela</w:t>
      </w:r>
      <w:r w:rsidR="004C72B7">
        <w:t xml:space="preserve"> 8</w:t>
      </w:r>
      <w:r>
        <w:t xml:space="preserve">: </w:t>
      </w:r>
      <w:r w:rsidR="00D42823">
        <w:t xml:space="preserve">Primerjava </w:t>
      </w:r>
      <w:r w:rsidR="00C01D75">
        <w:t>mest na hierarhični lestvici javnih izdatkov (2008 in 2015)</w:t>
      </w:r>
      <w:bookmarkEnd w:id="89"/>
      <w:bookmarkEnd w:id="90"/>
      <w:bookmarkEnd w:id="91"/>
    </w:p>
    <w:tbl>
      <w:tblPr>
        <w:tblStyle w:val="ListTable3-Accent31"/>
        <w:tblW w:w="5000" w:type="pct"/>
        <w:tblLayout w:type="fixed"/>
        <w:tblLook w:val="04A0" w:firstRow="1" w:lastRow="0" w:firstColumn="1" w:lastColumn="0" w:noHBand="0" w:noVBand="1"/>
      </w:tblPr>
      <w:tblGrid>
        <w:gridCol w:w="3937"/>
        <w:gridCol w:w="1983"/>
        <w:gridCol w:w="1700"/>
        <w:gridCol w:w="2336"/>
      </w:tblGrid>
      <w:tr w:rsidR="00A071AF" w:rsidRPr="001D666C" w:rsidTr="00A071AF">
        <w:trPr>
          <w:cnfStyle w:val="100000000000" w:firstRow="1" w:lastRow="0" w:firstColumn="0" w:lastColumn="0" w:oddVBand="0" w:evenVBand="0" w:oddHBand="0" w:evenHBand="0" w:firstRowFirstColumn="0" w:firstRowLastColumn="0" w:lastRowFirstColumn="0" w:lastRowLastColumn="0"/>
          <w:trHeight w:hRule="exact" w:val="577"/>
        </w:trPr>
        <w:tc>
          <w:tcPr>
            <w:cnfStyle w:val="001000000100" w:firstRow="0" w:lastRow="0" w:firstColumn="1" w:lastColumn="0" w:oddVBand="0" w:evenVBand="0" w:oddHBand="0" w:evenHBand="0" w:firstRowFirstColumn="1" w:firstRowLastColumn="0" w:lastRowFirstColumn="0" w:lastRowLastColumn="0"/>
            <w:tcW w:w="1977" w:type="pct"/>
            <w:hideMark/>
          </w:tcPr>
          <w:p w:rsidR="001D666C" w:rsidRPr="001D666C" w:rsidRDefault="001D666C" w:rsidP="001D666C">
            <w:pPr>
              <w:spacing w:after="0" w:line="240" w:lineRule="auto"/>
              <w:rPr>
                <w:rFonts w:ascii="Arial Narrow" w:hAnsi="Arial Narrow"/>
                <w:color w:val="FFFFFF"/>
                <w:sz w:val="16"/>
                <w:szCs w:val="16"/>
                <w:lang w:eastAsia="sl-SI"/>
              </w:rPr>
            </w:pPr>
            <w:r w:rsidRPr="001D666C">
              <w:rPr>
                <w:rFonts w:ascii="Arial Narrow" w:hAnsi="Arial Narrow"/>
                <w:color w:val="FFFFFF"/>
                <w:sz w:val="16"/>
                <w:szCs w:val="16"/>
                <w:lang w:eastAsia="sl-SI"/>
              </w:rPr>
              <w:t>Oddelek (raven 2) po metodologiji COFOG</w:t>
            </w:r>
          </w:p>
        </w:tc>
        <w:tc>
          <w:tcPr>
            <w:tcW w:w="996" w:type="pct"/>
            <w:noWrap/>
            <w:hideMark/>
          </w:tcPr>
          <w:p w:rsidR="001D666C" w:rsidRPr="001D666C" w:rsidRDefault="00D42823" w:rsidP="001D666C">
            <w:pPr>
              <w:spacing w:after="0" w:line="240" w:lineRule="auto"/>
              <w:cnfStyle w:val="100000000000" w:firstRow="1" w:lastRow="0" w:firstColumn="0" w:lastColumn="0" w:oddVBand="0" w:evenVBand="0" w:oddHBand="0" w:evenHBand="0" w:firstRowFirstColumn="0" w:firstRowLastColumn="0" w:lastRowFirstColumn="0" w:lastRowLastColumn="0"/>
              <w:rPr>
                <w:rFonts w:ascii="Arial Narrow" w:hAnsi="Arial Narrow"/>
                <w:color w:val="FFFFFF"/>
                <w:sz w:val="16"/>
                <w:szCs w:val="16"/>
                <w:lang w:eastAsia="sl-SI"/>
              </w:rPr>
            </w:pPr>
            <w:r>
              <w:rPr>
                <w:rFonts w:ascii="Arial Narrow" w:hAnsi="Arial Narrow"/>
                <w:color w:val="FFFFFF"/>
                <w:sz w:val="16"/>
                <w:szCs w:val="16"/>
                <w:lang w:eastAsia="sl-SI"/>
              </w:rPr>
              <w:t xml:space="preserve">Vrstni red leta </w:t>
            </w:r>
            <w:r w:rsidR="001D666C" w:rsidRPr="001D666C">
              <w:rPr>
                <w:rFonts w:ascii="Arial Narrow" w:hAnsi="Arial Narrow"/>
                <w:color w:val="FFFFFF"/>
                <w:sz w:val="16"/>
                <w:szCs w:val="16"/>
                <w:lang w:eastAsia="sl-SI"/>
              </w:rPr>
              <w:t>2015</w:t>
            </w:r>
          </w:p>
        </w:tc>
        <w:tc>
          <w:tcPr>
            <w:tcW w:w="854" w:type="pct"/>
            <w:noWrap/>
            <w:hideMark/>
          </w:tcPr>
          <w:p w:rsidR="001D666C" w:rsidRPr="001D666C" w:rsidRDefault="00D42823" w:rsidP="00D42823">
            <w:pPr>
              <w:spacing w:after="0" w:line="240" w:lineRule="auto"/>
              <w:cnfStyle w:val="100000000000" w:firstRow="1" w:lastRow="0" w:firstColumn="0" w:lastColumn="0" w:oddVBand="0" w:evenVBand="0" w:oddHBand="0" w:evenHBand="0" w:firstRowFirstColumn="0" w:firstRowLastColumn="0" w:lastRowFirstColumn="0" w:lastRowLastColumn="0"/>
              <w:rPr>
                <w:rFonts w:ascii="Arial Narrow" w:hAnsi="Arial Narrow"/>
                <w:color w:val="FFFFFF"/>
                <w:sz w:val="16"/>
                <w:szCs w:val="16"/>
                <w:lang w:eastAsia="sl-SI"/>
              </w:rPr>
            </w:pPr>
            <w:r>
              <w:rPr>
                <w:rFonts w:ascii="Arial Narrow" w:hAnsi="Arial Narrow"/>
                <w:color w:val="FFFFFF"/>
                <w:sz w:val="16"/>
                <w:szCs w:val="16"/>
                <w:lang w:eastAsia="sl-SI"/>
              </w:rPr>
              <w:t xml:space="preserve">Vrstni red leta 2008 </w:t>
            </w:r>
          </w:p>
        </w:tc>
        <w:tc>
          <w:tcPr>
            <w:tcW w:w="1173" w:type="pct"/>
            <w:noWrap/>
            <w:hideMark/>
          </w:tcPr>
          <w:p w:rsidR="001D666C" w:rsidRPr="001D666C" w:rsidRDefault="001D666C" w:rsidP="006F54E8">
            <w:pPr>
              <w:spacing w:after="0" w:line="240" w:lineRule="auto"/>
              <w:cnfStyle w:val="100000000000" w:firstRow="1" w:lastRow="0" w:firstColumn="0" w:lastColumn="0" w:oddVBand="0" w:evenVBand="0" w:oddHBand="0" w:evenHBand="0" w:firstRowFirstColumn="0" w:firstRowLastColumn="0" w:lastRowFirstColumn="0" w:lastRowLastColumn="0"/>
              <w:rPr>
                <w:rFonts w:ascii="Arial Narrow" w:hAnsi="Arial Narrow"/>
                <w:color w:val="FFFFFF"/>
                <w:sz w:val="16"/>
                <w:szCs w:val="16"/>
                <w:lang w:eastAsia="sl-SI"/>
              </w:rPr>
            </w:pPr>
            <w:r w:rsidRPr="001D666C">
              <w:rPr>
                <w:rFonts w:ascii="Arial Narrow" w:hAnsi="Arial Narrow"/>
                <w:color w:val="FFFFFF"/>
                <w:sz w:val="16"/>
                <w:szCs w:val="16"/>
                <w:lang w:eastAsia="sl-SI"/>
              </w:rPr>
              <w:t xml:space="preserve">Razlika </w:t>
            </w:r>
            <w:r w:rsidR="00A071AF">
              <w:rPr>
                <w:rFonts w:ascii="Arial Narrow" w:hAnsi="Arial Narrow"/>
                <w:color w:val="FFFFFF"/>
                <w:sz w:val="16"/>
                <w:szCs w:val="16"/>
                <w:lang w:eastAsia="sl-SI"/>
              </w:rPr>
              <w:t xml:space="preserve">z vidika mesta na hierarhični lestvici, ki ga je </w:t>
            </w:r>
            <w:r w:rsidR="006F54E8">
              <w:rPr>
                <w:rFonts w:ascii="Arial Narrow" w:hAnsi="Arial Narrow"/>
                <w:color w:val="FFFFFF"/>
                <w:sz w:val="16"/>
                <w:szCs w:val="16"/>
                <w:lang w:eastAsia="sl-SI"/>
              </w:rPr>
              <w:t>zasedalo</w:t>
            </w:r>
            <w:r w:rsidR="00A071AF">
              <w:rPr>
                <w:rFonts w:ascii="Arial Narrow" w:hAnsi="Arial Narrow"/>
                <w:color w:val="FFFFFF"/>
                <w:sz w:val="16"/>
                <w:szCs w:val="16"/>
                <w:lang w:eastAsia="sl-SI"/>
              </w:rPr>
              <w:t xml:space="preserve"> področje leta 2008</w:t>
            </w:r>
          </w:p>
        </w:tc>
      </w:tr>
      <w:tr w:rsidR="00A071AF" w:rsidRPr="001D666C" w:rsidTr="00A071AF">
        <w:trPr>
          <w:cnfStyle w:val="000000100000" w:firstRow="0" w:lastRow="0" w:firstColumn="0" w:lastColumn="0" w:oddVBand="0" w:evenVBand="0" w:oddHBand="1" w:evenHBand="0" w:firstRowFirstColumn="0" w:firstRowLastColumn="0" w:lastRowFirstColumn="0" w:lastRowLastColumn="0"/>
          <w:trHeight w:hRule="exact" w:val="227"/>
        </w:trPr>
        <w:tc>
          <w:tcPr>
            <w:cnfStyle w:val="001000000000" w:firstRow="0" w:lastRow="0" w:firstColumn="1" w:lastColumn="0" w:oddVBand="0" w:evenVBand="0" w:oddHBand="0" w:evenHBand="0" w:firstRowFirstColumn="0" w:firstRowLastColumn="0" w:lastRowFirstColumn="0" w:lastRowLastColumn="0"/>
            <w:tcW w:w="1977" w:type="pct"/>
            <w:shd w:val="clear" w:color="auto" w:fill="D6E3BC" w:themeFill="accent3" w:themeFillTint="66"/>
            <w:hideMark/>
          </w:tcPr>
          <w:p w:rsidR="001D666C" w:rsidRPr="001D666C" w:rsidRDefault="001D666C" w:rsidP="001D666C">
            <w:pPr>
              <w:spacing w:after="0" w:line="240" w:lineRule="auto"/>
              <w:rPr>
                <w:rFonts w:ascii="Arial Narrow" w:hAnsi="Arial Narrow"/>
                <w:b w:val="0"/>
                <w:color w:val="000000"/>
                <w:sz w:val="16"/>
                <w:szCs w:val="16"/>
                <w:lang w:eastAsia="sl-SI"/>
              </w:rPr>
            </w:pPr>
            <w:r w:rsidRPr="001D666C">
              <w:rPr>
                <w:rFonts w:ascii="Arial Narrow" w:hAnsi="Arial Narrow"/>
                <w:b w:val="0"/>
                <w:color w:val="000000"/>
                <w:sz w:val="16"/>
                <w:szCs w:val="16"/>
                <w:lang w:eastAsia="sl-SI"/>
              </w:rPr>
              <w:t>Pridobivanje in distribucija goriv in energije</w:t>
            </w:r>
          </w:p>
        </w:tc>
        <w:tc>
          <w:tcPr>
            <w:tcW w:w="996" w:type="pct"/>
            <w:shd w:val="clear" w:color="auto" w:fill="D6E3BC" w:themeFill="accent3" w:themeFillTint="66"/>
            <w:noWrap/>
            <w:hideMark/>
          </w:tcPr>
          <w:p w:rsidR="001D666C" w:rsidRPr="001D666C" w:rsidRDefault="001D666C" w:rsidP="001D666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35</w:t>
            </w:r>
          </w:p>
        </w:tc>
        <w:tc>
          <w:tcPr>
            <w:tcW w:w="854" w:type="pct"/>
            <w:shd w:val="clear" w:color="auto" w:fill="D6E3BC" w:themeFill="accent3" w:themeFillTint="66"/>
            <w:noWrap/>
            <w:hideMark/>
          </w:tcPr>
          <w:p w:rsidR="001D666C" w:rsidRPr="001D666C" w:rsidRDefault="001D666C" w:rsidP="001D666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52</w:t>
            </w:r>
          </w:p>
        </w:tc>
        <w:tc>
          <w:tcPr>
            <w:tcW w:w="1173" w:type="pct"/>
            <w:shd w:val="clear" w:color="auto" w:fill="D6E3BC" w:themeFill="accent3" w:themeFillTint="66"/>
            <w:noWrap/>
            <w:hideMark/>
          </w:tcPr>
          <w:p w:rsidR="001D666C" w:rsidRPr="001D666C" w:rsidRDefault="001D666C" w:rsidP="00D4282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17</w:t>
            </w:r>
          </w:p>
        </w:tc>
      </w:tr>
      <w:tr w:rsidR="00A071AF" w:rsidRPr="001D666C" w:rsidTr="00A071AF">
        <w:trPr>
          <w:trHeight w:hRule="exact" w:val="227"/>
        </w:trPr>
        <w:tc>
          <w:tcPr>
            <w:cnfStyle w:val="001000000000" w:firstRow="0" w:lastRow="0" w:firstColumn="1" w:lastColumn="0" w:oddVBand="0" w:evenVBand="0" w:oddHBand="0" w:evenHBand="0" w:firstRowFirstColumn="0" w:firstRowLastColumn="0" w:lastRowFirstColumn="0" w:lastRowLastColumn="0"/>
            <w:tcW w:w="1977" w:type="pct"/>
            <w:shd w:val="clear" w:color="auto" w:fill="D6E3BC" w:themeFill="accent3" w:themeFillTint="66"/>
            <w:hideMark/>
          </w:tcPr>
          <w:p w:rsidR="001D666C" w:rsidRPr="001D666C" w:rsidRDefault="001D666C" w:rsidP="001D666C">
            <w:pPr>
              <w:spacing w:after="0" w:line="240" w:lineRule="auto"/>
              <w:rPr>
                <w:rFonts w:ascii="Arial Narrow" w:hAnsi="Arial Narrow"/>
                <w:b w:val="0"/>
                <w:color w:val="000000"/>
                <w:sz w:val="16"/>
                <w:szCs w:val="16"/>
                <w:lang w:eastAsia="sl-SI"/>
              </w:rPr>
            </w:pPr>
            <w:r w:rsidRPr="001D666C">
              <w:rPr>
                <w:rFonts w:ascii="Arial Narrow" w:hAnsi="Arial Narrow"/>
                <w:b w:val="0"/>
                <w:color w:val="000000"/>
                <w:sz w:val="16"/>
                <w:szCs w:val="16"/>
                <w:lang w:eastAsia="sl-SI"/>
              </w:rPr>
              <w:t>Vojaška pomoč tujini</w:t>
            </w:r>
          </w:p>
        </w:tc>
        <w:tc>
          <w:tcPr>
            <w:tcW w:w="996" w:type="pct"/>
            <w:shd w:val="clear" w:color="auto" w:fill="D6E3BC" w:themeFill="accent3" w:themeFillTint="66"/>
            <w:noWrap/>
            <w:hideMark/>
          </w:tcPr>
          <w:p w:rsidR="001D666C" w:rsidRPr="001D666C" w:rsidRDefault="001D666C" w:rsidP="001D666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51</w:t>
            </w:r>
          </w:p>
        </w:tc>
        <w:tc>
          <w:tcPr>
            <w:tcW w:w="854" w:type="pct"/>
            <w:shd w:val="clear" w:color="auto" w:fill="D6E3BC" w:themeFill="accent3" w:themeFillTint="66"/>
            <w:noWrap/>
            <w:hideMark/>
          </w:tcPr>
          <w:p w:rsidR="001D666C" w:rsidRPr="001D666C" w:rsidRDefault="001D666C" w:rsidP="001D666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65</w:t>
            </w:r>
          </w:p>
        </w:tc>
        <w:tc>
          <w:tcPr>
            <w:tcW w:w="1173" w:type="pct"/>
            <w:shd w:val="clear" w:color="auto" w:fill="D6E3BC" w:themeFill="accent3" w:themeFillTint="66"/>
            <w:noWrap/>
            <w:hideMark/>
          </w:tcPr>
          <w:p w:rsidR="001D666C" w:rsidRPr="001D666C" w:rsidRDefault="001D666C" w:rsidP="00D4282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14</w:t>
            </w:r>
          </w:p>
        </w:tc>
      </w:tr>
      <w:tr w:rsidR="00A071AF" w:rsidRPr="001D666C" w:rsidTr="00A071AF">
        <w:trPr>
          <w:cnfStyle w:val="000000100000" w:firstRow="0" w:lastRow="0" w:firstColumn="0" w:lastColumn="0" w:oddVBand="0" w:evenVBand="0" w:oddHBand="1" w:evenHBand="0" w:firstRowFirstColumn="0" w:firstRowLastColumn="0" w:lastRowFirstColumn="0" w:lastRowLastColumn="0"/>
          <w:trHeight w:hRule="exact" w:val="227"/>
        </w:trPr>
        <w:tc>
          <w:tcPr>
            <w:cnfStyle w:val="001000000000" w:firstRow="0" w:lastRow="0" w:firstColumn="1" w:lastColumn="0" w:oddVBand="0" w:evenVBand="0" w:oddHBand="0" w:evenHBand="0" w:firstRowFirstColumn="0" w:firstRowLastColumn="0" w:lastRowFirstColumn="0" w:lastRowLastColumn="0"/>
            <w:tcW w:w="1977" w:type="pct"/>
            <w:shd w:val="clear" w:color="auto" w:fill="D6E3BC" w:themeFill="accent3" w:themeFillTint="66"/>
            <w:hideMark/>
          </w:tcPr>
          <w:p w:rsidR="001D666C" w:rsidRPr="001D666C" w:rsidRDefault="001D666C" w:rsidP="001D666C">
            <w:pPr>
              <w:spacing w:after="0" w:line="240" w:lineRule="auto"/>
              <w:rPr>
                <w:rFonts w:ascii="Arial Narrow" w:hAnsi="Arial Narrow"/>
                <w:b w:val="0"/>
                <w:color w:val="000000"/>
                <w:sz w:val="16"/>
                <w:szCs w:val="16"/>
                <w:lang w:eastAsia="sl-SI"/>
              </w:rPr>
            </w:pPr>
            <w:r w:rsidRPr="001D666C">
              <w:rPr>
                <w:rFonts w:ascii="Arial Narrow" w:hAnsi="Arial Narrow"/>
                <w:b w:val="0"/>
                <w:color w:val="000000"/>
                <w:sz w:val="16"/>
                <w:szCs w:val="16"/>
                <w:lang w:eastAsia="sl-SI"/>
              </w:rPr>
              <w:t>Verske in druge družbene storitve</w:t>
            </w:r>
          </w:p>
        </w:tc>
        <w:tc>
          <w:tcPr>
            <w:tcW w:w="996" w:type="pct"/>
            <w:shd w:val="clear" w:color="auto" w:fill="D6E3BC" w:themeFill="accent3" w:themeFillTint="66"/>
            <w:noWrap/>
            <w:hideMark/>
          </w:tcPr>
          <w:p w:rsidR="001D666C" w:rsidRPr="001D666C" w:rsidRDefault="001D666C" w:rsidP="001D666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38</w:t>
            </w:r>
          </w:p>
        </w:tc>
        <w:tc>
          <w:tcPr>
            <w:tcW w:w="854" w:type="pct"/>
            <w:shd w:val="clear" w:color="auto" w:fill="D6E3BC" w:themeFill="accent3" w:themeFillTint="66"/>
            <w:noWrap/>
            <w:hideMark/>
          </w:tcPr>
          <w:p w:rsidR="001D666C" w:rsidRPr="001D666C" w:rsidRDefault="001D666C" w:rsidP="001D666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51</w:t>
            </w:r>
          </w:p>
        </w:tc>
        <w:tc>
          <w:tcPr>
            <w:tcW w:w="1173" w:type="pct"/>
            <w:shd w:val="clear" w:color="auto" w:fill="D6E3BC" w:themeFill="accent3" w:themeFillTint="66"/>
            <w:noWrap/>
            <w:hideMark/>
          </w:tcPr>
          <w:p w:rsidR="001D666C" w:rsidRPr="001D666C" w:rsidRDefault="001D666C" w:rsidP="00D4282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13</w:t>
            </w:r>
          </w:p>
        </w:tc>
      </w:tr>
      <w:tr w:rsidR="00A071AF" w:rsidRPr="001D666C" w:rsidTr="00A071AF">
        <w:trPr>
          <w:trHeight w:hRule="exact" w:val="227"/>
        </w:trPr>
        <w:tc>
          <w:tcPr>
            <w:cnfStyle w:val="001000000000" w:firstRow="0" w:lastRow="0" w:firstColumn="1" w:lastColumn="0" w:oddVBand="0" w:evenVBand="0" w:oddHBand="0" w:evenHBand="0" w:firstRowFirstColumn="0" w:firstRowLastColumn="0" w:lastRowFirstColumn="0" w:lastRowLastColumn="0"/>
            <w:tcW w:w="1977" w:type="pct"/>
            <w:shd w:val="clear" w:color="auto" w:fill="D6E3BC" w:themeFill="accent3" w:themeFillTint="66"/>
            <w:hideMark/>
          </w:tcPr>
          <w:p w:rsidR="001D666C" w:rsidRPr="001D666C" w:rsidRDefault="001D666C" w:rsidP="001D666C">
            <w:pPr>
              <w:spacing w:after="0" w:line="240" w:lineRule="auto"/>
              <w:rPr>
                <w:rFonts w:ascii="Arial Narrow" w:hAnsi="Arial Narrow"/>
                <w:b w:val="0"/>
                <w:color w:val="000000"/>
                <w:sz w:val="16"/>
                <w:szCs w:val="16"/>
                <w:lang w:eastAsia="sl-SI"/>
              </w:rPr>
            </w:pPr>
            <w:r w:rsidRPr="001D666C">
              <w:rPr>
                <w:rFonts w:ascii="Arial Narrow" w:hAnsi="Arial Narrow"/>
                <w:b w:val="0"/>
                <w:color w:val="000000"/>
                <w:sz w:val="16"/>
                <w:szCs w:val="16"/>
                <w:lang w:eastAsia="sl-SI"/>
              </w:rPr>
              <w:t>Servisiranje javnega dolga</w:t>
            </w:r>
          </w:p>
        </w:tc>
        <w:tc>
          <w:tcPr>
            <w:tcW w:w="996" w:type="pct"/>
            <w:shd w:val="clear" w:color="auto" w:fill="D6E3BC" w:themeFill="accent3" w:themeFillTint="66"/>
            <w:noWrap/>
            <w:hideMark/>
          </w:tcPr>
          <w:p w:rsidR="001D666C" w:rsidRPr="001D666C" w:rsidRDefault="001D666C" w:rsidP="001D666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1</w:t>
            </w:r>
          </w:p>
        </w:tc>
        <w:tc>
          <w:tcPr>
            <w:tcW w:w="854" w:type="pct"/>
            <w:shd w:val="clear" w:color="auto" w:fill="D6E3BC" w:themeFill="accent3" w:themeFillTint="66"/>
            <w:noWrap/>
            <w:hideMark/>
          </w:tcPr>
          <w:p w:rsidR="001D666C" w:rsidRPr="001D666C" w:rsidRDefault="001D666C" w:rsidP="001D666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12</w:t>
            </w:r>
          </w:p>
        </w:tc>
        <w:tc>
          <w:tcPr>
            <w:tcW w:w="1173" w:type="pct"/>
            <w:shd w:val="clear" w:color="auto" w:fill="D6E3BC" w:themeFill="accent3" w:themeFillTint="66"/>
            <w:noWrap/>
            <w:hideMark/>
          </w:tcPr>
          <w:p w:rsidR="001D666C" w:rsidRPr="001D666C" w:rsidRDefault="001D666C" w:rsidP="00D4282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11</w:t>
            </w:r>
          </w:p>
        </w:tc>
      </w:tr>
      <w:tr w:rsidR="00A071AF" w:rsidRPr="001D666C" w:rsidTr="00A071AF">
        <w:trPr>
          <w:cnfStyle w:val="000000100000" w:firstRow="0" w:lastRow="0" w:firstColumn="0" w:lastColumn="0" w:oddVBand="0" w:evenVBand="0" w:oddHBand="1" w:evenHBand="0" w:firstRowFirstColumn="0" w:firstRowLastColumn="0" w:lastRowFirstColumn="0" w:lastRowLastColumn="0"/>
          <w:trHeight w:hRule="exact" w:val="227"/>
        </w:trPr>
        <w:tc>
          <w:tcPr>
            <w:cnfStyle w:val="001000000000" w:firstRow="0" w:lastRow="0" w:firstColumn="1" w:lastColumn="0" w:oddVBand="0" w:evenVBand="0" w:oddHBand="0" w:evenHBand="0" w:firstRowFirstColumn="0" w:firstRowLastColumn="0" w:lastRowFirstColumn="0" w:lastRowLastColumn="0"/>
            <w:tcW w:w="1977" w:type="pct"/>
            <w:shd w:val="clear" w:color="auto" w:fill="D6E3BC" w:themeFill="accent3" w:themeFillTint="66"/>
            <w:hideMark/>
          </w:tcPr>
          <w:p w:rsidR="001D666C" w:rsidRPr="001D666C" w:rsidRDefault="001D666C" w:rsidP="001D666C">
            <w:pPr>
              <w:spacing w:after="0" w:line="240" w:lineRule="auto"/>
              <w:rPr>
                <w:rFonts w:ascii="Arial Narrow" w:hAnsi="Arial Narrow"/>
                <w:b w:val="0"/>
                <w:color w:val="000000"/>
                <w:sz w:val="16"/>
                <w:szCs w:val="16"/>
                <w:lang w:eastAsia="sl-SI"/>
              </w:rPr>
            </w:pPr>
            <w:r w:rsidRPr="001D666C">
              <w:rPr>
                <w:rFonts w:ascii="Arial Narrow" w:hAnsi="Arial Narrow"/>
                <w:b w:val="0"/>
                <w:color w:val="000000"/>
                <w:sz w:val="16"/>
                <w:szCs w:val="16"/>
                <w:lang w:eastAsia="sl-SI"/>
              </w:rPr>
              <w:t>Javno zdravstvo</w:t>
            </w:r>
          </w:p>
        </w:tc>
        <w:tc>
          <w:tcPr>
            <w:tcW w:w="996" w:type="pct"/>
            <w:shd w:val="clear" w:color="auto" w:fill="D6E3BC" w:themeFill="accent3" w:themeFillTint="66"/>
            <w:noWrap/>
            <w:hideMark/>
          </w:tcPr>
          <w:p w:rsidR="001D666C" w:rsidRPr="001D666C" w:rsidRDefault="001D666C" w:rsidP="001D666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27</w:t>
            </w:r>
          </w:p>
        </w:tc>
        <w:tc>
          <w:tcPr>
            <w:tcW w:w="854" w:type="pct"/>
            <w:shd w:val="clear" w:color="auto" w:fill="D6E3BC" w:themeFill="accent3" w:themeFillTint="66"/>
            <w:noWrap/>
            <w:hideMark/>
          </w:tcPr>
          <w:p w:rsidR="001D666C" w:rsidRPr="001D666C" w:rsidRDefault="001D666C" w:rsidP="001D666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38</w:t>
            </w:r>
          </w:p>
        </w:tc>
        <w:tc>
          <w:tcPr>
            <w:tcW w:w="1173" w:type="pct"/>
            <w:shd w:val="clear" w:color="auto" w:fill="D6E3BC" w:themeFill="accent3" w:themeFillTint="66"/>
            <w:noWrap/>
            <w:hideMark/>
          </w:tcPr>
          <w:p w:rsidR="001D666C" w:rsidRPr="001D666C" w:rsidRDefault="001D666C" w:rsidP="00D4282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11</w:t>
            </w:r>
          </w:p>
        </w:tc>
      </w:tr>
      <w:tr w:rsidR="00A071AF" w:rsidRPr="001D666C" w:rsidTr="00A071AF">
        <w:trPr>
          <w:trHeight w:hRule="exact" w:val="227"/>
        </w:trPr>
        <w:tc>
          <w:tcPr>
            <w:cnfStyle w:val="001000000000" w:firstRow="0" w:lastRow="0" w:firstColumn="1" w:lastColumn="0" w:oddVBand="0" w:evenVBand="0" w:oddHBand="0" w:evenHBand="0" w:firstRowFirstColumn="0" w:firstRowLastColumn="0" w:lastRowFirstColumn="0" w:lastRowLastColumn="0"/>
            <w:tcW w:w="1977" w:type="pct"/>
            <w:shd w:val="clear" w:color="auto" w:fill="D6E3BC" w:themeFill="accent3" w:themeFillTint="66"/>
            <w:noWrap/>
            <w:hideMark/>
          </w:tcPr>
          <w:p w:rsidR="001D666C" w:rsidRPr="001D666C" w:rsidRDefault="001D666C" w:rsidP="001D666C">
            <w:pPr>
              <w:spacing w:after="0" w:line="240" w:lineRule="auto"/>
              <w:rPr>
                <w:rFonts w:ascii="Arial Narrow" w:hAnsi="Arial Narrow"/>
                <w:b w:val="0"/>
                <w:color w:val="000000"/>
                <w:sz w:val="16"/>
                <w:szCs w:val="16"/>
                <w:lang w:eastAsia="sl-SI"/>
              </w:rPr>
            </w:pPr>
            <w:r w:rsidRPr="001D666C">
              <w:rPr>
                <w:rFonts w:ascii="Arial Narrow" w:hAnsi="Arial Narrow"/>
                <w:b w:val="0"/>
                <w:color w:val="000000"/>
                <w:sz w:val="16"/>
                <w:szCs w:val="16"/>
                <w:lang w:eastAsia="sl-SI"/>
              </w:rPr>
              <w:t>Brezposelnost</w:t>
            </w:r>
          </w:p>
        </w:tc>
        <w:tc>
          <w:tcPr>
            <w:tcW w:w="996" w:type="pct"/>
            <w:shd w:val="clear" w:color="auto" w:fill="D6E3BC" w:themeFill="accent3" w:themeFillTint="66"/>
            <w:noWrap/>
            <w:hideMark/>
          </w:tcPr>
          <w:p w:rsidR="001D666C" w:rsidRPr="001D666C" w:rsidRDefault="001D666C" w:rsidP="001D666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19</w:t>
            </w:r>
          </w:p>
        </w:tc>
        <w:tc>
          <w:tcPr>
            <w:tcW w:w="854" w:type="pct"/>
            <w:shd w:val="clear" w:color="auto" w:fill="D6E3BC" w:themeFill="accent3" w:themeFillTint="66"/>
            <w:noWrap/>
            <w:hideMark/>
          </w:tcPr>
          <w:p w:rsidR="001D666C" w:rsidRPr="001D666C" w:rsidRDefault="001D666C" w:rsidP="001D666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28</w:t>
            </w:r>
          </w:p>
        </w:tc>
        <w:tc>
          <w:tcPr>
            <w:tcW w:w="1173" w:type="pct"/>
            <w:shd w:val="clear" w:color="auto" w:fill="D6E3BC" w:themeFill="accent3" w:themeFillTint="66"/>
            <w:noWrap/>
            <w:hideMark/>
          </w:tcPr>
          <w:p w:rsidR="001D666C" w:rsidRPr="001D666C" w:rsidRDefault="001D666C" w:rsidP="00D4282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9</w:t>
            </w:r>
          </w:p>
        </w:tc>
      </w:tr>
      <w:tr w:rsidR="00A071AF" w:rsidRPr="001D666C" w:rsidTr="00A071AF">
        <w:trPr>
          <w:cnfStyle w:val="000000100000" w:firstRow="0" w:lastRow="0" w:firstColumn="0" w:lastColumn="0" w:oddVBand="0" w:evenVBand="0" w:oddHBand="1" w:evenHBand="0" w:firstRowFirstColumn="0" w:firstRowLastColumn="0" w:lastRowFirstColumn="0" w:lastRowLastColumn="0"/>
          <w:trHeight w:hRule="exact" w:val="227"/>
        </w:trPr>
        <w:tc>
          <w:tcPr>
            <w:cnfStyle w:val="001000000000" w:firstRow="0" w:lastRow="0" w:firstColumn="1" w:lastColumn="0" w:oddVBand="0" w:evenVBand="0" w:oddHBand="0" w:evenHBand="0" w:firstRowFirstColumn="0" w:firstRowLastColumn="0" w:lastRowFirstColumn="0" w:lastRowLastColumn="0"/>
            <w:tcW w:w="1977" w:type="pct"/>
            <w:shd w:val="clear" w:color="auto" w:fill="D6E3BC" w:themeFill="accent3" w:themeFillTint="66"/>
            <w:noWrap/>
            <w:hideMark/>
          </w:tcPr>
          <w:p w:rsidR="001D666C" w:rsidRPr="001D666C" w:rsidRDefault="001D666C" w:rsidP="001D666C">
            <w:pPr>
              <w:spacing w:after="0" w:line="240" w:lineRule="auto"/>
              <w:rPr>
                <w:rFonts w:ascii="Arial Narrow" w:hAnsi="Arial Narrow"/>
                <w:b w:val="0"/>
                <w:color w:val="000000"/>
                <w:sz w:val="16"/>
                <w:szCs w:val="16"/>
                <w:lang w:eastAsia="sl-SI"/>
              </w:rPr>
            </w:pPr>
            <w:r w:rsidRPr="001D666C">
              <w:rPr>
                <w:rFonts w:ascii="Arial Narrow" w:hAnsi="Arial Narrow"/>
                <w:b w:val="0"/>
                <w:color w:val="000000"/>
                <w:sz w:val="16"/>
                <w:szCs w:val="16"/>
                <w:lang w:eastAsia="sl-SI"/>
              </w:rPr>
              <w:t>Ravnanje z odpadno vodo</w:t>
            </w:r>
          </w:p>
        </w:tc>
        <w:tc>
          <w:tcPr>
            <w:tcW w:w="996" w:type="pct"/>
            <w:shd w:val="clear" w:color="auto" w:fill="D6E3BC" w:themeFill="accent3" w:themeFillTint="66"/>
            <w:noWrap/>
            <w:hideMark/>
          </w:tcPr>
          <w:p w:rsidR="001D666C" w:rsidRPr="001D666C" w:rsidRDefault="001D666C" w:rsidP="001D666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21</w:t>
            </w:r>
          </w:p>
        </w:tc>
        <w:tc>
          <w:tcPr>
            <w:tcW w:w="854" w:type="pct"/>
            <w:shd w:val="clear" w:color="auto" w:fill="D6E3BC" w:themeFill="accent3" w:themeFillTint="66"/>
            <w:noWrap/>
            <w:hideMark/>
          </w:tcPr>
          <w:p w:rsidR="001D666C" w:rsidRPr="001D666C" w:rsidRDefault="001D666C" w:rsidP="001D666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29</w:t>
            </w:r>
          </w:p>
        </w:tc>
        <w:tc>
          <w:tcPr>
            <w:tcW w:w="1173" w:type="pct"/>
            <w:shd w:val="clear" w:color="auto" w:fill="D6E3BC" w:themeFill="accent3" w:themeFillTint="66"/>
            <w:noWrap/>
            <w:hideMark/>
          </w:tcPr>
          <w:p w:rsidR="001D666C" w:rsidRPr="001D666C" w:rsidRDefault="001D666C" w:rsidP="00D4282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8</w:t>
            </w:r>
          </w:p>
        </w:tc>
      </w:tr>
      <w:tr w:rsidR="00A071AF" w:rsidRPr="001D666C" w:rsidTr="00A071AF">
        <w:trPr>
          <w:trHeight w:hRule="exact" w:val="227"/>
        </w:trPr>
        <w:tc>
          <w:tcPr>
            <w:cnfStyle w:val="001000000000" w:firstRow="0" w:lastRow="0" w:firstColumn="1" w:lastColumn="0" w:oddVBand="0" w:evenVBand="0" w:oddHBand="0" w:evenHBand="0" w:firstRowFirstColumn="0" w:firstRowLastColumn="0" w:lastRowFirstColumn="0" w:lastRowLastColumn="0"/>
            <w:tcW w:w="1977" w:type="pct"/>
            <w:shd w:val="clear" w:color="auto" w:fill="D6E3BC" w:themeFill="accent3" w:themeFillTint="66"/>
            <w:hideMark/>
          </w:tcPr>
          <w:p w:rsidR="001D666C" w:rsidRPr="001D666C" w:rsidRDefault="001D666C" w:rsidP="001D666C">
            <w:pPr>
              <w:spacing w:after="0" w:line="240" w:lineRule="auto"/>
              <w:rPr>
                <w:rFonts w:ascii="Arial Narrow" w:hAnsi="Arial Narrow"/>
                <w:b w:val="0"/>
                <w:color w:val="000000"/>
                <w:sz w:val="16"/>
                <w:szCs w:val="16"/>
                <w:lang w:eastAsia="sl-SI"/>
              </w:rPr>
            </w:pPr>
            <w:r w:rsidRPr="001D666C">
              <w:rPr>
                <w:rFonts w:ascii="Arial Narrow" w:hAnsi="Arial Narrow"/>
                <w:b w:val="0"/>
                <w:color w:val="000000"/>
                <w:sz w:val="16"/>
                <w:szCs w:val="16"/>
                <w:lang w:eastAsia="sl-SI"/>
              </w:rPr>
              <w:t>Raziskave in razvoj na področju zdravstva</w:t>
            </w:r>
          </w:p>
        </w:tc>
        <w:tc>
          <w:tcPr>
            <w:tcW w:w="996" w:type="pct"/>
            <w:shd w:val="clear" w:color="auto" w:fill="D6E3BC" w:themeFill="accent3" w:themeFillTint="66"/>
            <w:noWrap/>
            <w:hideMark/>
          </w:tcPr>
          <w:p w:rsidR="001D666C" w:rsidRPr="001D666C" w:rsidRDefault="001D666C" w:rsidP="001D666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46</w:t>
            </w:r>
          </w:p>
        </w:tc>
        <w:tc>
          <w:tcPr>
            <w:tcW w:w="854" w:type="pct"/>
            <w:shd w:val="clear" w:color="auto" w:fill="D6E3BC" w:themeFill="accent3" w:themeFillTint="66"/>
            <w:noWrap/>
            <w:hideMark/>
          </w:tcPr>
          <w:p w:rsidR="001D666C" w:rsidRPr="001D666C" w:rsidRDefault="001D666C" w:rsidP="001D666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54</w:t>
            </w:r>
          </w:p>
        </w:tc>
        <w:tc>
          <w:tcPr>
            <w:tcW w:w="1173" w:type="pct"/>
            <w:shd w:val="clear" w:color="auto" w:fill="D6E3BC" w:themeFill="accent3" w:themeFillTint="66"/>
            <w:noWrap/>
            <w:hideMark/>
          </w:tcPr>
          <w:p w:rsidR="001D666C" w:rsidRPr="001D666C" w:rsidRDefault="001D666C" w:rsidP="00D4282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8</w:t>
            </w:r>
          </w:p>
        </w:tc>
      </w:tr>
      <w:tr w:rsidR="00A071AF" w:rsidRPr="001D666C" w:rsidTr="00A071AF">
        <w:trPr>
          <w:cnfStyle w:val="000000100000" w:firstRow="0" w:lastRow="0" w:firstColumn="0" w:lastColumn="0" w:oddVBand="0" w:evenVBand="0" w:oddHBand="1" w:evenHBand="0" w:firstRowFirstColumn="0" w:firstRowLastColumn="0" w:lastRowFirstColumn="0" w:lastRowLastColumn="0"/>
          <w:trHeight w:hRule="exact" w:val="227"/>
        </w:trPr>
        <w:tc>
          <w:tcPr>
            <w:cnfStyle w:val="001000000000" w:firstRow="0" w:lastRow="0" w:firstColumn="1" w:lastColumn="0" w:oddVBand="0" w:evenVBand="0" w:oddHBand="0" w:evenHBand="0" w:firstRowFirstColumn="0" w:firstRowLastColumn="0" w:lastRowFirstColumn="0" w:lastRowLastColumn="0"/>
            <w:tcW w:w="1977" w:type="pct"/>
            <w:shd w:val="clear" w:color="auto" w:fill="D6E3BC" w:themeFill="accent3" w:themeFillTint="66"/>
            <w:hideMark/>
          </w:tcPr>
          <w:p w:rsidR="001D666C" w:rsidRPr="001D666C" w:rsidRDefault="001D666C" w:rsidP="001D666C">
            <w:pPr>
              <w:spacing w:after="0" w:line="240" w:lineRule="auto"/>
              <w:rPr>
                <w:rFonts w:ascii="Arial Narrow" w:hAnsi="Arial Narrow"/>
                <w:b w:val="0"/>
                <w:color w:val="000000"/>
                <w:sz w:val="16"/>
                <w:szCs w:val="16"/>
                <w:lang w:eastAsia="sl-SI"/>
              </w:rPr>
            </w:pPr>
            <w:r w:rsidRPr="001D666C">
              <w:rPr>
                <w:rFonts w:ascii="Arial Narrow" w:hAnsi="Arial Narrow"/>
                <w:b w:val="0"/>
                <w:color w:val="000000"/>
                <w:sz w:val="16"/>
                <w:szCs w:val="16"/>
                <w:lang w:eastAsia="sl-SI"/>
              </w:rPr>
              <w:t>Zmanjševanje onesnaževanja</w:t>
            </w:r>
          </w:p>
        </w:tc>
        <w:tc>
          <w:tcPr>
            <w:tcW w:w="996" w:type="pct"/>
            <w:shd w:val="clear" w:color="auto" w:fill="D6E3BC" w:themeFill="accent3" w:themeFillTint="66"/>
            <w:noWrap/>
            <w:hideMark/>
          </w:tcPr>
          <w:p w:rsidR="001D666C" w:rsidRPr="001D666C" w:rsidRDefault="001D666C" w:rsidP="001D666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47</w:t>
            </w:r>
          </w:p>
        </w:tc>
        <w:tc>
          <w:tcPr>
            <w:tcW w:w="854" w:type="pct"/>
            <w:shd w:val="clear" w:color="auto" w:fill="D6E3BC" w:themeFill="accent3" w:themeFillTint="66"/>
            <w:noWrap/>
            <w:hideMark/>
          </w:tcPr>
          <w:p w:rsidR="001D666C" w:rsidRPr="001D666C" w:rsidRDefault="001D666C" w:rsidP="001D666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55</w:t>
            </w:r>
          </w:p>
        </w:tc>
        <w:tc>
          <w:tcPr>
            <w:tcW w:w="1173" w:type="pct"/>
            <w:shd w:val="clear" w:color="auto" w:fill="D6E3BC" w:themeFill="accent3" w:themeFillTint="66"/>
            <w:noWrap/>
            <w:hideMark/>
          </w:tcPr>
          <w:p w:rsidR="001D666C" w:rsidRPr="001D666C" w:rsidRDefault="001D666C" w:rsidP="00D4282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8</w:t>
            </w:r>
          </w:p>
        </w:tc>
      </w:tr>
      <w:tr w:rsidR="00A071AF" w:rsidRPr="001D666C" w:rsidTr="00A071AF">
        <w:trPr>
          <w:trHeight w:hRule="exact" w:val="227"/>
        </w:trPr>
        <w:tc>
          <w:tcPr>
            <w:cnfStyle w:val="001000000000" w:firstRow="0" w:lastRow="0" w:firstColumn="1" w:lastColumn="0" w:oddVBand="0" w:evenVBand="0" w:oddHBand="0" w:evenHBand="0" w:firstRowFirstColumn="0" w:firstRowLastColumn="0" w:lastRowFirstColumn="0" w:lastRowLastColumn="0"/>
            <w:tcW w:w="1977" w:type="pct"/>
            <w:shd w:val="clear" w:color="auto" w:fill="D6E3BC" w:themeFill="accent3" w:themeFillTint="66"/>
            <w:hideMark/>
          </w:tcPr>
          <w:p w:rsidR="001D666C" w:rsidRPr="001D666C" w:rsidRDefault="001D666C" w:rsidP="001D666C">
            <w:pPr>
              <w:spacing w:after="0" w:line="240" w:lineRule="auto"/>
              <w:rPr>
                <w:rFonts w:ascii="Arial Narrow" w:hAnsi="Arial Narrow"/>
                <w:b w:val="0"/>
                <w:color w:val="000000"/>
                <w:sz w:val="16"/>
                <w:szCs w:val="16"/>
                <w:lang w:eastAsia="sl-SI"/>
              </w:rPr>
            </w:pPr>
            <w:r w:rsidRPr="001D666C">
              <w:rPr>
                <w:rFonts w:ascii="Arial Narrow" w:hAnsi="Arial Narrow"/>
                <w:b w:val="0"/>
                <w:color w:val="000000"/>
                <w:sz w:val="16"/>
                <w:szCs w:val="16"/>
                <w:lang w:eastAsia="sl-SI"/>
              </w:rPr>
              <w:t xml:space="preserve">Splošne ekonomske in trgovinske zadeve in zadeve, povezane z zaposlovanjem </w:t>
            </w:r>
          </w:p>
        </w:tc>
        <w:tc>
          <w:tcPr>
            <w:tcW w:w="996" w:type="pct"/>
            <w:shd w:val="clear" w:color="auto" w:fill="D6E3BC" w:themeFill="accent3" w:themeFillTint="66"/>
            <w:noWrap/>
            <w:hideMark/>
          </w:tcPr>
          <w:p w:rsidR="001D666C" w:rsidRPr="001D666C" w:rsidRDefault="001D666C" w:rsidP="001D666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11</w:t>
            </w:r>
          </w:p>
        </w:tc>
        <w:tc>
          <w:tcPr>
            <w:tcW w:w="854" w:type="pct"/>
            <w:shd w:val="clear" w:color="auto" w:fill="D6E3BC" w:themeFill="accent3" w:themeFillTint="66"/>
            <w:noWrap/>
            <w:hideMark/>
          </w:tcPr>
          <w:p w:rsidR="001D666C" w:rsidRPr="001D666C" w:rsidRDefault="001D666C" w:rsidP="001D666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18</w:t>
            </w:r>
          </w:p>
        </w:tc>
        <w:tc>
          <w:tcPr>
            <w:tcW w:w="1173" w:type="pct"/>
            <w:shd w:val="clear" w:color="auto" w:fill="D6E3BC" w:themeFill="accent3" w:themeFillTint="66"/>
            <w:noWrap/>
            <w:hideMark/>
          </w:tcPr>
          <w:p w:rsidR="001D666C" w:rsidRPr="001D666C" w:rsidRDefault="001D666C" w:rsidP="00D4282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7</w:t>
            </w:r>
          </w:p>
        </w:tc>
      </w:tr>
      <w:tr w:rsidR="00A071AF" w:rsidRPr="001D666C" w:rsidTr="00A071AF">
        <w:trPr>
          <w:cnfStyle w:val="000000100000" w:firstRow="0" w:lastRow="0" w:firstColumn="0" w:lastColumn="0" w:oddVBand="0" w:evenVBand="0" w:oddHBand="1" w:evenHBand="0" w:firstRowFirstColumn="0" w:firstRowLastColumn="0" w:lastRowFirstColumn="0" w:lastRowLastColumn="0"/>
          <w:trHeight w:hRule="exact" w:val="227"/>
        </w:trPr>
        <w:tc>
          <w:tcPr>
            <w:cnfStyle w:val="001000000000" w:firstRow="0" w:lastRow="0" w:firstColumn="1" w:lastColumn="0" w:oddVBand="0" w:evenVBand="0" w:oddHBand="0" w:evenHBand="0" w:firstRowFirstColumn="0" w:firstRowLastColumn="0" w:lastRowFirstColumn="0" w:lastRowLastColumn="0"/>
            <w:tcW w:w="1977" w:type="pct"/>
            <w:shd w:val="clear" w:color="auto" w:fill="D6E3BC" w:themeFill="accent3" w:themeFillTint="66"/>
            <w:hideMark/>
          </w:tcPr>
          <w:p w:rsidR="001D666C" w:rsidRPr="001D666C" w:rsidRDefault="001D666C" w:rsidP="001D666C">
            <w:pPr>
              <w:spacing w:after="0" w:line="240" w:lineRule="auto"/>
              <w:rPr>
                <w:rFonts w:ascii="Arial Narrow" w:hAnsi="Arial Narrow"/>
                <w:b w:val="0"/>
                <w:color w:val="000000"/>
                <w:sz w:val="16"/>
                <w:szCs w:val="16"/>
                <w:lang w:eastAsia="sl-SI"/>
              </w:rPr>
            </w:pPr>
            <w:r w:rsidRPr="001D666C">
              <w:rPr>
                <w:rFonts w:ascii="Arial Narrow" w:hAnsi="Arial Narrow"/>
                <w:b w:val="0"/>
                <w:color w:val="000000"/>
                <w:sz w:val="16"/>
                <w:szCs w:val="16"/>
                <w:lang w:eastAsia="sl-SI"/>
              </w:rPr>
              <w:t>Ravnanje z odpadki</w:t>
            </w:r>
          </w:p>
        </w:tc>
        <w:tc>
          <w:tcPr>
            <w:tcW w:w="996" w:type="pct"/>
            <w:shd w:val="clear" w:color="auto" w:fill="D6E3BC" w:themeFill="accent3" w:themeFillTint="66"/>
            <w:noWrap/>
            <w:hideMark/>
          </w:tcPr>
          <w:p w:rsidR="001D666C" w:rsidRPr="001D666C" w:rsidRDefault="001D666C" w:rsidP="001D666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34</w:t>
            </w:r>
          </w:p>
        </w:tc>
        <w:tc>
          <w:tcPr>
            <w:tcW w:w="854" w:type="pct"/>
            <w:shd w:val="clear" w:color="auto" w:fill="D6E3BC" w:themeFill="accent3" w:themeFillTint="66"/>
            <w:noWrap/>
            <w:hideMark/>
          </w:tcPr>
          <w:p w:rsidR="001D666C" w:rsidRPr="001D666C" w:rsidRDefault="001D666C" w:rsidP="001D666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41</w:t>
            </w:r>
          </w:p>
        </w:tc>
        <w:tc>
          <w:tcPr>
            <w:tcW w:w="1173" w:type="pct"/>
            <w:shd w:val="clear" w:color="auto" w:fill="D6E3BC" w:themeFill="accent3" w:themeFillTint="66"/>
            <w:noWrap/>
            <w:hideMark/>
          </w:tcPr>
          <w:p w:rsidR="001D666C" w:rsidRPr="001D666C" w:rsidRDefault="001D666C" w:rsidP="00D4282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7</w:t>
            </w:r>
          </w:p>
        </w:tc>
      </w:tr>
      <w:tr w:rsidR="00A071AF" w:rsidRPr="001D666C" w:rsidTr="00A071AF">
        <w:trPr>
          <w:trHeight w:hRule="exact" w:val="227"/>
        </w:trPr>
        <w:tc>
          <w:tcPr>
            <w:cnfStyle w:val="001000000000" w:firstRow="0" w:lastRow="0" w:firstColumn="1" w:lastColumn="0" w:oddVBand="0" w:evenVBand="0" w:oddHBand="0" w:evenHBand="0" w:firstRowFirstColumn="0" w:firstRowLastColumn="0" w:lastRowFirstColumn="0" w:lastRowLastColumn="0"/>
            <w:tcW w:w="1977" w:type="pct"/>
            <w:shd w:val="clear" w:color="auto" w:fill="D6E3BC" w:themeFill="accent3" w:themeFillTint="66"/>
            <w:noWrap/>
            <w:hideMark/>
          </w:tcPr>
          <w:p w:rsidR="001D666C" w:rsidRPr="001D666C" w:rsidRDefault="001D666C" w:rsidP="001D666C">
            <w:pPr>
              <w:spacing w:after="0" w:line="240" w:lineRule="auto"/>
              <w:rPr>
                <w:rFonts w:ascii="Arial Narrow" w:hAnsi="Arial Narrow"/>
                <w:b w:val="0"/>
                <w:color w:val="000000"/>
                <w:sz w:val="16"/>
                <w:szCs w:val="16"/>
                <w:lang w:eastAsia="sl-SI"/>
              </w:rPr>
            </w:pPr>
            <w:r w:rsidRPr="001D666C">
              <w:rPr>
                <w:rFonts w:ascii="Arial Narrow" w:hAnsi="Arial Narrow"/>
                <w:b w:val="0"/>
                <w:color w:val="000000"/>
                <w:sz w:val="16"/>
                <w:szCs w:val="16"/>
                <w:lang w:eastAsia="sl-SI"/>
              </w:rPr>
              <w:t>Druge oblike socialne izključenosti</w:t>
            </w:r>
          </w:p>
        </w:tc>
        <w:tc>
          <w:tcPr>
            <w:tcW w:w="996" w:type="pct"/>
            <w:shd w:val="clear" w:color="auto" w:fill="D6E3BC" w:themeFill="accent3" w:themeFillTint="66"/>
            <w:noWrap/>
            <w:hideMark/>
          </w:tcPr>
          <w:p w:rsidR="001D666C" w:rsidRPr="001D666C" w:rsidRDefault="001D666C" w:rsidP="001D666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15</w:t>
            </w:r>
          </w:p>
        </w:tc>
        <w:tc>
          <w:tcPr>
            <w:tcW w:w="854" w:type="pct"/>
            <w:shd w:val="clear" w:color="auto" w:fill="D6E3BC" w:themeFill="accent3" w:themeFillTint="66"/>
            <w:noWrap/>
            <w:hideMark/>
          </w:tcPr>
          <w:p w:rsidR="001D666C" w:rsidRPr="001D666C" w:rsidRDefault="001D666C" w:rsidP="001D666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20</w:t>
            </w:r>
          </w:p>
        </w:tc>
        <w:tc>
          <w:tcPr>
            <w:tcW w:w="1173" w:type="pct"/>
            <w:shd w:val="clear" w:color="auto" w:fill="D6E3BC" w:themeFill="accent3" w:themeFillTint="66"/>
            <w:noWrap/>
            <w:hideMark/>
          </w:tcPr>
          <w:p w:rsidR="001D666C" w:rsidRPr="001D666C" w:rsidRDefault="001D666C" w:rsidP="00D4282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5</w:t>
            </w:r>
          </w:p>
        </w:tc>
      </w:tr>
      <w:tr w:rsidR="00A071AF" w:rsidRPr="001D666C" w:rsidTr="00A071AF">
        <w:trPr>
          <w:cnfStyle w:val="000000100000" w:firstRow="0" w:lastRow="0" w:firstColumn="0" w:lastColumn="0" w:oddVBand="0" w:evenVBand="0" w:oddHBand="1" w:evenHBand="0" w:firstRowFirstColumn="0" w:firstRowLastColumn="0" w:lastRowFirstColumn="0" w:lastRowLastColumn="0"/>
          <w:trHeight w:hRule="exact" w:val="227"/>
        </w:trPr>
        <w:tc>
          <w:tcPr>
            <w:cnfStyle w:val="001000000000" w:firstRow="0" w:lastRow="0" w:firstColumn="1" w:lastColumn="0" w:oddVBand="0" w:evenVBand="0" w:oddHBand="0" w:evenHBand="0" w:firstRowFirstColumn="0" w:firstRowLastColumn="0" w:lastRowFirstColumn="0" w:lastRowLastColumn="0"/>
            <w:tcW w:w="1977" w:type="pct"/>
            <w:shd w:val="clear" w:color="auto" w:fill="D6E3BC" w:themeFill="accent3" w:themeFillTint="66"/>
            <w:hideMark/>
          </w:tcPr>
          <w:p w:rsidR="001D666C" w:rsidRPr="001D666C" w:rsidRDefault="001D666C" w:rsidP="001D666C">
            <w:pPr>
              <w:spacing w:after="0" w:line="240" w:lineRule="auto"/>
              <w:rPr>
                <w:rFonts w:ascii="Arial Narrow" w:hAnsi="Arial Narrow"/>
                <w:b w:val="0"/>
                <w:color w:val="000000"/>
                <w:sz w:val="16"/>
                <w:szCs w:val="16"/>
                <w:lang w:eastAsia="sl-SI"/>
              </w:rPr>
            </w:pPr>
            <w:r w:rsidRPr="001D666C">
              <w:rPr>
                <w:rFonts w:ascii="Arial Narrow" w:hAnsi="Arial Narrow"/>
                <w:b w:val="0"/>
                <w:color w:val="000000"/>
                <w:sz w:val="16"/>
                <w:szCs w:val="16"/>
                <w:lang w:eastAsia="sl-SI"/>
              </w:rPr>
              <w:t>Oskrba z vodo</w:t>
            </w:r>
          </w:p>
        </w:tc>
        <w:tc>
          <w:tcPr>
            <w:tcW w:w="996" w:type="pct"/>
            <w:shd w:val="clear" w:color="auto" w:fill="D6E3BC" w:themeFill="accent3" w:themeFillTint="66"/>
            <w:noWrap/>
            <w:hideMark/>
          </w:tcPr>
          <w:p w:rsidR="001D666C" w:rsidRPr="001D666C" w:rsidRDefault="001D666C" w:rsidP="001D666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25</w:t>
            </w:r>
          </w:p>
        </w:tc>
        <w:tc>
          <w:tcPr>
            <w:tcW w:w="854" w:type="pct"/>
            <w:shd w:val="clear" w:color="auto" w:fill="D6E3BC" w:themeFill="accent3" w:themeFillTint="66"/>
            <w:noWrap/>
            <w:hideMark/>
          </w:tcPr>
          <w:p w:rsidR="001D666C" w:rsidRPr="001D666C" w:rsidRDefault="001D666C" w:rsidP="001D666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30</w:t>
            </w:r>
          </w:p>
        </w:tc>
        <w:tc>
          <w:tcPr>
            <w:tcW w:w="1173" w:type="pct"/>
            <w:shd w:val="clear" w:color="auto" w:fill="D6E3BC" w:themeFill="accent3" w:themeFillTint="66"/>
            <w:noWrap/>
            <w:hideMark/>
          </w:tcPr>
          <w:p w:rsidR="001D666C" w:rsidRPr="001D666C" w:rsidRDefault="001D666C" w:rsidP="00D4282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5</w:t>
            </w:r>
          </w:p>
        </w:tc>
      </w:tr>
      <w:tr w:rsidR="00A071AF" w:rsidRPr="001D666C" w:rsidTr="00A071AF">
        <w:trPr>
          <w:trHeight w:hRule="exact" w:val="227"/>
        </w:trPr>
        <w:tc>
          <w:tcPr>
            <w:cnfStyle w:val="001000000000" w:firstRow="0" w:lastRow="0" w:firstColumn="1" w:lastColumn="0" w:oddVBand="0" w:evenVBand="0" w:oddHBand="0" w:evenHBand="0" w:firstRowFirstColumn="0" w:firstRowLastColumn="0" w:lastRowFirstColumn="0" w:lastRowLastColumn="0"/>
            <w:tcW w:w="1977" w:type="pct"/>
            <w:shd w:val="clear" w:color="auto" w:fill="D6E3BC" w:themeFill="accent3" w:themeFillTint="66"/>
            <w:hideMark/>
          </w:tcPr>
          <w:p w:rsidR="001D666C" w:rsidRPr="001D666C" w:rsidRDefault="001D666C" w:rsidP="001D666C">
            <w:pPr>
              <w:spacing w:after="0" w:line="240" w:lineRule="auto"/>
              <w:rPr>
                <w:rFonts w:ascii="Arial Narrow" w:hAnsi="Arial Narrow"/>
                <w:b w:val="0"/>
                <w:color w:val="000000"/>
                <w:sz w:val="16"/>
                <w:szCs w:val="16"/>
                <w:lang w:eastAsia="sl-SI"/>
              </w:rPr>
            </w:pPr>
            <w:r w:rsidRPr="001D666C">
              <w:rPr>
                <w:rFonts w:ascii="Arial Narrow" w:hAnsi="Arial Narrow"/>
                <w:b w:val="0"/>
                <w:color w:val="000000"/>
                <w:sz w:val="16"/>
                <w:szCs w:val="16"/>
                <w:lang w:eastAsia="sl-SI"/>
              </w:rPr>
              <w:t>Gasilci</w:t>
            </w:r>
          </w:p>
        </w:tc>
        <w:tc>
          <w:tcPr>
            <w:tcW w:w="996" w:type="pct"/>
            <w:shd w:val="clear" w:color="auto" w:fill="D6E3BC" w:themeFill="accent3" w:themeFillTint="66"/>
            <w:noWrap/>
            <w:hideMark/>
          </w:tcPr>
          <w:p w:rsidR="001D666C" w:rsidRPr="001D666C" w:rsidRDefault="001D666C" w:rsidP="001D666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37</w:t>
            </w:r>
          </w:p>
        </w:tc>
        <w:tc>
          <w:tcPr>
            <w:tcW w:w="854" w:type="pct"/>
            <w:shd w:val="clear" w:color="auto" w:fill="D6E3BC" w:themeFill="accent3" w:themeFillTint="66"/>
            <w:noWrap/>
            <w:hideMark/>
          </w:tcPr>
          <w:p w:rsidR="001D666C" w:rsidRPr="001D666C" w:rsidRDefault="001D666C" w:rsidP="001D666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42</w:t>
            </w:r>
          </w:p>
        </w:tc>
        <w:tc>
          <w:tcPr>
            <w:tcW w:w="1173" w:type="pct"/>
            <w:shd w:val="clear" w:color="auto" w:fill="D6E3BC" w:themeFill="accent3" w:themeFillTint="66"/>
            <w:noWrap/>
            <w:hideMark/>
          </w:tcPr>
          <w:p w:rsidR="001D666C" w:rsidRPr="001D666C" w:rsidRDefault="001D666C" w:rsidP="00D4282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5</w:t>
            </w:r>
          </w:p>
        </w:tc>
      </w:tr>
      <w:tr w:rsidR="00A071AF" w:rsidRPr="001D666C" w:rsidTr="00A071AF">
        <w:trPr>
          <w:cnfStyle w:val="000000100000" w:firstRow="0" w:lastRow="0" w:firstColumn="0" w:lastColumn="0" w:oddVBand="0" w:evenVBand="0" w:oddHBand="1" w:evenHBand="0" w:firstRowFirstColumn="0" w:firstRowLastColumn="0" w:lastRowFirstColumn="0" w:lastRowLastColumn="0"/>
          <w:trHeight w:hRule="exact" w:val="227"/>
        </w:trPr>
        <w:tc>
          <w:tcPr>
            <w:cnfStyle w:val="001000000000" w:firstRow="0" w:lastRow="0" w:firstColumn="1" w:lastColumn="0" w:oddVBand="0" w:evenVBand="0" w:oddHBand="0" w:evenHBand="0" w:firstRowFirstColumn="0" w:firstRowLastColumn="0" w:lastRowFirstColumn="0" w:lastRowLastColumn="0"/>
            <w:tcW w:w="1977" w:type="pct"/>
            <w:shd w:val="clear" w:color="auto" w:fill="D6E3BC" w:themeFill="accent3" w:themeFillTint="66"/>
            <w:hideMark/>
          </w:tcPr>
          <w:p w:rsidR="001D666C" w:rsidRPr="001D666C" w:rsidRDefault="001D666C" w:rsidP="001D666C">
            <w:pPr>
              <w:spacing w:after="0" w:line="240" w:lineRule="auto"/>
              <w:rPr>
                <w:rFonts w:ascii="Arial Narrow" w:hAnsi="Arial Narrow"/>
                <w:b w:val="0"/>
                <w:color w:val="000000"/>
                <w:sz w:val="16"/>
                <w:szCs w:val="16"/>
                <w:lang w:eastAsia="sl-SI"/>
              </w:rPr>
            </w:pPr>
            <w:r w:rsidRPr="001D666C">
              <w:rPr>
                <w:rFonts w:ascii="Arial Narrow" w:hAnsi="Arial Narrow"/>
                <w:b w:val="0"/>
                <w:color w:val="000000"/>
                <w:sz w:val="16"/>
                <w:szCs w:val="16"/>
                <w:lang w:eastAsia="sl-SI"/>
              </w:rPr>
              <w:t>Javna razsvetljava</w:t>
            </w:r>
          </w:p>
        </w:tc>
        <w:tc>
          <w:tcPr>
            <w:tcW w:w="996" w:type="pct"/>
            <w:shd w:val="clear" w:color="auto" w:fill="D6E3BC" w:themeFill="accent3" w:themeFillTint="66"/>
            <w:noWrap/>
            <w:hideMark/>
          </w:tcPr>
          <w:p w:rsidR="001D666C" w:rsidRPr="001D666C" w:rsidRDefault="001D666C" w:rsidP="001D666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41</w:t>
            </w:r>
          </w:p>
        </w:tc>
        <w:tc>
          <w:tcPr>
            <w:tcW w:w="854" w:type="pct"/>
            <w:shd w:val="clear" w:color="auto" w:fill="D6E3BC" w:themeFill="accent3" w:themeFillTint="66"/>
            <w:noWrap/>
            <w:hideMark/>
          </w:tcPr>
          <w:p w:rsidR="001D666C" w:rsidRPr="001D666C" w:rsidRDefault="001D666C" w:rsidP="001D666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46</w:t>
            </w:r>
          </w:p>
        </w:tc>
        <w:tc>
          <w:tcPr>
            <w:tcW w:w="1173" w:type="pct"/>
            <w:shd w:val="clear" w:color="auto" w:fill="D6E3BC" w:themeFill="accent3" w:themeFillTint="66"/>
            <w:noWrap/>
            <w:hideMark/>
          </w:tcPr>
          <w:p w:rsidR="001D666C" w:rsidRPr="001D666C" w:rsidRDefault="001D666C" w:rsidP="00D4282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5</w:t>
            </w:r>
          </w:p>
        </w:tc>
      </w:tr>
      <w:tr w:rsidR="00A071AF" w:rsidRPr="001D666C" w:rsidTr="00A071AF">
        <w:trPr>
          <w:trHeight w:hRule="exact" w:val="227"/>
        </w:trPr>
        <w:tc>
          <w:tcPr>
            <w:cnfStyle w:val="001000000000" w:firstRow="0" w:lastRow="0" w:firstColumn="1" w:lastColumn="0" w:oddVBand="0" w:evenVBand="0" w:oddHBand="0" w:evenHBand="0" w:firstRowFirstColumn="0" w:firstRowLastColumn="0" w:lastRowFirstColumn="0" w:lastRowLastColumn="0"/>
            <w:tcW w:w="1977" w:type="pct"/>
            <w:shd w:val="clear" w:color="auto" w:fill="D6E3BC" w:themeFill="accent3" w:themeFillTint="66"/>
            <w:hideMark/>
          </w:tcPr>
          <w:p w:rsidR="001D666C" w:rsidRPr="001D666C" w:rsidRDefault="001D666C" w:rsidP="001D666C">
            <w:pPr>
              <w:spacing w:after="0" w:line="240" w:lineRule="auto"/>
              <w:rPr>
                <w:rFonts w:ascii="Arial Narrow" w:hAnsi="Arial Narrow"/>
                <w:b w:val="0"/>
                <w:color w:val="000000"/>
                <w:sz w:val="16"/>
                <w:szCs w:val="16"/>
                <w:lang w:eastAsia="sl-SI"/>
              </w:rPr>
            </w:pPr>
            <w:r w:rsidRPr="001D666C">
              <w:rPr>
                <w:rFonts w:ascii="Arial Narrow" w:hAnsi="Arial Narrow"/>
                <w:b w:val="0"/>
                <w:color w:val="000000"/>
                <w:sz w:val="16"/>
                <w:szCs w:val="16"/>
                <w:lang w:eastAsia="sl-SI"/>
              </w:rPr>
              <w:t>Druge dejavnosti s področja javnega reda in varnosti</w:t>
            </w:r>
          </w:p>
        </w:tc>
        <w:tc>
          <w:tcPr>
            <w:tcW w:w="996" w:type="pct"/>
            <w:shd w:val="clear" w:color="auto" w:fill="D6E3BC" w:themeFill="accent3" w:themeFillTint="66"/>
            <w:noWrap/>
            <w:hideMark/>
          </w:tcPr>
          <w:p w:rsidR="001D666C" w:rsidRPr="001D666C" w:rsidRDefault="001D666C" w:rsidP="001D666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39</w:t>
            </w:r>
          </w:p>
        </w:tc>
        <w:tc>
          <w:tcPr>
            <w:tcW w:w="854" w:type="pct"/>
            <w:shd w:val="clear" w:color="auto" w:fill="D6E3BC" w:themeFill="accent3" w:themeFillTint="66"/>
            <w:noWrap/>
            <w:hideMark/>
          </w:tcPr>
          <w:p w:rsidR="001D666C" w:rsidRPr="001D666C" w:rsidRDefault="001D666C" w:rsidP="001D666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43</w:t>
            </w:r>
          </w:p>
        </w:tc>
        <w:tc>
          <w:tcPr>
            <w:tcW w:w="1173" w:type="pct"/>
            <w:shd w:val="clear" w:color="auto" w:fill="D6E3BC" w:themeFill="accent3" w:themeFillTint="66"/>
            <w:noWrap/>
            <w:hideMark/>
          </w:tcPr>
          <w:p w:rsidR="001D666C" w:rsidRPr="001D666C" w:rsidRDefault="001D666C" w:rsidP="00D4282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4</w:t>
            </w:r>
          </w:p>
        </w:tc>
      </w:tr>
      <w:tr w:rsidR="00A071AF" w:rsidRPr="001D666C" w:rsidTr="00A071AF">
        <w:trPr>
          <w:cnfStyle w:val="000000100000" w:firstRow="0" w:lastRow="0" w:firstColumn="0" w:lastColumn="0" w:oddVBand="0" w:evenVBand="0" w:oddHBand="1" w:evenHBand="0" w:firstRowFirstColumn="0" w:firstRowLastColumn="0" w:lastRowFirstColumn="0" w:lastRowLastColumn="0"/>
          <w:trHeight w:hRule="exact" w:val="227"/>
        </w:trPr>
        <w:tc>
          <w:tcPr>
            <w:cnfStyle w:val="001000000000" w:firstRow="0" w:lastRow="0" w:firstColumn="1" w:lastColumn="0" w:oddVBand="0" w:evenVBand="0" w:oddHBand="0" w:evenHBand="0" w:firstRowFirstColumn="0" w:firstRowLastColumn="0" w:lastRowFirstColumn="0" w:lastRowLastColumn="0"/>
            <w:tcW w:w="1977" w:type="pct"/>
            <w:shd w:val="clear" w:color="auto" w:fill="D6E3BC" w:themeFill="accent3" w:themeFillTint="66"/>
            <w:hideMark/>
          </w:tcPr>
          <w:p w:rsidR="001D666C" w:rsidRPr="001D666C" w:rsidRDefault="001D666C" w:rsidP="001D666C">
            <w:pPr>
              <w:spacing w:after="0" w:line="240" w:lineRule="auto"/>
              <w:rPr>
                <w:rFonts w:ascii="Arial Narrow" w:hAnsi="Arial Narrow"/>
                <w:b w:val="0"/>
                <w:color w:val="000000"/>
                <w:sz w:val="16"/>
                <w:szCs w:val="16"/>
                <w:lang w:eastAsia="sl-SI"/>
              </w:rPr>
            </w:pPr>
            <w:r w:rsidRPr="001D666C">
              <w:rPr>
                <w:rFonts w:ascii="Arial Narrow" w:hAnsi="Arial Narrow"/>
                <w:b w:val="0"/>
                <w:color w:val="000000"/>
                <w:sz w:val="16"/>
                <w:szCs w:val="16"/>
                <w:lang w:eastAsia="sl-SI"/>
              </w:rPr>
              <w:t>Druge dejavnosti s področja rekreacije, kulture in religije</w:t>
            </w:r>
          </w:p>
        </w:tc>
        <w:tc>
          <w:tcPr>
            <w:tcW w:w="996" w:type="pct"/>
            <w:shd w:val="clear" w:color="auto" w:fill="D6E3BC" w:themeFill="accent3" w:themeFillTint="66"/>
            <w:noWrap/>
            <w:hideMark/>
          </w:tcPr>
          <w:p w:rsidR="001D666C" w:rsidRPr="001D666C" w:rsidRDefault="001D666C" w:rsidP="001D666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40</w:t>
            </w:r>
          </w:p>
        </w:tc>
        <w:tc>
          <w:tcPr>
            <w:tcW w:w="854" w:type="pct"/>
            <w:shd w:val="clear" w:color="auto" w:fill="D6E3BC" w:themeFill="accent3" w:themeFillTint="66"/>
            <w:noWrap/>
            <w:hideMark/>
          </w:tcPr>
          <w:p w:rsidR="001D666C" w:rsidRPr="001D666C" w:rsidRDefault="001D666C" w:rsidP="001D666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44</w:t>
            </w:r>
          </w:p>
        </w:tc>
        <w:tc>
          <w:tcPr>
            <w:tcW w:w="1173" w:type="pct"/>
            <w:shd w:val="clear" w:color="auto" w:fill="D6E3BC" w:themeFill="accent3" w:themeFillTint="66"/>
            <w:noWrap/>
            <w:hideMark/>
          </w:tcPr>
          <w:p w:rsidR="001D666C" w:rsidRPr="001D666C" w:rsidRDefault="001D666C" w:rsidP="00D4282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4</w:t>
            </w:r>
          </w:p>
        </w:tc>
      </w:tr>
      <w:tr w:rsidR="00A071AF" w:rsidRPr="001D666C" w:rsidTr="00A071AF">
        <w:trPr>
          <w:trHeight w:hRule="exact" w:val="227"/>
        </w:trPr>
        <w:tc>
          <w:tcPr>
            <w:cnfStyle w:val="001000000000" w:firstRow="0" w:lastRow="0" w:firstColumn="1" w:lastColumn="0" w:oddVBand="0" w:evenVBand="0" w:oddHBand="0" w:evenHBand="0" w:firstRowFirstColumn="0" w:firstRowLastColumn="0" w:lastRowFirstColumn="0" w:lastRowLastColumn="0"/>
            <w:tcW w:w="1977" w:type="pct"/>
            <w:shd w:val="clear" w:color="auto" w:fill="D6E3BC" w:themeFill="accent3" w:themeFillTint="66"/>
            <w:hideMark/>
          </w:tcPr>
          <w:p w:rsidR="001D666C" w:rsidRPr="001D666C" w:rsidRDefault="001D666C" w:rsidP="001D666C">
            <w:pPr>
              <w:spacing w:after="0" w:line="240" w:lineRule="auto"/>
              <w:rPr>
                <w:rFonts w:ascii="Arial Narrow" w:hAnsi="Arial Narrow"/>
                <w:b w:val="0"/>
                <w:color w:val="000000"/>
                <w:sz w:val="16"/>
                <w:szCs w:val="16"/>
                <w:lang w:eastAsia="sl-SI"/>
              </w:rPr>
            </w:pPr>
            <w:r w:rsidRPr="001D666C">
              <w:rPr>
                <w:rFonts w:ascii="Arial Narrow" w:hAnsi="Arial Narrow"/>
                <w:b w:val="0"/>
                <w:color w:val="000000"/>
                <w:sz w:val="16"/>
                <w:szCs w:val="16"/>
                <w:lang w:eastAsia="sl-SI"/>
              </w:rPr>
              <w:t>Zapori</w:t>
            </w:r>
          </w:p>
        </w:tc>
        <w:tc>
          <w:tcPr>
            <w:tcW w:w="996" w:type="pct"/>
            <w:shd w:val="clear" w:color="auto" w:fill="D6E3BC" w:themeFill="accent3" w:themeFillTint="66"/>
            <w:noWrap/>
            <w:hideMark/>
          </w:tcPr>
          <w:p w:rsidR="001D666C" w:rsidRPr="001D666C" w:rsidRDefault="001D666C" w:rsidP="001D666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44</w:t>
            </w:r>
          </w:p>
        </w:tc>
        <w:tc>
          <w:tcPr>
            <w:tcW w:w="854" w:type="pct"/>
            <w:shd w:val="clear" w:color="auto" w:fill="D6E3BC" w:themeFill="accent3" w:themeFillTint="66"/>
            <w:noWrap/>
            <w:hideMark/>
          </w:tcPr>
          <w:p w:rsidR="001D666C" w:rsidRPr="001D666C" w:rsidRDefault="001D666C" w:rsidP="001D666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48</w:t>
            </w:r>
          </w:p>
        </w:tc>
        <w:tc>
          <w:tcPr>
            <w:tcW w:w="1173" w:type="pct"/>
            <w:shd w:val="clear" w:color="auto" w:fill="D6E3BC" w:themeFill="accent3" w:themeFillTint="66"/>
            <w:noWrap/>
            <w:hideMark/>
          </w:tcPr>
          <w:p w:rsidR="001D666C" w:rsidRPr="001D666C" w:rsidRDefault="001D666C" w:rsidP="00D4282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4</w:t>
            </w:r>
          </w:p>
        </w:tc>
      </w:tr>
      <w:tr w:rsidR="00A071AF" w:rsidRPr="001D666C" w:rsidTr="00A071AF">
        <w:trPr>
          <w:cnfStyle w:val="000000100000" w:firstRow="0" w:lastRow="0" w:firstColumn="0" w:lastColumn="0" w:oddVBand="0" w:evenVBand="0" w:oddHBand="1" w:evenHBand="0" w:firstRowFirstColumn="0" w:firstRowLastColumn="0" w:lastRowFirstColumn="0" w:lastRowLastColumn="0"/>
          <w:trHeight w:hRule="exact" w:val="227"/>
        </w:trPr>
        <w:tc>
          <w:tcPr>
            <w:cnfStyle w:val="001000000000" w:firstRow="0" w:lastRow="0" w:firstColumn="1" w:lastColumn="0" w:oddVBand="0" w:evenVBand="0" w:oddHBand="0" w:evenHBand="0" w:firstRowFirstColumn="0" w:firstRowLastColumn="0" w:lastRowFirstColumn="0" w:lastRowLastColumn="0"/>
            <w:tcW w:w="1977" w:type="pct"/>
            <w:shd w:val="clear" w:color="auto" w:fill="D6E3BC" w:themeFill="accent3" w:themeFillTint="66"/>
            <w:hideMark/>
          </w:tcPr>
          <w:p w:rsidR="001D666C" w:rsidRPr="001D666C" w:rsidRDefault="001D666C" w:rsidP="001D666C">
            <w:pPr>
              <w:spacing w:after="0" w:line="240" w:lineRule="auto"/>
              <w:rPr>
                <w:rFonts w:ascii="Arial Narrow" w:hAnsi="Arial Narrow"/>
                <w:b w:val="0"/>
                <w:color w:val="000000"/>
                <w:sz w:val="16"/>
                <w:szCs w:val="16"/>
                <w:lang w:eastAsia="sl-SI"/>
              </w:rPr>
            </w:pPr>
            <w:r w:rsidRPr="001D666C">
              <w:rPr>
                <w:rFonts w:ascii="Arial Narrow" w:hAnsi="Arial Narrow"/>
                <w:b w:val="0"/>
                <w:color w:val="000000"/>
                <w:sz w:val="16"/>
                <w:szCs w:val="16"/>
                <w:lang w:eastAsia="sl-SI"/>
              </w:rPr>
              <w:t>Raziskave in razvoj na področju izobraževanja</w:t>
            </w:r>
          </w:p>
        </w:tc>
        <w:tc>
          <w:tcPr>
            <w:tcW w:w="996" w:type="pct"/>
            <w:shd w:val="clear" w:color="auto" w:fill="D6E3BC" w:themeFill="accent3" w:themeFillTint="66"/>
            <w:noWrap/>
            <w:hideMark/>
          </w:tcPr>
          <w:p w:rsidR="001D666C" w:rsidRPr="001D666C" w:rsidRDefault="001D666C" w:rsidP="001D666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65</w:t>
            </w:r>
          </w:p>
        </w:tc>
        <w:tc>
          <w:tcPr>
            <w:tcW w:w="854" w:type="pct"/>
            <w:shd w:val="clear" w:color="auto" w:fill="D6E3BC" w:themeFill="accent3" w:themeFillTint="66"/>
            <w:noWrap/>
            <w:hideMark/>
          </w:tcPr>
          <w:p w:rsidR="001D666C" w:rsidRPr="001D666C" w:rsidRDefault="001D666C" w:rsidP="001D666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69</w:t>
            </w:r>
          </w:p>
        </w:tc>
        <w:tc>
          <w:tcPr>
            <w:tcW w:w="1173" w:type="pct"/>
            <w:shd w:val="clear" w:color="auto" w:fill="D6E3BC" w:themeFill="accent3" w:themeFillTint="66"/>
            <w:noWrap/>
            <w:hideMark/>
          </w:tcPr>
          <w:p w:rsidR="001D666C" w:rsidRPr="001D666C" w:rsidRDefault="001D666C" w:rsidP="00D4282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4</w:t>
            </w:r>
          </w:p>
        </w:tc>
      </w:tr>
      <w:tr w:rsidR="00A071AF" w:rsidRPr="001D666C" w:rsidTr="00A071AF">
        <w:trPr>
          <w:trHeight w:hRule="exact" w:val="227"/>
        </w:trPr>
        <w:tc>
          <w:tcPr>
            <w:cnfStyle w:val="001000000000" w:firstRow="0" w:lastRow="0" w:firstColumn="1" w:lastColumn="0" w:oddVBand="0" w:evenVBand="0" w:oddHBand="0" w:evenHBand="0" w:firstRowFirstColumn="0" w:firstRowLastColumn="0" w:lastRowFirstColumn="0" w:lastRowLastColumn="0"/>
            <w:tcW w:w="1977" w:type="pct"/>
            <w:shd w:val="clear" w:color="auto" w:fill="D6E3BC" w:themeFill="accent3" w:themeFillTint="66"/>
            <w:hideMark/>
          </w:tcPr>
          <w:p w:rsidR="001D666C" w:rsidRPr="001D666C" w:rsidRDefault="001D666C" w:rsidP="001D666C">
            <w:pPr>
              <w:spacing w:after="0" w:line="240" w:lineRule="auto"/>
              <w:rPr>
                <w:rFonts w:ascii="Arial Narrow" w:hAnsi="Arial Narrow"/>
                <w:b w:val="0"/>
                <w:color w:val="000000"/>
                <w:sz w:val="16"/>
                <w:szCs w:val="16"/>
                <w:lang w:eastAsia="sl-SI"/>
              </w:rPr>
            </w:pPr>
            <w:r w:rsidRPr="001D666C">
              <w:rPr>
                <w:rFonts w:ascii="Arial Narrow" w:hAnsi="Arial Narrow"/>
                <w:b w:val="0"/>
                <w:color w:val="000000"/>
                <w:sz w:val="16"/>
                <w:szCs w:val="16"/>
                <w:lang w:eastAsia="sl-SI"/>
              </w:rPr>
              <w:t>Druge dejavnosti s področja zdravstva</w:t>
            </w:r>
          </w:p>
        </w:tc>
        <w:tc>
          <w:tcPr>
            <w:tcW w:w="996" w:type="pct"/>
            <w:shd w:val="clear" w:color="auto" w:fill="D6E3BC" w:themeFill="accent3" w:themeFillTint="66"/>
            <w:noWrap/>
            <w:hideMark/>
          </w:tcPr>
          <w:p w:rsidR="001D666C" w:rsidRPr="001D666C" w:rsidRDefault="001D666C" w:rsidP="001D666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30</w:t>
            </w:r>
          </w:p>
        </w:tc>
        <w:tc>
          <w:tcPr>
            <w:tcW w:w="854" w:type="pct"/>
            <w:shd w:val="clear" w:color="auto" w:fill="D6E3BC" w:themeFill="accent3" w:themeFillTint="66"/>
            <w:noWrap/>
            <w:hideMark/>
          </w:tcPr>
          <w:p w:rsidR="001D666C" w:rsidRPr="001D666C" w:rsidRDefault="001D666C" w:rsidP="001D666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33</w:t>
            </w:r>
          </w:p>
        </w:tc>
        <w:tc>
          <w:tcPr>
            <w:tcW w:w="1173" w:type="pct"/>
            <w:shd w:val="clear" w:color="auto" w:fill="D6E3BC" w:themeFill="accent3" w:themeFillTint="66"/>
            <w:noWrap/>
            <w:hideMark/>
          </w:tcPr>
          <w:p w:rsidR="001D666C" w:rsidRPr="001D666C" w:rsidRDefault="001D666C" w:rsidP="00D4282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3</w:t>
            </w:r>
          </w:p>
        </w:tc>
      </w:tr>
      <w:tr w:rsidR="00A071AF" w:rsidRPr="001D666C" w:rsidTr="00A071AF">
        <w:trPr>
          <w:cnfStyle w:val="000000100000" w:firstRow="0" w:lastRow="0" w:firstColumn="0" w:lastColumn="0" w:oddVBand="0" w:evenVBand="0" w:oddHBand="1" w:evenHBand="0" w:firstRowFirstColumn="0" w:firstRowLastColumn="0" w:lastRowFirstColumn="0" w:lastRowLastColumn="0"/>
          <w:trHeight w:hRule="exact" w:val="227"/>
        </w:trPr>
        <w:tc>
          <w:tcPr>
            <w:cnfStyle w:val="001000000000" w:firstRow="0" w:lastRow="0" w:firstColumn="1" w:lastColumn="0" w:oddVBand="0" w:evenVBand="0" w:oddHBand="0" w:evenHBand="0" w:firstRowFirstColumn="0" w:firstRowLastColumn="0" w:lastRowFirstColumn="0" w:lastRowLastColumn="0"/>
            <w:tcW w:w="1977" w:type="pct"/>
            <w:shd w:val="clear" w:color="auto" w:fill="D6E3BC" w:themeFill="accent3" w:themeFillTint="66"/>
            <w:hideMark/>
          </w:tcPr>
          <w:p w:rsidR="001D666C" w:rsidRPr="001D666C" w:rsidRDefault="001D666C" w:rsidP="001D666C">
            <w:pPr>
              <w:spacing w:after="0" w:line="240" w:lineRule="auto"/>
              <w:rPr>
                <w:rFonts w:ascii="Arial Narrow" w:hAnsi="Arial Narrow"/>
                <w:b w:val="0"/>
                <w:color w:val="000000"/>
                <w:sz w:val="16"/>
                <w:szCs w:val="16"/>
                <w:lang w:eastAsia="sl-SI"/>
              </w:rPr>
            </w:pPr>
            <w:r w:rsidRPr="001D666C">
              <w:rPr>
                <w:rFonts w:ascii="Arial Narrow" w:hAnsi="Arial Narrow"/>
                <w:b w:val="0"/>
                <w:color w:val="000000"/>
                <w:sz w:val="16"/>
                <w:szCs w:val="16"/>
                <w:lang w:eastAsia="sl-SI"/>
              </w:rPr>
              <w:t>Dopolnilne izobraževalne storitve</w:t>
            </w:r>
          </w:p>
        </w:tc>
        <w:tc>
          <w:tcPr>
            <w:tcW w:w="996" w:type="pct"/>
            <w:shd w:val="clear" w:color="auto" w:fill="D6E3BC" w:themeFill="accent3" w:themeFillTint="66"/>
            <w:noWrap/>
            <w:hideMark/>
          </w:tcPr>
          <w:p w:rsidR="001D666C" w:rsidRPr="001D666C" w:rsidRDefault="001D666C" w:rsidP="001D666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32</w:t>
            </w:r>
          </w:p>
        </w:tc>
        <w:tc>
          <w:tcPr>
            <w:tcW w:w="854" w:type="pct"/>
            <w:shd w:val="clear" w:color="auto" w:fill="D6E3BC" w:themeFill="accent3" w:themeFillTint="66"/>
            <w:noWrap/>
            <w:hideMark/>
          </w:tcPr>
          <w:p w:rsidR="001D666C" w:rsidRPr="001D666C" w:rsidRDefault="001D666C" w:rsidP="001D666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35</w:t>
            </w:r>
          </w:p>
        </w:tc>
        <w:tc>
          <w:tcPr>
            <w:tcW w:w="1173" w:type="pct"/>
            <w:shd w:val="clear" w:color="auto" w:fill="D6E3BC" w:themeFill="accent3" w:themeFillTint="66"/>
            <w:noWrap/>
            <w:hideMark/>
          </w:tcPr>
          <w:p w:rsidR="001D666C" w:rsidRPr="001D666C" w:rsidRDefault="001D666C" w:rsidP="00D4282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3</w:t>
            </w:r>
          </w:p>
        </w:tc>
      </w:tr>
      <w:tr w:rsidR="00A071AF" w:rsidRPr="001D666C" w:rsidTr="00A071AF">
        <w:trPr>
          <w:trHeight w:hRule="exact" w:val="227"/>
        </w:trPr>
        <w:tc>
          <w:tcPr>
            <w:cnfStyle w:val="001000000000" w:firstRow="0" w:lastRow="0" w:firstColumn="1" w:lastColumn="0" w:oddVBand="0" w:evenVBand="0" w:oddHBand="0" w:evenHBand="0" w:firstRowFirstColumn="0" w:firstRowLastColumn="0" w:lastRowFirstColumn="0" w:lastRowLastColumn="0"/>
            <w:tcW w:w="1977" w:type="pct"/>
            <w:shd w:val="clear" w:color="auto" w:fill="D6E3BC" w:themeFill="accent3" w:themeFillTint="66"/>
            <w:hideMark/>
          </w:tcPr>
          <w:p w:rsidR="001D666C" w:rsidRPr="001D666C" w:rsidRDefault="001D666C" w:rsidP="001D666C">
            <w:pPr>
              <w:spacing w:after="0" w:line="240" w:lineRule="auto"/>
              <w:rPr>
                <w:rFonts w:ascii="Arial Narrow" w:hAnsi="Arial Narrow"/>
                <w:b w:val="0"/>
                <w:color w:val="000000"/>
                <w:sz w:val="16"/>
                <w:szCs w:val="16"/>
                <w:lang w:eastAsia="sl-SI"/>
              </w:rPr>
            </w:pPr>
            <w:r w:rsidRPr="001D666C">
              <w:rPr>
                <w:rFonts w:ascii="Arial Narrow" w:hAnsi="Arial Narrow"/>
                <w:b w:val="0"/>
                <w:color w:val="000000"/>
                <w:sz w:val="16"/>
                <w:szCs w:val="16"/>
                <w:lang w:eastAsia="sl-SI"/>
              </w:rPr>
              <w:t>Stanovanja</w:t>
            </w:r>
          </w:p>
        </w:tc>
        <w:tc>
          <w:tcPr>
            <w:tcW w:w="996" w:type="pct"/>
            <w:shd w:val="clear" w:color="auto" w:fill="D6E3BC" w:themeFill="accent3" w:themeFillTint="66"/>
            <w:noWrap/>
            <w:hideMark/>
          </w:tcPr>
          <w:p w:rsidR="001D666C" w:rsidRPr="001D666C" w:rsidRDefault="001D666C" w:rsidP="001D666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56</w:t>
            </w:r>
          </w:p>
        </w:tc>
        <w:tc>
          <w:tcPr>
            <w:tcW w:w="854" w:type="pct"/>
            <w:shd w:val="clear" w:color="auto" w:fill="D6E3BC" w:themeFill="accent3" w:themeFillTint="66"/>
            <w:noWrap/>
            <w:hideMark/>
          </w:tcPr>
          <w:p w:rsidR="001D666C" w:rsidRPr="001D666C" w:rsidRDefault="001D666C" w:rsidP="001D666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59</w:t>
            </w:r>
          </w:p>
        </w:tc>
        <w:tc>
          <w:tcPr>
            <w:tcW w:w="1173" w:type="pct"/>
            <w:shd w:val="clear" w:color="auto" w:fill="D6E3BC" w:themeFill="accent3" w:themeFillTint="66"/>
            <w:noWrap/>
            <w:hideMark/>
          </w:tcPr>
          <w:p w:rsidR="001D666C" w:rsidRPr="001D666C" w:rsidRDefault="001D666C" w:rsidP="00D4282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3</w:t>
            </w:r>
          </w:p>
        </w:tc>
      </w:tr>
      <w:tr w:rsidR="00A071AF" w:rsidRPr="001D666C" w:rsidTr="00A071AF">
        <w:trPr>
          <w:cnfStyle w:val="000000100000" w:firstRow="0" w:lastRow="0" w:firstColumn="0" w:lastColumn="0" w:oddVBand="0" w:evenVBand="0" w:oddHBand="1" w:evenHBand="0" w:firstRowFirstColumn="0" w:firstRowLastColumn="0" w:lastRowFirstColumn="0" w:lastRowLastColumn="0"/>
          <w:trHeight w:hRule="exact" w:val="227"/>
        </w:trPr>
        <w:tc>
          <w:tcPr>
            <w:cnfStyle w:val="001000000000" w:firstRow="0" w:lastRow="0" w:firstColumn="1" w:lastColumn="0" w:oddVBand="0" w:evenVBand="0" w:oddHBand="0" w:evenHBand="0" w:firstRowFirstColumn="0" w:firstRowLastColumn="0" w:lastRowFirstColumn="0" w:lastRowLastColumn="0"/>
            <w:tcW w:w="1977" w:type="pct"/>
            <w:shd w:val="clear" w:color="auto" w:fill="D6E3BC" w:themeFill="accent3" w:themeFillTint="66"/>
            <w:hideMark/>
          </w:tcPr>
          <w:p w:rsidR="001D666C" w:rsidRPr="001D666C" w:rsidRDefault="001D666C" w:rsidP="001D666C">
            <w:pPr>
              <w:spacing w:after="0" w:line="240" w:lineRule="auto"/>
              <w:rPr>
                <w:rFonts w:ascii="Arial Narrow" w:hAnsi="Arial Narrow"/>
                <w:b w:val="0"/>
                <w:color w:val="000000"/>
                <w:sz w:val="16"/>
                <w:szCs w:val="16"/>
                <w:lang w:eastAsia="sl-SI"/>
              </w:rPr>
            </w:pPr>
            <w:r w:rsidRPr="001D666C">
              <w:rPr>
                <w:rFonts w:ascii="Arial Narrow" w:hAnsi="Arial Narrow"/>
                <w:b w:val="0"/>
                <w:color w:val="000000"/>
                <w:sz w:val="16"/>
                <w:szCs w:val="16"/>
                <w:lang w:eastAsia="sl-SI"/>
              </w:rPr>
              <w:t>Raziskave in razvoj na področju rekreacije, kulture in religije</w:t>
            </w:r>
          </w:p>
        </w:tc>
        <w:tc>
          <w:tcPr>
            <w:tcW w:w="996" w:type="pct"/>
            <w:shd w:val="clear" w:color="auto" w:fill="D6E3BC" w:themeFill="accent3" w:themeFillTint="66"/>
            <w:noWrap/>
            <w:hideMark/>
          </w:tcPr>
          <w:p w:rsidR="001D666C" w:rsidRPr="001D666C" w:rsidRDefault="001D666C" w:rsidP="001D666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57</w:t>
            </w:r>
          </w:p>
        </w:tc>
        <w:tc>
          <w:tcPr>
            <w:tcW w:w="854" w:type="pct"/>
            <w:shd w:val="clear" w:color="auto" w:fill="D6E3BC" w:themeFill="accent3" w:themeFillTint="66"/>
            <w:noWrap/>
            <w:hideMark/>
          </w:tcPr>
          <w:p w:rsidR="001D666C" w:rsidRPr="001D666C" w:rsidRDefault="001D666C" w:rsidP="001D666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60</w:t>
            </w:r>
          </w:p>
        </w:tc>
        <w:tc>
          <w:tcPr>
            <w:tcW w:w="1173" w:type="pct"/>
            <w:shd w:val="clear" w:color="auto" w:fill="D6E3BC" w:themeFill="accent3" w:themeFillTint="66"/>
            <w:noWrap/>
            <w:hideMark/>
          </w:tcPr>
          <w:p w:rsidR="001D666C" w:rsidRPr="001D666C" w:rsidRDefault="001D666C" w:rsidP="00D4282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3</w:t>
            </w:r>
          </w:p>
        </w:tc>
      </w:tr>
      <w:tr w:rsidR="00A071AF" w:rsidRPr="001D666C" w:rsidTr="00A071AF">
        <w:trPr>
          <w:trHeight w:hRule="exact" w:val="227"/>
        </w:trPr>
        <w:tc>
          <w:tcPr>
            <w:cnfStyle w:val="001000000000" w:firstRow="0" w:lastRow="0" w:firstColumn="1" w:lastColumn="0" w:oddVBand="0" w:evenVBand="0" w:oddHBand="0" w:evenHBand="0" w:firstRowFirstColumn="0" w:firstRowLastColumn="0" w:lastRowFirstColumn="0" w:lastRowLastColumn="0"/>
            <w:tcW w:w="1977" w:type="pct"/>
            <w:shd w:val="clear" w:color="auto" w:fill="D6E3BC" w:themeFill="accent3" w:themeFillTint="66"/>
            <w:hideMark/>
          </w:tcPr>
          <w:p w:rsidR="001D666C" w:rsidRPr="001D666C" w:rsidRDefault="001D666C" w:rsidP="001D666C">
            <w:pPr>
              <w:spacing w:after="0" w:line="240" w:lineRule="auto"/>
              <w:rPr>
                <w:rFonts w:ascii="Arial Narrow" w:hAnsi="Arial Narrow"/>
                <w:b w:val="0"/>
                <w:color w:val="000000"/>
                <w:sz w:val="16"/>
                <w:szCs w:val="16"/>
                <w:lang w:eastAsia="sl-SI"/>
              </w:rPr>
            </w:pPr>
            <w:r w:rsidRPr="001D666C">
              <w:rPr>
                <w:rFonts w:ascii="Arial Narrow" w:hAnsi="Arial Narrow"/>
                <w:b w:val="0"/>
                <w:color w:val="000000"/>
                <w:sz w:val="16"/>
                <w:szCs w:val="16"/>
                <w:lang w:eastAsia="sl-SI"/>
              </w:rPr>
              <w:t>Raziskave in razvoj na področju javnega reda in varnosti</w:t>
            </w:r>
          </w:p>
        </w:tc>
        <w:tc>
          <w:tcPr>
            <w:tcW w:w="996" w:type="pct"/>
            <w:shd w:val="clear" w:color="auto" w:fill="D6E3BC" w:themeFill="accent3" w:themeFillTint="66"/>
            <w:noWrap/>
            <w:hideMark/>
          </w:tcPr>
          <w:p w:rsidR="001D666C" w:rsidRPr="001D666C" w:rsidRDefault="001D666C" w:rsidP="001D666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63</w:t>
            </w:r>
          </w:p>
        </w:tc>
        <w:tc>
          <w:tcPr>
            <w:tcW w:w="854" w:type="pct"/>
            <w:shd w:val="clear" w:color="auto" w:fill="D6E3BC" w:themeFill="accent3" w:themeFillTint="66"/>
            <w:noWrap/>
            <w:hideMark/>
          </w:tcPr>
          <w:p w:rsidR="001D666C" w:rsidRPr="001D666C" w:rsidRDefault="001D666C" w:rsidP="001D666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66</w:t>
            </w:r>
          </w:p>
        </w:tc>
        <w:tc>
          <w:tcPr>
            <w:tcW w:w="1173" w:type="pct"/>
            <w:shd w:val="clear" w:color="auto" w:fill="D6E3BC" w:themeFill="accent3" w:themeFillTint="66"/>
            <w:noWrap/>
            <w:hideMark/>
          </w:tcPr>
          <w:p w:rsidR="001D666C" w:rsidRPr="001D666C" w:rsidRDefault="001D666C" w:rsidP="00D4282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3</w:t>
            </w:r>
          </w:p>
        </w:tc>
      </w:tr>
      <w:tr w:rsidR="00A071AF" w:rsidRPr="001D666C" w:rsidTr="00A071AF">
        <w:trPr>
          <w:cnfStyle w:val="000000100000" w:firstRow="0" w:lastRow="0" w:firstColumn="0" w:lastColumn="0" w:oddVBand="0" w:evenVBand="0" w:oddHBand="1" w:evenHBand="0" w:firstRowFirstColumn="0" w:firstRowLastColumn="0" w:lastRowFirstColumn="0" w:lastRowLastColumn="0"/>
          <w:trHeight w:hRule="exact" w:val="227"/>
        </w:trPr>
        <w:tc>
          <w:tcPr>
            <w:cnfStyle w:val="001000000000" w:firstRow="0" w:lastRow="0" w:firstColumn="1" w:lastColumn="0" w:oddVBand="0" w:evenVBand="0" w:oddHBand="0" w:evenHBand="0" w:firstRowFirstColumn="0" w:firstRowLastColumn="0" w:lastRowFirstColumn="0" w:lastRowLastColumn="0"/>
            <w:tcW w:w="1977" w:type="pct"/>
            <w:shd w:val="clear" w:color="auto" w:fill="D6E3BC" w:themeFill="accent3" w:themeFillTint="66"/>
            <w:noWrap/>
            <w:hideMark/>
          </w:tcPr>
          <w:p w:rsidR="001D666C" w:rsidRPr="001D666C" w:rsidRDefault="001D666C" w:rsidP="001D666C">
            <w:pPr>
              <w:spacing w:after="0" w:line="240" w:lineRule="auto"/>
              <w:rPr>
                <w:rFonts w:ascii="Arial Narrow" w:hAnsi="Arial Narrow"/>
                <w:b w:val="0"/>
                <w:color w:val="000000"/>
                <w:sz w:val="16"/>
                <w:szCs w:val="16"/>
                <w:lang w:eastAsia="sl-SI"/>
              </w:rPr>
            </w:pPr>
            <w:r w:rsidRPr="001D666C">
              <w:rPr>
                <w:rFonts w:ascii="Arial Narrow" w:hAnsi="Arial Narrow"/>
                <w:b w:val="0"/>
                <w:color w:val="000000"/>
                <w:sz w:val="16"/>
                <w:szCs w:val="16"/>
                <w:lang w:eastAsia="sl-SI"/>
              </w:rPr>
              <w:t>Transport</w:t>
            </w:r>
          </w:p>
        </w:tc>
        <w:tc>
          <w:tcPr>
            <w:tcW w:w="996" w:type="pct"/>
            <w:shd w:val="clear" w:color="auto" w:fill="D6E3BC" w:themeFill="accent3" w:themeFillTint="66"/>
            <w:noWrap/>
            <w:hideMark/>
          </w:tcPr>
          <w:p w:rsidR="001D666C" w:rsidRPr="001D666C" w:rsidRDefault="001D666C" w:rsidP="001D666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3</w:t>
            </w:r>
          </w:p>
        </w:tc>
        <w:tc>
          <w:tcPr>
            <w:tcW w:w="854" w:type="pct"/>
            <w:shd w:val="clear" w:color="auto" w:fill="D6E3BC" w:themeFill="accent3" w:themeFillTint="66"/>
            <w:noWrap/>
            <w:hideMark/>
          </w:tcPr>
          <w:p w:rsidR="001D666C" w:rsidRPr="001D666C" w:rsidRDefault="001D666C" w:rsidP="001D666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5</w:t>
            </w:r>
          </w:p>
        </w:tc>
        <w:tc>
          <w:tcPr>
            <w:tcW w:w="1173" w:type="pct"/>
            <w:shd w:val="clear" w:color="auto" w:fill="D6E3BC" w:themeFill="accent3" w:themeFillTint="66"/>
            <w:noWrap/>
            <w:hideMark/>
          </w:tcPr>
          <w:p w:rsidR="001D666C" w:rsidRPr="001D666C" w:rsidRDefault="001D666C" w:rsidP="00D4282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2</w:t>
            </w:r>
          </w:p>
        </w:tc>
      </w:tr>
      <w:tr w:rsidR="00A071AF" w:rsidRPr="001D666C" w:rsidTr="00A071AF">
        <w:trPr>
          <w:trHeight w:hRule="exact" w:val="227"/>
        </w:trPr>
        <w:tc>
          <w:tcPr>
            <w:cnfStyle w:val="001000000000" w:firstRow="0" w:lastRow="0" w:firstColumn="1" w:lastColumn="0" w:oddVBand="0" w:evenVBand="0" w:oddHBand="0" w:evenHBand="0" w:firstRowFirstColumn="0" w:firstRowLastColumn="0" w:lastRowFirstColumn="0" w:lastRowLastColumn="0"/>
            <w:tcW w:w="1977" w:type="pct"/>
            <w:shd w:val="clear" w:color="auto" w:fill="D6E3BC" w:themeFill="accent3" w:themeFillTint="66"/>
            <w:hideMark/>
          </w:tcPr>
          <w:p w:rsidR="001D666C" w:rsidRPr="001D666C" w:rsidRDefault="001D666C" w:rsidP="001D666C">
            <w:pPr>
              <w:spacing w:after="0" w:line="240" w:lineRule="auto"/>
              <w:rPr>
                <w:rFonts w:ascii="Arial Narrow" w:hAnsi="Arial Narrow"/>
                <w:b w:val="0"/>
                <w:color w:val="000000"/>
                <w:sz w:val="16"/>
                <w:szCs w:val="16"/>
                <w:lang w:eastAsia="sl-SI"/>
              </w:rPr>
            </w:pPr>
            <w:r w:rsidRPr="001D666C">
              <w:rPr>
                <w:rFonts w:ascii="Arial Narrow" w:hAnsi="Arial Narrow"/>
                <w:b w:val="0"/>
                <w:color w:val="000000"/>
                <w:sz w:val="16"/>
                <w:szCs w:val="16"/>
                <w:lang w:eastAsia="sl-SI"/>
              </w:rPr>
              <w:t>Rekreacijske in športne storitve</w:t>
            </w:r>
          </w:p>
        </w:tc>
        <w:tc>
          <w:tcPr>
            <w:tcW w:w="996" w:type="pct"/>
            <w:shd w:val="clear" w:color="auto" w:fill="D6E3BC" w:themeFill="accent3" w:themeFillTint="66"/>
            <w:noWrap/>
            <w:hideMark/>
          </w:tcPr>
          <w:p w:rsidR="001D666C" w:rsidRPr="001D666C" w:rsidRDefault="001D666C" w:rsidP="001D666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29</w:t>
            </w:r>
          </w:p>
        </w:tc>
        <w:tc>
          <w:tcPr>
            <w:tcW w:w="854" w:type="pct"/>
            <w:shd w:val="clear" w:color="auto" w:fill="D6E3BC" w:themeFill="accent3" w:themeFillTint="66"/>
            <w:noWrap/>
            <w:hideMark/>
          </w:tcPr>
          <w:p w:rsidR="001D666C" w:rsidRPr="001D666C" w:rsidRDefault="001D666C" w:rsidP="001D666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31</w:t>
            </w:r>
          </w:p>
        </w:tc>
        <w:tc>
          <w:tcPr>
            <w:tcW w:w="1173" w:type="pct"/>
            <w:shd w:val="clear" w:color="auto" w:fill="D6E3BC" w:themeFill="accent3" w:themeFillTint="66"/>
            <w:noWrap/>
            <w:hideMark/>
          </w:tcPr>
          <w:p w:rsidR="001D666C" w:rsidRPr="001D666C" w:rsidRDefault="001D666C" w:rsidP="00D4282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2</w:t>
            </w:r>
          </w:p>
        </w:tc>
      </w:tr>
      <w:tr w:rsidR="00A071AF" w:rsidRPr="001D666C" w:rsidTr="00A071AF">
        <w:trPr>
          <w:cnfStyle w:val="000000100000" w:firstRow="0" w:lastRow="0" w:firstColumn="0" w:lastColumn="0" w:oddVBand="0" w:evenVBand="0" w:oddHBand="1" w:evenHBand="0" w:firstRowFirstColumn="0" w:firstRowLastColumn="0" w:lastRowFirstColumn="0" w:lastRowLastColumn="0"/>
          <w:trHeight w:hRule="exact" w:val="227"/>
        </w:trPr>
        <w:tc>
          <w:tcPr>
            <w:cnfStyle w:val="001000000000" w:firstRow="0" w:lastRow="0" w:firstColumn="1" w:lastColumn="0" w:oddVBand="0" w:evenVBand="0" w:oddHBand="0" w:evenHBand="0" w:firstRowFirstColumn="0" w:firstRowLastColumn="0" w:lastRowFirstColumn="0" w:lastRowLastColumn="0"/>
            <w:tcW w:w="1977" w:type="pct"/>
            <w:shd w:val="clear" w:color="auto" w:fill="D6E3BC" w:themeFill="accent3" w:themeFillTint="66"/>
            <w:hideMark/>
          </w:tcPr>
          <w:p w:rsidR="001D666C" w:rsidRPr="001D666C" w:rsidRDefault="001D666C" w:rsidP="001D666C">
            <w:pPr>
              <w:spacing w:after="0" w:line="240" w:lineRule="auto"/>
              <w:rPr>
                <w:rFonts w:ascii="Arial Narrow" w:hAnsi="Arial Narrow"/>
                <w:b w:val="0"/>
                <w:color w:val="000000"/>
                <w:sz w:val="16"/>
                <w:szCs w:val="16"/>
                <w:lang w:eastAsia="sl-SI"/>
              </w:rPr>
            </w:pPr>
            <w:r w:rsidRPr="001D666C">
              <w:rPr>
                <w:rFonts w:ascii="Arial Narrow" w:hAnsi="Arial Narrow"/>
                <w:b w:val="0"/>
                <w:color w:val="000000"/>
                <w:sz w:val="16"/>
                <w:szCs w:val="16"/>
                <w:lang w:eastAsia="sl-SI"/>
              </w:rPr>
              <w:t>Gospodarska pomoč tujini</w:t>
            </w:r>
          </w:p>
        </w:tc>
        <w:tc>
          <w:tcPr>
            <w:tcW w:w="996" w:type="pct"/>
            <w:shd w:val="clear" w:color="auto" w:fill="D6E3BC" w:themeFill="accent3" w:themeFillTint="66"/>
            <w:noWrap/>
            <w:hideMark/>
          </w:tcPr>
          <w:p w:rsidR="001D666C" w:rsidRPr="001D666C" w:rsidRDefault="001D666C" w:rsidP="001D666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55</w:t>
            </w:r>
          </w:p>
        </w:tc>
        <w:tc>
          <w:tcPr>
            <w:tcW w:w="854" w:type="pct"/>
            <w:shd w:val="clear" w:color="auto" w:fill="D6E3BC" w:themeFill="accent3" w:themeFillTint="66"/>
            <w:noWrap/>
            <w:hideMark/>
          </w:tcPr>
          <w:p w:rsidR="001D666C" w:rsidRPr="001D666C" w:rsidRDefault="001D666C" w:rsidP="001D666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57</w:t>
            </w:r>
          </w:p>
        </w:tc>
        <w:tc>
          <w:tcPr>
            <w:tcW w:w="1173" w:type="pct"/>
            <w:shd w:val="clear" w:color="auto" w:fill="D6E3BC" w:themeFill="accent3" w:themeFillTint="66"/>
            <w:noWrap/>
            <w:hideMark/>
          </w:tcPr>
          <w:p w:rsidR="001D666C" w:rsidRPr="001D666C" w:rsidRDefault="001D666C" w:rsidP="00D4282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2</w:t>
            </w:r>
          </w:p>
        </w:tc>
      </w:tr>
      <w:tr w:rsidR="00A071AF" w:rsidRPr="001D666C" w:rsidTr="00A071AF">
        <w:trPr>
          <w:trHeight w:hRule="exact" w:val="227"/>
        </w:trPr>
        <w:tc>
          <w:tcPr>
            <w:cnfStyle w:val="001000000000" w:firstRow="0" w:lastRow="0" w:firstColumn="1" w:lastColumn="0" w:oddVBand="0" w:evenVBand="0" w:oddHBand="0" w:evenHBand="0" w:firstRowFirstColumn="0" w:firstRowLastColumn="0" w:lastRowFirstColumn="0" w:lastRowLastColumn="0"/>
            <w:tcW w:w="1977" w:type="pct"/>
            <w:shd w:val="clear" w:color="auto" w:fill="D6E3BC" w:themeFill="accent3" w:themeFillTint="66"/>
            <w:hideMark/>
          </w:tcPr>
          <w:p w:rsidR="001D666C" w:rsidRPr="001D666C" w:rsidRDefault="001D666C" w:rsidP="001D666C">
            <w:pPr>
              <w:spacing w:after="0" w:line="240" w:lineRule="auto"/>
              <w:rPr>
                <w:rFonts w:ascii="Arial Narrow" w:hAnsi="Arial Narrow"/>
                <w:b w:val="0"/>
                <w:color w:val="000000"/>
                <w:sz w:val="16"/>
                <w:szCs w:val="16"/>
                <w:lang w:eastAsia="sl-SI"/>
              </w:rPr>
            </w:pPr>
            <w:r w:rsidRPr="001D666C">
              <w:rPr>
                <w:rFonts w:ascii="Arial Narrow" w:hAnsi="Arial Narrow"/>
                <w:b w:val="0"/>
                <w:color w:val="000000"/>
                <w:sz w:val="16"/>
                <w:szCs w:val="16"/>
                <w:lang w:eastAsia="sl-SI"/>
              </w:rPr>
              <w:t>Rudarstvo, predelovalne dejavnosti in gradbeništvo</w:t>
            </w:r>
          </w:p>
        </w:tc>
        <w:tc>
          <w:tcPr>
            <w:tcW w:w="996" w:type="pct"/>
            <w:shd w:val="clear" w:color="auto" w:fill="D6E3BC" w:themeFill="accent3" w:themeFillTint="66"/>
            <w:noWrap/>
            <w:hideMark/>
          </w:tcPr>
          <w:p w:rsidR="001D666C" w:rsidRPr="001D666C" w:rsidRDefault="001D666C" w:rsidP="001D666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60</w:t>
            </w:r>
          </w:p>
        </w:tc>
        <w:tc>
          <w:tcPr>
            <w:tcW w:w="854" w:type="pct"/>
            <w:shd w:val="clear" w:color="auto" w:fill="D6E3BC" w:themeFill="accent3" w:themeFillTint="66"/>
            <w:noWrap/>
            <w:hideMark/>
          </w:tcPr>
          <w:p w:rsidR="001D666C" w:rsidRPr="001D666C" w:rsidRDefault="001D666C" w:rsidP="001D666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62</w:t>
            </w:r>
          </w:p>
        </w:tc>
        <w:tc>
          <w:tcPr>
            <w:tcW w:w="1173" w:type="pct"/>
            <w:shd w:val="clear" w:color="auto" w:fill="D6E3BC" w:themeFill="accent3" w:themeFillTint="66"/>
            <w:noWrap/>
            <w:hideMark/>
          </w:tcPr>
          <w:p w:rsidR="001D666C" w:rsidRPr="001D666C" w:rsidRDefault="001D666C" w:rsidP="00D4282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2</w:t>
            </w:r>
          </w:p>
        </w:tc>
      </w:tr>
      <w:tr w:rsidR="00A071AF" w:rsidRPr="001D666C" w:rsidTr="00A071AF">
        <w:trPr>
          <w:cnfStyle w:val="000000100000" w:firstRow="0" w:lastRow="0" w:firstColumn="0" w:lastColumn="0" w:oddVBand="0" w:evenVBand="0" w:oddHBand="1" w:evenHBand="0" w:firstRowFirstColumn="0" w:firstRowLastColumn="0" w:lastRowFirstColumn="0" w:lastRowLastColumn="0"/>
          <w:trHeight w:hRule="exact" w:val="227"/>
        </w:trPr>
        <w:tc>
          <w:tcPr>
            <w:cnfStyle w:val="001000000000" w:firstRow="0" w:lastRow="0" w:firstColumn="1" w:lastColumn="0" w:oddVBand="0" w:evenVBand="0" w:oddHBand="0" w:evenHBand="0" w:firstRowFirstColumn="0" w:firstRowLastColumn="0" w:lastRowFirstColumn="0" w:lastRowLastColumn="0"/>
            <w:tcW w:w="1977" w:type="pct"/>
            <w:shd w:val="clear" w:color="auto" w:fill="D6E3BC" w:themeFill="accent3" w:themeFillTint="66"/>
            <w:noWrap/>
            <w:hideMark/>
          </w:tcPr>
          <w:p w:rsidR="001D666C" w:rsidRPr="001D666C" w:rsidRDefault="001D666C" w:rsidP="001D666C">
            <w:pPr>
              <w:spacing w:after="0" w:line="240" w:lineRule="auto"/>
              <w:rPr>
                <w:rFonts w:ascii="Arial Narrow" w:hAnsi="Arial Narrow"/>
                <w:b w:val="0"/>
                <w:color w:val="000000"/>
                <w:sz w:val="16"/>
                <w:szCs w:val="16"/>
                <w:lang w:eastAsia="sl-SI"/>
              </w:rPr>
            </w:pPr>
            <w:proofErr w:type="spellStart"/>
            <w:r w:rsidRPr="001D666C">
              <w:rPr>
                <w:rFonts w:ascii="Arial Narrow" w:hAnsi="Arial Narrow"/>
                <w:b w:val="0"/>
                <w:color w:val="000000"/>
                <w:sz w:val="16"/>
                <w:szCs w:val="16"/>
                <w:lang w:eastAsia="sl-SI"/>
              </w:rPr>
              <w:t>Zunajbolnišnične</w:t>
            </w:r>
            <w:proofErr w:type="spellEnd"/>
            <w:r w:rsidRPr="001D666C">
              <w:rPr>
                <w:rFonts w:ascii="Arial Narrow" w:hAnsi="Arial Narrow"/>
                <w:b w:val="0"/>
                <w:color w:val="000000"/>
                <w:sz w:val="16"/>
                <w:szCs w:val="16"/>
                <w:lang w:eastAsia="sl-SI"/>
              </w:rPr>
              <w:t xml:space="preserve"> storitve</w:t>
            </w:r>
          </w:p>
        </w:tc>
        <w:tc>
          <w:tcPr>
            <w:tcW w:w="996" w:type="pct"/>
            <w:shd w:val="clear" w:color="auto" w:fill="D6E3BC" w:themeFill="accent3" w:themeFillTint="66"/>
            <w:noWrap/>
            <w:hideMark/>
          </w:tcPr>
          <w:p w:rsidR="001D666C" w:rsidRPr="001D666C" w:rsidRDefault="001D666C" w:rsidP="001D666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7</w:t>
            </w:r>
          </w:p>
        </w:tc>
        <w:tc>
          <w:tcPr>
            <w:tcW w:w="854" w:type="pct"/>
            <w:shd w:val="clear" w:color="auto" w:fill="D6E3BC" w:themeFill="accent3" w:themeFillTint="66"/>
            <w:noWrap/>
            <w:hideMark/>
          </w:tcPr>
          <w:p w:rsidR="001D666C" w:rsidRPr="001D666C" w:rsidRDefault="001D666C" w:rsidP="001D666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8</w:t>
            </w:r>
          </w:p>
        </w:tc>
        <w:tc>
          <w:tcPr>
            <w:tcW w:w="1173" w:type="pct"/>
            <w:shd w:val="clear" w:color="auto" w:fill="D6E3BC" w:themeFill="accent3" w:themeFillTint="66"/>
            <w:noWrap/>
            <w:hideMark/>
          </w:tcPr>
          <w:p w:rsidR="001D666C" w:rsidRPr="001D666C" w:rsidRDefault="001D666C" w:rsidP="00D4282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1</w:t>
            </w:r>
          </w:p>
        </w:tc>
      </w:tr>
      <w:tr w:rsidR="00A071AF" w:rsidRPr="001D666C" w:rsidTr="00A071AF">
        <w:trPr>
          <w:trHeight w:hRule="exact" w:val="227"/>
        </w:trPr>
        <w:tc>
          <w:tcPr>
            <w:cnfStyle w:val="001000000000" w:firstRow="0" w:lastRow="0" w:firstColumn="1" w:lastColumn="0" w:oddVBand="0" w:evenVBand="0" w:oddHBand="0" w:evenHBand="0" w:firstRowFirstColumn="0" w:firstRowLastColumn="0" w:lastRowFirstColumn="0" w:lastRowLastColumn="0"/>
            <w:tcW w:w="1977" w:type="pct"/>
            <w:shd w:val="clear" w:color="auto" w:fill="D6E3BC" w:themeFill="accent3" w:themeFillTint="66"/>
            <w:hideMark/>
          </w:tcPr>
          <w:p w:rsidR="001D666C" w:rsidRPr="001D666C" w:rsidRDefault="001D666C" w:rsidP="001D666C">
            <w:pPr>
              <w:spacing w:after="0" w:line="240" w:lineRule="auto"/>
              <w:rPr>
                <w:rFonts w:ascii="Arial Narrow" w:hAnsi="Arial Narrow"/>
                <w:b w:val="0"/>
                <w:color w:val="000000"/>
                <w:sz w:val="16"/>
                <w:szCs w:val="16"/>
                <w:lang w:eastAsia="sl-SI"/>
              </w:rPr>
            </w:pPr>
            <w:r w:rsidRPr="001D666C">
              <w:rPr>
                <w:rFonts w:ascii="Arial Narrow" w:hAnsi="Arial Narrow"/>
                <w:b w:val="0"/>
                <w:color w:val="000000"/>
                <w:sz w:val="16"/>
                <w:szCs w:val="16"/>
                <w:lang w:eastAsia="sl-SI"/>
              </w:rPr>
              <w:t>Druge ekonomske dejavnosti</w:t>
            </w:r>
          </w:p>
        </w:tc>
        <w:tc>
          <w:tcPr>
            <w:tcW w:w="996" w:type="pct"/>
            <w:shd w:val="clear" w:color="auto" w:fill="D6E3BC" w:themeFill="accent3" w:themeFillTint="66"/>
            <w:noWrap/>
            <w:hideMark/>
          </w:tcPr>
          <w:p w:rsidR="001D666C" w:rsidRPr="001D666C" w:rsidRDefault="001D666C" w:rsidP="001D666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66</w:t>
            </w:r>
          </w:p>
        </w:tc>
        <w:tc>
          <w:tcPr>
            <w:tcW w:w="854" w:type="pct"/>
            <w:shd w:val="clear" w:color="auto" w:fill="D6E3BC" w:themeFill="accent3" w:themeFillTint="66"/>
            <w:noWrap/>
            <w:hideMark/>
          </w:tcPr>
          <w:p w:rsidR="001D666C" w:rsidRPr="001D666C" w:rsidRDefault="001D666C" w:rsidP="001D666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67</w:t>
            </w:r>
          </w:p>
        </w:tc>
        <w:tc>
          <w:tcPr>
            <w:tcW w:w="1173" w:type="pct"/>
            <w:shd w:val="clear" w:color="auto" w:fill="D6E3BC" w:themeFill="accent3" w:themeFillTint="66"/>
            <w:noWrap/>
            <w:hideMark/>
          </w:tcPr>
          <w:p w:rsidR="001D666C" w:rsidRPr="001D666C" w:rsidRDefault="001D666C" w:rsidP="00D4282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1</w:t>
            </w:r>
          </w:p>
        </w:tc>
      </w:tr>
      <w:tr w:rsidR="00A071AF" w:rsidRPr="001D666C" w:rsidTr="00A071AF">
        <w:trPr>
          <w:cnfStyle w:val="000000100000" w:firstRow="0" w:lastRow="0" w:firstColumn="0" w:lastColumn="0" w:oddVBand="0" w:evenVBand="0" w:oddHBand="1" w:evenHBand="0" w:firstRowFirstColumn="0" w:firstRowLastColumn="0" w:lastRowFirstColumn="0" w:lastRowLastColumn="0"/>
          <w:trHeight w:hRule="exact" w:val="227"/>
        </w:trPr>
        <w:tc>
          <w:tcPr>
            <w:cnfStyle w:val="001000000000" w:firstRow="0" w:lastRow="0" w:firstColumn="1" w:lastColumn="0" w:oddVBand="0" w:evenVBand="0" w:oddHBand="0" w:evenHBand="0" w:firstRowFirstColumn="0" w:firstRowLastColumn="0" w:lastRowFirstColumn="0" w:lastRowLastColumn="0"/>
            <w:tcW w:w="1977" w:type="pct"/>
            <w:shd w:val="clear" w:color="auto" w:fill="EAF1DD" w:themeFill="accent3" w:themeFillTint="33"/>
            <w:noWrap/>
            <w:hideMark/>
          </w:tcPr>
          <w:p w:rsidR="001D666C" w:rsidRPr="001D666C" w:rsidRDefault="001D666C" w:rsidP="001D666C">
            <w:pPr>
              <w:spacing w:after="0" w:line="240" w:lineRule="auto"/>
              <w:rPr>
                <w:rFonts w:ascii="Arial Narrow" w:hAnsi="Arial Narrow"/>
                <w:b w:val="0"/>
                <w:color w:val="000000"/>
                <w:sz w:val="16"/>
                <w:szCs w:val="16"/>
                <w:lang w:eastAsia="sl-SI"/>
              </w:rPr>
            </w:pPr>
            <w:r w:rsidRPr="001D666C">
              <w:rPr>
                <w:rFonts w:ascii="Arial Narrow" w:hAnsi="Arial Narrow"/>
                <w:b w:val="0"/>
                <w:color w:val="000000"/>
                <w:sz w:val="16"/>
                <w:szCs w:val="16"/>
                <w:lang w:eastAsia="sl-SI"/>
              </w:rPr>
              <w:t>Starost</w:t>
            </w:r>
          </w:p>
        </w:tc>
        <w:tc>
          <w:tcPr>
            <w:tcW w:w="996" w:type="pct"/>
            <w:shd w:val="clear" w:color="auto" w:fill="EAF1DD" w:themeFill="accent3" w:themeFillTint="33"/>
            <w:noWrap/>
            <w:hideMark/>
          </w:tcPr>
          <w:p w:rsidR="001D666C" w:rsidRPr="001D666C" w:rsidRDefault="001D666C" w:rsidP="001D666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1</w:t>
            </w:r>
          </w:p>
        </w:tc>
        <w:tc>
          <w:tcPr>
            <w:tcW w:w="854" w:type="pct"/>
            <w:shd w:val="clear" w:color="auto" w:fill="EAF1DD" w:themeFill="accent3" w:themeFillTint="33"/>
            <w:noWrap/>
            <w:hideMark/>
          </w:tcPr>
          <w:p w:rsidR="001D666C" w:rsidRPr="001D666C" w:rsidRDefault="001D666C" w:rsidP="001D666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1</w:t>
            </w:r>
          </w:p>
        </w:tc>
        <w:tc>
          <w:tcPr>
            <w:tcW w:w="1173" w:type="pct"/>
            <w:shd w:val="clear" w:color="auto" w:fill="EAF1DD" w:themeFill="accent3" w:themeFillTint="33"/>
            <w:noWrap/>
            <w:hideMark/>
          </w:tcPr>
          <w:p w:rsidR="001D666C" w:rsidRPr="001D666C" w:rsidRDefault="001D666C" w:rsidP="00D4282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0</w:t>
            </w:r>
          </w:p>
        </w:tc>
      </w:tr>
      <w:tr w:rsidR="00A071AF" w:rsidRPr="001D666C" w:rsidTr="00A071AF">
        <w:trPr>
          <w:trHeight w:hRule="exact" w:val="227"/>
        </w:trPr>
        <w:tc>
          <w:tcPr>
            <w:cnfStyle w:val="001000000000" w:firstRow="0" w:lastRow="0" w:firstColumn="1" w:lastColumn="0" w:oddVBand="0" w:evenVBand="0" w:oddHBand="0" w:evenHBand="0" w:firstRowFirstColumn="0" w:firstRowLastColumn="0" w:lastRowFirstColumn="0" w:lastRowLastColumn="0"/>
            <w:tcW w:w="1977" w:type="pct"/>
            <w:shd w:val="clear" w:color="auto" w:fill="EAF1DD" w:themeFill="accent3" w:themeFillTint="33"/>
            <w:noWrap/>
            <w:hideMark/>
          </w:tcPr>
          <w:p w:rsidR="001D666C" w:rsidRPr="001D666C" w:rsidRDefault="001D666C" w:rsidP="001D666C">
            <w:pPr>
              <w:spacing w:after="0" w:line="240" w:lineRule="auto"/>
              <w:rPr>
                <w:rFonts w:ascii="Arial Narrow" w:hAnsi="Arial Narrow"/>
                <w:b w:val="0"/>
                <w:color w:val="000000"/>
                <w:sz w:val="16"/>
                <w:szCs w:val="16"/>
                <w:lang w:eastAsia="sl-SI"/>
              </w:rPr>
            </w:pPr>
            <w:r w:rsidRPr="001D666C">
              <w:rPr>
                <w:rFonts w:ascii="Arial Narrow" w:hAnsi="Arial Narrow"/>
                <w:b w:val="0"/>
                <w:color w:val="000000"/>
                <w:sz w:val="16"/>
                <w:szCs w:val="16"/>
                <w:lang w:eastAsia="sl-SI"/>
              </w:rPr>
              <w:t>Terciarno izobraževanje</w:t>
            </w:r>
          </w:p>
        </w:tc>
        <w:tc>
          <w:tcPr>
            <w:tcW w:w="996" w:type="pct"/>
            <w:shd w:val="clear" w:color="auto" w:fill="EAF1DD" w:themeFill="accent3" w:themeFillTint="33"/>
            <w:noWrap/>
            <w:hideMark/>
          </w:tcPr>
          <w:p w:rsidR="001D666C" w:rsidRPr="001D666C" w:rsidRDefault="001D666C" w:rsidP="001D666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13</w:t>
            </w:r>
          </w:p>
        </w:tc>
        <w:tc>
          <w:tcPr>
            <w:tcW w:w="854" w:type="pct"/>
            <w:shd w:val="clear" w:color="auto" w:fill="EAF1DD" w:themeFill="accent3" w:themeFillTint="33"/>
            <w:noWrap/>
            <w:hideMark/>
          </w:tcPr>
          <w:p w:rsidR="001D666C" w:rsidRPr="001D666C" w:rsidRDefault="001D666C" w:rsidP="001D666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13</w:t>
            </w:r>
          </w:p>
        </w:tc>
        <w:tc>
          <w:tcPr>
            <w:tcW w:w="1173" w:type="pct"/>
            <w:shd w:val="clear" w:color="auto" w:fill="EAF1DD" w:themeFill="accent3" w:themeFillTint="33"/>
            <w:noWrap/>
            <w:hideMark/>
          </w:tcPr>
          <w:p w:rsidR="001D666C" w:rsidRPr="001D666C" w:rsidRDefault="001D666C" w:rsidP="00D4282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0</w:t>
            </w:r>
          </w:p>
        </w:tc>
      </w:tr>
      <w:tr w:rsidR="00A071AF" w:rsidRPr="001D666C" w:rsidTr="00A071AF">
        <w:trPr>
          <w:cnfStyle w:val="000000100000" w:firstRow="0" w:lastRow="0" w:firstColumn="0" w:lastColumn="0" w:oddVBand="0" w:evenVBand="0" w:oddHBand="1" w:evenHBand="0" w:firstRowFirstColumn="0" w:firstRowLastColumn="0" w:lastRowFirstColumn="0" w:lastRowLastColumn="0"/>
          <w:trHeight w:hRule="exact" w:val="227"/>
        </w:trPr>
        <w:tc>
          <w:tcPr>
            <w:cnfStyle w:val="001000000000" w:firstRow="0" w:lastRow="0" w:firstColumn="1" w:lastColumn="0" w:oddVBand="0" w:evenVBand="0" w:oddHBand="0" w:evenHBand="0" w:firstRowFirstColumn="0" w:firstRowLastColumn="0" w:lastRowFirstColumn="0" w:lastRowLastColumn="0"/>
            <w:tcW w:w="1977" w:type="pct"/>
            <w:shd w:val="clear" w:color="auto" w:fill="EAF1DD" w:themeFill="accent3" w:themeFillTint="33"/>
            <w:hideMark/>
          </w:tcPr>
          <w:p w:rsidR="001D666C" w:rsidRPr="001D666C" w:rsidRDefault="001D666C" w:rsidP="001D666C">
            <w:pPr>
              <w:spacing w:after="0" w:line="240" w:lineRule="auto"/>
              <w:rPr>
                <w:rFonts w:ascii="Arial Narrow" w:hAnsi="Arial Narrow"/>
                <w:b w:val="0"/>
                <w:color w:val="000000"/>
                <w:sz w:val="16"/>
                <w:szCs w:val="16"/>
                <w:lang w:eastAsia="sl-SI"/>
              </w:rPr>
            </w:pPr>
            <w:r w:rsidRPr="001D666C">
              <w:rPr>
                <w:rFonts w:ascii="Arial Narrow" w:hAnsi="Arial Narrow"/>
                <w:b w:val="0"/>
                <w:color w:val="000000"/>
                <w:sz w:val="16"/>
                <w:szCs w:val="16"/>
                <w:lang w:eastAsia="sl-SI"/>
              </w:rPr>
              <w:t>Medicinski proizvodi, pripomočki in oprema</w:t>
            </w:r>
          </w:p>
        </w:tc>
        <w:tc>
          <w:tcPr>
            <w:tcW w:w="996" w:type="pct"/>
            <w:shd w:val="clear" w:color="auto" w:fill="EAF1DD" w:themeFill="accent3" w:themeFillTint="33"/>
            <w:noWrap/>
            <w:hideMark/>
          </w:tcPr>
          <w:p w:rsidR="001D666C" w:rsidRPr="001D666C" w:rsidRDefault="001D666C" w:rsidP="001D666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14</w:t>
            </w:r>
          </w:p>
        </w:tc>
        <w:tc>
          <w:tcPr>
            <w:tcW w:w="854" w:type="pct"/>
            <w:shd w:val="clear" w:color="auto" w:fill="EAF1DD" w:themeFill="accent3" w:themeFillTint="33"/>
            <w:noWrap/>
            <w:hideMark/>
          </w:tcPr>
          <w:p w:rsidR="001D666C" w:rsidRPr="001D666C" w:rsidRDefault="001D666C" w:rsidP="001D666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14</w:t>
            </w:r>
          </w:p>
        </w:tc>
        <w:tc>
          <w:tcPr>
            <w:tcW w:w="1173" w:type="pct"/>
            <w:shd w:val="clear" w:color="auto" w:fill="EAF1DD" w:themeFill="accent3" w:themeFillTint="33"/>
            <w:noWrap/>
            <w:hideMark/>
          </w:tcPr>
          <w:p w:rsidR="001D666C" w:rsidRPr="001D666C" w:rsidRDefault="001D666C" w:rsidP="00D4282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0</w:t>
            </w:r>
          </w:p>
        </w:tc>
      </w:tr>
      <w:tr w:rsidR="00A071AF" w:rsidRPr="001D666C" w:rsidTr="00A071AF">
        <w:trPr>
          <w:trHeight w:hRule="exact" w:val="227"/>
        </w:trPr>
        <w:tc>
          <w:tcPr>
            <w:cnfStyle w:val="001000000000" w:firstRow="0" w:lastRow="0" w:firstColumn="1" w:lastColumn="0" w:oddVBand="0" w:evenVBand="0" w:oddHBand="0" w:evenHBand="0" w:firstRowFirstColumn="0" w:firstRowLastColumn="0" w:lastRowFirstColumn="0" w:lastRowLastColumn="0"/>
            <w:tcW w:w="1977" w:type="pct"/>
            <w:shd w:val="clear" w:color="auto" w:fill="EAF1DD" w:themeFill="accent3" w:themeFillTint="33"/>
            <w:hideMark/>
          </w:tcPr>
          <w:p w:rsidR="001D666C" w:rsidRPr="001D666C" w:rsidRDefault="001D666C" w:rsidP="001D666C">
            <w:pPr>
              <w:spacing w:after="0" w:line="240" w:lineRule="auto"/>
              <w:rPr>
                <w:rFonts w:ascii="Arial Narrow" w:hAnsi="Arial Narrow"/>
                <w:b w:val="0"/>
                <w:color w:val="000000"/>
                <w:sz w:val="16"/>
                <w:szCs w:val="16"/>
                <w:lang w:eastAsia="sl-SI"/>
              </w:rPr>
            </w:pPr>
            <w:r w:rsidRPr="001D666C">
              <w:rPr>
                <w:rFonts w:ascii="Arial Narrow" w:hAnsi="Arial Narrow"/>
                <w:b w:val="0"/>
                <w:color w:val="000000"/>
                <w:sz w:val="16"/>
                <w:szCs w:val="16"/>
                <w:lang w:eastAsia="sl-SI"/>
              </w:rPr>
              <w:t>Raziskave in razvoj na področju ekonomskih dejavnosti</w:t>
            </w:r>
          </w:p>
        </w:tc>
        <w:tc>
          <w:tcPr>
            <w:tcW w:w="996" w:type="pct"/>
            <w:shd w:val="clear" w:color="auto" w:fill="EAF1DD" w:themeFill="accent3" w:themeFillTint="33"/>
            <w:noWrap/>
            <w:hideMark/>
          </w:tcPr>
          <w:p w:rsidR="001D666C" w:rsidRPr="001D666C" w:rsidRDefault="001D666C" w:rsidP="001D666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24</w:t>
            </w:r>
          </w:p>
        </w:tc>
        <w:tc>
          <w:tcPr>
            <w:tcW w:w="854" w:type="pct"/>
            <w:shd w:val="clear" w:color="auto" w:fill="EAF1DD" w:themeFill="accent3" w:themeFillTint="33"/>
            <w:noWrap/>
            <w:hideMark/>
          </w:tcPr>
          <w:p w:rsidR="001D666C" w:rsidRPr="001D666C" w:rsidRDefault="001D666C" w:rsidP="001D666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24</w:t>
            </w:r>
          </w:p>
        </w:tc>
        <w:tc>
          <w:tcPr>
            <w:tcW w:w="1173" w:type="pct"/>
            <w:shd w:val="clear" w:color="auto" w:fill="EAF1DD" w:themeFill="accent3" w:themeFillTint="33"/>
            <w:noWrap/>
            <w:hideMark/>
          </w:tcPr>
          <w:p w:rsidR="001D666C" w:rsidRPr="001D666C" w:rsidRDefault="001D666C" w:rsidP="00D4282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0</w:t>
            </w:r>
          </w:p>
        </w:tc>
      </w:tr>
      <w:tr w:rsidR="00A071AF" w:rsidRPr="001D666C" w:rsidTr="00A071AF">
        <w:trPr>
          <w:cnfStyle w:val="000000100000" w:firstRow="0" w:lastRow="0" w:firstColumn="0" w:lastColumn="0" w:oddVBand="0" w:evenVBand="0" w:oddHBand="1" w:evenHBand="0" w:firstRowFirstColumn="0" w:firstRowLastColumn="0" w:lastRowFirstColumn="0" w:lastRowLastColumn="0"/>
          <w:trHeight w:hRule="exact" w:val="227"/>
        </w:trPr>
        <w:tc>
          <w:tcPr>
            <w:cnfStyle w:val="001000000000" w:firstRow="0" w:lastRow="0" w:firstColumn="1" w:lastColumn="0" w:oddVBand="0" w:evenVBand="0" w:oddHBand="0" w:evenHBand="0" w:firstRowFirstColumn="0" w:firstRowLastColumn="0" w:lastRowFirstColumn="0" w:lastRowLastColumn="0"/>
            <w:tcW w:w="1977" w:type="pct"/>
            <w:shd w:val="clear" w:color="auto" w:fill="F2DBDB" w:themeFill="accent2" w:themeFillTint="33"/>
            <w:hideMark/>
          </w:tcPr>
          <w:p w:rsidR="001D666C" w:rsidRPr="001D666C" w:rsidRDefault="001D666C" w:rsidP="001D666C">
            <w:pPr>
              <w:spacing w:after="0" w:line="240" w:lineRule="auto"/>
              <w:rPr>
                <w:rFonts w:ascii="Arial Narrow" w:hAnsi="Arial Narrow"/>
                <w:b w:val="0"/>
                <w:color w:val="000000"/>
                <w:sz w:val="16"/>
                <w:szCs w:val="16"/>
                <w:lang w:eastAsia="sl-SI"/>
              </w:rPr>
            </w:pPr>
            <w:r w:rsidRPr="001D666C">
              <w:rPr>
                <w:rFonts w:ascii="Arial Narrow" w:hAnsi="Arial Narrow"/>
                <w:b w:val="0"/>
                <w:color w:val="000000"/>
                <w:sz w:val="16"/>
                <w:szCs w:val="16"/>
                <w:lang w:eastAsia="sl-SI"/>
              </w:rPr>
              <w:t>Bolnišnične storitve</w:t>
            </w:r>
          </w:p>
        </w:tc>
        <w:tc>
          <w:tcPr>
            <w:tcW w:w="996" w:type="pct"/>
            <w:shd w:val="clear" w:color="auto" w:fill="F2DBDB" w:themeFill="accent2" w:themeFillTint="33"/>
            <w:noWrap/>
            <w:hideMark/>
          </w:tcPr>
          <w:p w:rsidR="001D666C" w:rsidRPr="001D666C" w:rsidRDefault="001D666C" w:rsidP="001D666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4</w:t>
            </w:r>
          </w:p>
        </w:tc>
        <w:tc>
          <w:tcPr>
            <w:tcW w:w="854" w:type="pct"/>
            <w:shd w:val="clear" w:color="auto" w:fill="F2DBDB" w:themeFill="accent2" w:themeFillTint="33"/>
            <w:noWrap/>
            <w:hideMark/>
          </w:tcPr>
          <w:p w:rsidR="001D666C" w:rsidRPr="001D666C" w:rsidRDefault="001D666C" w:rsidP="001D666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3</w:t>
            </w:r>
          </w:p>
        </w:tc>
        <w:tc>
          <w:tcPr>
            <w:tcW w:w="1173" w:type="pct"/>
            <w:shd w:val="clear" w:color="auto" w:fill="F2DBDB" w:themeFill="accent2" w:themeFillTint="33"/>
            <w:noWrap/>
            <w:hideMark/>
          </w:tcPr>
          <w:p w:rsidR="001D666C" w:rsidRPr="001D666C" w:rsidRDefault="001D666C" w:rsidP="00D4282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-1</w:t>
            </w:r>
          </w:p>
        </w:tc>
      </w:tr>
      <w:tr w:rsidR="00A071AF" w:rsidRPr="001D666C" w:rsidTr="00A071AF">
        <w:trPr>
          <w:trHeight w:hRule="exact" w:val="227"/>
        </w:trPr>
        <w:tc>
          <w:tcPr>
            <w:cnfStyle w:val="001000000000" w:firstRow="0" w:lastRow="0" w:firstColumn="1" w:lastColumn="0" w:oddVBand="0" w:evenVBand="0" w:oddHBand="0" w:evenHBand="0" w:firstRowFirstColumn="0" w:firstRowLastColumn="0" w:lastRowFirstColumn="0" w:lastRowLastColumn="0"/>
            <w:tcW w:w="1977" w:type="pct"/>
            <w:shd w:val="clear" w:color="auto" w:fill="F2DBDB" w:themeFill="accent2" w:themeFillTint="33"/>
            <w:hideMark/>
          </w:tcPr>
          <w:p w:rsidR="001D666C" w:rsidRPr="001D666C" w:rsidRDefault="001D666C" w:rsidP="001D666C">
            <w:pPr>
              <w:spacing w:after="0" w:line="240" w:lineRule="auto"/>
              <w:rPr>
                <w:rFonts w:ascii="Arial Narrow" w:hAnsi="Arial Narrow"/>
                <w:b w:val="0"/>
                <w:color w:val="000000"/>
                <w:sz w:val="16"/>
                <w:szCs w:val="16"/>
                <w:lang w:eastAsia="sl-SI"/>
              </w:rPr>
            </w:pPr>
            <w:proofErr w:type="spellStart"/>
            <w:r w:rsidRPr="001D666C">
              <w:rPr>
                <w:rFonts w:ascii="Arial Narrow" w:hAnsi="Arial Narrow"/>
                <w:b w:val="0"/>
                <w:color w:val="000000"/>
                <w:sz w:val="16"/>
                <w:szCs w:val="16"/>
                <w:lang w:eastAsia="sl-SI"/>
              </w:rPr>
              <w:t>Predprimarno</w:t>
            </w:r>
            <w:proofErr w:type="spellEnd"/>
            <w:r w:rsidRPr="001D666C">
              <w:rPr>
                <w:rFonts w:ascii="Arial Narrow" w:hAnsi="Arial Narrow"/>
                <w:b w:val="0"/>
                <w:color w:val="000000"/>
                <w:sz w:val="16"/>
                <w:szCs w:val="16"/>
                <w:lang w:eastAsia="sl-SI"/>
              </w:rPr>
              <w:t xml:space="preserve"> in primarno izobraževanje</w:t>
            </w:r>
          </w:p>
        </w:tc>
        <w:tc>
          <w:tcPr>
            <w:tcW w:w="996" w:type="pct"/>
            <w:shd w:val="clear" w:color="auto" w:fill="F2DBDB" w:themeFill="accent2" w:themeFillTint="33"/>
            <w:noWrap/>
            <w:hideMark/>
          </w:tcPr>
          <w:p w:rsidR="001D666C" w:rsidRPr="001D666C" w:rsidRDefault="001D666C" w:rsidP="001D666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8</w:t>
            </w:r>
          </w:p>
        </w:tc>
        <w:tc>
          <w:tcPr>
            <w:tcW w:w="854" w:type="pct"/>
            <w:shd w:val="clear" w:color="auto" w:fill="F2DBDB" w:themeFill="accent2" w:themeFillTint="33"/>
            <w:noWrap/>
            <w:hideMark/>
          </w:tcPr>
          <w:p w:rsidR="001D666C" w:rsidRPr="001D666C" w:rsidRDefault="001D666C" w:rsidP="001D666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7</w:t>
            </w:r>
          </w:p>
        </w:tc>
        <w:tc>
          <w:tcPr>
            <w:tcW w:w="1173" w:type="pct"/>
            <w:shd w:val="clear" w:color="auto" w:fill="F2DBDB" w:themeFill="accent2" w:themeFillTint="33"/>
            <w:noWrap/>
            <w:hideMark/>
          </w:tcPr>
          <w:p w:rsidR="001D666C" w:rsidRPr="001D666C" w:rsidRDefault="001D666C" w:rsidP="00D4282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-1</w:t>
            </w:r>
          </w:p>
        </w:tc>
      </w:tr>
      <w:tr w:rsidR="00A071AF" w:rsidRPr="001D666C" w:rsidTr="00A071AF">
        <w:trPr>
          <w:cnfStyle w:val="000000100000" w:firstRow="0" w:lastRow="0" w:firstColumn="0" w:lastColumn="0" w:oddVBand="0" w:evenVBand="0" w:oddHBand="1" w:evenHBand="0" w:firstRowFirstColumn="0" w:firstRowLastColumn="0" w:lastRowFirstColumn="0" w:lastRowLastColumn="0"/>
          <w:trHeight w:hRule="exact" w:val="227"/>
        </w:trPr>
        <w:tc>
          <w:tcPr>
            <w:cnfStyle w:val="001000000000" w:firstRow="0" w:lastRow="0" w:firstColumn="1" w:lastColumn="0" w:oddVBand="0" w:evenVBand="0" w:oddHBand="0" w:evenHBand="0" w:firstRowFirstColumn="0" w:firstRowLastColumn="0" w:lastRowFirstColumn="0" w:lastRowLastColumn="0"/>
            <w:tcW w:w="1977" w:type="pct"/>
            <w:shd w:val="clear" w:color="auto" w:fill="F2DBDB" w:themeFill="accent2" w:themeFillTint="33"/>
            <w:hideMark/>
          </w:tcPr>
          <w:p w:rsidR="001D666C" w:rsidRPr="001D666C" w:rsidRDefault="001D666C" w:rsidP="001D666C">
            <w:pPr>
              <w:spacing w:after="0" w:line="240" w:lineRule="auto"/>
              <w:rPr>
                <w:rFonts w:ascii="Arial Narrow" w:hAnsi="Arial Narrow"/>
                <w:b w:val="0"/>
                <w:color w:val="000000"/>
                <w:sz w:val="16"/>
                <w:szCs w:val="16"/>
                <w:lang w:eastAsia="sl-SI"/>
              </w:rPr>
            </w:pPr>
            <w:r w:rsidRPr="001D666C">
              <w:rPr>
                <w:rFonts w:ascii="Arial Narrow" w:hAnsi="Arial Narrow"/>
                <w:b w:val="0"/>
                <w:color w:val="000000"/>
                <w:sz w:val="16"/>
                <w:szCs w:val="16"/>
                <w:lang w:eastAsia="sl-SI"/>
              </w:rPr>
              <w:t>Družine in otroci</w:t>
            </w:r>
          </w:p>
        </w:tc>
        <w:tc>
          <w:tcPr>
            <w:tcW w:w="996" w:type="pct"/>
            <w:shd w:val="clear" w:color="auto" w:fill="F2DBDB" w:themeFill="accent2" w:themeFillTint="33"/>
            <w:noWrap/>
            <w:hideMark/>
          </w:tcPr>
          <w:p w:rsidR="001D666C" w:rsidRPr="001D666C" w:rsidRDefault="001D666C" w:rsidP="001D666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10</w:t>
            </w:r>
          </w:p>
        </w:tc>
        <w:tc>
          <w:tcPr>
            <w:tcW w:w="854" w:type="pct"/>
            <w:shd w:val="clear" w:color="auto" w:fill="F2DBDB" w:themeFill="accent2" w:themeFillTint="33"/>
            <w:noWrap/>
            <w:hideMark/>
          </w:tcPr>
          <w:p w:rsidR="001D666C" w:rsidRPr="001D666C" w:rsidRDefault="001D666C" w:rsidP="001D666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9</w:t>
            </w:r>
          </w:p>
        </w:tc>
        <w:tc>
          <w:tcPr>
            <w:tcW w:w="1173" w:type="pct"/>
            <w:shd w:val="clear" w:color="auto" w:fill="F2DBDB" w:themeFill="accent2" w:themeFillTint="33"/>
            <w:noWrap/>
            <w:hideMark/>
          </w:tcPr>
          <w:p w:rsidR="001D666C" w:rsidRPr="001D666C" w:rsidRDefault="001D666C" w:rsidP="00D4282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-1</w:t>
            </w:r>
          </w:p>
        </w:tc>
      </w:tr>
      <w:tr w:rsidR="00A071AF" w:rsidRPr="001D666C" w:rsidTr="00A071AF">
        <w:trPr>
          <w:trHeight w:hRule="exact" w:val="227"/>
        </w:trPr>
        <w:tc>
          <w:tcPr>
            <w:cnfStyle w:val="001000000000" w:firstRow="0" w:lastRow="0" w:firstColumn="1" w:lastColumn="0" w:oddVBand="0" w:evenVBand="0" w:oddHBand="0" w:evenHBand="0" w:firstRowFirstColumn="0" w:firstRowLastColumn="0" w:lastRowFirstColumn="0" w:lastRowLastColumn="0"/>
            <w:tcW w:w="1977" w:type="pct"/>
            <w:shd w:val="clear" w:color="auto" w:fill="F2DBDB" w:themeFill="accent2" w:themeFillTint="33"/>
            <w:noWrap/>
            <w:hideMark/>
          </w:tcPr>
          <w:p w:rsidR="001D666C" w:rsidRPr="001D666C" w:rsidRDefault="001D666C" w:rsidP="001D666C">
            <w:pPr>
              <w:spacing w:after="0" w:line="240" w:lineRule="auto"/>
              <w:rPr>
                <w:rFonts w:ascii="Arial Narrow" w:hAnsi="Arial Narrow"/>
                <w:b w:val="0"/>
                <w:color w:val="000000"/>
                <w:sz w:val="16"/>
                <w:szCs w:val="16"/>
                <w:lang w:eastAsia="sl-SI"/>
              </w:rPr>
            </w:pPr>
            <w:r w:rsidRPr="001D666C">
              <w:rPr>
                <w:rFonts w:ascii="Arial Narrow" w:hAnsi="Arial Narrow"/>
                <w:b w:val="0"/>
                <w:color w:val="000000"/>
                <w:sz w:val="16"/>
                <w:szCs w:val="16"/>
                <w:lang w:eastAsia="sl-SI"/>
              </w:rPr>
              <w:t>Policija</w:t>
            </w:r>
          </w:p>
        </w:tc>
        <w:tc>
          <w:tcPr>
            <w:tcW w:w="996" w:type="pct"/>
            <w:shd w:val="clear" w:color="auto" w:fill="F2DBDB" w:themeFill="accent2" w:themeFillTint="33"/>
            <w:noWrap/>
            <w:hideMark/>
          </w:tcPr>
          <w:p w:rsidR="001D666C" w:rsidRPr="001D666C" w:rsidRDefault="001D666C" w:rsidP="001D666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16</w:t>
            </w:r>
          </w:p>
        </w:tc>
        <w:tc>
          <w:tcPr>
            <w:tcW w:w="854" w:type="pct"/>
            <w:shd w:val="clear" w:color="auto" w:fill="F2DBDB" w:themeFill="accent2" w:themeFillTint="33"/>
            <w:noWrap/>
            <w:hideMark/>
          </w:tcPr>
          <w:p w:rsidR="001D666C" w:rsidRPr="001D666C" w:rsidRDefault="001D666C" w:rsidP="001D666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15</w:t>
            </w:r>
          </w:p>
        </w:tc>
        <w:tc>
          <w:tcPr>
            <w:tcW w:w="1173" w:type="pct"/>
            <w:shd w:val="clear" w:color="auto" w:fill="F2DBDB" w:themeFill="accent2" w:themeFillTint="33"/>
            <w:noWrap/>
            <w:hideMark/>
          </w:tcPr>
          <w:p w:rsidR="001D666C" w:rsidRPr="001D666C" w:rsidRDefault="001D666C" w:rsidP="00D4282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-1</w:t>
            </w:r>
          </w:p>
        </w:tc>
      </w:tr>
      <w:tr w:rsidR="00A071AF" w:rsidRPr="001D666C" w:rsidTr="00A071AF">
        <w:trPr>
          <w:cnfStyle w:val="000000100000" w:firstRow="0" w:lastRow="0" w:firstColumn="0" w:lastColumn="0" w:oddVBand="0" w:evenVBand="0" w:oddHBand="1" w:evenHBand="0" w:firstRowFirstColumn="0" w:firstRowLastColumn="0" w:lastRowFirstColumn="0" w:lastRowLastColumn="0"/>
          <w:trHeight w:hRule="exact" w:val="227"/>
        </w:trPr>
        <w:tc>
          <w:tcPr>
            <w:cnfStyle w:val="001000000000" w:firstRow="0" w:lastRow="0" w:firstColumn="1" w:lastColumn="0" w:oddVBand="0" w:evenVBand="0" w:oddHBand="0" w:evenHBand="0" w:firstRowFirstColumn="0" w:firstRowLastColumn="0" w:lastRowFirstColumn="0" w:lastRowLastColumn="0"/>
            <w:tcW w:w="1977" w:type="pct"/>
            <w:shd w:val="clear" w:color="auto" w:fill="F2DBDB" w:themeFill="accent2" w:themeFillTint="33"/>
            <w:noWrap/>
            <w:hideMark/>
          </w:tcPr>
          <w:p w:rsidR="001D666C" w:rsidRPr="001D666C" w:rsidRDefault="001D666C" w:rsidP="001D666C">
            <w:pPr>
              <w:spacing w:after="0" w:line="240" w:lineRule="auto"/>
              <w:rPr>
                <w:rFonts w:ascii="Arial Narrow" w:hAnsi="Arial Narrow"/>
                <w:color w:val="4F81BD" w:themeColor="accent1"/>
                <w:sz w:val="16"/>
                <w:szCs w:val="16"/>
                <w:lang w:eastAsia="sl-SI"/>
              </w:rPr>
            </w:pPr>
            <w:r w:rsidRPr="001D666C">
              <w:rPr>
                <w:rFonts w:ascii="Arial Narrow" w:hAnsi="Arial Narrow"/>
                <w:color w:val="4F81BD" w:themeColor="accent1"/>
                <w:sz w:val="16"/>
                <w:szCs w:val="16"/>
                <w:lang w:eastAsia="sl-SI"/>
              </w:rPr>
              <w:t>Kulturne storitve</w:t>
            </w:r>
          </w:p>
        </w:tc>
        <w:tc>
          <w:tcPr>
            <w:tcW w:w="996" w:type="pct"/>
            <w:shd w:val="clear" w:color="auto" w:fill="F2DBDB" w:themeFill="accent2" w:themeFillTint="33"/>
            <w:noWrap/>
            <w:hideMark/>
          </w:tcPr>
          <w:p w:rsidR="001D666C" w:rsidRPr="001D666C" w:rsidRDefault="001D666C" w:rsidP="001D666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bCs/>
                <w:color w:val="4F81BD" w:themeColor="accent1"/>
                <w:sz w:val="16"/>
                <w:szCs w:val="16"/>
                <w:lang w:eastAsia="sl-SI"/>
              </w:rPr>
            </w:pPr>
            <w:r w:rsidRPr="001D666C">
              <w:rPr>
                <w:rFonts w:ascii="Arial Narrow" w:hAnsi="Arial Narrow"/>
                <w:b/>
                <w:bCs/>
                <w:color w:val="4F81BD" w:themeColor="accent1"/>
                <w:sz w:val="16"/>
                <w:szCs w:val="16"/>
                <w:lang w:eastAsia="sl-SI"/>
              </w:rPr>
              <w:t>17</w:t>
            </w:r>
          </w:p>
        </w:tc>
        <w:tc>
          <w:tcPr>
            <w:tcW w:w="854" w:type="pct"/>
            <w:shd w:val="clear" w:color="auto" w:fill="F2DBDB" w:themeFill="accent2" w:themeFillTint="33"/>
            <w:noWrap/>
            <w:hideMark/>
          </w:tcPr>
          <w:p w:rsidR="001D666C" w:rsidRPr="001D666C" w:rsidRDefault="001D666C" w:rsidP="001D666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bCs/>
                <w:color w:val="4F81BD" w:themeColor="accent1"/>
                <w:sz w:val="16"/>
                <w:szCs w:val="16"/>
                <w:lang w:eastAsia="sl-SI"/>
              </w:rPr>
            </w:pPr>
            <w:r w:rsidRPr="001D666C">
              <w:rPr>
                <w:rFonts w:ascii="Arial Narrow" w:hAnsi="Arial Narrow"/>
                <w:b/>
                <w:bCs/>
                <w:color w:val="4F81BD" w:themeColor="accent1"/>
                <w:sz w:val="16"/>
                <w:szCs w:val="16"/>
                <w:lang w:eastAsia="sl-SI"/>
              </w:rPr>
              <w:t>16</w:t>
            </w:r>
          </w:p>
        </w:tc>
        <w:tc>
          <w:tcPr>
            <w:tcW w:w="1173" w:type="pct"/>
            <w:shd w:val="clear" w:color="auto" w:fill="F2DBDB" w:themeFill="accent2" w:themeFillTint="33"/>
            <w:noWrap/>
            <w:hideMark/>
          </w:tcPr>
          <w:p w:rsidR="001D666C" w:rsidRPr="001D666C" w:rsidRDefault="001D666C" w:rsidP="00D4282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bCs/>
                <w:color w:val="4F81BD" w:themeColor="accent1"/>
                <w:sz w:val="16"/>
                <w:szCs w:val="16"/>
                <w:lang w:eastAsia="sl-SI"/>
              </w:rPr>
            </w:pPr>
            <w:r w:rsidRPr="001D666C">
              <w:rPr>
                <w:rFonts w:ascii="Arial Narrow" w:hAnsi="Arial Narrow"/>
                <w:b/>
                <w:bCs/>
                <w:color w:val="4F81BD" w:themeColor="accent1"/>
                <w:sz w:val="16"/>
                <w:szCs w:val="16"/>
                <w:lang w:eastAsia="sl-SI"/>
              </w:rPr>
              <w:t>-1</w:t>
            </w:r>
          </w:p>
        </w:tc>
      </w:tr>
      <w:tr w:rsidR="00A071AF" w:rsidRPr="001D666C" w:rsidTr="00A071AF">
        <w:trPr>
          <w:trHeight w:hRule="exact" w:val="227"/>
        </w:trPr>
        <w:tc>
          <w:tcPr>
            <w:cnfStyle w:val="001000000000" w:firstRow="0" w:lastRow="0" w:firstColumn="1" w:lastColumn="0" w:oddVBand="0" w:evenVBand="0" w:oddHBand="0" w:evenHBand="0" w:firstRowFirstColumn="0" w:firstRowLastColumn="0" w:lastRowFirstColumn="0" w:lastRowLastColumn="0"/>
            <w:tcW w:w="1977" w:type="pct"/>
            <w:shd w:val="clear" w:color="auto" w:fill="F2DBDB" w:themeFill="accent2" w:themeFillTint="33"/>
            <w:noWrap/>
            <w:hideMark/>
          </w:tcPr>
          <w:p w:rsidR="001D666C" w:rsidRPr="001D666C" w:rsidRDefault="001D666C" w:rsidP="001D666C">
            <w:pPr>
              <w:spacing w:after="0" w:line="240" w:lineRule="auto"/>
              <w:rPr>
                <w:rFonts w:ascii="Arial Narrow" w:hAnsi="Arial Narrow"/>
                <w:b w:val="0"/>
                <w:color w:val="000000"/>
                <w:sz w:val="16"/>
                <w:szCs w:val="16"/>
                <w:lang w:eastAsia="sl-SI"/>
              </w:rPr>
            </w:pPr>
            <w:r w:rsidRPr="001D666C">
              <w:rPr>
                <w:rFonts w:ascii="Arial Narrow" w:hAnsi="Arial Narrow"/>
                <w:b w:val="0"/>
                <w:color w:val="000000"/>
                <w:sz w:val="16"/>
                <w:szCs w:val="16"/>
                <w:lang w:eastAsia="sl-SI"/>
              </w:rPr>
              <w:t>Sodišča in drugi pravosodni organi</w:t>
            </w:r>
          </w:p>
        </w:tc>
        <w:tc>
          <w:tcPr>
            <w:tcW w:w="996" w:type="pct"/>
            <w:shd w:val="clear" w:color="auto" w:fill="F2DBDB" w:themeFill="accent2" w:themeFillTint="33"/>
            <w:noWrap/>
            <w:hideMark/>
          </w:tcPr>
          <w:p w:rsidR="001D666C" w:rsidRPr="001D666C" w:rsidRDefault="001D666C" w:rsidP="001D666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22</w:t>
            </w:r>
          </w:p>
        </w:tc>
        <w:tc>
          <w:tcPr>
            <w:tcW w:w="854" w:type="pct"/>
            <w:shd w:val="clear" w:color="auto" w:fill="F2DBDB" w:themeFill="accent2" w:themeFillTint="33"/>
            <w:noWrap/>
            <w:hideMark/>
          </w:tcPr>
          <w:p w:rsidR="001D666C" w:rsidRPr="001D666C" w:rsidRDefault="001D666C" w:rsidP="001D666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21</w:t>
            </w:r>
          </w:p>
        </w:tc>
        <w:tc>
          <w:tcPr>
            <w:tcW w:w="1173" w:type="pct"/>
            <w:shd w:val="clear" w:color="auto" w:fill="F2DBDB" w:themeFill="accent2" w:themeFillTint="33"/>
            <w:noWrap/>
            <w:hideMark/>
          </w:tcPr>
          <w:p w:rsidR="001D666C" w:rsidRPr="001D666C" w:rsidRDefault="001D666C" w:rsidP="00D4282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-1</w:t>
            </w:r>
          </w:p>
        </w:tc>
      </w:tr>
      <w:tr w:rsidR="00A071AF" w:rsidRPr="001D666C" w:rsidTr="00A071AF">
        <w:trPr>
          <w:cnfStyle w:val="000000100000" w:firstRow="0" w:lastRow="0" w:firstColumn="0" w:lastColumn="0" w:oddVBand="0" w:evenVBand="0" w:oddHBand="1" w:evenHBand="0" w:firstRowFirstColumn="0" w:firstRowLastColumn="0" w:lastRowFirstColumn="0" w:lastRowLastColumn="0"/>
          <w:trHeight w:hRule="exact" w:val="227"/>
        </w:trPr>
        <w:tc>
          <w:tcPr>
            <w:cnfStyle w:val="001000000000" w:firstRow="0" w:lastRow="0" w:firstColumn="1" w:lastColumn="0" w:oddVBand="0" w:evenVBand="0" w:oddHBand="0" w:evenHBand="0" w:firstRowFirstColumn="0" w:firstRowLastColumn="0" w:lastRowFirstColumn="0" w:lastRowLastColumn="0"/>
            <w:tcW w:w="1977" w:type="pct"/>
            <w:shd w:val="clear" w:color="auto" w:fill="F2DBDB" w:themeFill="accent2" w:themeFillTint="33"/>
            <w:noWrap/>
            <w:hideMark/>
          </w:tcPr>
          <w:p w:rsidR="001D666C" w:rsidRPr="001D666C" w:rsidRDefault="001D666C" w:rsidP="001D666C">
            <w:pPr>
              <w:spacing w:after="0" w:line="240" w:lineRule="auto"/>
              <w:rPr>
                <w:rFonts w:ascii="Arial Narrow" w:hAnsi="Arial Narrow"/>
                <w:b w:val="0"/>
                <w:color w:val="000000"/>
                <w:sz w:val="16"/>
                <w:szCs w:val="16"/>
                <w:lang w:eastAsia="sl-SI"/>
              </w:rPr>
            </w:pPr>
            <w:r w:rsidRPr="001D666C">
              <w:rPr>
                <w:rFonts w:ascii="Arial Narrow" w:hAnsi="Arial Narrow"/>
                <w:b w:val="0"/>
                <w:color w:val="000000"/>
                <w:sz w:val="16"/>
                <w:szCs w:val="16"/>
                <w:lang w:eastAsia="sl-SI"/>
              </w:rPr>
              <w:t>Temeljne raziskave</w:t>
            </w:r>
          </w:p>
        </w:tc>
        <w:tc>
          <w:tcPr>
            <w:tcW w:w="996" w:type="pct"/>
            <w:shd w:val="clear" w:color="auto" w:fill="F2DBDB" w:themeFill="accent2" w:themeFillTint="33"/>
            <w:noWrap/>
            <w:hideMark/>
          </w:tcPr>
          <w:p w:rsidR="001D666C" w:rsidRPr="001D666C" w:rsidRDefault="001D666C" w:rsidP="001D666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23</w:t>
            </w:r>
          </w:p>
        </w:tc>
        <w:tc>
          <w:tcPr>
            <w:tcW w:w="854" w:type="pct"/>
            <w:shd w:val="clear" w:color="auto" w:fill="F2DBDB" w:themeFill="accent2" w:themeFillTint="33"/>
            <w:noWrap/>
            <w:hideMark/>
          </w:tcPr>
          <w:p w:rsidR="001D666C" w:rsidRPr="001D666C" w:rsidRDefault="001D666C" w:rsidP="001D666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22</w:t>
            </w:r>
          </w:p>
        </w:tc>
        <w:tc>
          <w:tcPr>
            <w:tcW w:w="1173" w:type="pct"/>
            <w:shd w:val="clear" w:color="auto" w:fill="F2DBDB" w:themeFill="accent2" w:themeFillTint="33"/>
            <w:noWrap/>
            <w:hideMark/>
          </w:tcPr>
          <w:p w:rsidR="001D666C" w:rsidRPr="001D666C" w:rsidRDefault="001D666C" w:rsidP="00D4282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-1</w:t>
            </w:r>
          </w:p>
        </w:tc>
      </w:tr>
      <w:tr w:rsidR="00A071AF" w:rsidRPr="001D666C" w:rsidTr="00A071AF">
        <w:trPr>
          <w:trHeight w:hRule="exact" w:val="227"/>
        </w:trPr>
        <w:tc>
          <w:tcPr>
            <w:cnfStyle w:val="001000000000" w:firstRow="0" w:lastRow="0" w:firstColumn="1" w:lastColumn="0" w:oddVBand="0" w:evenVBand="0" w:oddHBand="0" w:evenHBand="0" w:firstRowFirstColumn="0" w:firstRowLastColumn="0" w:lastRowFirstColumn="0" w:lastRowLastColumn="0"/>
            <w:tcW w:w="1977" w:type="pct"/>
            <w:shd w:val="clear" w:color="auto" w:fill="F2DBDB" w:themeFill="accent2" w:themeFillTint="33"/>
            <w:hideMark/>
          </w:tcPr>
          <w:p w:rsidR="001D666C" w:rsidRPr="001D666C" w:rsidRDefault="001D666C" w:rsidP="001D666C">
            <w:pPr>
              <w:spacing w:after="0" w:line="240" w:lineRule="auto"/>
              <w:rPr>
                <w:rFonts w:ascii="Arial Narrow" w:hAnsi="Arial Narrow"/>
                <w:b w:val="0"/>
                <w:color w:val="000000"/>
                <w:sz w:val="16"/>
                <w:szCs w:val="16"/>
                <w:lang w:eastAsia="sl-SI"/>
              </w:rPr>
            </w:pPr>
            <w:r w:rsidRPr="001D666C">
              <w:rPr>
                <w:rFonts w:ascii="Arial Narrow" w:hAnsi="Arial Narrow"/>
                <w:b w:val="0"/>
                <w:color w:val="000000"/>
                <w:sz w:val="16"/>
                <w:szCs w:val="16"/>
                <w:lang w:eastAsia="sl-SI"/>
              </w:rPr>
              <w:t>Civilna obramba</w:t>
            </w:r>
          </w:p>
        </w:tc>
        <w:tc>
          <w:tcPr>
            <w:tcW w:w="996" w:type="pct"/>
            <w:shd w:val="clear" w:color="auto" w:fill="F2DBDB" w:themeFill="accent2" w:themeFillTint="33"/>
            <w:noWrap/>
            <w:hideMark/>
          </w:tcPr>
          <w:p w:rsidR="001D666C" w:rsidRPr="001D666C" w:rsidRDefault="001D666C" w:rsidP="001D666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48</w:t>
            </w:r>
          </w:p>
        </w:tc>
        <w:tc>
          <w:tcPr>
            <w:tcW w:w="854" w:type="pct"/>
            <w:shd w:val="clear" w:color="auto" w:fill="F2DBDB" w:themeFill="accent2" w:themeFillTint="33"/>
            <w:noWrap/>
            <w:hideMark/>
          </w:tcPr>
          <w:p w:rsidR="001D666C" w:rsidRPr="001D666C" w:rsidRDefault="001D666C" w:rsidP="001D666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47</w:t>
            </w:r>
          </w:p>
        </w:tc>
        <w:tc>
          <w:tcPr>
            <w:tcW w:w="1173" w:type="pct"/>
            <w:shd w:val="clear" w:color="auto" w:fill="F2DBDB" w:themeFill="accent2" w:themeFillTint="33"/>
            <w:noWrap/>
            <w:hideMark/>
          </w:tcPr>
          <w:p w:rsidR="001D666C" w:rsidRPr="001D666C" w:rsidRDefault="001D666C" w:rsidP="00D4282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-1</w:t>
            </w:r>
          </w:p>
        </w:tc>
      </w:tr>
      <w:tr w:rsidR="00A071AF" w:rsidRPr="001D666C" w:rsidTr="00A071AF">
        <w:trPr>
          <w:cnfStyle w:val="000000100000" w:firstRow="0" w:lastRow="0" w:firstColumn="0" w:lastColumn="0" w:oddVBand="0" w:evenVBand="0" w:oddHBand="1" w:evenHBand="0" w:firstRowFirstColumn="0" w:firstRowLastColumn="0" w:lastRowFirstColumn="0" w:lastRowLastColumn="0"/>
          <w:trHeight w:hRule="exact" w:val="227"/>
        </w:trPr>
        <w:tc>
          <w:tcPr>
            <w:cnfStyle w:val="001000000000" w:firstRow="0" w:lastRow="0" w:firstColumn="1" w:lastColumn="0" w:oddVBand="0" w:evenVBand="0" w:oddHBand="0" w:evenHBand="0" w:firstRowFirstColumn="0" w:firstRowLastColumn="0" w:lastRowFirstColumn="0" w:lastRowLastColumn="0"/>
            <w:tcW w:w="1977" w:type="pct"/>
            <w:shd w:val="clear" w:color="auto" w:fill="F2DBDB" w:themeFill="accent2" w:themeFillTint="33"/>
            <w:hideMark/>
          </w:tcPr>
          <w:p w:rsidR="001D666C" w:rsidRPr="001D666C" w:rsidRDefault="001D666C" w:rsidP="001D666C">
            <w:pPr>
              <w:spacing w:after="0" w:line="240" w:lineRule="auto"/>
              <w:rPr>
                <w:rFonts w:ascii="Arial Narrow" w:hAnsi="Arial Narrow"/>
                <w:b w:val="0"/>
                <w:color w:val="000000"/>
                <w:sz w:val="16"/>
                <w:szCs w:val="16"/>
                <w:lang w:eastAsia="sl-SI"/>
              </w:rPr>
            </w:pPr>
            <w:r w:rsidRPr="001D666C">
              <w:rPr>
                <w:rFonts w:ascii="Arial Narrow" w:hAnsi="Arial Narrow"/>
                <w:b w:val="0"/>
                <w:color w:val="000000"/>
                <w:sz w:val="16"/>
                <w:szCs w:val="16"/>
                <w:lang w:eastAsia="sl-SI"/>
              </w:rPr>
              <w:t>Raziskave in razvoj na področju varstva okolja</w:t>
            </w:r>
          </w:p>
        </w:tc>
        <w:tc>
          <w:tcPr>
            <w:tcW w:w="996" w:type="pct"/>
            <w:shd w:val="clear" w:color="auto" w:fill="F2DBDB" w:themeFill="accent2" w:themeFillTint="33"/>
            <w:noWrap/>
            <w:hideMark/>
          </w:tcPr>
          <w:p w:rsidR="001D666C" w:rsidRPr="001D666C" w:rsidRDefault="001D666C" w:rsidP="001D666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54</w:t>
            </w:r>
          </w:p>
        </w:tc>
        <w:tc>
          <w:tcPr>
            <w:tcW w:w="854" w:type="pct"/>
            <w:shd w:val="clear" w:color="auto" w:fill="F2DBDB" w:themeFill="accent2" w:themeFillTint="33"/>
            <w:noWrap/>
            <w:hideMark/>
          </w:tcPr>
          <w:p w:rsidR="001D666C" w:rsidRPr="001D666C" w:rsidRDefault="001D666C" w:rsidP="001D666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53</w:t>
            </w:r>
          </w:p>
        </w:tc>
        <w:tc>
          <w:tcPr>
            <w:tcW w:w="1173" w:type="pct"/>
            <w:shd w:val="clear" w:color="auto" w:fill="F2DBDB" w:themeFill="accent2" w:themeFillTint="33"/>
            <w:noWrap/>
            <w:hideMark/>
          </w:tcPr>
          <w:p w:rsidR="001D666C" w:rsidRPr="001D666C" w:rsidRDefault="001D666C" w:rsidP="00D4282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-1</w:t>
            </w:r>
          </w:p>
        </w:tc>
      </w:tr>
      <w:tr w:rsidR="00A071AF" w:rsidRPr="001D666C" w:rsidTr="00A071AF">
        <w:trPr>
          <w:trHeight w:hRule="exact" w:val="227"/>
        </w:trPr>
        <w:tc>
          <w:tcPr>
            <w:cnfStyle w:val="001000000000" w:firstRow="0" w:lastRow="0" w:firstColumn="1" w:lastColumn="0" w:oddVBand="0" w:evenVBand="0" w:oddHBand="0" w:evenHBand="0" w:firstRowFirstColumn="0" w:firstRowLastColumn="0" w:lastRowFirstColumn="0" w:lastRowLastColumn="0"/>
            <w:tcW w:w="1977" w:type="pct"/>
            <w:shd w:val="clear" w:color="auto" w:fill="F2DBDB" w:themeFill="accent2" w:themeFillTint="33"/>
            <w:hideMark/>
          </w:tcPr>
          <w:p w:rsidR="001D666C" w:rsidRPr="001D666C" w:rsidRDefault="001D666C" w:rsidP="001D666C">
            <w:pPr>
              <w:spacing w:after="0" w:line="240" w:lineRule="auto"/>
              <w:rPr>
                <w:rFonts w:ascii="Arial Narrow" w:hAnsi="Arial Narrow"/>
                <w:b w:val="0"/>
                <w:color w:val="000000"/>
                <w:sz w:val="16"/>
                <w:szCs w:val="16"/>
                <w:lang w:eastAsia="sl-SI"/>
              </w:rPr>
            </w:pPr>
            <w:r w:rsidRPr="001D666C">
              <w:rPr>
                <w:rFonts w:ascii="Arial Narrow" w:hAnsi="Arial Narrow"/>
                <w:b w:val="0"/>
                <w:color w:val="000000"/>
                <w:sz w:val="16"/>
                <w:szCs w:val="16"/>
                <w:lang w:eastAsia="sl-SI"/>
              </w:rPr>
              <w:t>Raziskave in razvoj na področju stanovanjskih dejavnosti in urejanja okolja</w:t>
            </w:r>
          </w:p>
        </w:tc>
        <w:tc>
          <w:tcPr>
            <w:tcW w:w="996" w:type="pct"/>
            <w:shd w:val="clear" w:color="auto" w:fill="F2DBDB" w:themeFill="accent2" w:themeFillTint="33"/>
            <w:noWrap/>
            <w:hideMark/>
          </w:tcPr>
          <w:p w:rsidR="001D666C" w:rsidRPr="001D666C" w:rsidRDefault="001D666C" w:rsidP="001D666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59</w:t>
            </w:r>
          </w:p>
        </w:tc>
        <w:tc>
          <w:tcPr>
            <w:tcW w:w="854" w:type="pct"/>
            <w:shd w:val="clear" w:color="auto" w:fill="F2DBDB" w:themeFill="accent2" w:themeFillTint="33"/>
            <w:noWrap/>
            <w:hideMark/>
          </w:tcPr>
          <w:p w:rsidR="001D666C" w:rsidRPr="001D666C" w:rsidRDefault="001D666C" w:rsidP="001D666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58</w:t>
            </w:r>
          </w:p>
        </w:tc>
        <w:tc>
          <w:tcPr>
            <w:tcW w:w="1173" w:type="pct"/>
            <w:shd w:val="clear" w:color="auto" w:fill="F2DBDB" w:themeFill="accent2" w:themeFillTint="33"/>
            <w:noWrap/>
            <w:hideMark/>
          </w:tcPr>
          <w:p w:rsidR="001D666C" w:rsidRPr="001D666C" w:rsidRDefault="001D666C" w:rsidP="00D4282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-1</w:t>
            </w:r>
          </w:p>
        </w:tc>
      </w:tr>
      <w:tr w:rsidR="00A071AF" w:rsidRPr="001D666C" w:rsidTr="00A071AF">
        <w:trPr>
          <w:cnfStyle w:val="000000100000" w:firstRow="0" w:lastRow="0" w:firstColumn="0" w:lastColumn="0" w:oddVBand="0" w:evenVBand="0" w:oddHBand="1" w:evenHBand="0" w:firstRowFirstColumn="0" w:firstRowLastColumn="0" w:lastRowFirstColumn="0" w:lastRowLastColumn="0"/>
          <w:trHeight w:hRule="exact" w:val="227"/>
        </w:trPr>
        <w:tc>
          <w:tcPr>
            <w:cnfStyle w:val="001000000000" w:firstRow="0" w:lastRow="0" w:firstColumn="1" w:lastColumn="0" w:oddVBand="0" w:evenVBand="0" w:oddHBand="0" w:evenHBand="0" w:firstRowFirstColumn="0" w:firstRowLastColumn="0" w:lastRowFirstColumn="0" w:lastRowLastColumn="0"/>
            <w:tcW w:w="1977" w:type="pct"/>
            <w:shd w:val="clear" w:color="auto" w:fill="F2DBDB" w:themeFill="accent2" w:themeFillTint="33"/>
            <w:hideMark/>
          </w:tcPr>
          <w:p w:rsidR="001D666C" w:rsidRPr="001D666C" w:rsidRDefault="001D666C" w:rsidP="001D666C">
            <w:pPr>
              <w:spacing w:after="0" w:line="240" w:lineRule="auto"/>
              <w:rPr>
                <w:rFonts w:ascii="Arial Narrow" w:hAnsi="Arial Narrow"/>
                <w:b w:val="0"/>
                <w:color w:val="000000"/>
                <w:sz w:val="16"/>
                <w:szCs w:val="16"/>
                <w:lang w:eastAsia="sl-SI"/>
              </w:rPr>
            </w:pPr>
            <w:r w:rsidRPr="001D666C">
              <w:rPr>
                <w:rFonts w:ascii="Arial Narrow" w:hAnsi="Arial Narrow"/>
                <w:b w:val="0"/>
                <w:color w:val="000000"/>
                <w:sz w:val="16"/>
                <w:szCs w:val="16"/>
                <w:lang w:eastAsia="sl-SI"/>
              </w:rPr>
              <w:t>Raziskave in razvoj na področju socialne zaščite</w:t>
            </w:r>
          </w:p>
        </w:tc>
        <w:tc>
          <w:tcPr>
            <w:tcW w:w="996" w:type="pct"/>
            <w:shd w:val="clear" w:color="auto" w:fill="F2DBDB" w:themeFill="accent2" w:themeFillTint="33"/>
            <w:noWrap/>
            <w:hideMark/>
          </w:tcPr>
          <w:p w:rsidR="001D666C" w:rsidRPr="001D666C" w:rsidRDefault="001D666C" w:rsidP="001D666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64</w:t>
            </w:r>
          </w:p>
        </w:tc>
        <w:tc>
          <w:tcPr>
            <w:tcW w:w="854" w:type="pct"/>
            <w:shd w:val="clear" w:color="auto" w:fill="F2DBDB" w:themeFill="accent2" w:themeFillTint="33"/>
            <w:noWrap/>
            <w:hideMark/>
          </w:tcPr>
          <w:p w:rsidR="001D666C" w:rsidRPr="001D666C" w:rsidRDefault="001D666C" w:rsidP="001D666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63</w:t>
            </w:r>
          </w:p>
        </w:tc>
        <w:tc>
          <w:tcPr>
            <w:tcW w:w="1173" w:type="pct"/>
            <w:shd w:val="clear" w:color="auto" w:fill="F2DBDB" w:themeFill="accent2" w:themeFillTint="33"/>
            <w:noWrap/>
            <w:hideMark/>
          </w:tcPr>
          <w:p w:rsidR="001D666C" w:rsidRPr="001D666C" w:rsidRDefault="001D666C" w:rsidP="00D4282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-1</w:t>
            </w:r>
          </w:p>
        </w:tc>
      </w:tr>
      <w:tr w:rsidR="00A071AF" w:rsidRPr="001D666C" w:rsidTr="00A071AF">
        <w:trPr>
          <w:trHeight w:hRule="exact" w:val="227"/>
        </w:trPr>
        <w:tc>
          <w:tcPr>
            <w:cnfStyle w:val="001000000000" w:firstRow="0" w:lastRow="0" w:firstColumn="1" w:lastColumn="0" w:oddVBand="0" w:evenVBand="0" w:oddHBand="0" w:evenHBand="0" w:firstRowFirstColumn="0" w:firstRowLastColumn="0" w:lastRowFirstColumn="0" w:lastRowLastColumn="0"/>
            <w:tcW w:w="1977" w:type="pct"/>
            <w:shd w:val="clear" w:color="auto" w:fill="F2DBDB" w:themeFill="accent2" w:themeFillTint="33"/>
            <w:hideMark/>
          </w:tcPr>
          <w:p w:rsidR="001D666C" w:rsidRPr="001D666C" w:rsidRDefault="001D666C" w:rsidP="001D666C">
            <w:pPr>
              <w:spacing w:after="0" w:line="240" w:lineRule="auto"/>
              <w:rPr>
                <w:rFonts w:ascii="Arial Narrow" w:hAnsi="Arial Narrow"/>
                <w:b w:val="0"/>
                <w:color w:val="000000"/>
                <w:sz w:val="16"/>
                <w:szCs w:val="16"/>
                <w:lang w:eastAsia="sl-SI"/>
              </w:rPr>
            </w:pPr>
            <w:r w:rsidRPr="001D666C">
              <w:rPr>
                <w:rFonts w:ascii="Arial Narrow" w:hAnsi="Arial Narrow"/>
                <w:b w:val="0"/>
                <w:color w:val="000000"/>
                <w:sz w:val="16"/>
                <w:szCs w:val="16"/>
                <w:lang w:eastAsia="sl-SI"/>
              </w:rPr>
              <w:t xml:space="preserve">Post-sekundarno </w:t>
            </w:r>
            <w:proofErr w:type="spellStart"/>
            <w:r w:rsidRPr="001D666C">
              <w:rPr>
                <w:rFonts w:ascii="Arial Narrow" w:hAnsi="Arial Narrow"/>
                <w:b w:val="0"/>
                <w:color w:val="000000"/>
                <w:sz w:val="16"/>
                <w:szCs w:val="16"/>
                <w:lang w:eastAsia="sl-SI"/>
              </w:rPr>
              <w:t>neterciarno</w:t>
            </w:r>
            <w:proofErr w:type="spellEnd"/>
            <w:r w:rsidRPr="001D666C">
              <w:rPr>
                <w:rFonts w:ascii="Arial Narrow" w:hAnsi="Arial Narrow"/>
                <w:b w:val="0"/>
                <w:color w:val="000000"/>
                <w:sz w:val="16"/>
                <w:szCs w:val="16"/>
                <w:lang w:eastAsia="sl-SI"/>
              </w:rPr>
              <w:t xml:space="preserve"> izobraževanje</w:t>
            </w:r>
          </w:p>
        </w:tc>
        <w:tc>
          <w:tcPr>
            <w:tcW w:w="996" w:type="pct"/>
            <w:shd w:val="clear" w:color="auto" w:fill="F2DBDB" w:themeFill="accent2" w:themeFillTint="33"/>
            <w:noWrap/>
            <w:hideMark/>
          </w:tcPr>
          <w:p w:rsidR="001D666C" w:rsidRPr="001D666C" w:rsidRDefault="001D666C" w:rsidP="001D666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69</w:t>
            </w:r>
          </w:p>
        </w:tc>
        <w:tc>
          <w:tcPr>
            <w:tcW w:w="854" w:type="pct"/>
            <w:shd w:val="clear" w:color="auto" w:fill="F2DBDB" w:themeFill="accent2" w:themeFillTint="33"/>
            <w:noWrap/>
            <w:hideMark/>
          </w:tcPr>
          <w:p w:rsidR="001D666C" w:rsidRPr="001D666C" w:rsidRDefault="001D666C" w:rsidP="001D666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68</w:t>
            </w:r>
          </w:p>
        </w:tc>
        <w:tc>
          <w:tcPr>
            <w:tcW w:w="1173" w:type="pct"/>
            <w:shd w:val="clear" w:color="auto" w:fill="F2DBDB" w:themeFill="accent2" w:themeFillTint="33"/>
            <w:noWrap/>
            <w:hideMark/>
          </w:tcPr>
          <w:p w:rsidR="001D666C" w:rsidRPr="001D666C" w:rsidRDefault="001D666C" w:rsidP="00D4282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-1</w:t>
            </w:r>
          </w:p>
        </w:tc>
      </w:tr>
      <w:tr w:rsidR="00A071AF" w:rsidRPr="001D666C" w:rsidTr="00A071AF">
        <w:trPr>
          <w:cnfStyle w:val="000000100000" w:firstRow="0" w:lastRow="0" w:firstColumn="0" w:lastColumn="0" w:oddVBand="0" w:evenVBand="0" w:oddHBand="1" w:evenHBand="0" w:firstRowFirstColumn="0" w:firstRowLastColumn="0" w:lastRowFirstColumn="0" w:lastRowLastColumn="0"/>
          <w:trHeight w:hRule="exact" w:val="227"/>
        </w:trPr>
        <w:tc>
          <w:tcPr>
            <w:cnfStyle w:val="001000000000" w:firstRow="0" w:lastRow="0" w:firstColumn="1" w:lastColumn="0" w:oddVBand="0" w:evenVBand="0" w:oddHBand="0" w:evenHBand="0" w:firstRowFirstColumn="0" w:firstRowLastColumn="0" w:lastRowFirstColumn="0" w:lastRowLastColumn="0"/>
            <w:tcW w:w="1977" w:type="pct"/>
            <w:shd w:val="clear" w:color="auto" w:fill="F2DBDB" w:themeFill="accent2" w:themeFillTint="33"/>
            <w:noWrap/>
            <w:hideMark/>
          </w:tcPr>
          <w:p w:rsidR="001D666C" w:rsidRPr="001D666C" w:rsidRDefault="001D666C" w:rsidP="001D666C">
            <w:pPr>
              <w:spacing w:after="0" w:line="240" w:lineRule="auto"/>
              <w:rPr>
                <w:rFonts w:ascii="Arial Narrow" w:hAnsi="Arial Narrow"/>
                <w:b w:val="0"/>
                <w:color w:val="000000"/>
                <w:sz w:val="16"/>
                <w:szCs w:val="16"/>
                <w:lang w:eastAsia="sl-SI"/>
              </w:rPr>
            </w:pPr>
            <w:r w:rsidRPr="001D666C">
              <w:rPr>
                <w:rFonts w:ascii="Arial Narrow" w:hAnsi="Arial Narrow"/>
                <w:b w:val="0"/>
                <w:color w:val="000000"/>
                <w:sz w:val="16"/>
                <w:szCs w:val="16"/>
                <w:lang w:eastAsia="sl-SI"/>
              </w:rPr>
              <w:t>Bolezen in invalidnost</w:t>
            </w:r>
          </w:p>
        </w:tc>
        <w:tc>
          <w:tcPr>
            <w:tcW w:w="996" w:type="pct"/>
            <w:shd w:val="clear" w:color="auto" w:fill="F2DBDB" w:themeFill="accent2" w:themeFillTint="33"/>
            <w:noWrap/>
            <w:hideMark/>
          </w:tcPr>
          <w:p w:rsidR="001D666C" w:rsidRPr="001D666C" w:rsidRDefault="001D666C" w:rsidP="001D666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6</w:t>
            </w:r>
          </w:p>
        </w:tc>
        <w:tc>
          <w:tcPr>
            <w:tcW w:w="854" w:type="pct"/>
            <w:shd w:val="clear" w:color="auto" w:fill="F2DBDB" w:themeFill="accent2" w:themeFillTint="33"/>
            <w:noWrap/>
            <w:hideMark/>
          </w:tcPr>
          <w:p w:rsidR="001D666C" w:rsidRPr="001D666C" w:rsidRDefault="001D666C" w:rsidP="001D666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4</w:t>
            </w:r>
          </w:p>
        </w:tc>
        <w:tc>
          <w:tcPr>
            <w:tcW w:w="1173" w:type="pct"/>
            <w:shd w:val="clear" w:color="auto" w:fill="F2DBDB" w:themeFill="accent2" w:themeFillTint="33"/>
            <w:noWrap/>
            <w:hideMark/>
          </w:tcPr>
          <w:p w:rsidR="001D666C" w:rsidRPr="001D666C" w:rsidRDefault="001D666C" w:rsidP="00D4282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-2</w:t>
            </w:r>
          </w:p>
        </w:tc>
      </w:tr>
      <w:tr w:rsidR="00A071AF" w:rsidRPr="001D666C" w:rsidTr="00A071AF">
        <w:trPr>
          <w:trHeight w:hRule="exact" w:val="227"/>
        </w:trPr>
        <w:tc>
          <w:tcPr>
            <w:cnfStyle w:val="001000000000" w:firstRow="0" w:lastRow="0" w:firstColumn="1" w:lastColumn="0" w:oddVBand="0" w:evenVBand="0" w:oddHBand="0" w:evenHBand="0" w:firstRowFirstColumn="0" w:firstRowLastColumn="0" w:lastRowFirstColumn="0" w:lastRowLastColumn="0"/>
            <w:tcW w:w="1977" w:type="pct"/>
            <w:shd w:val="clear" w:color="auto" w:fill="F2DBDB" w:themeFill="accent2" w:themeFillTint="33"/>
            <w:hideMark/>
          </w:tcPr>
          <w:p w:rsidR="001D666C" w:rsidRPr="001D666C" w:rsidRDefault="001D666C" w:rsidP="001D666C">
            <w:pPr>
              <w:spacing w:after="0" w:line="240" w:lineRule="auto"/>
              <w:rPr>
                <w:rFonts w:ascii="Arial Narrow" w:hAnsi="Arial Narrow"/>
                <w:b w:val="0"/>
                <w:color w:val="000000"/>
                <w:sz w:val="16"/>
                <w:szCs w:val="16"/>
                <w:lang w:eastAsia="sl-SI"/>
              </w:rPr>
            </w:pPr>
            <w:r w:rsidRPr="001D666C">
              <w:rPr>
                <w:rFonts w:ascii="Arial Narrow" w:hAnsi="Arial Narrow"/>
                <w:b w:val="0"/>
                <w:color w:val="000000"/>
                <w:sz w:val="16"/>
                <w:szCs w:val="16"/>
                <w:lang w:eastAsia="sl-SI"/>
              </w:rPr>
              <w:t>Preživeli družinski člani</w:t>
            </w:r>
          </w:p>
        </w:tc>
        <w:tc>
          <w:tcPr>
            <w:tcW w:w="996" w:type="pct"/>
            <w:shd w:val="clear" w:color="auto" w:fill="F2DBDB" w:themeFill="accent2" w:themeFillTint="33"/>
            <w:noWrap/>
            <w:hideMark/>
          </w:tcPr>
          <w:p w:rsidR="001D666C" w:rsidRPr="001D666C" w:rsidRDefault="001D666C" w:rsidP="001D666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12</w:t>
            </w:r>
          </w:p>
        </w:tc>
        <w:tc>
          <w:tcPr>
            <w:tcW w:w="854" w:type="pct"/>
            <w:shd w:val="clear" w:color="auto" w:fill="F2DBDB" w:themeFill="accent2" w:themeFillTint="33"/>
            <w:noWrap/>
            <w:hideMark/>
          </w:tcPr>
          <w:p w:rsidR="001D666C" w:rsidRPr="001D666C" w:rsidRDefault="001D666C" w:rsidP="001D666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10</w:t>
            </w:r>
          </w:p>
        </w:tc>
        <w:tc>
          <w:tcPr>
            <w:tcW w:w="1173" w:type="pct"/>
            <w:shd w:val="clear" w:color="auto" w:fill="F2DBDB" w:themeFill="accent2" w:themeFillTint="33"/>
            <w:noWrap/>
            <w:hideMark/>
          </w:tcPr>
          <w:p w:rsidR="001D666C" w:rsidRPr="001D666C" w:rsidRDefault="001D666C" w:rsidP="00D4282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-2</w:t>
            </w:r>
          </w:p>
        </w:tc>
      </w:tr>
      <w:tr w:rsidR="00A071AF" w:rsidRPr="001D666C" w:rsidTr="00A071AF">
        <w:trPr>
          <w:cnfStyle w:val="000000100000" w:firstRow="0" w:lastRow="0" w:firstColumn="0" w:lastColumn="0" w:oddVBand="0" w:evenVBand="0" w:oddHBand="1" w:evenHBand="0" w:firstRowFirstColumn="0" w:firstRowLastColumn="0" w:lastRowFirstColumn="0" w:lastRowLastColumn="0"/>
          <w:trHeight w:hRule="exact" w:val="227"/>
        </w:trPr>
        <w:tc>
          <w:tcPr>
            <w:cnfStyle w:val="001000000000" w:firstRow="0" w:lastRow="0" w:firstColumn="1" w:lastColumn="0" w:oddVBand="0" w:evenVBand="0" w:oddHBand="0" w:evenHBand="0" w:firstRowFirstColumn="0" w:firstRowLastColumn="0" w:lastRowFirstColumn="0" w:lastRowLastColumn="0"/>
            <w:tcW w:w="1977" w:type="pct"/>
            <w:shd w:val="clear" w:color="auto" w:fill="F2DBDB" w:themeFill="accent2" w:themeFillTint="33"/>
            <w:hideMark/>
          </w:tcPr>
          <w:p w:rsidR="001D666C" w:rsidRPr="001D666C" w:rsidRDefault="001D666C" w:rsidP="001D666C">
            <w:pPr>
              <w:spacing w:after="0" w:line="240" w:lineRule="auto"/>
              <w:rPr>
                <w:rFonts w:ascii="Arial Narrow" w:hAnsi="Arial Narrow"/>
                <w:b w:val="0"/>
                <w:color w:val="000000"/>
                <w:sz w:val="16"/>
                <w:szCs w:val="16"/>
                <w:lang w:eastAsia="sl-SI"/>
              </w:rPr>
            </w:pPr>
            <w:r w:rsidRPr="001D666C">
              <w:rPr>
                <w:rFonts w:ascii="Arial Narrow" w:hAnsi="Arial Narrow"/>
                <w:b w:val="0"/>
                <w:color w:val="000000"/>
                <w:sz w:val="16"/>
                <w:szCs w:val="16"/>
                <w:lang w:eastAsia="sl-SI"/>
              </w:rPr>
              <w:t>Druge dejavnosti</w:t>
            </w:r>
          </w:p>
        </w:tc>
        <w:tc>
          <w:tcPr>
            <w:tcW w:w="996" w:type="pct"/>
            <w:shd w:val="clear" w:color="auto" w:fill="F2DBDB" w:themeFill="accent2" w:themeFillTint="33"/>
            <w:noWrap/>
            <w:hideMark/>
          </w:tcPr>
          <w:p w:rsidR="001D666C" w:rsidRPr="001D666C" w:rsidRDefault="001D666C" w:rsidP="001D666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36</w:t>
            </w:r>
          </w:p>
        </w:tc>
        <w:tc>
          <w:tcPr>
            <w:tcW w:w="854" w:type="pct"/>
            <w:shd w:val="clear" w:color="auto" w:fill="F2DBDB" w:themeFill="accent2" w:themeFillTint="33"/>
            <w:noWrap/>
            <w:hideMark/>
          </w:tcPr>
          <w:p w:rsidR="001D666C" w:rsidRPr="001D666C" w:rsidRDefault="001D666C" w:rsidP="001D666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34</w:t>
            </w:r>
          </w:p>
        </w:tc>
        <w:tc>
          <w:tcPr>
            <w:tcW w:w="1173" w:type="pct"/>
            <w:shd w:val="clear" w:color="auto" w:fill="F2DBDB" w:themeFill="accent2" w:themeFillTint="33"/>
            <w:noWrap/>
            <w:hideMark/>
          </w:tcPr>
          <w:p w:rsidR="001D666C" w:rsidRPr="001D666C" w:rsidRDefault="001D666C" w:rsidP="00D4282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-2</w:t>
            </w:r>
          </w:p>
        </w:tc>
      </w:tr>
      <w:tr w:rsidR="00A071AF" w:rsidRPr="001D666C" w:rsidTr="00A071AF">
        <w:trPr>
          <w:trHeight w:hRule="exact" w:val="227"/>
        </w:trPr>
        <w:tc>
          <w:tcPr>
            <w:cnfStyle w:val="001000000000" w:firstRow="0" w:lastRow="0" w:firstColumn="1" w:lastColumn="0" w:oddVBand="0" w:evenVBand="0" w:oddHBand="0" w:evenHBand="0" w:firstRowFirstColumn="0" w:firstRowLastColumn="0" w:lastRowFirstColumn="0" w:lastRowLastColumn="0"/>
            <w:tcW w:w="1977" w:type="pct"/>
            <w:shd w:val="clear" w:color="auto" w:fill="F2DBDB" w:themeFill="accent2" w:themeFillTint="33"/>
            <w:hideMark/>
          </w:tcPr>
          <w:p w:rsidR="001D666C" w:rsidRPr="001D666C" w:rsidRDefault="001D666C" w:rsidP="001D666C">
            <w:pPr>
              <w:spacing w:after="0" w:line="240" w:lineRule="auto"/>
              <w:rPr>
                <w:rFonts w:ascii="Arial Narrow" w:hAnsi="Arial Narrow"/>
                <w:b w:val="0"/>
                <w:color w:val="000000"/>
                <w:sz w:val="16"/>
                <w:szCs w:val="16"/>
                <w:lang w:eastAsia="sl-SI"/>
              </w:rPr>
            </w:pPr>
            <w:r w:rsidRPr="001D666C">
              <w:rPr>
                <w:rFonts w:ascii="Arial Narrow" w:hAnsi="Arial Narrow"/>
                <w:b w:val="0"/>
                <w:color w:val="000000"/>
                <w:sz w:val="16"/>
                <w:szCs w:val="16"/>
                <w:lang w:eastAsia="sl-SI"/>
              </w:rPr>
              <w:t>Izvršilni in zakonodajni organi, finančne in davčne zadeve, zunanje zadeve</w:t>
            </w:r>
          </w:p>
        </w:tc>
        <w:tc>
          <w:tcPr>
            <w:tcW w:w="996" w:type="pct"/>
            <w:shd w:val="clear" w:color="auto" w:fill="F2DBDB" w:themeFill="accent2" w:themeFillTint="33"/>
            <w:noWrap/>
            <w:hideMark/>
          </w:tcPr>
          <w:p w:rsidR="001D666C" w:rsidRPr="001D666C" w:rsidRDefault="001D666C" w:rsidP="001D666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5</w:t>
            </w:r>
          </w:p>
        </w:tc>
        <w:tc>
          <w:tcPr>
            <w:tcW w:w="854" w:type="pct"/>
            <w:shd w:val="clear" w:color="auto" w:fill="F2DBDB" w:themeFill="accent2" w:themeFillTint="33"/>
            <w:noWrap/>
            <w:hideMark/>
          </w:tcPr>
          <w:p w:rsidR="001D666C" w:rsidRPr="001D666C" w:rsidRDefault="001D666C" w:rsidP="001D666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2</w:t>
            </w:r>
          </w:p>
        </w:tc>
        <w:tc>
          <w:tcPr>
            <w:tcW w:w="1173" w:type="pct"/>
            <w:shd w:val="clear" w:color="auto" w:fill="F2DBDB" w:themeFill="accent2" w:themeFillTint="33"/>
            <w:noWrap/>
            <w:hideMark/>
          </w:tcPr>
          <w:p w:rsidR="001D666C" w:rsidRPr="001D666C" w:rsidRDefault="001D666C" w:rsidP="00D4282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-3</w:t>
            </w:r>
          </w:p>
        </w:tc>
      </w:tr>
      <w:tr w:rsidR="00A071AF" w:rsidRPr="001D666C" w:rsidTr="00A071AF">
        <w:trPr>
          <w:cnfStyle w:val="000000100000" w:firstRow="0" w:lastRow="0" w:firstColumn="0" w:lastColumn="0" w:oddVBand="0" w:evenVBand="0" w:oddHBand="1" w:evenHBand="0" w:firstRowFirstColumn="0" w:firstRowLastColumn="0" w:lastRowFirstColumn="0" w:lastRowLastColumn="0"/>
          <w:trHeight w:hRule="exact" w:val="227"/>
        </w:trPr>
        <w:tc>
          <w:tcPr>
            <w:cnfStyle w:val="001000000000" w:firstRow="0" w:lastRow="0" w:firstColumn="1" w:lastColumn="0" w:oddVBand="0" w:evenVBand="0" w:oddHBand="0" w:evenHBand="0" w:firstRowFirstColumn="0" w:firstRowLastColumn="0" w:lastRowFirstColumn="0" w:lastRowLastColumn="0"/>
            <w:tcW w:w="1977" w:type="pct"/>
            <w:shd w:val="clear" w:color="auto" w:fill="F2DBDB" w:themeFill="accent2" w:themeFillTint="33"/>
            <w:hideMark/>
          </w:tcPr>
          <w:p w:rsidR="001D666C" w:rsidRPr="001D666C" w:rsidRDefault="001D666C" w:rsidP="001D666C">
            <w:pPr>
              <w:spacing w:after="0" w:line="240" w:lineRule="auto"/>
              <w:rPr>
                <w:rFonts w:ascii="Arial Narrow" w:hAnsi="Arial Narrow"/>
                <w:b w:val="0"/>
                <w:color w:val="000000"/>
                <w:sz w:val="16"/>
                <w:szCs w:val="16"/>
                <w:lang w:eastAsia="sl-SI"/>
              </w:rPr>
            </w:pPr>
            <w:r w:rsidRPr="001D666C">
              <w:rPr>
                <w:rFonts w:ascii="Arial Narrow" w:hAnsi="Arial Narrow"/>
                <w:b w:val="0"/>
                <w:color w:val="000000"/>
                <w:sz w:val="16"/>
                <w:szCs w:val="16"/>
                <w:lang w:eastAsia="sl-SI"/>
              </w:rPr>
              <w:t>Sekundarno izobraževanje</w:t>
            </w:r>
          </w:p>
        </w:tc>
        <w:tc>
          <w:tcPr>
            <w:tcW w:w="996" w:type="pct"/>
            <w:shd w:val="clear" w:color="auto" w:fill="F2DBDB" w:themeFill="accent2" w:themeFillTint="33"/>
            <w:noWrap/>
            <w:hideMark/>
          </w:tcPr>
          <w:p w:rsidR="001D666C" w:rsidRPr="001D666C" w:rsidRDefault="001D666C" w:rsidP="001D666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9</w:t>
            </w:r>
          </w:p>
        </w:tc>
        <w:tc>
          <w:tcPr>
            <w:tcW w:w="854" w:type="pct"/>
            <w:shd w:val="clear" w:color="auto" w:fill="F2DBDB" w:themeFill="accent2" w:themeFillTint="33"/>
            <w:noWrap/>
            <w:hideMark/>
          </w:tcPr>
          <w:p w:rsidR="001D666C" w:rsidRPr="001D666C" w:rsidRDefault="001D666C" w:rsidP="001D666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6</w:t>
            </w:r>
          </w:p>
        </w:tc>
        <w:tc>
          <w:tcPr>
            <w:tcW w:w="1173" w:type="pct"/>
            <w:shd w:val="clear" w:color="auto" w:fill="F2DBDB" w:themeFill="accent2" w:themeFillTint="33"/>
            <w:noWrap/>
            <w:hideMark/>
          </w:tcPr>
          <w:p w:rsidR="001D666C" w:rsidRPr="001D666C" w:rsidRDefault="001D666C" w:rsidP="00D4282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-3</w:t>
            </w:r>
          </w:p>
        </w:tc>
      </w:tr>
      <w:tr w:rsidR="00A071AF" w:rsidRPr="001D666C" w:rsidTr="00A071AF">
        <w:trPr>
          <w:trHeight w:hRule="exact" w:val="227"/>
        </w:trPr>
        <w:tc>
          <w:tcPr>
            <w:cnfStyle w:val="001000000000" w:firstRow="0" w:lastRow="0" w:firstColumn="1" w:lastColumn="0" w:oddVBand="0" w:evenVBand="0" w:oddHBand="0" w:evenHBand="0" w:firstRowFirstColumn="0" w:firstRowLastColumn="0" w:lastRowFirstColumn="0" w:lastRowLastColumn="0"/>
            <w:tcW w:w="1977" w:type="pct"/>
            <w:shd w:val="clear" w:color="auto" w:fill="F2DBDB" w:themeFill="accent2" w:themeFillTint="33"/>
            <w:noWrap/>
            <w:hideMark/>
          </w:tcPr>
          <w:p w:rsidR="001D666C" w:rsidRPr="001D666C" w:rsidRDefault="001D666C" w:rsidP="001D666C">
            <w:pPr>
              <w:spacing w:after="0" w:line="240" w:lineRule="auto"/>
              <w:rPr>
                <w:rFonts w:ascii="Arial Narrow" w:hAnsi="Arial Narrow"/>
                <w:b w:val="0"/>
                <w:color w:val="000000"/>
                <w:sz w:val="16"/>
                <w:szCs w:val="16"/>
                <w:lang w:eastAsia="sl-SI"/>
              </w:rPr>
            </w:pPr>
            <w:r w:rsidRPr="001D666C">
              <w:rPr>
                <w:rFonts w:ascii="Arial Narrow" w:hAnsi="Arial Narrow"/>
                <w:b w:val="0"/>
                <w:color w:val="000000"/>
                <w:sz w:val="16"/>
                <w:szCs w:val="16"/>
                <w:lang w:eastAsia="sl-SI"/>
              </w:rPr>
              <w:t>Kmetijstvo, gozdarstvo, ribištvo in lov</w:t>
            </w:r>
          </w:p>
        </w:tc>
        <w:tc>
          <w:tcPr>
            <w:tcW w:w="996" w:type="pct"/>
            <w:shd w:val="clear" w:color="auto" w:fill="F2DBDB" w:themeFill="accent2" w:themeFillTint="33"/>
            <w:noWrap/>
            <w:hideMark/>
          </w:tcPr>
          <w:p w:rsidR="001D666C" w:rsidRPr="001D666C" w:rsidRDefault="001D666C" w:rsidP="001D666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20</w:t>
            </w:r>
          </w:p>
        </w:tc>
        <w:tc>
          <w:tcPr>
            <w:tcW w:w="854" w:type="pct"/>
            <w:shd w:val="clear" w:color="auto" w:fill="F2DBDB" w:themeFill="accent2" w:themeFillTint="33"/>
            <w:noWrap/>
            <w:hideMark/>
          </w:tcPr>
          <w:p w:rsidR="001D666C" w:rsidRPr="001D666C" w:rsidRDefault="001D666C" w:rsidP="001D666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17</w:t>
            </w:r>
          </w:p>
        </w:tc>
        <w:tc>
          <w:tcPr>
            <w:tcW w:w="1173" w:type="pct"/>
            <w:shd w:val="clear" w:color="auto" w:fill="F2DBDB" w:themeFill="accent2" w:themeFillTint="33"/>
            <w:noWrap/>
            <w:hideMark/>
          </w:tcPr>
          <w:p w:rsidR="001D666C" w:rsidRPr="001D666C" w:rsidRDefault="001D666C" w:rsidP="00D4282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-3</w:t>
            </w:r>
          </w:p>
        </w:tc>
      </w:tr>
      <w:tr w:rsidR="00A071AF" w:rsidRPr="001D666C" w:rsidTr="00A071AF">
        <w:trPr>
          <w:cnfStyle w:val="000000100000" w:firstRow="0" w:lastRow="0" w:firstColumn="0" w:lastColumn="0" w:oddVBand="0" w:evenVBand="0" w:oddHBand="1" w:evenHBand="0" w:firstRowFirstColumn="0" w:firstRowLastColumn="0" w:lastRowFirstColumn="0" w:lastRowLastColumn="0"/>
          <w:trHeight w:hRule="exact" w:val="227"/>
        </w:trPr>
        <w:tc>
          <w:tcPr>
            <w:cnfStyle w:val="001000000000" w:firstRow="0" w:lastRow="0" w:firstColumn="1" w:lastColumn="0" w:oddVBand="0" w:evenVBand="0" w:oddHBand="0" w:evenHBand="0" w:firstRowFirstColumn="0" w:firstRowLastColumn="0" w:lastRowFirstColumn="0" w:lastRowLastColumn="0"/>
            <w:tcW w:w="1977" w:type="pct"/>
            <w:shd w:val="clear" w:color="auto" w:fill="F2DBDB" w:themeFill="accent2" w:themeFillTint="33"/>
            <w:hideMark/>
          </w:tcPr>
          <w:p w:rsidR="001D666C" w:rsidRPr="001D666C" w:rsidRDefault="001D666C" w:rsidP="001D666C">
            <w:pPr>
              <w:spacing w:after="0" w:line="240" w:lineRule="auto"/>
              <w:rPr>
                <w:rFonts w:ascii="Arial Narrow" w:hAnsi="Arial Narrow"/>
                <w:b w:val="0"/>
                <w:color w:val="000000"/>
                <w:sz w:val="16"/>
                <w:szCs w:val="16"/>
                <w:lang w:eastAsia="sl-SI"/>
              </w:rPr>
            </w:pPr>
            <w:r w:rsidRPr="001D666C">
              <w:rPr>
                <w:rFonts w:ascii="Arial Narrow" w:hAnsi="Arial Narrow"/>
                <w:b w:val="0"/>
                <w:color w:val="000000"/>
                <w:sz w:val="16"/>
                <w:szCs w:val="16"/>
                <w:lang w:eastAsia="sl-SI"/>
              </w:rPr>
              <w:t>Druge dejavnosti s področja socialne zaščite</w:t>
            </w:r>
          </w:p>
        </w:tc>
        <w:tc>
          <w:tcPr>
            <w:tcW w:w="996" w:type="pct"/>
            <w:shd w:val="clear" w:color="auto" w:fill="F2DBDB" w:themeFill="accent2" w:themeFillTint="33"/>
            <w:noWrap/>
            <w:hideMark/>
          </w:tcPr>
          <w:p w:rsidR="001D666C" w:rsidRPr="001D666C" w:rsidRDefault="001D666C" w:rsidP="001D666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26</w:t>
            </w:r>
          </w:p>
        </w:tc>
        <w:tc>
          <w:tcPr>
            <w:tcW w:w="854" w:type="pct"/>
            <w:shd w:val="clear" w:color="auto" w:fill="F2DBDB" w:themeFill="accent2" w:themeFillTint="33"/>
            <w:noWrap/>
            <w:hideMark/>
          </w:tcPr>
          <w:p w:rsidR="001D666C" w:rsidRPr="001D666C" w:rsidRDefault="001D666C" w:rsidP="001D666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23</w:t>
            </w:r>
          </w:p>
        </w:tc>
        <w:tc>
          <w:tcPr>
            <w:tcW w:w="1173" w:type="pct"/>
            <w:shd w:val="clear" w:color="auto" w:fill="F2DBDB" w:themeFill="accent2" w:themeFillTint="33"/>
            <w:noWrap/>
            <w:hideMark/>
          </w:tcPr>
          <w:p w:rsidR="001D666C" w:rsidRPr="001D666C" w:rsidRDefault="001D666C" w:rsidP="00D4282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-3</w:t>
            </w:r>
          </w:p>
        </w:tc>
      </w:tr>
      <w:tr w:rsidR="00A071AF" w:rsidRPr="001D666C" w:rsidTr="00A071AF">
        <w:trPr>
          <w:trHeight w:hRule="exact" w:val="227"/>
        </w:trPr>
        <w:tc>
          <w:tcPr>
            <w:cnfStyle w:val="001000000000" w:firstRow="0" w:lastRow="0" w:firstColumn="1" w:lastColumn="0" w:oddVBand="0" w:evenVBand="0" w:oddHBand="0" w:evenHBand="0" w:firstRowFirstColumn="0" w:firstRowLastColumn="0" w:lastRowFirstColumn="0" w:lastRowLastColumn="0"/>
            <w:tcW w:w="1977" w:type="pct"/>
            <w:shd w:val="clear" w:color="auto" w:fill="F2DBDB" w:themeFill="accent2" w:themeFillTint="33"/>
            <w:hideMark/>
          </w:tcPr>
          <w:p w:rsidR="001D666C" w:rsidRPr="001D666C" w:rsidRDefault="001D666C" w:rsidP="001D666C">
            <w:pPr>
              <w:spacing w:after="0" w:line="240" w:lineRule="auto"/>
              <w:rPr>
                <w:rFonts w:ascii="Arial Narrow" w:hAnsi="Arial Narrow"/>
                <w:color w:val="4F81BD" w:themeColor="accent1"/>
                <w:sz w:val="16"/>
                <w:szCs w:val="16"/>
                <w:lang w:eastAsia="sl-SI"/>
              </w:rPr>
            </w:pPr>
            <w:r w:rsidRPr="001D666C">
              <w:rPr>
                <w:rFonts w:ascii="Arial Narrow" w:hAnsi="Arial Narrow"/>
                <w:color w:val="4F81BD" w:themeColor="accent1"/>
                <w:sz w:val="16"/>
                <w:szCs w:val="16"/>
                <w:lang w:eastAsia="sl-SI"/>
              </w:rPr>
              <w:t>Storitve radia, televizije in založništva</w:t>
            </w:r>
          </w:p>
        </w:tc>
        <w:tc>
          <w:tcPr>
            <w:tcW w:w="996" w:type="pct"/>
            <w:shd w:val="clear" w:color="auto" w:fill="F2DBDB" w:themeFill="accent2" w:themeFillTint="33"/>
            <w:noWrap/>
            <w:hideMark/>
          </w:tcPr>
          <w:p w:rsidR="001D666C" w:rsidRPr="001D666C" w:rsidRDefault="001D666C" w:rsidP="001D666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bCs/>
                <w:color w:val="4F81BD" w:themeColor="accent1"/>
                <w:sz w:val="16"/>
                <w:szCs w:val="16"/>
                <w:lang w:eastAsia="sl-SI"/>
              </w:rPr>
            </w:pPr>
            <w:r w:rsidRPr="001D666C">
              <w:rPr>
                <w:rFonts w:ascii="Arial Narrow" w:hAnsi="Arial Narrow"/>
                <w:b/>
                <w:bCs/>
                <w:color w:val="4F81BD" w:themeColor="accent1"/>
                <w:sz w:val="16"/>
                <w:szCs w:val="16"/>
                <w:lang w:eastAsia="sl-SI"/>
              </w:rPr>
              <w:t>28</w:t>
            </w:r>
          </w:p>
        </w:tc>
        <w:tc>
          <w:tcPr>
            <w:tcW w:w="854" w:type="pct"/>
            <w:shd w:val="clear" w:color="auto" w:fill="F2DBDB" w:themeFill="accent2" w:themeFillTint="33"/>
            <w:noWrap/>
            <w:hideMark/>
          </w:tcPr>
          <w:p w:rsidR="001D666C" w:rsidRPr="001D666C" w:rsidRDefault="001D666C" w:rsidP="001D666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bCs/>
                <w:color w:val="4F81BD" w:themeColor="accent1"/>
                <w:sz w:val="16"/>
                <w:szCs w:val="16"/>
                <w:lang w:eastAsia="sl-SI"/>
              </w:rPr>
            </w:pPr>
            <w:r w:rsidRPr="001D666C">
              <w:rPr>
                <w:rFonts w:ascii="Arial Narrow" w:hAnsi="Arial Narrow"/>
                <w:b/>
                <w:bCs/>
                <w:color w:val="4F81BD" w:themeColor="accent1"/>
                <w:sz w:val="16"/>
                <w:szCs w:val="16"/>
                <w:lang w:eastAsia="sl-SI"/>
              </w:rPr>
              <w:t>25</w:t>
            </w:r>
          </w:p>
        </w:tc>
        <w:tc>
          <w:tcPr>
            <w:tcW w:w="1173" w:type="pct"/>
            <w:shd w:val="clear" w:color="auto" w:fill="F2DBDB" w:themeFill="accent2" w:themeFillTint="33"/>
            <w:noWrap/>
            <w:hideMark/>
          </w:tcPr>
          <w:p w:rsidR="001D666C" w:rsidRPr="001D666C" w:rsidRDefault="001D666C" w:rsidP="00D4282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bCs/>
                <w:color w:val="4F81BD" w:themeColor="accent1"/>
                <w:sz w:val="16"/>
                <w:szCs w:val="16"/>
                <w:lang w:eastAsia="sl-SI"/>
              </w:rPr>
            </w:pPr>
            <w:r w:rsidRPr="001D666C">
              <w:rPr>
                <w:rFonts w:ascii="Arial Narrow" w:hAnsi="Arial Narrow"/>
                <w:b/>
                <w:bCs/>
                <w:color w:val="4F81BD" w:themeColor="accent1"/>
                <w:sz w:val="16"/>
                <w:szCs w:val="16"/>
                <w:lang w:eastAsia="sl-SI"/>
              </w:rPr>
              <w:t>-3</w:t>
            </w:r>
          </w:p>
        </w:tc>
      </w:tr>
      <w:tr w:rsidR="00A071AF" w:rsidRPr="001D666C" w:rsidTr="00A071AF">
        <w:trPr>
          <w:cnfStyle w:val="000000100000" w:firstRow="0" w:lastRow="0" w:firstColumn="0" w:lastColumn="0" w:oddVBand="0" w:evenVBand="0" w:oddHBand="1" w:evenHBand="0" w:firstRowFirstColumn="0" w:firstRowLastColumn="0" w:lastRowFirstColumn="0" w:lastRowLastColumn="0"/>
          <w:trHeight w:hRule="exact" w:val="227"/>
        </w:trPr>
        <w:tc>
          <w:tcPr>
            <w:cnfStyle w:val="001000000000" w:firstRow="0" w:lastRow="0" w:firstColumn="1" w:lastColumn="0" w:oddVBand="0" w:evenVBand="0" w:oddHBand="0" w:evenHBand="0" w:firstRowFirstColumn="0" w:firstRowLastColumn="0" w:lastRowFirstColumn="0" w:lastRowLastColumn="0"/>
            <w:tcW w:w="1977" w:type="pct"/>
            <w:shd w:val="clear" w:color="auto" w:fill="F2DBDB" w:themeFill="accent2" w:themeFillTint="33"/>
            <w:hideMark/>
          </w:tcPr>
          <w:p w:rsidR="001D666C" w:rsidRPr="001D666C" w:rsidRDefault="001D666C" w:rsidP="001D666C">
            <w:pPr>
              <w:spacing w:after="0" w:line="240" w:lineRule="auto"/>
              <w:rPr>
                <w:rFonts w:ascii="Arial Narrow" w:hAnsi="Arial Narrow"/>
                <w:b w:val="0"/>
                <w:color w:val="000000"/>
                <w:sz w:val="16"/>
                <w:szCs w:val="16"/>
                <w:lang w:eastAsia="sl-SI"/>
              </w:rPr>
            </w:pPr>
            <w:r w:rsidRPr="001D666C">
              <w:rPr>
                <w:rFonts w:ascii="Arial Narrow" w:hAnsi="Arial Narrow"/>
                <w:b w:val="0"/>
                <w:color w:val="000000"/>
                <w:sz w:val="16"/>
                <w:szCs w:val="16"/>
                <w:lang w:eastAsia="sl-SI"/>
              </w:rPr>
              <w:t>Druge dejavnosti s področja obrambe</w:t>
            </w:r>
          </w:p>
        </w:tc>
        <w:tc>
          <w:tcPr>
            <w:tcW w:w="996" w:type="pct"/>
            <w:shd w:val="clear" w:color="auto" w:fill="F2DBDB" w:themeFill="accent2" w:themeFillTint="33"/>
            <w:noWrap/>
            <w:hideMark/>
          </w:tcPr>
          <w:p w:rsidR="001D666C" w:rsidRPr="001D666C" w:rsidRDefault="001D666C" w:rsidP="001D666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42</w:t>
            </w:r>
          </w:p>
        </w:tc>
        <w:tc>
          <w:tcPr>
            <w:tcW w:w="854" w:type="pct"/>
            <w:shd w:val="clear" w:color="auto" w:fill="F2DBDB" w:themeFill="accent2" w:themeFillTint="33"/>
            <w:noWrap/>
            <w:hideMark/>
          </w:tcPr>
          <w:p w:rsidR="001D666C" w:rsidRPr="001D666C" w:rsidRDefault="001D666C" w:rsidP="001D666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39</w:t>
            </w:r>
          </w:p>
        </w:tc>
        <w:tc>
          <w:tcPr>
            <w:tcW w:w="1173" w:type="pct"/>
            <w:shd w:val="clear" w:color="auto" w:fill="F2DBDB" w:themeFill="accent2" w:themeFillTint="33"/>
            <w:noWrap/>
            <w:hideMark/>
          </w:tcPr>
          <w:p w:rsidR="001D666C" w:rsidRPr="001D666C" w:rsidRDefault="001D666C" w:rsidP="00D4282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-3</w:t>
            </w:r>
          </w:p>
        </w:tc>
      </w:tr>
      <w:tr w:rsidR="00A071AF" w:rsidRPr="001D666C" w:rsidTr="00A071AF">
        <w:trPr>
          <w:trHeight w:hRule="exact" w:val="227"/>
        </w:trPr>
        <w:tc>
          <w:tcPr>
            <w:cnfStyle w:val="001000000000" w:firstRow="0" w:lastRow="0" w:firstColumn="1" w:lastColumn="0" w:oddVBand="0" w:evenVBand="0" w:oddHBand="0" w:evenHBand="0" w:firstRowFirstColumn="0" w:firstRowLastColumn="0" w:lastRowFirstColumn="0" w:lastRowLastColumn="0"/>
            <w:tcW w:w="1977" w:type="pct"/>
            <w:shd w:val="clear" w:color="auto" w:fill="F2DBDB" w:themeFill="accent2" w:themeFillTint="33"/>
            <w:hideMark/>
          </w:tcPr>
          <w:p w:rsidR="001D666C" w:rsidRPr="001D666C" w:rsidRDefault="001D666C" w:rsidP="001D666C">
            <w:pPr>
              <w:spacing w:after="0" w:line="240" w:lineRule="auto"/>
              <w:rPr>
                <w:rFonts w:ascii="Arial Narrow" w:hAnsi="Arial Narrow"/>
                <w:b w:val="0"/>
                <w:color w:val="000000"/>
                <w:sz w:val="16"/>
                <w:szCs w:val="16"/>
                <w:lang w:eastAsia="sl-SI"/>
              </w:rPr>
            </w:pPr>
            <w:r w:rsidRPr="001D666C">
              <w:rPr>
                <w:rFonts w:ascii="Arial Narrow" w:hAnsi="Arial Narrow"/>
                <w:b w:val="0"/>
                <w:color w:val="000000"/>
                <w:sz w:val="16"/>
                <w:szCs w:val="16"/>
                <w:lang w:eastAsia="sl-SI"/>
              </w:rPr>
              <w:t>Splošni transferji med različnimi ravnmi države</w:t>
            </w:r>
          </w:p>
        </w:tc>
        <w:tc>
          <w:tcPr>
            <w:tcW w:w="996" w:type="pct"/>
            <w:shd w:val="clear" w:color="auto" w:fill="F2DBDB" w:themeFill="accent2" w:themeFillTint="33"/>
            <w:noWrap/>
            <w:hideMark/>
          </w:tcPr>
          <w:p w:rsidR="001D666C" w:rsidRPr="001D666C" w:rsidRDefault="001D666C" w:rsidP="001D666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67</w:t>
            </w:r>
          </w:p>
        </w:tc>
        <w:tc>
          <w:tcPr>
            <w:tcW w:w="854" w:type="pct"/>
            <w:shd w:val="clear" w:color="auto" w:fill="F2DBDB" w:themeFill="accent2" w:themeFillTint="33"/>
            <w:noWrap/>
            <w:hideMark/>
          </w:tcPr>
          <w:p w:rsidR="001D666C" w:rsidRPr="001D666C" w:rsidRDefault="001D666C" w:rsidP="001D666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64</w:t>
            </w:r>
          </w:p>
        </w:tc>
        <w:tc>
          <w:tcPr>
            <w:tcW w:w="1173" w:type="pct"/>
            <w:shd w:val="clear" w:color="auto" w:fill="F2DBDB" w:themeFill="accent2" w:themeFillTint="33"/>
            <w:noWrap/>
            <w:hideMark/>
          </w:tcPr>
          <w:p w:rsidR="001D666C" w:rsidRPr="001D666C" w:rsidRDefault="001D666C" w:rsidP="00D4282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-3</w:t>
            </w:r>
          </w:p>
        </w:tc>
      </w:tr>
      <w:tr w:rsidR="00A071AF" w:rsidRPr="001D666C" w:rsidTr="00A071AF">
        <w:trPr>
          <w:cnfStyle w:val="000000100000" w:firstRow="0" w:lastRow="0" w:firstColumn="0" w:lastColumn="0" w:oddVBand="0" w:evenVBand="0" w:oddHBand="1" w:evenHBand="0" w:firstRowFirstColumn="0" w:firstRowLastColumn="0" w:lastRowFirstColumn="0" w:lastRowLastColumn="0"/>
          <w:trHeight w:hRule="exact" w:val="227"/>
        </w:trPr>
        <w:tc>
          <w:tcPr>
            <w:cnfStyle w:val="001000000000" w:firstRow="0" w:lastRow="0" w:firstColumn="1" w:lastColumn="0" w:oddVBand="0" w:evenVBand="0" w:oddHBand="0" w:evenHBand="0" w:firstRowFirstColumn="0" w:firstRowLastColumn="0" w:lastRowFirstColumn="0" w:lastRowLastColumn="0"/>
            <w:tcW w:w="1977" w:type="pct"/>
            <w:shd w:val="clear" w:color="auto" w:fill="F2DBDB" w:themeFill="accent2" w:themeFillTint="33"/>
            <w:hideMark/>
          </w:tcPr>
          <w:p w:rsidR="001D666C" w:rsidRPr="001D666C" w:rsidRDefault="001D666C" w:rsidP="001D666C">
            <w:pPr>
              <w:spacing w:after="0" w:line="240" w:lineRule="auto"/>
              <w:rPr>
                <w:rFonts w:ascii="Arial Narrow" w:hAnsi="Arial Narrow"/>
                <w:b w:val="0"/>
                <w:color w:val="000000"/>
                <w:sz w:val="16"/>
                <w:szCs w:val="16"/>
                <w:lang w:eastAsia="sl-SI"/>
              </w:rPr>
            </w:pPr>
            <w:r w:rsidRPr="001D666C">
              <w:rPr>
                <w:rFonts w:ascii="Arial Narrow" w:hAnsi="Arial Narrow"/>
                <w:b w:val="0"/>
                <w:color w:val="000000"/>
                <w:sz w:val="16"/>
                <w:szCs w:val="16"/>
                <w:lang w:eastAsia="sl-SI"/>
              </w:rPr>
              <w:lastRenderedPageBreak/>
              <w:t>Prostorski razvoj</w:t>
            </w:r>
          </w:p>
        </w:tc>
        <w:tc>
          <w:tcPr>
            <w:tcW w:w="996" w:type="pct"/>
            <w:shd w:val="clear" w:color="auto" w:fill="F2DBDB" w:themeFill="accent2" w:themeFillTint="33"/>
            <w:noWrap/>
            <w:hideMark/>
          </w:tcPr>
          <w:p w:rsidR="001D666C" w:rsidRPr="001D666C" w:rsidRDefault="001D666C" w:rsidP="001D666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53</w:t>
            </w:r>
          </w:p>
        </w:tc>
        <w:tc>
          <w:tcPr>
            <w:tcW w:w="854" w:type="pct"/>
            <w:shd w:val="clear" w:color="auto" w:fill="F2DBDB" w:themeFill="accent2" w:themeFillTint="33"/>
            <w:noWrap/>
            <w:hideMark/>
          </w:tcPr>
          <w:p w:rsidR="001D666C" w:rsidRPr="001D666C" w:rsidRDefault="001D666C" w:rsidP="001D666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49</w:t>
            </w:r>
          </w:p>
        </w:tc>
        <w:tc>
          <w:tcPr>
            <w:tcW w:w="1173" w:type="pct"/>
            <w:shd w:val="clear" w:color="auto" w:fill="F2DBDB" w:themeFill="accent2" w:themeFillTint="33"/>
            <w:noWrap/>
            <w:hideMark/>
          </w:tcPr>
          <w:p w:rsidR="001D666C" w:rsidRPr="001D666C" w:rsidRDefault="001D666C" w:rsidP="00D4282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-4</w:t>
            </w:r>
          </w:p>
        </w:tc>
      </w:tr>
      <w:tr w:rsidR="00A071AF" w:rsidRPr="001D666C" w:rsidTr="00A071AF">
        <w:trPr>
          <w:trHeight w:hRule="exact" w:val="227"/>
        </w:trPr>
        <w:tc>
          <w:tcPr>
            <w:cnfStyle w:val="001000000000" w:firstRow="0" w:lastRow="0" w:firstColumn="1" w:lastColumn="0" w:oddVBand="0" w:evenVBand="0" w:oddHBand="0" w:evenHBand="0" w:firstRowFirstColumn="0" w:firstRowLastColumn="0" w:lastRowFirstColumn="0" w:lastRowLastColumn="0"/>
            <w:tcW w:w="1977" w:type="pct"/>
            <w:shd w:val="clear" w:color="auto" w:fill="F2DBDB" w:themeFill="accent2" w:themeFillTint="33"/>
            <w:hideMark/>
          </w:tcPr>
          <w:p w:rsidR="001D666C" w:rsidRPr="001D666C" w:rsidRDefault="001D666C" w:rsidP="001D666C">
            <w:pPr>
              <w:spacing w:after="0" w:line="240" w:lineRule="auto"/>
              <w:rPr>
                <w:rFonts w:ascii="Arial Narrow" w:hAnsi="Arial Narrow"/>
                <w:b w:val="0"/>
                <w:color w:val="000000"/>
                <w:sz w:val="16"/>
                <w:szCs w:val="16"/>
                <w:lang w:eastAsia="sl-SI"/>
              </w:rPr>
            </w:pPr>
            <w:r w:rsidRPr="001D666C">
              <w:rPr>
                <w:rFonts w:ascii="Arial Narrow" w:hAnsi="Arial Narrow"/>
                <w:b w:val="0"/>
                <w:color w:val="000000"/>
                <w:sz w:val="16"/>
                <w:szCs w:val="16"/>
                <w:lang w:eastAsia="sl-SI"/>
              </w:rPr>
              <w:t>Raziskave in razvoj na področju javne uprave</w:t>
            </w:r>
          </w:p>
        </w:tc>
        <w:tc>
          <w:tcPr>
            <w:tcW w:w="996" w:type="pct"/>
            <w:shd w:val="clear" w:color="auto" w:fill="F2DBDB" w:themeFill="accent2" w:themeFillTint="33"/>
            <w:noWrap/>
            <w:hideMark/>
          </w:tcPr>
          <w:p w:rsidR="001D666C" w:rsidRPr="001D666C" w:rsidRDefault="001D666C" w:rsidP="001D666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62</w:t>
            </w:r>
          </w:p>
        </w:tc>
        <w:tc>
          <w:tcPr>
            <w:tcW w:w="854" w:type="pct"/>
            <w:shd w:val="clear" w:color="auto" w:fill="F2DBDB" w:themeFill="accent2" w:themeFillTint="33"/>
            <w:noWrap/>
            <w:hideMark/>
          </w:tcPr>
          <w:p w:rsidR="001D666C" w:rsidRPr="001D666C" w:rsidRDefault="001D666C" w:rsidP="001D666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56</w:t>
            </w:r>
          </w:p>
        </w:tc>
        <w:tc>
          <w:tcPr>
            <w:tcW w:w="1173" w:type="pct"/>
            <w:shd w:val="clear" w:color="auto" w:fill="F2DBDB" w:themeFill="accent2" w:themeFillTint="33"/>
            <w:noWrap/>
            <w:hideMark/>
          </w:tcPr>
          <w:p w:rsidR="001D666C" w:rsidRPr="001D666C" w:rsidRDefault="001D666C" w:rsidP="00D4282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-6</w:t>
            </w:r>
          </w:p>
        </w:tc>
      </w:tr>
      <w:tr w:rsidR="00A071AF" w:rsidRPr="001D666C" w:rsidTr="00A071AF">
        <w:trPr>
          <w:cnfStyle w:val="000000100000" w:firstRow="0" w:lastRow="0" w:firstColumn="0" w:lastColumn="0" w:oddVBand="0" w:evenVBand="0" w:oddHBand="1" w:evenHBand="0" w:firstRowFirstColumn="0" w:firstRowLastColumn="0" w:lastRowFirstColumn="0" w:lastRowLastColumn="0"/>
          <w:trHeight w:hRule="exact" w:val="227"/>
        </w:trPr>
        <w:tc>
          <w:tcPr>
            <w:cnfStyle w:val="001000000000" w:firstRow="0" w:lastRow="0" w:firstColumn="1" w:lastColumn="0" w:oddVBand="0" w:evenVBand="0" w:oddHBand="0" w:evenHBand="0" w:firstRowFirstColumn="0" w:firstRowLastColumn="0" w:lastRowFirstColumn="0" w:lastRowLastColumn="0"/>
            <w:tcW w:w="1977" w:type="pct"/>
            <w:shd w:val="clear" w:color="auto" w:fill="F2DBDB" w:themeFill="accent2" w:themeFillTint="33"/>
            <w:noWrap/>
            <w:hideMark/>
          </w:tcPr>
          <w:p w:rsidR="001D666C" w:rsidRPr="001D666C" w:rsidRDefault="001D666C" w:rsidP="001D666C">
            <w:pPr>
              <w:spacing w:after="0" w:line="240" w:lineRule="auto"/>
              <w:rPr>
                <w:rFonts w:ascii="Arial Narrow" w:hAnsi="Arial Narrow"/>
                <w:b w:val="0"/>
                <w:color w:val="000000"/>
                <w:sz w:val="16"/>
                <w:szCs w:val="16"/>
                <w:lang w:eastAsia="sl-SI"/>
              </w:rPr>
            </w:pPr>
            <w:r w:rsidRPr="001D666C">
              <w:rPr>
                <w:rFonts w:ascii="Arial Narrow" w:hAnsi="Arial Narrow"/>
                <w:b w:val="0"/>
                <w:color w:val="000000"/>
                <w:sz w:val="16"/>
                <w:szCs w:val="16"/>
                <w:lang w:eastAsia="sl-SI"/>
              </w:rPr>
              <w:t>Vojaška obramba</w:t>
            </w:r>
          </w:p>
        </w:tc>
        <w:tc>
          <w:tcPr>
            <w:tcW w:w="996" w:type="pct"/>
            <w:shd w:val="clear" w:color="auto" w:fill="F2DBDB" w:themeFill="accent2" w:themeFillTint="33"/>
            <w:noWrap/>
            <w:hideMark/>
          </w:tcPr>
          <w:p w:rsidR="001D666C" w:rsidRPr="001D666C" w:rsidRDefault="001D666C" w:rsidP="001D666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18</w:t>
            </w:r>
          </w:p>
        </w:tc>
        <w:tc>
          <w:tcPr>
            <w:tcW w:w="854" w:type="pct"/>
            <w:shd w:val="clear" w:color="auto" w:fill="F2DBDB" w:themeFill="accent2" w:themeFillTint="33"/>
            <w:noWrap/>
            <w:hideMark/>
          </w:tcPr>
          <w:p w:rsidR="001D666C" w:rsidRPr="001D666C" w:rsidRDefault="001D666C" w:rsidP="001D666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11</w:t>
            </w:r>
          </w:p>
        </w:tc>
        <w:tc>
          <w:tcPr>
            <w:tcW w:w="1173" w:type="pct"/>
            <w:shd w:val="clear" w:color="auto" w:fill="F2DBDB" w:themeFill="accent2" w:themeFillTint="33"/>
            <w:noWrap/>
            <w:hideMark/>
          </w:tcPr>
          <w:p w:rsidR="001D666C" w:rsidRPr="001D666C" w:rsidRDefault="001D666C" w:rsidP="00D4282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-7</w:t>
            </w:r>
          </w:p>
        </w:tc>
      </w:tr>
      <w:tr w:rsidR="00A071AF" w:rsidRPr="001D666C" w:rsidTr="00A071AF">
        <w:trPr>
          <w:trHeight w:hRule="exact" w:val="227"/>
        </w:trPr>
        <w:tc>
          <w:tcPr>
            <w:cnfStyle w:val="001000000000" w:firstRow="0" w:lastRow="0" w:firstColumn="1" w:lastColumn="0" w:oddVBand="0" w:evenVBand="0" w:oddHBand="0" w:evenHBand="0" w:firstRowFirstColumn="0" w:firstRowLastColumn="0" w:lastRowFirstColumn="0" w:lastRowLastColumn="0"/>
            <w:tcW w:w="1977" w:type="pct"/>
            <w:shd w:val="clear" w:color="auto" w:fill="F2DBDB" w:themeFill="accent2" w:themeFillTint="33"/>
            <w:hideMark/>
          </w:tcPr>
          <w:p w:rsidR="001D666C" w:rsidRPr="001D666C" w:rsidRDefault="001D666C" w:rsidP="001D666C">
            <w:pPr>
              <w:spacing w:after="0" w:line="240" w:lineRule="auto"/>
              <w:rPr>
                <w:rFonts w:ascii="Arial Narrow" w:hAnsi="Arial Narrow"/>
                <w:b w:val="0"/>
                <w:color w:val="000000"/>
                <w:sz w:val="16"/>
                <w:szCs w:val="16"/>
                <w:lang w:eastAsia="sl-SI"/>
              </w:rPr>
            </w:pPr>
            <w:r w:rsidRPr="001D666C">
              <w:rPr>
                <w:rFonts w:ascii="Arial Narrow" w:hAnsi="Arial Narrow"/>
                <w:b w:val="0"/>
                <w:color w:val="000000"/>
                <w:sz w:val="16"/>
                <w:szCs w:val="16"/>
                <w:lang w:eastAsia="sl-SI"/>
              </w:rPr>
              <w:t>Druge dejavnosti s področja javne uprave</w:t>
            </w:r>
          </w:p>
        </w:tc>
        <w:tc>
          <w:tcPr>
            <w:tcW w:w="996" w:type="pct"/>
            <w:shd w:val="clear" w:color="auto" w:fill="F2DBDB" w:themeFill="accent2" w:themeFillTint="33"/>
            <w:noWrap/>
            <w:hideMark/>
          </w:tcPr>
          <w:p w:rsidR="001D666C" w:rsidRPr="001D666C" w:rsidRDefault="001D666C" w:rsidP="001D666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33</w:t>
            </w:r>
          </w:p>
        </w:tc>
        <w:tc>
          <w:tcPr>
            <w:tcW w:w="854" w:type="pct"/>
            <w:shd w:val="clear" w:color="auto" w:fill="F2DBDB" w:themeFill="accent2" w:themeFillTint="33"/>
            <w:noWrap/>
            <w:hideMark/>
          </w:tcPr>
          <w:p w:rsidR="001D666C" w:rsidRPr="001D666C" w:rsidRDefault="001D666C" w:rsidP="001D666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26</w:t>
            </w:r>
          </w:p>
        </w:tc>
        <w:tc>
          <w:tcPr>
            <w:tcW w:w="1173" w:type="pct"/>
            <w:shd w:val="clear" w:color="auto" w:fill="F2DBDB" w:themeFill="accent2" w:themeFillTint="33"/>
            <w:noWrap/>
            <w:hideMark/>
          </w:tcPr>
          <w:p w:rsidR="001D666C" w:rsidRPr="001D666C" w:rsidRDefault="001D666C" w:rsidP="00D4282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-7</w:t>
            </w:r>
          </w:p>
        </w:tc>
      </w:tr>
      <w:tr w:rsidR="00A071AF" w:rsidRPr="001D666C" w:rsidTr="00A071AF">
        <w:trPr>
          <w:cnfStyle w:val="000000100000" w:firstRow="0" w:lastRow="0" w:firstColumn="0" w:lastColumn="0" w:oddVBand="0" w:evenVBand="0" w:oddHBand="1" w:evenHBand="0" w:firstRowFirstColumn="0" w:firstRowLastColumn="0" w:lastRowFirstColumn="0" w:lastRowLastColumn="0"/>
          <w:trHeight w:hRule="exact" w:val="227"/>
        </w:trPr>
        <w:tc>
          <w:tcPr>
            <w:cnfStyle w:val="001000000000" w:firstRow="0" w:lastRow="0" w:firstColumn="1" w:lastColumn="0" w:oddVBand="0" w:evenVBand="0" w:oddHBand="0" w:evenHBand="0" w:firstRowFirstColumn="0" w:firstRowLastColumn="0" w:lastRowFirstColumn="0" w:lastRowLastColumn="0"/>
            <w:tcW w:w="1977" w:type="pct"/>
            <w:shd w:val="clear" w:color="auto" w:fill="F2DBDB" w:themeFill="accent2" w:themeFillTint="33"/>
            <w:hideMark/>
          </w:tcPr>
          <w:p w:rsidR="001D666C" w:rsidRPr="001D666C" w:rsidRDefault="001D666C" w:rsidP="001D666C">
            <w:pPr>
              <w:spacing w:after="0" w:line="240" w:lineRule="auto"/>
              <w:rPr>
                <w:rFonts w:ascii="Arial Narrow" w:hAnsi="Arial Narrow"/>
                <w:b w:val="0"/>
                <w:color w:val="000000"/>
                <w:sz w:val="16"/>
                <w:szCs w:val="16"/>
                <w:lang w:eastAsia="sl-SI"/>
              </w:rPr>
            </w:pPr>
            <w:r w:rsidRPr="001D666C">
              <w:rPr>
                <w:rFonts w:ascii="Arial Narrow" w:hAnsi="Arial Narrow"/>
                <w:b w:val="0"/>
                <w:color w:val="000000"/>
                <w:sz w:val="16"/>
                <w:szCs w:val="16"/>
                <w:lang w:eastAsia="sl-SI"/>
              </w:rPr>
              <w:t>Druge dejavnosti s področja izobraževanja</w:t>
            </w:r>
          </w:p>
        </w:tc>
        <w:tc>
          <w:tcPr>
            <w:tcW w:w="996" w:type="pct"/>
            <w:shd w:val="clear" w:color="auto" w:fill="F2DBDB" w:themeFill="accent2" w:themeFillTint="33"/>
            <w:noWrap/>
            <w:hideMark/>
          </w:tcPr>
          <w:p w:rsidR="001D666C" w:rsidRPr="001D666C" w:rsidRDefault="001D666C" w:rsidP="001D666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43</w:t>
            </w:r>
          </w:p>
        </w:tc>
        <w:tc>
          <w:tcPr>
            <w:tcW w:w="854" w:type="pct"/>
            <w:shd w:val="clear" w:color="auto" w:fill="F2DBDB" w:themeFill="accent2" w:themeFillTint="33"/>
            <w:noWrap/>
            <w:hideMark/>
          </w:tcPr>
          <w:p w:rsidR="001D666C" w:rsidRPr="001D666C" w:rsidRDefault="001D666C" w:rsidP="001D666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36</w:t>
            </w:r>
          </w:p>
        </w:tc>
        <w:tc>
          <w:tcPr>
            <w:tcW w:w="1173" w:type="pct"/>
            <w:shd w:val="clear" w:color="auto" w:fill="F2DBDB" w:themeFill="accent2" w:themeFillTint="33"/>
            <w:noWrap/>
            <w:hideMark/>
          </w:tcPr>
          <w:p w:rsidR="001D666C" w:rsidRPr="001D666C" w:rsidRDefault="001D666C" w:rsidP="00D4282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-7</w:t>
            </w:r>
          </w:p>
        </w:tc>
      </w:tr>
      <w:tr w:rsidR="00A071AF" w:rsidRPr="001D666C" w:rsidTr="00A071AF">
        <w:trPr>
          <w:trHeight w:hRule="exact" w:val="227"/>
        </w:trPr>
        <w:tc>
          <w:tcPr>
            <w:cnfStyle w:val="001000000000" w:firstRow="0" w:lastRow="0" w:firstColumn="1" w:lastColumn="0" w:oddVBand="0" w:evenVBand="0" w:oddHBand="0" w:evenHBand="0" w:firstRowFirstColumn="0" w:firstRowLastColumn="0" w:lastRowFirstColumn="0" w:lastRowLastColumn="0"/>
            <w:tcW w:w="1977" w:type="pct"/>
            <w:shd w:val="clear" w:color="auto" w:fill="F2DBDB" w:themeFill="accent2" w:themeFillTint="33"/>
            <w:hideMark/>
          </w:tcPr>
          <w:p w:rsidR="001D666C" w:rsidRPr="001D666C" w:rsidRDefault="001D666C" w:rsidP="001D666C">
            <w:pPr>
              <w:spacing w:after="0" w:line="240" w:lineRule="auto"/>
              <w:rPr>
                <w:rFonts w:ascii="Arial Narrow" w:hAnsi="Arial Narrow"/>
                <w:b w:val="0"/>
                <w:color w:val="000000"/>
                <w:sz w:val="16"/>
                <w:szCs w:val="16"/>
                <w:lang w:eastAsia="sl-SI"/>
              </w:rPr>
            </w:pPr>
            <w:r w:rsidRPr="001D666C">
              <w:rPr>
                <w:rFonts w:ascii="Arial Narrow" w:hAnsi="Arial Narrow"/>
                <w:b w:val="0"/>
                <w:color w:val="000000"/>
                <w:sz w:val="16"/>
                <w:szCs w:val="16"/>
                <w:lang w:eastAsia="sl-SI"/>
              </w:rPr>
              <w:t>Raziskave in razvoj na področju obrambe</w:t>
            </w:r>
          </w:p>
        </w:tc>
        <w:tc>
          <w:tcPr>
            <w:tcW w:w="996" w:type="pct"/>
            <w:shd w:val="clear" w:color="auto" w:fill="F2DBDB" w:themeFill="accent2" w:themeFillTint="33"/>
            <w:noWrap/>
            <w:hideMark/>
          </w:tcPr>
          <w:p w:rsidR="001D666C" w:rsidRPr="001D666C" w:rsidRDefault="001D666C" w:rsidP="001D666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68</w:t>
            </w:r>
          </w:p>
        </w:tc>
        <w:tc>
          <w:tcPr>
            <w:tcW w:w="854" w:type="pct"/>
            <w:shd w:val="clear" w:color="auto" w:fill="F2DBDB" w:themeFill="accent2" w:themeFillTint="33"/>
            <w:noWrap/>
            <w:hideMark/>
          </w:tcPr>
          <w:p w:rsidR="001D666C" w:rsidRPr="001D666C" w:rsidRDefault="001D666C" w:rsidP="001D666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61</w:t>
            </w:r>
          </w:p>
        </w:tc>
        <w:tc>
          <w:tcPr>
            <w:tcW w:w="1173" w:type="pct"/>
            <w:shd w:val="clear" w:color="auto" w:fill="F2DBDB" w:themeFill="accent2" w:themeFillTint="33"/>
            <w:noWrap/>
            <w:hideMark/>
          </w:tcPr>
          <w:p w:rsidR="001D666C" w:rsidRPr="001D666C" w:rsidRDefault="001D666C" w:rsidP="00D4282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-7</w:t>
            </w:r>
          </w:p>
        </w:tc>
      </w:tr>
      <w:tr w:rsidR="00A071AF" w:rsidRPr="001D666C" w:rsidTr="00A071AF">
        <w:trPr>
          <w:cnfStyle w:val="000000100000" w:firstRow="0" w:lastRow="0" w:firstColumn="0" w:lastColumn="0" w:oddVBand="0" w:evenVBand="0" w:oddHBand="1" w:evenHBand="0" w:firstRowFirstColumn="0" w:firstRowLastColumn="0" w:lastRowFirstColumn="0" w:lastRowLastColumn="0"/>
          <w:trHeight w:hRule="exact" w:val="227"/>
        </w:trPr>
        <w:tc>
          <w:tcPr>
            <w:cnfStyle w:val="001000000000" w:firstRow="0" w:lastRow="0" w:firstColumn="1" w:lastColumn="0" w:oddVBand="0" w:evenVBand="0" w:oddHBand="0" w:evenHBand="0" w:firstRowFirstColumn="0" w:firstRowLastColumn="0" w:lastRowFirstColumn="0" w:lastRowLastColumn="0"/>
            <w:tcW w:w="1977" w:type="pct"/>
            <w:shd w:val="clear" w:color="auto" w:fill="F2DBDB" w:themeFill="accent2" w:themeFillTint="33"/>
            <w:hideMark/>
          </w:tcPr>
          <w:p w:rsidR="001D666C" w:rsidRPr="001D666C" w:rsidRDefault="001D666C" w:rsidP="001D666C">
            <w:pPr>
              <w:spacing w:after="0" w:line="240" w:lineRule="auto"/>
              <w:rPr>
                <w:rFonts w:ascii="Arial Narrow" w:hAnsi="Arial Narrow"/>
                <w:b w:val="0"/>
                <w:color w:val="000000"/>
                <w:sz w:val="16"/>
                <w:szCs w:val="16"/>
                <w:lang w:eastAsia="sl-SI"/>
              </w:rPr>
            </w:pPr>
            <w:r w:rsidRPr="001D666C">
              <w:rPr>
                <w:rFonts w:ascii="Arial Narrow" w:hAnsi="Arial Narrow"/>
                <w:b w:val="0"/>
                <w:color w:val="000000"/>
                <w:sz w:val="16"/>
                <w:szCs w:val="16"/>
                <w:lang w:eastAsia="sl-SI"/>
              </w:rPr>
              <w:t>Druge dejavnosti s področja varstva okolja</w:t>
            </w:r>
          </w:p>
        </w:tc>
        <w:tc>
          <w:tcPr>
            <w:tcW w:w="996" w:type="pct"/>
            <w:shd w:val="clear" w:color="auto" w:fill="F2DBDB" w:themeFill="accent2" w:themeFillTint="33"/>
            <w:noWrap/>
            <w:hideMark/>
          </w:tcPr>
          <w:p w:rsidR="001D666C" w:rsidRPr="001D666C" w:rsidRDefault="001D666C" w:rsidP="001D666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52</w:t>
            </w:r>
          </w:p>
        </w:tc>
        <w:tc>
          <w:tcPr>
            <w:tcW w:w="854" w:type="pct"/>
            <w:shd w:val="clear" w:color="auto" w:fill="F2DBDB" w:themeFill="accent2" w:themeFillTint="33"/>
            <w:noWrap/>
            <w:hideMark/>
          </w:tcPr>
          <w:p w:rsidR="001D666C" w:rsidRPr="001D666C" w:rsidRDefault="001D666C" w:rsidP="001D666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45</w:t>
            </w:r>
          </w:p>
        </w:tc>
        <w:tc>
          <w:tcPr>
            <w:tcW w:w="1173" w:type="pct"/>
            <w:shd w:val="clear" w:color="auto" w:fill="F2DBDB" w:themeFill="accent2" w:themeFillTint="33"/>
            <w:noWrap/>
            <w:hideMark/>
          </w:tcPr>
          <w:p w:rsidR="001D666C" w:rsidRPr="001D666C" w:rsidRDefault="001D666C" w:rsidP="00D4282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-7</w:t>
            </w:r>
          </w:p>
        </w:tc>
      </w:tr>
      <w:tr w:rsidR="00A071AF" w:rsidRPr="001D666C" w:rsidTr="00A071AF">
        <w:trPr>
          <w:trHeight w:hRule="exact" w:val="227"/>
        </w:trPr>
        <w:tc>
          <w:tcPr>
            <w:cnfStyle w:val="001000000000" w:firstRow="0" w:lastRow="0" w:firstColumn="1" w:lastColumn="0" w:oddVBand="0" w:evenVBand="0" w:oddHBand="0" w:evenHBand="0" w:firstRowFirstColumn="0" w:firstRowLastColumn="0" w:lastRowFirstColumn="0" w:lastRowLastColumn="0"/>
            <w:tcW w:w="1977" w:type="pct"/>
            <w:shd w:val="clear" w:color="auto" w:fill="F2DBDB" w:themeFill="accent2" w:themeFillTint="33"/>
            <w:hideMark/>
          </w:tcPr>
          <w:p w:rsidR="001D666C" w:rsidRPr="001D666C" w:rsidRDefault="001D666C" w:rsidP="001D666C">
            <w:pPr>
              <w:spacing w:after="0" w:line="240" w:lineRule="auto"/>
              <w:rPr>
                <w:rFonts w:ascii="Arial Narrow" w:hAnsi="Arial Narrow"/>
                <w:b w:val="0"/>
                <w:color w:val="000000"/>
                <w:sz w:val="16"/>
                <w:szCs w:val="16"/>
                <w:lang w:eastAsia="sl-SI"/>
              </w:rPr>
            </w:pPr>
            <w:r w:rsidRPr="001D666C">
              <w:rPr>
                <w:rFonts w:ascii="Arial Narrow" w:hAnsi="Arial Narrow"/>
                <w:b w:val="0"/>
                <w:color w:val="000000"/>
                <w:sz w:val="16"/>
                <w:szCs w:val="16"/>
                <w:lang w:eastAsia="sl-SI"/>
              </w:rPr>
              <w:t>Izobraževanje, ki ni opredeljeno po stopnjah</w:t>
            </w:r>
          </w:p>
        </w:tc>
        <w:tc>
          <w:tcPr>
            <w:tcW w:w="996" w:type="pct"/>
            <w:shd w:val="clear" w:color="auto" w:fill="F2DBDB" w:themeFill="accent2" w:themeFillTint="33"/>
            <w:noWrap/>
            <w:hideMark/>
          </w:tcPr>
          <w:p w:rsidR="001D666C" w:rsidRPr="001D666C" w:rsidRDefault="001D666C" w:rsidP="001D666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45</w:t>
            </w:r>
          </w:p>
        </w:tc>
        <w:tc>
          <w:tcPr>
            <w:tcW w:w="854" w:type="pct"/>
            <w:shd w:val="clear" w:color="auto" w:fill="F2DBDB" w:themeFill="accent2" w:themeFillTint="33"/>
            <w:noWrap/>
            <w:hideMark/>
          </w:tcPr>
          <w:p w:rsidR="001D666C" w:rsidRPr="001D666C" w:rsidRDefault="001D666C" w:rsidP="001D666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37</w:t>
            </w:r>
          </w:p>
        </w:tc>
        <w:tc>
          <w:tcPr>
            <w:tcW w:w="1173" w:type="pct"/>
            <w:shd w:val="clear" w:color="auto" w:fill="F2DBDB" w:themeFill="accent2" w:themeFillTint="33"/>
            <w:noWrap/>
            <w:hideMark/>
          </w:tcPr>
          <w:p w:rsidR="001D666C" w:rsidRPr="001D666C" w:rsidRDefault="001D666C" w:rsidP="00D4282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-8</w:t>
            </w:r>
          </w:p>
        </w:tc>
      </w:tr>
      <w:tr w:rsidR="00A071AF" w:rsidRPr="001D666C" w:rsidTr="00A071AF">
        <w:trPr>
          <w:cnfStyle w:val="000000100000" w:firstRow="0" w:lastRow="0" w:firstColumn="0" w:lastColumn="0" w:oddVBand="0" w:evenVBand="0" w:oddHBand="1" w:evenHBand="0" w:firstRowFirstColumn="0" w:firstRowLastColumn="0" w:lastRowFirstColumn="0" w:lastRowLastColumn="0"/>
          <w:trHeight w:hRule="exact" w:val="227"/>
        </w:trPr>
        <w:tc>
          <w:tcPr>
            <w:cnfStyle w:val="001000000000" w:firstRow="0" w:lastRow="0" w:firstColumn="1" w:lastColumn="0" w:oddVBand="0" w:evenVBand="0" w:oddHBand="0" w:evenHBand="0" w:firstRowFirstColumn="0" w:firstRowLastColumn="0" w:lastRowFirstColumn="0" w:lastRowLastColumn="0"/>
            <w:tcW w:w="1977" w:type="pct"/>
            <w:shd w:val="clear" w:color="auto" w:fill="F2DBDB" w:themeFill="accent2" w:themeFillTint="33"/>
            <w:hideMark/>
          </w:tcPr>
          <w:p w:rsidR="001D666C" w:rsidRPr="001D666C" w:rsidRDefault="001D666C" w:rsidP="001D666C">
            <w:pPr>
              <w:spacing w:after="0" w:line="240" w:lineRule="auto"/>
              <w:rPr>
                <w:rFonts w:ascii="Arial Narrow" w:hAnsi="Arial Narrow"/>
                <w:b w:val="0"/>
                <w:color w:val="000000"/>
                <w:sz w:val="16"/>
                <w:szCs w:val="16"/>
                <w:lang w:eastAsia="sl-SI"/>
              </w:rPr>
            </w:pPr>
            <w:r w:rsidRPr="001D666C">
              <w:rPr>
                <w:rFonts w:ascii="Arial Narrow" w:hAnsi="Arial Narrow"/>
                <w:b w:val="0"/>
                <w:color w:val="000000"/>
                <w:sz w:val="16"/>
                <w:szCs w:val="16"/>
                <w:lang w:eastAsia="sl-SI"/>
              </w:rPr>
              <w:t>Varstvo biološke raznovrstnosti in krajine</w:t>
            </w:r>
          </w:p>
        </w:tc>
        <w:tc>
          <w:tcPr>
            <w:tcW w:w="996" w:type="pct"/>
            <w:shd w:val="clear" w:color="auto" w:fill="F2DBDB" w:themeFill="accent2" w:themeFillTint="33"/>
            <w:noWrap/>
            <w:hideMark/>
          </w:tcPr>
          <w:p w:rsidR="001D666C" w:rsidRPr="001D666C" w:rsidRDefault="001D666C" w:rsidP="001D666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50</w:t>
            </w:r>
          </w:p>
        </w:tc>
        <w:tc>
          <w:tcPr>
            <w:tcW w:w="854" w:type="pct"/>
            <w:shd w:val="clear" w:color="auto" w:fill="F2DBDB" w:themeFill="accent2" w:themeFillTint="33"/>
            <w:noWrap/>
            <w:hideMark/>
          </w:tcPr>
          <w:p w:rsidR="001D666C" w:rsidRPr="001D666C" w:rsidRDefault="001D666C" w:rsidP="001D666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40</w:t>
            </w:r>
          </w:p>
        </w:tc>
        <w:tc>
          <w:tcPr>
            <w:tcW w:w="1173" w:type="pct"/>
            <w:shd w:val="clear" w:color="auto" w:fill="F2DBDB" w:themeFill="accent2" w:themeFillTint="33"/>
            <w:noWrap/>
            <w:hideMark/>
          </w:tcPr>
          <w:p w:rsidR="001D666C" w:rsidRPr="001D666C" w:rsidRDefault="001D666C" w:rsidP="00D4282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-10</w:t>
            </w:r>
          </w:p>
        </w:tc>
      </w:tr>
      <w:tr w:rsidR="00A071AF" w:rsidRPr="001D666C" w:rsidTr="00A071AF">
        <w:trPr>
          <w:trHeight w:hRule="exact" w:val="227"/>
        </w:trPr>
        <w:tc>
          <w:tcPr>
            <w:cnfStyle w:val="001000000000" w:firstRow="0" w:lastRow="0" w:firstColumn="1" w:lastColumn="0" w:oddVBand="0" w:evenVBand="0" w:oddHBand="0" w:evenHBand="0" w:firstRowFirstColumn="0" w:firstRowLastColumn="0" w:lastRowFirstColumn="0" w:lastRowLastColumn="0"/>
            <w:tcW w:w="1977" w:type="pct"/>
            <w:shd w:val="clear" w:color="auto" w:fill="F2DBDB" w:themeFill="accent2" w:themeFillTint="33"/>
            <w:hideMark/>
          </w:tcPr>
          <w:p w:rsidR="001D666C" w:rsidRPr="001D666C" w:rsidRDefault="001D666C" w:rsidP="001D666C">
            <w:pPr>
              <w:spacing w:after="0" w:line="240" w:lineRule="auto"/>
              <w:rPr>
                <w:rFonts w:ascii="Arial Narrow" w:hAnsi="Arial Narrow"/>
                <w:b w:val="0"/>
                <w:color w:val="000000"/>
                <w:sz w:val="16"/>
                <w:szCs w:val="16"/>
                <w:lang w:eastAsia="sl-SI"/>
              </w:rPr>
            </w:pPr>
            <w:r w:rsidRPr="001D666C">
              <w:rPr>
                <w:rFonts w:ascii="Arial Narrow" w:hAnsi="Arial Narrow"/>
                <w:b w:val="0"/>
                <w:color w:val="000000"/>
                <w:sz w:val="16"/>
                <w:szCs w:val="16"/>
                <w:lang w:eastAsia="sl-SI"/>
              </w:rPr>
              <w:t>Druge dejavnosti s področja stanovanjske dejavnosti in urejanja okolja</w:t>
            </w:r>
          </w:p>
        </w:tc>
        <w:tc>
          <w:tcPr>
            <w:tcW w:w="996" w:type="pct"/>
            <w:shd w:val="clear" w:color="auto" w:fill="F2DBDB" w:themeFill="accent2" w:themeFillTint="33"/>
            <w:noWrap/>
            <w:hideMark/>
          </w:tcPr>
          <w:p w:rsidR="001D666C" w:rsidRPr="001D666C" w:rsidRDefault="001D666C" w:rsidP="001D666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61</w:t>
            </w:r>
          </w:p>
        </w:tc>
        <w:tc>
          <w:tcPr>
            <w:tcW w:w="854" w:type="pct"/>
            <w:shd w:val="clear" w:color="auto" w:fill="F2DBDB" w:themeFill="accent2" w:themeFillTint="33"/>
            <w:noWrap/>
            <w:hideMark/>
          </w:tcPr>
          <w:p w:rsidR="001D666C" w:rsidRPr="001D666C" w:rsidRDefault="001D666C" w:rsidP="001D666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50</w:t>
            </w:r>
          </w:p>
        </w:tc>
        <w:tc>
          <w:tcPr>
            <w:tcW w:w="1173" w:type="pct"/>
            <w:shd w:val="clear" w:color="auto" w:fill="F2DBDB" w:themeFill="accent2" w:themeFillTint="33"/>
            <w:noWrap/>
            <w:hideMark/>
          </w:tcPr>
          <w:p w:rsidR="001D666C" w:rsidRPr="001D666C" w:rsidRDefault="001D666C" w:rsidP="00D4282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-11</w:t>
            </w:r>
          </w:p>
        </w:tc>
      </w:tr>
      <w:tr w:rsidR="00A071AF" w:rsidRPr="001D666C" w:rsidTr="00A071AF">
        <w:trPr>
          <w:cnfStyle w:val="000000100000" w:firstRow="0" w:lastRow="0" w:firstColumn="0" w:lastColumn="0" w:oddVBand="0" w:evenVBand="0" w:oddHBand="1" w:evenHBand="0" w:firstRowFirstColumn="0" w:firstRowLastColumn="0" w:lastRowFirstColumn="0" w:lastRowLastColumn="0"/>
          <w:trHeight w:hRule="exact" w:val="227"/>
        </w:trPr>
        <w:tc>
          <w:tcPr>
            <w:cnfStyle w:val="001000000000" w:firstRow="0" w:lastRow="0" w:firstColumn="1" w:lastColumn="0" w:oddVBand="0" w:evenVBand="0" w:oddHBand="0" w:evenHBand="0" w:firstRowFirstColumn="0" w:firstRowLastColumn="0" w:lastRowFirstColumn="0" w:lastRowLastColumn="0"/>
            <w:tcW w:w="1977" w:type="pct"/>
            <w:shd w:val="clear" w:color="auto" w:fill="F2DBDB" w:themeFill="accent2" w:themeFillTint="33"/>
            <w:hideMark/>
          </w:tcPr>
          <w:p w:rsidR="001D666C" w:rsidRPr="001D666C" w:rsidRDefault="001D666C" w:rsidP="001D666C">
            <w:pPr>
              <w:spacing w:after="0" w:line="240" w:lineRule="auto"/>
              <w:rPr>
                <w:rFonts w:ascii="Arial Narrow" w:hAnsi="Arial Narrow"/>
                <w:b w:val="0"/>
                <w:color w:val="000000"/>
                <w:sz w:val="16"/>
                <w:szCs w:val="16"/>
                <w:lang w:eastAsia="sl-SI"/>
              </w:rPr>
            </w:pPr>
            <w:r w:rsidRPr="001D666C">
              <w:rPr>
                <w:rFonts w:ascii="Arial Narrow" w:hAnsi="Arial Narrow"/>
                <w:b w:val="0"/>
                <w:color w:val="000000"/>
                <w:sz w:val="16"/>
                <w:szCs w:val="16"/>
                <w:lang w:eastAsia="sl-SI"/>
              </w:rPr>
              <w:t>Splošne storitve</w:t>
            </w:r>
          </w:p>
        </w:tc>
        <w:tc>
          <w:tcPr>
            <w:tcW w:w="996" w:type="pct"/>
            <w:shd w:val="clear" w:color="auto" w:fill="F2DBDB" w:themeFill="accent2" w:themeFillTint="33"/>
            <w:noWrap/>
            <w:hideMark/>
          </w:tcPr>
          <w:p w:rsidR="001D666C" w:rsidRPr="001D666C" w:rsidRDefault="001D666C" w:rsidP="001D666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31</w:t>
            </w:r>
          </w:p>
        </w:tc>
        <w:tc>
          <w:tcPr>
            <w:tcW w:w="854" w:type="pct"/>
            <w:shd w:val="clear" w:color="auto" w:fill="F2DBDB" w:themeFill="accent2" w:themeFillTint="33"/>
            <w:noWrap/>
            <w:hideMark/>
          </w:tcPr>
          <w:p w:rsidR="001D666C" w:rsidRPr="001D666C" w:rsidRDefault="001D666C" w:rsidP="001D666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19</w:t>
            </w:r>
          </w:p>
        </w:tc>
        <w:tc>
          <w:tcPr>
            <w:tcW w:w="1173" w:type="pct"/>
            <w:shd w:val="clear" w:color="auto" w:fill="F2DBDB" w:themeFill="accent2" w:themeFillTint="33"/>
            <w:noWrap/>
            <w:hideMark/>
          </w:tcPr>
          <w:p w:rsidR="001D666C" w:rsidRPr="001D666C" w:rsidRDefault="001D666C" w:rsidP="00D4282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-12</w:t>
            </w:r>
          </w:p>
        </w:tc>
      </w:tr>
      <w:tr w:rsidR="00A071AF" w:rsidRPr="001D666C" w:rsidTr="00A071AF">
        <w:trPr>
          <w:trHeight w:hRule="exact" w:val="227"/>
        </w:trPr>
        <w:tc>
          <w:tcPr>
            <w:cnfStyle w:val="001000000000" w:firstRow="0" w:lastRow="0" w:firstColumn="1" w:lastColumn="0" w:oddVBand="0" w:evenVBand="0" w:oddHBand="0" w:evenHBand="0" w:firstRowFirstColumn="0" w:firstRowLastColumn="0" w:lastRowFirstColumn="0" w:lastRowLastColumn="0"/>
            <w:tcW w:w="1977" w:type="pct"/>
            <w:shd w:val="clear" w:color="auto" w:fill="F2DBDB" w:themeFill="accent2" w:themeFillTint="33"/>
            <w:hideMark/>
          </w:tcPr>
          <w:p w:rsidR="001D666C" w:rsidRPr="001D666C" w:rsidRDefault="001D666C" w:rsidP="001D666C">
            <w:pPr>
              <w:spacing w:after="0" w:line="240" w:lineRule="auto"/>
              <w:rPr>
                <w:rFonts w:ascii="Arial Narrow" w:hAnsi="Arial Narrow"/>
                <w:b w:val="0"/>
                <w:color w:val="000000"/>
                <w:sz w:val="16"/>
                <w:szCs w:val="16"/>
                <w:lang w:eastAsia="sl-SI"/>
              </w:rPr>
            </w:pPr>
            <w:r w:rsidRPr="001D666C">
              <w:rPr>
                <w:rFonts w:ascii="Arial Narrow" w:hAnsi="Arial Narrow"/>
                <w:b w:val="0"/>
                <w:color w:val="000000"/>
                <w:sz w:val="16"/>
                <w:szCs w:val="16"/>
                <w:lang w:eastAsia="sl-SI"/>
              </w:rPr>
              <w:t>Stanovanjske dejavnosti</w:t>
            </w:r>
          </w:p>
        </w:tc>
        <w:tc>
          <w:tcPr>
            <w:tcW w:w="996" w:type="pct"/>
            <w:shd w:val="clear" w:color="auto" w:fill="F2DBDB" w:themeFill="accent2" w:themeFillTint="33"/>
            <w:noWrap/>
            <w:hideMark/>
          </w:tcPr>
          <w:p w:rsidR="001D666C" w:rsidRPr="001D666C" w:rsidRDefault="001D666C" w:rsidP="001D666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49</w:t>
            </w:r>
          </w:p>
        </w:tc>
        <w:tc>
          <w:tcPr>
            <w:tcW w:w="854" w:type="pct"/>
            <w:shd w:val="clear" w:color="auto" w:fill="F2DBDB" w:themeFill="accent2" w:themeFillTint="33"/>
            <w:noWrap/>
            <w:hideMark/>
          </w:tcPr>
          <w:p w:rsidR="001D666C" w:rsidRPr="001D666C" w:rsidRDefault="001D666C" w:rsidP="001D666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32</w:t>
            </w:r>
          </w:p>
        </w:tc>
        <w:tc>
          <w:tcPr>
            <w:tcW w:w="1173" w:type="pct"/>
            <w:shd w:val="clear" w:color="auto" w:fill="F2DBDB" w:themeFill="accent2" w:themeFillTint="33"/>
            <w:noWrap/>
            <w:hideMark/>
          </w:tcPr>
          <w:p w:rsidR="001D666C" w:rsidRPr="001D666C" w:rsidRDefault="001D666C" w:rsidP="00D4282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-17</w:t>
            </w:r>
          </w:p>
        </w:tc>
      </w:tr>
      <w:tr w:rsidR="00A071AF" w:rsidRPr="001D666C" w:rsidTr="00A071AF">
        <w:trPr>
          <w:cnfStyle w:val="000000100000" w:firstRow="0" w:lastRow="0" w:firstColumn="0" w:lastColumn="0" w:oddVBand="0" w:evenVBand="0" w:oddHBand="1" w:evenHBand="0" w:firstRowFirstColumn="0" w:firstRowLastColumn="0" w:lastRowFirstColumn="0" w:lastRowLastColumn="0"/>
          <w:trHeight w:hRule="exact" w:val="227"/>
        </w:trPr>
        <w:tc>
          <w:tcPr>
            <w:cnfStyle w:val="001000000000" w:firstRow="0" w:lastRow="0" w:firstColumn="1" w:lastColumn="0" w:oddVBand="0" w:evenVBand="0" w:oddHBand="0" w:evenHBand="0" w:firstRowFirstColumn="0" w:firstRowLastColumn="0" w:lastRowFirstColumn="0" w:lastRowLastColumn="0"/>
            <w:tcW w:w="1977" w:type="pct"/>
            <w:shd w:val="clear" w:color="auto" w:fill="F2DBDB" w:themeFill="accent2" w:themeFillTint="33"/>
            <w:hideMark/>
          </w:tcPr>
          <w:p w:rsidR="001D666C" w:rsidRPr="001D666C" w:rsidRDefault="001D666C" w:rsidP="001D666C">
            <w:pPr>
              <w:spacing w:after="0" w:line="240" w:lineRule="auto"/>
              <w:rPr>
                <w:rFonts w:ascii="Arial Narrow" w:hAnsi="Arial Narrow"/>
                <w:b w:val="0"/>
                <w:color w:val="000000"/>
                <w:sz w:val="16"/>
                <w:szCs w:val="16"/>
                <w:lang w:eastAsia="sl-SI"/>
              </w:rPr>
            </w:pPr>
            <w:r w:rsidRPr="001D666C">
              <w:rPr>
                <w:rFonts w:ascii="Arial Narrow" w:hAnsi="Arial Narrow"/>
                <w:b w:val="0"/>
                <w:color w:val="000000"/>
                <w:sz w:val="16"/>
                <w:szCs w:val="16"/>
                <w:lang w:eastAsia="sl-SI"/>
              </w:rPr>
              <w:t>Komunikacije</w:t>
            </w:r>
          </w:p>
        </w:tc>
        <w:tc>
          <w:tcPr>
            <w:tcW w:w="996" w:type="pct"/>
            <w:shd w:val="clear" w:color="auto" w:fill="F2DBDB" w:themeFill="accent2" w:themeFillTint="33"/>
            <w:noWrap/>
            <w:hideMark/>
          </w:tcPr>
          <w:p w:rsidR="001D666C" w:rsidRPr="001D666C" w:rsidRDefault="001D666C" w:rsidP="001D666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58</w:t>
            </w:r>
          </w:p>
        </w:tc>
        <w:tc>
          <w:tcPr>
            <w:tcW w:w="854" w:type="pct"/>
            <w:shd w:val="clear" w:color="auto" w:fill="F2DBDB" w:themeFill="accent2" w:themeFillTint="33"/>
            <w:noWrap/>
            <w:hideMark/>
          </w:tcPr>
          <w:p w:rsidR="001D666C" w:rsidRPr="001D666C" w:rsidRDefault="001D666C" w:rsidP="001D666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27</w:t>
            </w:r>
          </w:p>
        </w:tc>
        <w:tc>
          <w:tcPr>
            <w:tcW w:w="1173" w:type="pct"/>
            <w:shd w:val="clear" w:color="auto" w:fill="F2DBDB" w:themeFill="accent2" w:themeFillTint="33"/>
            <w:noWrap/>
            <w:hideMark/>
          </w:tcPr>
          <w:p w:rsidR="001D666C" w:rsidRPr="001D666C" w:rsidRDefault="001D666C" w:rsidP="00D4282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1D666C">
              <w:rPr>
                <w:rFonts w:ascii="Arial Narrow" w:hAnsi="Arial Narrow"/>
                <w:color w:val="000000"/>
                <w:sz w:val="16"/>
                <w:szCs w:val="16"/>
                <w:lang w:eastAsia="sl-SI"/>
              </w:rPr>
              <w:t>-31</w:t>
            </w:r>
          </w:p>
        </w:tc>
      </w:tr>
    </w:tbl>
    <w:p w:rsidR="001D666C" w:rsidRDefault="00D42823" w:rsidP="00D42823">
      <w:pPr>
        <w:pStyle w:val="Podpispodtabeloaligrafom"/>
      </w:pPr>
      <w:r w:rsidRPr="00D42823">
        <w:t>Vir: Statistični urad Republike Slovenije.</w:t>
      </w:r>
      <w:r>
        <w:t xml:space="preserve"> Izračuni: Ministrstvo za kulturo.</w:t>
      </w:r>
    </w:p>
    <w:p w:rsidR="001D666C" w:rsidRDefault="001D666C" w:rsidP="004352C0"/>
    <w:p w:rsidR="005A47BF" w:rsidRDefault="00E34990" w:rsidP="004352C0">
      <w:r w:rsidRPr="00B24727">
        <w:t xml:space="preserve">Kako </w:t>
      </w:r>
      <w:r w:rsidR="00C10A3D" w:rsidRPr="00B24727">
        <w:t xml:space="preserve">torej </w:t>
      </w:r>
      <w:r w:rsidR="00BF3B8C" w:rsidRPr="00B24727">
        <w:t>razumeti</w:t>
      </w:r>
      <w:r w:rsidRPr="00B24727">
        <w:t xml:space="preserve"> očitno nasprotje med obsegom javnih sredstev za kulturne storitve</w:t>
      </w:r>
      <w:r w:rsidR="00077331" w:rsidRPr="00B24727">
        <w:t xml:space="preserve">, ki, kot smo pokazali z </w:t>
      </w:r>
      <w:r w:rsidR="008D728F">
        <w:t>mednarodnimi podatki (poglavje Mednarodna primerjava javnih izdatkov za kulturne storitve</w:t>
      </w:r>
      <w:r w:rsidR="00077331" w:rsidRPr="00B24727">
        <w:t>) in tudi s podatki o razmerjih med različnimi</w:t>
      </w:r>
      <w:r w:rsidR="008D728F">
        <w:t xml:space="preserve"> družbenimi področji (tabeli 6 in 7</w:t>
      </w:r>
      <w:r w:rsidR="00077331" w:rsidRPr="00B24727">
        <w:t>)</w:t>
      </w:r>
      <w:r w:rsidR="00F85F2C">
        <w:t>,</w:t>
      </w:r>
      <w:r w:rsidR="00077331" w:rsidRPr="00B24727">
        <w:t xml:space="preserve"> ni majhen, in </w:t>
      </w:r>
      <w:r w:rsidR="00DF3EB7">
        <w:t>razširjenim mnenjem</w:t>
      </w:r>
      <w:r w:rsidRPr="00B24727">
        <w:t xml:space="preserve">, da </w:t>
      </w:r>
      <w:r w:rsidR="001B5DE7" w:rsidRPr="00B24727">
        <w:t>je kultura v Sloveniji de</w:t>
      </w:r>
      <w:r w:rsidR="005A47BF">
        <w:t xml:space="preserve">ležna le mačehovske pozornosti? </w:t>
      </w:r>
      <w:r w:rsidR="006D5D69">
        <w:t xml:space="preserve">Odgovor kaže iskati v neskladju med količino javnih sredstev in obsegu dejavnosti, ki </w:t>
      </w:r>
      <w:r w:rsidR="00FB74D4">
        <w:t>jih</w:t>
      </w:r>
      <w:r w:rsidR="006D5D69">
        <w:t xml:space="preserve"> financira</w:t>
      </w:r>
      <w:r w:rsidR="00FB74D4">
        <w:t>mo</w:t>
      </w:r>
      <w:r w:rsidR="00981242">
        <w:t xml:space="preserve"> z njimi – obseg dejavnosti je prevelik glede na </w:t>
      </w:r>
      <w:r w:rsidR="008D728F">
        <w:t xml:space="preserve">razpoložljiva </w:t>
      </w:r>
      <w:r w:rsidR="00981242">
        <w:t xml:space="preserve">javna sredstva – </w:t>
      </w:r>
      <w:r w:rsidR="006D5D69">
        <w:t>pa tudi v neskladju med financiranjem javnega in nevladnega sektorja</w:t>
      </w:r>
      <w:r w:rsidR="00981242">
        <w:t>, ki dobi bistveno manj sredstev kot prvi</w:t>
      </w:r>
      <w:r w:rsidR="006D5D69">
        <w:t>. Podatke za oboje predstavljamo v nadaljevanju.</w:t>
      </w:r>
    </w:p>
    <w:p w:rsidR="00F946C5" w:rsidRDefault="00F946C5" w:rsidP="004352C0">
      <w:pPr>
        <w:rPr>
          <w:b/>
        </w:rPr>
      </w:pPr>
    </w:p>
    <w:p w:rsidR="00FE3FB5" w:rsidRDefault="009B209F" w:rsidP="00BD326C">
      <w:pPr>
        <w:pStyle w:val="Podnaslov2"/>
      </w:pPr>
      <w:bookmarkStart w:id="92" w:name="_Toc477339478"/>
      <w:bookmarkStart w:id="93" w:name="_Toc477339734"/>
      <w:bookmarkStart w:id="94" w:name="_Toc477339902"/>
      <w:bookmarkStart w:id="95" w:name="_Toc489859812"/>
      <w:bookmarkStart w:id="96" w:name="_Toc490047575"/>
      <w:bookmarkStart w:id="97" w:name="_Toc490599940"/>
      <w:bookmarkStart w:id="98" w:name="_Toc506192069"/>
      <w:r w:rsidRPr="00512FBD">
        <w:t>Proračun Ministrstva za kulturo</w:t>
      </w:r>
      <w:bookmarkEnd w:id="92"/>
      <w:bookmarkEnd w:id="93"/>
      <w:bookmarkEnd w:id="94"/>
      <w:bookmarkEnd w:id="95"/>
      <w:bookmarkEnd w:id="96"/>
      <w:bookmarkEnd w:id="97"/>
      <w:bookmarkEnd w:id="98"/>
    </w:p>
    <w:p w:rsidR="009033A0" w:rsidRDefault="009033A0" w:rsidP="009033A0">
      <w:pPr>
        <w:pStyle w:val="Podnaslov3"/>
      </w:pPr>
      <w:bookmarkStart w:id="99" w:name="_Toc489859813"/>
      <w:bookmarkStart w:id="100" w:name="_Toc490047576"/>
      <w:bookmarkStart w:id="101" w:name="_Toc490599941"/>
      <w:bookmarkStart w:id="102" w:name="_Toc506192070"/>
      <w:r>
        <w:t>Obseg sredstev</w:t>
      </w:r>
      <w:bookmarkEnd w:id="99"/>
      <w:bookmarkEnd w:id="100"/>
      <w:bookmarkEnd w:id="101"/>
      <w:bookmarkEnd w:id="102"/>
    </w:p>
    <w:p w:rsidR="007666DF" w:rsidRDefault="00CB5688" w:rsidP="000B2C78">
      <w:r>
        <w:t>Proračun Ministrstva za kulturo se je od leta 1992 naprej</w:t>
      </w:r>
      <w:r w:rsidR="00BA65B5">
        <w:t xml:space="preserve"> (</w:t>
      </w:r>
      <w:r w:rsidR="00C65772">
        <w:t>prvo polno leto delovanja M</w:t>
      </w:r>
      <w:r w:rsidR="00BA65B5">
        <w:t xml:space="preserve">inistrstvo </w:t>
      </w:r>
      <w:r w:rsidR="00C65772">
        <w:t>za kulturo</w:t>
      </w:r>
      <w:r w:rsidR="00BA65B5">
        <w:t>)</w:t>
      </w:r>
      <w:r w:rsidR="009D771A">
        <w:rPr>
          <w:rStyle w:val="Sprotnaopomba-sklic"/>
        </w:rPr>
        <w:footnoteReference w:id="17"/>
      </w:r>
      <w:r w:rsidR="00BA65B5">
        <w:t xml:space="preserve"> </w:t>
      </w:r>
      <w:r>
        <w:t>do leta 2009 nominalno zviševal (iz 22 na 204 milijone evrov), leta 2010 pa je začel padati in leta 2016 pristal na ravni leta 2005</w:t>
      </w:r>
      <w:r w:rsidR="00766D8F">
        <w:t xml:space="preserve"> – </w:t>
      </w:r>
      <w:r w:rsidR="001F086B">
        <w:t xml:space="preserve">na </w:t>
      </w:r>
      <w:r w:rsidR="00766D8F">
        <w:t>slabih 147 milijonov evrov</w:t>
      </w:r>
      <w:r w:rsidR="00181215">
        <w:t xml:space="preserve"> (tabela 9</w:t>
      </w:r>
      <w:r w:rsidR="00F92C54">
        <w:t>)</w:t>
      </w:r>
      <w:r w:rsidR="00766D8F">
        <w:t xml:space="preserve">. </w:t>
      </w:r>
      <w:r w:rsidR="000B2C78">
        <w:t xml:space="preserve">Pri tem kaže </w:t>
      </w:r>
      <w:r w:rsidR="000B2C78" w:rsidRPr="000B2C78">
        <w:t>upoštevati, da je v letih 2014 in 2015 Ministrstvo za kulturo intenzivno zaključevalo projek</w:t>
      </w:r>
      <w:r w:rsidR="000B2C78">
        <w:t>te iz finančne perspektive 2007–</w:t>
      </w:r>
      <w:r w:rsidR="000B2C78" w:rsidRPr="000B2C78">
        <w:t xml:space="preserve">2013, in da sta </w:t>
      </w:r>
      <w:r w:rsidR="00B51843">
        <w:t>navedeni</w:t>
      </w:r>
      <w:r w:rsidR="000B2C78" w:rsidRPr="000B2C78">
        <w:t xml:space="preserve"> višini proračuna </w:t>
      </w:r>
      <w:r w:rsidR="000B2C78">
        <w:t>Ministrstva</w:t>
      </w:r>
      <w:r w:rsidR="000B2C78" w:rsidRPr="000B2C78">
        <w:t xml:space="preserve"> za</w:t>
      </w:r>
      <w:r w:rsidR="000B2C78">
        <w:t xml:space="preserve"> kulturo v letih</w:t>
      </w:r>
      <w:r w:rsidR="000B2C78" w:rsidRPr="000B2C78">
        <w:t xml:space="preserve"> 2014 in 2015 precej višji</w:t>
      </w:r>
      <w:r w:rsidR="000B2C78">
        <w:t>,</w:t>
      </w:r>
      <w:r w:rsidR="000B2C78" w:rsidRPr="000B2C78">
        <w:t xml:space="preserve"> kot je bil dejanski (integralni) delež države, medtem ko je leta 2016 </w:t>
      </w:r>
      <w:r w:rsidR="00831E3D">
        <w:t>vsota</w:t>
      </w:r>
      <w:r w:rsidR="000B2C78" w:rsidRPr="000B2C78">
        <w:t xml:space="preserve"> sredstev </w:t>
      </w:r>
      <w:r w:rsidR="000C5E4A">
        <w:t xml:space="preserve">EU </w:t>
      </w:r>
      <w:r w:rsidR="000B2C78" w:rsidRPr="000B2C78">
        <w:t>komaj presegl</w:t>
      </w:r>
      <w:r w:rsidR="00831E3D">
        <w:t>a</w:t>
      </w:r>
      <w:r w:rsidR="000B2C78" w:rsidRPr="000B2C78">
        <w:t xml:space="preserve"> 200.000 </w:t>
      </w:r>
      <w:r w:rsidR="00831E3D">
        <w:t>evrov</w:t>
      </w:r>
      <w:r w:rsidR="000B2C78" w:rsidRPr="000B2C78">
        <w:t>. Z letom 2017 se krivulja obrača navzgor:</w:t>
      </w:r>
      <w:r w:rsidR="000B2C78">
        <w:t xml:space="preserve"> s</w:t>
      </w:r>
      <w:r w:rsidR="000B2C78" w:rsidRPr="000B2C78">
        <w:t>prejeti pror</w:t>
      </w:r>
      <w:r w:rsidR="000B2C78">
        <w:t xml:space="preserve">ačun </w:t>
      </w:r>
      <w:r w:rsidR="003023DF">
        <w:t>Ministrstva za kulturo</w:t>
      </w:r>
      <w:r w:rsidR="000B2C78">
        <w:t xml:space="preserve"> za leto 2017 znaša: 155.</w:t>
      </w:r>
      <w:r w:rsidR="000B2C78" w:rsidRPr="000B2C78">
        <w:t>222.1</w:t>
      </w:r>
      <w:r w:rsidR="00217262">
        <w:t xml:space="preserve">62 </w:t>
      </w:r>
      <w:r w:rsidR="000B2C78">
        <w:t>evrov</w:t>
      </w:r>
      <w:r w:rsidR="000B2C78" w:rsidRPr="000B2C78">
        <w:t>, pr</w:t>
      </w:r>
      <w:r w:rsidR="000B2C78">
        <w:t>edvideni proračun za leto 2018 pa 157.</w:t>
      </w:r>
      <w:r w:rsidR="000B2C78" w:rsidRPr="000B2C78">
        <w:t>180.83</w:t>
      </w:r>
      <w:r w:rsidR="00217262">
        <w:t>8</w:t>
      </w:r>
      <w:r w:rsidR="000B2C78" w:rsidRPr="000B2C78">
        <w:t xml:space="preserve"> </w:t>
      </w:r>
      <w:r w:rsidR="000B2C78">
        <w:t>evrov</w:t>
      </w:r>
      <w:r w:rsidR="000B2C78" w:rsidRPr="000B2C78">
        <w:t>. Res pa je</w:t>
      </w:r>
      <w:r w:rsidR="000B2C78">
        <w:t xml:space="preserve"> tudi</w:t>
      </w:r>
      <w:r w:rsidR="000B2C78" w:rsidRPr="000B2C78">
        <w:t>, da bo glede na dogovor s sindikati</w:t>
      </w:r>
      <w:r w:rsidR="00831E3D">
        <w:t>,</w:t>
      </w:r>
      <w:r w:rsidR="000B2C78" w:rsidRPr="000B2C78">
        <w:t xml:space="preserve"> Ministrstvo za kulturo večino zvišanja v letu 2017 porabilo za pokrivanje obveznosti iz naslova plač.</w:t>
      </w:r>
    </w:p>
    <w:p w:rsidR="00BD326C" w:rsidRDefault="00BD326C">
      <w:pPr>
        <w:rPr>
          <w:b/>
        </w:rPr>
      </w:pPr>
      <w:bookmarkStart w:id="103" w:name="_Toc477339479"/>
      <w:bookmarkStart w:id="104" w:name="_Toc477339735"/>
      <w:bookmarkStart w:id="105" w:name="_Toc477339903"/>
      <w:bookmarkStart w:id="106" w:name="_Toc490053354"/>
      <w:bookmarkStart w:id="107" w:name="_Toc490053725"/>
      <w:r>
        <w:br w:type="page"/>
      </w:r>
    </w:p>
    <w:p w:rsidR="00FB6C66" w:rsidRPr="00FB6C66" w:rsidRDefault="006740AC" w:rsidP="00FB6C66">
      <w:pPr>
        <w:pStyle w:val="Naslovtabele"/>
      </w:pPr>
      <w:bookmarkStart w:id="108" w:name="_Toc490599997"/>
      <w:r>
        <w:lastRenderedPageBreak/>
        <w:t>Tabela</w:t>
      </w:r>
      <w:r w:rsidR="004C72B7">
        <w:t xml:space="preserve"> 9</w:t>
      </w:r>
      <w:r w:rsidR="00B51843" w:rsidRPr="00B51843">
        <w:t xml:space="preserve">: </w:t>
      </w:r>
      <w:r w:rsidR="00E471C5">
        <w:t>Državni p</w:t>
      </w:r>
      <w:r w:rsidR="00F85F2C">
        <w:t>roračun</w:t>
      </w:r>
      <w:r w:rsidR="00B51843">
        <w:t xml:space="preserve"> </w:t>
      </w:r>
      <w:r w:rsidR="00E471C5">
        <w:t xml:space="preserve">in proračun </w:t>
      </w:r>
      <w:r w:rsidR="00B51843">
        <w:t>Ministrstva za kulturo</w:t>
      </w:r>
      <w:r w:rsidR="0025306F">
        <w:t xml:space="preserve"> </w:t>
      </w:r>
      <w:r w:rsidR="00E471C5">
        <w:t>(</w:t>
      </w:r>
      <w:r>
        <w:t>1992</w:t>
      </w:r>
      <w:r w:rsidR="0025306F">
        <w:t>–201</w:t>
      </w:r>
      <w:r w:rsidR="00F85F2C">
        <w:t>7</w:t>
      </w:r>
      <w:r w:rsidR="00E471C5">
        <w:t>)</w:t>
      </w:r>
      <w:bookmarkEnd w:id="103"/>
      <w:bookmarkEnd w:id="104"/>
      <w:bookmarkEnd w:id="105"/>
      <w:r w:rsidR="00DF3EB7">
        <w:t>*</w:t>
      </w:r>
      <w:bookmarkEnd w:id="106"/>
      <w:bookmarkEnd w:id="107"/>
      <w:bookmarkEnd w:id="108"/>
    </w:p>
    <w:tbl>
      <w:tblPr>
        <w:tblStyle w:val="Svetelseznampoudarek3"/>
        <w:tblW w:w="5000" w:type="pct"/>
        <w:tblLook w:val="04A0" w:firstRow="1" w:lastRow="0" w:firstColumn="1" w:lastColumn="0" w:noHBand="0" w:noVBand="1"/>
      </w:tblPr>
      <w:tblGrid>
        <w:gridCol w:w="996"/>
        <w:gridCol w:w="1531"/>
        <w:gridCol w:w="1404"/>
        <w:gridCol w:w="1499"/>
        <w:gridCol w:w="1392"/>
        <w:gridCol w:w="1567"/>
        <w:gridCol w:w="1567"/>
      </w:tblGrid>
      <w:tr w:rsidR="00DF3EB7" w:rsidRPr="006740AC" w:rsidTr="00DF3EB7">
        <w:trPr>
          <w:cnfStyle w:val="100000000000" w:firstRow="1" w:lastRow="0" w:firstColumn="0" w:lastColumn="0" w:oddVBand="0" w:evenVBand="0" w:oddHBand="0" w:evenHBand="0" w:firstRowFirstColumn="0" w:firstRowLastColumn="0" w:lastRowFirstColumn="0" w:lastRowLastColumn="0"/>
          <w:trHeight w:hRule="exact" w:val="567"/>
          <w:tblHeader/>
        </w:trPr>
        <w:tc>
          <w:tcPr>
            <w:cnfStyle w:val="001000000000" w:firstRow="0" w:lastRow="0" w:firstColumn="1" w:lastColumn="0" w:oddVBand="0" w:evenVBand="0" w:oddHBand="0" w:evenHBand="0" w:firstRowFirstColumn="0" w:firstRowLastColumn="0" w:lastRowFirstColumn="0" w:lastRowLastColumn="0"/>
            <w:tcW w:w="500" w:type="pct"/>
            <w:hideMark/>
          </w:tcPr>
          <w:p w:rsidR="00DF3EB7" w:rsidRPr="006740AC" w:rsidRDefault="00DF3EB7" w:rsidP="006740AC">
            <w:pPr>
              <w:rPr>
                <w:rFonts w:ascii="Arial Narrow" w:hAnsi="Arial Narrow"/>
                <w:b w:val="0"/>
                <w:bCs w:val="0"/>
                <w:sz w:val="16"/>
                <w:szCs w:val="16"/>
              </w:rPr>
            </w:pPr>
            <w:r w:rsidRPr="006740AC">
              <w:rPr>
                <w:rFonts w:ascii="Arial Narrow" w:hAnsi="Arial Narrow"/>
                <w:sz w:val="16"/>
                <w:szCs w:val="16"/>
              </w:rPr>
              <w:t>Leto</w:t>
            </w:r>
          </w:p>
        </w:tc>
        <w:tc>
          <w:tcPr>
            <w:tcW w:w="769" w:type="pct"/>
            <w:hideMark/>
          </w:tcPr>
          <w:p w:rsidR="00DF3EB7" w:rsidRPr="006740AC" w:rsidRDefault="00DF3EB7" w:rsidP="006740AC">
            <w:pPr>
              <w:cnfStyle w:val="100000000000" w:firstRow="1" w:lastRow="0" w:firstColumn="0" w:lastColumn="0" w:oddVBand="0" w:evenVBand="0" w:oddHBand="0" w:evenHBand="0" w:firstRowFirstColumn="0" w:firstRowLastColumn="0" w:lastRowFirstColumn="0" w:lastRowLastColumn="0"/>
              <w:rPr>
                <w:rFonts w:ascii="Arial Narrow" w:hAnsi="Arial Narrow"/>
                <w:b w:val="0"/>
                <w:bCs w:val="0"/>
                <w:sz w:val="16"/>
                <w:szCs w:val="16"/>
              </w:rPr>
            </w:pPr>
            <w:r w:rsidRPr="006740AC">
              <w:rPr>
                <w:rFonts w:ascii="Arial Narrow" w:hAnsi="Arial Narrow"/>
                <w:sz w:val="16"/>
                <w:szCs w:val="16"/>
              </w:rPr>
              <w:t>Državni proračun v tisoč EUR</w:t>
            </w:r>
          </w:p>
        </w:tc>
        <w:tc>
          <w:tcPr>
            <w:tcW w:w="705" w:type="pct"/>
            <w:hideMark/>
          </w:tcPr>
          <w:p w:rsidR="00DF3EB7" w:rsidRPr="006740AC" w:rsidRDefault="00DF3EB7" w:rsidP="006740AC">
            <w:pPr>
              <w:cnfStyle w:val="100000000000" w:firstRow="1" w:lastRow="0" w:firstColumn="0" w:lastColumn="0" w:oddVBand="0" w:evenVBand="0" w:oddHBand="0" w:evenHBand="0" w:firstRowFirstColumn="0" w:firstRowLastColumn="0" w:lastRowFirstColumn="0" w:lastRowLastColumn="0"/>
              <w:rPr>
                <w:rFonts w:ascii="Arial Narrow" w:hAnsi="Arial Narrow"/>
                <w:b w:val="0"/>
                <w:bCs w:val="0"/>
                <w:sz w:val="16"/>
                <w:szCs w:val="16"/>
              </w:rPr>
            </w:pPr>
            <w:r w:rsidRPr="006740AC">
              <w:rPr>
                <w:rFonts w:ascii="Arial Narrow" w:hAnsi="Arial Narrow"/>
                <w:sz w:val="16"/>
                <w:szCs w:val="16"/>
              </w:rPr>
              <w:t>Verižni indeks državnega proračuna</w:t>
            </w:r>
          </w:p>
        </w:tc>
        <w:tc>
          <w:tcPr>
            <w:tcW w:w="753" w:type="pct"/>
            <w:hideMark/>
          </w:tcPr>
          <w:p w:rsidR="00DF3EB7" w:rsidRPr="006740AC" w:rsidRDefault="00DF3EB7" w:rsidP="006740AC">
            <w:pPr>
              <w:cnfStyle w:val="100000000000" w:firstRow="1" w:lastRow="0" w:firstColumn="0" w:lastColumn="0" w:oddVBand="0" w:evenVBand="0" w:oddHBand="0" w:evenHBand="0" w:firstRowFirstColumn="0" w:firstRowLastColumn="0" w:lastRowFirstColumn="0" w:lastRowLastColumn="0"/>
              <w:rPr>
                <w:rFonts w:ascii="Arial Narrow" w:hAnsi="Arial Narrow"/>
                <w:b w:val="0"/>
                <w:bCs w:val="0"/>
                <w:sz w:val="16"/>
                <w:szCs w:val="16"/>
              </w:rPr>
            </w:pPr>
            <w:r w:rsidRPr="006740AC">
              <w:rPr>
                <w:rFonts w:ascii="Arial Narrow" w:hAnsi="Arial Narrow"/>
                <w:sz w:val="16"/>
                <w:szCs w:val="16"/>
              </w:rPr>
              <w:t>Proračun MK v tisoč EUR</w:t>
            </w:r>
          </w:p>
        </w:tc>
        <w:tc>
          <w:tcPr>
            <w:tcW w:w="699" w:type="pct"/>
            <w:hideMark/>
          </w:tcPr>
          <w:p w:rsidR="00DF3EB7" w:rsidRPr="006740AC" w:rsidRDefault="00DF3EB7" w:rsidP="006740AC">
            <w:pPr>
              <w:cnfStyle w:val="100000000000" w:firstRow="1" w:lastRow="0" w:firstColumn="0" w:lastColumn="0" w:oddVBand="0" w:evenVBand="0" w:oddHBand="0" w:evenHBand="0" w:firstRowFirstColumn="0" w:firstRowLastColumn="0" w:lastRowFirstColumn="0" w:lastRowLastColumn="0"/>
              <w:rPr>
                <w:rFonts w:ascii="Arial Narrow" w:hAnsi="Arial Narrow"/>
                <w:b w:val="0"/>
                <w:bCs w:val="0"/>
                <w:sz w:val="16"/>
                <w:szCs w:val="16"/>
              </w:rPr>
            </w:pPr>
            <w:r w:rsidRPr="006740AC">
              <w:rPr>
                <w:rFonts w:ascii="Arial Narrow" w:hAnsi="Arial Narrow"/>
                <w:sz w:val="16"/>
                <w:szCs w:val="16"/>
              </w:rPr>
              <w:t>Verižni indeks proračuna MK</w:t>
            </w:r>
          </w:p>
        </w:tc>
        <w:tc>
          <w:tcPr>
            <w:tcW w:w="787" w:type="pct"/>
            <w:hideMark/>
          </w:tcPr>
          <w:p w:rsidR="00DF3EB7" w:rsidRPr="006740AC" w:rsidRDefault="00DF3EB7" w:rsidP="006740AC">
            <w:pPr>
              <w:cnfStyle w:val="100000000000" w:firstRow="1" w:lastRow="0" w:firstColumn="0" w:lastColumn="0" w:oddVBand="0" w:evenVBand="0" w:oddHBand="0" w:evenHBand="0" w:firstRowFirstColumn="0" w:firstRowLastColumn="0" w:lastRowFirstColumn="0" w:lastRowLastColumn="0"/>
              <w:rPr>
                <w:rFonts w:ascii="Arial Narrow" w:hAnsi="Arial Narrow"/>
                <w:b w:val="0"/>
                <w:bCs w:val="0"/>
                <w:sz w:val="16"/>
                <w:szCs w:val="16"/>
              </w:rPr>
            </w:pPr>
            <w:r w:rsidRPr="006740AC">
              <w:rPr>
                <w:rFonts w:ascii="Arial Narrow" w:hAnsi="Arial Narrow"/>
                <w:sz w:val="16"/>
                <w:szCs w:val="16"/>
              </w:rPr>
              <w:t>% proračuna MK v državnem proračunu</w:t>
            </w:r>
          </w:p>
        </w:tc>
        <w:tc>
          <w:tcPr>
            <w:tcW w:w="787" w:type="pct"/>
          </w:tcPr>
          <w:p w:rsidR="00DF3EB7" w:rsidRPr="00BD326C" w:rsidRDefault="00DF3EB7" w:rsidP="006740AC">
            <w:pPr>
              <w:cnfStyle w:val="100000000000" w:firstRow="1" w:lastRow="0" w:firstColumn="0" w:lastColumn="0" w:oddVBand="0" w:evenVBand="0" w:oddHBand="0" w:evenHBand="0" w:firstRowFirstColumn="0" w:firstRowLastColumn="0" w:lastRowFirstColumn="0" w:lastRowLastColumn="0"/>
              <w:rPr>
                <w:rFonts w:ascii="Arial Narrow" w:hAnsi="Arial Narrow"/>
                <w:sz w:val="16"/>
                <w:szCs w:val="16"/>
              </w:rPr>
            </w:pPr>
            <w:r w:rsidRPr="00BD326C">
              <w:rPr>
                <w:rFonts w:ascii="Arial Narrow" w:hAnsi="Arial Narrow"/>
                <w:sz w:val="16"/>
                <w:szCs w:val="16"/>
              </w:rPr>
              <w:t>% integralnih sredstev v proračunu</w:t>
            </w:r>
            <w:r w:rsidRPr="00BD326C">
              <w:rPr>
                <w:rFonts w:ascii="Arial Narrow" w:hAnsi="Arial Narrow"/>
                <w:sz w:val="16"/>
                <w:szCs w:val="16"/>
                <w:vertAlign w:val="superscript"/>
              </w:rPr>
              <w:t>1</w:t>
            </w:r>
          </w:p>
        </w:tc>
      </w:tr>
      <w:tr w:rsidR="00DF3EB7" w:rsidRPr="006740AC" w:rsidTr="0081309C">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500" w:type="pct"/>
            <w:noWrap/>
            <w:hideMark/>
          </w:tcPr>
          <w:p w:rsidR="00DF3EB7" w:rsidRPr="006740AC" w:rsidRDefault="00DF3EB7" w:rsidP="006740AC">
            <w:pPr>
              <w:spacing w:after="0" w:line="240" w:lineRule="auto"/>
              <w:rPr>
                <w:rFonts w:ascii="Arial Narrow" w:hAnsi="Arial Narrow"/>
                <w:sz w:val="16"/>
                <w:szCs w:val="16"/>
              </w:rPr>
            </w:pPr>
            <w:r w:rsidRPr="006740AC">
              <w:rPr>
                <w:rFonts w:ascii="Arial Narrow" w:hAnsi="Arial Narrow"/>
                <w:sz w:val="16"/>
                <w:szCs w:val="16"/>
              </w:rPr>
              <w:t>1992</w:t>
            </w:r>
          </w:p>
        </w:tc>
        <w:tc>
          <w:tcPr>
            <w:tcW w:w="769" w:type="pct"/>
            <w:noWrap/>
            <w:hideMark/>
          </w:tcPr>
          <w:p w:rsidR="00DF3EB7" w:rsidRPr="006740AC" w:rsidRDefault="00DF3EB7" w:rsidP="006740A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907.238</w:t>
            </w:r>
          </w:p>
        </w:tc>
        <w:tc>
          <w:tcPr>
            <w:tcW w:w="705" w:type="pct"/>
            <w:noWrap/>
            <w:hideMark/>
          </w:tcPr>
          <w:p w:rsidR="00DF3EB7" w:rsidRPr="006740AC" w:rsidRDefault="00DF3EB7" w:rsidP="006740A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p>
        </w:tc>
        <w:tc>
          <w:tcPr>
            <w:tcW w:w="753" w:type="pct"/>
            <w:noWrap/>
            <w:hideMark/>
          </w:tcPr>
          <w:p w:rsidR="00DF3EB7" w:rsidRPr="006740AC" w:rsidRDefault="00DF3EB7" w:rsidP="006740A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22.429</w:t>
            </w:r>
          </w:p>
        </w:tc>
        <w:tc>
          <w:tcPr>
            <w:tcW w:w="699" w:type="pct"/>
            <w:noWrap/>
            <w:hideMark/>
          </w:tcPr>
          <w:p w:rsidR="00DF3EB7" w:rsidRPr="006740AC" w:rsidRDefault="00DF3EB7" w:rsidP="006740A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p>
        </w:tc>
        <w:tc>
          <w:tcPr>
            <w:tcW w:w="787" w:type="pct"/>
            <w:noWrap/>
            <w:hideMark/>
          </w:tcPr>
          <w:p w:rsidR="00DF3EB7" w:rsidRPr="006740AC" w:rsidRDefault="00DF3EB7" w:rsidP="006740A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2,47</w:t>
            </w:r>
          </w:p>
        </w:tc>
        <w:tc>
          <w:tcPr>
            <w:tcW w:w="787" w:type="pct"/>
          </w:tcPr>
          <w:p w:rsidR="00DF3EB7" w:rsidRPr="00BD326C" w:rsidRDefault="0097206B" w:rsidP="006740A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BD326C">
              <w:rPr>
                <w:rFonts w:ascii="Arial Narrow" w:hAnsi="Arial Narrow"/>
                <w:sz w:val="16"/>
                <w:szCs w:val="16"/>
              </w:rPr>
              <w:t>Ni podatka</w:t>
            </w:r>
          </w:p>
        </w:tc>
      </w:tr>
      <w:tr w:rsidR="0097206B" w:rsidRPr="006740AC" w:rsidTr="0081309C">
        <w:trPr>
          <w:trHeight w:val="102"/>
        </w:trPr>
        <w:tc>
          <w:tcPr>
            <w:cnfStyle w:val="001000000000" w:firstRow="0" w:lastRow="0" w:firstColumn="1" w:lastColumn="0" w:oddVBand="0" w:evenVBand="0" w:oddHBand="0" w:evenHBand="0" w:firstRowFirstColumn="0" w:firstRowLastColumn="0" w:lastRowFirstColumn="0" w:lastRowLastColumn="0"/>
            <w:tcW w:w="500" w:type="pct"/>
            <w:noWrap/>
            <w:hideMark/>
          </w:tcPr>
          <w:p w:rsidR="0097206B" w:rsidRPr="006740AC" w:rsidRDefault="0097206B" w:rsidP="006740AC">
            <w:pPr>
              <w:spacing w:after="0" w:line="240" w:lineRule="auto"/>
              <w:rPr>
                <w:rFonts w:ascii="Arial Narrow" w:hAnsi="Arial Narrow"/>
                <w:sz w:val="16"/>
                <w:szCs w:val="16"/>
              </w:rPr>
            </w:pPr>
            <w:r w:rsidRPr="006740AC">
              <w:rPr>
                <w:rFonts w:ascii="Arial Narrow" w:hAnsi="Arial Narrow"/>
                <w:sz w:val="16"/>
                <w:szCs w:val="16"/>
              </w:rPr>
              <w:t>1993</w:t>
            </w:r>
          </w:p>
        </w:tc>
        <w:tc>
          <w:tcPr>
            <w:tcW w:w="769" w:type="pct"/>
            <w:noWrap/>
            <w:hideMark/>
          </w:tcPr>
          <w:p w:rsidR="0097206B" w:rsidRPr="006740AC" w:rsidRDefault="0097206B" w:rsidP="006740A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1.332.499</w:t>
            </w:r>
          </w:p>
        </w:tc>
        <w:tc>
          <w:tcPr>
            <w:tcW w:w="705" w:type="pct"/>
            <w:noWrap/>
            <w:hideMark/>
          </w:tcPr>
          <w:p w:rsidR="0097206B" w:rsidRPr="006740AC" w:rsidRDefault="0097206B" w:rsidP="006740A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147</w:t>
            </w:r>
          </w:p>
        </w:tc>
        <w:tc>
          <w:tcPr>
            <w:tcW w:w="753" w:type="pct"/>
            <w:noWrap/>
            <w:hideMark/>
          </w:tcPr>
          <w:p w:rsidR="0097206B" w:rsidRPr="006740AC" w:rsidRDefault="0097206B" w:rsidP="006740A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30.780</w:t>
            </w:r>
          </w:p>
        </w:tc>
        <w:tc>
          <w:tcPr>
            <w:tcW w:w="699" w:type="pct"/>
            <w:noWrap/>
            <w:hideMark/>
          </w:tcPr>
          <w:p w:rsidR="0097206B" w:rsidRPr="006740AC" w:rsidRDefault="0097206B" w:rsidP="006740A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137</w:t>
            </w:r>
          </w:p>
        </w:tc>
        <w:tc>
          <w:tcPr>
            <w:tcW w:w="787" w:type="pct"/>
            <w:noWrap/>
            <w:hideMark/>
          </w:tcPr>
          <w:p w:rsidR="0097206B" w:rsidRPr="006740AC" w:rsidRDefault="0097206B" w:rsidP="006740A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2,31</w:t>
            </w:r>
          </w:p>
        </w:tc>
        <w:tc>
          <w:tcPr>
            <w:tcW w:w="787" w:type="pct"/>
          </w:tcPr>
          <w:p w:rsidR="0097206B" w:rsidRPr="00BD326C" w:rsidRDefault="0097206B" w:rsidP="006740A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BD326C">
              <w:rPr>
                <w:rFonts w:ascii="Arial Narrow" w:hAnsi="Arial Narrow"/>
                <w:sz w:val="16"/>
                <w:szCs w:val="16"/>
              </w:rPr>
              <w:t>Ni podatka</w:t>
            </w:r>
          </w:p>
        </w:tc>
      </w:tr>
      <w:tr w:rsidR="0097206B" w:rsidRPr="006740AC" w:rsidTr="0081309C">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500" w:type="pct"/>
            <w:noWrap/>
            <w:hideMark/>
          </w:tcPr>
          <w:p w:rsidR="0097206B" w:rsidRPr="006740AC" w:rsidRDefault="0097206B" w:rsidP="006740AC">
            <w:pPr>
              <w:spacing w:after="0" w:line="240" w:lineRule="auto"/>
              <w:rPr>
                <w:rFonts w:ascii="Arial Narrow" w:hAnsi="Arial Narrow"/>
                <w:sz w:val="16"/>
                <w:szCs w:val="16"/>
              </w:rPr>
            </w:pPr>
            <w:r w:rsidRPr="006740AC">
              <w:rPr>
                <w:rFonts w:ascii="Arial Narrow" w:hAnsi="Arial Narrow"/>
                <w:sz w:val="16"/>
                <w:szCs w:val="16"/>
              </w:rPr>
              <w:t>1994</w:t>
            </w:r>
          </w:p>
        </w:tc>
        <w:tc>
          <w:tcPr>
            <w:tcW w:w="769" w:type="pct"/>
            <w:noWrap/>
            <w:hideMark/>
          </w:tcPr>
          <w:p w:rsidR="0097206B" w:rsidRPr="006740AC" w:rsidRDefault="0097206B" w:rsidP="006740A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1.708.089</w:t>
            </w:r>
          </w:p>
        </w:tc>
        <w:tc>
          <w:tcPr>
            <w:tcW w:w="705" w:type="pct"/>
            <w:noWrap/>
            <w:hideMark/>
          </w:tcPr>
          <w:p w:rsidR="0097206B" w:rsidRPr="006740AC" w:rsidRDefault="0097206B" w:rsidP="006740A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128</w:t>
            </w:r>
          </w:p>
        </w:tc>
        <w:tc>
          <w:tcPr>
            <w:tcW w:w="753" w:type="pct"/>
            <w:noWrap/>
            <w:hideMark/>
          </w:tcPr>
          <w:p w:rsidR="0097206B" w:rsidRPr="006740AC" w:rsidRDefault="0097206B" w:rsidP="006740A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42.134</w:t>
            </w:r>
          </w:p>
        </w:tc>
        <w:tc>
          <w:tcPr>
            <w:tcW w:w="699" w:type="pct"/>
            <w:noWrap/>
            <w:hideMark/>
          </w:tcPr>
          <w:p w:rsidR="0097206B" w:rsidRPr="006740AC" w:rsidRDefault="0097206B" w:rsidP="006740A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137</w:t>
            </w:r>
          </w:p>
        </w:tc>
        <w:tc>
          <w:tcPr>
            <w:tcW w:w="787" w:type="pct"/>
            <w:noWrap/>
            <w:hideMark/>
          </w:tcPr>
          <w:p w:rsidR="0097206B" w:rsidRPr="006740AC" w:rsidRDefault="0097206B" w:rsidP="006740A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2,47</w:t>
            </w:r>
          </w:p>
        </w:tc>
        <w:tc>
          <w:tcPr>
            <w:tcW w:w="787" w:type="pct"/>
          </w:tcPr>
          <w:p w:rsidR="0097206B" w:rsidRPr="00BD326C" w:rsidRDefault="0097206B" w:rsidP="006740A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BD326C">
              <w:rPr>
                <w:rFonts w:ascii="Arial Narrow" w:hAnsi="Arial Narrow"/>
                <w:sz w:val="16"/>
                <w:szCs w:val="16"/>
              </w:rPr>
              <w:t>Ni podatka</w:t>
            </w:r>
          </w:p>
        </w:tc>
      </w:tr>
      <w:tr w:rsidR="0097206B" w:rsidRPr="006740AC" w:rsidTr="0081309C">
        <w:trPr>
          <w:trHeight w:val="102"/>
        </w:trPr>
        <w:tc>
          <w:tcPr>
            <w:cnfStyle w:val="001000000000" w:firstRow="0" w:lastRow="0" w:firstColumn="1" w:lastColumn="0" w:oddVBand="0" w:evenVBand="0" w:oddHBand="0" w:evenHBand="0" w:firstRowFirstColumn="0" w:firstRowLastColumn="0" w:lastRowFirstColumn="0" w:lastRowLastColumn="0"/>
            <w:tcW w:w="500" w:type="pct"/>
            <w:noWrap/>
            <w:hideMark/>
          </w:tcPr>
          <w:p w:rsidR="0097206B" w:rsidRPr="006740AC" w:rsidRDefault="0097206B" w:rsidP="006740AC">
            <w:pPr>
              <w:spacing w:after="0" w:line="240" w:lineRule="auto"/>
              <w:rPr>
                <w:rFonts w:ascii="Arial Narrow" w:hAnsi="Arial Narrow"/>
                <w:sz w:val="16"/>
                <w:szCs w:val="16"/>
              </w:rPr>
            </w:pPr>
            <w:r w:rsidRPr="006740AC">
              <w:rPr>
                <w:rFonts w:ascii="Arial Narrow" w:hAnsi="Arial Narrow"/>
                <w:sz w:val="16"/>
                <w:szCs w:val="16"/>
              </w:rPr>
              <w:t>1995</w:t>
            </w:r>
          </w:p>
        </w:tc>
        <w:tc>
          <w:tcPr>
            <w:tcW w:w="769" w:type="pct"/>
            <w:noWrap/>
            <w:hideMark/>
          </w:tcPr>
          <w:p w:rsidR="0097206B" w:rsidRPr="006740AC" w:rsidRDefault="0097206B" w:rsidP="006740A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2.087.852</w:t>
            </w:r>
          </w:p>
        </w:tc>
        <w:tc>
          <w:tcPr>
            <w:tcW w:w="705" w:type="pct"/>
            <w:noWrap/>
            <w:hideMark/>
          </w:tcPr>
          <w:p w:rsidR="0097206B" w:rsidRPr="006740AC" w:rsidRDefault="0097206B" w:rsidP="006740A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122</w:t>
            </w:r>
          </w:p>
        </w:tc>
        <w:tc>
          <w:tcPr>
            <w:tcW w:w="753" w:type="pct"/>
            <w:noWrap/>
            <w:hideMark/>
          </w:tcPr>
          <w:p w:rsidR="0097206B" w:rsidRPr="006740AC" w:rsidRDefault="0097206B" w:rsidP="006740A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52.270</w:t>
            </w:r>
          </w:p>
        </w:tc>
        <w:tc>
          <w:tcPr>
            <w:tcW w:w="699" w:type="pct"/>
            <w:noWrap/>
            <w:hideMark/>
          </w:tcPr>
          <w:p w:rsidR="0097206B" w:rsidRPr="006740AC" w:rsidRDefault="0097206B" w:rsidP="006740A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124</w:t>
            </w:r>
          </w:p>
        </w:tc>
        <w:tc>
          <w:tcPr>
            <w:tcW w:w="787" w:type="pct"/>
            <w:noWrap/>
            <w:hideMark/>
          </w:tcPr>
          <w:p w:rsidR="0097206B" w:rsidRPr="006740AC" w:rsidRDefault="0097206B" w:rsidP="006740A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2,50</w:t>
            </w:r>
          </w:p>
        </w:tc>
        <w:tc>
          <w:tcPr>
            <w:tcW w:w="787" w:type="pct"/>
          </w:tcPr>
          <w:p w:rsidR="0097206B" w:rsidRPr="00BD326C" w:rsidRDefault="0097206B" w:rsidP="006740A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BD326C">
              <w:rPr>
                <w:rFonts w:ascii="Arial Narrow" w:hAnsi="Arial Narrow"/>
                <w:sz w:val="16"/>
                <w:szCs w:val="16"/>
              </w:rPr>
              <w:t>Ni podatka</w:t>
            </w:r>
          </w:p>
        </w:tc>
      </w:tr>
      <w:tr w:rsidR="0097206B" w:rsidRPr="006740AC" w:rsidTr="0081309C">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500" w:type="pct"/>
            <w:noWrap/>
            <w:hideMark/>
          </w:tcPr>
          <w:p w:rsidR="0097206B" w:rsidRPr="006740AC" w:rsidRDefault="0097206B" w:rsidP="006740AC">
            <w:pPr>
              <w:spacing w:after="0" w:line="240" w:lineRule="auto"/>
              <w:rPr>
                <w:rFonts w:ascii="Arial Narrow" w:hAnsi="Arial Narrow"/>
                <w:sz w:val="16"/>
                <w:szCs w:val="16"/>
              </w:rPr>
            </w:pPr>
            <w:r w:rsidRPr="006740AC">
              <w:rPr>
                <w:rFonts w:ascii="Arial Narrow" w:hAnsi="Arial Narrow"/>
                <w:sz w:val="16"/>
                <w:szCs w:val="16"/>
              </w:rPr>
              <w:t>1996</w:t>
            </w:r>
          </w:p>
        </w:tc>
        <w:tc>
          <w:tcPr>
            <w:tcW w:w="769" w:type="pct"/>
            <w:noWrap/>
            <w:hideMark/>
          </w:tcPr>
          <w:p w:rsidR="0097206B" w:rsidRPr="006740AC" w:rsidRDefault="0097206B" w:rsidP="006740A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2.480.656</w:t>
            </w:r>
          </w:p>
        </w:tc>
        <w:tc>
          <w:tcPr>
            <w:tcW w:w="705" w:type="pct"/>
            <w:noWrap/>
            <w:hideMark/>
          </w:tcPr>
          <w:p w:rsidR="0097206B" w:rsidRPr="006740AC" w:rsidRDefault="0097206B" w:rsidP="006740A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119</w:t>
            </w:r>
          </w:p>
        </w:tc>
        <w:tc>
          <w:tcPr>
            <w:tcW w:w="753" w:type="pct"/>
            <w:noWrap/>
            <w:hideMark/>
          </w:tcPr>
          <w:p w:rsidR="0097206B" w:rsidRPr="006740AC" w:rsidRDefault="0097206B" w:rsidP="006740A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59.802</w:t>
            </w:r>
          </w:p>
        </w:tc>
        <w:tc>
          <w:tcPr>
            <w:tcW w:w="699" w:type="pct"/>
            <w:noWrap/>
            <w:hideMark/>
          </w:tcPr>
          <w:p w:rsidR="0097206B" w:rsidRPr="006740AC" w:rsidRDefault="0097206B" w:rsidP="006740A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114</w:t>
            </w:r>
          </w:p>
        </w:tc>
        <w:tc>
          <w:tcPr>
            <w:tcW w:w="787" w:type="pct"/>
            <w:noWrap/>
            <w:hideMark/>
          </w:tcPr>
          <w:p w:rsidR="0097206B" w:rsidRPr="006740AC" w:rsidRDefault="0097206B" w:rsidP="006740A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2,41</w:t>
            </w:r>
          </w:p>
        </w:tc>
        <w:tc>
          <w:tcPr>
            <w:tcW w:w="787" w:type="pct"/>
          </w:tcPr>
          <w:p w:rsidR="0097206B" w:rsidRPr="00BD326C" w:rsidRDefault="0097206B" w:rsidP="006740A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BD326C">
              <w:rPr>
                <w:rFonts w:ascii="Arial Narrow" w:hAnsi="Arial Narrow"/>
                <w:sz w:val="16"/>
                <w:szCs w:val="16"/>
              </w:rPr>
              <w:t>Ni podatka</w:t>
            </w:r>
          </w:p>
        </w:tc>
      </w:tr>
      <w:tr w:rsidR="0097206B" w:rsidRPr="006740AC" w:rsidTr="0081309C">
        <w:trPr>
          <w:trHeight w:val="102"/>
        </w:trPr>
        <w:tc>
          <w:tcPr>
            <w:cnfStyle w:val="001000000000" w:firstRow="0" w:lastRow="0" w:firstColumn="1" w:lastColumn="0" w:oddVBand="0" w:evenVBand="0" w:oddHBand="0" w:evenHBand="0" w:firstRowFirstColumn="0" w:firstRowLastColumn="0" w:lastRowFirstColumn="0" w:lastRowLastColumn="0"/>
            <w:tcW w:w="500" w:type="pct"/>
            <w:noWrap/>
            <w:hideMark/>
          </w:tcPr>
          <w:p w:rsidR="0097206B" w:rsidRPr="006740AC" w:rsidRDefault="0097206B" w:rsidP="006740AC">
            <w:pPr>
              <w:spacing w:after="0" w:line="240" w:lineRule="auto"/>
              <w:rPr>
                <w:rFonts w:ascii="Arial Narrow" w:hAnsi="Arial Narrow"/>
                <w:sz w:val="16"/>
                <w:szCs w:val="16"/>
              </w:rPr>
            </w:pPr>
            <w:r w:rsidRPr="006740AC">
              <w:rPr>
                <w:rFonts w:ascii="Arial Narrow" w:hAnsi="Arial Narrow"/>
                <w:sz w:val="16"/>
                <w:szCs w:val="16"/>
              </w:rPr>
              <w:t>1997</w:t>
            </w:r>
          </w:p>
        </w:tc>
        <w:tc>
          <w:tcPr>
            <w:tcW w:w="769" w:type="pct"/>
            <w:noWrap/>
            <w:hideMark/>
          </w:tcPr>
          <w:p w:rsidR="0097206B" w:rsidRPr="006740AC" w:rsidRDefault="0097206B" w:rsidP="006740A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3.079.211</w:t>
            </w:r>
          </w:p>
        </w:tc>
        <w:tc>
          <w:tcPr>
            <w:tcW w:w="705" w:type="pct"/>
            <w:noWrap/>
            <w:hideMark/>
          </w:tcPr>
          <w:p w:rsidR="0097206B" w:rsidRPr="006740AC" w:rsidRDefault="0097206B" w:rsidP="006740A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124</w:t>
            </w:r>
          </w:p>
        </w:tc>
        <w:tc>
          <w:tcPr>
            <w:tcW w:w="753" w:type="pct"/>
            <w:noWrap/>
            <w:hideMark/>
          </w:tcPr>
          <w:p w:rsidR="0097206B" w:rsidRPr="006740AC" w:rsidRDefault="0097206B" w:rsidP="006740A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69.041</w:t>
            </w:r>
          </w:p>
        </w:tc>
        <w:tc>
          <w:tcPr>
            <w:tcW w:w="699" w:type="pct"/>
            <w:noWrap/>
            <w:hideMark/>
          </w:tcPr>
          <w:p w:rsidR="0097206B" w:rsidRPr="006740AC" w:rsidRDefault="0097206B" w:rsidP="006740A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115</w:t>
            </w:r>
          </w:p>
        </w:tc>
        <w:tc>
          <w:tcPr>
            <w:tcW w:w="787" w:type="pct"/>
            <w:noWrap/>
            <w:hideMark/>
          </w:tcPr>
          <w:p w:rsidR="0097206B" w:rsidRPr="006740AC" w:rsidRDefault="0097206B" w:rsidP="006740A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2,24</w:t>
            </w:r>
          </w:p>
        </w:tc>
        <w:tc>
          <w:tcPr>
            <w:tcW w:w="787" w:type="pct"/>
          </w:tcPr>
          <w:p w:rsidR="0097206B" w:rsidRPr="00BD326C" w:rsidRDefault="0097206B" w:rsidP="006740A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BD326C">
              <w:rPr>
                <w:rFonts w:ascii="Arial Narrow" w:hAnsi="Arial Narrow"/>
                <w:sz w:val="16"/>
                <w:szCs w:val="16"/>
              </w:rPr>
              <w:t>Ni podatka</w:t>
            </w:r>
          </w:p>
        </w:tc>
      </w:tr>
      <w:tr w:rsidR="0097206B" w:rsidRPr="006740AC" w:rsidTr="0081309C">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500" w:type="pct"/>
            <w:noWrap/>
            <w:hideMark/>
          </w:tcPr>
          <w:p w:rsidR="0097206B" w:rsidRPr="006740AC" w:rsidRDefault="0097206B" w:rsidP="006740AC">
            <w:pPr>
              <w:spacing w:after="0" w:line="240" w:lineRule="auto"/>
              <w:rPr>
                <w:rFonts w:ascii="Arial Narrow" w:hAnsi="Arial Narrow"/>
                <w:sz w:val="16"/>
                <w:szCs w:val="16"/>
              </w:rPr>
            </w:pPr>
            <w:r w:rsidRPr="006740AC">
              <w:rPr>
                <w:rFonts w:ascii="Arial Narrow" w:hAnsi="Arial Narrow"/>
                <w:sz w:val="16"/>
                <w:szCs w:val="16"/>
              </w:rPr>
              <w:t>1998</w:t>
            </w:r>
          </w:p>
        </w:tc>
        <w:tc>
          <w:tcPr>
            <w:tcW w:w="769" w:type="pct"/>
            <w:noWrap/>
            <w:hideMark/>
          </w:tcPr>
          <w:p w:rsidR="0097206B" w:rsidRPr="006740AC" w:rsidRDefault="0097206B" w:rsidP="006740A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3.542.213</w:t>
            </w:r>
          </w:p>
        </w:tc>
        <w:tc>
          <w:tcPr>
            <w:tcW w:w="705" w:type="pct"/>
            <w:noWrap/>
            <w:hideMark/>
          </w:tcPr>
          <w:p w:rsidR="0097206B" w:rsidRPr="006740AC" w:rsidRDefault="0097206B" w:rsidP="006740A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115</w:t>
            </w:r>
          </w:p>
        </w:tc>
        <w:tc>
          <w:tcPr>
            <w:tcW w:w="753" w:type="pct"/>
            <w:noWrap/>
            <w:hideMark/>
          </w:tcPr>
          <w:p w:rsidR="0097206B" w:rsidRPr="006740AC" w:rsidRDefault="0097206B" w:rsidP="006740A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74.825</w:t>
            </w:r>
          </w:p>
        </w:tc>
        <w:tc>
          <w:tcPr>
            <w:tcW w:w="699" w:type="pct"/>
            <w:noWrap/>
            <w:hideMark/>
          </w:tcPr>
          <w:p w:rsidR="0097206B" w:rsidRPr="006740AC" w:rsidRDefault="0097206B" w:rsidP="006740A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108</w:t>
            </w:r>
          </w:p>
        </w:tc>
        <w:tc>
          <w:tcPr>
            <w:tcW w:w="787" w:type="pct"/>
            <w:noWrap/>
            <w:hideMark/>
          </w:tcPr>
          <w:p w:rsidR="0097206B" w:rsidRPr="006740AC" w:rsidRDefault="0097206B" w:rsidP="006740A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2,11</w:t>
            </w:r>
          </w:p>
        </w:tc>
        <w:tc>
          <w:tcPr>
            <w:tcW w:w="787" w:type="pct"/>
          </w:tcPr>
          <w:p w:rsidR="0097206B" w:rsidRPr="00BD326C" w:rsidRDefault="0097206B" w:rsidP="006740A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BD326C">
              <w:rPr>
                <w:rFonts w:ascii="Arial Narrow" w:hAnsi="Arial Narrow"/>
                <w:sz w:val="16"/>
                <w:szCs w:val="16"/>
              </w:rPr>
              <w:t>Ni podatka</w:t>
            </w:r>
          </w:p>
        </w:tc>
      </w:tr>
      <w:tr w:rsidR="0097206B" w:rsidRPr="006740AC" w:rsidTr="0081309C">
        <w:trPr>
          <w:trHeight w:val="102"/>
        </w:trPr>
        <w:tc>
          <w:tcPr>
            <w:cnfStyle w:val="001000000000" w:firstRow="0" w:lastRow="0" w:firstColumn="1" w:lastColumn="0" w:oddVBand="0" w:evenVBand="0" w:oddHBand="0" w:evenHBand="0" w:firstRowFirstColumn="0" w:firstRowLastColumn="0" w:lastRowFirstColumn="0" w:lastRowLastColumn="0"/>
            <w:tcW w:w="500" w:type="pct"/>
            <w:noWrap/>
            <w:hideMark/>
          </w:tcPr>
          <w:p w:rsidR="0097206B" w:rsidRPr="006740AC" w:rsidRDefault="0097206B" w:rsidP="006740AC">
            <w:pPr>
              <w:spacing w:after="0" w:line="240" w:lineRule="auto"/>
              <w:rPr>
                <w:rFonts w:ascii="Arial Narrow" w:hAnsi="Arial Narrow"/>
                <w:sz w:val="16"/>
                <w:szCs w:val="16"/>
              </w:rPr>
            </w:pPr>
            <w:r w:rsidRPr="006740AC">
              <w:rPr>
                <w:rFonts w:ascii="Arial Narrow" w:hAnsi="Arial Narrow"/>
                <w:sz w:val="16"/>
                <w:szCs w:val="16"/>
              </w:rPr>
              <w:t>1999</w:t>
            </w:r>
          </w:p>
        </w:tc>
        <w:tc>
          <w:tcPr>
            <w:tcW w:w="769" w:type="pct"/>
            <w:noWrap/>
            <w:hideMark/>
          </w:tcPr>
          <w:p w:rsidR="0097206B" w:rsidRPr="006740AC" w:rsidRDefault="0097206B" w:rsidP="006740A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4.017.275</w:t>
            </w:r>
          </w:p>
        </w:tc>
        <w:tc>
          <w:tcPr>
            <w:tcW w:w="705" w:type="pct"/>
            <w:noWrap/>
            <w:hideMark/>
          </w:tcPr>
          <w:p w:rsidR="0097206B" w:rsidRPr="006740AC" w:rsidRDefault="0097206B" w:rsidP="006740A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113</w:t>
            </w:r>
          </w:p>
        </w:tc>
        <w:tc>
          <w:tcPr>
            <w:tcW w:w="753" w:type="pct"/>
            <w:noWrap/>
            <w:hideMark/>
          </w:tcPr>
          <w:p w:rsidR="0097206B" w:rsidRPr="006740AC" w:rsidRDefault="0097206B" w:rsidP="006740A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82.636</w:t>
            </w:r>
          </w:p>
        </w:tc>
        <w:tc>
          <w:tcPr>
            <w:tcW w:w="699" w:type="pct"/>
            <w:noWrap/>
            <w:hideMark/>
          </w:tcPr>
          <w:p w:rsidR="0097206B" w:rsidRPr="006740AC" w:rsidRDefault="0097206B" w:rsidP="006740A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110</w:t>
            </w:r>
          </w:p>
        </w:tc>
        <w:tc>
          <w:tcPr>
            <w:tcW w:w="787" w:type="pct"/>
            <w:noWrap/>
            <w:hideMark/>
          </w:tcPr>
          <w:p w:rsidR="0097206B" w:rsidRPr="006740AC" w:rsidRDefault="0097206B" w:rsidP="006740A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2,06</w:t>
            </w:r>
          </w:p>
        </w:tc>
        <w:tc>
          <w:tcPr>
            <w:tcW w:w="787" w:type="pct"/>
          </w:tcPr>
          <w:p w:rsidR="0097206B" w:rsidRPr="00BD326C" w:rsidRDefault="0097206B" w:rsidP="006740A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BD326C">
              <w:rPr>
                <w:rFonts w:ascii="Arial Narrow" w:hAnsi="Arial Narrow"/>
                <w:sz w:val="16"/>
                <w:szCs w:val="16"/>
              </w:rPr>
              <w:t>Ni podatka</w:t>
            </w:r>
          </w:p>
        </w:tc>
      </w:tr>
      <w:tr w:rsidR="00CC41D1" w:rsidRPr="006740AC" w:rsidTr="0081309C">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500" w:type="pct"/>
            <w:noWrap/>
            <w:hideMark/>
          </w:tcPr>
          <w:p w:rsidR="00CC41D1" w:rsidRPr="006740AC" w:rsidRDefault="00CC41D1" w:rsidP="006740AC">
            <w:pPr>
              <w:spacing w:after="0" w:line="240" w:lineRule="auto"/>
              <w:rPr>
                <w:rFonts w:ascii="Arial Narrow" w:hAnsi="Arial Narrow"/>
                <w:sz w:val="16"/>
                <w:szCs w:val="16"/>
              </w:rPr>
            </w:pPr>
            <w:r w:rsidRPr="006740AC">
              <w:rPr>
                <w:rFonts w:ascii="Arial Narrow" w:hAnsi="Arial Narrow"/>
                <w:sz w:val="16"/>
                <w:szCs w:val="16"/>
              </w:rPr>
              <w:t>2000</w:t>
            </w:r>
          </w:p>
        </w:tc>
        <w:tc>
          <w:tcPr>
            <w:tcW w:w="769" w:type="pct"/>
            <w:noWrap/>
            <w:hideMark/>
          </w:tcPr>
          <w:p w:rsidR="00CC41D1" w:rsidRPr="006740AC" w:rsidRDefault="00CC41D1" w:rsidP="006740A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4.293.710</w:t>
            </w:r>
          </w:p>
        </w:tc>
        <w:tc>
          <w:tcPr>
            <w:tcW w:w="705" w:type="pct"/>
            <w:noWrap/>
            <w:hideMark/>
          </w:tcPr>
          <w:p w:rsidR="00CC41D1" w:rsidRPr="006740AC" w:rsidRDefault="00CC41D1" w:rsidP="006740A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107</w:t>
            </w:r>
          </w:p>
        </w:tc>
        <w:tc>
          <w:tcPr>
            <w:tcW w:w="753" w:type="pct"/>
            <w:noWrap/>
            <w:hideMark/>
          </w:tcPr>
          <w:p w:rsidR="00CC41D1" w:rsidRPr="006740AC" w:rsidRDefault="00CC41D1" w:rsidP="006740A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91.784</w:t>
            </w:r>
          </w:p>
        </w:tc>
        <w:tc>
          <w:tcPr>
            <w:tcW w:w="699" w:type="pct"/>
            <w:noWrap/>
            <w:hideMark/>
          </w:tcPr>
          <w:p w:rsidR="00CC41D1" w:rsidRPr="006740AC" w:rsidRDefault="00CC41D1" w:rsidP="006740A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111</w:t>
            </w:r>
          </w:p>
        </w:tc>
        <w:tc>
          <w:tcPr>
            <w:tcW w:w="787" w:type="pct"/>
            <w:noWrap/>
            <w:hideMark/>
          </w:tcPr>
          <w:p w:rsidR="00CC41D1" w:rsidRPr="006740AC" w:rsidRDefault="00CC41D1" w:rsidP="006740A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2,14</w:t>
            </w:r>
          </w:p>
        </w:tc>
        <w:tc>
          <w:tcPr>
            <w:tcW w:w="787" w:type="pct"/>
          </w:tcPr>
          <w:p w:rsidR="00CC41D1" w:rsidRPr="00BD326C" w:rsidRDefault="00A144F4" w:rsidP="006740A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BD326C">
              <w:rPr>
                <w:rFonts w:ascii="Arial Narrow" w:hAnsi="Arial Narrow"/>
                <w:sz w:val="16"/>
                <w:szCs w:val="16"/>
              </w:rPr>
              <w:t>98,</w:t>
            </w:r>
            <w:r w:rsidR="00B83709" w:rsidRPr="00BD326C">
              <w:rPr>
                <w:rFonts w:ascii="Arial Narrow" w:hAnsi="Arial Narrow"/>
                <w:sz w:val="16"/>
                <w:szCs w:val="16"/>
              </w:rPr>
              <w:t>7</w:t>
            </w:r>
          </w:p>
        </w:tc>
      </w:tr>
      <w:tr w:rsidR="00CC41D1" w:rsidRPr="006740AC" w:rsidTr="0081309C">
        <w:trPr>
          <w:trHeight w:val="102"/>
        </w:trPr>
        <w:tc>
          <w:tcPr>
            <w:cnfStyle w:val="001000000000" w:firstRow="0" w:lastRow="0" w:firstColumn="1" w:lastColumn="0" w:oddVBand="0" w:evenVBand="0" w:oddHBand="0" w:evenHBand="0" w:firstRowFirstColumn="0" w:firstRowLastColumn="0" w:lastRowFirstColumn="0" w:lastRowLastColumn="0"/>
            <w:tcW w:w="500" w:type="pct"/>
            <w:noWrap/>
            <w:hideMark/>
          </w:tcPr>
          <w:p w:rsidR="00CC41D1" w:rsidRPr="006740AC" w:rsidRDefault="00CC41D1" w:rsidP="006740AC">
            <w:pPr>
              <w:spacing w:after="0" w:line="240" w:lineRule="auto"/>
              <w:rPr>
                <w:rFonts w:ascii="Arial Narrow" w:hAnsi="Arial Narrow"/>
                <w:sz w:val="16"/>
                <w:szCs w:val="16"/>
              </w:rPr>
            </w:pPr>
            <w:r w:rsidRPr="006740AC">
              <w:rPr>
                <w:rFonts w:ascii="Arial Narrow" w:hAnsi="Arial Narrow"/>
                <w:sz w:val="16"/>
                <w:szCs w:val="16"/>
              </w:rPr>
              <w:t>2001</w:t>
            </w:r>
          </w:p>
        </w:tc>
        <w:tc>
          <w:tcPr>
            <w:tcW w:w="769" w:type="pct"/>
            <w:noWrap/>
            <w:hideMark/>
          </w:tcPr>
          <w:p w:rsidR="00CC41D1" w:rsidRPr="006740AC" w:rsidRDefault="00CC41D1" w:rsidP="006740A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4.983.104</w:t>
            </w:r>
          </w:p>
        </w:tc>
        <w:tc>
          <w:tcPr>
            <w:tcW w:w="705" w:type="pct"/>
            <w:noWrap/>
            <w:hideMark/>
          </w:tcPr>
          <w:p w:rsidR="00CC41D1" w:rsidRPr="006740AC" w:rsidRDefault="00CC41D1" w:rsidP="006740A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116</w:t>
            </w:r>
          </w:p>
        </w:tc>
        <w:tc>
          <w:tcPr>
            <w:tcW w:w="753" w:type="pct"/>
            <w:noWrap/>
            <w:hideMark/>
          </w:tcPr>
          <w:p w:rsidR="00CC41D1" w:rsidRPr="006740AC" w:rsidRDefault="00CC41D1" w:rsidP="006740A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106.247</w:t>
            </w:r>
          </w:p>
        </w:tc>
        <w:tc>
          <w:tcPr>
            <w:tcW w:w="699" w:type="pct"/>
            <w:noWrap/>
            <w:hideMark/>
          </w:tcPr>
          <w:p w:rsidR="00CC41D1" w:rsidRPr="006740AC" w:rsidRDefault="00CC41D1" w:rsidP="006740A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116</w:t>
            </w:r>
          </w:p>
        </w:tc>
        <w:tc>
          <w:tcPr>
            <w:tcW w:w="787" w:type="pct"/>
            <w:noWrap/>
            <w:hideMark/>
          </w:tcPr>
          <w:p w:rsidR="00CC41D1" w:rsidRPr="006740AC" w:rsidRDefault="00CC41D1" w:rsidP="006740A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2,13</w:t>
            </w:r>
          </w:p>
        </w:tc>
        <w:tc>
          <w:tcPr>
            <w:tcW w:w="787" w:type="pct"/>
          </w:tcPr>
          <w:p w:rsidR="00CC41D1" w:rsidRPr="00BD326C" w:rsidRDefault="00A144F4" w:rsidP="006740A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BD326C">
              <w:rPr>
                <w:rFonts w:ascii="Arial Narrow" w:hAnsi="Arial Narrow"/>
                <w:sz w:val="16"/>
                <w:szCs w:val="16"/>
              </w:rPr>
              <w:t>99,</w:t>
            </w:r>
            <w:r w:rsidR="00B83709" w:rsidRPr="00BD326C">
              <w:rPr>
                <w:rFonts w:ascii="Arial Narrow" w:hAnsi="Arial Narrow"/>
                <w:sz w:val="16"/>
                <w:szCs w:val="16"/>
              </w:rPr>
              <w:t>9</w:t>
            </w:r>
          </w:p>
        </w:tc>
      </w:tr>
      <w:tr w:rsidR="00CC41D1" w:rsidRPr="006740AC" w:rsidTr="0081309C">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500" w:type="pct"/>
            <w:noWrap/>
            <w:hideMark/>
          </w:tcPr>
          <w:p w:rsidR="00CC41D1" w:rsidRPr="006740AC" w:rsidRDefault="00CC41D1" w:rsidP="006740AC">
            <w:pPr>
              <w:spacing w:after="0" w:line="240" w:lineRule="auto"/>
              <w:rPr>
                <w:rFonts w:ascii="Arial Narrow" w:hAnsi="Arial Narrow"/>
                <w:sz w:val="16"/>
                <w:szCs w:val="16"/>
              </w:rPr>
            </w:pPr>
            <w:r w:rsidRPr="006740AC">
              <w:rPr>
                <w:rFonts w:ascii="Arial Narrow" w:hAnsi="Arial Narrow"/>
                <w:sz w:val="16"/>
                <w:szCs w:val="16"/>
              </w:rPr>
              <w:t>2002</w:t>
            </w:r>
          </w:p>
        </w:tc>
        <w:tc>
          <w:tcPr>
            <w:tcW w:w="769" w:type="pct"/>
            <w:noWrap/>
            <w:hideMark/>
          </w:tcPr>
          <w:p w:rsidR="00CC41D1" w:rsidRPr="006740AC" w:rsidRDefault="00CC41D1" w:rsidP="006740A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5.473.827</w:t>
            </w:r>
          </w:p>
        </w:tc>
        <w:tc>
          <w:tcPr>
            <w:tcW w:w="705" w:type="pct"/>
            <w:noWrap/>
            <w:hideMark/>
          </w:tcPr>
          <w:p w:rsidR="00CC41D1" w:rsidRPr="006740AC" w:rsidRDefault="00CC41D1" w:rsidP="006740A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110</w:t>
            </w:r>
          </w:p>
        </w:tc>
        <w:tc>
          <w:tcPr>
            <w:tcW w:w="753" w:type="pct"/>
            <w:noWrap/>
            <w:hideMark/>
          </w:tcPr>
          <w:p w:rsidR="00CC41D1" w:rsidRPr="006740AC" w:rsidRDefault="00CC41D1" w:rsidP="006740A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115.344</w:t>
            </w:r>
          </w:p>
        </w:tc>
        <w:tc>
          <w:tcPr>
            <w:tcW w:w="699" w:type="pct"/>
            <w:noWrap/>
            <w:hideMark/>
          </w:tcPr>
          <w:p w:rsidR="00CC41D1" w:rsidRPr="006740AC" w:rsidRDefault="00CC41D1" w:rsidP="006740A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109</w:t>
            </w:r>
          </w:p>
        </w:tc>
        <w:tc>
          <w:tcPr>
            <w:tcW w:w="787" w:type="pct"/>
            <w:noWrap/>
            <w:hideMark/>
          </w:tcPr>
          <w:p w:rsidR="00CC41D1" w:rsidRPr="006740AC" w:rsidRDefault="00CC41D1" w:rsidP="006740A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2,11</w:t>
            </w:r>
          </w:p>
        </w:tc>
        <w:tc>
          <w:tcPr>
            <w:tcW w:w="787" w:type="pct"/>
          </w:tcPr>
          <w:p w:rsidR="00CC41D1" w:rsidRPr="00BD326C" w:rsidRDefault="00B83709" w:rsidP="006740A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BD326C">
              <w:rPr>
                <w:rFonts w:ascii="Arial Narrow" w:hAnsi="Arial Narrow"/>
                <w:sz w:val="16"/>
                <w:szCs w:val="16"/>
              </w:rPr>
              <w:t>99,9</w:t>
            </w:r>
          </w:p>
        </w:tc>
      </w:tr>
      <w:tr w:rsidR="00CC41D1" w:rsidRPr="006740AC" w:rsidTr="0081309C">
        <w:trPr>
          <w:trHeight w:val="102"/>
        </w:trPr>
        <w:tc>
          <w:tcPr>
            <w:cnfStyle w:val="001000000000" w:firstRow="0" w:lastRow="0" w:firstColumn="1" w:lastColumn="0" w:oddVBand="0" w:evenVBand="0" w:oddHBand="0" w:evenHBand="0" w:firstRowFirstColumn="0" w:firstRowLastColumn="0" w:lastRowFirstColumn="0" w:lastRowLastColumn="0"/>
            <w:tcW w:w="500" w:type="pct"/>
            <w:noWrap/>
            <w:hideMark/>
          </w:tcPr>
          <w:p w:rsidR="00CC41D1" w:rsidRPr="006740AC" w:rsidRDefault="00CC41D1" w:rsidP="006740AC">
            <w:pPr>
              <w:spacing w:after="0" w:line="240" w:lineRule="auto"/>
              <w:rPr>
                <w:rFonts w:ascii="Arial Narrow" w:hAnsi="Arial Narrow"/>
                <w:sz w:val="16"/>
                <w:szCs w:val="16"/>
              </w:rPr>
            </w:pPr>
            <w:r w:rsidRPr="006740AC">
              <w:rPr>
                <w:rFonts w:ascii="Arial Narrow" w:hAnsi="Arial Narrow"/>
                <w:sz w:val="16"/>
                <w:szCs w:val="16"/>
              </w:rPr>
              <w:t>2003</w:t>
            </w:r>
          </w:p>
        </w:tc>
        <w:tc>
          <w:tcPr>
            <w:tcW w:w="769" w:type="pct"/>
            <w:noWrap/>
            <w:hideMark/>
          </w:tcPr>
          <w:p w:rsidR="00CC41D1" w:rsidRPr="006740AC" w:rsidRDefault="00CC41D1" w:rsidP="006740A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6.097.304</w:t>
            </w:r>
          </w:p>
        </w:tc>
        <w:tc>
          <w:tcPr>
            <w:tcW w:w="705" w:type="pct"/>
            <w:noWrap/>
            <w:hideMark/>
          </w:tcPr>
          <w:p w:rsidR="00CC41D1" w:rsidRPr="006740AC" w:rsidRDefault="00CC41D1" w:rsidP="006740A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111</w:t>
            </w:r>
          </w:p>
        </w:tc>
        <w:tc>
          <w:tcPr>
            <w:tcW w:w="753" w:type="pct"/>
            <w:noWrap/>
            <w:hideMark/>
          </w:tcPr>
          <w:p w:rsidR="00CC41D1" w:rsidRPr="006740AC" w:rsidRDefault="00CC41D1" w:rsidP="006740A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124.307</w:t>
            </w:r>
          </w:p>
        </w:tc>
        <w:tc>
          <w:tcPr>
            <w:tcW w:w="699" w:type="pct"/>
            <w:noWrap/>
            <w:hideMark/>
          </w:tcPr>
          <w:p w:rsidR="00CC41D1" w:rsidRPr="006740AC" w:rsidRDefault="00CC41D1" w:rsidP="006740A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108</w:t>
            </w:r>
          </w:p>
        </w:tc>
        <w:tc>
          <w:tcPr>
            <w:tcW w:w="787" w:type="pct"/>
            <w:noWrap/>
            <w:hideMark/>
          </w:tcPr>
          <w:p w:rsidR="00CC41D1" w:rsidRPr="006740AC" w:rsidRDefault="00CC41D1" w:rsidP="006740A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2,04</w:t>
            </w:r>
          </w:p>
        </w:tc>
        <w:tc>
          <w:tcPr>
            <w:tcW w:w="787" w:type="pct"/>
          </w:tcPr>
          <w:p w:rsidR="00CC41D1" w:rsidRPr="00BD326C" w:rsidRDefault="00A144F4" w:rsidP="006740A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BD326C">
              <w:rPr>
                <w:rFonts w:ascii="Arial Narrow" w:hAnsi="Arial Narrow"/>
                <w:sz w:val="16"/>
                <w:szCs w:val="16"/>
              </w:rPr>
              <w:t>99,9</w:t>
            </w:r>
          </w:p>
        </w:tc>
      </w:tr>
      <w:tr w:rsidR="00CC41D1" w:rsidRPr="006740AC" w:rsidTr="0081309C">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500" w:type="pct"/>
            <w:noWrap/>
            <w:hideMark/>
          </w:tcPr>
          <w:p w:rsidR="00CC41D1" w:rsidRPr="006740AC" w:rsidRDefault="00CC41D1" w:rsidP="006740AC">
            <w:pPr>
              <w:spacing w:after="0" w:line="240" w:lineRule="auto"/>
              <w:rPr>
                <w:rFonts w:ascii="Arial Narrow" w:hAnsi="Arial Narrow"/>
                <w:sz w:val="16"/>
                <w:szCs w:val="16"/>
              </w:rPr>
            </w:pPr>
            <w:r w:rsidRPr="006740AC">
              <w:rPr>
                <w:rFonts w:ascii="Arial Narrow" w:hAnsi="Arial Narrow"/>
                <w:sz w:val="16"/>
                <w:szCs w:val="16"/>
              </w:rPr>
              <w:t>2004</w:t>
            </w:r>
          </w:p>
        </w:tc>
        <w:tc>
          <w:tcPr>
            <w:tcW w:w="769" w:type="pct"/>
            <w:noWrap/>
            <w:hideMark/>
          </w:tcPr>
          <w:p w:rsidR="00CC41D1" w:rsidRPr="006740AC" w:rsidRDefault="00CC41D1" w:rsidP="006740A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6.658.692</w:t>
            </w:r>
          </w:p>
        </w:tc>
        <w:tc>
          <w:tcPr>
            <w:tcW w:w="705" w:type="pct"/>
            <w:noWrap/>
            <w:hideMark/>
          </w:tcPr>
          <w:p w:rsidR="00CC41D1" w:rsidRPr="006740AC" w:rsidRDefault="00CC41D1" w:rsidP="006740A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109</w:t>
            </w:r>
          </w:p>
        </w:tc>
        <w:tc>
          <w:tcPr>
            <w:tcW w:w="753" w:type="pct"/>
            <w:noWrap/>
            <w:hideMark/>
          </w:tcPr>
          <w:p w:rsidR="00CC41D1" w:rsidRPr="006740AC" w:rsidRDefault="00CC41D1" w:rsidP="006740A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136.037</w:t>
            </w:r>
          </w:p>
        </w:tc>
        <w:tc>
          <w:tcPr>
            <w:tcW w:w="699" w:type="pct"/>
            <w:noWrap/>
            <w:hideMark/>
          </w:tcPr>
          <w:p w:rsidR="00CC41D1" w:rsidRPr="006740AC" w:rsidRDefault="00CC41D1" w:rsidP="006740A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109</w:t>
            </w:r>
          </w:p>
        </w:tc>
        <w:tc>
          <w:tcPr>
            <w:tcW w:w="787" w:type="pct"/>
            <w:noWrap/>
            <w:hideMark/>
          </w:tcPr>
          <w:p w:rsidR="00CC41D1" w:rsidRPr="006740AC" w:rsidRDefault="00CC41D1" w:rsidP="006740A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2,04</w:t>
            </w:r>
          </w:p>
        </w:tc>
        <w:tc>
          <w:tcPr>
            <w:tcW w:w="787" w:type="pct"/>
          </w:tcPr>
          <w:p w:rsidR="00CC41D1" w:rsidRPr="00BD326C" w:rsidRDefault="00B83709" w:rsidP="006740A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BD326C">
              <w:rPr>
                <w:rFonts w:ascii="Arial Narrow" w:hAnsi="Arial Narrow"/>
                <w:sz w:val="16"/>
                <w:szCs w:val="16"/>
              </w:rPr>
              <w:t>99</w:t>
            </w:r>
          </w:p>
        </w:tc>
      </w:tr>
      <w:tr w:rsidR="00CC41D1" w:rsidRPr="006740AC" w:rsidTr="0081309C">
        <w:trPr>
          <w:trHeight w:val="102"/>
        </w:trPr>
        <w:tc>
          <w:tcPr>
            <w:cnfStyle w:val="001000000000" w:firstRow="0" w:lastRow="0" w:firstColumn="1" w:lastColumn="0" w:oddVBand="0" w:evenVBand="0" w:oddHBand="0" w:evenHBand="0" w:firstRowFirstColumn="0" w:firstRowLastColumn="0" w:lastRowFirstColumn="0" w:lastRowLastColumn="0"/>
            <w:tcW w:w="500" w:type="pct"/>
            <w:noWrap/>
            <w:hideMark/>
          </w:tcPr>
          <w:p w:rsidR="00CC41D1" w:rsidRPr="006740AC" w:rsidRDefault="00CC41D1" w:rsidP="006740AC">
            <w:pPr>
              <w:spacing w:after="0" w:line="240" w:lineRule="auto"/>
              <w:rPr>
                <w:rFonts w:ascii="Arial Narrow" w:hAnsi="Arial Narrow"/>
                <w:sz w:val="16"/>
                <w:szCs w:val="16"/>
              </w:rPr>
            </w:pPr>
            <w:r w:rsidRPr="006740AC">
              <w:rPr>
                <w:rFonts w:ascii="Arial Narrow" w:hAnsi="Arial Narrow"/>
                <w:sz w:val="16"/>
                <w:szCs w:val="16"/>
              </w:rPr>
              <w:t>2005</w:t>
            </w:r>
          </w:p>
        </w:tc>
        <w:tc>
          <w:tcPr>
            <w:tcW w:w="769" w:type="pct"/>
            <w:noWrap/>
            <w:hideMark/>
          </w:tcPr>
          <w:p w:rsidR="00CC41D1" w:rsidRPr="006740AC" w:rsidRDefault="00CC41D1" w:rsidP="006740A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7.181.393</w:t>
            </w:r>
          </w:p>
        </w:tc>
        <w:tc>
          <w:tcPr>
            <w:tcW w:w="705" w:type="pct"/>
            <w:noWrap/>
            <w:hideMark/>
          </w:tcPr>
          <w:p w:rsidR="00CC41D1" w:rsidRPr="006740AC" w:rsidRDefault="00CC41D1" w:rsidP="006740A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108</w:t>
            </w:r>
          </w:p>
        </w:tc>
        <w:tc>
          <w:tcPr>
            <w:tcW w:w="753" w:type="pct"/>
            <w:noWrap/>
            <w:hideMark/>
          </w:tcPr>
          <w:p w:rsidR="00CC41D1" w:rsidRPr="006740AC" w:rsidRDefault="00CC41D1" w:rsidP="006740A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146.678</w:t>
            </w:r>
          </w:p>
        </w:tc>
        <w:tc>
          <w:tcPr>
            <w:tcW w:w="699" w:type="pct"/>
            <w:noWrap/>
            <w:hideMark/>
          </w:tcPr>
          <w:p w:rsidR="00CC41D1" w:rsidRPr="006740AC" w:rsidRDefault="00CC41D1" w:rsidP="006740A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108</w:t>
            </w:r>
          </w:p>
        </w:tc>
        <w:tc>
          <w:tcPr>
            <w:tcW w:w="787" w:type="pct"/>
            <w:noWrap/>
            <w:hideMark/>
          </w:tcPr>
          <w:p w:rsidR="00CC41D1" w:rsidRPr="006740AC" w:rsidRDefault="00CC41D1" w:rsidP="006740A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2,04</w:t>
            </w:r>
          </w:p>
        </w:tc>
        <w:tc>
          <w:tcPr>
            <w:tcW w:w="787" w:type="pct"/>
          </w:tcPr>
          <w:p w:rsidR="00CC41D1" w:rsidRPr="00BD326C" w:rsidRDefault="00B83709" w:rsidP="006740A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BD326C">
              <w:rPr>
                <w:rFonts w:ascii="Arial Narrow" w:hAnsi="Arial Narrow"/>
                <w:sz w:val="16"/>
                <w:szCs w:val="16"/>
              </w:rPr>
              <w:t>98,5</w:t>
            </w:r>
          </w:p>
        </w:tc>
      </w:tr>
      <w:tr w:rsidR="00CC41D1" w:rsidRPr="006740AC" w:rsidTr="0081309C">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500" w:type="pct"/>
            <w:noWrap/>
            <w:hideMark/>
          </w:tcPr>
          <w:p w:rsidR="00CC41D1" w:rsidRPr="006740AC" w:rsidRDefault="00CC41D1" w:rsidP="006740AC">
            <w:pPr>
              <w:spacing w:after="0" w:line="240" w:lineRule="auto"/>
              <w:rPr>
                <w:rFonts w:ascii="Arial Narrow" w:hAnsi="Arial Narrow"/>
                <w:sz w:val="16"/>
                <w:szCs w:val="16"/>
              </w:rPr>
            </w:pPr>
            <w:r w:rsidRPr="006740AC">
              <w:rPr>
                <w:rFonts w:ascii="Arial Narrow" w:hAnsi="Arial Narrow"/>
                <w:sz w:val="16"/>
                <w:szCs w:val="16"/>
              </w:rPr>
              <w:t>2006</w:t>
            </w:r>
          </w:p>
        </w:tc>
        <w:tc>
          <w:tcPr>
            <w:tcW w:w="769" w:type="pct"/>
            <w:noWrap/>
            <w:hideMark/>
          </w:tcPr>
          <w:p w:rsidR="00CC41D1" w:rsidRPr="006740AC" w:rsidRDefault="00CC41D1" w:rsidP="006740A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7.628.520</w:t>
            </w:r>
          </w:p>
        </w:tc>
        <w:tc>
          <w:tcPr>
            <w:tcW w:w="705" w:type="pct"/>
            <w:noWrap/>
            <w:hideMark/>
          </w:tcPr>
          <w:p w:rsidR="00CC41D1" w:rsidRPr="006740AC" w:rsidRDefault="00CC41D1" w:rsidP="006740A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106</w:t>
            </w:r>
          </w:p>
        </w:tc>
        <w:tc>
          <w:tcPr>
            <w:tcW w:w="753" w:type="pct"/>
            <w:noWrap/>
            <w:hideMark/>
          </w:tcPr>
          <w:p w:rsidR="00CC41D1" w:rsidRPr="006740AC" w:rsidRDefault="00CC41D1" w:rsidP="006740A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154.231</w:t>
            </w:r>
          </w:p>
        </w:tc>
        <w:tc>
          <w:tcPr>
            <w:tcW w:w="699" w:type="pct"/>
            <w:noWrap/>
            <w:hideMark/>
          </w:tcPr>
          <w:p w:rsidR="00CC41D1" w:rsidRPr="006740AC" w:rsidRDefault="00CC41D1" w:rsidP="006740A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105</w:t>
            </w:r>
          </w:p>
        </w:tc>
        <w:tc>
          <w:tcPr>
            <w:tcW w:w="787" w:type="pct"/>
            <w:noWrap/>
            <w:hideMark/>
          </w:tcPr>
          <w:p w:rsidR="00CC41D1" w:rsidRPr="006740AC" w:rsidRDefault="00CC41D1" w:rsidP="006740A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2,02</w:t>
            </w:r>
          </w:p>
        </w:tc>
        <w:tc>
          <w:tcPr>
            <w:tcW w:w="787" w:type="pct"/>
          </w:tcPr>
          <w:p w:rsidR="00CC41D1" w:rsidRPr="00BD326C" w:rsidRDefault="00A144F4" w:rsidP="006740A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BD326C">
              <w:rPr>
                <w:rFonts w:ascii="Arial Narrow" w:hAnsi="Arial Narrow"/>
                <w:sz w:val="16"/>
                <w:szCs w:val="16"/>
              </w:rPr>
              <w:t>97,4</w:t>
            </w:r>
          </w:p>
        </w:tc>
      </w:tr>
      <w:tr w:rsidR="00CC41D1" w:rsidRPr="006740AC" w:rsidTr="0081309C">
        <w:trPr>
          <w:trHeight w:val="102"/>
        </w:trPr>
        <w:tc>
          <w:tcPr>
            <w:cnfStyle w:val="001000000000" w:firstRow="0" w:lastRow="0" w:firstColumn="1" w:lastColumn="0" w:oddVBand="0" w:evenVBand="0" w:oddHBand="0" w:evenHBand="0" w:firstRowFirstColumn="0" w:firstRowLastColumn="0" w:lastRowFirstColumn="0" w:lastRowLastColumn="0"/>
            <w:tcW w:w="500" w:type="pct"/>
            <w:noWrap/>
            <w:hideMark/>
          </w:tcPr>
          <w:p w:rsidR="00CC41D1" w:rsidRPr="006740AC" w:rsidRDefault="00CC41D1" w:rsidP="006740AC">
            <w:pPr>
              <w:spacing w:after="0" w:line="240" w:lineRule="auto"/>
              <w:rPr>
                <w:rFonts w:ascii="Arial Narrow" w:hAnsi="Arial Narrow"/>
                <w:sz w:val="16"/>
                <w:szCs w:val="16"/>
              </w:rPr>
            </w:pPr>
            <w:r w:rsidRPr="006740AC">
              <w:rPr>
                <w:rFonts w:ascii="Arial Narrow" w:hAnsi="Arial Narrow"/>
                <w:sz w:val="16"/>
                <w:szCs w:val="16"/>
              </w:rPr>
              <w:t>2007</w:t>
            </w:r>
          </w:p>
        </w:tc>
        <w:tc>
          <w:tcPr>
            <w:tcW w:w="769" w:type="pct"/>
            <w:noWrap/>
            <w:hideMark/>
          </w:tcPr>
          <w:p w:rsidR="00CC41D1" w:rsidRPr="006740AC" w:rsidRDefault="00CC41D1" w:rsidP="006740A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7.762.890</w:t>
            </w:r>
          </w:p>
        </w:tc>
        <w:tc>
          <w:tcPr>
            <w:tcW w:w="705" w:type="pct"/>
            <w:noWrap/>
            <w:hideMark/>
          </w:tcPr>
          <w:p w:rsidR="00CC41D1" w:rsidRPr="006740AC" w:rsidRDefault="00CC41D1" w:rsidP="006740A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102</w:t>
            </w:r>
          </w:p>
        </w:tc>
        <w:tc>
          <w:tcPr>
            <w:tcW w:w="753" w:type="pct"/>
            <w:noWrap/>
            <w:hideMark/>
          </w:tcPr>
          <w:p w:rsidR="00CC41D1" w:rsidRPr="006740AC" w:rsidRDefault="00CC41D1" w:rsidP="006740A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164.661</w:t>
            </w:r>
          </w:p>
        </w:tc>
        <w:tc>
          <w:tcPr>
            <w:tcW w:w="699" w:type="pct"/>
            <w:noWrap/>
            <w:hideMark/>
          </w:tcPr>
          <w:p w:rsidR="00CC41D1" w:rsidRPr="006740AC" w:rsidRDefault="00CC41D1" w:rsidP="006740A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107</w:t>
            </w:r>
          </w:p>
        </w:tc>
        <w:tc>
          <w:tcPr>
            <w:tcW w:w="787" w:type="pct"/>
            <w:noWrap/>
            <w:hideMark/>
          </w:tcPr>
          <w:p w:rsidR="00CC41D1" w:rsidRPr="006740AC" w:rsidRDefault="00CC41D1" w:rsidP="006740A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2,12</w:t>
            </w:r>
          </w:p>
        </w:tc>
        <w:tc>
          <w:tcPr>
            <w:tcW w:w="787" w:type="pct"/>
          </w:tcPr>
          <w:p w:rsidR="00CC41D1" w:rsidRPr="00BD326C" w:rsidRDefault="00A144F4" w:rsidP="006740A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s="Arial"/>
                <w:sz w:val="16"/>
                <w:szCs w:val="16"/>
              </w:rPr>
            </w:pPr>
            <w:r w:rsidRPr="00BD326C">
              <w:rPr>
                <w:rFonts w:ascii="Arial Narrow" w:hAnsi="Arial Narrow"/>
                <w:sz w:val="16"/>
                <w:szCs w:val="16"/>
              </w:rPr>
              <w:t>96,2</w:t>
            </w:r>
          </w:p>
        </w:tc>
      </w:tr>
      <w:tr w:rsidR="00DF3EB7" w:rsidRPr="006740AC" w:rsidTr="0081309C">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500" w:type="pct"/>
            <w:noWrap/>
            <w:hideMark/>
          </w:tcPr>
          <w:p w:rsidR="00DF3EB7" w:rsidRPr="006740AC" w:rsidRDefault="00DF3EB7" w:rsidP="006740AC">
            <w:pPr>
              <w:spacing w:after="0" w:line="240" w:lineRule="auto"/>
              <w:rPr>
                <w:rFonts w:ascii="Arial Narrow" w:hAnsi="Arial Narrow"/>
                <w:sz w:val="16"/>
                <w:szCs w:val="16"/>
              </w:rPr>
            </w:pPr>
            <w:r w:rsidRPr="006740AC">
              <w:rPr>
                <w:rFonts w:ascii="Arial Narrow" w:hAnsi="Arial Narrow"/>
                <w:sz w:val="16"/>
                <w:szCs w:val="16"/>
              </w:rPr>
              <w:t>2008</w:t>
            </w:r>
          </w:p>
        </w:tc>
        <w:tc>
          <w:tcPr>
            <w:tcW w:w="769" w:type="pct"/>
            <w:noWrap/>
            <w:hideMark/>
          </w:tcPr>
          <w:p w:rsidR="00DF3EB7" w:rsidRPr="006740AC" w:rsidRDefault="00DF3EB7" w:rsidP="006740A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8.470.049</w:t>
            </w:r>
          </w:p>
        </w:tc>
        <w:tc>
          <w:tcPr>
            <w:tcW w:w="705" w:type="pct"/>
            <w:noWrap/>
            <w:hideMark/>
          </w:tcPr>
          <w:p w:rsidR="00DF3EB7" w:rsidRPr="006740AC" w:rsidRDefault="00DF3EB7" w:rsidP="006740A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109</w:t>
            </w:r>
          </w:p>
        </w:tc>
        <w:tc>
          <w:tcPr>
            <w:tcW w:w="753" w:type="pct"/>
            <w:noWrap/>
            <w:hideMark/>
          </w:tcPr>
          <w:p w:rsidR="00DF3EB7" w:rsidRPr="006740AC" w:rsidRDefault="00DF3EB7" w:rsidP="006740A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178.121</w:t>
            </w:r>
          </w:p>
        </w:tc>
        <w:tc>
          <w:tcPr>
            <w:tcW w:w="699" w:type="pct"/>
            <w:noWrap/>
            <w:hideMark/>
          </w:tcPr>
          <w:p w:rsidR="00DF3EB7" w:rsidRPr="006740AC" w:rsidRDefault="00DF3EB7" w:rsidP="006740A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108</w:t>
            </w:r>
          </w:p>
        </w:tc>
        <w:tc>
          <w:tcPr>
            <w:tcW w:w="787" w:type="pct"/>
            <w:noWrap/>
            <w:hideMark/>
          </w:tcPr>
          <w:p w:rsidR="00DF3EB7" w:rsidRPr="006740AC" w:rsidRDefault="00DF3EB7" w:rsidP="006740A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2,10</w:t>
            </w:r>
          </w:p>
        </w:tc>
        <w:tc>
          <w:tcPr>
            <w:tcW w:w="787" w:type="pct"/>
          </w:tcPr>
          <w:p w:rsidR="00DF3EB7" w:rsidRPr="00BD326C" w:rsidRDefault="00DF3EB7" w:rsidP="006740A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BD326C">
              <w:rPr>
                <w:rFonts w:ascii="Arial Narrow" w:hAnsi="Arial Narrow"/>
                <w:sz w:val="16"/>
                <w:szCs w:val="16"/>
              </w:rPr>
              <w:t>97,7</w:t>
            </w:r>
          </w:p>
        </w:tc>
      </w:tr>
      <w:tr w:rsidR="00DF3EB7" w:rsidRPr="006740AC" w:rsidTr="0081309C">
        <w:trPr>
          <w:trHeight w:val="102"/>
        </w:trPr>
        <w:tc>
          <w:tcPr>
            <w:cnfStyle w:val="001000000000" w:firstRow="0" w:lastRow="0" w:firstColumn="1" w:lastColumn="0" w:oddVBand="0" w:evenVBand="0" w:oddHBand="0" w:evenHBand="0" w:firstRowFirstColumn="0" w:firstRowLastColumn="0" w:lastRowFirstColumn="0" w:lastRowLastColumn="0"/>
            <w:tcW w:w="500" w:type="pct"/>
            <w:noWrap/>
            <w:hideMark/>
          </w:tcPr>
          <w:p w:rsidR="00DF3EB7" w:rsidRPr="006740AC" w:rsidRDefault="00DF3EB7" w:rsidP="006740AC">
            <w:pPr>
              <w:spacing w:after="0" w:line="240" w:lineRule="auto"/>
              <w:rPr>
                <w:rFonts w:ascii="Arial Narrow" w:hAnsi="Arial Narrow"/>
                <w:sz w:val="16"/>
                <w:szCs w:val="16"/>
              </w:rPr>
            </w:pPr>
            <w:r w:rsidRPr="006740AC">
              <w:rPr>
                <w:rFonts w:ascii="Arial Narrow" w:hAnsi="Arial Narrow"/>
                <w:sz w:val="16"/>
                <w:szCs w:val="16"/>
              </w:rPr>
              <w:t>2009</w:t>
            </w:r>
          </w:p>
        </w:tc>
        <w:tc>
          <w:tcPr>
            <w:tcW w:w="769" w:type="pct"/>
            <w:noWrap/>
            <w:hideMark/>
          </w:tcPr>
          <w:p w:rsidR="00DF3EB7" w:rsidRPr="006740AC" w:rsidRDefault="00DF3EB7" w:rsidP="006740A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9.259.521</w:t>
            </w:r>
          </w:p>
        </w:tc>
        <w:tc>
          <w:tcPr>
            <w:tcW w:w="705" w:type="pct"/>
            <w:noWrap/>
            <w:hideMark/>
          </w:tcPr>
          <w:p w:rsidR="00DF3EB7" w:rsidRPr="006740AC" w:rsidRDefault="00DF3EB7" w:rsidP="006740A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109</w:t>
            </w:r>
          </w:p>
        </w:tc>
        <w:tc>
          <w:tcPr>
            <w:tcW w:w="753" w:type="pct"/>
            <w:noWrap/>
            <w:hideMark/>
          </w:tcPr>
          <w:p w:rsidR="00DF3EB7" w:rsidRPr="006740AC" w:rsidRDefault="00DF3EB7" w:rsidP="006740A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204.041</w:t>
            </w:r>
          </w:p>
        </w:tc>
        <w:tc>
          <w:tcPr>
            <w:tcW w:w="699" w:type="pct"/>
            <w:noWrap/>
            <w:hideMark/>
          </w:tcPr>
          <w:p w:rsidR="00DF3EB7" w:rsidRPr="006740AC" w:rsidRDefault="00DF3EB7" w:rsidP="006740A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115</w:t>
            </w:r>
          </w:p>
        </w:tc>
        <w:tc>
          <w:tcPr>
            <w:tcW w:w="787" w:type="pct"/>
            <w:noWrap/>
            <w:hideMark/>
          </w:tcPr>
          <w:p w:rsidR="00DF3EB7" w:rsidRPr="006740AC" w:rsidRDefault="00DF3EB7" w:rsidP="006740A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2,20</w:t>
            </w:r>
          </w:p>
        </w:tc>
        <w:tc>
          <w:tcPr>
            <w:tcW w:w="787" w:type="pct"/>
          </w:tcPr>
          <w:p w:rsidR="00DF3EB7" w:rsidRPr="00BD326C" w:rsidRDefault="00767449" w:rsidP="006740A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BD326C">
              <w:rPr>
                <w:rFonts w:ascii="Arial Narrow" w:hAnsi="Arial Narrow"/>
                <w:sz w:val="16"/>
                <w:szCs w:val="16"/>
              </w:rPr>
              <w:t>97,2</w:t>
            </w:r>
          </w:p>
        </w:tc>
      </w:tr>
      <w:tr w:rsidR="00DF3EB7" w:rsidRPr="006740AC" w:rsidTr="0081309C">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500" w:type="pct"/>
            <w:noWrap/>
            <w:hideMark/>
          </w:tcPr>
          <w:p w:rsidR="00DF3EB7" w:rsidRPr="006740AC" w:rsidRDefault="00DF3EB7" w:rsidP="006740AC">
            <w:pPr>
              <w:spacing w:after="0" w:line="240" w:lineRule="auto"/>
              <w:rPr>
                <w:rFonts w:ascii="Arial Narrow" w:hAnsi="Arial Narrow"/>
                <w:sz w:val="16"/>
                <w:szCs w:val="16"/>
              </w:rPr>
            </w:pPr>
            <w:r w:rsidRPr="006740AC">
              <w:rPr>
                <w:rFonts w:ascii="Arial Narrow" w:hAnsi="Arial Narrow"/>
                <w:sz w:val="16"/>
                <w:szCs w:val="16"/>
              </w:rPr>
              <w:t>2010</w:t>
            </w:r>
          </w:p>
        </w:tc>
        <w:tc>
          <w:tcPr>
            <w:tcW w:w="769" w:type="pct"/>
            <w:noWrap/>
            <w:hideMark/>
          </w:tcPr>
          <w:p w:rsidR="00DF3EB7" w:rsidRPr="006740AC" w:rsidRDefault="00DF3EB7" w:rsidP="006740A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9.280.169</w:t>
            </w:r>
          </w:p>
        </w:tc>
        <w:tc>
          <w:tcPr>
            <w:tcW w:w="705" w:type="pct"/>
            <w:noWrap/>
            <w:hideMark/>
          </w:tcPr>
          <w:p w:rsidR="00DF3EB7" w:rsidRPr="006740AC" w:rsidRDefault="00DF3EB7" w:rsidP="006740A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100</w:t>
            </w:r>
          </w:p>
        </w:tc>
        <w:tc>
          <w:tcPr>
            <w:tcW w:w="753" w:type="pct"/>
            <w:noWrap/>
            <w:hideMark/>
          </w:tcPr>
          <w:p w:rsidR="00DF3EB7" w:rsidRPr="006740AC" w:rsidRDefault="00DF3EB7" w:rsidP="006740A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191.309</w:t>
            </w:r>
          </w:p>
        </w:tc>
        <w:tc>
          <w:tcPr>
            <w:tcW w:w="699" w:type="pct"/>
            <w:noWrap/>
            <w:hideMark/>
          </w:tcPr>
          <w:p w:rsidR="00DF3EB7" w:rsidRPr="006740AC" w:rsidRDefault="00DF3EB7" w:rsidP="006740A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94</w:t>
            </w:r>
          </w:p>
        </w:tc>
        <w:tc>
          <w:tcPr>
            <w:tcW w:w="787" w:type="pct"/>
            <w:noWrap/>
            <w:hideMark/>
          </w:tcPr>
          <w:p w:rsidR="00DF3EB7" w:rsidRPr="006740AC" w:rsidRDefault="00DF3EB7" w:rsidP="006740A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2,06</w:t>
            </w:r>
          </w:p>
        </w:tc>
        <w:tc>
          <w:tcPr>
            <w:tcW w:w="787" w:type="pct"/>
          </w:tcPr>
          <w:p w:rsidR="00DF3EB7" w:rsidRPr="00BD326C" w:rsidRDefault="00767449" w:rsidP="006740A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BD326C">
              <w:rPr>
                <w:rFonts w:ascii="Arial Narrow" w:hAnsi="Arial Narrow"/>
                <w:sz w:val="16"/>
                <w:szCs w:val="16"/>
              </w:rPr>
              <w:t>94,6</w:t>
            </w:r>
          </w:p>
        </w:tc>
      </w:tr>
      <w:tr w:rsidR="00DF3EB7" w:rsidRPr="006740AC" w:rsidTr="0081309C">
        <w:trPr>
          <w:trHeight w:val="102"/>
        </w:trPr>
        <w:tc>
          <w:tcPr>
            <w:cnfStyle w:val="001000000000" w:firstRow="0" w:lastRow="0" w:firstColumn="1" w:lastColumn="0" w:oddVBand="0" w:evenVBand="0" w:oddHBand="0" w:evenHBand="0" w:firstRowFirstColumn="0" w:firstRowLastColumn="0" w:lastRowFirstColumn="0" w:lastRowLastColumn="0"/>
            <w:tcW w:w="500" w:type="pct"/>
            <w:noWrap/>
            <w:hideMark/>
          </w:tcPr>
          <w:p w:rsidR="00DF3EB7" w:rsidRPr="006740AC" w:rsidRDefault="00DF3EB7" w:rsidP="006740AC">
            <w:pPr>
              <w:spacing w:after="0" w:line="240" w:lineRule="auto"/>
              <w:rPr>
                <w:rFonts w:ascii="Arial Narrow" w:hAnsi="Arial Narrow"/>
                <w:sz w:val="16"/>
                <w:szCs w:val="16"/>
              </w:rPr>
            </w:pPr>
            <w:r w:rsidRPr="006740AC">
              <w:rPr>
                <w:rFonts w:ascii="Arial Narrow" w:hAnsi="Arial Narrow"/>
                <w:sz w:val="16"/>
                <w:szCs w:val="16"/>
              </w:rPr>
              <w:t>2011</w:t>
            </w:r>
          </w:p>
        </w:tc>
        <w:tc>
          <w:tcPr>
            <w:tcW w:w="769" w:type="pct"/>
            <w:noWrap/>
            <w:hideMark/>
          </w:tcPr>
          <w:p w:rsidR="00DF3EB7" w:rsidRPr="006740AC" w:rsidRDefault="00DF3EB7" w:rsidP="006740A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9.362.821</w:t>
            </w:r>
          </w:p>
        </w:tc>
        <w:tc>
          <w:tcPr>
            <w:tcW w:w="705" w:type="pct"/>
            <w:noWrap/>
            <w:hideMark/>
          </w:tcPr>
          <w:p w:rsidR="00DF3EB7" w:rsidRPr="006740AC" w:rsidRDefault="00DF3EB7" w:rsidP="006740A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101</w:t>
            </w:r>
          </w:p>
        </w:tc>
        <w:tc>
          <w:tcPr>
            <w:tcW w:w="753" w:type="pct"/>
            <w:noWrap/>
            <w:hideMark/>
          </w:tcPr>
          <w:p w:rsidR="00DF3EB7" w:rsidRPr="006740AC" w:rsidRDefault="00DF3EB7" w:rsidP="006740A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192.863</w:t>
            </w:r>
          </w:p>
        </w:tc>
        <w:tc>
          <w:tcPr>
            <w:tcW w:w="699" w:type="pct"/>
            <w:noWrap/>
            <w:hideMark/>
          </w:tcPr>
          <w:p w:rsidR="00DF3EB7" w:rsidRPr="006740AC" w:rsidRDefault="00DF3EB7" w:rsidP="006740A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101</w:t>
            </w:r>
          </w:p>
        </w:tc>
        <w:tc>
          <w:tcPr>
            <w:tcW w:w="787" w:type="pct"/>
            <w:noWrap/>
            <w:hideMark/>
          </w:tcPr>
          <w:p w:rsidR="00DF3EB7" w:rsidRPr="006740AC" w:rsidRDefault="00DF3EB7" w:rsidP="006740A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2,06</w:t>
            </w:r>
          </w:p>
        </w:tc>
        <w:tc>
          <w:tcPr>
            <w:tcW w:w="787" w:type="pct"/>
          </w:tcPr>
          <w:p w:rsidR="00DF3EB7" w:rsidRPr="00BD326C" w:rsidRDefault="00767449" w:rsidP="006740A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BD326C">
              <w:rPr>
                <w:rFonts w:ascii="Arial Narrow" w:hAnsi="Arial Narrow"/>
                <w:sz w:val="16"/>
                <w:szCs w:val="16"/>
              </w:rPr>
              <w:t>93,5</w:t>
            </w:r>
          </w:p>
        </w:tc>
      </w:tr>
      <w:tr w:rsidR="00DF3EB7" w:rsidRPr="006740AC" w:rsidTr="0081309C">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500" w:type="pct"/>
            <w:noWrap/>
            <w:hideMark/>
          </w:tcPr>
          <w:p w:rsidR="00DF3EB7" w:rsidRPr="006740AC" w:rsidRDefault="00DF3EB7" w:rsidP="006740AC">
            <w:pPr>
              <w:spacing w:after="0" w:line="240" w:lineRule="auto"/>
              <w:rPr>
                <w:rFonts w:ascii="Arial Narrow" w:hAnsi="Arial Narrow"/>
                <w:sz w:val="16"/>
                <w:szCs w:val="16"/>
              </w:rPr>
            </w:pPr>
            <w:r w:rsidRPr="006740AC">
              <w:rPr>
                <w:rFonts w:ascii="Arial Narrow" w:hAnsi="Arial Narrow"/>
                <w:sz w:val="16"/>
                <w:szCs w:val="16"/>
              </w:rPr>
              <w:t>2012</w:t>
            </w:r>
          </w:p>
        </w:tc>
        <w:tc>
          <w:tcPr>
            <w:tcW w:w="769" w:type="pct"/>
            <w:noWrap/>
            <w:hideMark/>
          </w:tcPr>
          <w:p w:rsidR="00DF3EB7" w:rsidRPr="006740AC" w:rsidRDefault="00DF3EB7" w:rsidP="006740A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8.993.488</w:t>
            </w:r>
          </w:p>
        </w:tc>
        <w:tc>
          <w:tcPr>
            <w:tcW w:w="705" w:type="pct"/>
            <w:noWrap/>
            <w:hideMark/>
          </w:tcPr>
          <w:p w:rsidR="00DF3EB7" w:rsidRPr="006740AC" w:rsidRDefault="00DF3EB7" w:rsidP="006740A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96</w:t>
            </w:r>
          </w:p>
        </w:tc>
        <w:tc>
          <w:tcPr>
            <w:tcW w:w="753" w:type="pct"/>
            <w:noWrap/>
            <w:hideMark/>
          </w:tcPr>
          <w:p w:rsidR="00DF3EB7" w:rsidRPr="006740AC" w:rsidRDefault="00DF3EB7" w:rsidP="006740A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172.157</w:t>
            </w:r>
          </w:p>
        </w:tc>
        <w:tc>
          <w:tcPr>
            <w:tcW w:w="699" w:type="pct"/>
            <w:noWrap/>
            <w:hideMark/>
          </w:tcPr>
          <w:p w:rsidR="00DF3EB7" w:rsidRPr="006740AC" w:rsidRDefault="00DF3EB7" w:rsidP="006740A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89</w:t>
            </w:r>
          </w:p>
        </w:tc>
        <w:tc>
          <w:tcPr>
            <w:tcW w:w="787" w:type="pct"/>
            <w:noWrap/>
            <w:hideMark/>
          </w:tcPr>
          <w:p w:rsidR="00DF3EB7" w:rsidRPr="006740AC" w:rsidRDefault="00DF3EB7" w:rsidP="006740A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1,91</w:t>
            </w:r>
          </w:p>
        </w:tc>
        <w:tc>
          <w:tcPr>
            <w:tcW w:w="787" w:type="pct"/>
          </w:tcPr>
          <w:p w:rsidR="00DF3EB7" w:rsidRPr="00BD326C" w:rsidRDefault="00767449" w:rsidP="006740A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BD326C">
              <w:rPr>
                <w:rFonts w:ascii="Arial Narrow" w:hAnsi="Arial Narrow"/>
                <w:sz w:val="16"/>
                <w:szCs w:val="16"/>
              </w:rPr>
              <w:t>93,5</w:t>
            </w:r>
          </w:p>
        </w:tc>
      </w:tr>
      <w:tr w:rsidR="00DF3EB7" w:rsidRPr="006740AC" w:rsidTr="0081309C">
        <w:trPr>
          <w:trHeight w:val="102"/>
        </w:trPr>
        <w:tc>
          <w:tcPr>
            <w:cnfStyle w:val="001000000000" w:firstRow="0" w:lastRow="0" w:firstColumn="1" w:lastColumn="0" w:oddVBand="0" w:evenVBand="0" w:oddHBand="0" w:evenHBand="0" w:firstRowFirstColumn="0" w:firstRowLastColumn="0" w:lastRowFirstColumn="0" w:lastRowLastColumn="0"/>
            <w:tcW w:w="500" w:type="pct"/>
            <w:noWrap/>
            <w:hideMark/>
          </w:tcPr>
          <w:p w:rsidR="00DF3EB7" w:rsidRPr="006740AC" w:rsidRDefault="00DF3EB7" w:rsidP="006740AC">
            <w:pPr>
              <w:spacing w:after="0" w:line="240" w:lineRule="auto"/>
              <w:rPr>
                <w:rFonts w:ascii="Arial Narrow" w:hAnsi="Arial Narrow"/>
                <w:sz w:val="16"/>
                <w:szCs w:val="16"/>
              </w:rPr>
            </w:pPr>
            <w:r w:rsidRPr="006740AC">
              <w:rPr>
                <w:rFonts w:ascii="Arial Narrow" w:hAnsi="Arial Narrow"/>
                <w:sz w:val="16"/>
                <w:szCs w:val="16"/>
              </w:rPr>
              <w:t>2013</w:t>
            </w:r>
          </w:p>
        </w:tc>
        <w:tc>
          <w:tcPr>
            <w:tcW w:w="769" w:type="pct"/>
            <w:noWrap/>
            <w:hideMark/>
          </w:tcPr>
          <w:p w:rsidR="00DF3EB7" w:rsidRPr="006740AC" w:rsidRDefault="00DF3EB7" w:rsidP="006740A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9.314.513</w:t>
            </w:r>
          </w:p>
        </w:tc>
        <w:tc>
          <w:tcPr>
            <w:tcW w:w="705" w:type="pct"/>
            <w:noWrap/>
            <w:hideMark/>
          </w:tcPr>
          <w:p w:rsidR="00DF3EB7" w:rsidRPr="006740AC" w:rsidRDefault="00DF3EB7" w:rsidP="006740A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104</w:t>
            </w:r>
          </w:p>
        </w:tc>
        <w:tc>
          <w:tcPr>
            <w:tcW w:w="753" w:type="pct"/>
            <w:noWrap/>
            <w:hideMark/>
          </w:tcPr>
          <w:p w:rsidR="00DF3EB7" w:rsidRPr="006740AC" w:rsidRDefault="00DF3EB7" w:rsidP="006740A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157.344</w:t>
            </w:r>
          </w:p>
        </w:tc>
        <w:tc>
          <w:tcPr>
            <w:tcW w:w="699" w:type="pct"/>
            <w:noWrap/>
            <w:hideMark/>
          </w:tcPr>
          <w:p w:rsidR="00DF3EB7" w:rsidRPr="006740AC" w:rsidRDefault="00DF3EB7" w:rsidP="006740A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91</w:t>
            </w:r>
          </w:p>
        </w:tc>
        <w:tc>
          <w:tcPr>
            <w:tcW w:w="787" w:type="pct"/>
            <w:noWrap/>
            <w:hideMark/>
          </w:tcPr>
          <w:p w:rsidR="00DF3EB7" w:rsidRPr="006740AC" w:rsidRDefault="00DF3EB7" w:rsidP="006740A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1,69</w:t>
            </w:r>
          </w:p>
        </w:tc>
        <w:tc>
          <w:tcPr>
            <w:tcW w:w="787" w:type="pct"/>
          </w:tcPr>
          <w:p w:rsidR="00DF3EB7" w:rsidRPr="00BD326C" w:rsidRDefault="00767449" w:rsidP="006740A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BD326C">
              <w:rPr>
                <w:rFonts w:ascii="Arial Narrow" w:hAnsi="Arial Narrow"/>
                <w:sz w:val="16"/>
                <w:szCs w:val="16"/>
              </w:rPr>
              <w:t>94,4</w:t>
            </w:r>
          </w:p>
        </w:tc>
      </w:tr>
      <w:tr w:rsidR="00DF3EB7" w:rsidRPr="006740AC" w:rsidTr="0081309C">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500" w:type="pct"/>
            <w:noWrap/>
            <w:hideMark/>
          </w:tcPr>
          <w:p w:rsidR="00DF3EB7" w:rsidRPr="006740AC" w:rsidRDefault="00DF3EB7" w:rsidP="006740AC">
            <w:pPr>
              <w:spacing w:after="0" w:line="240" w:lineRule="auto"/>
              <w:rPr>
                <w:rFonts w:ascii="Arial Narrow" w:hAnsi="Arial Narrow"/>
                <w:sz w:val="16"/>
                <w:szCs w:val="16"/>
              </w:rPr>
            </w:pPr>
            <w:r w:rsidRPr="006740AC">
              <w:rPr>
                <w:rFonts w:ascii="Arial Narrow" w:hAnsi="Arial Narrow"/>
                <w:sz w:val="16"/>
                <w:szCs w:val="16"/>
              </w:rPr>
              <w:t>2014</w:t>
            </w:r>
          </w:p>
        </w:tc>
        <w:tc>
          <w:tcPr>
            <w:tcW w:w="769" w:type="pct"/>
            <w:noWrap/>
            <w:hideMark/>
          </w:tcPr>
          <w:p w:rsidR="00DF3EB7" w:rsidRPr="006740AC" w:rsidRDefault="00DF3EB7" w:rsidP="006740A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9.654.921</w:t>
            </w:r>
          </w:p>
        </w:tc>
        <w:tc>
          <w:tcPr>
            <w:tcW w:w="705" w:type="pct"/>
            <w:noWrap/>
            <w:hideMark/>
          </w:tcPr>
          <w:p w:rsidR="00DF3EB7" w:rsidRPr="006740AC" w:rsidRDefault="00DF3EB7" w:rsidP="006740A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104</w:t>
            </w:r>
          </w:p>
        </w:tc>
        <w:tc>
          <w:tcPr>
            <w:tcW w:w="753" w:type="pct"/>
            <w:noWrap/>
            <w:hideMark/>
          </w:tcPr>
          <w:p w:rsidR="00DF3EB7" w:rsidRPr="006740AC" w:rsidRDefault="00DF3EB7" w:rsidP="006740A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161.124</w:t>
            </w:r>
          </w:p>
        </w:tc>
        <w:tc>
          <w:tcPr>
            <w:tcW w:w="699" w:type="pct"/>
            <w:noWrap/>
            <w:hideMark/>
          </w:tcPr>
          <w:p w:rsidR="00DF3EB7" w:rsidRPr="006740AC" w:rsidRDefault="00DF3EB7" w:rsidP="006740A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102</w:t>
            </w:r>
          </w:p>
        </w:tc>
        <w:tc>
          <w:tcPr>
            <w:tcW w:w="787" w:type="pct"/>
            <w:noWrap/>
            <w:hideMark/>
          </w:tcPr>
          <w:p w:rsidR="00DF3EB7" w:rsidRPr="006740AC" w:rsidRDefault="00DF3EB7" w:rsidP="006740A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1,67</w:t>
            </w:r>
          </w:p>
        </w:tc>
        <w:tc>
          <w:tcPr>
            <w:tcW w:w="787" w:type="pct"/>
          </w:tcPr>
          <w:p w:rsidR="00DF3EB7" w:rsidRPr="00BD326C" w:rsidRDefault="00767449" w:rsidP="006740A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BD326C">
              <w:rPr>
                <w:rFonts w:ascii="Arial Narrow" w:hAnsi="Arial Narrow"/>
                <w:sz w:val="16"/>
                <w:szCs w:val="16"/>
              </w:rPr>
              <w:t>86,4</w:t>
            </w:r>
          </w:p>
        </w:tc>
      </w:tr>
      <w:tr w:rsidR="00DF3EB7" w:rsidRPr="006740AC" w:rsidTr="0081309C">
        <w:trPr>
          <w:trHeight w:val="102"/>
        </w:trPr>
        <w:tc>
          <w:tcPr>
            <w:cnfStyle w:val="001000000000" w:firstRow="0" w:lastRow="0" w:firstColumn="1" w:lastColumn="0" w:oddVBand="0" w:evenVBand="0" w:oddHBand="0" w:evenHBand="0" w:firstRowFirstColumn="0" w:firstRowLastColumn="0" w:lastRowFirstColumn="0" w:lastRowLastColumn="0"/>
            <w:tcW w:w="500" w:type="pct"/>
            <w:noWrap/>
            <w:hideMark/>
          </w:tcPr>
          <w:p w:rsidR="00DF3EB7" w:rsidRPr="006740AC" w:rsidRDefault="00DF3EB7" w:rsidP="006740AC">
            <w:pPr>
              <w:spacing w:after="0" w:line="240" w:lineRule="auto"/>
              <w:rPr>
                <w:rFonts w:ascii="Arial Narrow" w:hAnsi="Arial Narrow"/>
                <w:sz w:val="16"/>
                <w:szCs w:val="16"/>
              </w:rPr>
            </w:pPr>
            <w:bookmarkStart w:id="109" w:name="OLE_LINK10"/>
            <w:r w:rsidRPr="006740AC">
              <w:rPr>
                <w:rFonts w:ascii="Arial Narrow" w:hAnsi="Arial Narrow"/>
                <w:sz w:val="16"/>
                <w:szCs w:val="16"/>
              </w:rPr>
              <w:t>2015</w:t>
            </w:r>
          </w:p>
        </w:tc>
        <w:tc>
          <w:tcPr>
            <w:tcW w:w="769" w:type="pct"/>
            <w:noWrap/>
            <w:hideMark/>
          </w:tcPr>
          <w:p w:rsidR="00DF3EB7" w:rsidRPr="006740AC" w:rsidRDefault="00DF3EB7" w:rsidP="006740A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9.797.661</w:t>
            </w:r>
          </w:p>
        </w:tc>
        <w:tc>
          <w:tcPr>
            <w:tcW w:w="705" w:type="pct"/>
            <w:noWrap/>
            <w:hideMark/>
          </w:tcPr>
          <w:p w:rsidR="00DF3EB7" w:rsidRPr="006740AC" w:rsidRDefault="00DF3EB7" w:rsidP="006740A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101</w:t>
            </w:r>
          </w:p>
        </w:tc>
        <w:tc>
          <w:tcPr>
            <w:tcW w:w="753" w:type="pct"/>
            <w:noWrap/>
            <w:hideMark/>
          </w:tcPr>
          <w:p w:rsidR="00DF3EB7" w:rsidRPr="006740AC" w:rsidRDefault="00DF3EB7" w:rsidP="006740A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159.440</w:t>
            </w:r>
          </w:p>
        </w:tc>
        <w:tc>
          <w:tcPr>
            <w:tcW w:w="699" w:type="pct"/>
            <w:noWrap/>
            <w:hideMark/>
          </w:tcPr>
          <w:p w:rsidR="00DF3EB7" w:rsidRPr="006740AC" w:rsidRDefault="00DF3EB7" w:rsidP="006740A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99</w:t>
            </w:r>
          </w:p>
        </w:tc>
        <w:tc>
          <w:tcPr>
            <w:tcW w:w="787" w:type="pct"/>
            <w:noWrap/>
            <w:hideMark/>
          </w:tcPr>
          <w:p w:rsidR="00DF3EB7" w:rsidRPr="006740AC" w:rsidRDefault="00DF3EB7" w:rsidP="006740A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1,63</w:t>
            </w:r>
          </w:p>
        </w:tc>
        <w:tc>
          <w:tcPr>
            <w:tcW w:w="787" w:type="pct"/>
          </w:tcPr>
          <w:p w:rsidR="00DF3EB7" w:rsidRPr="00BD326C" w:rsidRDefault="00767449" w:rsidP="006740A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BD326C">
              <w:rPr>
                <w:rFonts w:ascii="Arial Narrow" w:hAnsi="Arial Narrow"/>
                <w:sz w:val="16"/>
                <w:szCs w:val="16"/>
              </w:rPr>
              <w:t>88</w:t>
            </w:r>
          </w:p>
        </w:tc>
      </w:tr>
      <w:bookmarkEnd w:id="109"/>
      <w:tr w:rsidR="00DF3EB7" w:rsidRPr="006740AC" w:rsidTr="0081309C">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500" w:type="pct"/>
            <w:noWrap/>
            <w:hideMark/>
          </w:tcPr>
          <w:p w:rsidR="00DF3EB7" w:rsidRPr="006740AC" w:rsidRDefault="00DF3EB7" w:rsidP="006740AC">
            <w:pPr>
              <w:spacing w:after="0" w:line="240" w:lineRule="auto"/>
              <w:rPr>
                <w:rFonts w:ascii="Arial Narrow" w:hAnsi="Arial Narrow"/>
                <w:sz w:val="16"/>
                <w:szCs w:val="16"/>
              </w:rPr>
            </w:pPr>
            <w:r w:rsidRPr="006740AC">
              <w:rPr>
                <w:rFonts w:ascii="Arial Narrow" w:hAnsi="Arial Narrow"/>
                <w:sz w:val="16"/>
                <w:szCs w:val="16"/>
              </w:rPr>
              <w:t>2016</w:t>
            </w:r>
          </w:p>
        </w:tc>
        <w:tc>
          <w:tcPr>
            <w:tcW w:w="769" w:type="pct"/>
            <w:noWrap/>
            <w:hideMark/>
          </w:tcPr>
          <w:p w:rsidR="00DF3EB7" w:rsidRPr="006740AC" w:rsidRDefault="00DF3EB7" w:rsidP="006740A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9.000.298</w:t>
            </w:r>
          </w:p>
        </w:tc>
        <w:tc>
          <w:tcPr>
            <w:tcW w:w="705" w:type="pct"/>
            <w:noWrap/>
            <w:hideMark/>
          </w:tcPr>
          <w:p w:rsidR="00DF3EB7" w:rsidRPr="006740AC" w:rsidRDefault="00DF3EB7" w:rsidP="006740A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92</w:t>
            </w:r>
          </w:p>
        </w:tc>
        <w:tc>
          <w:tcPr>
            <w:tcW w:w="753" w:type="pct"/>
            <w:noWrap/>
            <w:hideMark/>
          </w:tcPr>
          <w:p w:rsidR="00DF3EB7" w:rsidRPr="005241AC" w:rsidRDefault="00DF3EB7" w:rsidP="003D2965">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highlight w:val="cyan"/>
              </w:rPr>
            </w:pPr>
            <w:r w:rsidRPr="003D2965">
              <w:rPr>
                <w:rFonts w:ascii="Arial Narrow" w:hAnsi="Arial Narrow"/>
                <w:sz w:val="16"/>
                <w:szCs w:val="16"/>
              </w:rPr>
              <w:t>146.826</w:t>
            </w:r>
          </w:p>
        </w:tc>
        <w:tc>
          <w:tcPr>
            <w:tcW w:w="699" w:type="pct"/>
            <w:noWrap/>
            <w:hideMark/>
          </w:tcPr>
          <w:p w:rsidR="00DF3EB7" w:rsidRPr="006740AC" w:rsidRDefault="00DF3EB7" w:rsidP="006740A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92</w:t>
            </w:r>
          </w:p>
        </w:tc>
        <w:tc>
          <w:tcPr>
            <w:tcW w:w="787" w:type="pct"/>
            <w:noWrap/>
            <w:hideMark/>
          </w:tcPr>
          <w:p w:rsidR="00DF3EB7" w:rsidRPr="006740AC" w:rsidRDefault="00DF3EB7" w:rsidP="006740A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1,63</w:t>
            </w:r>
          </w:p>
        </w:tc>
        <w:tc>
          <w:tcPr>
            <w:tcW w:w="787" w:type="pct"/>
          </w:tcPr>
          <w:p w:rsidR="00DF3EB7" w:rsidRPr="00BD326C" w:rsidRDefault="00767449" w:rsidP="006740A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BD326C">
              <w:rPr>
                <w:rFonts w:ascii="Arial Narrow" w:hAnsi="Arial Narrow"/>
                <w:sz w:val="16"/>
                <w:szCs w:val="16"/>
              </w:rPr>
              <w:t>98</w:t>
            </w:r>
          </w:p>
        </w:tc>
      </w:tr>
      <w:tr w:rsidR="00DF3EB7" w:rsidRPr="006740AC" w:rsidTr="0081309C">
        <w:trPr>
          <w:trHeight w:val="102"/>
        </w:trPr>
        <w:tc>
          <w:tcPr>
            <w:cnfStyle w:val="001000000000" w:firstRow="0" w:lastRow="0" w:firstColumn="1" w:lastColumn="0" w:oddVBand="0" w:evenVBand="0" w:oddHBand="0" w:evenHBand="0" w:firstRowFirstColumn="0" w:firstRowLastColumn="0" w:lastRowFirstColumn="0" w:lastRowLastColumn="0"/>
            <w:tcW w:w="500" w:type="pct"/>
            <w:noWrap/>
            <w:hideMark/>
          </w:tcPr>
          <w:p w:rsidR="00DF3EB7" w:rsidRPr="006740AC" w:rsidRDefault="00DF3EB7" w:rsidP="006740AC">
            <w:pPr>
              <w:spacing w:after="0" w:line="240" w:lineRule="auto"/>
              <w:rPr>
                <w:rFonts w:ascii="Arial Narrow" w:hAnsi="Arial Narrow"/>
                <w:sz w:val="16"/>
                <w:szCs w:val="16"/>
              </w:rPr>
            </w:pPr>
            <w:r w:rsidRPr="006740AC">
              <w:rPr>
                <w:rFonts w:ascii="Arial Narrow" w:hAnsi="Arial Narrow"/>
                <w:sz w:val="16"/>
                <w:szCs w:val="16"/>
              </w:rPr>
              <w:t>2017</w:t>
            </w:r>
          </w:p>
        </w:tc>
        <w:tc>
          <w:tcPr>
            <w:tcW w:w="769" w:type="pct"/>
            <w:noWrap/>
            <w:hideMark/>
          </w:tcPr>
          <w:p w:rsidR="00DF3EB7" w:rsidRPr="006740AC" w:rsidRDefault="00DF3EB7" w:rsidP="006740A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9.527.419</w:t>
            </w:r>
          </w:p>
        </w:tc>
        <w:tc>
          <w:tcPr>
            <w:tcW w:w="705" w:type="pct"/>
            <w:noWrap/>
            <w:hideMark/>
          </w:tcPr>
          <w:p w:rsidR="00DF3EB7" w:rsidRPr="006740AC" w:rsidRDefault="00DF3EB7" w:rsidP="006740A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106</w:t>
            </w:r>
          </w:p>
        </w:tc>
        <w:tc>
          <w:tcPr>
            <w:tcW w:w="753" w:type="pct"/>
            <w:noWrap/>
            <w:hideMark/>
          </w:tcPr>
          <w:p w:rsidR="00DF3EB7" w:rsidRPr="006740AC" w:rsidRDefault="00DF3EB7" w:rsidP="006740A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155.222</w:t>
            </w:r>
          </w:p>
        </w:tc>
        <w:tc>
          <w:tcPr>
            <w:tcW w:w="699" w:type="pct"/>
            <w:noWrap/>
            <w:hideMark/>
          </w:tcPr>
          <w:p w:rsidR="00DF3EB7" w:rsidRPr="006740AC" w:rsidRDefault="00DF3EB7" w:rsidP="006740A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106</w:t>
            </w:r>
          </w:p>
        </w:tc>
        <w:tc>
          <w:tcPr>
            <w:tcW w:w="787" w:type="pct"/>
            <w:noWrap/>
            <w:hideMark/>
          </w:tcPr>
          <w:p w:rsidR="00DF3EB7" w:rsidRPr="006740AC" w:rsidRDefault="00DF3EB7" w:rsidP="006740A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1,63</w:t>
            </w:r>
          </w:p>
        </w:tc>
        <w:tc>
          <w:tcPr>
            <w:tcW w:w="787" w:type="pct"/>
          </w:tcPr>
          <w:p w:rsidR="00DF3EB7" w:rsidRPr="00BD326C" w:rsidRDefault="00767449" w:rsidP="006740A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BD326C">
              <w:rPr>
                <w:rFonts w:ascii="Arial Narrow" w:hAnsi="Arial Narrow"/>
                <w:sz w:val="16"/>
                <w:szCs w:val="16"/>
              </w:rPr>
              <w:t>93,7</w:t>
            </w:r>
          </w:p>
        </w:tc>
      </w:tr>
      <w:tr w:rsidR="00DF3EB7" w:rsidRPr="006740AC" w:rsidTr="0081309C">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500" w:type="pct"/>
            <w:noWrap/>
            <w:hideMark/>
          </w:tcPr>
          <w:p w:rsidR="00DF3EB7" w:rsidRPr="006740AC" w:rsidRDefault="00DF3EB7" w:rsidP="006740AC">
            <w:pPr>
              <w:spacing w:after="0" w:line="240" w:lineRule="auto"/>
              <w:rPr>
                <w:rFonts w:ascii="Arial Narrow" w:hAnsi="Arial Narrow"/>
                <w:sz w:val="16"/>
                <w:szCs w:val="16"/>
              </w:rPr>
            </w:pPr>
            <w:r w:rsidRPr="006740AC">
              <w:rPr>
                <w:rFonts w:ascii="Arial Narrow" w:hAnsi="Arial Narrow"/>
                <w:sz w:val="16"/>
                <w:szCs w:val="16"/>
              </w:rPr>
              <w:t>2018</w:t>
            </w:r>
          </w:p>
        </w:tc>
        <w:tc>
          <w:tcPr>
            <w:tcW w:w="769" w:type="pct"/>
            <w:noWrap/>
            <w:hideMark/>
          </w:tcPr>
          <w:p w:rsidR="00DF3EB7" w:rsidRPr="006740AC" w:rsidRDefault="00DF3EB7" w:rsidP="006740A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9.572.594</w:t>
            </w:r>
          </w:p>
        </w:tc>
        <w:tc>
          <w:tcPr>
            <w:tcW w:w="705" w:type="pct"/>
            <w:noWrap/>
            <w:hideMark/>
          </w:tcPr>
          <w:p w:rsidR="00DF3EB7" w:rsidRPr="006740AC" w:rsidRDefault="00DF3EB7" w:rsidP="006740A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100</w:t>
            </w:r>
          </w:p>
        </w:tc>
        <w:tc>
          <w:tcPr>
            <w:tcW w:w="753" w:type="pct"/>
            <w:noWrap/>
            <w:hideMark/>
          </w:tcPr>
          <w:p w:rsidR="00DF3EB7" w:rsidRPr="006740AC" w:rsidRDefault="00DF3EB7" w:rsidP="006740A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157.181</w:t>
            </w:r>
          </w:p>
        </w:tc>
        <w:tc>
          <w:tcPr>
            <w:tcW w:w="699" w:type="pct"/>
            <w:noWrap/>
            <w:hideMark/>
          </w:tcPr>
          <w:p w:rsidR="00DF3EB7" w:rsidRPr="006740AC" w:rsidRDefault="00DF3EB7" w:rsidP="006740A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101</w:t>
            </w:r>
          </w:p>
        </w:tc>
        <w:tc>
          <w:tcPr>
            <w:tcW w:w="787" w:type="pct"/>
            <w:noWrap/>
            <w:hideMark/>
          </w:tcPr>
          <w:p w:rsidR="00DF3EB7" w:rsidRPr="006740AC" w:rsidRDefault="00DF3EB7" w:rsidP="006740A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6740AC">
              <w:rPr>
                <w:rFonts w:ascii="Arial Narrow" w:hAnsi="Arial Narrow"/>
                <w:sz w:val="16"/>
                <w:szCs w:val="16"/>
              </w:rPr>
              <w:t>1,64</w:t>
            </w:r>
          </w:p>
        </w:tc>
        <w:tc>
          <w:tcPr>
            <w:tcW w:w="787" w:type="pct"/>
          </w:tcPr>
          <w:p w:rsidR="00DF3EB7" w:rsidRPr="00BD326C" w:rsidRDefault="00767449" w:rsidP="006740A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BD326C">
              <w:rPr>
                <w:rFonts w:ascii="Arial Narrow" w:hAnsi="Arial Narrow"/>
                <w:sz w:val="16"/>
                <w:szCs w:val="16"/>
              </w:rPr>
              <w:t>93,1</w:t>
            </w:r>
          </w:p>
        </w:tc>
      </w:tr>
    </w:tbl>
    <w:p w:rsidR="00B50F75" w:rsidRPr="00A10F29" w:rsidRDefault="00B50F75" w:rsidP="00DE1E54">
      <w:pPr>
        <w:pStyle w:val="Podpispodtabeloaligrafom"/>
        <w:spacing w:after="0"/>
      </w:pPr>
      <w:r w:rsidRPr="00A10F29">
        <w:t>Vir: Ministrstv</w:t>
      </w:r>
      <w:r w:rsidR="00264E2E">
        <w:t>o</w:t>
      </w:r>
      <w:r w:rsidRPr="00A10F29">
        <w:t xml:space="preserve"> za kulturo</w:t>
      </w:r>
      <w:r w:rsidR="00D615A5">
        <w:t xml:space="preserve"> in Bilten javnih financ</w:t>
      </w:r>
      <w:r w:rsidR="001F086B">
        <w:t>.</w:t>
      </w:r>
      <w:r w:rsidR="00A071AF">
        <w:t xml:space="preserve"> Izračuni: </w:t>
      </w:r>
      <w:r w:rsidR="002816A9">
        <w:t>Ministrstvo za kulturo</w:t>
      </w:r>
      <w:r w:rsidR="00A071AF">
        <w:t>.</w:t>
      </w:r>
    </w:p>
    <w:p w:rsidR="00B50F75" w:rsidRDefault="00DF3EB7" w:rsidP="00DE1E54">
      <w:pPr>
        <w:pStyle w:val="Podpispodtabeloaligrafom"/>
        <w:spacing w:after="0"/>
      </w:pPr>
      <w:r>
        <w:t>*</w:t>
      </w:r>
      <w:r w:rsidR="00026B1D">
        <w:t xml:space="preserve"> </w:t>
      </w:r>
      <w:r w:rsidR="00F85F2C" w:rsidRPr="00856BB9">
        <w:t xml:space="preserve">2017: </w:t>
      </w:r>
      <w:r w:rsidR="00856BB9" w:rsidRPr="00856BB9">
        <w:t>Sprememba sprejetega</w:t>
      </w:r>
      <w:r w:rsidR="00F85F2C" w:rsidRPr="00856BB9">
        <w:t xml:space="preserve"> proračun</w:t>
      </w:r>
      <w:r w:rsidR="00856BB9" w:rsidRPr="00856BB9">
        <w:t>a</w:t>
      </w:r>
      <w:r w:rsidR="00F85F2C" w:rsidRPr="00856BB9">
        <w:t>; 2018 predvideni proračun. Podatki za obdobje 2005–201</w:t>
      </w:r>
      <w:r w:rsidR="003D2965">
        <w:t>6</w:t>
      </w:r>
      <w:r w:rsidR="00F85F2C" w:rsidRPr="00856BB9">
        <w:t xml:space="preserve"> pa se nanašajo na realizirani proračun.</w:t>
      </w:r>
    </w:p>
    <w:p w:rsidR="00DF3EB7" w:rsidRPr="00DF3EB7" w:rsidRDefault="00DF3EB7" w:rsidP="005C43D4">
      <w:pPr>
        <w:pStyle w:val="Podpispodtabeloaligrafom"/>
      </w:pPr>
      <w:r w:rsidRPr="00DF3EB7">
        <w:rPr>
          <w:vertAlign w:val="superscript"/>
        </w:rPr>
        <w:t>1</w:t>
      </w:r>
      <w:r>
        <w:rPr>
          <w:vertAlign w:val="superscript"/>
        </w:rPr>
        <w:t xml:space="preserve"> </w:t>
      </w:r>
      <w:r>
        <w:t>Sredstva, ki niso integralna</w:t>
      </w:r>
      <w:r w:rsidR="00767449">
        <w:t>,</w:t>
      </w:r>
      <w:r>
        <w:t xml:space="preserve"> so sredstva evropske kohezijske politike oz. t.i. EU sredstva, slovenska udeležba v EU sredstvih in namenska sredstva (npr. sredstva iz </w:t>
      </w:r>
      <w:r w:rsidR="00767449">
        <w:t>evropskih projektov</w:t>
      </w:r>
      <w:r w:rsidR="00BA64A6">
        <w:t xml:space="preserve"> zunaj evropske kohezijske politike).</w:t>
      </w:r>
    </w:p>
    <w:p w:rsidR="00FB6C66" w:rsidRDefault="00FB6C66" w:rsidP="000B2C78"/>
    <w:p w:rsidR="00767449" w:rsidRDefault="00766D8F" w:rsidP="000B2C78">
      <w:r>
        <w:t>Nominaln</w:t>
      </w:r>
      <w:r w:rsidR="00760798">
        <w:t>o</w:t>
      </w:r>
      <w:r>
        <w:t xml:space="preserve"> zviševanj</w:t>
      </w:r>
      <w:r w:rsidR="00760798">
        <w:t>e</w:t>
      </w:r>
      <w:r>
        <w:t xml:space="preserve"> proračuna </w:t>
      </w:r>
      <w:r w:rsidR="00760798">
        <w:t>Ministrstva za kulturo</w:t>
      </w:r>
      <w:r>
        <w:t xml:space="preserve">, pa </w:t>
      </w:r>
      <w:r w:rsidR="00760798">
        <w:t>je</w:t>
      </w:r>
      <w:r>
        <w:t xml:space="preserve">, če ga opazujemo v razmerju do </w:t>
      </w:r>
      <w:r w:rsidR="00760798">
        <w:t xml:space="preserve">državnega proračuna, relativno zniževanje. Namreč, odstotek proračuna Ministrstva za kulturo v državnem proračunu je od leta 1992 naprej zlagoma padal – </w:t>
      </w:r>
      <w:r w:rsidR="00EC13B2">
        <w:t xml:space="preserve">iz </w:t>
      </w:r>
      <w:r w:rsidR="00760798">
        <w:t xml:space="preserve">2,47 % </w:t>
      </w:r>
      <w:r w:rsidR="00EC13B2">
        <w:t>na</w:t>
      </w:r>
      <w:r w:rsidR="00760798">
        <w:t xml:space="preserve"> 1,63 %</w:t>
      </w:r>
      <w:r w:rsidR="00FB6C66">
        <w:t xml:space="preserve"> v letu 2016</w:t>
      </w:r>
      <w:r w:rsidR="00760798">
        <w:t xml:space="preserve">. </w:t>
      </w:r>
      <w:r w:rsidR="00767449" w:rsidRPr="00BD326C">
        <w:t>Nižal (z nekaj nihaji v nasprotno smer) se je tudi odstotek integralnih sredstev na račun sredstev evropske kohezijske politike.</w:t>
      </w:r>
      <w:r w:rsidR="00B83709" w:rsidRPr="00BD326C">
        <w:t xml:space="preserve"> V letih 2014 in 2015, ko je bil najvišji doslej, je bila večina teh sredstev namenjena</w:t>
      </w:r>
      <w:r w:rsidR="001715B3" w:rsidRPr="00BD326C">
        <w:t xml:space="preserve"> </w:t>
      </w:r>
      <w:r w:rsidR="002902C2" w:rsidRPr="00BD326C">
        <w:t xml:space="preserve">področju kulturne dediščine (obnova Narodne galerije, Plečnikove hiše, dvorca </w:t>
      </w:r>
      <w:proofErr w:type="spellStart"/>
      <w:r w:rsidR="002902C2" w:rsidRPr="00BD326C">
        <w:t>Lanthieri</w:t>
      </w:r>
      <w:proofErr w:type="spellEnd"/>
      <w:r w:rsidR="002902C2" w:rsidRPr="00BD326C">
        <w:t xml:space="preserve">, </w:t>
      </w:r>
      <w:r w:rsidR="00FC4140" w:rsidRPr="00BD326C">
        <w:t>Vile Vipolže itd.).</w:t>
      </w:r>
    </w:p>
    <w:p w:rsidR="00EC13B2" w:rsidRDefault="00760798" w:rsidP="000B2C78">
      <w:r>
        <w:t xml:space="preserve">Navedeno ne pomeni nujno, da je kultura vse od osamosvojitve </w:t>
      </w:r>
      <w:r w:rsidR="00FB6C66">
        <w:t xml:space="preserve">Slovenije </w:t>
      </w:r>
      <w:r>
        <w:t xml:space="preserve">naprej izgubljala sredstva, drugi </w:t>
      </w:r>
      <w:r w:rsidR="009461A4">
        <w:t xml:space="preserve">družbeni podsistemi </w:t>
      </w:r>
      <w:r>
        <w:t>pa so se na njen račun krepili</w:t>
      </w:r>
      <w:r w:rsidR="00EC13B2">
        <w:t>, bolj verje</w:t>
      </w:r>
      <w:r w:rsidR="00C02D90">
        <w:t xml:space="preserve">tno je, da je državni proračun, </w:t>
      </w:r>
      <w:r w:rsidR="00EC13B2">
        <w:t>tako kot p</w:t>
      </w:r>
      <w:r w:rsidR="00C02D90">
        <w:t xml:space="preserve">roračun Ministrstva za kulturo, </w:t>
      </w:r>
      <w:r w:rsidR="00EC13B2">
        <w:t xml:space="preserve">prevzemal vedno več obveznosti in financiral vedno večji obseg dejavnosti </w:t>
      </w:r>
      <w:r w:rsidR="009461A4">
        <w:t>ter</w:t>
      </w:r>
      <w:r w:rsidR="00EC13B2">
        <w:t xml:space="preserve"> vse večje število izvajalcev (tudi v zasebnem in ne le v javnem sektorju</w:t>
      </w:r>
      <w:r w:rsidR="00F0619F">
        <w:t>, tudi posameznikov in ne le in</w:t>
      </w:r>
      <w:r w:rsidR="00907C72">
        <w:t>štitucij</w:t>
      </w:r>
      <w:r w:rsidR="00EC13B2">
        <w:t>)</w:t>
      </w:r>
      <w:r w:rsidR="009461A4">
        <w:t xml:space="preserve"> do točke</w:t>
      </w:r>
      <w:r w:rsidR="00EC13B2">
        <w:t xml:space="preserve">, </w:t>
      </w:r>
      <w:r w:rsidR="009461A4">
        <w:t>ko</w:t>
      </w:r>
      <w:r w:rsidR="00EC13B2">
        <w:t xml:space="preserve"> so </w:t>
      </w:r>
      <w:r w:rsidR="009461A4">
        <w:t xml:space="preserve">se </w:t>
      </w:r>
      <w:r w:rsidR="00EC13B2">
        <w:t>sredstva tako zelo razpršila, da jih</w:t>
      </w:r>
      <w:r w:rsidR="003B27D9">
        <w:t xml:space="preserve"> </w:t>
      </w:r>
      <w:proofErr w:type="spellStart"/>
      <w:r w:rsidR="003B27D9">
        <w:t>primakuje</w:t>
      </w:r>
      <w:proofErr w:type="spellEnd"/>
      <w:r w:rsidR="003B27D9">
        <w:t xml:space="preserve"> vsem.</w:t>
      </w:r>
    </w:p>
    <w:p w:rsidR="00EC13B2" w:rsidRDefault="009C4D90" w:rsidP="000B2C78">
      <w:r>
        <w:t xml:space="preserve">Razmerje med državnim proračunom in proračunom Ministrstva za kulturo lahko opazujemo </w:t>
      </w:r>
      <w:r w:rsidR="00687A52">
        <w:t>tudi</w:t>
      </w:r>
      <w:r>
        <w:t xml:space="preserve"> z zornega kota smeri gibanja obeh proračunov – sta naraščala in padala enakomerno ali je eden padal medtem ko je </w:t>
      </w:r>
      <w:r w:rsidR="005329CC">
        <w:t>drugi naraščal? Graf 11</w:t>
      </w:r>
      <w:r>
        <w:t xml:space="preserve"> kaže, da je bila v obdobju </w:t>
      </w:r>
      <w:r w:rsidR="00E471C5">
        <w:t xml:space="preserve">od </w:t>
      </w:r>
      <w:r>
        <w:t xml:space="preserve">1992 do danes </w:t>
      </w:r>
      <w:r w:rsidR="00957E26">
        <w:t>najpogostejša</w:t>
      </w:r>
      <w:r>
        <w:t xml:space="preserve"> situacija</w:t>
      </w:r>
      <w:r w:rsidR="00E471C5">
        <w:t>, da sta se oba proračuna nominalno zvišala, a proračun za kulturo manj od državnega.</w:t>
      </w:r>
    </w:p>
    <w:p w:rsidR="0081309C" w:rsidRDefault="0081309C">
      <w:pPr>
        <w:rPr>
          <w:b/>
        </w:rPr>
      </w:pPr>
      <w:bookmarkStart w:id="110" w:name="_Toc490053355"/>
      <w:bookmarkStart w:id="111" w:name="_Toc490053726"/>
      <w:r>
        <w:br w:type="page"/>
      </w:r>
    </w:p>
    <w:p w:rsidR="00EC13B2" w:rsidRPr="00E471C5" w:rsidRDefault="00E471C5" w:rsidP="00092F0C">
      <w:pPr>
        <w:pStyle w:val="Naslovtabele"/>
      </w:pPr>
      <w:bookmarkStart w:id="112" w:name="_Toc490599998"/>
      <w:r w:rsidRPr="00E471C5">
        <w:lastRenderedPageBreak/>
        <w:t>Graf</w:t>
      </w:r>
      <w:r>
        <w:t xml:space="preserve"> </w:t>
      </w:r>
      <w:r w:rsidR="00834B2E">
        <w:t>11</w:t>
      </w:r>
      <w:r w:rsidRPr="00E471C5">
        <w:t xml:space="preserve">: </w:t>
      </w:r>
      <w:r w:rsidR="006F282B">
        <w:t>Smeri g</w:t>
      </w:r>
      <w:r w:rsidRPr="00E471C5">
        <w:t>ibanj</w:t>
      </w:r>
      <w:r w:rsidR="006F282B">
        <w:t>a</w:t>
      </w:r>
      <w:r w:rsidRPr="00E471C5">
        <w:t xml:space="preserve"> </w:t>
      </w:r>
      <w:r>
        <w:t xml:space="preserve">nominalnih zneskov </w:t>
      </w:r>
      <w:r w:rsidRPr="00E471C5">
        <w:t>proračuna Ministrstva za kulturo</w:t>
      </w:r>
      <w:r w:rsidR="001F086B">
        <w:t xml:space="preserve"> </w:t>
      </w:r>
      <w:r w:rsidR="006F282B">
        <w:t>in državnega proračuna</w:t>
      </w:r>
      <w:r w:rsidR="00C01D75">
        <w:t xml:space="preserve"> (1993–2016)</w:t>
      </w:r>
      <w:bookmarkEnd w:id="110"/>
      <w:bookmarkEnd w:id="111"/>
      <w:bookmarkEnd w:id="112"/>
    </w:p>
    <w:p w:rsidR="00CB5688" w:rsidRDefault="00CB5688" w:rsidP="000B2C78">
      <w:pPr>
        <w:rPr>
          <w:b/>
        </w:rPr>
      </w:pPr>
      <w:r>
        <w:rPr>
          <w:noProof/>
          <w:lang w:eastAsia="sl-SI"/>
        </w:rPr>
        <w:drawing>
          <wp:inline distT="0" distB="0" distL="0" distR="0" wp14:anchorId="5E5D2C78" wp14:editId="377FD960">
            <wp:extent cx="5791835" cy="2082800"/>
            <wp:effectExtent l="0" t="0" r="0" b="0"/>
            <wp:docPr id="11" name="Grafikon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9033A0" w:rsidRPr="0081309C" w:rsidRDefault="0081309C" w:rsidP="0081309C">
      <w:pPr>
        <w:pStyle w:val="Podpispodtabeloaligrafom"/>
      </w:pPr>
      <w:r>
        <w:t>Vir</w:t>
      </w:r>
      <w:r w:rsidR="00E471C5" w:rsidRPr="00E471C5">
        <w:t>: Ministrstvo za kulturo in Bilten javnih financ</w:t>
      </w:r>
      <w:r w:rsidR="001F086B">
        <w:t>.</w:t>
      </w:r>
    </w:p>
    <w:p w:rsidR="0081309C" w:rsidRDefault="0081309C" w:rsidP="009033A0">
      <w:pPr>
        <w:pStyle w:val="Podnaslov3"/>
      </w:pPr>
      <w:bookmarkStart w:id="113" w:name="_Toc489859814"/>
      <w:bookmarkStart w:id="114" w:name="_Toc490047577"/>
    </w:p>
    <w:p w:rsidR="00FE3FB5" w:rsidRDefault="009033A0" w:rsidP="009033A0">
      <w:pPr>
        <w:pStyle w:val="Podnaslov3"/>
      </w:pPr>
      <w:bookmarkStart w:id="115" w:name="_Toc490599942"/>
      <w:bookmarkStart w:id="116" w:name="_Toc506192071"/>
      <w:r>
        <w:t>Struktura po glavnih področjih</w:t>
      </w:r>
      <w:bookmarkEnd w:id="113"/>
      <w:bookmarkEnd w:id="114"/>
      <w:r w:rsidR="003413D3">
        <w:t xml:space="preserve"> kulture</w:t>
      </w:r>
      <w:bookmarkEnd w:id="115"/>
      <w:bookmarkEnd w:id="116"/>
    </w:p>
    <w:p w:rsidR="007026C2" w:rsidRDefault="003F2366" w:rsidP="004352C0">
      <w:r>
        <w:t>Financiranje glavnih področij</w:t>
      </w:r>
      <w:r w:rsidR="00750731">
        <w:t xml:space="preserve"> </w:t>
      </w:r>
      <w:r>
        <w:t>se je v 25-ih letih precej spreminjalo</w:t>
      </w:r>
      <w:r w:rsidR="00693B38">
        <w:t xml:space="preserve">. </w:t>
      </w:r>
      <w:r w:rsidR="00181215">
        <w:t>Obsežne o</w:t>
      </w:r>
      <w:r w:rsidR="00693B38">
        <w:t>pombe po tabelo</w:t>
      </w:r>
      <w:r w:rsidR="008F5A7C">
        <w:t xml:space="preserve"> </w:t>
      </w:r>
      <w:r w:rsidR="00181215">
        <w:t>10</w:t>
      </w:r>
      <w:r w:rsidR="00693B38">
        <w:t xml:space="preserve"> kažejo, da je bilo tako tudi zaradi prenašanja pristojnosti med ministrstvi, združevanja državnih organov, </w:t>
      </w:r>
      <w:r w:rsidR="008F5A7C">
        <w:t>nastajanja</w:t>
      </w:r>
      <w:r w:rsidR="00693B38">
        <w:t xml:space="preserve"> novih področij, posebnih dogodkov (npr. predsedovanje EU, Evropska prestolnica kulture), novih zakonov itn. </w:t>
      </w:r>
      <w:r>
        <w:t xml:space="preserve">Tabela </w:t>
      </w:r>
      <w:r w:rsidR="00181215">
        <w:t>10</w:t>
      </w:r>
      <w:r>
        <w:t xml:space="preserve"> omogoča </w:t>
      </w:r>
      <w:r w:rsidR="006C580F">
        <w:t>različne sklepe</w:t>
      </w:r>
      <w:r>
        <w:t xml:space="preserve"> – lahko opazujemo dinamiko financiranja posameznega področja v obdobju </w:t>
      </w:r>
      <w:r w:rsidRPr="007C1749">
        <w:t>199</w:t>
      </w:r>
      <w:r w:rsidR="00D147C8" w:rsidRPr="007C1749">
        <w:t>2</w:t>
      </w:r>
      <w:r>
        <w:t xml:space="preserve">–2015 in ugotavljamo, koliko je v </w:t>
      </w:r>
      <w:r w:rsidR="00693B38">
        <w:t>poljubnem časovnem intervalu pridobilo ali izgubilo ali pa</w:t>
      </w:r>
      <w:r>
        <w:t xml:space="preserve"> </w:t>
      </w:r>
      <w:r w:rsidR="00693B38">
        <w:t>primerjamo</w:t>
      </w:r>
      <w:r>
        <w:t xml:space="preserve"> razmerja med področji (katero je bilo deležno več in katero manj sredstev</w:t>
      </w:r>
      <w:r w:rsidR="008F5A7C">
        <w:t xml:space="preserve"> v proračunu</w:t>
      </w:r>
      <w:r>
        <w:t>)</w:t>
      </w:r>
      <w:r w:rsidR="00693B38">
        <w:t xml:space="preserve"> v</w:t>
      </w:r>
      <w:r>
        <w:t xml:space="preserve"> različnih časovnih točkah</w:t>
      </w:r>
      <w:r w:rsidR="00693B38">
        <w:t xml:space="preserve">. </w:t>
      </w:r>
      <w:r w:rsidR="006C580F">
        <w:t>Ugotovitve</w:t>
      </w:r>
      <w:r w:rsidR="00693B38">
        <w:t xml:space="preserve"> o </w:t>
      </w:r>
      <w:r w:rsidR="008F5A7C">
        <w:t>boljšem</w:t>
      </w:r>
      <w:r w:rsidR="00693B38">
        <w:t xml:space="preserve"> ali </w:t>
      </w:r>
      <w:r w:rsidR="008F5A7C">
        <w:t>slabšem</w:t>
      </w:r>
      <w:r w:rsidR="00693B38">
        <w:t xml:space="preserve"> </w:t>
      </w:r>
      <w:r w:rsidR="008F5A7C">
        <w:t>f</w:t>
      </w:r>
      <w:r w:rsidR="007026C2">
        <w:t xml:space="preserve">inanciranju </w:t>
      </w:r>
      <w:r w:rsidR="00693B38">
        <w:t xml:space="preserve">področja </w:t>
      </w:r>
      <w:r w:rsidR="006C580F">
        <w:t xml:space="preserve">so </w:t>
      </w:r>
      <w:r w:rsidR="008F5A7C">
        <w:t>v veliko primerih</w:t>
      </w:r>
      <w:r w:rsidR="00693B38">
        <w:t xml:space="preserve"> odvisne od leta ali </w:t>
      </w:r>
      <w:r w:rsidR="006C580F">
        <w:t>zaporedja let</w:t>
      </w:r>
      <w:r w:rsidR="00693B38">
        <w:t xml:space="preserve">, ki </w:t>
      </w:r>
      <w:r w:rsidR="006C580F">
        <w:t>ga izberemo</w:t>
      </w:r>
      <w:r w:rsidR="00583086">
        <w:t xml:space="preserve"> in </w:t>
      </w:r>
      <w:r w:rsidR="004A087D">
        <w:t>tudi od metodoloških razlik</w:t>
      </w:r>
      <w:r w:rsidR="00583086">
        <w:t xml:space="preserve"> v prikazovanju podatkov</w:t>
      </w:r>
      <w:r w:rsidR="006C580F">
        <w:t>.</w:t>
      </w:r>
      <w:r w:rsidR="007026C2">
        <w:t xml:space="preserve"> </w:t>
      </w:r>
      <w:r w:rsidR="008F5A7C">
        <w:t xml:space="preserve">S tem pridržkom </w:t>
      </w:r>
      <w:r w:rsidR="00D704D8">
        <w:t xml:space="preserve">bomo v nadaljevanju primerjali situacijo v prvem letu </w:t>
      </w:r>
      <w:r w:rsidR="00D147C8">
        <w:t>ustanovitve Ministrstva za kulturo</w:t>
      </w:r>
      <w:r w:rsidR="00D704D8">
        <w:t xml:space="preserve"> in </w:t>
      </w:r>
      <w:r w:rsidR="001311FF">
        <w:t xml:space="preserve">v </w:t>
      </w:r>
      <w:r w:rsidR="00D704D8">
        <w:t>zadnje</w:t>
      </w:r>
      <w:r w:rsidR="001311FF">
        <w:t>m</w:t>
      </w:r>
      <w:r w:rsidR="00D704D8">
        <w:t xml:space="preserve"> let</w:t>
      </w:r>
      <w:r w:rsidR="001311FF">
        <w:t>u</w:t>
      </w:r>
      <w:r w:rsidR="00D147C8">
        <w:t>, za katerega</w:t>
      </w:r>
      <w:r w:rsidR="00D704D8">
        <w:t xml:space="preserve"> so na voljo celoviti podatk</w:t>
      </w:r>
      <w:r w:rsidR="004A087D">
        <w:t>i</w:t>
      </w:r>
      <w:r w:rsidR="00D704D8">
        <w:t>.</w:t>
      </w:r>
    </w:p>
    <w:p w:rsidR="00D147C8" w:rsidRDefault="00D147C8" w:rsidP="00D147C8">
      <w:r>
        <w:t xml:space="preserve">Primerjava dinamike financiranja po </w:t>
      </w:r>
      <w:r w:rsidRPr="00D857F2">
        <w:t>po</w:t>
      </w:r>
      <w:r w:rsidR="00CA2762">
        <w:t>dročjih (glej vrstice v tabeli 10 oz. graf 12</w:t>
      </w:r>
      <w:r w:rsidRPr="00D857F2">
        <w:t>)</w:t>
      </w:r>
      <w:r>
        <w:t xml:space="preserve"> pokaže naslednjo sliko: leta 2015 je bilo z vidika strukture proračuna za kulturo namenjenih:</w:t>
      </w:r>
    </w:p>
    <w:p w:rsidR="003D05DF" w:rsidRDefault="00D147C8" w:rsidP="00C41251">
      <w:pPr>
        <w:pStyle w:val="Odstavekseznama"/>
        <w:numPr>
          <w:ilvl w:val="0"/>
          <w:numId w:val="3"/>
        </w:numPr>
      </w:pPr>
      <w:r>
        <w:t>man</w:t>
      </w:r>
      <w:r w:rsidR="00D857F2">
        <w:t>j</w:t>
      </w:r>
      <w:r>
        <w:t xml:space="preserve"> sredstev kot leta </w:t>
      </w:r>
      <w:r w:rsidRPr="00B262CD">
        <w:t>199</w:t>
      </w:r>
      <w:r w:rsidR="001540BD" w:rsidRPr="00B262CD">
        <w:t>2</w:t>
      </w:r>
      <w:r w:rsidRPr="00B262CD">
        <w:t xml:space="preserve"> </w:t>
      </w:r>
      <w:r>
        <w:t xml:space="preserve">za: </w:t>
      </w:r>
    </w:p>
    <w:p w:rsidR="00D147C8" w:rsidRDefault="00D857F2" w:rsidP="00C41251">
      <w:pPr>
        <w:pStyle w:val="Odstavekseznama"/>
        <w:numPr>
          <w:ilvl w:val="1"/>
          <w:numId w:val="3"/>
        </w:numPr>
      </w:pPr>
      <w:r>
        <w:t>glasbo, založništvo,</w:t>
      </w:r>
      <w:r>
        <w:rPr>
          <w:rStyle w:val="Sprotnaopomba-sklic"/>
        </w:rPr>
        <w:footnoteReference w:id="18"/>
      </w:r>
      <w:r>
        <w:t xml:space="preserve"> </w:t>
      </w:r>
      <w:r w:rsidR="001540BD">
        <w:t>varstvo premične kulturne dediščine, mednarodno sodelovanje,</w:t>
      </w:r>
      <w:r w:rsidR="001540BD">
        <w:rPr>
          <w:rStyle w:val="Sprotnaopomba-sklic"/>
        </w:rPr>
        <w:footnoteReference w:id="19"/>
      </w:r>
      <w:r w:rsidR="001540BD">
        <w:t xml:space="preserve"> štipendije ter </w:t>
      </w:r>
      <w:r w:rsidR="00D147C8">
        <w:t>investicije in investicijsko vzdrževanje</w:t>
      </w:r>
      <w:r w:rsidR="001540BD">
        <w:t>;</w:t>
      </w:r>
    </w:p>
    <w:p w:rsidR="003D05DF" w:rsidRDefault="00D147C8" w:rsidP="00C41251">
      <w:pPr>
        <w:pStyle w:val="Odstavekseznama"/>
        <w:numPr>
          <w:ilvl w:val="0"/>
          <w:numId w:val="3"/>
        </w:numPr>
      </w:pPr>
      <w:r>
        <w:t xml:space="preserve">približno enako sredstev kot leta </w:t>
      </w:r>
      <w:r w:rsidRPr="00B262CD">
        <w:t>199</w:t>
      </w:r>
      <w:r w:rsidR="001540BD" w:rsidRPr="00B262CD">
        <w:t>2</w:t>
      </w:r>
      <w:r w:rsidRPr="00B262CD">
        <w:t xml:space="preserve"> </w:t>
      </w:r>
      <w:r>
        <w:t xml:space="preserve">za: </w:t>
      </w:r>
    </w:p>
    <w:p w:rsidR="00D147C8" w:rsidRDefault="00D147C8" w:rsidP="00C41251">
      <w:pPr>
        <w:pStyle w:val="Odstavekseznama"/>
        <w:numPr>
          <w:ilvl w:val="1"/>
          <w:numId w:val="3"/>
        </w:numPr>
      </w:pPr>
      <w:r>
        <w:t>uprizoritvene in vizualne umetnosti;</w:t>
      </w:r>
    </w:p>
    <w:p w:rsidR="003D05DF" w:rsidRDefault="00D147C8" w:rsidP="00C41251">
      <w:pPr>
        <w:pStyle w:val="Odstavekseznama"/>
        <w:numPr>
          <w:ilvl w:val="0"/>
          <w:numId w:val="3"/>
        </w:numPr>
      </w:pPr>
      <w:r>
        <w:t xml:space="preserve">več sredstev kot leta </w:t>
      </w:r>
      <w:r w:rsidRPr="00B262CD">
        <w:t>199</w:t>
      </w:r>
      <w:r w:rsidR="001540BD" w:rsidRPr="00B262CD">
        <w:t>2</w:t>
      </w:r>
      <w:r w:rsidRPr="00B262CD">
        <w:t xml:space="preserve"> </w:t>
      </w:r>
      <w:r>
        <w:t xml:space="preserve">za: </w:t>
      </w:r>
    </w:p>
    <w:p w:rsidR="00D147C8" w:rsidRDefault="00D147C8" w:rsidP="00C41251">
      <w:pPr>
        <w:pStyle w:val="Odstavekseznama"/>
        <w:numPr>
          <w:ilvl w:val="1"/>
          <w:numId w:val="3"/>
        </w:numPr>
      </w:pPr>
      <w:r>
        <w:t>knjižničarstvo, film,</w:t>
      </w:r>
      <w:r>
        <w:rPr>
          <w:rStyle w:val="Sprotnaopomba-sklic"/>
        </w:rPr>
        <w:footnoteReference w:id="20"/>
      </w:r>
      <w:r>
        <w:t xml:space="preserve"> </w:t>
      </w:r>
      <w:r w:rsidR="001540BD">
        <w:t>ljubiteljsko kulturo,</w:t>
      </w:r>
      <w:r w:rsidR="001540BD" w:rsidRPr="001540BD">
        <w:rPr>
          <w:rStyle w:val="Sprotnaopomba-sklic"/>
        </w:rPr>
        <w:t xml:space="preserve"> </w:t>
      </w:r>
      <w:r w:rsidR="001540BD">
        <w:rPr>
          <w:rStyle w:val="Sprotnaopomba-sklic"/>
        </w:rPr>
        <w:footnoteReference w:id="21"/>
      </w:r>
      <w:r w:rsidR="001540BD">
        <w:t xml:space="preserve"> </w:t>
      </w:r>
      <w:r>
        <w:t>varstvo nepremične kulturne dediščine</w:t>
      </w:r>
      <w:r w:rsidR="001540BD">
        <w:t>,</w:t>
      </w:r>
      <w:r w:rsidR="00626BDB">
        <w:rPr>
          <w:rStyle w:val="Sprotnaopomba-sklic"/>
        </w:rPr>
        <w:footnoteReference w:id="22"/>
      </w:r>
      <w:r w:rsidR="001540BD">
        <w:t xml:space="preserve"> manjšinske skupnosti v RS, </w:t>
      </w:r>
      <w:r>
        <w:t>samozaposlene v kulturi</w:t>
      </w:r>
      <w:r w:rsidR="00D857F2">
        <w:t xml:space="preserve"> </w:t>
      </w:r>
      <w:r w:rsidR="001540BD">
        <w:t xml:space="preserve">in </w:t>
      </w:r>
      <w:r w:rsidRPr="00BB4949">
        <w:t>upravni del Ministrstva za</w:t>
      </w:r>
      <w:r>
        <w:t xml:space="preserve"> kulturo</w:t>
      </w:r>
      <w:r w:rsidR="001540BD">
        <w:t>;</w:t>
      </w:r>
      <w:r>
        <w:rPr>
          <w:rStyle w:val="Sprotnaopomba-sklic"/>
        </w:rPr>
        <w:footnoteReference w:id="23"/>
      </w:r>
    </w:p>
    <w:p w:rsidR="00D147C8" w:rsidRDefault="00B262CD" w:rsidP="00C41251">
      <w:pPr>
        <w:pStyle w:val="Odstavekseznama"/>
        <w:numPr>
          <w:ilvl w:val="0"/>
          <w:numId w:val="3"/>
        </w:numPr>
      </w:pPr>
      <w:r>
        <w:lastRenderedPageBreak/>
        <w:t xml:space="preserve">medije in </w:t>
      </w:r>
      <w:proofErr w:type="spellStart"/>
      <w:r>
        <w:t>intermedijske</w:t>
      </w:r>
      <w:proofErr w:type="spellEnd"/>
      <w:r>
        <w:t xml:space="preserve"> umetnosti se je kot posebni področji</w:t>
      </w:r>
      <w:r w:rsidR="00D147C8">
        <w:t xml:space="preserve"> začelo financirati </w:t>
      </w:r>
      <w:r>
        <w:t xml:space="preserve">na Ministrstvu za kulturo </w:t>
      </w:r>
      <w:r w:rsidR="00D147C8">
        <w:t xml:space="preserve">leta 2002 oz. leta 2003. Sredstva za </w:t>
      </w:r>
      <w:r>
        <w:t xml:space="preserve">medije so se od takrat povečala, za </w:t>
      </w:r>
      <w:proofErr w:type="spellStart"/>
      <w:r>
        <w:t>intermedijske</w:t>
      </w:r>
      <w:proofErr w:type="spellEnd"/>
      <w:r>
        <w:t xml:space="preserve"> umetnosti</w:t>
      </w:r>
      <w:r w:rsidR="001540BD">
        <w:t xml:space="preserve"> </w:t>
      </w:r>
      <w:r>
        <w:t>pa so na enaki ravni.</w:t>
      </w:r>
    </w:p>
    <w:p w:rsidR="0096091A" w:rsidRDefault="0096091A" w:rsidP="0096091A">
      <w:pPr>
        <w:pStyle w:val="Odstavekseznama"/>
      </w:pPr>
    </w:p>
    <w:p w:rsidR="0096091A" w:rsidRDefault="0096091A" w:rsidP="0096091A">
      <w:pPr>
        <w:pStyle w:val="Odstavekseznama"/>
        <w:sectPr w:rsidR="0096091A" w:rsidSect="00EB5851">
          <w:footerReference w:type="default" r:id="rId21"/>
          <w:pgSz w:w="11900" w:h="16820" w:code="9"/>
          <w:pgMar w:top="1440" w:right="1080" w:bottom="1440" w:left="1080" w:header="709" w:footer="709" w:gutter="0"/>
          <w:cols w:space="708"/>
          <w:docGrid w:linePitch="360"/>
        </w:sectPr>
      </w:pPr>
    </w:p>
    <w:p w:rsidR="00042359" w:rsidRDefault="0044718A" w:rsidP="009942DB">
      <w:pPr>
        <w:pStyle w:val="Naslovtabele"/>
      </w:pPr>
      <w:bookmarkStart w:id="117" w:name="_Toc477339480"/>
      <w:bookmarkStart w:id="118" w:name="_Toc477339736"/>
      <w:bookmarkStart w:id="119" w:name="_Toc477339904"/>
      <w:bookmarkStart w:id="120" w:name="_Toc490053356"/>
      <w:bookmarkStart w:id="121" w:name="_Toc490053727"/>
      <w:bookmarkStart w:id="122" w:name="_Toc490599999"/>
      <w:r>
        <w:lastRenderedPageBreak/>
        <w:t>Tabela 10</w:t>
      </w:r>
      <w:r w:rsidR="00042359">
        <w:t>: Struktura proračuna Ministrstva za kulturo po glavnih področjih</w:t>
      </w:r>
      <w:r w:rsidR="006F282B">
        <w:t xml:space="preserve"> </w:t>
      </w:r>
      <w:r w:rsidR="00042359">
        <w:t>(</w:t>
      </w:r>
      <w:r w:rsidR="00042359" w:rsidRPr="00644D82">
        <w:t>199</w:t>
      </w:r>
      <w:r w:rsidR="00644D82" w:rsidRPr="00644D82">
        <w:t>2</w:t>
      </w:r>
      <w:r w:rsidR="00042359">
        <w:t>–2015</w:t>
      </w:r>
      <w:bookmarkEnd w:id="117"/>
      <w:bookmarkEnd w:id="118"/>
      <w:bookmarkEnd w:id="119"/>
      <w:r w:rsidR="00042359">
        <w:t>)</w:t>
      </w:r>
      <w:bookmarkEnd w:id="120"/>
      <w:bookmarkEnd w:id="121"/>
      <w:bookmarkEnd w:id="122"/>
    </w:p>
    <w:tbl>
      <w:tblPr>
        <w:tblW w:w="5000" w:type="pct"/>
        <w:tblLook w:val="04A0" w:firstRow="1" w:lastRow="0" w:firstColumn="1" w:lastColumn="0" w:noHBand="0" w:noVBand="1"/>
      </w:tblPr>
      <w:tblGrid>
        <w:gridCol w:w="2387"/>
        <w:gridCol w:w="553"/>
        <w:gridCol w:w="552"/>
        <w:gridCol w:w="552"/>
        <w:gridCol w:w="552"/>
        <w:gridCol w:w="552"/>
        <w:gridCol w:w="552"/>
        <w:gridCol w:w="552"/>
        <w:gridCol w:w="552"/>
        <w:gridCol w:w="552"/>
        <w:gridCol w:w="552"/>
        <w:gridCol w:w="552"/>
        <w:gridCol w:w="552"/>
        <w:gridCol w:w="552"/>
        <w:gridCol w:w="552"/>
        <w:gridCol w:w="552"/>
        <w:gridCol w:w="552"/>
        <w:gridCol w:w="552"/>
        <w:gridCol w:w="552"/>
        <w:gridCol w:w="552"/>
        <w:gridCol w:w="552"/>
        <w:gridCol w:w="552"/>
        <w:gridCol w:w="552"/>
        <w:gridCol w:w="552"/>
        <w:gridCol w:w="512"/>
      </w:tblGrid>
      <w:tr w:rsidR="00F119AA" w:rsidRPr="00F119AA" w:rsidTr="006F282B">
        <w:trPr>
          <w:trHeight w:val="437"/>
          <w:tblHeader/>
        </w:trPr>
        <w:tc>
          <w:tcPr>
            <w:tcW w:w="765" w:type="pct"/>
            <w:tcBorders>
              <w:top w:val="single" w:sz="8" w:space="0" w:color="9BBB59"/>
              <w:left w:val="single" w:sz="8" w:space="0" w:color="9BBB59"/>
              <w:bottom w:val="nil"/>
              <w:right w:val="nil"/>
            </w:tcBorders>
            <w:shd w:val="clear" w:color="000000" w:fill="9BBB59"/>
            <w:noWrap/>
            <w:vAlign w:val="bottom"/>
            <w:hideMark/>
          </w:tcPr>
          <w:p w:rsidR="00F119AA" w:rsidRPr="00F119AA" w:rsidRDefault="00F119AA" w:rsidP="00644D82">
            <w:pPr>
              <w:spacing w:after="0" w:line="240" w:lineRule="auto"/>
              <w:rPr>
                <w:rFonts w:ascii="Arial Narrow" w:hAnsi="Arial Narrow" w:cs="ArialMT"/>
                <w:b/>
                <w:bCs/>
                <w:color w:val="FFFFFF"/>
                <w:sz w:val="16"/>
                <w:szCs w:val="16"/>
                <w:lang w:val="en-GB" w:eastAsia="en-GB"/>
              </w:rPr>
            </w:pPr>
            <w:r w:rsidRPr="00F119AA">
              <w:rPr>
                <w:rFonts w:ascii="Arial Narrow" w:hAnsi="Arial Narrow" w:cs="ArialMT"/>
                <w:b/>
                <w:bCs/>
                <w:color w:val="FFFFFF" w:themeColor="background1"/>
                <w:sz w:val="16"/>
                <w:szCs w:val="16"/>
                <w:lang w:eastAsia="en-GB"/>
              </w:rPr>
              <w:t>Glavna področja</w:t>
            </w:r>
          </w:p>
        </w:tc>
        <w:tc>
          <w:tcPr>
            <w:tcW w:w="177" w:type="pct"/>
            <w:tcBorders>
              <w:top w:val="single" w:sz="8" w:space="0" w:color="9BBB59"/>
              <w:left w:val="nil"/>
              <w:bottom w:val="nil"/>
              <w:right w:val="nil"/>
            </w:tcBorders>
            <w:shd w:val="clear" w:color="000000" w:fill="9BBB59"/>
            <w:noWrap/>
            <w:textDirection w:val="btLr"/>
            <w:hideMark/>
          </w:tcPr>
          <w:p w:rsidR="00F119AA" w:rsidRPr="00F119AA" w:rsidRDefault="00F119AA" w:rsidP="00644D82">
            <w:pPr>
              <w:spacing w:after="0" w:line="240" w:lineRule="auto"/>
              <w:rPr>
                <w:rFonts w:ascii="Arial Narrow" w:hAnsi="Arial Narrow" w:cs="ArialMT"/>
                <w:b/>
                <w:bCs/>
                <w:color w:val="FFFFFF"/>
                <w:sz w:val="16"/>
                <w:szCs w:val="16"/>
                <w:lang w:val="en-GB" w:eastAsia="en-GB"/>
              </w:rPr>
            </w:pPr>
            <w:r w:rsidRPr="00F119AA">
              <w:rPr>
                <w:rFonts w:ascii="Arial Narrow" w:hAnsi="Arial Narrow" w:cs="ArialMT"/>
                <w:b/>
                <w:bCs/>
                <w:color w:val="FFFFFF" w:themeColor="background1"/>
                <w:sz w:val="16"/>
                <w:szCs w:val="16"/>
                <w:lang w:eastAsia="en-GB"/>
              </w:rPr>
              <w:t>1992</w:t>
            </w:r>
          </w:p>
        </w:tc>
        <w:tc>
          <w:tcPr>
            <w:tcW w:w="177" w:type="pct"/>
            <w:tcBorders>
              <w:top w:val="single" w:sz="8" w:space="0" w:color="9BBB59"/>
              <w:left w:val="nil"/>
              <w:bottom w:val="nil"/>
              <w:right w:val="nil"/>
            </w:tcBorders>
            <w:shd w:val="clear" w:color="000000" w:fill="9BBB59"/>
            <w:noWrap/>
            <w:textDirection w:val="btLr"/>
            <w:hideMark/>
          </w:tcPr>
          <w:p w:rsidR="00F119AA" w:rsidRPr="00F119AA" w:rsidRDefault="00F119AA" w:rsidP="00644D82">
            <w:pPr>
              <w:spacing w:after="0" w:line="240" w:lineRule="auto"/>
              <w:rPr>
                <w:rFonts w:ascii="Arial Narrow" w:hAnsi="Arial Narrow" w:cs="ArialMT"/>
                <w:b/>
                <w:bCs/>
                <w:color w:val="FFFFFF"/>
                <w:sz w:val="16"/>
                <w:szCs w:val="16"/>
                <w:lang w:val="en-GB" w:eastAsia="en-GB"/>
              </w:rPr>
            </w:pPr>
            <w:r w:rsidRPr="00F119AA">
              <w:rPr>
                <w:rFonts w:ascii="Arial Narrow" w:hAnsi="Arial Narrow" w:cs="ArialMT"/>
                <w:b/>
                <w:bCs/>
                <w:color w:val="FFFFFF" w:themeColor="background1"/>
                <w:sz w:val="16"/>
                <w:szCs w:val="16"/>
                <w:lang w:eastAsia="en-GB"/>
              </w:rPr>
              <w:t>1993</w:t>
            </w:r>
          </w:p>
        </w:tc>
        <w:tc>
          <w:tcPr>
            <w:tcW w:w="177" w:type="pct"/>
            <w:tcBorders>
              <w:top w:val="single" w:sz="8" w:space="0" w:color="9BBB59"/>
              <w:left w:val="nil"/>
              <w:bottom w:val="nil"/>
              <w:right w:val="nil"/>
            </w:tcBorders>
            <w:shd w:val="clear" w:color="000000" w:fill="9BBB59"/>
            <w:noWrap/>
            <w:textDirection w:val="btLr"/>
            <w:hideMark/>
          </w:tcPr>
          <w:p w:rsidR="00F119AA" w:rsidRPr="00F119AA" w:rsidRDefault="00F119AA" w:rsidP="00644D82">
            <w:pPr>
              <w:spacing w:after="0" w:line="240" w:lineRule="auto"/>
              <w:rPr>
                <w:rFonts w:ascii="Arial Narrow" w:hAnsi="Arial Narrow" w:cs="ArialMT"/>
                <w:b/>
                <w:bCs/>
                <w:color w:val="FFFFFF"/>
                <w:sz w:val="16"/>
                <w:szCs w:val="16"/>
                <w:lang w:val="en-GB" w:eastAsia="en-GB"/>
              </w:rPr>
            </w:pPr>
            <w:r w:rsidRPr="00F119AA">
              <w:rPr>
                <w:rFonts w:ascii="Arial Narrow" w:hAnsi="Arial Narrow" w:cs="ArialMT"/>
                <w:b/>
                <w:bCs/>
                <w:color w:val="FFFFFF" w:themeColor="background1"/>
                <w:sz w:val="16"/>
                <w:szCs w:val="16"/>
                <w:lang w:eastAsia="en-GB"/>
              </w:rPr>
              <w:t>1994</w:t>
            </w:r>
          </w:p>
        </w:tc>
        <w:tc>
          <w:tcPr>
            <w:tcW w:w="177" w:type="pct"/>
            <w:tcBorders>
              <w:top w:val="single" w:sz="8" w:space="0" w:color="9BBB59"/>
              <w:left w:val="nil"/>
              <w:bottom w:val="nil"/>
              <w:right w:val="nil"/>
            </w:tcBorders>
            <w:shd w:val="clear" w:color="000000" w:fill="9BBB59"/>
            <w:noWrap/>
            <w:textDirection w:val="btLr"/>
            <w:hideMark/>
          </w:tcPr>
          <w:p w:rsidR="00F119AA" w:rsidRPr="00F119AA" w:rsidRDefault="00F119AA" w:rsidP="00644D82">
            <w:pPr>
              <w:spacing w:after="0" w:line="240" w:lineRule="auto"/>
              <w:rPr>
                <w:rFonts w:ascii="Arial Narrow" w:hAnsi="Arial Narrow" w:cs="ArialMT"/>
                <w:b/>
                <w:bCs/>
                <w:color w:val="FFFFFF"/>
                <w:sz w:val="16"/>
                <w:szCs w:val="16"/>
                <w:lang w:val="en-GB" w:eastAsia="en-GB"/>
              </w:rPr>
            </w:pPr>
            <w:r w:rsidRPr="00F119AA">
              <w:rPr>
                <w:rFonts w:ascii="Arial Narrow" w:hAnsi="Arial Narrow" w:cs="ArialMT"/>
                <w:b/>
                <w:bCs/>
                <w:color w:val="FFFFFF" w:themeColor="background1"/>
                <w:sz w:val="16"/>
                <w:szCs w:val="16"/>
                <w:lang w:eastAsia="en-GB"/>
              </w:rPr>
              <w:t>1995</w:t>
            </w:r>
          </w:p>
        </w:tc>
        <w:tc>
          <w:tcPr>
            <w:tcW w:w="177" w:type="pct"/>
            <w:tcBorders>
              <w:top w:val="single" w:sz="8" w:space="0" w:color="9BBB59"/>
              <w:left w:val="nil"/>
              <w:bottom w:val="nil"/>
              <w:right w:val="nil"/>
            </w:tcBorders>
            <w:shd w:val="clear" w:color="000000" w:fill="9BBB59"/>
            <w:noWrap/>
            <w:textDirection w:val="btLr"/>
            <w:hideMark/>
          </w:tcPr>
          <w:p w:rsidR="00F119AA" w:rsidRPr="00F119AA" w:rsidRDefault="00F119AA" w:rsidP="00644D82">
            <w:pPr>
              <w:spacing w:after="0" w:line="240" w:lineRule="auto"/>
              <w:rPr>
                <w:rFonts w:ascii="Arial Narrow" w:hAnsi="Arial Narrow" w:cs="ArialMT"/>
                <w:b/>
                <w:bCs/>
                <w:color w:val="FFFFFF"/>
                <w:sz w:val="16"/>
                <w:szCs w:val="16"/>
                <w:lang w:val="en-GB" w:eastAsia="en-GB"/>
              </w:rPr>
            </w:pPr>
            <w:r w:rsidRPr="00F119AA">
              <w:rPr>
                <w:rFonts w:ascii="Arial Narrow" w:hAnsi="Arial Narrow" w:cs="ArialMT"/>
                <w:b/>
                <w:bCs/>
                <w:color w:val="FFFFFF" w:themeColor="background1"/>
                <w:sz w:val="16"/>
                <w:szCs w:val="16"/>
                <w:lang w:eastAsia="en-GB"/>
              </w:rPr>
              <w:t>1996</w:t>
            </w:r>
          </w:p>
        </w:tc>
        <w:tc>
          <w:tcPr>
            <w:tcW w:w="177" w:type="pct"/>
            <w:tcBorders>
              <w:top w:val="single" w:sz="8" w:space="0" w:color="9BBB59"/>
              <w:left w:val="nil"/>
              <w:bottom w:val="nil"/>
              <w:right w:val="nil"/>
            </w:tcBorders>
            <w:shd w:val="clear" w:color="000000" w:fill="9BBB59"/>
            <w:noWrap/>
            <w:textDirection w:val="btLr"/>
            <w:hideMark/>
          </w:tcPr>
          <w:p w:rsidR="00F119AA" w:rsidRPr="00F119AA" w:rsidRDefault="00F119AA" w:rsidP="00644D82">
            <w:pPr>
              <w:spacing w:after="0" w:line="240" w:lineRule="auto"/>
              <w:rPr>
                <w:rFonts w:ascii="Arial Narrow" w:hAnsi="Arial Narrow" w:cs="ArialMT"/>
                <w:b/>
                <w:bCs/>
                <w:color w:val="FFFFFF"/>
                <w:sz w:val="16"/>
                <w:szCs w:val="16"/>
                <w:lang w:val="en-GB" w:eastAsia="en-GB"/>
              </w:rPr>
            </w:pPr>
            <w:r w:rsidRPr="00F119AA">
              <w:rPr>
                <w:rFonts w:ascii="Arial Narrow" w:hAnsi="Arial Narrow" w:cs="ArialMT"/>
                <w:b/>
                <w:bCs/>
                <w:color w:val="FFFFFF" w:themeColor="background1"/>
                <w:sz w:val="16"/>
                <w:szCs w:val="16"/>
                <w:lang w:eastAsia="en-GB"/>
              </w:rPr>
              <w:t>1997</w:t>
            </w:r>
          </w:p>
        </w:tc>
        <w:tc>
          <w:tcPr>
            <w:tcW w:w="177" w:type="pct"/>
            <w:tcBorders>
              <w:top w:val="single" w:sz="8" w:space="0" w:color="9BBB59"/>
              <w:left w:val="nil"/>
              <w:bottom w:val="nil"/>
              <w:right w:val="nil"/>
            </w:tcBorders>
            <w:shd w:val="clear" w:color="000000" w:fill="9BBB59"/>
            <w:noWrap/>
            <w:textDirection w:val="btLr"/>
            <w:hideMark/>
          </w:tcPr>
          <w:p w:rsidR="00F119AA" w:rsidRPr="00F119AA" w:rsidRDefault="00F119AA" w:rsidP="00644D82">
            <w:pPr>
              <w:spacing w:after="0" w:line="240" w:lineRule="auto"/>
              <w:rPr>
                <w:rFonts w:ascii="Arial Narrow" w:hAnsi="Arial Narrow" w:cs="ArialMT"/>
                <w:b/>
                <w:bCs/>
                <w:color w:val="FFFFFF"/>
                <w:sz w:val="16"/>
                <w:szCs w:val="16"/>
                <w:lang w:val="en-GB" w:eastAsia="en-GB"/>
              </w:rPr>
            </w:pPr>
            <w:r w:rsidRPr="00F119AA">
              <w:rPr>
                <w:rFonts w:ascii="Arial Narrow" w:hAnsi="Arial Narrow" w:cs="ArialMT"/>
                <w:b/>
                <w:bCs/>
                <w:color w:val="FFFFFF" w:themeColor="background1"/>
                <w:sz w:val="16"/>
                <w:szCs w:val="16"/>
                <w:lang w:eastAsia="en-GB"/>
              </w:rPr>
              <w:t>1998</w:t>
            </w:r>
          </w:p>
        </w:tc>
        <w:tc>
          <w:tcPr>
            <w:tcW w:w="177" w:type="pct"/>
            <w:tcBorders>
              <w:top w:val="single" w:sz="8" w:space="0" w:color="9BBB59"/>
              <w:left w:val="nil"/>
              <w:bottom w:val="nil"/>
              <w:right w:val="nil"/>
            </w:tcBorders>
            <w:shd w:val="clear" w:color="000000" w:fill="9BBB59"/>
            <w:noWrap/>
            <w:textDirection w:val="btLr"/>
            <w:hideMark/>
          </w:tcPr>
          <w:p w:rsidR="00F119AA" w:rsidRPr="00F119AA" w:rsidRDefault="00F119AA" w:rsidP="00644D82">
            <w:pPr>
              <w:spacing w:after="0" w:line="240" w:lineRule="auto"/>
              <w:rPr>
                <w:rFonts w:ascii="Arial Narrow" w:hAnsi="Arial Narrow" w:cs="ArialMT"/>
                <w:b/>
                <w:bCs/>
                <w:color w:val="FFFFFF"/>
                <w:sz w:val="16"/>
                <w:szCs w:val="16"/>
                <w:lang w:val="en-GB" w:eastAsia="en-GB"/>
              </w:rPr>
            </w:pPr>
            <w:r w:rsidRPr="00F119AA">
              <w:rPr>
                <w:rFonts w:ascii="Arial Narrow" w:hAnsi="Arial Narrow" w:cs="ArialMT"/>
                <w:b/>
                <w:bCs/>
                <w:color w:val="FFFFFF" w:themeColor="background1"/>
                <w:sz w:val="16"/>
                <w:szCs w:val="16"/>
                <w:lang w:eastAsia="en-GB"/>
              </w:rPr>
              <w:t>1999</w:t>
            </w:r>
            <w:r w:rsidRPr="00F119AA">
              <w:rPr>
                <w:rFonts w:ascii="Arial Narrow" w:hAnsi="Arial Narrow" w:cs="ArialMT"/>
                <w:b/>
                <w:bCs/>
                <w:color w:val="FFFFFF" w:themeColor="background1"/>
                <w:sz w:val="16"/>
                <w:szCs w:val="16"/>
                <w:vertAlign w:val="superscript"/>
                <w:lang w:eastAsia="en-GB"/>
              </w:rPr>
              <w:t>3</w:t>
            </w:r>
          </w:p>
        </w:tc>
        <w:tc>
          <w:tcPr>
            <w:tcW w:w="177" w:type="pct"/>
            <w:tcBorders>
              <w:top w:val="single" w:sz="8" w:space="0" w:color="9BBB59"/>
              <w:left w:val="nil"/>
              <w:bottom w:val="nil"/>
              <w:right w:val="nil"/>
            </w:tcBorders>
            <w:shd w:val="clear" w:color="000000" w:fill="9BBB59"/>
            <w:noWrap/>
            <w:textDirection w:val="btLr"/>
            <w:hideMark/>
          </w:tcPr>
          <w:p w:rsidR="00F119AA" w:rsidRPr="00F119AA" w:rsidRDefault="00F119AA" w:rsidP="00644D82">
            <w:pPr>
              <w:spacing w:after="0" w:line="240" w:lineRule="auto"/>
              <w:rPr>
                <w:rFonts w:ascii="Arial Narrow" w:hAnsi="Arial Narrow" w:cs="ArialMT"/>
                <w:b/>
                <w:bCs/>
                <w:color w:val="FFFFFF"/>
                <w:sz w:val="16"/>
                <w:szCs w:val="16"/>
                <w:lang w:val="en-GB" w:eastAsia="en-GB"/>
              </w:rPr>
            </w:pPr>
            <w:r w:rsidRPr="00F119AA">
              <w:rPr>
                <w:rFonts w:ascii="Arial Narrow" w:hAnsi="Arial Narrow" w:cs="ArialMT"/>
                <w:b/>
                <w:bCs/>
                <w:color w:val="FFFFFF" w:themeColor="background1"/>
                <w:sz w:val="16"/>
                <w:szCs w:val="16"/>
                <w:lang w:eastAsia="en-GB"/>
              </w:rPr>
              <w:t>2000</w:t>
            </w:r>
            <w:r w:rsidRPr="00F119AA">
              <w:rPr>
                <w:rFonts w:ascii="Arial Narrow" w:hAnsi="Arial Narrow" w:cs="ArialMT"/>
                <w:b/>
                <w:bCs/>
                <w:color w:val="FFFFFF" w:themeColor="background1"/>
                <w:sz w:val="16"/>
                <w:szCs w:val="16"/>
                <w:vertAlign w:val="superscript"/>
                <w:lang w:eastAsia="en-GB"/>
              </w:rPr>
              <w:t>5</w:t>
            </w:r>
          </w:p>
        </w:tc>
        <w:tc>
          <w:tcPr>
            <w:tcW w:w="177" w:type="pct"/>
            <w:tcBorders>
              <w:top w:val="single" w:sz="8" w:space="0" w:color="9BBB59"/>
              <w:left w:val="nil"/>
              <w:bottom w:val="nil"/>
              <w:right w:val="nil"/>
            </w:tcBorders>
            <w:shd w:val="clear" w:color="000000" w:fill="9BBB59"/>
            <w:noWrap/>
            <w:textDirection w:val="btLr"/>
            <w:hideMark/>
          </w:tcPr>
          <w:p w:rsidR="00F119AA" w:rsidRPr="00F119AA" w:rsidRDefault="00F119AA" w:rsidP="00644D82">
            <w:pPr>
              <w:spacing w:after="0" w:line="240" w:lineRule="auto"/>
              <w:rPr>
                <w:rFonts w:ascii="Arial Narrow" w:hAnsi="Arial Narrow" w:cs="ArialMT"/>
                <w:b/>
                <w:bCs/>
                <w:color w:val="FFFFFF"/>
                <w:sz w:val="16"/>
                <w:szCs w:val="16"/>
                <w:lang w:val="en-GB" w:eastAsia="en-GB"/>
              </w:rPr>
            </w:pPr>
            <w:r w:rsidRPr="00F119AA">
              <w:rPr>
                <w:rFonts w:ascii="Arial Narrow" w:hAnsi="Arial Narrow" w:cs="ArialMT"/>
                <w:b/>
                <w:bCs/>
                <w:color w:val="FFFFFF" w:themeColor="background1"/>
                <w:sz w:val="16"/>
                <w:szCs w:val="16"/>
                <w:lang w:eastAsia="en-GB"/>
              </w:rPr>
              <w:t>2001</w:t>
            </w:r>
          </w:p>
        </w:tc>
        <w:tc>
          <w:tcPr>
            <w:tcW w:w="177" w:type="pct"/>
            <w:tcBorders>
              <w:top w:val="single" w:sz="8" w:space="0" w:color="9BBB59"/>
              <w:left w:val="nil"/>
              <w:bottom w:val="nil"/>
              <w:right w:val="nil"/>
            </w:tcBorders>
            <w:shd w:val="clear" w:color="000000" w:fill="9BBB59"/>
            <w:noWrap/>
            <w:textDirection w:val="btLr"/>
            <w:hideMark/>
          </w:tcPr>
          <w:p w:rsidR="00F119AA" w:rsidRPr="00F119AA" w:rsidRDefault="00F119AA" w:rsidP="00644D82">
            <w:pPr>
              <w:spacing w:after="0" w:line="240" w:lineRule="auto"/>
              <w:rPr>
                <w:rFonts w:ascii="Arial Narrow" w:hAnsi="Arial Narrow" w:cs="ArialMT"/>
                <w:b/>
                <w:bCs/>
                <w:color w:val="FFFFFF"/>
                <w:sz w:val="16"/>
                <w:szCs w:val="16"/>
                <w:lang w:val="en-GB" w:eastAsia="en-GB"/>
              </w:rPr>
            </w:pPr>
            <w:r w:rsidRPr="00F119AA">
              <w:rPr>
                <w:rFonts w:ascii="Arial Narrow" w:hAnsi="Arial Narrow" w:cs="ArialMT"/>
                <w:b/>
                <w:bCs/>
                <w:color w:val="FFFFFF" w:themeColor="background1"/>
                <w:sz w:val="16"/>
                <w:szCs w:val="16"/>
                <w:lang w:eastAsia="en-GB"/>
              </w:rPr>
              <w:t>2002</w:t>
            </w:r>
          </w:p>
        </w:tc>
        <w:tc>
          <w:tcPr>
            <w:tcW w:w="177" w:type="pct"/>
            <w:tcBorders>
              <w:top w:val="single" w:sz="8" w:space="0" w:color="9BBB59"/>
              <w:left w:val="nil"/>
              <w:bottom w:val="nil"/>
              <w:right w:val="nil"/>
            </w:tcBorders>
            <w:shd w:val="clear" w:color="000000" w:fill="9BBB59"/>
            <w:noWrap/>
            <w:textDirection w:val="btLr"/>
            <w:hideMark/>
          </w:tcPr>
          <w:p w:rsidR="00F119AA" w:rsidRPr="00F119AA" w:rsidRDefault="00F119AA" w:rsidP="00644D82">
            <w:pPr>
              <w:spacing w:after="0" w:line="240" w:lineRule="auto"/>
              <w:rPr>
                <w:rFonts w:ascii="Arial Narrow" w:hAnsi="Arial Narrow" w:cs="ArialMT"/>
                <w:b/>
                <w:bCs/>
                <w:color w:val="FFFFFF"/>
                <w:sz w:val="16"/>
                <w:szCs w:val="16"/>
                <w:lang w:val="en-GB" w:eastAsia="en-GB"/>
              </w:rPr>
            </w:pPr>
            <w:r w:rsidRPr="00F119AA">
              <w:rPr>
                <w:rFonts w:ascii="Arial Narrow" w:hAnsi="Arial Narrow" w:cs="ArialMT"/>
                <w:b/>
                <w:bCs/>
                <w:color w:val="FFFFFF" w:themeColor="background1"/>
                <w:sz w:val="16"/>
                <w:szCs w:val="16"/>
                <w:lang w:eastAsia="en-GB"/>
              </w:rPr>
              <w:t>2003</w:t>
            </w:r>
          </w:p>
        </w:tc>
        <w:tc>
          <w:tcPr>
            <w:tcW w:w="177" w:type="pct"/>
            <w:tcBorders>
              <w:top w:val="single" w:sz="8" w:space="0" w:color="9BBB59"/>
              <w:left w:val="nil"/>
              <w:bottom w:val="nil"/>
              <w:right w:val="nil"/>
            </w:tcBorders>
            <w:shd w:val="clear" w:color="000000" w:fill="9BBB59"/>
            <w:noWrap/>
            <w:textDirection w:val="btLr"/>
            <w:hideMark/>
          </w:tcPr>
          <w:p w:rsidR="00F119AA" w:rsidRPr="00F119AA" w:rsidRDefault="00F119AA" w:rsidP="00644D82">
            <w:pPr>
              <w:spacing w:after="0" w:line="240" w:lineRule="auto"/>
              <w:rPr>
                <w:rFonts w:ascii="Arial Narrow" w:hAnsi="Arial Narrow" w:cs="ArialMT"/>
                <w:b/>
                <w:bCs/>
                <w:color w:val="FFFFFF"/>
                <w:sz w:val="16"/>
                <w:szCs w:val="16"/>
                <w:lang w:val="en-GB" w:eastAsia="en-GB"/>
              </w:rPr>
            </w:pPr>
            <w:r w:rsidRPr="00F119AA">
              <w:rPr>
                <w:rFonts w:ascii="Arial Narrow" w:hAnsi="Arial Narrow" w:cs="ArialMT"/>
                <w:b/>
                <w:bCs/>
                <w:color w:val="FFFFFF" w:themeColor="background1"/>
                <w:sz w:val="16"/>
                <w:szCs w:val="16"/>
                <w:lang w:eastAsia="en-GB"/>
              </w:rPr>
              <w:t>2004</w:t>
            </w:r>
            <w:r w:rsidRPr="00F119AA">
              <w:rPr>
                <w:rFonts w:ascii="Arial Narrow" w:hAnsi="Arial Narrow" w:cs="ArialMT"/>
                <w:b/>
                <w:bCs/>
                <w:color w:val="FFFFFF" w:themeColor="background1"/>
                <w:sz w:val="16"/>
                <w:szCs w:val="16"/>
                <w:vertAlign w:val="superscript"/>
                <w:lang w:eastAsia="en-GB"/>
              </w:rPr>
              <w:t>9</w:t>
            </w:r>
          </w:p>
        </w:tc>
        <w:tc>
          <w:tcPr>
            <w:tcW w:w="177" w:type="pct"/>
            <w:tcBorders>
              <w:top w:val="single" w:sz="8" w:space="0" w:color="9BBB59"/>
              <w:left w:val="nil"/>
              <w:bottom w:val="nil"/>
              <w:right w:val="nil"/>
            </w:tcBorders>
            <w:shd w:val="clear" w:color="000000" w:fill="9BBB59"/>
            <w:noWrap/>
            <w:textDirection w:val="btLr"/>
            <w:hideMark/>
          </w:tcPr>
          <w:p w:rsidR="00F119AA" w:rsidRPr="00F119AA" w:rsidRDefault="00F119AA" w:rsidP="00644D82">
            <w:pPr>
              <w:spacing w:after="0" w:line="240" w:lineRule="auto"/>
              <w:rPr>
                <w:rFonts w:ascii="Arial Narrow" w:hAnsi="Arial Narrow" w:cs="ArialMT"/>
                <w:b/>
                <w:bCs/>
                <w:color w:val="FFFFFF"/>
                <w:sz w:val="16"/>
                <w:szCs w:val="16"/>
                <w:lang w:val="en-GB" w:eastAsia="en-GB"/>
              </w:rPr>
            </w:pPr>
            <w:r w:rsidRPr="00F119AA">
              <w:rPr>
                <w:rFonts w:ascii="Arial Narrow" w:hAnsi="Arial Narrow" w:cs="ArialMT"/>
                <w:b/>
                <w:bCs/>
                <w:color w:val="FFFFFF" w:themeColor="background1"/>
                <w:sz w:val="16"/>
                <w:szCs w:val="16"/>
                <w:lang w:eastAsia="en-GB"/>
              </w:rPr>
              <w:t>2005</w:t>
            </w:r>
          </w:p>
        </w:tc>
        <w:tc>
          <w:tcPr>
            <w:tcW w:w="177" w:type="pct"/>
            <w:tcBorders>
              <w:top w:val="single" w:sz="8" w:space="0" w:color="9BBB59"/>
              <w:left w:val="nil"/>
              <w:bottom w:val="nil"/>
              <w:right w:val="nil"/>
            </w:tcBorders>
            <w:shd w:val="clear" w:color="000000" w:fill="9BBB59"/>
            <w:noWrap/>
            <w:textDirection w:val="btLr"/>
            <w:hideMark/>
          </w:tcPr>
          <w:p w:rsidR="00F119AA" w:rsidRPr="00F119AA" w:rsidRDefault="00F119AA" w:rsidP="00644D82">
            <w:pPr>
              <w:spacing w:after="0" w:line="240" w:lineRule="auto"/>
              <w:rPr>
                <w:rFonts w:ascii="Arial Narrow" w:hAnsi="Arial Narrow" w:cs="ArialMT"/>
                <w:b/>
                <w:bCs/>
                <w:color w:val="FFFFFF"/>
                <w:sz w:val="16"/>
                <w:szCs w:val="16"/>
                <w:lang w:val="en-GB" w:eastAsia="en-GB"/>
              </w:rPr>
            </w:pPr>
            <w:r w:rsidRPr="00F119AA">
              <w:rPr>
                <w:rFonts w:ascii="Arial Narrow" w:hAnsi="Arial Narrow" w:cs="ArialMT"/>
                <w:b/>
                <w:bCs/>
                <w:color w:val="FFFFFF" w:themeColor="background1"/>
                <w:sz w:val="16"/>
                <w:szCs w:val="16"/>
                <w:lang w:eastAsia="en-GB"/>
              </w:rPr>
              <w:t>2006</w:t>
            </w:r>
          </w:p>
        </w:tc>
        <w:tc>
          <w:tcPr>
            <w:tcW w:w="177" w:type="pct"/>
            <w:tcBorders>
              <w:top w:val="single" w:sz="8" w:space="0" w:color="9BBB59"/>
              <w:left w:val="nil"/>
              <w:bottom w:val="nil"/>
              <w:right w:val="nil"/>
            </w:tcBorders>
            <w:shd w:val="clear" w:color="000000" w:fill="9BBB59"/>
            <w:noWrap/>
            <w:textDirection w:val="btLr"/>
            <w:hideMark/>
          </w:tcPr>
          <w:p w:rsidR="00F119AA" w:rsidRPr="00F119AA" w:rsidRDefault="00F119AA" w:rsidP="00644D82">
            <w:pPr>
              <w:spacing w:after="0" w:line="240" w:lineRule="auto"/>
              <w:rPr>
                <w:rFonts w:ascii="Arial Narrow" w:hAnsi="Arial Narrow" w:cs="ArialMT"/>
                <w:b/>
                <w:bCs/>
                <w:color w:val="FFFFFF"/>
                <w:sz w:val="16"/>
                <w:szCs w:val="16"/>
                <w:lang w:val="en-GB" w:eastAsia="en-GB"/>
              </w:rPr>
            </w:pPr>
            <w:r w:rsidRPr="00F119AA">
              <w:rPr>
                <w:rFonts w:ascii="Arial Narrow" w:hAnsi="Arial Narrow" w:cs="ArialMT"/>
                <w:b/>
                <w:bCs/>
                <w:color w:val="FFFFFF" w:themeColor="background1"/>
                <w:sz w:val="16"/>
                <w:szCs w:val="16"/>
                <w:lang w:eastAsia="en-GB"/>
              </w:rPr>
              <w:t>2007</w:t>
            </w:r>
          </w:p>
        </w:tc>
        <w:tc>
          <w:tcPr>
            <w:tcW w:w="177" w:type="pct"/>
            <w:tcBorders>
              <w:top w:val="single" w:sz="8" w:space="0" w:color="9BBB59"/>
              <w:left w:val="nil"/>
              <w:bottom w:val="nil"/>
              <w:right w:val="nil"/>
            </w:tcBorders>
            <w:shd w:val="clear" w:color="000000" w:fill="9BBB59"/>
            <w:noWrap/>
            <w:textDirection w:val="btLr"/>
            <w:hideMark/>
          </w:tcPr>
          <w:p w:rsidR="00F119AA" w:rsidRPr="00F119AA" w:rsidRDefault="00F119AA" w:rsidP="00644D82">
            <w:pPr>
              <w:spacing w:after="0" w:line="240" w:lineRule="auto"/>
              <w:rPr>
                <w:rFonts w:ascii="Arial Narrow" w:hAnsi="Arial Narrow" w:cs="ArialMT"/>
                <w:b/>
                <w:bCs/>
                <w:color w:val="FFFFFF"/>
                <w:sz w:val="16"/>
                <w:szCs w:val="16"/>
                <w:lang w:val="en-GB" w:eastAsia="en-GB"/>
              </w:rPr>
            </w:pPr>
            <w:r w:rsidRPr="00F119AA">
              <w:rPr>
                <w:rFonts w:ascii="Arial Narrow" w:hAnsi="Arial Narrow" w:cs="ArialMT"/>
                <w:b/>
                <w:bCs/>
                <w:color w:val="FFFFFF" w:themeColor="background1"/>
                <w:sz w:val="16"/>
                <w:szCs w:val="16"/>
                <w:lang w:eastAsia="en-GB"/>
              </w:rPr>
              <w:t>2008</w:t>
            </w:r>
          </w:p>
        </w:tc>
        <w:tc>
          <w:tcPr>
            <w:tcW w:w="177" w:type="pct"/>
            <w:tcBorders>
              <w:top w:val="single" w:sz="8" w:space="0" w:color="9BBB59"/>
              <w:left w:val="nil"/>
              <w:bottom w:val="nil"/>
              <w:right w:val="nil"/>
            </w:tcBorders>
            <w:shd w:val="clear" w:color="000000" w:fill="9BBB59"/>
            <w:noWrap/>
            <w:textDirection w:val="btLr"/>
            <w:hideMark/>
          </w:tcPr>
          <w:p w:rsidR="00F119AA" w:rsidRPr="00F119AA" w:rsidRDefault="00F119AA" w:rsidP="00644D82">
            <w:pPr>
              <w:spacing w:after="0" w:line="240" w:lineRule="auto"/>
              <w:rPr>
                <w:rFonts w:ascii="Arial Narrow" w:hAnsi="Arial Narrow" w:cs="ArialMT"/>
                <w:b/>
                <w:bCs/>
                <w:color w:val="FFFFFF"/>
                <w:sz w:val="16"/>
                <w:szCs w:val="16"/>
                <w:lang w:val="en-GB" w:eastAsia="en-GB"/>
              </w:rPr>
            </w:pPr>
            <w:r w:rsidRPr="00F119AA">
              <w:rPr>
                <w:rFonts w:ascii="Arial Narrow" w:hAnsi="Arial Narrow" w:cs="ArialMT"/>
                <w:b/>
                <w:bCs/>
                <w:color w:val="FFFFFF" w:themeColor="background1"/>
                <w:sz w:val="16"/>
                <w:szCs w:val="16"/>
                <w:lang w:eastAsia="en-GB"/>
              </w:rPr>
              <w:t>2009</w:t>
            </w:r>
          </w:p>
        </w:tc>
        <w:tc>
          <w:tcPr>
            <w:tcW w:w="177" w:type="pct"/>
            <w:tcBorders>
              <w:top w:val="single" w:sz="8" w:space="0" w:color="9BBB59"/>
              <w:left w:val="nil"/>
              <w:bottom w:val="nil"/>
              <w:right w:val="nil"/>
            </w:tcBorders>
            <w:shd w:val="clear" w:color="000000" w:fill="9BBB59"/>
            <w:noWrap/>
            <w:textDirection w:val="btLr"/>
            <w:hideMark/>
          </w:tcPr>
          <w:p w:rsidR="00F119AA" w:rsidRPr="00F119AA" w:rsidRDefault="00F119AA" w:rsidP="00644D82">
            <w:pPr>
              <w:spacing w:after="0" w:line="240" w:lineRule="auto"/>
              <w:rPr>
                <w:rFonts w:ascii="Arial Narrow" w:hAnsi="Arial Narrow" w:cs="ArialMT"/>
                <w:b/>
                <w:bCs/>
                <w:color w:val="FFFFFF"/>
                <w:sz w:val="16"/>
                <w:szCs w:val="16"/>
                <w:lang w:val="en-GB" w:eastAsia="en-GB"/>
              </w:rPr>
            </w:pPr>
            <w:r w:rsidRPr="00F119AA">
              <w:rPr>
                <w:rFonts w:ascii="Arial Narrow" w:hAnsi="Arial Narrow" w:cs="ArialMT"/>
                <w:b/>
                <w:bCs/>
                <w:color w:val="FFFFFF" w:themeColor="background1"/>
                <w:sz w:val="16"/>
                <w:szCs w:val="16"/>
                <w:lang w:eastAsia="en-GB"/>
              </w:rPr>
              <w:t>2010</w:t>
            </w:r>
          </w:p>
        </w:tc>
        <w:tc>
          <w:tcPr>
            <w:tcW w:w="177" w:type="pct"/>
            <w:tcBorders>
              <w:top w:val="single" w:sz="8" w:space="0" w:color="9BBB59"/>
              <w:left w:val="nil"/>
              <w:bottom w:val="nil"/>
              <w:right w:val="nil"/>
            </w:tcBorders>
            <w:shd w:val="clear" w:color="000000" w:fill="9BBB59"/>
            <w:noWrap/>
            <w:textDirection w:val="btLr"/>
            <w:hideMark/>
          </w:tcPr>
          <w:p w:rsidR="00F119AA" w:rsidRPr="00F119AA" w:rsidRDefault="00F119AA" w:rsidP="00644D82">
            <w:pPr>
              <w:spacing w:after="0" w:line="240" w:lineRule="auto"/>
              <w:rPr>
                <w:rFonts w:ascii="Arial Narrow" w:hAnsi="Arial Narrow" w:cs="ArialMT"/>
                <w:b/>
                <w:bCs/>
                <w:color w:val="FFFFFF"/>
                <w:sz w:val="16"/>
                <w:szCs w:val="16"/>
                <w:lang w:val="en-GB" w:eastAsia="en-GB"/>
              </w:rPr>
            </w:pPr>
            <w:r w:rsidRPr="00F119AA">
              <w:rPr>
                <w:rFonts w:ascii="Arial Narrow" w:hAnsi="Arial Narrow" w:cs="ArialMT"/>
                <w:b/>
                <w:bCs/>
                <w:color w:val="FFFFFF" w:themeColor="background1"/>
                <w:sz w:val="16"/>
                <w:szCs w:val="16"/>
                <w:lang w:eastAsia="en-GB"/>
              </w:rPr>
              <w:t>2011</w:t>
            </w:r>
          </w:p>
        </w:tc>
        <w:tc>
          <w:tcPr>
            <w:tcW w:w="177" w:type="pct"/>
            <w:tcBorders>
              <w:top w:val="single" w:sz="8" w:space="0" w:color="9BBB59"/>
              <w:left w:val="nil"/>
              <w:bottom w:val="nil"/>
              <w:right w:val="nil"/>
            </w:tcBorders>
            <w:shd w:val="clear" w:color="000000" w:fill="9BBB59"/>
            <w:noWrap/>
            <w:textDirection w:val="btLr"/>
            <w:hideMark/>
          </w:tcPr>
          <w:p w:rsidR="00F119AA" w:rsidRPr="00F119AA" w:rsidRDefault="00F119AA" w:rsidP="00644D82">
            <w:pPr>
              <w:spacing w:after="0" w:line="240" w:lineRule="auto"/>
              <w:rPr>
                <w:rFonts w:ascii="Arial Narrow" w:hAnsi="Arial Narrow" w:cs="ArialMT"/>
                <w:b/>
                <w:bCs/>
                <w:color w:val="FFFFFF"/>
                <w:sz w:val="16"/>
                <w:szCs w:val="16"/>
                <w:lang w:val="en-GB" w:eastAsia="en-GB"/>
              </w:rPr>
            </w:pPr>
            <w:r w:rsidRPr="00F119AA">
              <w:rPr>
                <w:rFonts w:ascii="Arial Narrow" w:hAnsi="Arial Narrow" w:cs="ArialMT"/>
                <w:b/>
                <w:bCs/>
                <w:color w:val="FFFFFF" w:themeColor="background1"/>
                <w:sz w:val="16"/>
                <w:szCs w:val="16"/>
                <w:lang w:eastAsia="en-GB"/>
              </w:rPr>
              <w:t>2012</w:t>
            </w:r>
          </w:p>
        </w:tc>
        <w:tc>
          <w:tcPr>
            <w:tcW w:w="177" w:type="pct"/>
            <w:tcBorders>
              <w:top w:val="single" w:sz="8" w:space="0" w:color="9BBB59"/>
              <w:left w:val="nil"/>
              <w:bottom w:val="nil"/>
              <w:right w:val="nil"/>
            </w:tcBorders>
            <w:shd w:val="clear" w:color="000000" w:fill="9BBB59"/>
            <w:noWrap/>
            <w:textDirection w:val="btLr"/>
            <w:hideMark/>
          </w:tcPr>
          <w:p w:rsidR="00F119AA" w:rsidRPr="00F119AA" w:rsidRDefault="00F119AA" w:rsidP="00644D82">
            <w:pPr>
              <w:spacing w:after="0" w:line="240" w:lineRule="auto"/>
              <w:rPr>
                <w:rFonts w:ascii="Arial Narrow" w:hAnsi="Arial Narrow" w:cs="ArialMT"/>
                <w:b/>
                <w:bCs/>
                <w:color w:val="FFFFFF"/>
                <w:sz w:val="16"/>
                <w:szCs w:val="16"/>
                <w:lang w:val="en-GB" w:eastAsia="en-GB"/>
              </w:rPr>
            </w:pPr>
            <w:r w:rsidRPr="00F119AA">
              <w:rPr>
                <w:rFonts w:ascii="Arial Narrow" w:hAnsi="Arial Narrow" w:cs="ArialMT"/>
                <w:b/>
                <w:bCs/>
                <w:color w:val="FFFFFF" w:themeColor="background1"/>
                <w:sz w:val="16"/>
                <w:szCs w:val="16"/>
                <w:lang w:eastAsia="en-GB"/>
              </w:rPr>
              <w:t>2013</w:t>
            </w:r>
            <w:r w:rsidRPr="00F119AA">
              <w:rPr>
                <w:rFonts w:ascii="Arial Narrow" w:hAnsi="Arial Narrow" w:cs="ArialMT"/>
                <w:b/>
                <w:bCs/>
                <w:color w:val="FFFFFF" w:themeColor="background1"/>
                <w:sz w:val="16"/>
                <w:szCs w:val="16"/>
                <w:vertAlign w:val="superscript"/>
                <w:lang w:eastAsia="en-GB"/>
              </w:rPr>
              <w:t>16</w:t>
            </w:r>
          </w:p>
        </w:tc>
        <w:tc>
          <w:tcPr>
            <w:tcW w:w="177" w:type="pct"/>
            <w:tcBorders>
              <w:top w:val="single" w:sz="8" w:space="0" w:color="9BBB59"/>
              <w:left w:val="nil"/>
              <w:bottom w:val="nil"/>
              <w:right w:val="nil"/>
            </w:tcBorders>
            <w:shd w:val="clear" w:color="000000" w:fill="9BBB59"/>
            <w:noWrap/>
            <w:textDirection w:val="btLr"/>
            <w:hideMark/>
          </w:tcPr>
          <w:p w:rsidR="00F119AA" w:rsidRPr="00F119AA" w:rsidRDefault="00F119AA" w:rsidP="00644D82">
            <w:pPr>
              <w:spacing w:after="0" w:line="240" w:lineRule="auto"/>
              <w:rPr>
                <w:rFonts w:ascii="Arial Narrow" w:hAnsi="Arial Narrow" w:cs="ArialMT"/>
                <w:b/>
                <w:bCs/>
                <w:color w:val="FFFFFF"/>
                <w:sz w:val="16"/>
                <w:szCs w:val="16"/>
                <w:lang w:val="en-GB" w:eastAsia="en-GB"/>
              </w:rPr>
            </w:pPr>
            <w:r w:rsidRPr="00F119AA">
              <w:rPr>
                <w:rFonts w:ascii="Arial Narrow" w:hAnsi="Arial Narrow" w:cs="ArialMT"/>
                <w:b/>
                <w:bCs/>
                <w:color w:val="FFFFFF" w:themeColor="background1"/>
                <w:sz w:val="16"/>
                <w:szCs w:val="16"/>
                <w:lang w:eastAsia="en-GB"/>
              </w:rPr>
              <w:t>2014</w:t>
            </w:r>
          </w:p>
        </w:tc>
        <w:tc>
          <w:tcPr>
            <w:tcW w:w="164" w:type="pct"/>
            <w:tcBorders>
              <w:top w:val="single" w:sz="8" w:space="0" w:color="9BBB59"/>
              <w:left w:val="nil"/>
              <w:bottom w:val="nil"/>
              <w:right w:val="single" w:sz="8" w:space="0" w:color="9BBB59"/>
            </w:tcBorders>
            <w:shd w:val="clear" w:color="000000" w:fill="9BBB59"/>
            <w:noWrap/>
            <w:textDirection w:val="btLr"/>
            <w:hideMark/>
          </w:tcPr>
          <w:p w:rsidR="00F119AA" w:rsidRPr="00F119AA" w:rsidRDefault="00F119AA" w:rsidP="00644D82">
            <w:pPr>
              <w:spacing w:after="0" w:line="240" w:lineRule="auto"/>
              <w:rPr>
                <w:rFonts w:ascii="Arial Narrow" w:hAnsi="Arial Narrow" w:cs="ArialMT"/>
                <w:b/>
                <w:bCs/>
                <w:color w:val="FFFFFF"/>
                <w:sz w:val="16"/>
                <w:szCs w:val="16"/>
                <w:lang w:val="en-GB" w:eastAsia="en-GB"/>
              </w:rPr>
            </w:pPr>
            <w:r w:rsidRPr="00F119AA">
              <w:rPr>
                <w:rFonts w:ascii="Arial Narrow" w:hAnsi="Arial Narrow" w:cs="ArialMT"/>
                <w:b/>
                <w:bCs/>
                <w:color w:val="FFFFFF" w:themeColor="background1"/>
                <w:sz w:val="16"/>
                <w:szCs w:val="16"/>
                <w:lang w:eastAsia="en-GB"/>
              </w:rPr>
              <w:t>2015</w:t>
            </w:r>
          </w:p>
        </w:tc>
      </w:tr>
      <w:tr w:rsidR="006F282B" w:rsidRPr="00F119AA" w:rsidTr="006F282B">
        <w:trPr>
          <w:trHeight w:val="280"/>
          <w:tblHeader/>
        </w:trPr>
        <w:tc>
          <w:tcPr>
            <w:tcW w:w="765" w:type="pct"/>
            <w:tcBorders>
              <w:top w:val="single" w:sz="8" w:space="0" w:color="9BBB59"/>
              <w:left w:val="single" w:sz="8" w:space="0" w:color="9BBB59"/>
              <w:bottom w:val="single" w:sz="8" w:space="0" w:color="9BBB59"/>
              <w:right w:val="nil"/>
            </w:tcBorders>
            <w:shd w:val="clear" w:color="auto" w:fill="9BBB59" w:themeFill="accent3"/>
            <w:noWrap/>
            <w:vAlign w:val="center"/>
          </w:tcPr>
          <w:p w:rsidR="006F282B" w:rsidRPr="006F282B" w:rsidRDefault="006F282B" w:rsidP="006F282B">
            <w:pPr>
              <w:spacing w:after="0" w:line="240" w:lineRule="auto"/>
              <w:rPr>
                <w:rFonts w:ascii="Arial Narrow" w:hAnsi="Arial Narrow" w:cs="ArialMT"/>
                <w:b/>
                <w:bCs/>
                <w:color w:val="FFFFFF" w:themeColor="background1"/>
                <w:sz w:val="16"/>
                <w:szCs w:val="16"/>
                <w:lang w:val="en-US" w:eastAsia="en-GB"/>
              </w:rPr>
            </w:pPr>
          </w:p>
        </w:tc>
        <w:tc>
          <w:tcPr>
            <w:tcW w:w="177" w:type="pct"/>
            <w:tcBorders>
              <w:top w:val="single" w:sz="8" w:space="0" w:color="9BBB59"/>
              <w:left w:val="nil"/>
              <w:bottom w:val="single" w:sz="8" w:space="0" w:color="9BBB59"/>
              <w:right w:val="nil"/>
            </w:tcBorders>
            <w:shd w:val="clear" w:color="auto" w:fill="9BBB59" w:themeFill="accent3"/>
            <w:vAlign w:val="center"/>
          </w:tcPr>
          <w:p w:rsidR="006F282B" w:rsidRPr="006F282B" w:rsidRDefault="006F282B" w:rsidP="006F282B">
            <w:pPr>
              <w:spacing w:after="0" w:line="240" w:lineRule="auto"/>
              <w:rPr>
                <w:rFonts w:ascii="Arial Narrow" w:hAnsi="Arial Narrow" w:cs="ArialMT"/>
                <w:b/>
                <w:color w:val="FFFFFF" w:themeColor="background1"/>
                <w:sz w:val="16"/>
                <w:szCs w:val="16"/>
                <w:lang w:eastAsia="en-GB"/>
              </w:rPr>
            </w:pPr>
            <w:r w:rsidRPr="006F282B">
              <w:rPr>
                <w:rFonts w:ascii="Arial Narrow" w:hAnsi="Arial Narrow" w:cs="ArialMT"/>
                <w:b/>
                <w:color w:val="FFFFFF" w:themeColor="background1"/>
                <w:sz w:val="16"/>
                <w:szCs w:val="16"/>
                <w:lang w:eastAsia="en-GB"/>
              </w:rPr>
              <w:t>%</w:t>
            </w:r>
          </w:p>
        </w:tc>
        <w:tc>
          <w:tcPr>
            <w:tcW w:w="177" w:type="pct"/>
            <w:tcBorders>
              <w:top w:val="single" w:sz="8" w:space="0" w:color="9BBB59"/>
              <w:left w:val="nil"/>
              <w:bottom w:val="single" w:sz="8" w:space="0" w:color="9BBB59"/>
              <w:right w:val="nil"/>
            </w:tcBorders>
            <w:shd w:val="clear" w:color="auto" w:fill="9BBB59" w:themeFill="accent3"/>
          </w:tcPr>
          <w:p w:rsidR="006F282B" w:rsidRPr="006F282B" w:rsidRDefault="006F282B" w:rsidP="006F282B">
            <w:pPr>
              <w:spacing w:after="0" w:line="240" w:lineRule="auto"/>
              <w:rPr>
                <w:rFonts w:ascii="Arial Narrow" w:hAnsi="Arial Narrow" w:cs="ArialMT"/>
                <w:b/>
                <w:color w:val="FFFFFF" w:themeColor="background1"/>
                <w:sz w:val="16"/>
                <w:szCs w:val="16"/>
                <w:lang w:eastAsia="en-GB"/>
              </w:rPr>
            </w:pPr>
            <w:r w:rsidRPr="006F282B">
              <w:rPr>
                <w:rFonts w:ascii="Arial Narrow" w:hAnsi="Arial Narrow" w:cs="ArialMT"/>
                <w:b/>
                <w:color w:val="FFFFFF" w:themeColor="background1"/>
                <w:sz w:val="16"/>
                <w:szCs w:val="16"/>
                <w:lang w:eastAsia="en-GB"/>
              </w:rPr>
              <w:t>%</w:t>
            </w:r>
          </w:p>
        </w:tc>
        <w:tc>
          <w:tcPr>
            <w:tcW w:w="177" w:type="pct"/>
            <w:tcBorders>
              <w:top w:val="single" w:sz="8" w:space="0" w:color="9BBB59"/>
              <w:left w:val="nil"/>
              <w:bottom w:val="single" w:sz="8" w:space="0" w:color="9BBB59"/>
              <w:right w:val="nil"/>
            </w:tcBorders>
            <w:shd w:val="clear" w:color="auto" w:fill="9BBB59" w:themeFill="accent3"/>
          </w:tcPr>
          <w:p w:rsidR="006F282B" w:rsidRPr="006F282B" w:rsidRDefault="006F282B" w:rsidP="006F282B">
            <w:pPr>
              <w:spacing w:after="0" w:line="240" w:lineRule="auto"/>
              <w:rPr>
                <w:rFonts w:ascii="Arial Narrow" w:hAnsi="Arial Narrow" w:cs="ArialMT"/>
                <w:b/>
                <w:color w:val="FFFFFF" w:themeColor="background1"/>
                <w:sz w:val="16"/>
                <w:szCs w:val="16"/>
                <w:lang w:eastAsia="en-GB"/>
              </w:rPr>
            </w:pPr>
            <w:r w:rsidRPr="006F282B">
              <w:rPr>
                <w:rFonts w:ascii="Arial Narrow" w:hAnsi="Arial Narrow" w:cs="ArialMT"/>
                <w:b/>
                <w:color w:val="FFFFFF" w:themeColor="background1"/>
                <w:sz w:val="16"/>
                <w:szCs w:val="16"/>
                <w:lang w:eastAsia="en-GB"/>
              </w:rPr>
              <w:t>%</w:t>
            </w:r>
          </w:p>
        </w:tc>
        <w:tc>
          <w:tcPr>
            <w:tcW w:w="177" w:type="pct"/>
            <w:tcBorders>
              <w:top w:val="single" w:sz="8" w:space="0" w:color="9BBB59"/>
              <w:left w:val="nil"/>
              <w:bottom w:val="single" w:sz="8" w:space="0" w:color="9BBB59"/>
              <w:right w:val="nil"/>
            </w:tcBorders>
            <w:shd w:val="clear" w:color="auto" w:fill="9BBB59" w:themeFill="accent3"/>
          </w:tcPr>
          <w:p w:rsidR="006F282B" w:rsidRPr="006F282B" w:rsidRDefault="006F282B" w:rsidP="006F282B">
            <w:pPr>
              <w:spacing w:after="0" w:line="240" w:lineRule="auto"/>
              <w:rPr>
                <w:rFonts w:ascii="Arial Narrow" w:hAnsi="Arial Narrow" w:cs="ArialMT"/>
                <w:b/>
                <w:color w:val="FFFFFF" w:themeColor="background1"/>
                <w:sz w:val="16"/>
                <w:szCs w:val="16"/>
                <w:lang w:eastAsia="en-GB"/>
              </w:rPr>
            </w:pPr>
            <w:r w:rsidRPr="006F282B">
              <w:rPr>
                <w:rFonts w:ascii="Arial Narrow" w:hAnsi="Arial Narrow" w:cs="ArialMT"/>
                <w:b/>
                <w:color w:val="FFFFFF" w:themeColor="background1"/>
                <w:sz w:val="16"/>
                <w:szCs w:val="16"/>
                <w:lang w:eastAsia="en-GB"/>
              </w:rPr>
              <w:t>%</w:t>
            </w:r>
          </w:p>
        </w:tc>
        <w:tc>
          <w:tcPr>
            <w:tcW w:w="177" w:type="pct"/>
            <w:tcBorders>
              <w:top w:val="single" w:sz="8" w:space="0" w:color="9BBB59"/>
              <w:left w:val="nil"/>
              <w:bottom w:val="single" w:sz="8" w:space="0" w:color="9BBB59"/>
              <w:right w:val="nil"/>
            </w:tcBorders>
            <w:shd w:val="clear" w:color="auto" w:fill="9BBB59" w:themeFill="accent3"/>
          </w:tcPr>
          <w:p w:rsidR="006F282B" w:rsidRPr="006F282B" w:rsidRDefault="006F282B" w:rsidP="006F282B">
            <w:pPr>
              <w:spacing w:after="0" w:line="240" w:lineRule="auto"/>
              <w:rPr>
                <w:rFonts w:ascii="Arial Narrow" w:hAnsi="Arial Narrow" w:cs="ArialMT"/>
                <w:b/>
                <w:color w:val="FFFFFF" w:themeColor="background1"/>
                <w:sz w:val="16"/>
                <w:szCs w:val="16"/>
                <w:lang w:eastAsia="en-GB"/>
              </w:rPr>
            </w:pPr>
            <w:r w:rsidRPr="006F282B">
              <w:rPr>
                <w:rFonts w:ascii="Arial Narrow" w:hAnsi="Arial Narrow" w:cs="ArialMT"/>
                <w:b/>
                <w:color w:val="FFFFFF" w:themeColor="background1"/>
                <w:sz w:val="16"/>
                <w:szCs w:val="16"/>
                <w:lang w:eastAsia="en-GB"/>
              </w:rPr>
              <w:t>%</w:t>
            </w:r>
          </w:p>
        </w:tc>
        <w:tc>
          <w:tcPr>
            <w:tcW w:w="177" w:type="pct"/>
            <w:tcBorders>
              <w:top w:val="single" w:sz="8" w:space="0" w:color="9BBB59"/>
              <w:left w:val="nil"/>
              <w:bottom w:val="single" w:sz="8" w:space="0" w:color="9BBB59"/>
              <w:right w:val="nil"/>
            </w:tcBorders>
            <w:shd w:val="clear" w:color="auto" w:fill="9BBB59" w:themeFill="accent3"/>
          </w:tcPr>
          <w:p w:rsidR="006F282B" w:rsidRPr="006F282B" w:rsidRDefault="006F282B" w:rsidP="006F282B">
            <w:pPr>
              <w:spacing w:after="0" w:line="240" w:lineRule="auto"/>
              <w:rPr>
                <w:rFonts w:ascii="Arial Narrow" w:hAnsi="Arial Narrow" w:cs="ArialMT"/>
                <w:b/>
                <w:color w:val="FFFFFF" w:themeColor="background1"/>
                <w:sz w:val="16"/>
                <w:szCs w:val="16"/>
                <w:lang w:eastAsia="en-GB"/>
              </w:rPr>
            </w:pPr>
            <w:r w:rsidRPr="006F282B">
              <w:rPr>
                <w:rFonts w:ascii="Arial Narrow" w:hAnsi="Arial Narrow" w:cs="ArialMT"/>
                <w:b/>
                <w:color w:val="FFFFFF" w:themeColor="background1"/>
                <w:sz w:val="16"/>
                <w:szCs w:val="16"/>
                <w:lang w:eastAsia="en-GB"/>
              </w:rPr>
              <w:t>%</w:t>
            </w:r>
          </w:p>
        </w:tc>
        <w:tc>
          <w:tcPr>
            <w:tcW w:w="177" w:type="pct"/>
            <w:tcBorders>
              <w:top w:val="single" w:sz="8" w:space="0" w:color="9BBB59"/>
              <w:left w:val="nil"/>
              <w:bottom w:val="single" w:sz="8" w:space="0" w:color="9BBB59"/>
              <w:right w:val="nil"/>
            </w:tcBorders>
            <w:shd w:val="clear" w:color="auto" w:fill="9BBB59" w:themeFill="accent3"/>
          </w:tcPr>
          <w:p w:rsidR="006F282B" w:rsidRPr="006F282B" w:rsidRDefault="006F282B" w:rsidP="006F282B">
            <w:pPr>
              <w:spacing w:after="0" w:line="240" w:lineRule="auto"/>
              <w:rPr>
                <w:rFonts w:ascii="Arial Narrow" w:hAnsi="Arial Narrow" w:cs="ArialMT"/>
                <w:b/>
                <w:color w:val="FFFFFF" w:themeColor="background1"/>
                <w:sz w:val="16"/>
                <w:szCs w:val="16"/>
                <w:lang w:eastAsia="en-GB"/>
              </w:rPr>
            </w:pPr>
            <w:r w:rsidRPr="006F282B">
              <w:rPr>
                <w:rFonts w:ascii="Arial Narrow" w:hAnsi="Arial Narrow" w:cs="ArialMT"/>
                <w:b/>
                <w:color w:val="FFFFFF" w:themeColor="background1"/>
                <w:sz w:val="16"/>
                <w:szCs w:val="16"/>
                <w:lang w:eastAsia="en-GB"/>
              </w:rPr>
              <w:t>%</w:t>
            </w:r>
          </w:p>
        </w:tc>
        <w:tc>
          <w:tcPr>
            <w:tcW w:w="177" w:type="pct"/>
            <w:tcBorders>
              <w:top w:val="single" w:sz="8" w:space="0" w:color="9BBB59"/>
              <w:left w:val="nil"/>
              <w:bottom w:val="single" w:sz="8" w:space="0" w:color="9BBB59"/>
              <w:right w:val="nil"/>
            </w:tcBorders>
            <w:shd w:val="clear" w:color="auto" w:fill="9BBB59" w:themeFill="accent3"/>
          </w:tcPr>
          <w:p w:rsidR="006F282B" w:rsidRPr="006F282B" w:rsidRDefault="006F282B" w:rsidP="006F282B">
            <w:pPr>
              <w:spacing w:after="0" w:line="240" w:lineRule="auto"/>
              <w:rPr>
                <w:rFonts w:ascii="Arial Narrow" w:hAnsi="Arial Narrow" w:cs="ArialMT"/>
                <w:b/>
                <w:color w:val="FFFFFF" w:themeColor="background1"/>
                <w:sz w:val="16"/>
                <w:szCs w:val="16"/>
                <w:lang w:eastAsia="en-GB"/>
              </w:rPr>
            </w:pPr>
            <w:r w:rsidRPr="006F282B">
              <w:rPr>
                <w:rFonts w:ascii="Arial Narrow" w:hAnsi="Arial Narrow" w:cs="ArialMT"/>
                <w:b/>
                <w:color w:val="FFFFFF" w:themeColor="background1"/>
                <w:sz w:val="16"/>
                <w:szCs w:val="16"/>
                <w:lang w:eastAsia="en-GB"/>
              </w:rPr>
              <w:t>%</w:t>
            </w:r>
          </w:p>
        </w:tc>
        <w:tc>
          <w:tcPr>
            <w:tcW w:w="177" w:type="pct"/>
            <w:tcBorders>
              <w:top w:val="single" w:sz="8" w:space="0" w:color="9BBB59"/>
              <w:left w:val="nil"/>
              <w:bottom w:val="single" w:sz="8" w:space="0" w:color="9BBB59"/>
              <w:right w:val="nil"/>
            </w:tcBorders>
            <w:shd w:val="clear" w:color="auto" w:fill="9BBB59" w:themeFill="accent3"/>
          </w:tcPr>
          <w:p w:rsidR="006F282B" w:rsidRPr="006F282B" w:rsidRDefault="006F282B" w:rsidP="006F282B">
            <w:pPr>
              <w:spacing w:after="0" w:line="240" w:lineRule="auto"/>
              <w:rPr>
                <w:rFonts w:ascii="Arial Narrow" w:hAnsi="Arial Narrow" w:cs="ArialMT"/>
                <w:b/>
                <w:color w:val="FFFFFF" w:themeColor="background1"/>
                <w:sz w:val="16"/>
                <w:szCs w:val="16"/>
                <w:lang w:eastAsia="en-GB"/>
              </w:rPr>
            </w:pPr>
            <w:r w:rsidRPr="006F282B">
              <w:rPr>
                <w:rFonts w:ascii="Arial Narrow" w:hAnsi="Arial Narrow" w:cs="ArialMT"/>
                <w:b/>
                <w:color w:val="FFFFFF" w:themeColor="background1"/>
                <w:sz w:val="16"/>
                <w:szCs w:val="16"/>
                <w:lang w:eastAsia="en-GB"/>
              </w:rPr>
              <w:t>%</w:t>
            </w:r>
          </w:p>
        </w:tc>
        <w:tc>
          <w:tcPr>
            <w:tcW w:w="177" w:type="pct"/>
            <w:tcBorders>
              <w:top w:val="single" w:sz="8" w:space="0" w:color="9BBB59"/>
              <w:left w:val="nil"/>
              <w:bottom w:val="single" w:sz="8" w:space="0" w:color="9BBB59"/>
              <w:right w:val="nil"/>
            </w:tcBorders>
            <w:shd w:val="clear" w:color="auto" w:fill="9BBB59" w:themeFill="accent3"/>
          </w:tcPr>
          <w:p w:rsidR="006F282B" w:rsidRPr="006F282B" w:rsidRDefault="006F282B" w:rsidP="006F282B">
            <w:pPr>
              <w:spacing w:after="0" w:line="240" w:lineRule="auto"/>
              <w:rPr>
                <w:rFonts w:ascii="Arial Narrow" w:hAnsi="Arial Narrow" w:cs="ArialMT"/>
                <w:b/>
                <w:color w:val="FFFFFF" w:themeColor="background1"/>
                <w:sz w:val="16"/>
                <w:szCs w:val="16"/>
                <w:lang w:eastAsia="en-GB"/>
              </w:rPr>
            </w:pPr>
            <w:r w:rsidRPr="006F282B">
              <w:rPr>
                <w:rFonts w:ascii="Arial Narrow" w:hAnsi="Arial Narrow" w:cs="ArialMT"/>
                <w:b/>
                <w:color w:val="FFFFFF" w:themeColor="background1"/>
                <w:sz w:val="16"/>
                <w:szCs w:val="16"/>
                <w:lang w:eastAsia="en-GB"/>
              </w:rPr>
              <w:t>%</w:t>
            </w:r>
          </w:p>
        </w:tc>
        <w:tc>
          <w:tcPr>
            <w:tcW w:w="177" w:type="pct"/>
            <w:tcBorders>
              <w:top w:val="single" w:sz="8" w:space="0" w:color="9BBB59"/>
              <w:left w:val="nil"/>
              <w:bottom w:val="single" w:sz="8" w:space="0" w:color="9BBB59"/>
              <w:right w:val="nil"/>
            </w:tcBorders>
            <w:shd w:val="clear" w:color="auto" w:fill="9BBB59" w:themeFill="accent3"/>
          </w:tcPr>
          <w:p w:rsidR="006F282B" w:rsidRPr="006F282B" w:rsidRDefault="006F282B" w:rsidP="006F282B">
            <w:pPr>
              <w:spacing w:after="0" w:line="240" w:lineRule="auto"/>
              <w:rPr>
                <w:rFonts w:ascii="Arial Narrow" w:hAnsi="Arial Narrow" w:cs="ArialMT"/>
                <w:b/>
                <w:color w:val="FFFFFF" w:themeColor="background1"/>
                <w:sz w:val="16"/>
                <w:szCs w:val="16"/>
                <w:lang w:eastAsia="en-GB"/>
              </w:rPr>
            </w:pPr>
            <w:r w:rsidRPr="006F282B">
              <w:rPr>
                <w:rFonts w:ascii="Arial Narrow" w:hAnsi="Arial Narrow" w:cs="ArialMT"/>
                <w:b/>
                <w:color w:val="FFFFFF" w:themeColor="background1"/>
                <w:sz w:val="16"/>
                <w:szCs w:val="16"/>
                <w:lang w:eastAsia="en-GB"/>
              </w:rPr>
              <w:t>%</w:t>
            </w:r>
          </w:p>
        </w:tc>
        <w:tc>
          <w:tcPr>
            <w:tcW w:w="177" w:type="pct"/>
            <w:tcBorders>
              <w:top w:val="single" w:sz="8" w:space="0" w:color="9BBB59"/>
              <w:left w:val="nil"/>
              <w:bottom w:val="single" w:sz="8" w:space="0" w:color="9BBB59"/>
              <w:right w:val="nil"/>
            </w:tcBorders>
            <w:shd w:val="clear" w:color="auto" w:fill="9BBB59" w:themeFill="accent3"/>
          </w:tcPr>
          <w:p w:rsidR="006F282B" w:rsidRPr="006F282B" w:rsidRDefault="006F282B" w:rsidP="006F282B">
            <w:pPr>
              <w:spacing w:after="0" w:line="240" w:lineRule="auto"/>
              <w:rPr>
                <w:rFonts w:ascii="Arial Narrow" w:hAnsi="Arial Narrow" w:cs="ArialMT"/>
                <w:b/>
                <w:color w:val="FFFFFF" w:themeColor="background1"/>
                <w:sz w:val="16"/>
                <w:szCs w:val="16"/>
                <w:lang w:eastAsia="en-GB"/>
              </w:rPr>
            </w:pPr>
            <w:r w:rsidRPr="006F282B">
              <w:rPr>
                <w:rFonts w:ascii="Arial Narrow" w:hAnsi="Arial Narrow" w:cs="ArialMT"/>
                <w:b/>
                <w:color w:val="FFFFFF" w:themeColor="background1"/>
                <w:sz w:val="16"/>
                <w:szCs w:val="16"/>
                <w:lang w:eastAsia="en-GB"/>
              </w:rPr>
              <w:t>%</w:t>
            </w:r>
          </w:p>
        </w:tc>
        <w:tc>
          <w:tcPr>
            <w:tcW w:w="177" w:type="pct"/>
            <w:tcBorders>
              <w:top w:val="single" w:sz="8" w:space="0" w:color="9BBB59"/>
              <w:left w:val="nil"/>
              <w:bottom w:val="single" w:sz="8" w:space="0" w:color="9BBB59"/>
              <w:right w:val="nil"/>
            </w:tcBorders>
            <w:shd w:val="clear" w:color="auto" w:fill="9BBB59" w:themeFill="accent3"/>
          </w:tcPr>
          <w:p w:rsidR="006F282B" w:rsidRPr="006F282B" w:rsidRDefault="006F282B" w:rsidP="006F282B">
            <w:pPr>
              <w:spacing w:after="0" w:line="240" w:lineRule="auto"/>
              <w:rPr>
                <w:rFonts w:ascii="Arial Narrow" w:hAnsi="Arial Narrow" w:cs="ArialMT"/>
                <w:b/>
                <w:color w:val="FFFFFF" w:themeColor="background1"/>
                <w:sz w:val="16"/>
                <w:szCs w:val="16"/>
                <w:lang w:eastAsia="en-GB"/>
              </w:rPr>
            </w:pPr>
            <w:r w:rsidRPr="006F282B">
              <w:rPr>
                <w:rFonts w:ascii="Arial Narrow" w:hAnsi="Arial Narrow" w:cs="ArialMT"/>
                <w:b/>
                <w:color w:val="FFFFFF" w:themeColor="background1"/>
                <w:sz w:val="16"/>
                <w:szCs w:val="16"/>
                <w:lang w:eastAsia="en-GB"/>
              </w:rPr>
              <w:t>%</w:t>
            </w:r>
          </w:p>
        </w:tc>
        <w:tc>
          <w:tcPr>
            <w:tcW w:w="177" w:type="pct"/>
            <w:tcBorders>
              <w:top w:val="single" w:sz="8" w:space="0" w:color="9BBB59"/>
              <w:left w:val="nil"/>
              <w:bottom w:val="single" w:sz="8" w:space="0" w:color="9BBB59"/>
              <w:right w:val="nil"/>
            </w:tcBorders>
            <w:shd w:val="clear" w:color="auto" w:fill="9BBB59" w:themeFill="accent3"/>
          </w:tcPr>
          <w:p w:rsidR="006F282B" w:rsidRPr="006F282B" w:rsidRDefault="006F282B" w:rsidP="006F282B">
            <w:pPr>
              <w:spacing w:after="0" w:line="240" w:lineRule="auto"/>
              <w:rPr>
                <w:rFonts w:ascii="Arial Narrow" w:hAnsi="Arial Narrow" w:cs="ArialMT"/>
                <w:b/>
                <w:color w:val="FFFFFF" w:themeColor="background1"/>
                <w:sz w:val="16"/>
                <w:szCs w:val="16"/>
                <w:lang w:eastAsia="en-GB"/>
              </w:rPr>
            </w:pPr>
            <w:r w:rsidRPr="006F282B">
              <w:rPr>
                <w:rFonts w:ascii="Arial Narrow" w:hAnsi="Arial Narrow" w:cs="ArialMT"/>
                <w:b/>
                <w:color w:val="FFFFFF" w:themeColor="background1"/>
                <w:sz w:val="16"/>
                <w:szCs w:val="16"/>
                <w:lang w:eastAsia="en-GB"/>
              </w:rPr>
              <w:t>%</w:t>
            </w:r>
          </w:p>
        </w:tc>
        <w:tc>
          <w:tcPr>
            <w:tcW w:w="177" w:type="pct"/>
            <w:tcBorders>
              <w:top w:val="single" w:sz="8" w:space="0" w:color="9BBB59"/>
              <w:left w:val="nil"/>
              <w:bottom w:val="single" w:sz="8" w:space="0" w:color="9BBB59"/>
              <w:right w:val="nil"/>
            </w:tcBorders>
            <w:shd w:val="clear" w:color="auto" w:fill="9BBB59" w:themeFill="accent3"/>
          </w:tcPr>
          <w:p w:rsidR="006F282B" w:rsidRPr="006F282B" w:rsidRDefault="006F282B" w:rsidP="006F282B">
            <w:pPr>
              <w:spacing w:after="0" w:line="240" w:lineRule="auto"/>
              <w:rPr>
                <w:rFonts w:ascii="Arial Narrow" w:hAnsi="Arial Narrow" w:cs="ArialMT"/>
                <w:b/>
                <w:color w:val="FFFFFF" w:themeColor="background1"/>
                <w:sz w:val="16"/>
                <w:szCs w:val="16"/>
                <w:lang w:eastAsia="en-GB"/>
              </w:rPr>
            </w:pPr>
            <w:r w:rsidRPr="006F282B">
              <w:rPr>
                <w:rFonts w:ascii="Arial Narrow" w:hAnsi="Arial Narrow" w:cs="ArialMT"/>
                <w:b/>
                <w:color w:val="FFFFFF" w:themeColor="background1"/>
                <w:sz w:val="16"/>
                <w:szCs w:val="16"/>
                <w:lang w:eastAsia="en-GB"/>
              </w:rPr>
              <w:t>%</w:t>
            </w:r>
          </w:p>
        </w:tc>
        <w:tc>
          <w:tcPr>
            <w:tcW w:w="177" w:type="pct"/>
            <w:tcBorders>
              <w:top w:val="single" w:sz="8" w:space="0" w:color="9BBB59"/>
              <w:left w:val="nil"/>
              <w:bottom w:val="single" w:sz="8" w:space="0" w:color="9BBB59"/>
              <w:right w:val="nil"/>
            </w:tcBorders>
            <w:shd w:val="clear" w:color="auto" w:fill="9BBB59" w:themeFill="accent3"/>
          </w:tcPr>
          <w:p w:rsidR="006F282B" w:rsidRPr="006F282B" w:rsidRDefault="006F282B" w:rsidP="006F282B">
            <w:pPr>
              <w:spacing w:after="0" w:line="240" w:lineRule="auto"/>
              <w:rPr>
                <w:rFonts w:ascii="Arial Narrow" w:hAnsi="Arial Narrow" w:cs="ArialMT"/>
                <w:b/>
                <w:color w:val="FFFFFF" w:themeColor="background1"/>
                <w:sz w:val="16"/>
                <w:szCs w:val="16"/>
                <w:lang w:val="en-US" w:eastAsia="en-GB"/>
              </w:rPr>
            </w:pPr>
            <w:r w:rsidRPr="006F282B">
              <w:rPr>
                <w:rFonts w:ascii="Arial Narrow" w:hAnsi="Arial Narrow" w:cs="ArialMT"/>
                <w:b/>
                <w:color w:val="FFFFFF" w:themeColor="background1"/>
                <w:sz w:val="16"/>
                <w:szCs w:val="16"/>
                <w:lang w:eastAsia="en-GB"/>
              </w:rPr>
              <w:t>%</w:t>
            </w:r>
          </w:p>
        </w:tc>
        <w:tc>
          <w:tcPr>
            <w:tcW w:w="177" w:type="pct"/>
            <w:tcBorders>
              <w:top w:val="single" w:sz="8" w:space="0" w:color="9BBB59"/>
              <w:left w:val="nil"/>
              <w:bottom w:val="single" w:sz="8" w:space="0" w:color="9BBB59"/>
              <w:right w:val="nil"/>
            </w:tcBorders>
            <w:shd w:val="clear" w:color="auto" w:fill="9BBB59" w:themeFill="accent3"/>
          </w:tcPr>
          <w:p w:rsidR="006F282B" w:rsidRPr="006F282B" w:rsidRDefault="006F282B" w:rsidP="006F282B">
            <w:pPr>
              <w:spacing w:after="0" w:line="240" w:lineRule="auto"/>
              <w:rPr>
                <w:rFonts w:ascii="Arial Narrow" w:hAnsi="Arial Narrow" w:cs="ArialMT"/>
                <w:b/>
                <w:color w:val="FFFFFF" w:themeColor="background1"/>
                <w:sz w:val="16"/>
                <w:szCs w:val="16"/>
                <w:lang w:val="en-US" w:eastAsia="en-GB"/>
              </w:rPr>
            </w:pPr>
            <w:r w:rsidRPr="006F282B">
              <w:rPr>
                <w:rFonts w:ascii="Arial Narrow" w:hAnsi="Arial Narrow" w:cs="ArialMT"/>
                <w:b/>
                <w:color w:val="FFFFFF" w:themeColor="background1"/>
                <w:sz w:val="16"/>
                <w:szCs w:val="16"/>
                <w:lang w:eastAsia="en-GB"/>
              </w:rPr>
              <w:t>%</w:t>
            </w:r>
          </w:p>
        </w:tc>
        <w:tc>
          <w:tcPr>
            <w:tcW w:w="177" w:type="pct"/>
            <w:tcBorders>
              <w:top w:val="single" w:sz="8" w:space="0" w:color="9BBB59"/>
              <w:left w:val="nil"/>
              <w:bottom w:val="single" w:sz="8" w:space="0" w:color="9BBB59"/>
              <w:right w:val="nil"/>
            </w:tcBorders>
            <w:shd w:val="clear" w:color="auto" w:fill="9BBB59" w:themeFill="accent3"/>
          </w:tcPr>
          <w:p w:rsidR="006F282B" w:rsidRPr="006F282B" w:rsidRDefault="006F282B" w:rsidP="006F282B">
            <w:pPr>
              <w:spacing w:after="0" w:line="240" w:lineRule="auto"/>
              <w:rPr>
                <w:rFonts w:ascii="Arial Narrow" w:hAnsi="Arial Narrow" w:cs="ArialMT"/>
                <w:b/>
                <w:color w:val="FFFFFF" w:themeColor="background1"/>
                <w:sz w:val="16"/>
                <w:szCs w:val="16"/>
                <w:lang w:val="en-US" w:eastAsia="en-GB"/>
              </w:rPr>
            </w:pPr>
            <w:r w:rsidRPr="006F282B">
              <w:rPr>
                <w:rFonts w:ascii="Arial Narrow" w:hAnsi="Arial Narrow" w:cs="ArialMT"/>
                <w:b/>
                <w:color w:val="FFFFFF" w:themeColor="background1"/>
                <w:sz w:val="16"/>
                <w:szCs w:val="16"/>
                <w:lang w:eastAsia="en-GB"/>
              </w:rPr>
              <w:t>%</w:t>
            </w:r>
          </w:p>
        </w:tc>
        <w:tc>
          <w:tcPr>
            <w:tcW w:w="177" w:type="pct"/>
            <w:tcBorders>
              <w:top w:val="single" w:sz="8" w:space="0" w:color="9BBB59"/>
              <w:left w:val="nil"/>
              <w:bottom w:val="single" w:sz="8" w:space="0" w:color="9BBB59"/>
              <w:right w:val="nil"/>
            </w:tcBorders>
            <w:shd w:val="clear" w:color="auto" w:fill="9BBB59" w:themeFill="accent3"/>
          </w:tcPr>
          <w:p w:rsidR="006F282B" w:rsidRPr="006F282B" w:rsidRDefault="006F282B" w:rsidP="006F282B">
            <w:pPr>
              <w:spacing w:after="0" w:line="240" w:lineRule="auto"/>
              <w:rPr>
                <w:rFonts w:ascii="Arial Narrow" w:hAnsi="Arial Narrow" w:cs="ArialMT"/>
                <w:b/>
                <w:color w:val="FFFFFF" w:themeColor="background1"/>
                <w:sz w:val="16"/>
                <w:szCs w:val="16"/>
                <w:lang w:val="en-US" w:eastAsia="en-GB"/>
              </w:rPr>
            </w:pPr>
            <w:r w:rsidRPr="006F282B">
              <w:rPr>
                <w:rFonts w:ascii="Arial Narrow" w:hAnsi="Arial Narrow" w:cs="ArialMT"/>
                <w:b/>
                <w:color w:val="FFFFFF" w:themeColor="background1"/>
                <w:sz w:val="16"/>
                <w:szCs w:val="16"/>
                <w:lang w:eastAsia="en-GB"/>
              </w:rPr>
              <w:t>%</w:t>
            </w:r>
          </w:p>
        </w:tc>
        <w:tc>
          <w:tcPr>
            <w:tcW w:w="177" w:type="pct"/>
            <w:tcBorders>
              <w:top w:val="single" w:sz="8" w:space="0" w:color="9BBB59"/>
              <w:left w:val="nil"/>
              <w:bottom w:val="single" w:sz="8" w:space="0" w:color="9BBB59"/>
              <w:right w:val="nil"/>
            </w:tcBorders>
            <w:shd w:val="clear" w:color="auto" w:fill="9BBB59" w:themeFill="accent3"/>
          </w:tcPr>
          <w:p w:rsidR="006F282B" w:rsidRPr="006F282B" w:rsidRDefault="006F282B" w:rsidP="006F282B">
            <w:pPr>
              <w:spacing w:after="0" w:line="240" w:lineRule="auto"/>
              <w:rPr>
                <w:rFonts w:ascii="Arial Narrow" w:hAnsi="Arial Narrow" w:cs="ArialMT"/>
                <w:b/>
                <w:color w:val="FFFFFF" w:themeColor="background1"/>
                <w:sz w:val="16"/>
                <w:szCs w:val="16"/>
                <w:lang w:val="en-US" w:eastAsia="en-GB"/>
              </w:rPr>
            </w:pPr>
            <w:r w:rsidRPr="006F282B">
              <w:rPr>
                <w:rFonts w:ascii="Arial Narrow" w:hAnsi="Arial Narrow" w:cs="ArialMT"/>
                <w:b/>
                <w:color w:val="FFFFFF" w:themeColor="background1"/>
                <w:sz w:val="16"/>
                <w:szCs w:val="16"/>
                <w:lang w:eastAsia="en-GB"/>
              </w:rPr>
              <w:t>%</w:t>
            </w:r>
          </w:p>
        </w:tc>
        <w:tc>
          <w:tcPr>
            <w:tcW w:w="177" w:type="pct"/>
            <w:tcBorders>
              <w:top w:val="single" w:sz="8" w:space="0" w:color="9BBB59"/>
              <w:left w:val="nil"/>
              <w:bottom w:val="single" w:sz="8" w:space="0" w:color="9BBB59"/>
              <w:right w:val="nil"/>
            </w:tcBorders>
            <w:shd w:val="clear" w:color="auto" w:fill="9BBB59" w:themeFill="accent3"/>
          </w:tcPr>
          <w:p w:rsidR="006F282B" w:rsidRPr="006F282B" w:rsidRDefault="006F282B" w:rsidP="006F282B">
            <w:pPr>
              <w:spacing w:after="0" w:line="240" w:lineRule="auto"/>
              <w:rPr>
                <w:rFonts w:ascii="Arial Narrow" w:hAnsi="Arial Narrow" w:cs="ArialMT"/>
                <w:b/>
                <w:color w:val="FFFFFF" w:themeColor="background1"/>
                <w:sz w:val="16"/>
                <w:szCs w:val="16"/>
                <w:lang w:val="en-US" w:eastAsia="en-GB"/>
              </w:rPr>
            </w:pPr>
            <w:r w:rsidRPr="006F282B">
              <w:rPr>
                <w:rFonts w:ascii="Arial Narrow" w:hAnsi="Arial Narrow" w:cs="ArialMT"/>
                <w:b/>
                <w:color w:val="FFFFFF" w:themeColor="background1"/>
                <w:sz w:val="16"/>
                <w:szCs w:val="16"/>
                <w:lang w:eastAsia="en-GB"/>
              </w:rPr>
              <w:t>%</w:t>
            </w:r>
          </w:p>
        </w:tc>
        <w:tc>
          <w:tcPr>
            <w:tcW w:w="177" w:type="pct"/>
            <w:tcBorders>
              <w:top w:val="single" w:sz="8" w:space="0" w:color="9BBB59"/>
              <w:left w:val="nil"/>
              <w:bottom w:val="single" w:sz="8" w:space="0" w:color="9BBB59"/>
              <w:right w:val="nil"/>
            </w:tcBorders>
            <w:shd w:val="clear" w:color="auto" w:fill="9BBB59" w:themeFill="accent3"/>
          </w:tcPr>
          <w:p w:rsidR="006F282B" w:rsidRPr="006F282B" w:rsidRDefault="006F282B" w:rsidP="006F282B">
            <w:pPr>
              <w:spacing w:after="0" w:line="240" w:lineRule="auto"/>
              <w:rPr>
                <w:rFonts w:ascii="Arial Narrow" w:hAnsi="Arial Narrow" w:cs="ArialMT"/>
                <w:b/>
                <w:color w:val="FFFFFF" w:themeColor="background1"/>
                <w:sz w:val="16"/>
                <w:szCs w:val="16"/>
                <w:lang w:val="en-US" w:eastAsia="en-GB"/>
              </w:rPr>
            </w:pPr>
            <w:r w:rsidRPr="006F282B">
              <w:rPr>
                <w:rFonts w:ascii="Arial Narrow" w:hAnsi="Arial Narrow" w:cs="ArialMT"/>
                <w:b/>
                <w:color w:val="FFFFFF" w:themeColor="background1"/>
                <w:sz w:val="16"/>
                <w:szCs w:val="16"/>
                <w:lang w:eastAsia="en-GB"/>
              </w:rPr>
              <w:t>%</w:t>
            </w:r>
          </w:p>
        </w:tc>
        <w:tc>
          <w:tcPr>
            <w:tcW w:w="177" w:type="pct"/>
            <w:tcBorders>
              <w:top w:val="single" w:sz="8" w:space="0" w:color="9BBB59"/>
              <w:left w:val="nil"/>
              <w:bottom w:val="single" w:sz="8" w:space="0" w:color="9BBB59"/>
              <w:right w:val="nil"/>
            </w:tcBorders>
            <w:shd w:val="clear" w:color="auto" w:fill="9BBB59" w:themeFill="accent3"/>
          </w:tcPr>
          <w:p w:rsidR="006F282B" w:rsidRPr="006F282B" w:rsidRDefault="006F282B" w:rsidP="006F282B">
            <w:pPr>
              <w:spacing w:after="0" w:line="240" w:lineRule="auto"/>
              <w:rPr>
                <w:rFonts w:ascii="Arial Narrow" w:hAnsi="Arial Narrow" w:cs="ArialMT"/>
                <w:b/>
                <w:color w:val="FFFFFF" w:themeColor="background1"/>
                <w:sz w:val="16"/>
                <w:szCs w:val="16"/>
                <w:lang w:val="en-US" w:eastAsia="en-GB"/>
              </w:rPr>
            </w:pPr>
            <w:r w:rsidRPr="006F282B">
              <w:rPr>
                <w:rFonts w:ascii="Arial Narrow" w:hAnsi="Arial Narrow" w:cs="ArialMT"/>
                <w:b/>
                <w:color w:val="FFFFFF" w:themeColor="background1"/>
                <w:sz w:val="16"/>
                <w:szCs w:val="16"/>
                <w:lang w:eastAsia="en-GB"/>
              </w:rPr>
              <w:t>%</w:t>
            </w:r>
          </w:p>
        </w:tc>
        <w:tc>
          <w:tcPr>
            <w:tcW w:w="164" w:type="pct"/>
            <w:tcBorders>
              <w:top w:val="single" w:sz="8" w:space="0" w:color="9BBB59"/>
              <w:left w:val="nil"/>
              <w:bottom w:val="single" w:sz="8" w:space="0" w:color="9BBB59"/>
              <w:right w:val="single" w:sz="8" w:space="0" w:color="9BBB59"/>
            </w:tcBorders>
            <w:shd w:val="clear" w:color="auto" w:fill="9BBB59" w:themeFill="accent3"/>
          </w:tcPr>
          <w:p w:rsidR="006F282B" w:rsidRPr="006F282B" w:rsidRDefault="006F282B" w:rsidP="006F282B">
            <w:pPr>
              <w:spacing w:after="0" w:line="240" w:lineRule="auto"/>
              <w:rPr>
                <w:rFonts w:ascii="Arial Narrow" w:hAnsi="Arial Narrow" w:cs="ArialMT"/>
                <w:b/>
                <w:color w:val="FFFFFF" w:themeColor="background1"/>
                <w:sz w:val="16"/>
                <w:szCs w:val="16"/>
                <w:lang w:val="en-US" w:eastAsia="en-GB"/>
              </w:rPr>
            </w:pPr>
            <w:r w:rsidRPr="006F282B">
              <w:rPr>
                <w:rFonts w:ascii="Arial Narrow" w:hAnsi="Arial Narrow" w:cs="ArialMT"/>
                <w:b/>
                <w:color w:val="FFFFFF" w:themeColor="background1"/>
                <w:sz w:val="16"/>
                <w:szCs w:val="16"/>
                <w:lang w:eastAsia="en-GB"/>
              </w:rPr>
              <w:t>%</w:t>
            </w:r>
          </w:p>
        </w:tc>
      </w:tr>
      <w:tr w:rsidR="00F119AA" w:rsidRPr="00F119AA" w:rsidTr="00986A44">
        <w:trPr>
          <w:trHeight w:val="280"/>
        </w:trPr>
        <w:tc>
          <w:tcPr>
            <w:tcW w:w="765" w:type="pct"/>
            <w:tcBorders>
              <w:top w:val="single" w:sz="8" w:space="0" w:color="9BBB59"/>
              <w:left w:val="single" w:sz="8" w:space="0" w:color="9BBB59"/>
              <w:bottom w:val="single" w:sz="8" w:space="0" w:color="9BBB59"/>
              <w:right w:val="nil"/>
            </w:tcBorders>
            <w:shd w:val="clear" w:color="auto" w:fill="auto"/>
            <w:noWrap/>
            <w:vAlign w:val="center"/>
            <w:hideMark/>
          </w:tcPr>
          <w:p w:rsidR="00F119AA" w:rsidRPr="00F119AA" w:rsidRDefault="00F119AA" w:rsidP="00F119AA">
            <w:pPr>
              <w:spacing w:after="0" w:line="240" w:lineRule="auto"/>
              <w:rPr>
                <w:rFonts w:ascii="Arial Narrow" w:hAnsi="Arial Narrow" w:cs="ArialMT"/>
                <w:b/>
                <w:bCs/>
                <w:color w:val="000000"/>
                <w:sz w:val="16"/>
                <w:szCs w:val="16"/>
                <w:lang w:val="en-GB" w:eastAsia="en-GB"/>
              </w:rPr>
            </w:pPr>
            <w:proofErr w:type="spellStart"/>
            <w:r w:rsidRPr="00F119AA">
              <w:rPr>
                <w:rFonts w:ascii="Arial Narrow" w:hAnsi="Arial Narrow" w:cs="ArialMT"/>
                <w:b/>
                <w:bCs/>
                <w:color w:val="000000"/>
                <w:sz w:val="16"/>
                <w:szCs w:val="16"/>
                <w:lang w:val="en-US" w:eastAsia="en-GB"/>
              </w:rPr>
              <w:t>Uprizoritvene</w:t>
            </w:r>
            <w:proofErr w:type="spellEnd"/>
            <w:r w:rsidRPr="00F119AA">
              <w:rPr>
                <w:rFonts w:ascii="Arial Narrow" w:hAnsi="Arial Narrow" w:cs="ArialMT"/>
                <w:b/>
                <w:bCs/>
                <w:color w:val="000000"/>
                <w:sz w:val="16"/>
                <w:szCs w:val="16"/>
                <w:lang w:val="en-US" w:eastAsia="en-GB"/>
              </w:rPr>
              <w:t xml:space="preserve"> </w:t>
            </w:r>
            <w:proofErr w:type="spellStart"/>
            <w:r w:rsidRPr="00F119AA">
              <w:rPr>
                <w:rFonts w:ascii="Arial Narrow" w:hAnsi="Arial Narrow" w:cs="ArialMT"/>
                <w:b/>
                <w:bCs/>
                <w:color w:val="000000"/>
                <w:sz w:val="16"/>
                <w:szCs w:val="16"/>
                <w:lang w:val="en-US" w:eastAsia="en-GB"/>
              </w:rPr>
              <w:t>umetnosti</w:t>
            </w:r>
            <w:proofErr w:type="spellEnd"/>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16,5</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16,4</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15,8</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16,7</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15,7</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15,3</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15,7</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9,9</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12,3</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14,9</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16</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15,7</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14,9</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14,3</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13,8</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13,4</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13,1</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13,1</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14</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14,3</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15,1</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15,6</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14,6</w:t>
            </w:r>
          </w:p>
        </w:tc>
        <w:tc>
          <w:tcPr>
            <w:tcW w:w="164" w:type="pct"/>
            <w:tcBorders>
              <w:top w:val="single" w:sz="8" w:space="0" w:color="9BBB59"/>
              <w:left w:val="nil"/>
              <w:bottom w:val="single" w:sz="8" w:space="0" w:color="9BBB59"/>
              <w:right w:val="single" w:sz="8" w:space="0" w:color="9BBB59"/>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15</w:t>
            </w:r>
          </w:p>
        </w:tc>
      </w:tr>
      <w:tr w:rsidR="00F119AA" w:rsidRPr="00F119AA" w:rsidTr="00986A44">
        <w:trPr>
          <w:trHeight w:val="280"/>
        </w:trPr>
        <w:tc>
          <w:tcPr>
            <w:tcW w:w="765" w:type="pct"/>
            <w:tcBorders>
              <w:top w:val="nil"/>
              <w:left w:val="single" w:sz="8" w:space="0" w:color="9BBB59"/>
              <w:bottom w:val="nil"/>
              <w:right w:val="nil"/>
            </w:tcBorders>
            <w:shd w:val="clear" w:color="auto" w:fill="auto"/>
            <w:noWrap/>
            <w:vAlign w:val="center"/>
            <w:hideMark/>
          </w:tcPr>
          <w:p w:rsidR="00F119AA" w:rsidRPr="00F119AA" w:rsidRDefault="00F119AA" w:rsidP="00F119AA">
            <w:pPr>
              <w:spacing w:after="0" w:line="240" w:lineRule="auto"/>
              <w:rPr>
                <w:rFonts w:ascii="Arial Narrow" w:hAnsi="Arial Narrow" w:cs="ArialMT"/>
                <w:b/>
                <w:bCs/>
                <w:color w:val="000000"/>
                <w:sz w:val="16"/>
                <w:szCs w:val="16"/>
                <w:lang w:val="en-GB" w:eastAsia="en-GB"/>
              </w:rPr>
            </w:pPr>
            <w:proofErr w:type="spellStart"/>
            <w:r w:rsidRPr="00F119AA">
              <w:rPr>
                <w:rFonts w:ascii="Arial Narrow" w:hAnsi="Arial Narrow" w:cs="ArialMT"/>
                <w:b/>
                <w:bCs/>
                <w:color w:val="000000"/>
                <w:sz w:val="16"/>
                <w:szCs w:val="16"/>
                <w:lang w:val="en-US" w:eastAsia="en-GB"/>
              </w:rPr>
              <w:t>Glasba</w:t>
            </w:r>
            <w:proofErr w:type="spellEnd"/>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21,2</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21,2</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18,1</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18,5</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18,7</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18,1</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18,1</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17,8</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17,7</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17,6</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17,8</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17,5</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16,8</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16,8</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15,8</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15</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15,1</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14,5</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15,7</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15,7</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16,6</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17,7</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16,6</w:t>
            </w:r>
          </w:p>
        </w:tc>
        <w:tc>
          <w:tcPr>
            <w:tcW w:w="164" w:type="pct"/>
            <w:tcBorders>
              <w:top w:val="nil"/>
              <w:left w:val="nil"/>
              <w:bottom w:val="nil"/>
              <w:right w:val="single" w:sz="8" w:space="0" w:color="9BBB59"/>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16,4</w:t>
            </w:r>
          </w:p>
        </w:tc>
      </w:tr>
      <w:tr w:rsidR="00F119AA" w:rsidRPr="00F119AA" w:rsidTr="00986A44">
        <w:trPr>
          <w:trHeight w:val="280"/>
        </w:trPr>
        <w:tc>
          <w:tcPr>
            <w:tcW w:w="765" w:type="pct"/>
            <w:tcBorders>
              <w:top w:val="single" w:sz="8" w:space="0" w:color="9BBB59"/>
              <w:left w:val="single" w:sz="8" w:space="0" w:color="9BBB59"/>
              <w:bottom w:val="single" w:sz="8" w:space="0" w:color="9BBB59"/>
              <w:right w:val="nil"/>
            </w:tcBorders>
            <w:shd w:val="clear" w:color="auto" w:fill="auto"/>
            <w:noWrap/>
            <w:vAlign w:val="center"/>
            <w:hideMark/>
          </w:tcPr>
          <w:p w:rsidR="00F119AA" w:rsidRPr="00F119AA" w:rsidRDefault="00F119AA" w:rsidP="00F119AA">
            <w:pPr>
              <w:spacing w:after="0" w:line="240" w:lineRule="auto"/>
              <w:rPr>
                <w:rFonts w:ascii="Arial Narrow" w:hAnsi="Arial Narrow" w:cs="ArialMT"/>
                <w:b/>
                <w:bCs/>
                <w:color w:val="000000"/>
                <w:sz w:val="16"/>
                <w:szCs w:val="16"/>
                <w:lang w:val="en-GB" w:eastAsia="en-GB"/>
              </w:rPr>
            </w:pPr>
            <w:proofErr w:type="spellStart"/>
            <w:r w:rsidRPr="00F119AA">
              <w:rPr>
                <w:rFonts w:ascii="Arial Narrow" w:hAnsi="Arial Narrow" w:cs="ArialMT"/>
                <w:b/>
                <w:bCs/>
                <w:color w:val="000000"/>
                <w:sz w:val="16"/>
                <w:szCs w:val="16"/>
                <w:lang w:val="en-US" w:eastAsia="en-GB"/>
              </w:rPr>
              <w:t>Vizualne</w:t>
            </w:r>
            <w:proofErr w:type="spellEnd"/>
            <w:r w:rsidRPr="00F119AA">
              <w:rPr>
                <w:rFonts w:ascii="Arial Narrow" w:hAnsi="Arial Narrow" w:cs="ArialMT"/>
                <w:b/>
                <w:bCs/>
                <w:color w:val="000000"/>
                <w:sz w:val="16"/>
                <w:szCs w:val="16"/>
                <w:lang w:val="en-US" w:eastAsia="en-GB"/>
              </w:rPr>
              <w:t xml:space="preserve"> umetnosti</w:t>
            </w:r>
            <w:r w:rsidRPr="00F119AA">
              <w:rPr>
                <w:rFonts w:ascii="Arial Narrow" w:hAnsi="Arial Narrow" w:cs="ArialMT"/>
                <w:b/>
                <w:bCs/>
                <w:color w:val="000000"/>
                <w:sz w:val="16"/>
                <w:szCs w:val="16"/>
                <w:vertAlign w:val="superscript"/>
                <w:lang w:val="en-US" w:eastAsia="en-GB"/>
              </w:rPr>
              <w:t>17</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4,5</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4,6</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5</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4,8</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4,6</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4,4</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4,5</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3,7</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3,8</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4,6</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5,2</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4,8</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4,6</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4,5</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4,5</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4,9</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5,4</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4,8</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4,4</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4,5</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4,8</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4,9</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4,7</w:t>
            </w:r>
          </w:p>
        </w:tc>
        <w:tc>
          <w:tcPr>
            <w:tcW w:w="164" w:type="pct"/>
            <w:tcBorders>
              <w:top w:val="single" w:sz="8" w:space="0" w:color="9BBB59"/>
              <w:left w:val="nil"/>
              <w:bottom w:val="single" w:sz="8" w:space="0" w:color="9BBB59"/>
              <w:right w:val="single" w:sz="8" w:space="0" w:color="9BBB59"/>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4,6</w:t>
            </w:r>
          </w:p>
        </w:tc>
      </w:tr>
      <w:tr w:rsidR="00DE28FF" w:rsidRPr="00F119AA" w:rsidTr="00986A44">
        <w:trPr>
          <w:trHeight w:val="280"/>
        </w:trPr>
        <w:tc>
          <w:tcPr>
            <w:tcW w:w="765" w:type="pct"/>
            <w:tcBorders>
              <w:top w:val="nil"/>
              <w:left w:val="single" w:sz="8" w:space="0" w:color="9BBB59"/>
              <w:bottom w:val="nil"/>
              <w:right w:val="nil"/>
            </w:tcBorders>
            <w:shd w:val="clear" w:color="auto" w:fill="auto"/>
            <w:noWrap/>
            <w:vAlign w:val="center"/>
            <w:hideMark/>
          </w:tcPr>
          <w:p w:rsidR="00DE28FF" w:rsidRPr="00F119AA" w:rsidRDefault="00DE28FF" w:rsidP="00F119AA">
            <w:pPr>
              <w:spacing w:after="0" w:line="240" w:lineRule="auto"/>
              <w:rPr>
                <w:rFonts w:ascii="Arial Narrow" w:hAnsi="Arial Narrow" w:cs="ArialMT"/>
                <w:b/>
                <w:bCs/>
                <w:color w:val="000000"/>
                <w:sz w:val="16"/>
                <w:szCs w:val="16"/>
                <w:lang w:val="en-GB" w:eastAsia="en-GB"/>
              </w:rPr>
            </w:pPr>
            <w:proofErr w:type="spellStart"/>
            <w:r w:rsidRPr="00F119AA">
              <w:rPr>
                <w:rFonts w:ascii="Arial Narrow" w:hAnsi="Arial Narrow" w:cs="ArialMT"/>
                <w:b/>
                <w:bCs/>
                <w:color w:val="000000"/>
                <w:sz w:val="16"/>
                <w:szCs w:val="16"/>
                <w:lang w:val="en-US" w:eastAsia="en-GB"/>
              </w:rPr>
              <w:t>Intermedijske</w:t>
            </w:r>
            <w:proofErr w:type="spellEnd"/>
            <w:r w:rsidRPr="00F119AA">
              <w:rPr>
                <w:rFonts w:ascii="Arial Narrow" w:hAnsi="Arial Narrow" w:cs="ArialMT"/>
                <w:b/>
                <w:bCs/>
                <w:color w:val="000000"/>
                <w:sz w:val="16"/>
                <w:szCs w:val="16"/>
                <w:lang w:val="en-US" w:eastAsia="en-GB"/>
              </w:rPr>
              <w:t xml:space="preserve"> umetnosti</w:t>
            </w:r>
            <w:r w:rsidRPr="00F119AA">
              <w:rPr>
                <w:rFonts w:ascii="Arial Narrow" w:hAnsi="Arial Narrow" w:cs="ArialMT"/>
                <w:b/>
                <w:bCs/>
                <w:color w:val="000000"/>
                <w:sz w:val="16"/>
                <w:szCs w:val="16"/>
                <w:vertAlign w:val="superscript"/>
                <w:lang w:val="en-US" w:eastAsia="en-GB"/>
              </w:rPr>
              <w:t>8</w:t>
            </w:r>
            <w:r w:rsidRPr="00F119AA">
              <w:rPr>
                <w:rFonts w:ascii="Arial Narrow" w:hAnsi="Arial Narrow" w:cs="ArialMT"/>
                <w:b/>
                <w:bCs/>
                <w:color w:val="000000"/>
                <w:sz w:val="16"/>
                <w:szCs w:val="16"/>
                <w:lang w:val="en-US" w:eastAsia="en-GB"/>
              </w:rPr>
              <w:t xml:space="preserve"> </w:t>
            </w:r>
          </w:p>
        </w:tc>
        <w:tc>
          <w:tcPr>
            <w:tcW w:w="177" w:type="pct"/>
            <w:tcBorders>
              <w:top w:val="nil"/>
              <w:left w:val="nil"/>
              <w:bottom w:val="nil"/>
              <w:right w:val="nil"/>
            </w:tcBorders>
            <w:shd w:val="clear" w:color="auto" w:fill="auto"/>
            <w:hideMark/>
          </w:tcPr>
          <w:p w:rsidR="00DE28FF" w:rsidRPr="00F119AA" w:rsidRDefault="00DE28FF" w:rsidP="00DE28FF">
            <w:pPr>
              <w:spacing w:after="0" w:line="240" w:lineRule="auto"/>
              <w:jc w:val="right"/>
              <w:rPr>
                <w:rFonts w:ascii="Arial Narrow" w:hAnsi="Arial Narrow" w:cs="ArialMT"/>
                <w:color w:val="000000"/>
                <w:sz w:val="16"/>
                <w:szCs w:val="16"/>
                <w:lang w:val="en-GB" w:eastAsia="en-GB"/>
              </w:rPr>
            </w:pPr>
            <w:r w:rsidRPr="00301BE4">
              <w:t>–</w:t>
            </w:r>
          </w:p>
        </w:tc>
        <w:tc>
          <w:tcPr>
            <w:tcW w:w="177" w:type="pct"/>
            <w:tcBorders>
              <w:top w:val="nil"/>
              <w:left w:val="nil"/>
              <w:bottom w:val="nil"/>
              <w:right w:val="nil"/>
            </w:tcBorders>
            <w:shd w:val="clear" w:color="auto" w:fill="auto"/>
            <w:hideMark/>
          </w:tcPr>
          <w:p w:rsidR="00DE28FF" w:rsidRPr="00F119AA" w:rsidRDefault="00DE28FF" w:rsidP="00DE28FF">
            <w:pPr>
              <w:spacing w:after="0" w:line="240" w:lineRule="auto"/>
              <w:jc w:val="right"/>
              <w:rPr>
                <w:rFonts w:ascii="Arial Narrow" w:hAnsi="Arial Narrow" w:cs="ArialMT"/>
                <w:color w:val="000000"/>
                <w:sz w:val="16"/>
                <w:szCs w:val="16"/>
                <w:lang w:val="en-GB" w:eastAsia="en-GB"/>
              </w:rPr>
            </w:pPr>
            <w:r w:rsidRPr="00301BE4">
              <w:t>–</w:t>
            </w:r>
          </w:p>
        </w:tc>
        <w:tc>
          <w:tcPr>
            <w:tcW w:w="177" w:type="pct"/>
            <w:tcBorders>
              <w:top w:val="nil"/>
              <w:left w:val="nil"/>
              <w:bottom w:val="nil"/>
              <w:right w:val="nil"/>
            </w:tcBorders>
            <w:shd w:val="clear" w:color="auto" w:fill="auto"/>
            <w:hideMark/>
          </w:tcPr>
          <w:p w:rsidR="00DE28FF" w:rsidRPr="00F119AA" w:rsidRDefault="00DE28FF" w:rsidP="00DE28FF">
            <w:pPr>
              <w:spacing w:after="0" w:line="240" w:lineRule="auto"/>
              <w:jc w:val="right"/>
              <w:rPr>
                <w:rFonts w:ascii="Arial Narrow" w:hAnsi="Arial Narrow" w:cs="ArialMT"/>
                <w:color w:val="000000"/>
                <w:sz w:val="16"/>
                <w:szCs w:val="16"/>
                <w:lang w:val="en-GB" w:eastAsia="en-GB"/>
              </w:rPr>
            </w:pPr>
            <w:r w:rsidRPr="00301BE4">
              <w:t>–</w:t>
            </w:r>
          </w:p>
        </w:tc>
        <w:tc>
          <w:tcPr>
            <w:tcW w:w="177" w:type="pct"/>
            <w:tcBorders>
              <w:top w:val="nil"/>
              <w:left w:val="nil"/>
              <w:bottom w:val="nil"/>
              <w:right w:val="nil"/>
            </w:tcBorders>
            <w:shd w:val="clear" w:color="auto" w:fill="auto"/>
            <w:hideMark/>
          </w:tcPr>
          <w:p w:rsidR="00DE28FF" w:rsidRPr="00F119AA" w:rsidRDefault="00DE28FF" w:rsidP="00DE28FF">
            <w:pPr>
              <w:spacing w:after="0" w:line="240" w:lineRule="auto"/>
              <w:jc w:val="right"/>
              <w:rPr>
                <w:rFonts w:ascii="Arial Narrow" w:hAnsi="Arial Narrow" w:cs="ArialMT"/>
                <w:color w:val="000000"/>
                <w:sz w:val="16"/>
                <w:szCs w:val="16"/>
                <w:lang w:val="en-GB" w:eastAsia="en-GB"/>
              </w:rPr>
            </w:pPr>
            <w:r w:rsidRPr="00301BE4">
              <w:t>–</w:t>
            </w:r>
          </w:p>
        </w:tc>
        <w:tc>
          <w:tcPr>
            <w:tcW w:w="177" w:type="pct"/>
            <w:tcBorders>
              <w:top w:val="nil"/>
              <w:left w:val="nil"/>
              <w:bottom w:val="nil"/>
              <w:right w:val="nil"/>
            </w:tcBorders>
            <w:shd w:val="clear" w:color="auto" w:fill="auto"/>
            <w:hideMark/>
          </w:tcPr>
          <w:p w:rsidR="00DE28FF" w:rsidRPr="00F119AA" w:rsidRDefault="00DE28FF" w:rsidP="00DE28FF">
            <w:pPr>
              <w:spacing w:after="0" w:line="240" w:lineRule="auto"/>
              <w:jc w:val="right"/>
              <w:rPr>
                <w:rFonts w:ascii="Arial Narrow" w:hAnsi="Arial Narrow" w:cs="ArialMT"/>
                <w:color w:val="000000"/>
                <w:sz w:val="16"/>
                <w:szCs w:val="16"/>
                <w:lang w:val="en-GB" w:eastAsia="en-GB"/>
              </w:rPr>
            </w:pPr>
            <w:r w:rsidRPr="00301BE4">
              <w:t>–</w:t>
            </w:r>
          </w:p>
        </w:tc>
        <w:tc>
          <w:tcPr>
            <w:tcW w:w="177" w:type="pct"/>
            <w:tcBorders>
              <w:top w:val="nil"/>
              <w:left w:val="nil"/>
              <w:bottom w:val="nil"/>
              <w:right w:val="nil"/>
            </w:tcBorders>
            <w:shd w:val="clear" w:color="auto" w:fill="auto"/>
            <w:hideMark/>
          </w:tcPr>
          <w:p w:rsidR="00DE28FF" w:rsidRPr="00F119AA" w:rsidRDefault="00DE28FF" w:rsidP="00DE28FF">
            <w:pPr>
              <w:spacing w:after="0" w:line="240" w:lineRule="auto"/>
              <w:jc w:val="right"/>
              <w:rPr>
                <w:rFonts w:ascii="Arial Narrow" w:hAnsi="Arial Narrow" w:cs="ArialMT"/>
                <w:color w:val="000000"/>
                <w:sz w:val="16"/>
                <w:szCs w:val="16"/>
                <w:lang w:val="en-GB" w:eastAsia="en-GB"/>
              </w:rPr>
            </w:pPr>
            <w:r w:rsidRPr="00301BE4">
              <w:t>–</w:t>
            </w:r>
          </w:p>
        </w:tc>
        <w:tc>
          <w:tcPr>
            <w:tcW w:w="177" w:type="pct"/>
            <w:tcBorders>
              <w:top w:val="nil"/>
              <w:left w:val="nil"/>
              <w:bottom w:val="nil"/>
              <w:right w:val="nil"/>
            </w:tcBorders>
            <w:shd w:val="clear" w:color="auto" w:fill="auto"/>
            <w:hideMark/>
          </w:tcPr>
          <w:p w:rsidR="00DE28FF" w:rsidRPr="00F119AA" w:rsidRDefault="00DE28FF" w:rsidP="00DE28FF">
            <w:pPr>
              <w:spacing w:after="0" w:line="240" w:lineRule="auto"/>
              <w:jc w:val="right"/>
              <w:rPr>
                <w:rFonts w:ascii="Arial Narrow" w:hAnsi="Arial Narrow" w:cs="ArialMT"/>
                <w:color w:val="000000"/>
                <w:sz w:val="16"/>
                <w:szCs w:val="16"/>
                <w:lang w:val="en-GB" w:eastAsia="en-GB"/>
              </w:rPr>
            </w:pPr>
            <w:r w:rsidRPr="00301BE4">
              <w:t>–</w:t>
            </w:r>
          </w:p>
        </w:tc>
        <w:tc>
          <w:tcPr>
            <w:tcW w:w="177" w:type="pct"/>
            <w:tcBorders>
              <w:top w:val="nil"/>
              <w:left w:val="nil"/>
              <w:bottom w:val="nil"/>
              <w:right w:val="nil"/>
            </w:tcBorders>
            <w:shd w:val="clear" w:color="auto" w:fill="auto"/>
            <w:hideMark/>
          </w:tcPr>
          <w:p w:rsidR="00DE28FF" w:rsidRPr="00F119AA" w:rsidRDefault="00DE28FF" w:rsidP="00DE28FF">
            <w:pPr>
              <w:spacing w:after="0" w:line="240" w:lineRule="auto"/>
              <w:jc w:val="right"/>
              <w:rPr>
                <w:rFonts w:ascii="Arial Narrow" w:hAnsi="Arial Narrow" w:cs="ArialMT"/>
                <w:color w:val="000000"/>
                <w:sz w:val="16"/>
                <w:szCs w:val="16"/>
                <w:lang w:val="en-GB" w:eastAsia="en-GB"/>
              </w:rPr>
            </w:pPr>
            <w:r w:rsidRPr="00301BE4">
              <w:t>–</w:t>
            </w:r>
          </w:p>
        </w:tc>
        <w:tc>
          <w:tcPr>
            <w:tcW w:w="177" w:type="pct"/>
            <w:tcBorders>
              <w:top w:val="nil"/>
              <w:left w:val="nil"/>
              <w:bottom w:val="nil"/>
              <w:right w:val="nil"/>
            </w:tcBorders>
            <w:shd w:val="clear" w:color="auto" w:fill="auto"/>
            <w:hideMark/>
          </w:tcPr>
          <w:p w:rsidR="00DE28FF" w:rsidRPr="00F119AA" w:rsidRDefault="00DE28FF" w:rsidP="00DE28FF">
            <w:pPr>
              <w:spacing w:after="0" w:line="240" w:lineRule="auto"/>
              <w:jc w:val="right"/>
              <w:rPr>
                <w:rFonts w:ascii="Arial Narrow" w:hAnsi="Arial Narrow" w:cs="ArialMT"/>
                <w:color w:val="000000"/>
                <w:sz w:val="16"/>
                <w:szCs w:val="16"/>
                <w:lang w:val="en-GB" w:eastAsia="en-GB"/>
              </w:rPr>
            </w:pPr>
            <w:r w:rsidRPr="00301BE4">
              <w:t>–</w:t>
            </w:r>
          </w:p>
        </w:tc>
        <w:tc>
          <w:tcPr>
            <w:tcW w:w="177" w:type="pct"/>
            <w:tcBorders>
              <w:top w:val="nil"/>
              <w:left w:val="nil"/>
              <w:bottom w:val="nil"/>
              <w:right w:val="nil"/>
            </w:tcBorders>
            <w:shd w:val="clear" w:color="auto" w:fill="auto"/>
            <w:hideMark/>
          </w:tcPr>
          <w:p w:rsidR="00DE28FF" w:rsidRPr="00F119AA" w:rsidRDefault="00DE28FF" w:rsidP="00DE28FF">
            <w:pPr>
              <w:spacing w:after="0" w:line="240" w:lineRule="auto"/>
              <w:jc w:val="right"/>
              <w:rPr>
                <w:rFonts w:ascii="Arial Narrow" w:hAnsi="Arial Narrow" w:cs="ArialMT"/>
                <w:color w:val="000000"/>
                <w:sz w:val="16"/>
                <w:szCs w:val="16"/>
                <w:lang w:val="en-GB" w:eastAsia="en-GB"/>
              </w:rPr>
            </w:pPr>
            <w:r w:rsidRPr="00301BE4">
              <w:t>–</w:t>
            </w:r>
          </w:p>
        </w:tc>
        <w:tc>
          <w:tcPr>
            <w:tcW w:w="177" w:type="pct"/>
            <w:tcBorders>
              <w:top w:val="nil"/>
              <w:left w:val="nil"/>
              <w:bottom w:val="nil"/>
              <w:right w:val="nil"/>
            </w:tcBorders>
            <w:shd w:val="clear" w:color="auto" w:fill="auto"/>
            <w:hideMark/>
          </w:tcPr>
          <w:p w:rsidR="00DE28FF" w:rsidRPr="00F119AA" w:rsidRDefault="00DE28FF" w:rsidP="00DE28FF">
            <w:pPr>
              <w:spacing w:after="0" w:line="240" w:lineRule="auto"/>
              <w:jc w:val="right"/>
              <w:rPr>
                <w:rFonts w:ascii="Arial Narrow" w:hAnsi="Arial Narrow" w:cs="ArialMT"/>
                <w:color w:val="000000"/>
                <w:sz w:val="16"/>
                <w:szCs w:val="16"/>
                <w:lang w:val="en-GB" w:eastAsia="en-GB"/>
              </w:rPr>
            </w:pPr>
            <w:r w:rsidRPr="00301BE4">
              <w:t>–</w:t>
            </w:r>
          </w:p>
        </w:tc>
        <w:tc>
          <w:tcPr>
            <w:tcW w:w="177" w:type="pct"/>
            <w:tcBorders>
              <w:top w:val="nil"/>
              <w:left w:val="nil"/>
              <w:bottom w:val="nil"/>
              <w:right w:val="nil"/>
            </w:tcBorders>
            <w:shd w:val="clear" w:color="auto" w:fill="auto"/>
            <w:vAlign w:val="center"/>
            <w:hideMark/>
          </w:tcPr>
          <w:p w:rsidR="00DE28FF" w:rsidRPr="00F119AA" w:rsidRDefault="00DE28FF"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0,3</w:t>
            </w:r>
          </w:p>
        </w:tc>
        <w:tc>
          <w:tcPr>
            <w:tcW w:w="177" w:type="pct"/>
            <w:tcBorders>
              <w:top w:val="nil"/>
              <w:left w:val="nil"/>
              <w:bottom w:val="nil"/>
              <w:right w:val="nil"/>
            </w:tcBorders>
            <w:shd w:val="clear" w:color="auto" w:fill="auto"/>
            <w:vAlign w:val="center"/>
            <w:hideMark/>
          </w:tcPr>
          <w:p w:rsidR="00DE28FF" w:rsidRPr="00F119AA" w:rsidRDefault="00DE28FF"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0,3</w:t>
            </w:r>
          </w:p>
        </w:tc>
        <w:tc>
          <w:tcPr>
            <w:tcW w:w="177" w:type="pct"/>
            <w:tcBorders>
              <w:top w:val="nil"/>
              <w:left w:val="nil"/>
              <w:bottom w:val="nil"/>
              <w:right w:val="nil"/>
            </w:tcBorders>
            <w:shd w:val="clear" w:color="auto" w:fill="auto"/>
            <w:vAlign w:val="center"/>
            <w:hideMark/>
          </w:tcPr>
          <w:p w:rsidR="00DE28FF" w:rsidRPr="00F119AA" w:rsidRDefault="00DE28FF"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0,3</w:t>
            </w:r>
          </w:p>
        </w:tc>
        <w:tc>
          <w:tcPr>
            <w:tcW w:w="177" w:type="pct"/>
            <w:tcBorders>
              <w:top w:val="nil"/>
              <w:left w:val="nil"/>
              <w:bottom w:val="nil"/>
              <w:right w:val="nil"/>
            </w:tcBorders>
            <w:shd w:val="clear" w:color="auto" w:fill="auto"/>
            <w:vAlign w:val="center"/>
            <w:hideMark/>
          </w:tcPr>
          <w:p w:rsidR="00DE28FF" w:rsidRPr="00F119AA" w:rsidRDefault="00DE28FF"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0,6</w:t>
            </w:r>
          </w:p>
        </w:tc>
        <w:tc>
          <w:tcPr>
            <w:tcW w:w="177" w:type="pct"/>
            <w:tcBorders>
              <w:top w:val="nil"/>
              <w:left w:val="nil"/>
              <w:bottom w:val="nil"/>
              <w:right w:val="nil"/>
            </w:tcBorders>
            <w:shd w:val="clear" w:color="auto" w:fill="auto"/>
            <w:vAlign w:val="center"/>
            <w:hideMark/>
          </w:tcPr>
          <w:p w:rsidR="00DE28FF" w:rsidRPr="00F119AA" w:rsidRDefault="00DE28FF"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0,4</w:t>
            </w:r>
          </w:p>
        </w:tc>
        <w:tc>
          <w:tcPr>
            <w:tcW w:w="177" w:type="pct"/>
            <w:tcBorders>
              <w:top w:val="nil"/>
              <w:left w:val="nil"/>
              <w:bottom w:val="nil"/>
              <w:right w:val="nil"/>
            </w:tcBorders>
            <w:shd w:val="clear" w:color="auto" w:fill="auto"/>
            <w:vAlign w:val="center"/>
            <w:hideMark/>
          </w:tcPr>
          <w:p w:rsidR="00DE28FF" w:rsidRPr="00F119AA" w:rsidRDefault="00DE28FF"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0,3</w:t>
            </w:r>
          </w:p>
        </w:tc>
        <w:tc>
          <w:tcPr>
            <w:tcW w:w="177" w:type="pct"/>
            <w:tcBorders>
              <w:top w:val="nil"/>
              <w:left w:val="nil"/>
              <w:bottom w:val="nil"/>
              <w:right w:val="nil"/>
            </w:tcBorders>
            <w:shd w:val="clear" w:color="auto" w:fill="auto"/>
            <w:vAlign w:val="center"/>
            <w:hideMark/>
          </w:tcPr>
          <w:p w:rsidR="00DE28FF" w:rsidRPr="00F119AA" w:rsidRDefault="00DE28FF"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0,4</w:t>
            </w:r>
          </w:p>
        </w:tc>
        <w:tc>
          <w:tcPr>
            <w:tcW w:w="177" w:type="pct"/>
            <w:tcBorders>
              <w:top w:val="nil"/>
              <w:left w:val="nil"/>
              <w:bottom w:val="nil"/>
              <w:right w:val="nil"/>
            </w:tcBorders>
            <w:shd w:val="clear" w:color="auto" w:fill="auto"/>
            <w:vAlign w:val="center"/>
            <w:hideMark/>
          </w:tcPr>
          <w:p w:rsidR="00DE28FF" w:rsidRPr="00F119AA" w:rsidRDefault="00DE28FF"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0,5</w:t>
            </w:r>
          </w:p>
        </w:tc>
        <w:tc>
          <w:tcPr>
            <w:tcW w:w="177" w:type="pct"/>
            <w:tcBorders>
              <w:top w:val="nil"/>
              <w:left w:val="nil"/>
              <w:bottom w:val="nil"/>
              <w:right w:val="nil"/>
            </w:tcBorders>
            <w:shd w:val="clear" w:color="auto" w:fill="auto"/>
            <w:vAlign w:val="center"/>
            <w:hideMark/>
          </w:tcPr>
          <w:p w:rsidR="00DE28FF" w:rsidRPr="00F119AA" w:rsidRDefault="00DE28FF"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0,5</w:t>
            </w:r>
          </w:p>
        </w:tc>
        <w:tc>
          <w:tcPr>
            <w:tcW w:w="177" w:type="pct"/>
            <w:tcBorders>
              <w:top w:val="nil"/>
              <w:left w:val="nil"/>
              <w:bottom w:val="nil"/>
              <w:right w:val="nil"/>
            </w:tcBorders>
            <w:shd w:val="clear" w:color="auto" w:fill="auto"/>
            <w:vAlign w:val="center"/>
            <w:hideMark/>
          </w:tcPr>
          <w:p w:rsidR="00DE28FF" w:rsidRPr="00F119AA" w:rsidRDefault="00DE28FF"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0,4</w:t>
            </w:r>
          </w:p>
        </w:tc>
        <w:tc>
          <w:tcPr>
            <w:tcW w:w="177" w:type="pct"/>
            <w:tcBorders>
              <w:top w:val="nil"/>
              <w:left w:val="nil"/>
              <w:bottom w:val="nil"/>
              <w:right w:val="nil"/>
            </w:tcBorders>
            <w:shd w:val="clear" w:color="auto" w:fill="auto"/>
            <w:vAlign w:val="center"/>
            <w:hideMark/>
          </w:tcPr>
          <w:p w:rsidR="00DE28FF" w:rsidRPr="00F119AA" w:rsidRDefault="00DE28FF"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0,4</w:t>
            </w:r>
          </w:p>
        </w:tc>
        <w:tc>
          <w:tcPr>
            <w:tcW w:w="177" w:type="pct"/>
            <w:tcBorders>
              <w:top w:val="nil"/>
              <w:left w:val="nil"/>
              <w:bottom w:val="nil"/>
              <w:right w:val="nil"/>
            </w:tcBorders>
            <w:shd w:val="clear" w:color="auto" w:fill="auto"/>
            <w:vAlign w:val="center"/>
            <w:hideMark/>
          </w:tcPr>
          <w:p w:rsidR="00DE28FF" w:rsidRPr="00F119AA" w:rsidRDefault="00DE28FF"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0,3</w:t>
            </w:r>
          </w:p>
        </w:tc>
        <w:tc>
          <w:tcPr>
            <w:tcW w:w="164" w:type="pct"/>
            <w:tcBorders>
              <w:top w:val="nil"/>
              <w:left w:val="nil"/>
              <w:bottom w:val="nil"/>
              <w:right w:val="single" w:sz="8" w:space="0" w:color="9BBB59"/>
            </w:tcBorders>
            <w:shd w:val="clear" w:color="auto" w:fill="auto"/>
            <w:vAlign w:val="center"/>
            <w:hideMark/>
          </w:tcPr>
          <w:p w:rsidR="00DE28FF" w:rsidRPr="00F119AA" w:rsidRDefault="00DE28FF"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0,3</w:t>
            </w:r>
          </w:p>
        </w:tc>
      </w:tr>
      <w:tr w:rsidR="00F119AA" w:rsidRPr="00F119AA" w:rsidTr="00986A44">
        <w:trPr>
          <w:trHeight w:val="280"/>
        </w:trPr>
        <w:tc>
          <w:tcPr>
            <w:tcW w:w="765" w:type="pct"/>
            <w:tcBorders>
              <w:top w:val="single" w:sz="8" w:space="0" w:color="9BBB59"/>
              <w:left w:val="single" w:sz="8" w:space="0" w:color="9BBB59"/>
              <w:bottom w:val="single" w:sz="8" w:space="0" w:color="9BBB59"/>
              <w:right w:val="nil"/>
            </w:tcBorders>
            <w:shd w:val="clear" w:color="auto" w:fill="auto"/>
            <w:noWrap/>
            <w:vAlign w:val="center"/>
            <w:hideMark/>
          </w:tcPr>
          <w:p w:rsidR="00F119AA" w:rsidRPr="00F119AA" w:rsidRDefault="00F119AA" w:rsidP="00F119AA">
            <w:pPr>
              <w:spacing w:after="0" w:line="240" w:lineRule="auto"/>
              <w:rPr>
                <w:rFonts w:ascii="Arial Narrow" w:hAnsi="Arial Narrow" w:cs="ArialMT"/>
                <w:b/>
                <w:bCs/>
                <w:color w:val="000000"/>
                <w:sz w:val="16"/>
                <w:szCs w:val="16"/>
                <w:lang w:val="en-GB" w:eastAsia="en-GB"/>
              </w:rPr>
            </w:pPr>
            <w:proofErr w:type="spellStart"/>
            <w:r w:rsidRPr="00F119AA">
              <w:rPr>
                <w:rFonts w:ascii="Arial Narrow" w:hAnsi="Arial Narrow" w:cs="ArialMT"/>
                <w:b/>
                <w:bCs/>
                <w:color w:val="000000"/>
                <w:sz w:val="16"/>
                <w:szCs w:val="16"/>
                <w:lang w:val="en-US" w:eastAsia="en-GB"/>
              </w:rPr>
              <w:t>Založništvo</w:t>
            </w:r>
            <w:proofErr w:type="spellEnd"/>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3,7</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4,1</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3,8</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4,1</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3,9</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3,6</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3,5</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4,2</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3,5</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2,8</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2,6</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2,5</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3,3</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3,1</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3,2</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3,1</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3,3</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3</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3,5</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3,3</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2,6</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3,1</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2,8</w:t>
            </w:r>
          </w:p>
        </w:tc>
        <w:tc>
          <w:tcPr>
            <w:tcW w:w="164" w:type="pct"/>
            <w:tcBorders>
              <w:top w:val="single" w:sz="8" w:space="0" w:color="9BBB59"/>
              <w:left w:val="nil"/>
              <w:bottom w:val="single" w:sz="8" w:space="0" w:color="9BBB59"/>
              <w:right w:val="single" w:sz="8" w:space="0" w:color="9BBB59"/>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2,9</w:t>
            </w:r>
          </w:p>
        </w:tc>
      </w:tr>
      <w:tr w:rsidR="00F119AA" w:rsidRPr="00F119AA" w:rsidTr="00986A44">
        <w:trPr>
          <w:trHeight w:val="280"/>
        </w:trPr>
        <w:tc>
          <w:tcPr>
            <w:tcW w:w="765" w:type="pct"/>
            <w:tcBorders>
              <w:top w:val="nil"/>
              <w:left w:val="single" w:sz="8" w:space="0" w:color="9BBB59"/>
              <w:bottom w:val="nil"/>
              <w:right w:val="nil"/>
            </w:tcBorders>
            <w:shd w:val="clear" w:color="auto" w:fill="auto"/>
            <w:noWrap/>
            <w:vAlign w:val="center"/>
            <w:hideMark/>
          </w:tcPr>
          <w:p w:rsidR="00F119AA" w:rsidRPr="00F119AA" w:rsidRDefault="00F119AA" w:rsidP="00F119AA">
            <w:pPr>
              <w:spacing w:after="0" w:line="240" w:lineRule="auto"/>
              <w:rPr>
                <w:rFonts w:ascii="Arial Narrow" w:hAnsi="Arial Narrow" w:cs="ArialMT"/>
                <w:b/>
                <w:bCs/>
                <w:color w:val="000000"/>
                <w:sz w:val="16"/>
                <w:szCs w:val="16"/>
                <w:lang w:val="en-GB" w:eastAsia="en-GB"/>
              </w:rPr>
            </w:pPr>
            <w:r w:rsidRPr="00F119AA">
              <w:rPr>
                <w:rFonts w:ascii="Arial Narrow" w:hAnsi="Arial Narrow" w:cs="ArialMT"/>
                <w:b/>
                <w:bCs/>
                <w:color w:val="000000"/>
                <w:sz w:val="16"/>
                <w:szCs w:val="16"/>
                <w:lang w:val="en-US" w:eastAsia="en-GB"/>
              </w:rPr>
              <w:t>Knjižničarstvo</w:t>
            </w:r>
            <w:r w:rsidRPr="00F119AA">
              <w:rPr>
                <w:rFonts w:ascii="Arial Narrow" w:hAnsi="Arial Narrow" w:cs="ArialMT"/>
                <w:b/>
                <w:bCs/>
                <w:color w:val="000000"/>
                <w:sz w:val="16"/>
                <w:szCs w:val="16"/>
                <w:vertAlign w:val="superscript"/>
                <w:lang w:val="en-US" w:eastAsia="en-GB"/>
              </w:rPr>
              <w:t>1</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3,3</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3,1</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6,1</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6,2</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6,6</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6,4</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6,2</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6,4</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7,7</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7</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6,5</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6,6</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6,3</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6,6</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6,9</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6,4</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6,1</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5,7</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5,7</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5,7</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5,7</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6,2</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5,6</w:t>
            </w:r>
          </w:p>
        </w:tc>
        <w:tc>
          <w:tcPr>
            <w:tcW w:w="164" w:type="pct"/>
            <w:tcBorders>
              <w:top w:val="nil"/>
              <w:left w:val="nil"/>
              <w:bottom w:val="nil"/>
              <w:right w:val="single" w:sz="8" w:space="0" w:color="9BBB59"/>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5,7</w:t>
            </w:r>
          </w:p>
        </w:tc>
      </w:tr>
      <w:tr w:rsidR="00F119AA" w:rsidRPr="00F119AA" w:rsidTr="00986A44">
        <w:trPr>
          <w:trHeight w:val="280"/>
        </w:trPr>
        <w:tc>
          <w:tcPr>
            <w:tcW w:w="765" w:type="pct"/>
            <w:tcBorders>
              <w:top w:val="single" w:sz="8" w:space="0" w:color="9BBB59"/>
              <w:left w:val="single" w:sz="8" w:space="0" w:color="9BBB59"/>
              <w:bottom w:val="single" w:sz="8" w:space="0" w:color="9BBB59"/>
              <w:right w:val="nil"/>
            </w:tcBorders>
            <w:shd w:val="clear" w:color="auto" w:fill="auto"/>
            <w:noWrap/>
            <w:vAlign w:val="center"/>
            <w:hideMark/>
          </w:tcPr>
          <w:p w:rsidR="00F119AA" w:rsidRPr="00F119AA" w:rsidRDefault="00F119AA" w:rsidP="00F119AA">
            <w:pPr>
              <w:spacing w:after="0" w:line="240" w:lineRule="auto"/>
              <w:rPr>
                <w:rFonts w:ascii="Arial Narrow" w:hAnsi="Arial Narrow" w:cs="ArialMT"/>
                <w:b/>
                <w:bCs/>
                <w:color w:val="000000"/>
                <w:sz w:val="16"/>
                <w:szCs w:val="16"/>
                <w:lang w:val="en-GB" w:eastAsia="en-GB"/>
              </w:rPr>
            </w:pPr>
            <w:r w:rsidRPr="00F119AA">
              <w:rPr>
                <w:rFonts w:ascii="Arial Narrow" w:hAnsi="Arial Narrow" w:cs="ArialMT"/>
                <w:b/>
                <w:bCs/>
                <w:color w:val="000000"/>
                <w:sz w:val="16"/>
                <w:szCs w:val="16"/>
                <w:lang w:val="en-US" w:eastAsia="en-GB"/>
              </w:rPr>
              <w:t>Film</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2,3</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2,3</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3,9</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3,4</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3,3</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3,6</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3,7</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4</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3,9</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4</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3,9</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3,1</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3,1</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3,5</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3,7</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3,6</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3,3</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2,8</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3</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3,3</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3,2</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3,9</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3,6</w:t>
            </w:r>
          </w:p>
        </w:tc>
        <w:tc>
          <w:tcPr>
            <w:tcW w:w="164" w:type="pct"/>
            <w:tcBorders>
              <w:top w:val="single" w:sz="8" w:space="0" w:color="9BBB59"/>
              <w:left w:val="nil"/>
              <w:bottom w:val="single" w:sz="8" w:space="0" w:color="9BBB59"/>
              <w:right w:val="single" w:sz="8" w:space="0" w:color="9BBB59"/>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3,6</w:t>
            </w:r>
          </w:p>
        </w:tc>
      </w:tr>
      <w:tr w:rsidR="00DE28FF" w:rsidRPr="00F119AA" w:rsidTr="00986A44">
        <w:trPr>
          <w:trHeight w:val="280"/>
        </w:trPr>
        <w:tc>
          <w:tcPr>
            <w:tcW w:w="765" w:type="pct"/>
            <w:tcBorders>
              <w:top w:val="nil"/>
              <w:left w:val="single" w:sz="8" w:space="0" w:color="9BBB59"/>
              <w:bottom w:val="nil"/>
              <w:right w:val="nil"/>
            </w:tcBorders>
            <w:shd w:val="clear" w:color="auto" w:fill="auto"/>
            <w:noWrap/>
            <w:vAlign w:val="center"/>
            <w:hideMark/>
          </w:tcPr>
          <w:p w:rsidR="00DE28FF" w:rsidRPr="00F119AA" w:rsidRDefault="00DE28FF" w:rsidP="00F119AA">
            <w:pPr>
              <w:spacing w:after="0" w:line="240" w:lineRule="auto"/>
              <w:rPr>
                <w:rFonts w:ascii="Arial Narrow" w:hAnsi="Arial Narrow" w:cs="ArialMT"/>
                <w:b/>
                <w:bCs/>
                <w:color w:val="000000"/>
                <w:sz w:val="16"/>
                <w:szCs w:val="16"/>
                <w:lang w:val="en-GB" w:eastAsia="en-GB"/>
              </w:rPr>
            </w:pPr>
            <w:r w:rsidRPr="00F119AA">
              <w:rPr>
                <w:rFonts w:ascii="Arial Narrow" w:hAnsi="Arial Narrow" w:cs="ArialMT"/>
                <w:b/>
                <w:bCs/>
                <w:color w:val="000000"/>
                <w:sz w:val="16"/>
                <w:szCs w:val="16"/>
                <w:lang w:val="en-US" w:eastAsia="en-GB"/>
              </w:rPr>
              <w:t>Mediji</w:t>
            </w:r>
            <w:r w:rsidRPr="00F119AA">
              <w:rPr>
                <w:rFonts w:ascii="Arial Narrow" w:hAnsi="Arial Narrow" w:cs="ArialMT"/>
                <w:b/>
                <w:bCs/>
                <w:color w:val="000000"/>
                <w:sz w:val="16"/>
                <w:szCs w:val="16"/>
                <w:vertAlign w:val="superscript"/>
                <w:lang w:val="en-US" w:eastAsia="en-GB"/>
              </w:rPr>
              <w:t>6</w:t>
            </w:r>
          </w:p>
        </w:tc>
        <w:tc>
          <w:tcPr>
            <w:tcW w:w="177" w:type="pct"/>
            <w:tcBorders>
              <w:top w:val="nil"/>
              <w:left w:val="nil"/>
              <w:bottom w:val="nil"/>
              <w:right w:val="nil"/>
            </w:tcBorders>
            <w:shd w:val="clear" w:color="auto" w:fill="auto"/>
            <w:hideMark/>
          </w:tcPr>
          <w:p w:rsidR="00DE28FF" w:rsidRPr="00F119AA" w:rsidRDefault="00DE28FF" w:rsidP="00DE28FF">
            <w:pPr>
              <w:spacing w:after="0" w:line="240" w:lineRule="auto"/>
              <w:jc w:val="right"/>
              <w:rPr>
                <w:rFonts w:ascii="Arial Narrow" w:hAnsi="Arial Narrow" w:cs="ArialMT"/>
                <w:color w:val="000000"/>
                <w:sz w:val="16"/>
                <w:szCs w:val="16"/>
                <w:lang w:val="en-GB" w:eastAsia="en-GB"/>
              </w:rPr>
            </w:pPr>
            <w:r w:rsidRPr="001E3F27">
              <w:t>–</w:t>
            </w:r>
          </w:p>
        </w:tc>
        <w:tc>
          <w:tcPr>
            <w:tcW w:w="177" w:type="pct"/>
            <w:tcBorders>
              <w:top w:val="nil"/>
              <w:left w:val="nil"/>
              <w:bottom w:val="nil"/>
              <w:right w:val="nil"/>
            </w:tcBorders>
            <w:shd w:val="clear" w:color="auto" w:fill="auto"/>
            <w:hideMark/>
          </w:tcPr>
          <w:p w:rsidR="00DE28FF" w:rsidRPr="00F119AA" w:rsidRDefault="00DE28FF" w:rsidP="00DE28FF">
            <w:pPr>
              <w:spacing w:after="0" w:line="240" w:lineRule="auto"/>
              <w:jc w:val="right"/>
              <w:rPr>
                <w:rFonts w:ascii="Arial Narrow" w:hAnsi="Arial Narrow" w:cs="ArialMT"/>
                <w:color w:val="000000"/>
                <w:sz w:val="16"/>
                <w:szCs w:val="16"/>
                <w:lang w:val="en-GB" w:eastAsia="en-GB"/>
              </w:rPr>
            </w:pPr>
            <w:r w:rsidRPr="001E3F27">
              <w:t>–</w:t>
            </w:r>
          </w:p>
        </w:tc>
        <w:tc>
          <w:tcPr>
            <w:tcW w:w="177" w:type="pct"/>
            <w:tcBorders>
              <w:top w:val="nil"/>
              <w:left w:val="nil"/>
              <w:bottom w:val="nil"/>
              <w:right w:val="nil"/>
            </w:tcBorders>
            <w:shd w:val="clear" w:color="auto" w:fill="auto"/>
            <w:hideMark/>
          </w:tcPr>
          <w:p w:rsidR="00DE28FF" w:rsidRPr="00F119AA" w:rsidRDefault="00DE28FF" w:rsidP="00DE28FF">
            <w:pPr>
              <w:spacing w:after="0" w:line="240" w:lineRule="auto"/>
              <w:jc w:val="right"/>
              <w:rPr>
                <w:rFonts w:ascii="Arial Narrow" w:hAnsi="Arial Narrow" w:cs="ArialMT"/>
                <w:color w:val="000000"/>
                <w:sz w:val="16"/>
                <w:szCs w:val="16"/>
                <w:lang w:val="en-GB" w:eastAsia="en-GB"/>
              </w:rPr>
            </w:pPr>
            <w:r w:rsidRPr="001E3F27">
              <w:t>–</w:t>
            </w:r>
          </w:p>
        </w:tc>
        <w:tc>
          <w:tcPr>
            <w:tcW w:w="177" w:type="pct"/>
            <w:tcBorders>
              <w:top w:val="nil"/>
              <w:left w:val="nil"/>
              <w:bottom w:val="nil"/>
              <w:right w:val="nil"/>
            </w:tcBorders>
            <w:shd w:val="clear" w:color="auto" w:fill="auto"/>
            <w:hideMark/>
          </w:tcPr>
          <w:p w:rsidR="00DE28FF" w:rsidRPr="00F119AA" w:rsidRDefault="00DE28FF" w:rsidP="00DE28FF">
            <w:pPr>
              <w:spacing w:after="0" w:line="240" w:lineRule="auto"/>
              <w:jc w:val="right"/>
              <w:rPr>
                <w:rFonts w:ascii="Arial Narrow" w:hAnsi="Arial Narrow" w:cs="ArialMT"/>
                <w:color w:val="000000"/>
                <w:sz w:val="16"/>
                <w:szCs w:val="16"/>
                <w:lang w:val="en-GB" w:eastAsia="en-GB"/>
              </w:rPr>
            </w:pPr>
            <w:r w:rsidRPr="001E3F27">
              <w:t>–</w:t>
            </w:r>
          </w:p>
        </w:tc>
        <w:tc>
          <w:tcPr>
            <w:tcW w:w="177" w:type="pct"/>
            <w:tcBorders>
              <w:top w:val="nil"/>
              <w:left w:val="nil"/>
              <w:bottom w:val="nil"/>
              <w:right w:val="nil"/>
            </w:tcBorders>
            <w:shd w:val="clear" w:color="auto" w:fill="auto"/>
            <w:hideMark/>
          </w:tcPr>
          <w:p w:rsidR="00DE28FF" w:rsidRPr="00F119AA" w:rsidRDefault="00DE28FF" w:rsidP="00DE28FF">
            <w:pPr>
              <w:spacing w:after="0" w:line="240" w:lineRule="auto"/>
              <w:jc w:val="right"/>
              <w:rPr>
                <w:rFonts w:ascii="Arial Narrow" w:hAnsi="Arial Narrow" w:cs="ArialMT"/>
                <w:color w:val="000000"/>
                <w:sz w:val="16"/>
                <w:szCs w:val="16"/>
                <w:lang w:val="en-GB" w:eastAsia="en-GB"/>
              </w:rPr>
            </w:pPr>
            <w:r w:rsidRPr="001E3F27">
              <w:t>–</w:t>
            </w:r>
          </w:p>
        </w:tc>
        <w:tc>
          <w:tcPr>
            <w:tcW w:w="177" w:type="pct"/>
            <w:tcBorders>
              <w:top w:val="nil"/>
              <w:left w:val="nil"/>
              <w:bottom w:val="nil"/>
              <w:right w:val="nil"/>
            </w:tcBorders>
            <w:shd w:val="clear" w:color="auto" w:fill="auto"/>
            <w:hideMark/>
          </w:tcPr>
          <w:p w:rsidR="00DE28FF" w:rsidRPr="00F119AA" w:rsidRDefault="00DE28FF" w:rsidP="00DE28FF">
            <w:pPr>
              <w:spacing w:after="0" w:line="240" w:lineRule="auto"/>
              <w:jc w:val="right"/>
              <w:rPr>
                <w:rFonts w:ascii="Arial Narrow" w:hAnsi="Arial Narrow" w:cs="ArialMT"/>
                <w:color w:val="000000"/>
                <w:sz w:val="16"/>
                <w:szCs w:val="16"/>
                <w:lang w:val="en-GB" w:eastAsia="en-GB"/>
              </w:rPr>
            </w:pPr>
            <w:r w:rsidRPr="001E3F27">
              <w:t>–</w:t>
            </w:r>
          </w:p>
        </w:tc>
        <w:tc>
          <w:tcPr>
            <w:tcW w:w="177" w:type="pct"/>
            <w:tcBorders>
              <w:top w:val="nil"/>
              <w:left w:val="nil"/>
              <w:bottom w:val="nil"/>
              <w:right w:val="nil"/>
            </w:tcBorders>
            <w:shd w:val="clear" w:color="auto" w:fill="auto"/>
            <w:hideMark/>
          </w:tcPr>
          <w:p w:rsidR="00DE28FF" w:rsidRPr="00F119AA" w:rsidRDefault="00DE28FF" w:rsidP="00DE28FF">
            <w:pPr>
              <w:spacing w:after="0" w:line="240" w:lineRule="auto"/>
              <w:jc w:val="right"/>
              <w:rPr>
                <w:rFonts w:ascii="Arial Narrow" w:hAnsi="Arial Narrow" w:cs="ArialMT"/>
                <w:color w:val="000000"/>
                <w:sz w:val="16"/>
                <w:szCs w:val="16"/>
                <w:lang w:val="en-GB" w:eastAsia="en-GB"/>
              </w:rPr>
            </w:pPr>
            <w:r w:rsidRPr="001E3F27">
              <w:t>–</w:t>
            </w:r>
          </w:p>
        </w:tc>
        <w:tc>
          <w:tcPr>
            <w:tcW w:w="177" w:type="pct"/>
            <w:tcBorders>
              <w:top w:val="nil"/>
              <w:left w:val="nil"/>
              <w:bottom w:val="nil"/>
              <w:right w:val="nil"/>
            </w:tcBorders>
            <w:shd w:val="clear" w:color="auto" w:fill="auto"/>
            <w:hideMark/>
          </w:tcPr>
          <w:p w:rsidR="00DE28FF" w:rsidRPr="00F119AA" w:rsidRDefault="00DE28FF" w:rsidP="00DE28FF">
            <w:pPr>
              <w:spacing w:after="0" w:line="240" w:lineRule="auto"/>
              <w:jc w:val="right"/>
              <w:rPr>
                <w:rFonts w:ascii="Arial Narrow" w:hAnsi="Arial Narrow" w:cs="ArialMT"/>
                <w:color w:val="000000"/>
                <w:sz w:val="16"/>
                <w:szCs w:val="16"/>
                <w:lang w:val="en-GB" w:eastAsia="en-GB"/>
              </w:rPr>
            </w:pPr>
            <w:r w:rsidRPr="001E3F27">
              <w:t>–</w:t>
            </w:r>
          </w:p>
        </w:tc>
        <w:tc>
          <w:tcPr>
            <w:tcW w:w="177" w:type="pct"/>
            <w:tcBorders>
              <w:top w:val="nil"/>
              <w:left w:val="nil"/>
              <w:bottom w:val="nil"/>
              <w:right w:val="nil"/>
            </w:tcBorders>
            <w:shd w:val="clear" w:color="auto" w:fill="auto"/>
            <w:hideMark/>
          </w:tcPr>
          <w:p w:rsidR="00DE28FF" w:rsidRPr="00F119AA" w:rsidRDefault="00DE28FF" w:rsidP="00DE28FF">
            <w:pPr>
              <w:spacing w:after="0" w:line="240" w:lineRule="auto"/>
              <w:jc w:val="right"/>
              <w:rPr>
                <w:rFonts w:ascii="Arial Narrow" w:hAnsi="Arial Narrow" w:cs="ArialMT"/>
                <w:color w:val="000000"/>
                <w:sz w:val="16"/>
                <w:szCs w:val="16"/>
                <w:lang w:val="en-GB" w:eastAsia="en-GB"/>
              </w:rPr>
            </w:pPr>
            <w:r w:rsidRPr="001E3F27">
              <w:t>–</w:t>
            </w:r>
          </w:p>
        </w:tc>
        <w:tc>
          <w:tcPr>
            <w:tcW w:w="177" w:type="pct"/>
            <w:tcBorders>
              <w:top w:val="nil"/>
              <w:left w:val="nil"/>
              <w:bottom w:val="nil"/>
              <w:right w:val="nil"/>
            </w:tcBorders>
            <w:shd w:val="clear" w:color="auto" w:fill="auto"/>
            <w:hideMark/>
          </w:tcPr>
          <w:p w:rsidR="00DE28FF" w:rsidRPr="00F119AA" w:rsidRDefault="00DE28FF" w:rsidP="00DE28FF">
            <w:pPr>
              <w:spacing w:after="0" w:line="240" w:lineRule="auto"/>
              <w:jc w:val="right"/>
              <w:rPr>
                <w:rFonts w:ascii="Arial Narrow" w:hAnsi="Arial Narrow" w:cs="ArialMT"/>
                <w:color w:val="000000"/>
                <w:sz w:val="16"/>
                <w:szCs w:val="16"/>
                <w:lang w:val="en-GB" w:eastAsia="en-GB"/>
              </w:rPr>
            </w:pPr>
            <w:r w:rsidRPr="001E3F27">
              <w:t>–</w:t>
            </w:r>
          </w:p>
        </w:tc>
        <w:tc>
          <w:tcPr>
            <w:tcW w:w="177" w:type="pct"/>
            <w:tcBorders>
              <w:top w:val="nil"/>
              <w:left w:val="nil"/>
              <w:bottom w:val="nil"/>
              <w:right w:val="nil"/>
            </w:tcBorders>
            <w:shd w:val="clear" w:color="auto" w:fill="auto"/>
            <w:vAlign w:val="center"/>
            <w:hideMark/>
          </w:tcPr>
          <w:p w:rsidR="00DE28FF" w:rsidRPr="00F119AA" w:rsidRDefault="00DE28FF"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0,5</w:t>
            </w:r>
          </w:p>
        </w:tc>
        <w:tc>
          <w:tcPr>
            <w:tcW w:w="177" w:type="pct"/>
            <w:tcBorders>
              <w:top w:val="nil"/>
              <w:left w:val="nil"/>
              <w:bottom w:val="nil"/>
              <w:right w:val="nil"/>
            </w:tcBorders>
            <w:shd w:val="clear" w:color="auto" w:fill="auto"/>
            <w:vAlign w:val="center"/>
            <w:hideMark/>
          </w:tcPr>
          <w:p w:rsidR="00DE28FF" w:rsidRPr="00F119AA" w:rsidRDefault="00DE28FF"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0,6</w:t>
            </w:r>
          </w:p>
        </w:tc>
        <w:tc>
          <w:tcPr>
            <w:tcW w:w="177" w:type="pct"/>
            <w:tcBorders>
              <w:top w:val="nil"/>
              <w:left w:val="nil"/>
              <w:bottom w:val="nil"/>
              <w:right w:val="nil"/>
            </w:tcBorders>
            <w:shd w:val="clear" w:color="auto" w:fill="auto"/>
            <w:vAlign w:val="center"/>
            <w:hideMark/>
          </w:tcPr>
          <w:p w:rsidR="00DE28FF" w:rsidRPr="00F119AA" w:rsidRDefault="00DE28FF"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1,9</w:t>
            </w:r>
          </w:p>
        </w:tc>
        <w:tc>
          <w:tcPr>
            <w:tcW w:w="177" w:type="pct"/>
            <w:tcBorders>
              <w:top w:val="nil"/>
              <w:left w:val="nil"/>
              <w:bottom w:val="nil"/>
              <w:right w:val="nil"/>
            </w:tcBorders>
            <w:shd w:val="clear" w:color="auto" w:fill="auto"/>
            <w:vAlign w:val="center"/>
            <w:hideMark/>
          </w:tcPr>
          <w:p w:rsidR="00DE28FF" w:rsidRPr="00F119AA" w:rsidRDefault="00DE28FF"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3,6</w:t>
            </w:r>
          </w:p>
        </w:tc>
        <w:tc>
          <w:tcPr>
            <w:tcW w:w="177" w:type="pct"/>
            <w:tcBorders>
              <w:top w:val="nil"/>
              <w:left w:val="nil"/>
              <w:bottom w:val="nil"/>
              <w:right w:val="nil"/>
            </w:tcBorders>
            <w:shd w:val="clear" w:color="auto" w:fill="auto"/>
            <w:vAlign w:val="center"/>
            <w:hideMark/>
          </w:tcPr>
          <w:p w:rsidR="00DE28FF" w:rsidRPr="00F119AA" w:rsidRDefault="00DE28FF"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3,1</w:t>
            </w:r>
          </w:p>
        </w:tc>
        <w:tc>
          <w:tcPr>
            <w:tcW w:w="177" w:type="pct"/>
            <w:tcBorders>
              <w:top w:val="nil"/>
              <w:left w:val="nil"/>
              <w:bottom w:val="nil"/>
              <w:right w:val="nil"/>
            </w:tcBorders>
            <w:shd w:val="clear" w:color="auto" w:fill="auto"/>
            <w:vAlign w:val="center"/>
            <w:hideMark/>
          </w:tcPr>
          <w:p w:rsidR="00DE28FF" w:rsidRPr="00F119AA" w:rsidRDefault="00DE28FF"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3,1</w:t>
            </w:r>
          </w:p>
        </w:tc>
        <w:tc>
          <w:tcPr>
            <w:tcW w:w="177" w:type="pct"/>
            <w:tcBorders>
              <w:top w:val="nil"/>
              <w:left w:val="nil"/>
              <w:bottom w:val="nil"/>
              <w:right w:val="nil"/>
            </w:tcBorders>
            <w:shd w:val="clear" w:color="auto" w:fill="auto"/>
            <w:vAlign w:val="center"/>
            <w:hideMark/>
          </w:tcPr>
          <w:p w:rsidR="00DE28FF" w:rsidRPr="00F119AA" w:rsidRDefault="00DE28FF"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2,9</w:t>
            </w:r>
          </w:p>
        </w:tc>
        <w:tc>
          <w:tcPr>
            <w:tcW w:w="177" w:type="pct"/>
            <w:tcBorders>
              <w:top w:val="nil"/>
              <w:left w:val="nil"/>
              <w:bottom w:val="nil"/>
              <w:right w:val="nil"/>
            </w:tcBorders>
            <w:shd w:val="clear" w:color="auto" w:fill="auto"/>
            <w:vAlign w:val="center"/>
            <w:hideMark/>
          </w:tcPr>
          <w:p w:rsidR="00DE28FF" w:rsidRPr="00F119AA" w:rsidRDefault="00DE28FF"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2,7</w:t>
            </w:r>
          </w:p>
        </w:tc>
        <w:tc>
          <w:tcPr>
            <w:tcW w:w="177" w:type="pct"/>
            <w:tcBorders>
              <w:top w:val="nil"/>
              <w:left w:val="nil"/>
              <w:bottom w:val="nil"/>
              <w:right w:val="nil"/>
            </w:tcBorders>
            <w:shd w:val="clear" w:color="auto" w:fill="auto"/>
            <w:vAlign w:val="center"/>
            <w:hideMark/>
          </w:tcPr>
          <w:p w:rsidR="00DE28FF" w:rsidRPr="00F119AA" w:rsidRDefault="00DE28FF"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2,4</w:t>
            </w:r>
          </w:p>
        </w:tc>
        <w:tc>
          <w:tcPr>
            <w:tcW w:w="177" w:type="pct"/>
            <w:tcBorders>
              <w:top w:val="nil"/>
              <w:left w:val="nil"/>
              <w:bottom w:val="nil"/>
              <w:right w:val="nil"/>
            </w:tcBorders>
            <w:shd w:val="clear" w:color="auto" w:fill="auto"/>
            <w:vAlign w:val="center"/>
            <w:hideMark/>
          </w:tcPr>
          <w:p w:rsidR="00DE28FF" w:rsidRPr="00F119AA" w:rsidRDefault="00DE28FF"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2,4</w:t>
            </w:r>
          </w:p>
        </w:tc>
        <w:tc>
          <w:tcPr>
            <w:tcW w:w="177" w:type="pct"/>
            <w:tcBorders>
              <w:top w:val="nil"/>
              <w:left w:val="nil"/>
              <w:bottom w:val="nil"/>
              <w:right w:val="nil"/>
            </w:tcBorders>
            <w:shd w:val="clear" w:color="auto" w:fill="auto"/>
            <w:vAlign w:val="center"/>
            <w:hideMark/>
          </w:tcPr>
          <w:p w:rsidR="00DE28FF" w:rsidRPr="00F119AA" w:rsidRDefault="00DE28FF"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1,3</w:t>
            </w:r>
          </w:p>
        </w:tc>
        <w:tc>
          <w:tcPr>
            <w:tcW w:w="177" w:type="pct"/>
            <w:tcBorders>
              <w:top w:val="nil"/>
              <w:left w:val="nil"/>
              <w:bottom w:val="nil"/>
              <w:right w:val="nil"/>
            </w:tcBorders>
            <w:shd w:val="clear" w:color="auto" w:fill="auto"/>
            <w:vAlign w:val="center"/>
            <w:hideMark/>
          </w:tcPr>
          <w:p w:rsidR="00DE28FF" w:rsidRPr="00F119AA" w:rsidRDefault="00DE28FF"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1,6</w:t>
            </w:r>
          </w:p>
        </w:tc>
        <w:tc>
          <w:tcPr>
            <w:tcW w:w="177" w:type="pct"/>
            <w:tcBorders>
              <w:top w:val="nil"/>
              <w:left w:val="nil"/>
              <w:bottom w:val="nil"/>
              <w:right w:val="nil"/>
            </w:tcBorders>
            <w:shd w:val="clear" w:color="auto" w:fill="auto"/>
            <w:vAlign w:val="center"/>
            <w:hideMark/>
          </w:tcPr>
          <w:p w:rsidR="00DE28FF" w:rsidRPr="00F119AA" w:rsidRDefault="00DE28FF"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1,2</w:t>
            </w:r>
          </w:p>
        </w:tc>
        <w:tc>
          <w:tcPr>
            <w:tcW w:w="164" w:type="pct"/>
            <w:tcBorders>
              <w:top w:val="nil"/>
              <w:left w:val="nil"/>
              <w:bottom w:val="nil"/>
              <w:right w:val="single" w:sz="8" w:space="0" w:color="9BBB59"/>
            </w:tcBorders>
            <w:shd w:val="clear" w:color="auto" w:fill="auto"/>
            <w:vAlign w:val="center"/>
            <w:hideMark/>
          </w:tcPr>
          <w:p w:rsidR="00DE28FF" w:rsidRPr="00F119AA" w:rsidRDefault="00DE28FF"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1,8</w:t>
            </w:r>
          </w:p>
        </w:tc>
      </w:tr>
      <w:tr w:rsidR="00F119AA" w:rsidRPr="00F119AA" w:rsidTr="00986A44">
        <w:trPr>
          <w:trHeight w:val="280"/>
        </w:trPr>
        <w:tc>
          <w:tcPr>
            <w:tcW w:w="765" w:type="pct"/>
            <w:tcBorders>
              <w:top w:val="single" w:sz="8" w:space="0" w:color="9BBB59"/>
              <w:left w:val="single" w:sz="8" w:space="0" w:color="9BBB59"/>
              <w:bottom w:val="single" w:sz="8" w:space="0" w:color="9BBB59"/>
              <w:right w:val="nil"/>
            </w:tcBorders>
            <w:shd w:val="clear" w:color="auto" w:fill="auto"/>
            <w:noWrap/>
            <w:vAlign w:val="center"/>
            <w:hideMark/>
          </w:tcPr>
          <w:p w:rsidR="00F119AA" w:rsidRPr="00F119AA" w:rsidRDefault="00F119AA" w:rsidP="00F119AA">
            <w:pPr>
              <w:spacing w:after="0" w:line="240" w:lineRule="auto"/>
              <w:rPr>
                <w:rFonts w:ascii="Arial Narrow" w:hAnsi="Arial Narrow" w:cs="ArialMT"/>
                <w:b/>
                <w:bCs/>
                <w:color w:val="000000"/>
                <w:sz w:val="16"/>
                <w:szCs w:val="16"/>
                <w:lang w:val="en-GB" w:eastAsia="en-GB"/>
              </w:rPr>
            </w:pPr>
            <w:proofErr w:type="spellStart"/>
            <w:r w:rsidRPr="00F119AA">
              <w:rPr>
                <w:rFonts w:ascii="Arial Narrow" w:hAnsi="Arial Narrow" w:cs="ArialMT"/>
                <w:b/>
                <w:bCs/>
                <w:color w:val="000000"/>
                <w:sz w:val="16"/>
                <w:szCs w:val="16"/>
                <w:lang w:val="en-US" w:eastAsia="en-GB"/>
              </w:rPr>
              <w:t>Ljubiteljska</w:t>
            </w:r>
            <w:proofErr w:type="spellEnd"/>
            <w:r w:rsidRPr="00F119AA">
              <w:rPr>
                <w:rFonts w:ascii="Arial Narrow" w:hAnsi="Arial Narrow" w:cs="ArialMT"/>
                <w:b/>
                <w:bCs/>
                <w:color w:val="000000"/>
                <w:sz w:val="16"/>
                <w:szCs w:val="16"/>
                <w:lang w:val="en-US" w:eastAsia="en-GB"/>
              </w:rPr>
              <w:t xml:space="preserve"> kultura</w:t>
            </w:r>
            <w:r w:rsidRPr="00F119AA">
              <w:rPr>
                <w:rFonts w:ascii="Arial Narrow" w:hAnsi="Arial Narrow" w:cs="ArialMT"/>
                <w:b/>
                <w:bCs/>
                <w:color w:val="000000"/>
                <w:sz w:val="16"/>
                <w:szCs w:val="16"/>
                <w:vertAlign w:val="superscript"/>
                <w:lang w:val="en-US" w:eastAsia="en-GB"/>
              </w:rPr>
              <w:t>2</w:t>
            </w:r>
            <w:r w:rsidRPr="00F119AA">
              <w:rPr>
                <w:rFonts w:ascii="Arial Narrow" w:hAnsi="Arial Narrow" w:cs="ArialMT"/>
                <w:b/>
                <w:bCs/>
                <w:color w:val="000000"/>
                <w:sz w:val="16"/>
                <w:szCs w:val="16"/>
                <w:lang w:val="en-US" w:eastAsia="en-GB"/>
              </w:rPr>
              <w:t xml:space="preserve"> </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0,5</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0,5</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0,5</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0,4</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3</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2,8</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2,9</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2,9</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2,8</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2,7</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2,6</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2,5</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2,4</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2,5</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2,5</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2,4</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2,3</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2,5</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2,7</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2,7</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2,5</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2,6</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2,4</w:t>
            </w:r>
          </w:p>
        </w:tc>
        <w:tc>
          <w:tcPr>
            <w:tcW w:w="164" w:type="pct"/>
            <w:tcBorders>
              <w:top w:val="single" w:sz="8" w:space="0" w:color="9BBB59"/>
              <w:left w:val="nil"/>
              <w:bottom w:val="single" w:sz="8" w:space="0" w:color="9BBB59"/>
              <w:right w:val="single" w:sz="8" w:space="0" w:color="9BBB59"/>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2,5</w:t>
            </w:r>
          </w:p>
        </w:tc>
      </w:tr>
      <w:tr w:rsidR="00F119AA" w:rsidRPr="00F119AA" w:rsidTr="00986A44">
        <w:trPr>
          <w:trHeight w:val="280"/>
        </w:trPr>
        <w:tc>
          <w:tcPr>
            <w:tcW w:w="765" w:type="pct"/>
            <w:tcBorders>
              <w:top w:val="nil"/>
              <w:left w:val="single" w:sz="8" w:space="0" w:color="9BBB59"/>
              <w:bottom w:val="nil"/>
              <w:right w:val="nil"/>
            </w:tcBorders>
            <w:shd w:val="clear" w:color="auto" w:fill="auto"/>
            <w:noWrap/>
            <w:vAlign w:val="center"/>
            <w:hideMark/>
          </w:tcPr>
          <w:p w:rsidR="00F119AA" w:rsidRPr="00F119AA" w:rsidRDefault="00F119AA" w:rsidP="00F119AA">
            <w:pPr>
              <w:spacing w:after="0" w:line="240" w:lineRule="auto"/>
              <w:rPr>
                <w:rFonts w:ascii="Arial Narrow" w:hAnsi="Arial Narrow" w:cs="ArialMT"/>
                <w:b/>
                <w:bCs/>
                <w:color w:val="000000"/>
                <w:sz w:val="16"/>
                <w:szCs w:val="16"/>
                <w:lang w:val="en-GB" w:eastAsia="en-GB"/>
              </w:rPr>
            </w:pPr>
            <w:proofErr w:type="spellStart"/>
            <w:r w:rsidRPr="00F119AA">
              <w:rPr>
                <w:rFonts w:ascii="Arial Narrow" w:hAnsi="Arial Narrow" w:cs="ArialMT"/>
                <w:b/>
                <w:bCs/>
                <w:color w:val="000000"/>
                <w:sz w:val="16"/>
                <w:szCs w:val="16"/>
                <w:lang w:val="en-US" w:eastAsia="en-GB"/>
              </w:rPr>
              <w:t>Varstvo</w:t>
            </w:r>
            <w:proofErr w:type="spellEnd"/>
            <w:r w:rsidRPr="00F119AA">
              <w:rPr>
                <w:rFonts w:ascii="Arial Narrow" w:hAnsi="Arial Narrow" w:cs="ArialMT"/>
                <w:b/>
                <w:bCs/>
                <w:color w:val="000000"/>
                <w:sz w:val="16"/>
                <w:szCs w:val="16"/>
                <w:lang w:val="en-US" w:eastAsia="en-GB"/>
              </w:rPr>
              <w:t xml:space="preserve"> </w:t>
            </w:r>
            <w:proofErr w:type="spellStart"/>
            <w:r w:rsidRPr="00F119AA">
              <w:rPr>
                <w:rFonts w:ascii="Arial Narrow" w:hAnsi="Arial Narrow" w:cs="ArialMT"/>
                <w:b/>
                <w:bCs/>
                <w:color w:val="000000"/>
                <w:sz w:val="16"/>
                <w:szCs w:val="16"/>
                <w:lang w:val="en-US" w:eastAsia="en-GB"/>
              </w:rPr>
              <w:t>premične</w:t>
            </w:r>
            <w:proofErr w:type="spellEnd"/>
            <w:r w:rsidRPr="00F119AA">
              <w:rPr>
                <w:rFonts w:ascii="Arial Narrow" w:hAnsi="Arial Narrow" w:cs="ArialMT"/>
                <w:b/>
                <w:bCs/>
                <w:color w:val="000000"/>
                <w:sz w:val="16"/>
                <w:szCs w:val="16"/>
                <w:lang w:val="en-US" w:eastAsia="en-GB"/>
              </w:rPr>
              <w:t xml:space="preserve"> </w:t>
            </w:r>
            <w:proofErr w:type="spellStart"/>
            <w:r w:rsidRPr="00F119AA">
              <w:rPr>
                <w:rFonts w:ascii="Arial Narrow" w:hAnsi="Arial Narrow" w:cs="ArialMT"/>
                <w:b/>
                <w:bCs/>
                <w:color w:val="000000"/>
                <w:sz w:val="16"/>
                <w:szCs w:val="16"/>
                <w:lang w:val="en-US" w:eastAsia="en-GB"/>
              </w:rPr>
              <w:t>kult</w:t>
            </w:r>
            <w:proofErr w:type="spellEnd"/>
            <w:r w:rsidRPr="00F119AA">
              <w:rPr>
                <w:rFonts w:ascii="Arial Narrow" w:hAnsi="Arial Narrow" w:cs="ArialMT"/>
                <w:b/>
                <w:bCs/>
                <w:color w:val="000000"/>
                <w:sz w:val="16"/>
                <w:szCs w:val="16"/>
                <w:lang w:val="en-US" w:eastAsia="en-GB"/>
              </w:rPr>
              <w:t xml:space="preserve">. </w:t>
            </w:r>
            <w:proofErr w:type="spellStart"/>
            <w:r w:rsidRPr="00F119AA">
              <w:rPr>
                <w:rFonts w:ascii="Arial Narrow" w:hAnsi="Arial Narrow" w:cs="ArialMT"/>
                <w:b/>
                <w:bCs/>
                <w:color w:val="000000"/>
                <w:sz w:val="16"/>
                <w:szCs w:val="16"/>
                <w:lang w:val="en-US" w:eastAsia="en-GB"/>
              </w:rPr>
              <w:t>ded</w:t>
            </w:r>
            <w:proofErr w:type="spellEnd"/>
            <w:r w:rsidRPr="00F119AA">
              <w:rPr>
                <w:rFonts w:ascii="Arial Narrow" w:hAnsi="Arial Narrow" w:cs="ArialMT"/>
                <w:b/>
                <w:bCs/>
                <w:color w:val="000000"/>
                <w:sz w:val="16"/>
                <w:szCs w:val="16"/>
                <w:lang w:val="en-US" w:eastAsia="en-GB"/>
              </w:rPr>
              <w:t>.</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21,7</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21,1</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19,2</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19,6</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19,2</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19,1</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19,2</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13,5</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15,8</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17,7</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17,9</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18,3</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17,5</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16,9</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16,8</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18,5</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19</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18</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16,3</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16,7</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17,4</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18,2</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17,4</w:t>
            </w:r>
          </w:p>
        </w:tc>
        <w:tc>
          <w:tcPr>
            <w:tcW w:w="164" w:type="pct"/>
            <w:tcBorders>
              <w:top w:val="nil"/>
              <w:left w:val="nil"/>
              <w:bottom w:val="nil"/>
              <w:right w:val="single" w:sz="8" w:space="0" w:color="9BBB59"/>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17</w:t>
            </w:r>
          </w:p>
        </w:tc>
      </w:tr>
      <w:tr w:rsidR="00F119AA" w:rsidRPr="00F119AA" w:rsidTr="00986A44">
        <w:trPr>
          <w:trHeight w:val="280"/>
        </w:trPr>
        <w:tc>
          <w:tcPr>
            <w:tcW w:w="765" w:type="pct"/>
            <w:tcBorders>
              <w:top w:val="single" w:sz="8" w:space="0" w:color="9BBB59"/>
              <w:left w:val="single" w:sz="8" w:space="0" w:color="9BBB59"/>
              <w:bottom w:val="single" w:sz="8" w:space="0" w:color="9BBB59"/>
              <w:right w:val="nil"/>
            </w:tcBorders>
            <w:shd w:val="clear" w:color="auto" w:fill="auto"/>
            <w:noWrap/>
            <w:vAlign w:val="center"/>
            <w:hideMark/>
          </w:tcPr>
          <w:p w:rsidR="00F119AA" w:rsidRPr="00F119AA" w:rsidRDefault="00F119AA" w:rsidP="00F119AA">
            <w:pPr>
              <w:spacing w:after="0" w:line="240" w:lineRule="auto"/>
              <w:rPr>
                <w:rFonts w:ascii="Arial Narrow" w:hAnsi="Arial Narrow" w:cs="ArialMT"/>
                <w:b/>
                <w:bCs/>
                <w:color w:val="000000"/>
                <w:sz w:val="16"/>
                <w:szCs w:val="16"/>
                <w:lang w:val="en-GB" w:eastAsia="en-GB"/>
              </w:rPr>
            </w:pPr>
            <w:proofErr w:type="spellStart"/>
            <w:r w:rsidRPr="00F119AA">
              <w:rPr>
                <w:rFonts w:ascii="Arial Narrow" w:hAnsi="Arial Narrow" w:cs="ArialMT"/>
                <w:b/>
                <w:bCs/>
                <w:color w:val="000000"/>
                <w:sz w:val="16"/>
                <w:szCs w:val="16"/>
                <w:lang w:val="en-US" w:eastAsia="en-GB"/>
              </w:rPr>
              <w:t>Varstvo</w:t>
            </w:r>
            <w:proofErr w:type="spellEnd"/>
            <w:r w:rsidRPr="00F119AA">
              <w:rPr>
                <w:rFonts w:ascii="Arial Narrow" w:hAnsi="Arial Narrow" w:cs="ArialMT"/>
                <w:b/>
                <w:bCs/>
                <w:color w:val="000000"/>
                <w:sz w:val="16"/>
                <w:szCs w:val="16"/>
                <w:lang w:val="en-US" w:eastAsia="en-GB"/>
              </w:rPr>
              <w:t xml:space="preserve"> </w:t>
            </w:r>
            <w:proofErr w:type="spellStart"/>
            <w:r w:rsidRPr="00F119AA">
              <w:rPr>
                <w:rFonts w:ascii="Arial Narrow" w:hAnsi="Arial Narrow" w:cs="ArialMT"/>
                <w:b/>
                <w:bCs/>
                <w:color w:val="000000"/>
                <w:sz w:val="16"/>
                <w:szCs w:val="16"/>
                <w:lang w:val="en-US" w:eastAsia="en-GB"/>
              </w:rPr>
              <w:t>nepremične</w:t>
            </w:r>
            <w:proofErr w:type="spellEnd"/>
            <w:r w:rsidRPr="00F119AA">
              <w:rPr>
                <w:rFonts w:ascii="Arial Narrow" w:hAnsi="Arial Narrow" w:cs="ArialMT"/>
                <w:b/>
                <w:bCs/>
                <w:color w:val="000000"/>
                <w:sz w:val="16"/>
                <w:szCs w:val="16"/>
                <w:lang w:val="en-US" w:eastAsia="en-GB"/>
              </w:rPr>
              <w:t xml:space="preserve"> </w:t>
            </w:r>
            <w:proofErr w:type="spellStart"/>
            <w:r w:rsidRPr="00F119AA">
              <w:rPr>
                <w:rFonts w:ascii="Arial Narrow" w:hAnsi="Arial Narrow" w:cs="ArialMT"/>
                <w:b/>
                <w:bCs/>
                <w:color w:val="000000"/>
                <w:sz w:val="16"/>
                <w:szCs w:val="16"/>
                <w:lang w:val="en-US" w:eastAsia="en-GB"/>
              </w:rPr>
              <w:t>kult</w:t>
            </w:r>
            <w:proofErr w:type="spellEnd"/>
            <w:r w:rsidRPr="00F119AA">
              <w:rPr>
                <w:rFonts w:ascii="Arial Narrow" w:hAnsi="Arial Narrow" w:cs="ArialMT"/>
                <w:b/>
                <w:bCs/>
                <w:color w:val="000000"/>
                <w:sz w:val="16"/>
                <w:szCs w:val="16"/>
                <w:lang w:val="en-US" w:eastAsia="en-GB"/>
              </w:rPr>
              <w:t>. ded.</w:t>
            </w:r>
            <w:r w:rsidRPr="00F119AA">
              <w:rPr>
                <w:rFonts w:ascii="Arial Narrow" w:hAnsi="Arial Narrow" w:cs="ArialMT"/>
                <w:b/>
                <w:bCs/>
                <w:color w:val="000000"/>
                <w:sz w:val="16"/>
                <w:szCs w:val="16"/>
                <w:vertAlign w:val="superscript"/>
                <w:lang w:val="en-US" w:eastAsia="en-GB"/>
              </w:rPr>
              <w:t>14</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12,2</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11</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12,3</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9,7</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9,7</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9,6</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10</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14,9</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14,2</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11,2</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11,7</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11,6</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9,8</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11,3</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11,8</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12</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10,1</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9,3</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13,5</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13,4</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12,7</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9,7</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17</w:t>
            </w:r>
          </w:p>
        </w:tc>
        <w:tc>
          <w:tcPr>
            <w:tcW w:w="164" w:type="pct"/>
            <w:tcBorders>
              <w:top w:val="single" w:sz="8" w:space="0" w:color="9BBB59"/>
              <w:left w:val="nil"/>
              <w:bottom w:val="single" w:sz="8" w:space="0" w:color="9BBB59"/>
              <w:right w:val="single" w:sz="8" w:space="0" w:color="9BBB59"/>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17,1</w:t>
            </w:r>
          </w:p>
        </w:tc>
      </w:tr>
      <w:tr w:rsidR="00F119AA" w:rsidRPr="00F119AA" w:rsidTr="00986A44">
        <w:trPr>
          <w:trHeight w:val="280"/>
        </w:trPr>
        <w:tc>
          <w:tcPr>
            <w:tcW w:w="765" w:type="pct"/>
            <w:tcBorders>
              <w:top w:val="nil"/>
              <w:left w:val="single" w:sz="8" w:space="0" w:color="9BBB59"/>
              <w:bottom w:val="nil"/>
              <w:right w:val="nil"/>
            </w:tcBorders>
            <w:shd w:val="clear" w:color="auto" w:fill="auto"/>
            <w:noWrap/>
            <w:vAlign w:val="center"/>
            <w:hideMark/>
          </w:tcPr>
          <w:p w:rsidR="00F119AA" w:rsidRPr="00F119AA" w:rsidRDefault="00F119AA" w:rsidP="00F119AA">
            <w:pPr>
              <w:spacing w:after="0" w:line="240" w:lineRule="auto"/>
              <w:rPr>
                <w:rFonts w:ascii="Arial Narrow" w:hAnsi="Arial Narrow" w:cs="ArialMT"/>
                <w:b/>
                <w:bCs/>
                <w:color w:val="000000"/>
                <w:sz w:val="16"/>
                <w:szCs w:val="16"/>
                <w:lang w:val="en-GB" w:eastAsia="en-GB"/>
              </w:rPr>
            </w:pPr>
            <w:proofErr w:type="spellStart"/>
            <w:r w:rsidRPr="00F119AA">
              <w:rPr>
                <w:rFonts w:ascii="Arial Narrow" w:hAnsi="Arial Narrow" w:cs="ArialMT"/>
                <w:b/>
                <w:bCs/>
                <w:color w:val="000000"/>
                <w:sz w:val="16"/>
                <w:szCs w:val="16"/>
                <w:lang w:val="en-US" w:eastAsia="en-GB"/>
              </w:rPr>
              <w:t>Manjšinske</w:t>
            </w:r>
            <w:proofErr w:type="spellEnd"/>
            <w:r w:rsidRPr="00F119AA">
              <w:rPr>
                <w:rFonts w:ascii="Arial Narrow" w:hAnsi="Arial Narrow" w:cs="ArialMT"/>
                <w:b/>
                <w:bCs/>
                <w:color w:val="000000"/>
                <w:sz w:val="16"/>
                <w:szCs w:val="16"/>
                <w:lang w:val="en-US" w:eastAsia="en-GB"/>
              </w:rPr>
              <w:t xml:space="preserve"> </w:t>
            </w:r>
            <w:proofErr w:type="spellStart"/>
            <w:r w:rsidRPr="00F119AA">
              <w:rPr>
                <w:rFonts w:ascii="Arial Narrow" w:hAnsi="Arial Narrow" w:cs="ArialMT"/>
                <w:b/>
                <w:bCs/>
                <w:color w:val="000000"/>
                <w:sz w:val="16"/>
                <w:szCs w:val="16"/>
                <w:lang w:val="en-US" w:eastAsia="en-GB"/>
              </w:rPr>
              <w:t>skupnosti</w:t>
            </w:r>
            <w:proofErr w:type="spellEnd"/>
            <w:r w:rsidRPr="00F119AA">
              <w:rPr>
                <w:rFonts w:ascii="Arial Narrow" w:hAnsi="Arial Narrow" w:cs="ArialMT"/>
                <w:b/>
                <w:bCs/>
                <w:color w:val="000000"/>
                <w:sz w:val="16"/>
                <w:szCs w:val="16"/>
                <w:lang w:val="en-US" w:eastAsia="en-GB"/>
              </w:rPr>
              <w:t xml:space="preserve"> v RS</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0,3</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0,6</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0,5</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0,6</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0,5</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0,6</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0,7</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0,6</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0,6</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0,5</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0,6</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0,5</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0,5</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0,6</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0,7</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0,7</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0,7</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1,4</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1,3</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1,3</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1,5</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2,6</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3,2</w:t>
            </w:r>
          </w:p>
        </w:tc>
        <w:tc>
          <w:tcPr>
            <w:tcW w:w="164" w:type="pct"/>
            <w:tcBorders>
              <w:top w:val="nil"/>
              <w:left w:val="nil"/>
              <w:bottom w:val="nil"/>
              <w:right w:val="single" w:sz="8" w:space="0" w:color="9BBB59"/>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1,7</w:t>
            </w:r>
          </w:p>
        </w:tc>
      </w:tr>
      <w:tr w:rsidR="00986A44" w:rsidRPr="00F119AA" w:rsidTr="00986A44">
        <w:trPr>
          <w:trHeight w:val="280"/>
        </w:trPr>
        <w:tc>
          <w:tcPr>
            <w:tcW w:w="765" w:type="pct"/>
            <w:tcBorders>
              <w:top w:val="single" w:sz="8" w:space="0" w:color="9BBB59"/>
              <w:left w:val="single" w:sz="8" w:space="0" w:color="9BBB59"/>
              <w:bottom w:val="single" w:sz="8" w:space="0" w:color="9BBB59"/>
              <w:right w:val="nil"/>
            </w:tcBorders>
            <w:shd w:val="clear" w:color="auto" w:fill="auto"/>
            <w:noWrap/>
            <w:vAlign w:val="center"/>
            <w:hideMark/>
          </w:tcPr>
          <w:p w:rsidR="00986A44" w:rsidRPr="00F119AA" w:rsidRDefault="00986A44" w:rsidP="00986A44">
            <w:pPr>
              <w:spacing w:after="0" w:line="240" w:lineRule="auto"/>
              <w:rPr>
                <w:rFonts w:ascii="Arial Narrow" w:hAnsi="Arial Narrow" w:cs="ArialMT"/>
                <w:b/>
                <w:bCs/>
                <w:color w:val="000000"/>
                <w:sz w:val="16"/>
                <w:szCs w:val="16"/>
                <w:lang w:val="en-GB" w:eastAsia="en-GB"/>
              </w:rPr>
            </w:pPr>
            <w:proofErr w:type="spellStart"/>
            <w:r w:rsidRPr="00F119AA">
              <w:rPr>
                <w:rFonts w:ascii="Arial Narrow" w:hAnsi="Arial Narrow" w:cs="ArialMT"/>
                <w:b/>
                <w:bCs/>
                <w:color w:val="000000"/>
                <w:sz w:val="16"/>
                <w:szCs w:val="16"/>
                <w:lang w:val="en-US" w:eastAsia="en-GB"/>
              </w:rPr>
              <w:t>Slovenci</w:t>
            </w:r>
            <w:proofErr w:type="spellEnd"/>
            <w:r w:rsidRPr="00F119AA">
              <w:rPr>
                <w:rFonts w:ascii="Arial Narrow" w:hAnsi="Arial Narrow" w:cs="ArialMT"/>
                <w:b/>
                <w:bCs/>
                <w:color w:val="000000"/>
                <w:sz w:val="16"/>
                <w:szCs w:val="16"/>
                <w:lang w:val="en-US" w:eastAsia="en-GB"/>
              </w:rPr>
              <w:t xml:space="preserve"> </w:t>
            </w:r>
            <w:proofErr w:type="spellStart"/>
            <w:r w:rsidRPr="00F119AA">
              <w:rPr>
                <w:rFonts w:ascii="Arial Narrow" w:hAnsi="Arial Narrow" w:cs="ArialMT"/>
                <w:b/>
                <w:bCs/>
                <w:color w:val="000000"/>
                <w:sz w:val="16"/>
                <w:szCs w:val="16"/>
                <w:lang w:val="en-US" w:eastAsia="en-GB"/>
              </w:rPr>
              <w:t>zunaj</w:t>
            </w:r>
            <w:proofErr w:type="spellEnd"/>
            <w:r w:rsidRPr="00F119AA">
              <w:rPr>
                <w:rFonts w:ascii="Arial Narrow" w:hAnsi="Arial Narrow" w:cs="ArialMT"/>
                <w:b/>
                <w:bCs/>
                <w:color w:val="000000"/>
                <w:sz w:val="16"/>
                <w:szCs w:val="16"/>
                <w:lang w:val="en-US" w:eastAsia="en-GB"/>
              </w:rPr>
              <w:t xml:space="preserve"> RS</w:t>
            </w:r>
            <w:r w:rsidRPr="00F119AA">
              <w:rPr>
                <w:rFonts w:ascii="Arial Narrow" w:hAnsi="Arial Narrow" w:cs="ArialMT"/>
                <w:b/>
                <w:bCs/>
                <w:color w:val="000000"/>
                <w:sz w:val="16"/>
                <w:szCs w:val="16"/>
                <w:vertAlign w:val="superscript"/>
                <w:lang w:val="en-US" w:eastAsia="en-GB"/>
              </w:rPr>
              <w:t>10</w:t>
            </w:r>
          </w:p>
        </w:tc>
        <w:tc>
          <w:tcPr>
            <w:tcW w:w="177" w:type="pct"/>
            <w:tcBorders>
              <w:top w:val="single" w:sz="8" w:space="0" w:color="9BBB59"/>
              <w:left w:val="nil"/>
              <w:bottom w:val="single" w:sz="8" w:space="0" w:color="9BBB59"/>
              <w:right w:val="nil"/>
            </w:tcBorders>
            <w:shd w:val="clear" w:color="auto" w:fill="auto"/>
            <w:vAlign w:val="center"/>
            <w:hideMark/>
          </w:tcPr>
          <w:p w:rsidR="00986A44" w:rsidRPr="00F119AA" w:rsidRDefault="00986A44" w:rsidP="00986A44">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0,4</w:t>
            </w:r>
          </w:p>
        </w:tc>
        <w:tc>
          <w:tcPr>
            <w:tcW w:w="177" w:type="pct"/>
            <w:tcBorders>
              <w:top w:val="single" w:sz="8" w:space="0" w:color="9BBB59"/>
              <w:left w:val="nil"/>
              <w:bottom w:val="single" w:sz="8" w:space="0" w:color="9BBB59"/>
              <w:right w:val="nil"/>
            </w:tcBorders>
            <w:shd w:val="clear" w:color="auto" w:fill="auto"/>
            <w:vAlign w:val="center"/>
            <w:hideMark/>
          </w:tcPr>
          <w:p w:rsidR="00986A44" w:rsidRPr="00F119AA" w:rsidRDefault="00986A44" w:rsidP="00986A44">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0,6</w:t>
            </w:r>
          </w:p>
        </w:tc>
        <w:tc>
          <w:tcPr>
            <w:tcW w:w="177" w:type="pct"/>
            <w:tcBorders>
              <w:top w:val="single" w:sz="8" w:space="0" w:color="9BBB59"/>
              <w:left w:val="nil"/>
              <w:bottom w:val="single" w:sz="8" w:space="0" w:color="9BBB59"/>
              <w:right w:val="nil"/>
            </w:tcBorders>
            <w:shd w:val="clear" w:color="auto" w:fill="auto"/>
            <w:vAlign w:val="center"/>
            <w:hideMark/>
          </w:tcPr>
          <w:p w:rsidR="00986A44" w:rsidRPr="00F119AA" w:rsidRDefault="00986A44" w:rsidP="00986A44">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0,6</w:t>
            </w:r>
          </w:p>
        </w:tc>
        <w:tc>
          <w:tcPr>
            <w:tcW w:w="177" w:type="pct"/>
            <w:tcBorders>
              <w:top w:val="single" w:sz="8" w:space="0" w:color="9BBB59"/>
              <w:left w:val="nil"/>
              <w:bottom w:val="single" w:sz="8" w:space="0" w:color="9BBB59"/>
              <w:right w:val="nil"/>
            </w:tcBorders>
            <w:shd w:val="clear" w:color="auto" w:fill="auto"/>
            <w:vAlign w:val="center"/>
            <w:hideMark/>
          </w:tcPr>
          <w:p w:rsidR="00986A44" w:rsidRPr="00F119AA" w:rsidRDefault="00986A44" w:rsidP="00986A44">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0,7</w:t>
            </w:r>
          </w:p>
        </w:tc>
        <w:tc>
          <w:tcPr>
            <w:tcW w:w="177" w:type="pct"/>
            <w:tcBorders>
              <w:top w:val="single" w:sz="8" w:space="0" w:color="9BBB59"/>
              <w:left w:val="nil"/>
              <w:bottom w:val="single" w:sz="8" w:space="0" w:color="9BBB59"/>
              <w:right w:val="nil"/>
            </w:tcBorders>
            <w:shd w:val="clear" w:color="auto" w:fill="auto"/>
            <w:vAlign w:val="center"/>
            <w:hideMark/>
          </w:tcPr>
          <w:p w:rsidR="00986A44" w:rsidRPr="00F119AA" w:rsidRDefault="00986A44" w:rsidP="00986A44">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0,6</w:t>
            </w:r>
          </w:p>
        </w:tc>
        <w:tc>
          <w:tcPr>
            <w:tcW w:w="177" w:type="pct"/>
            <w:tcBorders>
              <w:top w:val="single" w:sz="8" w:space="0" w:color="9BBB59"/>
              <w:left w:val="nil"/>
              <w:bottom w:val="single" w:sz="8" w:space="0" w:color="9BBB59"/>
              <w:right w:val="nil"/>
            </w:tcBorders>
            <w:shd w:val="clear" w:color="auto" w:fill="auto"/>
            <w:vAlign w:val="center"/>
            <w:hideMark/>
          </w:tcPr>
          <w:p w:rsidR="00986A44" w:rsidRPr="00F119AA" w:rsidRDefault="00986A44" w:rsidP="00986A44">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0,7</w:t>
            </w:r>
          </w:p>
        </w:tc>
        <w:tc>
          <w:tcPr>
            <w:tcW w:w="177" w:type="pct"/>
            <w:tcBorders>
              <w:top w:val="single" w:sz="8" w:space="0" w:color="9BBB59"/>
              <w:left w:val="nil"/>
              <w:bottom w:val="single" w:sz="8" w:space="0" w:color="9BBB59"/>
              <w:right w:val="nil"/>
            </w:tcBorders>
            <w:shd w:val="clear" w:color="auto" w:fill="auto"/>
            <w:vAlign w:val="center"/>
            <w:hideMark/>
          </w:tcPr>
          <w:p w:rsidR="00986A44" w:rsidRPr="00F119AA" w:rsidRDefault="00986A44" w:rsidP="00986A44">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0,7</w:t>
            </w:r>
          </w:p>
        </w:tc>
        <w:tc>
          <w:tcPr>
            <w:tcW w:w="177" w:type="pct"/>
            <w:tcBorders>
              <w:top w:val="single" w:sz="8" w:space="0" w:color="9BBB59"/>
              <w:left w:val="nil"/>
              <w:bottom w:val="single" w:sz="8" w:space="0" w:color="9BBB59"/>
              <w:right w:val="nil"/>
            </w:tcBorders>
            <w:shd w:val="clear" w:color="auto" w:fill="auto"/>
            <w:vAlign w:val="center"/>
            <w:hideMark/>
          </w:tcPr>
          <w:p w:rsidR="00986A44" w:rsidRPr="00F119AA" w:rsidRDefault="00986A44" w:rsidP="00986A44">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0,7</w:t>
            </w:r>
          </w:p>
        </w:tc>
        <w:tc>
          <w:tcPr>
            <w:tcW w:w="177" w:type="pct"/>
            <w:tcBorders>
              <w:top w:val="single" w:sz="8" w:space="0" w:color="9BBB59"/>
              <w:left w:val="nil"/>
              <w:bottom w:val="single" w:sz="8" w:space="0" w:color="9BBB59"/>
              <w:right w:val="nil"/>
            </w:tcBorders>
            <w:shd w:val="clear" w:color="auto" w:fill="auto"/>
            <w:vAlign w:val="center"/>
            <w:hideMark/>
          </w:tcPr>
          <w:p w:rsidR="00986A44" w:rsidRPr="00F119AA" w:rsidRDefault="00986A44" w:rsidP="00986A44">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0,7</w:t>
            </w:r>
          </w:p>
        </w:tc>
        <w:tc>
          <w:tcPr>
            <w:tcW w:w="177" w:type="pct"/>
            <w:tcBorders>
              <w:top w:val="single" w:sz="8" w:space="0" w:color="9BBB59"/>
              <w:left w:val="nil"/>
              <w:bottom w:val="single" w:sz="8" w:space="0" w:color="9BBB59"/>
              <w:right w:val="nil"/>
            </w:tcBorders>
            <w:shd w:val="clear" w:color="auto" w:fill="auto"/>
            <w:vAlign w:val="center"/>
            <w:hideMark/>
          </w:tcPr>
          <w:p w:rsidR="00986A44" w:rsidRPr="00F119AA" w:rsidRDefault="00986A44" w:rsidP="00986A44">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0,6</w:t>
            </w:r>
          </w:p>
        </w:tc>
        <w:tc>
          <w:tcPr>
            <w:tcW w:w="177" w:type="pct"/>
            <w:tcBorders>
              <w:top w:val="single" w:sz="8" w:space="0" w:color="9BBB59"/>
              <w:left w:val="nil"/>
              <w:bottom w:val="single" w:sz="8" w:space="0" w:color="9BBB59"/>
              <w:right w:val="nil"/>
            </w:tcBorders>
            <w:shd w:val="clear" w:color="auto" w:fill="auto"/>
            <w:vAlign w:val="center"/>
            <w:hideMark/>
          </w:tcPr>
          <w:p w:rsidR="00986A44" w:rsidRPr="00F119AA" w:rsidRDefault="00986A44" w:rsidP="00986A44">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0,8</w:t>
            </w:r>
          </w:p>
        </w:tc>
        <w:tc>
          <w:tcPr>
            <w:tcW w:w="177" w:type="pct"/>
            <w:tcBorders>
              <w:top w:val="single" w:sz="8" w:space="0" w:color="9BBB59"/>
              <w:left w:val="nil"/>
              <w:bottom w:val="single" w:sz="8" w:space="0" w:color="9BBB59"/>
              <w:right w:val="nil"/>
            </w:tcBorders>
            <w:shd w:val="clear" w:color="auto" w:fill="auto"/>
            <w:vAlign w:val="center"/>
            <w:hideMark/>
          </w:tcPr>
          <w:p w:rsidR="00986A44" w:rsidRPr="00F119AA" w:rsidRDefault="00986A44" w:rsidP="00986A44">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0,8</w:t>
            </w:r>
          </w:p>
        </w:tc>
        <w:tc>
          <w:tcPr>
            <w:tcW w:w="177" w:type="pct"/>
            <w:tcBorders>
              <w:top w:val="single" w:sz="8" w:space="0" w:color="9BBB59"/>
              <w:left w:val="nil"/>
              <w:bottom w:val="single" w:sz="8" w:space="0" w:color="9BBB59"/>
              <w:right w:val="nil"/>
            </w:tcBorders>
            <w:shd w:val="clear" w:color="auto" w:fill="auto"/>
            <w:vAlign w:val="center"/>
            <w:hideMark/>
          </w:tcPr>
          <w:p w:rsidR="00986A44" w:rsidRPr="00F119AA" w:rsidRDefault="00986A44" w:rsidP="00986A44">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0,7</w:t>
            </w:r>
          </w:p>
        </w:tc>
        <w:tc>
          <w:tcPr>
            <w:tcW w:w="177" w:type="pct"/>
            <w:tcBorders>
              <w:top w:val="single" w:sz="8" w:space="0" w:color="9BBB59"/>
              <w:left w:val="nil"/>
              <w:bottom w:val="single" w:sz="8" w:space="0" w:color="9BBB59"/>
              <w:right w:val="nil"/>
            </w:tcBorders>
            <w:shd w:val="clear" w:color="auto" w:fill="auto"/>
            <w:vAlign w:val="center"/>
            <w:hideMark/>
          </w:tcPr>
          <w:p w:rsidR="00986A44" w:rsidRPr="00F119AA" w:rsidRDefault="00986A44" w:rsidP="00986A44">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0,7</w:t>
            </w:r>
          </w:p>
        </w:tc>
        <w:tc>
          <w:tcPr>
            <w:tcW w:w="177" w:type="pct"/>
            <w:tcBorders>
              <w:top w:val="single" w:sz="8" w:space="0" w:color="9BBB59"/>
              <w:left w:val="nil"/>
              <w:bottom w:val="single" w:sz="8" w:space="0" w:color="9BBB59"/>
              <w:right w:val="nil"/>
            </w:tcBorders>
            <w:shd w:val="clear" w:color="auto" w:fill="auto"/>
            <w:hideMark/>
          </w:tcPr>
          <w:p w:rsidR="00986A44" w:rsidRPr="00F119AA" w:rsidRDefault="00986A44" w:rsidP="00344E8A">
            <w:pPr>
              <w:spacing w:after="0" w:line="240" w:lineRule="auto"/>
              <w:jc w:val="right"/>
              <w:rPr>
                <w:rFonts w:ascii="Arial Narrow" w:hAnsi="Arial Narrow" w:cs="ArialMT"/>
                <w:color w:val="000000"/>
                <w:sz w:val="16"/>
                <w:szCs w:val="16"/>
                <w:lang w:val="en-GB" w:eastAsia="en-GB"/>
              </w:rPr>
            </w:pPr>
            <w:r w:rsidRPr="00301BE4">
              <w:t>–</w:t>
            </w:r>
          </w:p>
        </w:tc>
        <w:tc>
          <w:tcPr>
            <w:tcW w:w="177" w:type="pct"/>
            <w:tcBorders>
              <w:top w:val="single" w:sz="8" w:space="0" w:color="9BBB59"/>
              <w:left w:val="nil"/>
              <w:bottom w:val="single" w:sz="8" w:space="0" w:color="9BBB59"/>
              <w:right w:val="nil"/>
            </w:tcBorders>
            <w:shd w:val="clear" w:color="auto" w:fill="auto"/>
          </w:tcPr>
          <w:p w:rsidR="00986A44" w:rsidRPr="00F119AA" w:rsidRDefault="00986A44" w:rsidP="00344E8A">
            <w:pPr>
              <w:spacing w:after="0" w:line="240" w:lineRule="auto"/>
              <w:jc w:val="right"/>
              <w:rPr>
                <w:rFonts w:ascii="Arial Narrow" w:hAnsi="Arial Narrow" w:cs="ArialMT"/>
                <w:color w:val="000000"/>
                <w:sz w:val="16"/>
                <w:szCs w:val="16"/>
                <w:lang w:val="en-GB" w:eastAsia="en-GB"/>
              </w:rPr>
            </w:pPr>
            <w:r w:rsidRPr="00301BE4">
              <w:t>–</w:t>
            </w:r>
          </w:p>
        </w:tc>
        <w:tc>
          <w:tcPr>
            <w:tcW w:w="177" w:type="pct"/>
            <w:tcBorders>
              <w:top w:val="single" w:sz="8" w:space="0" w:color="9BBB59"/>
              <w:left w:val="nil"/>
              <w:bottom w:val="single" w:sz="8" w:space="0" w:color="9BBB59"/>
              <w:right w:val="nil"/>
            </w:tcBorders>
            <w:shd w:val="clear" w:color="auto" w:fill="auto"/>
          </w:tcPr>
          <w:p w:rsidR="00986A44" w:rsidRPr="00F119AA" w:rsidRDefault="00986A44" w:rsidP="00344E8A">
            <w:pPr>
              <w:spacing w:after="0" w:line="240" w:lineRule="auto"/>
              <w:jc w:val="right"/>
              <w:rPr>
                <w:rFonts w:ascii="Arial Narrow" w:hAnsi="Arial Narrow" w:cs="ArialMT"/>
                <w:color w:val="000000"/>
                <w:sz w:val="16"/>
                <w:szCs w:val="16"/>
                <w:lang w:val="en-GB" w:eastAsia="en-GB"/>
              </w:rPr>
            </w:pPr>
            <w:r w:rsidRPr="00301BE4">
              <w:t>–</w:t>
            </w:r>
          </w:p>
        </w:tc>
        <w:tc>
          <w:tcPr>
            <w:tcW w:w="177" w:type="pct"/>
            <w:tcBorders>
              <w:top w:val="single" w:sz="8" w:space="0" w:color="9BBB59"/>
              <w:left w:val="nil"/>
              <w:bottom w:val="single" w:sz="8" w:space="0" w:color="9BBB59"/>
              <w:right w:val="nil"/>
            </w:tcBorders>
            <w:shd w:val="clear" w:color="auto" w:fill="auto"/>
          </w:tcPr>
          <w:p w:rsidR="00986A44" w:rsidRPr="00F119AA" w:rsidRDefault="00986A44" w:rsidP="00344E8A">
            <w:pPr>
              <w:spacing w:after="0" w:line="240" w:lineRule="auto"/>
              <w:jc w:val="right"/>
              <w:rPr>
                <w:rFonts w:ascii="Arial Narrow" w:hAnsi="Arial Narrow" w:cs="ArialMT"/>
                <w:color w:val="000000"/>
                <w:sz w:val="16"/>
                <w:szCs w:val="16"/>
                <w:lang w:val="en-GB" w:eastAsia="en-GB"/>
              </w:rPr>
            </w:pPr>
            <w:r w:rsidRPr="00301BE4">
              <w:t>–</w:t>
            </w:r>
          </w:p>
        </w:tc>
        <w:tc>
          <w:tcPr>
            <w:tcW w:w="177" w:type="pct"/>
            <w:tcBorders>
              <w:top w:val="single" w:sz="8" w:space="0" w:color="9BBB59"/>
              <w:left w:val="nil"/>
              <w:bottom w:val="single" w:sz="8" w:space="0" w:color="9BBB59"/>
              <w:right w:val="nil"/>
            </w:tcBorders>
            <w:shd w:val="clear" w:color="auto" w:fill="auto"/>
          </w:tcPr>
          <w:p w:rsidR="00986A44" w:rsidRPr="00F119AA" w:rsidRDefault="00986A44" w:rsidP="00344E8A">
            <w:pPr>
              <w:spacing w:after="0" w:line="240" w:lineRule="auto"/>
              <w:jc w:val="right"/>
              <w:rPr>
                <w:rFonts w:ascii="Arial Narrow" w:hAnsi="Arial Narrow" w:cs="ArialMT"/>
                <w:color w:val="000000"/>
                <w:sz w:val="16"/>
                <w:szCs w:val="16"/>
                <w:lang w:val="en-GB" w:eastAsia="en-GB"/>
              </w:rPr>
            </w:pPr>
            <w:r w:rsidRPr="00301BE4">
              <w:t>–</w:t>
            </w:r>
          </w:p>
        </w:tc>
        <w:tc>
          <w:tcPr>
            <w:tcW w:w="177" w:type="pct"/>
            <w:tcBorders>
              <w:top w:val="single" w:sz="8" w:space="0" w:color="9BBB59"/>
              <w:left w:val="nil"/>
              <w:bottom w:val="single" w:sz="8" w:space="0" w:color="9BBB59"/>
              <w:right w:val="nil"/>
            </w:tcBorders>
            <w:shd w:val="clear" w:color="auto" w:fill="auto"/>
          </w:tcPr>
          <w:p w:rsidR="00986A44" w:rsidRPr="00F119AA" w:rsidRDefault="00986A44" w:rsidP="00344E8A">
            <w:pPr>
              <w:spacing w:after="0" w:line="240" w:lineRule="auto"/>
              <w:jc w:val="right"/>
              <w:rPr>
                <w:rFonts w:ascii="Arial Narrow" w:hAnsi="Arial Narrow" w:cs="ArialMT"/>
                <w:color w:val="000000"/>
                <w:sz w:val="16"/>
                <w:szCs w:val="16"/>
                <w:lang w:val="en-GB" w:eastAsia="en-GB"/>
              </w:rPr>
            </w:pPr>
            <w:r w:rsidRPr="00301BE4">
              <w:t>–</w:t>
            </w:r>
          </w:p>
        </w:tc>
        <w:tc>
          <w:tcPr>
            <w:tcW w:w="177" w:type="pct"/>
            <w:tcBorders>
              <w:top w:val="single" w:sz="8" w:space="0" w:color="9BBB59"/>
              <w:left w:val="nil"/>
              <w:bottom w:val="single" w:sz="8" w:space="0" w:color="9BBB59"/>
              <w:right w:val="nil"/>
            </w:tcBorders>
            <w:shd w:val="clear" w:color="auto" w:fill="auto"/>
          </w:tcPr>
          <w:p w:rsidR="00986A44" w:rsidRPr="00F119AA" w:rsidRDefault="00986A44" w:rsidP="00344E8A">
            <w:pPr>
              <w:spacing w:after="0" w:line="240" w:lineRule="auto"/>
              <w:jc w:val="right"/>
              <w:rPr>
                <w:rFonts w:ascii="Arial Narrow" w:hAnsi="Arial Narrow" w:cs="ArialMT"/>
                <w:color w:val="000000"/>
                <w:sz w:val="16"/>
                <w:szCs w:val="16"/>
                <w:lang w:val="en-GB" w:eastAsia="en-GB"/>
              </w:rPr>
            </w:pPr>
            <w:r w:rsidRPr="00301BE4">
              <w:t>–</w:t>
            </w:r>
          </w:p>
        </w:tc>
        <w:tc>
          <w:tcPr>
            <w:tcW w:w="177" w:type="pct"/>
            <w:tcBorders>
              <w:top w:val="single" w:sz="8" w:space="0" w:color="9BBB59"/>
              <w:left w:val="nil"/>
              <w:bottom w:val="single" w:sz="8" w:space="0" w:color="9BBB59"/>
              <w:right w:val="nil"/>
            </w:tcBorders>
            <w:shd w:val="clear" w:color="auto" w:fill="auto"/>
          </w:tcPr>
          <w:p w:rsidR="00986A44" w:rsidRPr="00F119AA" w:rsidRDefault="00986A44" w:rsidP="00344E8A">
            <w:pPr>
              <w:spacing w:after="0" w:line="240" w:lineRule="auto"/>
              <w:jc w:val="right"/>
              <w:rPr>
                <w:rFonts w:ascii="Arial Narrow" w:hAnsi="Arial Narrow" w:cs="ArialMT"/>
                <w:color w:val="000000"/>
                <w:sz w:val="16"/>
                <w:szCs w:val="16"/>
                <w:lang w:val="en-GB" w:eastAsia="en-GB"/>
              </w:rPr>
            </w:pPr>
            <w:r w:rsidRPr="00301BE4">
              <w:t>–</w:t>
            </w:r>
          </w:p>
        </w:tc>
        <w:tc>
          <w:tcPr>
            <w:tcW w:w="177" w:type="pct"/>
            <w:tcBorders>
              <w:top w:val="single" w:sz="8" w:space="0" w:color="9BBB59"/>
              <w:left w:val="nil"/>
              <w:bottom w:val="single" w:sz="8" w:space="0" w:color="9BBB59"/>
              <w:right w:val="nil"/>
            </w:tcBorders>
            <w:shd w:val="clear" w:color="auto" w:fill="auto"/>
          </w:tcPr>
          <w:p w:rsidR="00986A44" w:rsidRPr="00F119AA" w:rsidRDefault="00986A44" w:rsidP="00344E8A">
            <w:pPr>
              <w:spacing w:after="0" w:line="240" w:lineRule="auto"/>
              <w:jc w:val="right"/>
              <w:rPr>
                <w:rFonts w:ascii="Arial Narrow" w:hAnsi="Arial Narrow" w:cs="ArialMT"/>
                <w:color w:val="000000"/>
                <w:sz w:val="16"/>
                <w:szCs w:val="16"/>
                <w:lang w:val="en-GB" w:eastAsia="en-GB"/>
              </w:rPr>
            </w:pPr>
            <w:r w:rsidRPr="00301BE4">
              <w:t>–</w:t>
            </w:r>
          </w:p>
        </w:tc>
        <w:tc>
          <w:tcPr>
            <w:tcW w:w="164" w:type="pct"/>
            <w:tcBorders>
              <w:top w:val="single" w:sz="8" w:space="0" w:color="9BBB59"/>
              <w:left w:val="nil"/>
              <w:bottom w:val="single" w:sz="8" w:space="0" w:color="9BBB59"/>
              <w:right w:val="single" w:sz="8" w:space="0" w:color="9BBB59"/>
            </w:tcBorders>
            <w:shd w:val="clear" w:color="auto" w:fill="auto"/>
          </w:tcPr>
          <w:p w:rsidR="00986A44" w:rsidRPr="00F119AA" w:rsidRDefault="00986A44" w:rsidP="00344E8A">
            <w:pPr>
              <w:spacing w:after="0" w:line="240" w:lineRule="auto"/>
              <w:jc w:val="right"/>
              <w:rPr>
                <w:rFonts w:ascii="Arial Narrow" w:hAnsi="Arial Narrow" w:cs="ArialMT"/>
                <w:color w:val="000000"/>
                <w:sz w:val="16"/>
                <w:szCs w:val="16"/>
                <w:lang w:val="en-GB" w:eastAsia="en-GB"/>
              </w:rPr>
            </w:pPr>
            <w:r w:rsidRPr="00301BE4">
              <w:t>–</w:t>
            </w:r>
          </w:p>
        </w:tc>
      </w:tr>
      <w:tr w:rsidR="00F119AA" w:rsidRPr="00F119AA" w:rsidTr="00986A44">
        <w:trPr>
          <w:trHeight w:val="280"/>
        </w:trPr>
        <w:tc>
          <w:tcPr>
            <w:tcW w:w="765" w:type="pct"/>
            <w:tcBorders>
              <w:top w:val="nil"/>
              <w:left w:val="single" w:sz="8" w:space="0" w:color="9BBB59"/>
              <w:bottom w:val="nil"/>
              <w:right w:val="nil"/>
            </w:tcBorders>
            <w:shd w:val="clear" w:color="auto" w:fill="auto"/>
            <w:noWrap/>
            <w:vAlign w:val="center"/>
            <w:hideMark/>
          </w:tcPr>
          <w:p w:rsidR="00F119AA" w:rsidRPr="00F119AA" w:rsidRDefault="00F119AA" w:rsidP="00F119AA">
            <w:pPr>
              <w:spacing w:after="0" w:line="240" w:lineRule="auto"/>
              <w:rPr>
                <w:rFonts w:ascii="Arial Narrow" w:hAnsi="Arial Narrow" w:cs="ArialMT"/>
                <w:b/>
                <w:bCs/>
                <w:color w:val="000000"/>
                <w:sz w:val="16"/>
                <w:szCs w:val="16"/>
                <w:lang w:val="en-GB" w:eastAsia="en-GB"/>
              </w:rPr>
            </w:pPr>
            <w:proofErr w:type="spellStart"/>
            <w:r w:rsidRPr="00F119AA">
              <w:rPr>
                <w:rFonts w:ascii="Arial Narrow" w:hAnsi="Arial Narrow" w:cs="ArialMT"/>
                <w:b/>
                <w:bCs/>
                <w:color w:val="000000"/>
                <w:sz w:val="16"/>
                <w:szCs w:val="16"/>
                <w:lang w:val="en-US" w:eastAsia="en-GB"/>
              </w:rPr>
              <w:t>Mednarodno</w:t>
            </w:r>
            <w:proofErr w:type="spellEnd"/>
            <w:r w:rsidRPr="00F119AA">
              <w:rPr>
                <w:rFonts w:ascii="Arial Narrow" w:hAnsi="Arial Narrow" w:cs="ArialMT"/>
                <w:b/>
                <w:bCs/>
                <w:color w:val="000000"/>
                <w:sz w:val="16"/>
                <w:szCs w:val="16"/>
                <w:lang w:val="en-US" w:eastAsia="en-GB"/>
              </w:rPr>
              <w:t xml:space="preserve"> sodelovanje</w:t>
            </w:r>
            <w:r w:rsidRPr="00F119AA">
              <w:rPr>
                <w:rFonts w:ascii="Arial Narrow" w:hAnsi="Arial Narrow" w:cs="ArialMT"/>
                <w:b/>
                <w:bCs/>
                <w:color w:val="000000"/>
                <w:sz w:val="16"/>
                <w:szCs w:val="16"/>
                <w:vertAlign w:val="superscript"/>
                <w:lang w:val="en-US" w:eastAsia="en-GB"/>
              </w:rPr>
              <w:t>7,11,12</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1,7</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2</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1,9</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2,3</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2,4</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3,7</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2,8</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2,9</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2,6</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2,2</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0,3</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0,3</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0,2</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0,4</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0,3</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0,6</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1</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0,2</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0,3</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0,4</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0,4</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0,4</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0,3</w:t>
            </w:r>
          </w:p>
        </w:tc>
        <w:tc>
          <w:tcPr>
            <w:tcW w:w="164" w:type="pct"/>
            <w:tcBorders>
              <w:top w:val="nil"/>
              <w:left w:val="nil"/>
              <w:bottom w:val="nil"/>
              <w:right w:val="single" w:sz="8" w:space="0" w:color="9BBB59"/>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0,3</w:t>
            </w:r>
          </w:p>
        </w:tc>
      </w:tr>
      <w:tr w:rsidR="00F119AA" w:rsidRPr="00F119AA" w:rsidTr="00986A44">
        <w:trPr>
          <w:trHeight w:val="280"/>
        </w:trPr>
        <w:tc>
          <w:tcPr>
            <w:tcW w:w="765" w:type="pct"/>
            <w:tcBorders>
              <w:top w:val="single" w:sz="8" w:space="0" w:color="9BBB59"/>
              <w:left w:val="single" w:sz="8" w:space="0" w:color="9BBB59"/>
              <w:bottom w:val="single" w:sz="8" w:space="0" w:color="9BBB59"/>
              <w:right w:val="nil"/>
            </w:tcBorders>
            <w:shd w:val="clear" w:color="auto" w:fill="auto"/>
            <w:noWrap/>
            <w:vAlign w:val="center"/>
            <w:hideMark/>
          </w:tcPr>
          <w:p w:rsidR="00F119AA" w:rsidRPr="00F119AA" w:rsidRDefault="00F119AA" w:rsidP="00F119AA">
            <w:pPr>
              <w:spacing w:after="0" w:line="240" w:lineRule="auto"/>
              <w:rPr>
                <w:rFonts w:ascii="Arial Narrow" w:hAnsi="Arial Narrow" w:cs="ArialMT"/>
                <w:b/>
                <w:bCs/>
                <w:color w:val="000000"/>
                <w:sz w:val="16"/>
                <w:szCs w:val="16"/>
                <w:lang w:val="en-GB" w:eastAsia="en-GB"/>
              </w:rPr>
            </w:pPr>
            <w:proofErr w:type="spellStart"/>
            <w:r w:rsidRPr="00F119AA">
              <w:rPr>
                <w:rFonts w:ascii="Arial Narrow" w:hAnsi="Arial Narrow" w:cs="ArialMT"/>
                <w:b/>
                <w:bCs/>
                <w:color w:val="000000"/>
                <w:sz w:val="16"/>
                <w:szCs w:val="16"/>
                <w:lang w:val="en-US" w:eastAsia="en-GB"/>
              </w:rPr>
              <w:t>Samozaposleni</w:t>
            </w:r>
            <w:proofErr w:type="spellEnd"/>
            <w:r w:rsidRPr="00F119AA">
              <w:rPr>
                <w:rFonts w:ascii="Arial Narrow" w:hAnsi="Arial Narrow" w:cs="ArialMT"/>
                <w:b/>
                <w:bCs/>
                <w:color w:val="000000"/>
                <w:sz w:val="16"/>
                <w:szCs w:val="16"/>
                <w:lang w:val="en-US" w:eastAsia="en-GB"/>
              </w:rPr>
              <w:t xml:space="preserve"> v </w:t>
            </w:r>
            <w:proofErr w:type="spellStart"/>
            <w:r w:rsidRPr="00F119AA">
              <w:rPr>
                <w:rFonts w:ascii="Arial Narrow" w:hAnsi="Arial Narrow" w:cs="ArialMT"/>
                <w:b/>
                <w:bCs/>
                <w:color w:val="000000"/>
                <w:sz w:val="16"/>
                <w:szCs w:val="16"/>
                <w:lang w:val="en-US" w:eastAsia="en-GB"/>
              </w:rPr>
              <w:t>kulturi</w:t>
            </w:r>
            <w:proofErr w:type="spellEnd"/>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2,3</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3,4</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2,8</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2,4</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2</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2,3</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2,3</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2,5</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2,6</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2,7</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3</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3,2</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3,1</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3</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2,9</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3</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2,9</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2,4</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2,8</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3,1</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3,7</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3,9</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4,2</w:t>
            </w:r>
          </w:p>
        </w:tc>
        <w:tc>
          <w:tcPr>
            <w:tcW w:w="164" w:type="pct"/>
            <w:tcBorders>
              <w:top w:val="single" w:sz="8" w:space="0" w:color="9BBB59"/>
              <w:left w:val="nil"/>
              <w:bottom w:val="single" w:sz="8" w:space="0" w:color="9BBB59"/>
              <w:right w:val="single" w:sz="8" w:space="0" w:color="9BBB59"/>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4,6</w:t>
            </w:r>
          </w:p>
        </w:tc>
      </w:tr>
      <w:tr w:rsidR="00F119AA" w:rsidRPr="00F119AA" w:rsidTr="00986A44">
        <w:trPr>
          <w:trHeight w:val="280"/>
        </w:trPr>
        <w:tc>
          <w:tcPr>
            <w:tcW w:w="765" w:type="pct"/>
            <w:tcBorders>
              <w:top w:val="nil"/>
              <w:left w:val="single" w:sz="8" w:space="0" w:color="9BBB59"/>
              <w:bottom w:val="nil"/>
              <w:right w:val="nil"/>
            </w:tcBorders>
            <w:shd w:val="clear" w:color="auto" w:fill="auto"/>
            <w:noWrap/>
            <w:vAlign w:val="center"/>
            <w:hideMark/>
          </w:tcPr>
          <w:p w:rsidR="00F119AA" w:rsidRPr="00F119AA" w:rsidRDefault="00F119AA" w:rsidP="00F119AA">
            <w:pPr>
              <w:spacing w:after="0" w:line="240" w:lineRule="auto"/>
              <w:rPr>
                <w:rFonts w:ascii="Arial Narrow" w:hAnsi="Arial Narrow" w:cs="ArialMT"/>
                <w:b/>
                <w:bCs/>
                <w:color w:val="000000"/>
                <w:sz w:val="16"/>
                <w:szCs w:val="16"/>
                <w:lang w:val="en-GB" w:eastAsia="en-GB"/>
              </w:rPr>
            </w:pPr>
            <w:proofErr w:type="spellStart"/>
            <w:r w:rsidRPr="00F119AA">
              <w:rPr>
                <w:rFonts w:ascii="Arial Narrow" w:hAnsi="Arial Narrow" w:cs="ArialMT"/>
                <w:b/>
                <w:bCs/>
                <w:color w:val="000000"/>
                <w:sz w:val="16"/>
                <w:szCs w:val="16"/>
                <w:lang w:val="en-US" w:eastAsia="en-GB"/>
              </w:rPr>
              <w:t>Štipendije</w:t>
            </w:r>
            <w:proofErr w:type="spellEnd"/>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0,6</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0,5</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0,5</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0,5</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0,5</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0,5</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0,5</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0,5</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0,5</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0,4</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0,4</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0,5</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0,5</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0,5</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0,5</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0,5</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0,4</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0,4</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0,4</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0,4</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0,4</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0,4</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0,3</w:t>
            </w:r>
          </w:p>
        </w:tc>
        <w:tc>
          <w:tcPr>
            <w:tcW w:w="164" w:type="pct"/>
            <w:tcBorders>
              <w:top w:val="nil"/>
              <w:left w:val="nil"/>
              <w:bottom w:val="nil"/>
              <w:right w:val="single" w:sz="8" w:space="0" w:color="9BBB59"/>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0,4</w:t>
            </w:r>
          </w:p>
        </w:tc>
      </w:tr>
      <w:tr w:rsidR="00F119AA" w:rsidRPr="00F119AA" w:rsidTr="00986A44">
        <w:trPr>
          <w:trHeight w:val="280"/>
        </w:trPr>
        <w:tc>
          <w:tcPr>
            <w:tcW w:w="765" w:type="pct"/>
            <w:tcBorders>
              <w:top w:val="single" w:sz="8" w:space="0" w:color="9BBB59"/>
              <w:left w:val="single" w:sz="8" w:space="0" w:color="9BBB59"/>
              <w:bottom w:val="single" w:sz="8" w:space="0" w:color="9BBB59"/>
              <w:right w:val="nil"/>
            </w:tcBorders>
            <w:shd w:val="clear" w:color="auto" w:fill="auto"/>
            <w:noWrap/>
            <w:vAlign w:val="center"/>
            <w:hideMark/>
          </w:tcPr>
          <w:p w:rsidR="00F119AA" w:rsidRPr="00F119AA" w:rsidRDefault="00F119AA" w:rsidP="00F119AA">
            <w:pPr>
              <w:spacing w:after="0" w:line="240" w:lineRule="auto"/>
              <w:rPr>
                <w:rFonts w:ascii="Arial Narrow" w:hAnsi="Arial Narrow" w:cs="ArialMT"/>
                <w:b/>
                <w:bCs/>
                <w:color w:val="000000"/>
                <w:sz w:val="16"/>
                <w:szCs w:val="16"/>
                <w:lang w:val="en-GB" w:eastAsia="en-GB"/>
              </w:rPr>
            </w:pPr>
            <w:proofErr w:type="spellStart"/>
            <w:r w:rsidRPr="00F119AA">
              <w:rPr>
                <w:rFonts w:ascii="Arial Narrow" w:hAnsi="Arial Narrow" w:cs="ArialMT"/>
                <w:b/>
                <w:bCs/>
                <w:color w:val="000000"/>
                <w:sz w:val="16"/>
                <w:szCs w:val="16"/>
                <w:lang w:val="en-US" w:eastAsia="en-GB"/>
              </w:rPr>
              <w:t>Investicije</w:t>
            </w:r>
            <w:proofErr w:type="spellEnd"/>
            <w:r w:rsidRPr="00F119AA">
              <w:rPr>
                <w:rFonts w:ascii="Arial Narrow" w:hAnsi="Arial Narrow" w:cs="ArialMT"/>
                <w:b/>
                <w:bCs/>
                <w:color w:val="000000"/>
                <w:sz w:val="16"/>
                <w:szCs w:val="16"/>
                <w:lang w:val="en-US" w:eastAsia="en-GB"/>
              </w:rPr>
              <w:t xml:space="preserve"> in inv. vzdrževanje</w:t>
            </w:r>
            <w:r w:rsidRPr="00F119AA">
              <w:rPr>
                <w:rFonts w:ascii="Arial Narrow" w:hAnsi="Arial Narrow" w:cs="ArialMT"/>
                <w:b/>
                <w:bCs/>
                <w:color w:val="000000"/>
                <w:sz w:val="16"/>
                <w:szCs w:val="16"/>
                <w:vertAlign w:val="superscript"/>
                <w:lang w:val="en-US" w:eastAsia="en-GB"/>
              </w:rPr>
              <w:t>4</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6,7</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6,1</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6,5</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7,3</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6,4</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6,6</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6,4</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12,9</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8,5</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7,9</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6,8</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7,7</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9,4</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6,4</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8,1</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7,6</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9,6</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14,3</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8,2</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5,6</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1,8</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1,9</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0,7</w:t>
            </w:r>
          </w:p>
        </w:tc>
        <w:tc>
          <w:tcPr>
            <w:tcW w:w="164" w:type="pct"/>
            <w:tcBorders>
              <w:top w:val="single" w:sz="8" w:space="0" w:color="9BBB59"/>
              <w:left w:val="nil"/>
              <w:bottom w:val="single" w:sz="8" w:space="0" w:color="9BBB59"/>
              <w:right w:val="single" w:sz="8" w:space="0" w:color="9BBB59"/>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0,8</w:t>
            </w:r>
          </w:p>
        </w:tc>
      </w:tr>
      <w:tr w:rsidR="00F119AA" w:rsidRPr="00F119AA" w:rsidTr="00986A44">
        <w:trPr>
          <w:trHeight w:val="280"/>
        </w:trPr>
        <w:tc>
          <w:tcPr>
            <w:tcW w:w="765" w:type="pct"/>
            <w:tcBorders>
              <w:top w:val="nil"/>
              <w:left w:val="single" w:sz="8" w:space="0" w:color="9BBB59"/>
              <w:bottom w:val="nil"/>
              <w:right w:val="nil"/>
            </w:tcBorders>
            <w:shd w:val="clear" w:color="auto" w:fill="auto"/>
            <w:noWrap/>
            <w:vAlign w:val="center"/>
            <w:hideMark/>
          </w:tcPr>
          <w:p w:rsidR="00F119AA" w:rsidRPr="00F119AA" w:rsidRDefault="00F119AA" w:rsidP="00F119AA">
            <w:pPr>
              <w:spacing w:after="0" w:line="240" w:lineRule="auto"/>
              <w:rPr>
                <w:rFonts w:ascii="Arial Narrow" w:hAnsi="Arial Narrow" w:cs="ArialMT"/>
                <w:b/>
                <w:bCs/>
                <w:color w:val="000000"/>
                <w:sz w:val="16"/>
                <w:szCs w:val="16"/>
                <w:lang w:val="en-GB" w:eastAsia="en-GB"/>
              </w:rPr>
            </w:pPr>
            <w:r w:rsidRPr="00F119AA">
              <w:rPr>
                <w:rFonts w:ascii="Arial Narrow" w:hAnsi="Arial Narrow" w:cs="ArialMT"/>
                <w:b/>
                <w:bCs/>
                <w:color w:val="000000"/>
                <w:sz w:val="16"/>
                <w:szCs w:val="16"/>
                <w:lang w:val="en-US" w:eastAsia="en-GB"/>
              </w:rPr>
              <w:t>Ostalo</w:t>
            </w:r>
            <w:r w:rsidRPr="00F119AA">
              <w:rPr>
                <w:rFonts w:ascii="Arial Narrow" w:hAnsi="Arial Narrow" w:cs="ArialMT"/>
                <w:b/>
                <w:bCs/>
                <w:color w:val="000000"/>
                <w:sz w:val="16"/>
                <w:szCs w:val="16"/>
                <w:vertAlign w:val="superscript"/>
                <w:lang w:val="en-US" w:eastAsia="en-GB"/>
              </w:rPr>
              <w:t>15</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0,8</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1,1</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1,3</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1,4</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1,2</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0,9</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1</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0,8</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0,6</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0,6</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0,6</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0,5</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0,6</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1</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0,4</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0,6</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0,6</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0,6</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1,5</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2,2</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6,2</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2,9</w:t>
            </w:r>
          </w:p>
        </w:tc>
        <w:tc>
          <w:tcPr>
            <w:tcW w:w="177" w:type="pct"/>
            <w:tcBorders>
              <w:top w:val="nil"/>
              <w:left w:val="nil"/>
              <w:bottom w:val="nil"/>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1,5</w:t>
            </w:r>
          </w:p>
        </w:tc>
        <w:tc>
          <w:tcPr>
            <w:tcW w:w="164" w:type="pct"/>
            <w:tcBorders>
              <w:top w:val="nil"/>
              <w:left w:val="nil"/>
              <w:bottom w:val="nil"/>
              <w:right w:val="single" w:sz="8" w:space="0" w:color="9BBB59"/>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1,7</w:t>
            </w:r>
          </w:p>
        </w:tc>
      </w:tr>
      <w:tr w:rsidR="00F119AA" w:rsidRPr="00F119AA" w:rsidTr="00986A44">
        <w:trPr>
          <w:trHeight w:val="280"/>
        </w:trPr>
        <w:tc>
          <w:tcPr>
            <w:tcW w:w="765" w:type="pct"/>
            <w:tcBorders>
              <w:top w:val="single" w:sz="8" w:space="0" w:color="9BBB59"/>
              <w:left w:val="single" w:sz="8" w:space="0" w:color="9BBB59"/>
              <w:bottom w:val="single" w:sz="8" w:space="0" w:color="9BBB59"/>
              <w:right w:val="nil"/>
            </w:tcBorders>
            <w:shd w:val="clear" w:color="auto" w:fill="auto"/>
            <w:noWrap/>
            <w:vAlign w:val="center"/>
            <w:hideMark/>
          </w:tcPr>
          <w:p w:rsidR="00F119AA" w:rsidRPr="00F119AA" w:rsidRDefault="00F119AA" w:rsidP="00F119AA">
            <w:pPr>
              <w:spacing w:after="0" w:line="240" w:lineRule="auto"/>
              <w:rPr>
                <w:rFonts w:ascii="Arial Narrow" w:hAnsi="Arial Narrow" w:cs="ArialMT"/>
                <w:b/>
                <w:bCs/>
                <w:color w:val="000000"/>
                <w:sz w:val="16"/>
                <w:szCs w:val="16"/>
                <w:lang w:val="en-GB" w:eastAsia="en-GB"/>
              </w:rPr>
            </w:pPr>
            <w:proofErr w:type="spellStart"/>
            <w:r w:rsidRPr="00F119AA">
              <w:rPr>
                <w:rFonts w:ascii="Arial Narrow" w:hAnsi="Arial Narrow" w:cs="ArialMT"/>
                <w:b/>
                <w:bCs/>
                <w:color w:val="000000"/>
                <w:sz w:val="16"/>
                <w:szCs w:val="16"/>
                <w:lang w:val="en-US" w:eastAsia="en-GB"/>
              </w:rPr>
              <w:t>Upravni</w:t>
            </w:r>
            <w:proofErr w:type="spellEnd"/>
            <w:r w:rsidRPr="00F119AA">
              <w:rPr>
                <w:rFonts w:ascii="Arial Narrow" w:hAnsi="Arial Narrow" w:cs="ArialMT"/>
                <w:b/>
                <w:bCs/>
                <w:color w:val="000000"/>
                <w:sz w:val="16"/>
                <w:szCs w:val="16"/>
                <w:lang w:val="en-US" w:eastAsia="en-GB"/>
              </w:rPr>
              <w:t xml:space="preserve"> del MK</w:t>
            </w:r>
            <w:r w:rsidRPr="00F119AA">
              <w:rPr>
                <w:rFonts w:ascii="Arial Narrow" w:hAnsi="Arial Narrow" w:cs="ArialMT"/>
                <w:b/>
                <w:bCs/>
                <w:color w:val="000000"/>
                <w:sz w:val="16"/>
                <w:szCs w:val="16"/>
                <w:vertAlign w:val="superscript"/>
                <w:lang w:val="en-US" w:eastAsia="en-GB"/>
              </w:rPr>
              <w:t>13</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1,1</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1,5</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1,2</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1,6</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1,8</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1,9</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1,9</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2</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2,4</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2,7</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2,8</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3,2</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4,1</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4,1</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eastAsia="en-GB"/>
              </w:rPr>
              <w:t>4,2</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4,4</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4</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3,8</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4</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4,6</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3,8</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4</w:t>
            </w:r>
          </w:p>
        </w:tc>
        <w:tc>
          <w:tcPr>
            <w:tcW w:w="177" w:type="pct"/>
            <w:tcBorders>
              <w:top w:val="single" w:sz="8" w:space="0" w:color="9BBB59"/>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3,8</w:t>
            </w:r>
          </w:p>
        </w:tc>
        <w:tc>
          <w:tcPr>
            <w:tcW w:w="164" w:type="pct"/>
            <w:tcBorders>
              <w:top w:val="single" w:sz="8" w:space="0" w:color="9BBB59"/>
              <w:left w:val="nil"/>
              <w:bottom w:val="single" w:sz="8" w:space="0" w:color="9BBB59"/>
              <w:right w:val="single" w:sz="8" w:space="0" w:color="9BBB59"/>
            </w:tcBorders>
            <w:shd w:val="clear" w:color="auto" w:fill="auto"/>
            <w:vAlign w:val="center"/>
            <w:hideMark/>
          </w:tcPr>
          <w:p w:rsidR="00F119AA" w:rsidRPr="00F119AA" w:rsidRDefault="00F119AA" w:rsidP="00F119AA">
            <w:pPr>
              <w:spacing w:after="0" w:line="240" w:lineRule="auto"/>
              <w:jc w:val="right"/>
              <w:rPr>
                <w:rFonts w:ascii="Arial Narrow" w:hAnsi="Arial Narrow" w:cs="ArialMT"/>
                <w:color w:val="000000"/>
                <w:sz w:val="16"/>
                <w:szCs w:val="16"/>
                <w:lang w:val="en-GB" w:eastAsia="en-GB"/>
              </w:rPr>
            </w:pPr>
            <w:r w:rsidRPr="00F119AA">
              <w:rPr>
                <w:rFonts w:ascii="Arial Narrow" w:hAnsi="Arial Narrow" w:cs="ArialMT"/>
                <w:color w:val="000000"/>
                <w:sz w:val="16"/>
                <w:szCs w:val="16"/>
                <w:lang w:val="en-US" w:eastAsia="en-GB"/>
              </w:rPr>
              <w:t>3,8</w:t>
            </w:r>
          </w:p>
        </w:tc>
      </w:tr>
      <w:tr w:rsidR="00F119AA" w:rsidRPr="00F119AA" w:rsidTr="00986A44">
        <w:trPr>
          <w:trHeight w:val="280"/>
        </w:trPr>
        <w:tc>
          <w:tcPr>
            <w:tcW w:w="765" w:type="pct"/>
            <w:tcBorders>
              <w:top w:val="nil"/>
              <w:left w:val="single" w:sz="8" w:space="0" w:color="9BBB59"/>
              <w:bottom w:val="single" w:sz="8" w:space="0" w:color="9BBB59"/>
              <w:right w:val="nil"/>
            </w:tcBorders>
            <w:shd w:val="clear" w:color="auto" w:fill="auto"/>
            <w:noWrap/>
            <w:vAlign w:val="center"/>
            <w:hideMark/>
          </w:tcPr>
          <w:p w:rsidR="00F119AA" w:rsidRPr="00F119AA" w:rsidRDefault="00F119AA" w:rsidP="00F119AA">
            <w:pPr>
              <w:spacing w:after="0" w:line="240" w:lineRule="auto"/>
              <w:rPr>
                <w:rFonts w:ascii="Arial Narrow" w:hAnsi="Arial Narrow" w:cs="ArialMT"/>
                <w:b/>
                <w:bCs/>
                <w:color w:val="000000"/>
                <w:sz w:val="16"/>
                <w:szCs w:val="16"/>
                <w:lang w:val="en-GB" w:eastAsia="en-GB"/>
              </w:rPr>
            </w:pPr>
            <w:r w:rsidRPr="00F119AA">
              <w:rPr>
                <w:rFonts w:ascii="Arial Narrow" w:hAnsi="Arial Narrow" w:cs="ArialMT"/>
                <w:b/>
                <w:bCs/>
                <w:color w:val="000000"/>
                <w:sz w:val="16"/>
                <w:szCs w:val="16"/>
                <w:lang w:eastAsia="en-GB"/>
              </w:rPr>
              <w:t>Skupaj</w:t>
            </w:r>
          </w:p>
        </w:tc>
        <w:tc>
          <w:tcPr>
            <w:tcW w:w="177" w:type="pct"/>
            <w:tcBorders>
              <w:top w:val="nil"/>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b/>
                <w:bCs/>
                <w:color w:val="000000"/>
                <w:sz w:val="16"/>
                <w:szCs w:val="16"/>
                <w:lang w:val="en-GB" w:eastAsia="en-GB"/>
              </w:rPr>
            </w:pPr>
            <w:r w:rsidRPr="00F119AA">
              <w:rPr>
                <w:rFonts w:ascii="Arial Narrow" w:hAnsi="Arial Narrow" w:cs="ArialMT"/>
                <w:b/>
                <w:bCs/>
                <w:color w:val="000000"/>
                <w:sz w:val="16"/>
                <w:szCs w:val="16"/>
                <w:lang w:eastAsia="en-GB"/>
              </w:rPr>
              <w:t>100</w:t>
            </w:r>
          </w:p>
        </w:tc>
        <w:tc>
          <w:tcPr>
            <w:tcW w:w="177" w:type="pct"/>
            <w:tcBorders>
              <w:top w:val="nil"/>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b/>
                <w:bCs/>
                <w:color w:val="000000"/>
                <w:sz w:val="16"/>
                <w:szCs w:val="16"/>
                <w:lang w:val="en-GB" w:eastAsia="en-GB"/>
              </w:rPr>
            </w:pPr>
            <w:r w:rsidRPr="00F119AA">
              <w:rPr>
                <w:rFonts w:ascii="Arial Narrow" w:hAnsi="Arial Narrow" w:cs="ArialMT"/>
                <w:b/>
                <w:bCs/>
                <w:color w:val="000000"/>
                <w:sz w:val="16"/>
                <w:szCs w:val="16"/>
                <w:lang w:eastAsia="en-GB"/>
              </w:rPr>
              <w:t>100</w:t>
            </w:r>
          </w:p>
        </w:tc>
        <w:tc>
          <w:tcPr>
            <w:tcW w:w="177" w:type="pct"/>
            <w:tcBorders>
              <w:top w:val="nil"/>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b/>
                <w:bCs/>
                <w:color w:val="000000"/>
                <w:sz w:val="16"/>
                <w:szCs w:val="16"/>
                <w:lang w:val="en-GB" w:eastAsia="en-GB"/>
              </w:rPr>
            </w:pPr>
            <w:r w:rsidRPr="00F119AA">
              <w:rPr>
                <w:rFonts w:ascii="Arial Narrow" w:hAnsi="Arial Narrow" w:cs="ArialMT"/>
                <w:b/>
                <w:bCs/>
                <w:color w:val="000000"/>
                <w:sz w:val="16"/>
                <w:szCs w:val="16"/>
                <w:lang w:eastAsia="en-GB"/>
              </w:rPr>
              <w:t>100</w:t>
            </w:r>
          </w:p>
        </w:tc>
        <w:tc>
          <w:tcPr>
            <w:tcW w:w="177" w:type="pct"/>
            <w:tcBorders>
              <w:top w:val="nil"/>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b/>
                <w:bCs/>
                <w:color w:val="000000"/>
                <w:sz w:val="16"/>
                <w:szCs w:val="16"/>
                <w:lang w:val="en-GB" w:eastAsia="en-GB"/>
              </w:rPr>
            </w:pPr>
            <w:r w:rsidRPr="00F119AA">
              <w:rPr>
                <w:rFonts w:ascii="Arial Narrow" w:hAnsi="Arial Narrow" w:cs="ArialMT"/>
                <w:b/>
                <w:bCs/>
                <w:color w:val="000000"/>
                <w:sz w:val="16"/>
                <w:szCs w:val="16"/>
                <w:lang w:eastAsia="en-GB"/>
              </w:rPr>
              <w:t>100</w:t>
            </w:r>
          </w:p>
        </w:tc>
        <w:tc>
          <w:tcPr>
            <w:tcW w:w="177" w:type="pct"/>
            <w:tcBorders>
              <w:top w:val="nil"/>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b/>
                <w:bCs/>
                <w:color w:val="000000"/>
                <w:sz w:val="16"/>
                <w:szCs w:val="16"/>
                <w:lang w:val="en-GB" w:eastAsia="en-GB"/>
              </w:rPr>
            </w:pPr>
            <w:r w:rsidRPr="00F119AA">
              <w:rPr>
                <w:rFonts w:ascii="Arial Narrow" w:hAnsi="Arial Narrow" w:cs="ArialMT"/>
                <w:b/>
                <w:bCs/>
                <w:color w:val="000000"/>
                <w:sz w:val="16"/>
                <w:szCs w:val="16"/>
                <w:lang w:eastAsia="en-GB"/>
              </w:rPr>
              <w:t>100</w:t>
            </w:r>
          </w:p>
        </w:tc>
        <w:tc>
          <w:tcPr>
            <w:tcW w:w="177" w:type="pct"/>
            <w:tcBorders>
              <w:top w:val="nil"/>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b/>
                <w:bCs/>
                <w:color w:val="000000"/>
                <w:sz w:val="16"/>
                <w:szCs w:val="16"/>
                <w:lang w:val="en-GB" w:eastAsia="en-GB"/>
              </w:rPr>
            </w:pPr>
            <w:r w:rsidRPr="00F119AA">
              <w:rPr>
                <w:rFonts w:ascii="Arial Narrow" w:hAnsi="Arial Narrow" w:cs="ArialMT"/>
                <w:b/>
                <w:bCs/>
                <w:color w:val="000000"/>
                <w:sz w:val="16"/>
                <w:szCs w:val="16"/>
                <w:lang w:eastAsia="en-GB"/>
              </w:rPr>
              <w:t>100</w:t>
            </w:r>
          </w:p>
        </w:tc>
        <w:tc>
          <w:tcPr>
            <w:tcW w:w="177" w:type="pct"/>
            <w:tcBorders>
              <w:top w:val="nil"/>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b/>
                <w:bCs/>
                <w:color w:val="000000"/>
                <w:sz w:val="16"/>
                <w:szCs w:val="16"/>
                <w:lang w:val="en-GB" w:eastAsia="en-GB"/>
              </w:rPr>
            </w:pPr>
            <w:r w:rsidRPr="00F119AA">
              <w:rPr>
                <w:rFonts w:ascii="Arial Narrow" w:hAnsi="Arial Narrow" w:cs="ArialMT"/>
                <w:b/>
                <w:bCs/>
                <w:color w:val="000000"/>
                <w:sz w:val="16"/>
                <w:szCs w:val="16"/>
                <w:lang w:eastAsia="en-GB"/>
              </w:rPr>
              <w:t>100</w:t>
            </w:r>
          </w:p>
        </w:tc>
        <w:tc>
          <w:tcPr>
            <w:tcW w:w="177" w:type="pct"/>
            <w:tcBorders>
              <w:top w:val="nil"/>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b/>
                <w:bCs/>
                <w:color w:val="000000"/>
                <w:sz w:val="16"/>
                <w:szCs w:val="16"/>
                <w:lang w:val="en-GB" w:eastAsia="en-GB"/>
              </w:rPr>
            </w:pPr>
            <w:r w:rsidRPr="00F119AA">
              <w:rPr>
                <w:rFonts w:ascii="Arial Narrow" w:hAnsi="Arial Narrow" w:cs="ArialMT"/>
                <w:b/>
                <w:bCs/>
                <w:color w:val="000000"/>
                <w:sz w:val="16"/>
                <w:szCs w:val="16"/>
                <w:lang w:eastAsia="en-GB"/>
              </w:rPr>
              <w:t>100</w:t>
            </w:r>
          </w:p>
        </w:tc>
        <w:tc>
          <w:tcPr>
            <w:tcW w:w="177" w:type="pct"/>
            <w:tcBorders>
              <w:top w:val="nil"/>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b/>
                <w:bCs/>
                <w:color w:val="000000"/>
                <w:sz w:val="16"/>
                <w:szCs w:val="16"/>
                <w:lang w:val="en-GB" w:eastAsia="en-GB"/>
              </w:rPr>
            </w:pPr>
            <w:r w:rsidRPr="00F119AA">
              <w:rPr>
                <w:rFonts w:ascii="Arial Narrow" w:hAnsi="Arial Narrow" w:cs="ArialMT"/>
                <w:b/>
                <w:bCs/>
                <w:color w:val="000000"/>
                <w:sz w:val="16"/>
                <w:szCs w:val="16"/>
                <w:lang w:eastAsia="en-GB"/>
              </w:rPr>
              <w:t>100</w:t>
            </w:r>
          </w:p>
        </w:tc>
        <w:tc>
          <w:tcPr>
            <w:tcW w:w="177" w:type="pct"/>
            <w:tcBorders>
              <w:top w:val="nil"/>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b/>
                <w:bCs/>
                <w:color w:val="000000"/>
                <w:sz w:val="16"/>
                <w:szCs w:val="16"/>
                <w:lang w:val="en-GB" w:eastAsia="en-GB"/>
              </w:rPr>
            </w:pPr>
            <w:r w:rsidRPr="00F119AA">
              <w:rPr>
                <w:rFonts w:ascii="Arial Narrow" w:hAnsi="Arial Narrow" w:cs="ArialMT"/>
                <w:b/>
                <w:bCs/>
                <w:color w:val="000000"/>
                <w:sz w:val="16"/>
                <w:szCs w:val="16"/>
                <w:lang w:eastAsia="en-GB"/>
              </w:rPr>
              <w:t>100</w:t>
            </w:r>
          </w:p>
        </w:tc>
        <w:tc>
          <w:tcPr>
            <w:tcW w:w="177" w:type="pct"/>
            <w:tcBorders>
              <w:top w:val="nil"/>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b/>
                <w:bCs/>
                <w:color w:val="000000"/>
                <w:sz w:val="16"/>
                <w:szCs w:val="16"/>
                <w:lang w:val="en-GB" w:eastAsia="en-GB"/>
              </w:rPr>
            </w:pPr>
            <w:r w:rsidRPr="00F119AA">
              <w:rPr>
                <w:rFonts w:ascii="Arial Narrow" w:hAnsi="Arial Narrow" w:cs="ArialMT"/>
                <w:b/>
                <w:bCs/>
                <w:color w:val="000000"/>
                <w:sz w:val="16"/>
                <w:szCs w:val="16"/>
                <w:lang w:eastAsia="en-GB"/>
              </w:rPr>
              <w:t>100</w:t>
            </w:r>
          </w:p>
        </w:tc>
        <w:tc>
          <w:tcPr>
            <w:tcW w:w="177" w:type="pct"/>
            <w:tcBorders>
              <w:top w:val="nil"/>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b/>
                <w:bCs/>
                <w:color w:val="000000"/>
                <w:sz w:val="16"/>
                <w:szCs w:val="16"/>
                <w:lang w:val="en-GB" w:eastAsia="en-GB"/>
              </w:rPr>
            </w:pPr>
            <w:r w:rsidRPr="00F119AA">
              <w:rPr>
                <w:rFonts w:ascii="Arial Narrow" w:hAnsi="Arial Narrow" w:cs="ArialMT"/>
                <w:b/>
                <w:bCs/>
                <w:color w:val="000000"/>
                <w:sz w:val="16"/>
                <w:szCs w:val="16"/>
                <w:lang w:eastAsia="en-GB"/>
              </w:rPr>
              <w:t>100</w:t>
            </w:r>
          </w:p>
        </w:tc>
        <w:tc>
          <w:tcPr>
            <w:tcW w:w="177" w:type="pct"/>
            <w:tcBorders>
              <w:top w:val="nil"/>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b/>
                <w:bCs/>
                <w:color w:val="000000"/>
                <w:sz w:val="16"/>
                <w:szCs w:val="16"/>
                <w:lang w:val="en-GB" w:eastAsia="en-GB"/>
              </w:rPr>
            </w:pPr>
            <w:r w:rsidRPr="00F119AA">
              <w:rPr>
                <w:rFonts w:ascii="Arial Narrow" w:hAnsi="Arial Narrow" w:cs="ArialMT"/>
                <w:b/>
                <w:bCs/>
                <w:color w:val="000000"/>
                <w:sz w:val="16"/>
                <w:szCs w:val="16"/>
                <w:lang w:eastAsia="en-GB"/>
              </w:rPr>
              <w:t>100</w:t>
            </w:r>
          </w:p>
        </w:tc>
        <w:tc>
          <w:tcPr>
            <w:tcW w:w="177" w:type="pct"/>
            <w:tcBorders>
              <w:top w:val="nil"/>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b/>
                <w:bCs/>
                <w:color w:val="000000"/>
                <w:sz w:val="16"/>
                <w:szCs w:val="16"/>
                <w:lang w:val="en-GB" w:eastAsia="en-GB"/>
              </w:rPr>
            </w:pPr>
            <w:r w:rsidRPr="00F119AA">
              <w:rPr>
                <w:rFonts w:ascii="Arial Narrow" w:hAnsi="Arial Narrow" w:cs="ArialMT"/>
                <w:b/>
                <w:bCs/>
                <w:color w:val="000000"/>
                <w:sz w:val="16"/>
                <w:szCs w:val="16"/>
                <w:lang w:eastAsia="en-GB"/>
              </w:rPr>
              <w:t>100</w:t>
            </w:r>
          </w:p>
        </w:tc>
        <w:tc>
          <w:tcPr>
            <w:tcW w:w="177" w:type="pct"/>
            <w:tcBorders>
              <w:top w:val="nil"/>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b/>
                <w:bCs/>
                <w:color w:val="000000"/>
                <w:sz w:val="16"/>
                <w:szCs w:val="16"/>
                <w:lang w:val="en-GB" w:eastAsia="en-GB"/>
              </w:rPr>
            </w:pPr>
            <w:r w:rsidRPr="00F119AA">
              <w:rPr>
                <w:rFonts w:ascii="Arial Narrow" w:hAnsi="Arial Narrow" w:cs="ArialMT"/>
                <w:b/>
                <w:bCs/>
                <w:color w:val="000000"/>
                <w:sz w:val="16"/>
                <w:szCs w:val="16"/>
                <w:lang w:eastAsia="en-GB"/>
              </w:rPr>
              <w:t>100</w:t>
            </w:r>
          </w:p>
        </w:tc>
        <w:tc>
          <w:tcPr>
            <w:tcW w:w="177" w:type="pct"/>
            <w:tcBorders>
              <w:top w:val="nil"/>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b/>
                <w:bCs/>
                <w:color w:val="000000"/>
                <w:sz w:val="16"/>
                <w:szCs w:val="16"/>
                <w:lang w:val="en-GB" w:eastAsia="en-GB"/>
              </w:rPr>
            </w:pPr>
            <w:r w:rsidRPr="00F119AA">
              <w:rPr>
                <w:rFonts w:ascii="Arial Narrow" w:hAnsi="Arial Narrow" w:cs="ArialMT"/>
                <w:b/>
                <w:bCs/>
                <w:color w:val="000000"/>
                <w:sz w:val="16"/>
                <w:szCs w:val="16"/>
                <w:lang w:eastAsia="en-GB"/>
              </w:rPr>
              <w:t>100</w:t>
            </w:r>
          </w:p>
        </w:tc>
        <w:tc>
          <w:tcPr>
            <w:tcW w:w="177" w:type="pct"/>
            <w:tcBorders>
              <w:top w:val="nil"/>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b/>
                <w:bCs/>
                <w:color w:val="000000"/>
                <w:sz w:val="16"/>
                <w:szCs w:val="16"/>
                <w:lang w:val="en-GB" w:eastAsia="en-GB"/>
              </w:rPr>
            </w:pPr>
            <w:r w:rsidRPr="00F119AA">
              <w:rPr>
                <w:rFonts w:ascii="Arial Narrow" w:hAnsi="Arial Narrow" w:cs="ArialMT"/>
                <w:b/>
                <w:bCs/>
                <w:color w:val="000000"/>
                <w:sz w:val="16"/>
                <w:szCs w:val="16"/>
                <w:lang w:eastAsia="en-GB"/>
              </w:rPr>
              <w:t>100</w:t>
            </w:r>
          </w:p>
        </w:tc>
        <w:tc>
          <w:tcPr>
            <w:tcW w:w="177" w:type="pct"/>
            <w:tcBorders>
              <w:top w:val="nil"/>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b/>
                <w:bCs/>
                <w:color w:val="000000"/>
                <w:sz w:val="16"/>
                <w:szCs w:val="16"/>
                <w:lang w:val="en-GB" w:eastAsia="en-GB"/>
              </w:rPr>
            </w:pPr>
            <w:r w:rsidRPr="00F119AA">
              <w:rPr>
                <w:rFonts w:ascii="Arial Narrow" w:hAnsi="Arial Narrow" w:cs="ArialMT"/>
                <w:b/>
                <w:bCs/>
                <w:color w:val="000000"/>
                <w:sz w:val="16"/>
                <w:szCs w:val="16"/>
                <w:lang w:eastAsia="en-GB"/>
              </w:rPr>
              <w:t>100</w:t>
            </w:r>
          </w:p>
        </w:tc>
        <w:tc>
          <w:tcPr>
            <w:tcW w:w="177" w:type="pct"/>
            <w:tcBorders>
              <w:top w:val="nil"/>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b/>
                <w:bCs/>
                <w:color w:val="000000"/>
                <w:sz w:val="16"/>
                <w:szCs w:val="16"/>
                <w:lang w:val="en-GB" w:eastAsia="en-GB"/>
              </w:rPr>
            </w:pPr>
            <w:r w:rsidRPr="00F119AA">
              <w:rPr>
                <w:rFonts w:ascii="Arial Narrow" w:hAnsi="Arial Narrow" w:cs="ArialMT"/>
                <w:b/>
                <w:bCs/>
                <w:color w:val="000000"/>
                <w:sz w:val="16"/>
                <w:szCs w:val="16"/>
                <w:lang w:eastAsia="en-GB"/>
              </w:rPr>
              <w:t>100</w:t>
            </w:r>
          </w:p>
        </w:tc>
        <w:tc>
          <w:tcPr>
            <w:tcW w:w="177" w:type="pct"/>
            <w:tcBorders>
              <w:top w:val="nil"/>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b/>
                <w:bCs/>
                <w:color w:val="000000"/>
                <w:sz w:val="16"/>
                <w:szCs w:val="16"/>
                <w:lang w:val="en-GB" w:eastAsia="en-GB"/>
              </w:rPr>
            </w:pPr>
            <w:r w:rsidRPr="00F119AA">
              <w:rPr>
                <w:rFonts w:ascii="Arial Narrow" w:hAnsi="Arial Narrow" w:cs="ArialMT"/>
                <w:b/>
                <w:bCs/>
                <w:color w:val="000000"/>
                <w:sz w:val="16"/>
                <w:szCs w:val="16"/>
                <w:lang w:eastAsia="en-GB"/>
              </w:rPr>
              <w:t>100</w:t>
            </w:r>
          </w:p>
        </w:tc>
        <w:tc>
          <w:tcPr>
            <w:tcW w:w="177" w:type="pct"/>
            <w:tcBorders>
              <w:top w:val="nil"/>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b/>
                <w:bCs/>
                <w:color w:val="000000"/>
                <w:sz w:val="16"/>
                <w:szCs w:val="16"/>
                <w:lang w:val="en-GB" w:eastAsia="en-GB"/>
              </w:rPr>
            </w:pPr>
            <w:r w:rsidRPr="00F119AA">
              <w:rPr>
                <w:rFonts w:ascii="Arial Narrow" w:hAnsi="Arial Narrow" w:cs="ArialMT"/>
                <w:b/>
                <w:bCs/>
                <w:color w:val="000000"/>
                <w:sz w:val="16"/>
                <w:szCs w:val="16"/>
                <w:lang w:eastAsia="en-GB"/>
              </w:rPr>
              <w:t>100</w:t>
            </w:r>
          </w:p>
        </w:tc>
        <w:tc>
          <w:tcPr>
            <w:tcW w:w="177" w:type="pct"/>
            <w:tcBorders>
              <w:top w:val="nil"/>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b/>
                <w:bCs/>
                <w:color w:val="000000"/>
                <w:sz w:val="16"/>
                <w:szCs w:val="16"/>
                <w:lang w:val="en-GB" w:eastAsia="en-GB"/>
              </w:rPr>
            </w:pPr>
            <w:r w:rsidRPr="00F119AA">
              <w:rPr>
                <w:rFonts w:ascii="Arial Narrow" w:hAnsi="Arial Narrow" w:cs="ArialMT"/>
                <w:b/>
                <w:bCs/>
                <w:color w:val="000000"/>
                <w:sz w:val="16"/>
                <w:szCs w:val="16"/>
                <w:lang w:eastAsia="en-GB"/>
              </w:rPr>
              <w:t>100</w:t>
            </w:r>
          </w:p>
        </w:tc>
        <w:tc>
          <w:tcPr>
            <w:tcW w:w="177" w:type="pct"/>
            <w:tcBorders>
              <w:top w:val="nil"/>
              <w:left w:val="nil"/>
              <w:bottom w:val="single" w:sz="8" w:space="0" w:color="9BBB59"/>
              <w:right w:val="nil"/>
            </w:tcBorders>
            <w:shd w:val="clear" w:color="auto" w:fill="auto"/>
            <w:vAlign w:val="center"/>
            <w:hideMark/>
          </w:tcPr>
          <w:p w:rsidR="00F119AA" w:rsidRPr="00F119AA" w:rsidRDefault="00F119AA" w:rsidP="00F119AA">
            <w:pPr>
              <w:spacing w:after="0" w:line="240" w:lineRule="auto"/>
              <w:jc w:val="right"/>
              <w:rPr>
                <w:rFonts w:ascii="Arial Narrow" w:hAnsi="Arial Narrow" w:cs="ArialMT"/>
                <w:b/>
                <w:bCs/>
                <w:color w:val="000000"/>
                <w:sz w:val="16"/>
                <w:szCs w:val="16"/>
                <w:lang w:val="en-GB" w:eastAsia="en-GB"/>
              </w:rPr>
            </w:pPr>
            <w:r w:rsidRPr="00F119AA">
              <w:rPr>
                <w:rFonts w:ascii="Arial Narrow" w:hAnsi="Arial Narrow" w:cs="ArialMT"/>
                <w:b/>
                <w:bCs/>
                <w:color w:val="000000"/>
                <w:sz w:val="16"/>
                <w:szCs w:val="16"/>
                <w:lang w:eastAsia="en-GB"/>
              </w:rPr>
              <w:t>100</w:t>
            </w:r>
          </w:p>
        </w:tc>
        <w:tc>
          <w:tcPr>
            <w:tcW w:w="164" w:type="pct"/>
            <w:tcBorders>
              <w:top w:val="nil"/>
              <w:left w:val="nil"/>
              <w:bottom w:val="single" w:sz="8" w:space="0" w:color="9BBB59"/>
              <w:right w:val="single" w:sz="8" w:space="0" w:color="9BBB59"/>
            </w:tcBorders>
            <w:shd w:val="clear" w:color="auto" w:fill="auto"/>
            <w:vAlign w:val="center"/>
            <w:hideMark/>
          </w:tcPr>
          <w:p w:rsidR="00F119AA" w:rsidRPr="00F119AA" w:rsidRDefault="00F119AA" w:rsidP="00F119AA">
            <w:pPr>
              <w:spacing w:after="0" w:line="240" w:lineRule="auto"/>
              <w:jc w:val="right"/>
              <w:rPr>
                <w:rFonts w:ascii="Arial Narrow" w:hAnsi="Arial Narrow" w:cs="ArialMT"/>
                <w:b/>
                <w:bCs/>
                <w:color w:val="000000"/>
                <w:sz w:val="16"/>
                <w:szCs w:val="16"/>
                <w:lang w:val="en-GB" w:eastAsia="en-GB"/>
              </w:rPr>
            </w:pPr>
            <w:r w:rsidRPr="00F119AA">
              <w:rPr>
                <w:rFonts w:ascii="Arial Narrow" w:hAnsi="Arial Narrow" w:cs="ArialMT"/>
                <w:b/>
                <w:bCs/>
                <w:color w:val="000000"/>
                <w:sz w:val="16"/>
                <w:szCs w:val="16"/>
                <w:lang w:eastAsia="en-GB"/>
              </w:rPr>
              <w:t>100</w:t>
            </w:r>
          </w:p>
        </w:tc>
      </w:tr>
    </w:tbl>
    <w:p w:rsidR="002816A9" w:rsidRDefault="00644D82" w:rsidP="00DE1E54">
      <w:pPr>
        <w:pStyle w:val="Podpispodtabeloaligrafom"/>
        <w:spacing w:after="0"/>
      </w:pPr>
      <w:r>
        <w:t>V</w:t>
      </w:r>
      <w:r w:rsidR="006A670E">
        <w:t>ir: Ministrstvo za kultur</w:t>
      </w:r>
      <w:r w:rsidR="0096091A">
        <w:t>o</w:t>
      </w:r>
      <w:r w:rsidR="002816A9">
        <w:t>.</w:t>
      </w:r>
    </w:p>
    <w:p w:rsidR="006A670E" w:rsidRPr="006A670E" w:rsidRDefault="006A670E" w:rsidP="00DE1E54">
      <w:pPr>
        <w:pStyle w:val="Podpispodtabeloaligrafom"/>
        <w:spacing w:after="0"/>
      </w:pPr>
      <w:r w:rsidRPr="007F5514">
        <w:t>Opombe:</w:t>
      </w:r>
    </w:p>
    <w:p w:rsidR="006A670E" w:rsidRPr="006A670E" w:rsidRDefault="006A670E" w:rsidP="00DE1E54">
      <w:pPr>
        <w:pStyle w:val="Podpispodtabeloaligrafom"/>
        <w:spacing w:after="0"/>
      </w:pPr>
      <w:r w:rsidRPr="006A670E">
        <w:rPr>
          <w:vertAlign w:val="superscript"/>
        </w:rPr>
        <w:t>1</w:t>
      </w:r>
      <w:r>
        <w:rPr>
          <w:vertAlign w:val="superscript"/>
        </w:rPr>
        <w:t xml:space="preserve"> </w:t>
      </w:r>
      <w:r w:rsidRPr="006A670E">
        <w:t>Leta 1994 je M</w:t>
      </w:r>
      <w:r w:rsidR="00C36FCF">
        <w:t>inistrstvo za kulturo</w:t>
      </w:r>
      <w:r w:rsidRPr="006A670E">
        <w:t xml:space="preserve"> začelo redno financirati Narodno in univerzitetno knjižnico.</w:t>
      </w:r>
    </w:p>
    <w:p w:rsidR="006A670E" w:rsidRPr="006A670E" w:rsidRDefault="006A670E" w:rsidP="00DE1E54">
      <w:pPr>
        <w:pStyle w:val="Podpispodtabeloaligrafom"/>
        <w:spacing w:after="0"/>
      </w:pPr>
      <w:r w:rsidRPr="006A670E">
        <w:rPr>
          <w:vertAlign w:val="superscript"/>
        </w:rPr>
        <w:t>2</w:t>
      </w:r>
      <w:r>
        <w:rPr>
          <w:vertAlign w:val="superscript"/>
        </w:rPr>
        <w:t xml:space="preserve"> </w:t>
      </w:r>
      <w:r w:rsidR="00C36FCF">
        <w:t xml:space="preserve">Leta 1996 je </w:t>
      </w:r>
      <w:r w:rsidR="00C36FCF" w:rsidRPr="006A670E">
        <w:t>M</w:t>
      </w:r>
      <w:r w:rsidR="00C36FCF">
        <w:t xml:space="preserve">inistrstvo za kulturo </w:t>
      </w:r>
      <w:r w:rsidRPr="006A670E">
        <w:t>začelo financirati dejavnosti Sklada RS za ljubiteljske kulturne dejavnosti.</w:t>
      </w:r>
    </w:p>
    <w:p w:rsidR="006A670E" w:rsidRPr="006A670E" w:rsidRDefault="006A670E" w:rsidP="00DE1E54">
      <w:pPr>
        <w:pStyle w:val="Podpispodtabeloaligrafom"/>
        <w:spacing w:after="0"/>
      </w:pPr>
      <w:r w:rsidRPr="006A670E">
        <w:rPr>
          <w:vertAlign w:val="superscript"/>
        </w:rPr>
        <w:t>3</w:t>
      </w:r>
      <w:r>
        <w:rPr>
          <w:vertAlign w:val="superscript"/>
        </w:rPr>
        <w:t xml:space="preserve"> </w:t>
      </w:r>
      <w:r w:rsidRPr="006A670E">
        <w:t>V letu 1999 so v skladu z 27. členom Zakona o spremembah in dopolnitvah zakona o financiranju občin (UL</w:t>
      </w:r>
      <w:r w:rsidR="00C36FCF">
        <w:t xml:space="preserve"> 56/98) financiranje občinskih</w:t>
      </w:r>
      <w:r w:rsidRPr="006A670E">
        <w:t xml:space="preserve"> javnih zavodov s področja kulture prevzele občine ustanoviteljice.</w:t>
      </w:r>
    </w:p>
    <w:p w:rsidR="006A670E" w:rsidRPr="006A670E" w:rsidRDefault="006A670E" w:rsidP="00DE1E54">
      <w:pPr>
        <w:pStyle w:val="Podpispodtabeloaligrafom"/>
        <w:spacing w:after="0"/>
      </w:pPr>
      <w:r w:rsidRPr="006A670E">
        <w:rPr>
          <w:vertAlign w:val="superscript"/>
        </w:rPr>
        <w:t xml:space="preserve">4 </w:t>
      </w:r>
      <w:r w:rsidRPr="006A670E">
        <w:t>V letu 1999 se je začel uresničevati Zakon o zagotavljanju sredstev za nekatere nujne programe Republike Slovenije v kulturi (UL RS 24/98).</w:t>
      </w:r>
    </w:p>
    <w:p w:rsidR="006A670E" w:rsidRPr="006A670E" w:rsidRDefault="006A670E" w:rsidP="00DE1E54">
      <w:pPr>
        <w:pStyle w:val="Podpispodtabeloaligrafom"/>
        <w:spacing w:after="0"/>
      </w:pPr>
      <w:r w:rsidRPr="006A670E">
        <w:rPr>
          <w:vertAlign w:val="superscript"/>
        </w:rPr>
        <w:t>5</w:t>
      </w:r>
      <w:r>
        <w:rPr>
          <w:vertAlign w:val="superscript"/>
        </w:rPr>
        <w:t xml:space="preserve"> </w:t>
      </w:r>
      <w:r w:rsidRPr="006A670E">
        <w:t>Do 30. 06. 2000 je financiranje občinskih javnih zavodov potekalo v skladu s 30. členom ZIPRS 2000, od 01.07.2000 dalje pa iz sredstev državnega proračuna.</w:t>
      </w:r>
    </w:p>
    <w:p w:rsidR="006A670E" w:rsidRPr="006A670E" w:rsidRDefault="006A670E" w:rsidP="00DE1E54">
      <w:pPr>
        <w:pStyle w:val="Podpispodtabeloaligrafom"/>
        <w:spacing w:after="0"/>
      </w:pPr>
      <w:r w:rsidRPr="006A670E">
        <w:rPr>
          <w:vertAlign w:val="superscript"/>
        </w:rPr>
        <w:t>6</w:t>
      </w:r>
      <w:r>
        <w:rPr>
          <w:vertAlign w:val="superscript"/>
        </w:rPr>
        <w:t xml:space="preserve"> </w:t>
      </w:r>
      <w:r w:rsidRPr="006A670E">
        <w:t>Sredi leta 2002 se je začelo izvajati Zakon o medijih (UL RS 35/2001, UL RS 54/2002). V letu 2003 so bile iz Urada RS za informiranje prenesene proračunske postavke: Programi RTV za tujino, Sofinanciranje glasil za slepe in slabovidne in Sofinanciranje glasil za gluhe.</w:t>
      </w:r>
    </w:p>
    <w:p w:rsidR="006A670E" w:rsidRPr="006A670E" w:rsidRDefault="006A670E" w:rsidP="00DE1E54">
      <w:pPr>
        <w:pStyle w:val="Podpispodtabeloaligrafom"/>
        <w:spacing w:after="0"/>
      </w:pPr>
      <w:r w:rsidRPr="00BB4949">
        <w:rPr>
          <w:vertAlign w:val="superscript"/>
        </w:rPr>
        <w:t xml:space="preserve">7 </w:t>
      </w:r>
      <w:r w:rsidRPr="00BB4949">
        <w:t xml:space="preserve">Od leta 2002 naprej so na proračunski postavki Mednarodno sodelovanje le sredstva, ki so neposredno povezana z mednarodno sodelovanjem </w:t>
      </w:r>
      <w:r w:rsidR="002A5F73">
        <w:t>Ministrstva za kulturo</w:t>
      </w:r>
      <w:r w:rsidRPr="00BB4949">
        <w:t>, sredstva za mednarodno sodelovanje izvajalcev kulturnih programov in projektov pa so se prenesla proračunske postavke iz katerih se financira programe.</w:t>
      </w:r>
    </w:p>
    <w:p w:rsidR="006A670E" w:rsidRPr="006A670E" w:rsidRDefault="006A670E" w:rsidP="00DE1E54">
      <w:pPr>
        <w:pStyle w:val="Podpispodtabeloaligrafom"/>
        <w:spacing w:after="0"/>
      </w:pPr>
      <w:r w:rsidRPr="00482099">
        <w:rPr>
          <w:vertAlign w:val="superscript"/>
        </w:rPr>
        <w:t xml:space="preserve">8 </w:t>
      </w:r>
      <w:r w:rsidRPr="00482099">
        <w:t xml:space="preserve">V letu 2003 se je na novo oblikovala proračunska postavka </w:t>
      </w:r>
      <w:proofErr w:type="spellStart"/>
      <w:r w:rsidRPr="00482099">
        <w:t>Intermedijske</w:t>
      </w:r>
      <w:proofErr w:type="spellEnd"/>
      <w:r w:rsidRPr="00482099">
        <w:t xml:space="preserve"> umetnosti.</w:t>
      </w:r>
    </w:p>
    <w:p w:rsidR="006A670E" w:rsidRPr="006A670E" w:rsidRDefault="006A670E" w:rsidP="00DE1E54">
      <w:pPr>
        <w:pStyle w:val="Podpispodtabeloaligrafom"/>
        <w:spacing w:after="0"/>
      </w:pPr>
      <w:r w:rsidRPr="006A670E">
        <w:rPr>
          <w:vertAlign w:val="superscript"/>
        </w:rPr>
        <w:t>9</w:t>
      </w:r>
      <w:r>
        <w:rPr>
          <w:vertAlign w:val="superscript"/>
        </w:rPr>
        <w:t xml:space="preserve"> </w:t>
      </w:r>
      <w:r w:rsidRPr="006A670E">
        <w:t xml:space="preserve">1. 1. 2004 je bila ukinjena Uprava RS za kulturno dediščino kot samostojni organ v sestavi </w:t>
      </w:r>
      <w:r w:rsidR="000108DE">
        <w:t xml:space="preserve">Ministrstva za kulturo; </w:t>
      </w:r>
      <w:r w:rsidRPr="006A670E">
        <w:t xml:space="preserve">1. 4. 2004 pa še Urad Vlade RS za slovenski jezik. Naloge obeh je prevzelo </w:t>
      </w:r>
      <w:r w:rsidR="000108DE" w:rsidRPr="006A670E">
        <w:t>M</w:t>
      </w:r>
      <w:r w:rsidR="000108DE">
        <w:t>inistrstvo za kulturo</w:t>
      </w:r>
      <w:r w:rsidRPr="006A670E">
        <w:t>.</w:t>
      </w:r>
    </w:p>
    <w:p w:rsidR="006A670E" w:rsidRPr="006A670E" w:rsidRDefault="006A670E" w:rsidP="00DE1E54">
      <w:pPr>
        <w:pStyle w:val="Podpispodtabeloaligrafom"/>
        <w:spacing w:after="0"/>
      </w:pPr>
      <w:r w:rsidRPr="006A670E">
        <w:rPr>
          <w:vertAlign w:val="superscript"/>
        </w:rPr>
        <w:t>10</w:t>
      </w:r>
      <w:r>
        <w:rPr>
          <w:vertAlign w:val="superscript"/>
        </w:rPr>
        <w:t xml:space="preserve"> </w:t>
      </w:r>
      <w:r w:rsidRPr="006A670E">
        <w:t>Proračunska postavka za Slovence zunaj RS je bila 1. 1. 2006 prenesena na Urad RS za Slovence v zamejstvu in po svetu.</w:t>
      </w:r>
    </w:p>
    <w:p w:rsidR="006A670E" w:rsidRPr="006A670E" w:rsidRDefault="006A670E" w:rsidP="00DE1E54">
      <w:pPr>
        <w:pStyle w:val="Podpispodtabeloaligrafom"/>
        <w:spacing w:after="0"/>
      </w:pPr>
      <w:r w:rsidRPr="006A670E">
        <w:rPr>
          <w:vertAlign w:val="superscript"/>
          <w:lang w:val="en-US"/>
        </w:rPr>
        <w:t xml:space="preserve">11 </w:t>
      </w:r>
      <w:r w:rsidRPr="006A670E">
        <w:rPr>
          <w:lang w:val="en-US"/>
        </w:rPr>
        <w:t xml:space="preserve">V </w:t>
      </w:r>
      <w:proofErr w:type="spellStart"/>
      <w:r w:rsidRPr="006A670E">
        <w:rPr>
          <w:lang w:val="en-US"/>
        </w:rPr>
        <w:t>letu</w:t>
      </w:r>
      <w:proofErr w:type="spellEnd"/>
      <w:r w:rsidRPr="006A670E">
        <w:rPr>
          <w:lang w:val="en-US"/>
        </w:rPr>
        <w:t xml:space="preserve"> 2008 </w:t>
      </w:r>
      <w:proofErr w:type="spellStart"/>
      <w:r w:rsidRPr="006A670E">
        <w:rPr>
          <w:lang w:val="en-US"/>
        </w:rPr>
        <w:t>vključena</w:t>
      </w:r>
      <w:proofErr w:type="spellEnd"/>
      <w:r w:rsidRPr="006A670E">
        <w:rPr>
          <w:lang w:val="en-US"/>
        </w:rPr>
        <w:t xml:space="preserve"> </w:t>
      </w:r>
      <w:proofErr w:type="spellStart"/>
      <w:r w:rsidRPr="006A670E">
        <w:rPr>
          <w:lang w:val="en-US"/>
        </w:rPr>
        <w:t>tudi</w:t>
      </w:r>
      <w:proofErr w:type="spellEnd"/>
      <w:r w:rsidRPr="006A670E">
        <w:rPr>
          <w:lang w:val="en-US"/>
        </w:rPr>
        <w:t xml:space="preserve"> </w:t>
      </w:r>
      <w:proofErr w:type="spellStart"/>
      <w:r w:rsidRPr="006A670E">
        <w:rPr>
          <w:lang w:val="en-US"/>
        </w:rPr>
        <w:t>sredstva</w:t>
      </w:r>
      <w:proofErr w:type="spellEnd"/>
      <w:r w:rsidRPr="006A670E">
        <w:rPr>
          <w:lang w:val="en-US"/>
        </w:rPr>
        <w:t xml:space="preserve"> </w:t>
      </w:r>
      <w:proofErr w:type="spellStart"/>
      <w:r w:rsidRPr="006A670E">
        <w:rPr>
          <w:lang w:val="en-US"/>
        </w:rPr>
        <w:t>iz</w:t>
      </w:r>
      <w:proofErr w:type="spellEnd"/>
      <w:r w:rsidRPr="006A670E">
        <w:rPr>
          <w:lang w:val="en-US"/>
        </w:rPr>
        <w:t xml:space="preserve"> </w:t>
      </w:r>
      <w:proofErr w:type="spellStart"/>
      <w:r w:rsidRPr="006A670E">
        <w:rPr>
          <w:lang w:val="en-US"/>
        </w:rPr>
        <w:t>proračunskih</w:t>
      </w:r>
      <w:proofErr w:type="spellEnd"/>
      <w:r w:rsidRPr="006A670E">
        <w:rPr>
          <w:lang w:val="en-US"/>
        </w:rPr>
        <w:t xml:space="preserve"> </w:t>
      </w:r>
      <w:proofErr w:type="spellStart"/>
      <w:r w:rsidRPr="006A670E">
        <w:rPr>
          <w:lang w:val="en-US"/>
        </w:rPr>
        <w:t>postavk</w:t>
      </w:r>
      <w:proofErr w:type="spellEnd"/>
      <w:r w:rsidRPr="006A670E">
        <w:rPr>
          <w:lang w:val="en-US"/>
        </w:rPr>
        <w:t xml:space="preserve"> </w:t>
      </w:r>
      <w:proofErr w:type="spellStart"/>
      <w:r w:rsidRPr="006A670E">
        <w:rPr>
          <w:lang w:val="en-US"/>
        </w:rPr>
        <w:t>Predsedovanje</w:t>
      </w:r>
      <w:proofErr w:type="spellEnd"/>
      <w:r w:rsidRPr="006A670E">
        <w:rPr>
          <w:lang w:val="en-US"/>
        </w:rPr>
        <w:t xml:space="preserve"> EU in </w:t>
      </w:r>
      <w:proofErr w:type="spellStart"/>
      <w:r w:rsidRPr="006A670E">
        <w:rPr>
          <w:lang w:val="en-US"/>
        </w:rPr>
        <w:t>Predsedovanje</w:t>
      </w:r>
      <w:proofErr w:type="spellEnd"/>
      <w:r w:rsidRPr="006A670E">
        <w:rPr>
          <w:lang w:val="en-US"/>
        </w:rPr>
        <w:t xml:space="preserve"> EU </w:t>
      </w:r>
      <w:r w:rsidR="00982F24">
        <w:rPr>
          <w:lang w:val="en-US"/>
        </w:rPr>
        <w:t>–</w:t>
      </w:r>
      <w:r w:rsidRPr="006A670E">
        <w:rPr>
          <w:lang w:val="en-US"/>
        </w:rPr>
        <w:t xml:space="preserve"> </w:t>
      </w:r>
      <w:proofErr w:type="spellStart"/>
      <w:r w:rsidRPr="006A670E">
        <w:rPr>
          <w:lang w:val="en-US"/>
        </w:rPr>
        <w:t>donacija</w:t>
      </w:r>
      <w:proofErr w:type="spellEnd"/>
      <w:r w:rsidRPr="006A670E">
        <w:rPr>
          <w:lang w:val="en-US"/>
        </w:rPr>
        <w:t>.</w:t>
      </w:r>
    </w:p>
    <w:p w:rsidR="006A670E" w:rsidRPr="006A670E" w:rsidRDefault="006A670E" w:rsidP="00DE1E54">
      <w:pPr>
        <w:pStyle w:val="Podpispodtabeloaligrafom"/>
        <w:spacing w:after="0"/>
      </w:pPr>
      <w:r w:rsidRPr="006A670E">
        <w:rPr>
          <w:vertAlign w:val="superscript"/>
          <w:lang w:val="en-US"/>
        </w:rPr>
        <w:lastRenderedPageBreak/>
        <w:t>12</w:t>
      </w:r>
      <w:r>
        <w:rPr>
          <w:vertAlign w:val="superscript"/>
          <w:lang w:val="en-US"/>
        </w:rPr>
        <w:t xml:space="preserve"> </w:t>
      </w:r>
      <w:r w:rsidRPr="006A670E">
        <w:rPr>
          <w:lang w:val="en-US"/>
        </w:rPr>
        <w:t xml:space="preserve">V </w:t>
      </w:r>
      <w:proofErr w:type="spellStart"/>
      <w:r w:rsidRPr="006A670E">
        <w:rPr>
          <w:lang w:val="en-US"/>
        </w:rPr>
        <w:t>letu</w:t>
      </w:r>
      <w:proofErr w:type="spellEnd"/>
      <w:r w:rsidRPr="006A670E">
        <w:rPr>
          <w:lang w:val="en-US"/>
        </w:rPr>
        <w:t xml:space="preserve"> 2010 je </w:t>
      </w:r>
      <w:proofErr w:type="spellStart"/>
      <w:r w:rsidRPr="006A670E">
        <w:rPr>
          <w:lang w:val="en-US"/>
        </w:rPr>
        <w:t>bila</w:t>
      </w:r>
      <w:proofErr w:type="spellEnd"/>
      <w:r w:rsidRPr="006A670E">
        <w:rPr>
          <w:lang w:val="en-US"/>
        </w:rPr>
        <w:t xml:space="preserve"> </w:t>
      </w:r>
      <w:proofErr w:type="spellStart"/>
      <w:r w:rsidRPr="006A670E">
        <w:rPr>
          <w:lang w:val="en-US"/>
        </w:rPr>
        <w:t>na</w:t>
      </w:r>
      <w:proofErr w:type="spellEnd"/>
      <w:r w:rsidRPr="006A670E">
        <w:rPr>
          <w:lang w:val="en-US"/>
        </w:rPr>
        <w:t xml:space="preserve"> </w:t>
      </w:r>
      <w:r w:rsidR="000108DE" w:rsidRPr="006A670E">
        <w:t>M</w:t>
      </w:r>
      <w:r w:rsidR="000108DE">
        <w:t>inistrstvo za kulturo</w:t>
      </w:r>
      <w:r w:rsidR="000108DE" w:rsidRPr="006A670E">
        <w:t xml:space="preserve"> </w:t>
      </w:r>
      <w:proofErr w:type="spellStart"/>
      <w:r w:rsidRPr="006A670E">
        <w:rPr>
          <w:lang w:val="en-US"/>
        </w:rPr>
        <w:t>prenešena</w:t>
      </w:r>
      <w:proofErr w:type="spellEnd"/>
      <w:r w:rsidRPr="006A670E">
        <w:rPr>
          <w:lang w:val="en-US"/>
        </w:rPr>
        <w:t xml:space="preserve"> </w:t>
      </w:r>
      <w:proofErr w:type="spellStart"/>
      <w:r w:rsidRPr="006A670E">
        <w:rPr>
          <w:lang w:val="en-US"/>
        </w:rPr>
        <w:t>proračunska</w:t>
      </w:r>
      <w:proofErr w:type="spellEnd"/>
      <w:r w:rsidRPr="006A670E">
        <w:rPr>
          <w:lang w:val="en-US"/>
        </w:rPr>
        <w:t xml:space="preserve"> </w:t>
      </w:r>
      <w:proofErr w:type="spellStart"/>
      <w:r w:rsidRPr="006A670E">
        <w:rPr>
          <w:lang w:val="en-US"/>
        </w:rPr>
        <w:t>postavka</w:t>
      </w:r>
      <w:proofErr w:type="spellEnd"/>
      <w:r w:rsidRPr="006A670E">
        <w:rPr>
          <w:lang w:val="en-US"/>
        </w:rPr>
        <w:t xml:space="preserve"> Forum </w:t>
      </w:r>
      <w:proofErr w:type="spellStart"/>
      <w:r w:rsidRPr="006A670E">
        <w:rPr>
          <w:lang w:val="en-US"/>
        </w:rPr>
        <w:t>slovanskih</w:t>
      </w:r>
      <w:proofErr w:type="spellEnd"/>
      <w:r w:rsidRPr="006A670E">
        <w:rPr>
          <w:lang w:val="en-US"/>
        </w:rPr>
        <w:t xml:space="preserve"> </w:t>
      </w:r>
      <w:proofErr w:type="spellStart"/>
      <w:r w:rsidRPr="006A670E">
        <w:rPr>
          <w:lang w:val="en-US"/>
        </w:rPr>
        <w:t>kultur</w:t>
      </w:r>
      <w:proofErr w:type="spellEnd"/>
      <w:r w:rsidRPr="006A670E">
        <w:rPr>
          <w:lang w:val="en-US"/>
        </w:rPr>
        <w:t>.</w:t>
      </w:r>
    </w:p>
    <w:p w:rsidR="006A670E" w:rsidRPr="00C36FCF" w:rsidRDefault="006A670E" w:rsidP="00DE1E54">
      <w:pPr>
        <w:pStyle w:val="Podpispodtabeloaligrafom"/>
        <w:spacing w:after="0"/>
      </w:pPr>
      <w:r w:rsidRPr="00C36FCF">
        <w:rPr>
          <w:vertAlign w:val="superscript"/>
        </w:rPr>
        <w:t xml:space="preserve">13 </w:t>
      </w:r>
      <w:r w:rsidR="00C36FCF" w:rsidRPr="00C36FCF">
        <w:t xml:space="preserve">Sem sodijo stroški, kot so npr. popularizacija kulturnih dejavnosti, stroški strokovnih komisij, stroški tehnične pomoči za projekte iz evropske kohezijske politike, plače in materialni stroški Ministrstva za kulturo in Inšpektorata za kulturo in medije, stroški nepremičnin v upravljanju, </w:t>
      </w:r>
      <w:proofErr w:type="spellStart"/>
      <w:r w:rsidR="00C36FCF" w:rsidRPr="00C36FCF">
        <w:t>najemnine.</w:t>
      </w:r>
      <w:r w:rsidRPr="00C36FCF">
        <w:t>V</w:t>
      </w:r>
      <w:proofErr w:type="spellEnd"/>
      <w:r w:rsidRPr="00C36FCF">
        <w:t xml:space="preserve"> letu 2010 je bila na </w:t>
      </w:r>
      <w:r w:rsidR="000108DE" w:rsidRPr="006A670E">
        <w:t>M</w:t>
      </w:r>
      <w:r w:rsidR="000108DE">
        <w:t>inistrstvo za kulturo</w:t>
      </w:r>
      <w:r w:rsidRPr="00C36FCF">
        <w:t xml:space="preserve"> </w:t>
      </w:r>
      <w:proofErr w:type="spellStart"/>
      <w:r w:rsidRPr="00C36FCF">
        <w:t>prenešena</w:t>
      </w:r>
      <w:proofErr w:type="spellEnd"/>
      <w:r w:rsidRPr="00C36FCF">
        <w:t xml:space="preserve"> proračunska postavka za državne proslave, v letu 2012</w:t>
      </w:r>
      <w:r w:rsidR="007F1C17">
        <w:t xml:space="preserve"> </w:t>
      </w:r>
      <w:r w:rsidRPr="00C36FCF">
        <w:t xml:space="preserve">so jo prenesli nazaj na Generalni sekretariat Vlade RS, leta 2014 pa spet na </w:t>
      </w:r>
      <w:r w:rsidR="000108DE" w:rsidRPr="006A670E">
        <w:t>M</w:t>
      </w:r>
      <w:r w:rsidR="000108DE">
        <w:t>inistrstvo za kulturo</w:t>
      </w:r>
      <w:r w:rsidRPr="00C36FCF">
        <w:t>.</w:t>
      </w:r>
    </w:p>
    <w:p w:rsidR="006A670E" w:rsidRPr="006A670E" w:rsidRDefault="006A670E" w:rsidP="00DE1E54">
      <w:pPr>
        <w:pStyle w:val="Podpispodtabeloaligrafom"/>
        <w:spacing w:after="0"/>
      </w:pPr>
      <w:r w:rsidRPr="006A670E">
        <w:rPr>
          <w:vertAlign w:val="superscript"/>
          <w:lang w:val="en-US"/>
        </w:rPr>
        <w:t>14</w:t>
      </w:r>
      <w:r>
        <w:rPr>
          <w:vertAlign w:val="superscript"/>
          <w:lang w:val="en-US"/>
        </w:rPr>
        <w:t xml:space="preserve"> </w:t>
      </w:r>
      <w:proofErr w:type="spellStart"/>
      <w:r w:rsidRPr="006A670E">
        <w:rPr>
          <w:lang w:val="en-US"/>
        </w:rPr>
        <w:t>Sredi</w:t>
      </w:r>
      <w:proofErr w:type="spellEnd"/>
      <w:r w:rsidRPr="006A670E">
        <w:rPr>
          <w:lang w:val="en-US"/>
        </w:rPr>
        <w:t xml:space="preserve"> </w:t>
      </w:r>
      <w:proofErr w:type="spellStart"/>
      <w:r w:rsidRPr="006A670E">
        <w:rPr>
          <w:lang w:val="en-US"/>
        </w:rPr>
        <w:t>leta</w:t>
      </w:r>
      <w:proofErr w:type="spellEnd"/>
      <w:r w:rsidRPr="006A670E">
        <w:rPr>
          <w:lang w:val="en-US"/>
        </w:rPr>
        <w:t xml:space="preserve"> 2012 je </w:t>
      </w:r>
      <w:proofErr w:type="spellStart"/>
      <w:r w:rsidRPr="006A670E">
        <w:rPr>
          <w:lang w:val="en-US"/>
        </w:rPr>
        <w:t>bila</w:t>
      </w:r>
      <w:proofErr w:type="spellEnd"/>
      <w:r w:rsidRPr="006A670E">
        <w:rPr>
          <w:lang w:val="en-US"/>
        </w:rPr>
        <w:t xml:space="preserve"> </w:t>
      </w:r>
      <w:proofErr w:type="spellStart"/>
      <w:r w:rsidRPr="006A670E">
        <w:rPr>
          <w:lang w:val="en-US"/>
        </w:rPr>
        <w:t>proračunska</w:t>
      </w:r>
      <w:proofErr w:type="spellEnd"/>
      <w:r w:rsidRPr="006A670E">
        <w:rPr>
          <w:lang w:val="en-US"/>
        </w:rPr>
        <w:t xml:space="preserve"> </w:t>
      </w:r>
      <w:proofErr w:type="spellStart"/>
      <w:r w:rsidRPr="006A670E">
        <w:rPr>
          <w:lang w:val="en-US"/>
        </w:rPr>
        <w:t>postavka</w:t>
      </w:r>
      <w:proofErr w:type="spellEnd"/>
      <w:r w:rsidRPr="006A670E">
        <w:rPr>
          <w:lang w:val="en-US"/>
        </w:rPr>
        <w:t xml:space="preserve"> </w:t>
      </w:r>
      <w:proofErr w:type="spellStart"/>
      <w:r w:rsidRPr="006A670E">
        <w:rPr>
          <w:lang w:val="en-US"/>
        </w:rPr>
        <w:t>Kobilarna</w:t>
      </w:r>
      <w:proofErr w:type="spellEnd"/>
      <w:r w:rsidRPr="006A670E">
        <w:rPr>
          <w:lang w:val="en-US"/>
        </w:rPr>
        <w:t xml:space="preserve"> </w:t>
      </w:r>
      <w:proofErr w:type="spellStart"/>
      <w:r w:rsidRPr="006A670E">
        <w:rPr>
          <w:lang w:val="en-US"/>
        </w:rPr>
        <w:t>Lipica</w:t>
      </w:r>
      <w:proofErr w:type="spellEnd"/>
      <w:r w:rsidRPr="006A670E">
        <w:rPr>
          <w:lang w:val="en-US"/>
        </w:rPr>
        <w:t xml:space="preserve"> </w:t>
      </w:r>
      <w:proofErr w:type="spellStart"/>
      <w:r w:rsidRPr="006A670E">
        <w:rPr>
          <w:lang w:val="en-US"/>
        </w:rPr>
        <w:t>prenešena</w:t>
      </w:r>
      <w:proofErr w:type="spellEnd"/>
      <w:r w:rsidRPr="006A670E">
        <w:rPr>
          <w:lang w:val="en-US"/>
        </w:rPr>
        <w:t xml:space="preserve"> </w:t>
      </w:r>
      <w:proofErr w:type="spellStart"/>
      <w:r w:rsidRPr="006A670E">
        <w:rPr>
          <w:lang w:val="en-US"/>
        </w:rPr>
        <w:t>nazaj</w:t>
      </w:r>
      <w:proofErr w:type="spellEnd"/>
      <w:r w:rsidRPr="006A670E">
        <w:rPr>
          <w:lang w:val="en-US"/>
        </w:rPr>
        <w:t xml:space="preserve"> </w:t>
      </w:r>
      <w:proofErr w:type="spellStart"/>
      <w:r w:rsidRPr="006A670E">
        <w:rPr>
          <w:lang w:val="en-US"/>
        </w:rPr>
        <w:t>na</w:t>
      </w:r>
      <w:proofErr w:type="spellEnd"/>
      <w:r w:rsidRPr="006A670E">
        <w:rPr>
          <w:lang w:val="en-US"/>
        </w:rPr>
        <w:t xml:space="preserve"> </w:t>
      </w:r>
      <w:proofErr w:type="spellStart"/>
      <w:r w:rsidRPr="006A670E">
        <w:rPr>
          <w:lang w:val="en-US"/>
        </w:rPr>
        <w:t>Ministrstvo</w:t>
      </w:r>
      <w:proofErr w:type="spellEnd"/>
      <w:r w:rsidRPr="006A670E">
        <w:rPr>
          <w:lang w:val="en-US"/>
        </w:rPr>
        <w:t xml:space="preserve"> </w:t>
      </w:r>
      <w:proofErr w:type="spellStart"/>
      <w:r w:rsidRPr="006A670E">
        <w:rPr>
          <w:lang w:val="en-US"/>
        </w:rPr>
        <w:t>za</w:t>
      </w:r>
      <w:proofErr w:type="spellEnd"/>
      <w:r w:rsidRPr="006A670E">
        <w:rPr>
          <w:lang w:val="en-US"/>
        </w:rPr>
        <w:t xml:space="preserve"> </w:t>
      </w:r>
      <w:proofErr w:type="spellStart"/>
      <w:r w:rsidRPr="006A670E">
        <w:rPr>
          <w:lang w:val="en-US"/>
        </w:rPr>
        <w:t>kmetijstvo</w:t>
      </w:r>
      <w:proofErr w:type="spellEnd"/>
      <w:r w:rsidRPr="006A670E">
        <w:rPr>
          <w:lang w:val="en-US"/>
        </w:rPr>
        <w:t>.</w:t>
      </w:r>
      <w:r w:rsidR="00626BDB">
        <w:rPr>
          <w:lang w:val="en-US"/>
        </w:rPr>
        <w:t xml:space="preserve"> </w:t>
      </w:r>
      <w:proofErr w:type="spellStart"/>
      <w:r w:rsidR="00626BDB" w:rsidRPr="00626BDB">
        <w:rPr>
          <w:lang w:val="en-US"/>
        </w:rPr>
        <w:t>Razlog</w:t>
      </w:r>
      <w:proofErr w:type="spellEnd"/>
      <w:r w:rsidR="00626BDB" w:rsidRPr="00626BDB">
        <w:rPr>
          <w:lang w:val="en-US"/>
        </w:rPr>
        <w:t xml:space="preserve"> </w:t>
      </w:r>
      <w:proofErr w:type="spellStart"/>
      <w:r w:rsidR="00626BDB" w:rsidRPr="00626BDB">
        <w:rPr>
          <w:lang w:val="en-US"/>
        </w:rPr>
        <w:t>za</w:t>
      </w:r>
      <w:proofErr w:type="spellEnd"/>
      <w:r w:rsidR="00626BDB" w:rsidRPr="00626BDB">
        <w:rPr>
          <w:lang w:val="en-US"/>
        </w:rPr>
        <w:t xml:space="preserve"> </w:t>
      </w:r>
      <w:proofErr w:type="spellStart"/>
      <w:r w:rsidR="00626BDB" w:rsidRPr="00626BDB">
        <w:rPr>
          <w:lang w:val="en-US"/>
        </w:rPr>
        <w:t>povišanje</w:t>
      </w:r>
      <w:proofErr w:type="spellEnd"/>
      <w:r w:rsidR="00626BDB" w:rsidRPr="00626BDB">
        <w:rPr>
          <w:lang w:val="en-US"/>
        </w:rPr>
        <w:t xml:space="preserve"> </w:t>
      </w:r>
      <w:proofErr w:type="spellStart"/>
      <w:r w:rsidR="00626BDB" w:rsidRPr="00626BDB">
        <w:rPr>
          <w:lang w:val="en-US"/>
        </w:rPr>
        <w:t>sredstev</w:t>
      </w:r>
      <w:proofErr w:type="spellEnd"/>
      <w:r w:rsidR="00626BDB" w:rsidRPr="00626BDB">
        <w:rPr>
          <w:lang w:val="en-US"/>
        </w:rPr>
        <w:t xml:space="preserve"> </w:t>
      </w:r>
      <w:proofErr w:type="spellStart"/>
      <w:r w:rsidR="00626BDB" w:rsidRPr="00626BDB">
        <w:rPr>
          <w:lang w:val="en-US"/>
        </w:rPr>
        <w:t>na</w:t>
      </w:r>
      <w:proofErr w:type="spellEnd"/>
      <w:r w:rsidR="00626BDB" w:rsidRPr="00626BDB">
        <w:rPr>
          <w:lang w:val="en-US"/>
        </w:rPr>
        <w:t xml:space="preserve"> </w:t>
      </w:r>
      <w:proofErr w:type="spellStart"/>
      <w:r w:rsidR="00626BDB" w:rsidRPr="00626BDB">
        <w:rPr>
          <w:lang w:val="en-US"/>
        </w:rPr>
        <w:t>področju</w:t>
      </w:r>
      <w:proofErr w:type="spellEnd"/>
      <w:r w:rsidR="00626BDB" w:rsidRPr="00626BDB">
        <w:rPr>
          <w:lang w:val="en-US"/>
        </w:rPr>
        <w:t xml:space="preserve"> </w:t>
      </w:r>
      <w:proofErr w:type="spellStart"/>
      <w:r w:rsidR="00626BDB" w:rsidRPr="00626BDB">
        <w:rPr>
          <w:lang w:val="en-US"/>
        </w:rPr>
        <w:t>varstva</w:t>
      </w:r>
      <w:proofErr w:type="spellEnd"/>
      <w:r w:rsidR="00626BDB" w:rsidRPr="00626BDB">
        <w:rPr>
          <w:lang w:val="en-US"/>
        </w:rPr>
        <w:t xml:space="preserve"> </w:t>
      </w:r>
      <w:proofErr w:type="spellStart"/>
      <w:r w:rsidR="00626BDB" w:rsidRPr="00626BDB">
        <w:rPr>
          <w:lang w:val="en-US"/>
        </w:rPr>
        <w:t>nepremične</w:t>
      </w:r>
      <w:proofErr w:type="spellEnd"/>
      <w:r w:rsidR="00626BDB" w:rsidRPr="00626BDB">
        <w:rPr>
          <w:lang w:val="en-US"/>
        </w:rPr>
        <w:t xml:space="preserve"> </w:t>
      </w:r>
      <w:proofErr w:type="spellStart"/>
      <w:r w:rsidR="00626BDB" w:rsidRPr="00626BDB">
        <w:rPr>
          <w:lang w:val="en-US"/>
        </w:rPr>
        <w:t>kulturne</w:t>
      </w:r>
      <w:proofErr w:type="spellEnd"/>
      <w:r w:rsidR="00626BDB" w:rsidRPr="00626BDB">
        <w:rPr>
          <w:lang w:val="en-US"/>
        </w:rPr>
        <w:t xml:space="preserve"> </w:t>
      </w:r>
      <w:proofErr w:type="spellStart"/>
      <w:r w:rsidR="00626BDB" w:rsidRPr="00626BDB">
        <w:rPr>
          <w:lang w:val="en-US"/>
        </w:rPr>
        <w:t>dediščine</w:t>
      </w:r>
      <w:proofErr w:type="spellEnd"/>
      <w:r w:rsidR="00626BDB" w:rsidRPr="00626BDB">
        <w:rPr>
          <w:lang w:val="en-US"/>
        </w:rPr>
        <w:t xml:space="preserve"> je </w:t>
      </w:r>
      <w:proofErr w:type="spellStart"/>
      <w:r w:rsidR="00626BDB" w:rsidRPr="00626BDB">
        <w:rPr>
          <w:lang w:val="en-US"/>
        </w:rPr>
        <w:t>bilo</w:t>
      </w:r>
      <w:proofErr w:type="spellEnd"/>
      <w:r w:rsidR="00626BDB" w:rsidRPr="00626BDB">
        <w:rPr>
          <w:lang w:val="en-US"/>
        </w:rPr>
        <w:t xml:space="preserve"> </w:t>
      </w:r>
      <w:proofErr w:type="spellStart"/>
      <w:r w:rsidR="00626BDB" w:rsidRPr="00626BDB">
        <w:rPr>
          <w:lang w:val="en-US"/>
        </w:rPr>
        <w:t>uspešno</w:t>
      </w:r>
      <w:proofErr w:type="spellEnd"/>
      <w:r w:rsidR="00626BDB" w:rsidRPr="00626BDB">
        <w:rPr>
          <w:lang w:val="en-US"/>
        </w:rPr>
        <w:t xml:space="preserve"> </w:t>
      </w:r>
      <w:proofErr w:type="spellStart"/>
      <w:r w:rsidR="00626BDB" w:rsidRPr="00626BDB">
        <w:rPr>
          <w:lang w:val="en-US"/>
        </w:rPr>
        <w:t>črpanje</w:t>
      </w:r>
      <w:proofErr w:type="spellEnd"/>
      <w:r w:rsidR="00626BDB" w:rsidRPr="00626BDB">
        <w:rPr>
          <w:lang w:val="en-US"/>
        </w:rPr>
        <w:t xml:space="preserve"> </w:t>
      </w:r>
      <w:proofErr w:type="spellStart"/>
      <w:r w:rsidR="00626BDB" w:rsidRPr="00626BDB">
        <w:rPr>
          <w:lang w:val="en-US"/>
        </w:rPr>
        <w:t>sredstev</w:t>
      </w:r>
      <w:proofErr w:type="spellEnd"/>
      <w:r w:rsidR="00626BDB" w:rsidRPr="00626BDB">
        <w:rPr>
          <w:lang w:val="en-US"/>
        </w:rPr>
        <w:t xml:space="preserve"> ESRR </w:t>
      </w:r>
      <w:proofErr w:type="spellStart"/>
      <w:r w:rsidR="00626BDB" w:rsidRPr="00626BDB">
        <w:rPr>
          <w:lang w:val="en-US"/>
        </w:rPr>
        <w:t>za</w:t>
      </w:r>
      <w:proofErr w:type="spellEnd"/>
      <w:r w:rsidR="00626BDB" w:rsidRPr="00626BDB">
        <w:rPr>
          <w:lang w:val="en-US"/>
        </w:rPr>
        <w:t xml:space="preserve"> </w:t>
      </w:r>
      <w:proofErr w:type="spellStart"/>
      <w:r w:rsidR="00626BDB" w:rsidRPr="00626BDB">
        <w:rPr>
          <w:lang w:val="en-US"/>
        </w:rPr>
        <w:t>obnovo</w:t>
      </w:r>
      <w:proofErr w:type="spellEnd"/>
      <w:r w:rsidR="00626BDB" w:rsidRPr="00626BDB">
        <w:rPr>
          <w:lang w:val="en-US"/>
        </w:rPr>
        <w:t xml:space="preserve"> in </w:t>
      </w:r>
      <w:proofErr w:type="spellStart"/>
      <w:r w:rsidR="00626BDB" w:rsidRPr="00626BDB">
        <w:rPr>
          <w:lang w:val="en-US"/>
        </w:rPr>
        <w:t>oživljanje</w:t>
      </w:r>
      <w:proofErr w:type="spellEnd"/>
      <w:r w:rsidR="00626BDB" w:rsidRPr="00626BDB">
        <w:rPr>
          <w:lang w:val="en-US"/>
        </w:rPr>
        <w:t xml:space="preserve"> </w:t>
      </w:r>
      <w:proofErr w:type="spellStart"/>
      <w:r w:rsidR="00626BDB" w:rsidRPr="00626BDB">
        <w:rPr>
          <w:lang w:val="en-US"/>
        </w:rPr>
        <w:t>kulturnih</w:t>
      </w:r>
      <w:proofErr w:type="spellEnd"/>
      <w:r w:rsidR="00626BDB" w:rsidRPr="00626BDB">
        <w:rPr>
          <w:lang w:val="en-US"/>
        </w:rPr>
        <w:t xml:space="preserve"> </w:t>
      </w:r>
      <w:proofErr w:type="spellStart"/>
      <w:r w:rsidR="00626BDB" w:rsidRPr="00626BDB">
        <w:rPr>
          <w:lang w:val="en-US"/>
        </w:rPr>
        <w:t>spomenikov</w:t>
      </w:r>
      <w:proofErr w:type="spellEnd"/>
      <w:r w:rsidR="00626BDB" w:rsidRPr="00626BDB">
        <w:rPr>
          <w:lang w:val="en-US"/>
        </w:rPr>
        <w:t xml:space="preserve"> v </w:t>
      </w:r>
      <w:proofErr w:type="spellStart"/>
      <w:r w:rsidR="00626BDB" w:rsidRPr="00626BDB">
        <w:rPr>
          <w:lang w:val="en-US"/>
        </w:rPr>
        <w:t>obeh</w:t>
      </w:r>
      <w:proofErr w:type="spellEnd"/>
      <w:r w:rsidR="00626BDB" w:rsidRPr="00626BDB">
        <w:rPr>
          <w:lang w:val="en-US"/>
        </w:rPr>
        <w:t xml:space="preserve"> </w:t>
      </w:r>
      <w:proofErr w:type="spellStart"/>
      <w:r w:rsidR="00626BDB" w:rsidRPr="00626BDB">
        <w:rPr>
          <w:lang w:val="en-US"/>
        </w:rPr>
        <w:t>programskih</w:t>
      </w:r>
      <w:proofErr w:type="spellEnd"/>
      <w:r w:rsidR="00626BDB" w:rsidRPr="00626BDB">
        <w:rPr>
          <w:lang w:val="en-US"/>
        </w:rPr>
        <w:t xml:space="preserve"> </w:t>
      </w:r>
      <w:proofErr w:type="spellStart"/>
      <w:r w:rsidR="00626BDB" w:rsidRPr="00626BDB">
        <w:rPr>
          <w:lang w:val="en-US"/>
        </w:rPr>
        <w:t>obdobjih</w:t>
      </w:r>
      <w:proofErr w:type="spellEnd"/>
      <w:r w:rsidR="00626BDB" w:rsidRPr="00626BDB">
        <w:rPr>
          <w:lang w:val="en-US"/>
        </w:rPr>
        <w:t xml:space="preserve"> 2004–2006 in 2007–2013. V </w:t>
      </w:r>
      <w:proofErr w:type="spellStart"/>
      <w:r w:rsidR="00626BDB" w:rsidRPr="00626BDB">
        <w:rPr>
          <w:lang w:val="en-US"/>
        </w:rPr>
        <w:t>skupnih</w:t>
      </w:r>
      <w:proofErr w:type="spellEnd"/>
      <w:r w:rsidR="00626BDB" w:rsidRPr="00626BDB">
        <w:rPr>
          <w:lang w:val="en-US"/>
        </w:rPr>
        <w:t xml:space="preserve"> </w:t>
      </w:r>
      <w:proofErr w:type="spellStart"/>
      <w:r w:rsidR="00626BDB" w:rsidRPr="00626BDB">
        <w:rPr>
          <w:lang w:val="en-US"/>
        </w:rPr>
        <w:t>proračunskih</w:t>
      </w:r>
      <w:proofErr w:type="spellEnd"/>
      <w:r w:rsidR="00626BDB" w:rsidRPr="00626BDB">
        <w:rPr>
          <w:lang w:val="en-US"/>
        </w:rPr>
        <w:t xml:space="preserve"> </w:t>
      </w:r>
      <w:proofErr w:type="spellStart"/>
      <w:r w:rsidR="00626BDB" w:rsidRPr="00626BDB">
        <w:rPr>
          <w:lang w:val="en-US"/>
        </w:rPr>
        <w:t>sredstvih</w:t>
      </w:r>
      <w:proofErr w:type="spellEnd"/>
      <w:r w:rsidR="00626BDB" w:rsidRPr="00626BDB">
        <w:rPr>
          <w:lang w:val="en-US"/>
        </w:rPr>
        <w:t xml:space="preserve"> 2008–2015 </w:t>
      </w:r>
      <w:proofErr w:type="spellStart"/>
      <w:r w:rsidR="00626BDB" w:rsidRPr="00626BDB">
        <w:rPr>
          <w:lang w:val="en-US"/>
        </w:rPr>
        <w:t>predstavljajo</w:t>
      </w:r>
      <w:proofErr w:type="spellEnd"/>
      <w:r w:rsidR="00626BDB" w:rsidRPr="00626BDB">
        <w:rPr>
          <w:lang w:val="en-US"/>
        </w:rPr>
        <w:t xml:space="preserve"> </w:t>
      </w:r>
      <w:proofErr w:type="spellStart"/>
      <w:r w:rsidR="00626BDB" w:rsidRPr="00626BDB">
        <w:rPr>
          <w:lang w:val="en-US"/>
        </w:rPr>
        <w:t>evropska</w:t>
      </w:r>
      <w:proofErr w:type="spellEnd"/>
      <w:r w:rsidR="00626BDB" w:rsidRPr="00626BDB">
        <w:rPr>
          <w:lang w:val="en-US"/>
        </w:rPr>
        <w:t xml:space="preserve"> </w:t>
      </w:r>
      <w:proofErr w:type="spellStart"/>
      <w:r w:rsidR="00626BDB" w:rsidRPr="00626BDB">
        <w:rPr>
          <w:lang w:val="en-US"/>
        </w:rPr>
        <w:t>sredstva</w:t>
      </w:r>
      <w:proofErr w:type="spellEnd"/>
      <w:r w:rsidR="00626BDB" w:rsidRPr="00626BDB">
        <w:rPr>
          <w:lang w:val="en-US"/>
        </w:rPr>
        <w:t xml:space="preserve"> </w:t>
      </w:r>
      <w:proofErr w:type="spellStart"/>
      <w:r w:rsidR="00626BDB" w:rsidRPr="00626BDB">
        <w:rPr>
          <w:lang w:val="en-US"/>
        </w:rPr>
        <w:t>za</w:t>
      </w:r>
      <w:proofErr w:type="spellEnd"/>
      <w:r w:rsidR="00626BDB" w:rsidRPr="00626BDB">
        <w:rPr>
          <w:lang w:val="en-US"/>
        </w:rPr>
        <w:t xml:space="preserve"> </w:t>
      </w:r>
      <w:proofErr w:type="spellStart"/>
      <w:r w:rsidR="00626BDB" w:rsidRPr="00626BDB">
        <w:rPr>
          <w:lang w:val="en-US"/>
        </w:rPr>
        <w:t>kulturne</w:t>
      </w:r>
      <w:proofErr w:type="spellEnd"/>
      <w:r w:rsidR="00626BDB" w:rsidRPr="00626BDB">
        <w:rPr>
          <w:lang w:val="en-US"/>
        </w:rPr>
        <w:t xml:space="preserve"> </w:t>
      </w:r>
      <w:proofErr w:type="spellStart"/>
      <w:r w:rsidR="00626BDB" w:rsidRPr="00626BDB">
        <w:rPr>
          <w:lang w:val="en-US"/>
        </w:rPr>
        <w:t>spomenike</w:t>
      </w:r>
      <w:proofErr w:type="spellEnd"/>
      <w:r w:rsidR="00626BDB" w:rsidRPr="00626BDB">
        <w:rPr>
          <w:lang w:val="en-US"/>
        </w:rPr>
        <w:t xml:space="preserve"> </w:t>
      </w:r>
      <w:proofErr w:type="spellStart"/>
      <w:r w:rsidR="00626BDB" w:rsidRPr="00626BDB">
        <w:rPr>
          <w:lang w:val="en-US"/>
        </w:rPr>
        <w:t>kar</w:t>
      </w:r>
      <w:proofErr w:type="spellEnd"/>
      <w:r w:rsidR="00626BDB" w:rsidRPr="00626BDB">
        <w:rPr>
          <w:lang w:val="en-US"/>
        </w:rPr>
        <w:t xml:space="preserve"> 62 % </w:t>
      </w:r>
      <w:proofErr w:type="spellStart"/>
      <w:r w:rsidR="00626BDB" w:rsidRPr="00626BDB">
        <w:rPr>
          <w:lang w:val="en-US"/>
        </w:rPr>
        <w:t>vseh</w:t>
      </w:r>
      <w:proofErr w:type="spellEnd"/>
      <w:r w:rsidR="00626BDB" w:rsidRPr="00626BDB">
        <w:rPr>
          <w:lang w:val="en-US"/>
        </w:rPr>
        <w:t xml:space="preserve"> </w:t>
      </w:r>
      <w:proofErr w:type="spellStart"/>
      <w:r w:rsidR="00626BDB" w:rsidRPr="00626BDB">
        <w:rPr>
          <w:lang w:val="en-US"/>
        </w:rPr>
        <w:t>sredstev</w:t>
      </w:r>
      <w:proofErr w:type="spellEnd"/>
      <w:r w:rsidR="00626BDB" w:rsidRPr="00626BDB">
        <w:rPr>
          <w:lang w:val="en-US"/>
        </w:rPr>
        <w:t xml:space="preserve">, </w:t>
      </w:r>
      <w:proofErr w:type="spellStart"/>
      <w:r w:rsidR="00626BDB" w:rsidRPr="00626BDB">
        <w:rPr>
          <w:lang w:val="en-US"/>
        </w:rPr>
        <w:t>medtem</w:t>
      </w:r>
      <w:proofErr w:type="spellEnd"/>
      <w:r w:rsidR="00626BDB" w:rsidRPr="00626BDB">
        <w:rPr>
          <w:lang w:val="en-US"/>
        </w:rPr>
        <w:t xml:space="preserve"> </w:t>
      </w:r>
      <w:proofErr w:type="spellStart"/>
      <w:r w:rsidR="00626BDB" w:rsidRPr="00626BDB">
        <w:rPr>
          <w:lang w:val="en-US"/>
        </w:rPr>
        <w:t>ko</w:t>
      </w:r>
      <w:proofErr w:type="spellEnd"/>
      <w:r w:rsidR="00626BDB" w:rsidRPr="00626BDB">
        <w:rPr>
          <w:lang w:val="en-US"/>
        </w:rPr>
        <w:t xml:space="preserve"> je od </w:t>
      </w:r>
      <w:proofErr w:type="spellStart"/>
      <w:r w:rsidR="00626BDB" w:rsidRPr="00626BDB">
        <w:rPr>
          <w:lang w:val="en-US"/>
        </w:rPr>
        <w:t>leta</w:t>
      </w:r>
      <w:proofErr w:type="spellEnd"/>
      <w:r w:rsidR="00626BDB" w:rsidRPr="00626BDB">
        <w:rPr>
          <w:lang w:val="en-US"/>
        </w:rPr>
        <w:t xml:space="preserve"> 2008 </w:t>
      </w:r>
      <w:proofErr w:type="spellStart"/>
      <w:r w:rsidR="00626BDB" w:rsidRPr="00626BDB">
        <w:rPr>
          <w:lang w:val="en-US"/>
        </w:rPr>
        <w:t>do</w:t>
      </w:r>
      <w:proofErr w:type="spellEnd"/>
      <w:r w:rsidR="00626BDB" w:rsidRPr="00626BDB">
        <w:rPr>
          <w:lang w:val="en-US"/>
        </w:rPr>
        <w:t xml:space="preserve"> 2015 </w:t>
      </w:r>
      <w:proofErr w:type="spellStart"/>
      <w:r w:rsidR="00626BDB" w:rsidRPr="00626BDB">
        <w:rPr>
          <w:lang w:val="en-US"/>
        </w:rPr>
        <w:t>zaznati</w:t>
      </w:r>
      <w:proofErr w:type="spellEnd"/>
      <w:r w:rsidR="00626BDB" w:rsidRPr="00626BDB">
        <w:rPr>
          <w:lang w:val="en-US"/>
        </w:rPr>
        <w:t xml:space="preserve"> </w:t>
      </w:r>
      <w:proofErr w:type="spellStart"/>
      <w:r w:rsidR="00626BDB" w:rsidRPr="00626BDB">
        <w:rPr>
          <w:lang w:val="en-US"/>
        </w:rPr>
        <w:t>na</w:t>
      </w:r>
      <w:proofErr w:type="spellEnd"/>
      <w:r w:rsidR="00626BDB" w:rsidRPr="00626BDB">
        <w:rPr>
          <w:lang w:val="en-US"/>
        </w:rPr>
        <w:t xml:space="preserve"> tem </w:t>
      </w:r>
      <w:proofErr w:type="spellStart"/>
      <w:r w:rsidR="00626BDB" w:rsidRPr="00626BDB">
        <w:rPr>
          <w:lang w:val="en-US"/>
        </w:rPr>
        <w:t>področju</w:t>
      </w:r>
      <w:proofErr w:type="spellEnd"/>
      <w:r w:rsidR="00626BDB" w:rsidRPr="00626BDB">
        <w:rPr>
          <w:lang w:val="en-US"/>
        </w:rPr>
        <w:t xml:space="preserve"> </w:t>
      </w:r>
      <w:proofErr w:type="spellStart"/>
      <w:r w:rsidR="00626BDB" w:rsidRPr="00626BDB">
        <w:rPr>
          <w:lang w:val="en-US"/>
        </w:rPr>
        <w:t>drastičen</w:t>
      </w:r>
      <w:proofErr w:type="spellEnd"/>
      <w:r w:rsidR="00626BDB" w:rsidRPr="00626BDB">
        <w:rPr>
          <w:lang w:val="en-US"/>
        </w:rPr>
        <w:t xml:space="preserve"> </w:t>
      </w:r>
      <w:proofErr w:type="spellStart"/>
      <w:r w:rsidR="00626BDB" w:rsidRPr="00626BDB">
        <w:rPr>
          <w:lang w:val="en-US"/>
        </w:rPr>
        <w:t>padec</w:t>
      </w:r>
      <w:proofErr w:type="spellEnd"/>
      <w:r w:rsidR="00626BDB" w:rsidRPr="00626BDB">
        <w:rPr>
          <w:lang w:val="en-US"/>
        </w:rPr>
        <w:t xml:space="preserve"> </w:t>
      </w:r>
      <w:proofErr w:type="spellStart"/>
      <w:r w:rsidR="00626BDB" w:rsidRPr="00626BDB">
        <w:rPr>
          <w:lang w:val="en-US"/>
        </w:rPr>
        <w:t>integralnih</w:t>
      </w:r>
      <w:proofErr w:type="spellEnd"/>
      <w:r w:rsidR="00626BDB" w:rsidRPr="00626BDB">
        <w:rPr>
          <w:lang w:val="en-US"/>
        </w:rPr>
        <w:t xml:space="preserve"> </w:t>
      </w:r>
      <w:proofErr w:type="spellStart"/>
      <w:r w:rsidR="00626BDB" w:rsidRPr="00626BDB">
        <w:rPr>
          <w:lang w:val="en-US"/>
        </w:rPr>
        <w:t>sredstev</w:t>
      </w:r>
      <w:proofErr w:type="spellEnd"/>
      <w:r w:rsidR="00626BDB" w:rsidRPr="00626BDB">
        <w:rPr>
          <w:lang w:val="en-US"/>
        </w:rPr>
        <w:t xml:space="preserve">, in </w:t>
      </w:r>
      <w:proofErr w:type="spellStart"/>
      <w:r w:rsidR="00626BDB" w:rsidRPr="00626BDB">
        <w:rPr>
          <w:lang w:val="en-US"/>
        </w:rPr>
        <w:t>sicer</w:t>
      </w:r>
      <w:proofErr w:type="spellEnd"/>
      <w:r w:rsidR="00626BDB" w:rsidRPr="00626BDB">
        <w:rPr>
          <w:lang w:val="en-US"/>
        </w:rPr>
        <w:t xml:space="preserve"> </w:t>
      </w:r>
      <w:proofErr w:type="spellStart"/>
      <w:r w:rsidR="00626BDB" w:rsidRPr="00626BDB">
        <w:rPr>
          <w:lang w:val="en-US"/>
        </w:rPr>
        <w:t>kar</w:t>
      </w:r>
      <w:proofErr w:type="spellEnd"/>
      <w:r w:rsidR="00626BDB" w:rsidRPr="00626BDB">
        <w:rPr>
          <w:lang w:val="en-US"/>
        </w:rPr>
        <w:t xml:space="preserve"> </w:t>
      </w:r>
      <w:proofErr w:type="spellStart"/>
      <w:r w:rsidR="00626BDB" w:rsidRPr="00626BDB">
        <w:rPr>
          <w:lang w:val="en-US"/>
        </w:rPr>
        <w:t>za</w:t>
      </w:r>
      <w:proofErr w:type="spellEnd"/>
      <w:r w:rsidR="00626BDB" w:rsidRPr="00626BDB">
        <w:rPr>
          <w:lang w:val="en-US"/>
        </w:rPr>
        <w:t xml:space="preserve"> 63,3 %. </w:t>
      </w:r>
      <w:proofErr w:type="spellStart"/>
      <w:r w:rsidR="00626BDB" w:rsidRPr="00626BDB">
        <w:rPr>
          <w:lang w:val="en-US"/>
        </w:rPr>
        <w:t>Žal</w:t>
      </w:r>
      <w:proofErr w:type="spellEnd"/>
      <w:r w:rsidR="00626BDB" w:rsidRPr="00626BDB">
        <w:rPr>
          <w:lang w:val="en-US"/>
        </w:rPr>
        <w:t xml:space="preserve"> v </w:t>
      </w:r>
      <w:proofErr w:type="spellStart"/>
      <w:r w:rsidR="00626BDB" w:rsidRPr="00626BDB">
        <w:rPr>
          <w:lang w:val="en-US"/>
        </w:rPr>
        <w:t>novi</w:t>
      </w:r>
      <w:proofErr w:type="spellEnd"/>
      <w:r w:rsidR="00626BDB" w:rsidRPr="00626BDB">
        <w:rPr>
          <w:lang w:val="en-US"/>
        </w:rPr>
        <w:t xml:space="preserve"> </w:t>
      </w:r>
      <w:proofErr w:type="spellStart"/>
      <w:r w:rsidR="00626BDB" w:rsidRPr="00626BDB">
        <w:rPr>
          <w:lang w:val="en-US"/>
        </w:rPr>
        <w:t>finančni</w:t>
      </w:r>
      <w:proofErr w:type="spellEnd"/>
      <w:r w:rsidR="00626BDB" w:rsidRPr="00626BDB">
        <w:rPr>
          <w:lang w:val="en-US"/>
        </w:rPr>
        <w:t xml:space="preserve"> </w:t>
      </w:r>
      <w:proofErr w:type="spellStart"/>
      <w:r w:rsidR="00626BDB" w:rsidRPr="00626BDB">
        <w:rPr>
          <w:lang w:val="en-US"/>
        </w:rPr>
        <w:t>perspektivi</w:t>
      </w:r>
      <w:proofErr w:type="spellEnd"/>
      <w:r w:rsidR="00626BDB" w:rsidRPr="00626BDB">
        <w:rPr>
          <w:lang w:val="en-US"/>
        </w:rPr>
        <w:t xml:space="preserve"> 2014–2020 </w:t>
      </w:r>
      <w:proofErr w:type="spellStart"/>
      <w:r w:rsidR="00626BDB" w:rsidRPr="00626BDB">
        <w:rPr>
          <w:lang w:val="en-US"/>
        </w:rPr>
        <w:t>področje</w:t>
      </w:r>
      <w:proofErr w:type="spellEnd"/>
      <w:r w:rsidR="00626BDB" w:rsidRPr="00626BDB">
        <w:rPr>
          <w:lang w:val="en-US"/>
        </w:rPr>
        <w:t xml:space="preserve"> </w:t>
      </w:r>
      <w:proofErr w:type="spellStart"/>
      <w:r w:rsidR="00626BDB" w:rsidRPr="00626BDB">
        <w:rPr>
          <w:lang w:val="en-US"/>
        </w:rPr>
        <w:t>kulturne</w:t>
      </w:r>
      <w:proofErr w:type="spellEnd"/>
      <w:r w:rsidR="00626BDB" w:rsidRPr="00626BDB">
        <w:rPr>
          <w:lang w:val="en-US"/>
        </w:rPr>
        <w:t xml:space="preserve"> </w:t>
      </w:r>
      <w:proofErr w:type="spellStart"/>
      <w:r w:rsidR="00626BDB" w:rsidRPr="00626BDB">
        <w:rPr>
          <w:lang w:val="en-US"/>
        </w:rPr>
        <w:t>dediščine</w:t>
      </w:r>
      <w:proofErr w:type="spellEnd"/>
      <w:r w:rsidR="00626BDB" w:rsidRPr="00626BDB">
        <w:rPr>
          <w:lang w:val="en-US"/>
        </w:rPr>
        <w:t xml:space="preserve"> ne </w:t>
      </w:r>
      <w:proofErr w:type="spellStart"/>
      <w:r w:rsidR="00626BDB" w:rsidRPr="00626BDB">
        <w:rPr>
          <w:lang w:val="en-US"/>
        </w:rPr>
        <w:t>bo</w:t>
      </w:r>
      <w:proofErr w:type="spellEnd"/>
      <w:r w:rsidR="00626BDB" w:rsidRPr="00626BDB">
        <w:rPr>
          <w:lang w:val="en-US"/>
        </w:rPr>
        <w:t xml:space="preserve"> </w:t>
      </w:r>
      <w:proofErr w:type="spellStart"/>
      <w:r w:rsidR="00626BDB" w:rsidRPr="00626BDB">
        <w:rPr>
          <w:lang w:val="en-US"/>
        </w:rPr>
        <w:t>več</w:t>
      </w:r>
      <w:proofErr w:type="spellEnd"/>
      <w:r w:rsidR="00626BDB" w:rsidRPr="00626BDB">
        <w:rPr>
          <w:lang w:val="en-US"/>
        </w:rPr>
        <w:t xml:space="preserve"> </w:t>
      </w:r>
      <w:proofErr w:type="spellStart"/>
      <w:r w:rsidR="00626BDB" w:rsidRPr="00626BDB">
        <w:rPr>
          <w:lang w:val="en-US"/>
        </w:rPr>
        <w:t>deležno</w:t>
      </w:r>
      <w:proofErr w:type="spellEnd"/>
      <w:r w:rsidR="00626BDB" w:rsidRPr="00626BDB">
        <w:rPr>
          <w:lang w:val="en-US"/>
        </w:rPr>
        <w:t xml:space="preserve"> </w:t>
      </w:r>
      <w:proofErr w:type="spellStart"/>
      <w:r w:rsidR="00626BDB" w:rsidRPr="00626BDB">
        <w:rPr>
          <w:lang w:val="en-US"/>
        </w:rPr>
        <w:t>evropskega</w:t>
      </w:r>
      <w:proofErr w:type="spellEnd"/>
      <w:r w:rsidR="00626BDB" w:rsidRPr="00626BDB">
        <w:rPr>
          <w:lang w:val="en-US"/>
        </w:rPr>
        <w:t xml:space="preserve"> </w:t>
      </w:r>
      <w:proofErr w:type="spellStart"/>
      <w:r w:rsidR="00626BDB" w:rsidRPr="00626BDB">
        <w:rPr>
          <w:lang w:val="en-US"/>
        </w:rPr>
        <w:t>sofinanciranja</w:t>
      </w:r>
      <w:proofErr w:type="spellEnd"/>
      <w:r w:rsidR="00626BDB" w:rsidRPr="00626BDB">
        <w:rPr>
          <w:lang w:val="en-US"/>
        </w:rPr>
        <w:t xml:space="preserve"> v </w:t>
      </w:r>
      <w:proofErr w:type="spellStart"/>
      <w:r w:rsidR="00626BDB" w:rsidRPr="00626BDB">
        <w:rPr>
          <w:lang w:val="en-US"/>
        </w:rPr>
        <w:t>takem</w:t>
      </w:r>
      <w:proofErr w:type="spellEnd"/>
      <w:r w:rsidR="00626BDB" w:rsidRPr="00626BDB">
        <w:rPr>
          <w:lang w:val="en-US"/>
        </w:rPr>
        <w:t xml:space="preserve"> </w:t>
      </w:r>
      <w:proofErr w:type="spellStart"/>
      <w:r w:rsidR="00626BDB" w:rsidRPr="00626BDB">
        <w:rPr>
          <w:lang w:val="en-US"/>
        </w:rPr>
        <w:t>obsegu</w:t>
      </w:r>
      <w:proofErr w:type="spellEnd"/>
      <w:r w:rsidR="00626BDB" w:rsidRPr="00626BDB">
        <w:rPr>
          <w:lang w:val="en-US"/>
        </w:rPr>
        <w:t xml:space="preserve"> </w:t>
      </w:r>
      <w:proofErr w:type="spellStart"/>
      <w:r w:rsidR="00626BDB" w:rsidRPr="00626BDB">
        <w:rPr>
          <w:lang w:val="en-US"/>
        </w:rPr>
        <w:t>kot</w:t>
      </w:r>
      <w:proofErr w:type="spellEnd"/>
      <w:r w:rsidR="00626BDB" w:rsidRPr="00626BDB">
        <w:rPr>
          <w:lang w:val="en-US"/>
        </w:rPr>
        <w:t xml:space="preserve"> </w:t>
      </w:r>
      <w:proofErr w:type="spellStart"/>
      <w:r w:rsidR="00626BDB" w:rsidRPr="00626BDB">
        <w:rPr>
          <w:lang w:val="en-US"/>
        </w:rPr>
        <w:t>doslej</w:t>
      </w:r>
      <w:proofErr w:type="spellEnd"/>
      <w:r w:rsidR="00626BDB" w:rsidRPr="00626BDB">
        <w:rPr>
          <w:lang w:val="en-US"/>
        </w:rPr>
        <w:t xml:space="preserve">, </w:t>
      </w:r>
      <w:proofErr w:type="spellStart"/>
      <w:r w:rsidR="00626BDB" w:rsidRPr="00626BDB">
        <w:rPr>
          <w:lang w:val="en-US"/>
        </w:rPr>
        <w:t>integralna</w:t>
      </w:r>
      <w:proofErr w:type="spellEnd"/>
      <w:r w:rsidR="00626BDB" w:rsidRPr="00626BDB">
        <w:rPr>
          <w:lang w:val="en-US"/>
        </w:rPr>
        <w:t xml:space="preserve"> </w:t>
      </w:r>
      <w:proofErr w:type="spellStart"/>
      <w:r w:rsidR="00626BDB" w:rsidRPr="00626BDB">
        <w:rPr>
          <w:lang w:val="en-US"/>
        </w:rPr>
        <w:t>sredstva</w:t>
      </w:r>
      <w:proofErr w:type="spellEnd"/>
      <w:r w:rsidR="00626BDB" w:rsidRPr="00626BDB">
        <w:rPr>
          <w:lang w:val="en-US"/>
        </w:rPr>
        <w:t xml:space="preserve"> pa </w:t>
      </w:r>
      <w:proofErr w:type="spellStart"/>
      <w:r w:rsidR="00626BDB" w:rsidRPr="00626BDB">
        <w:rPr>
          <w:lang w:val="en-US"/>
        </w:rPr>
        <w:t>ostajajo</w:t>
      </w:r>
      <w:proofErr w:type="spellEnd"/>
      <w:r w:rsidR="00626BDB" w:rsidRPr="00626BDB">
        <w:rPr>
          <w:lang w:val="en-US"/>
        </w:rPr>
        <w:t xml:space="preserve"> </w:t>
      </w:r>
      <w:proofErr w:type="spellStart"/>
      <w:r w:rsidR="00626BDB" w:rsidRPr="00626BDB">
        <w:rPr>
          <w:lang w:val="en-US"/>
        </w:rPr>
        <w:t>na</w:t>
      </w:r>
      <w:proofErr w:type="spellEnd"/>
      <w:r w:rsidR="00626BDB" w:rsidRPr="00626BDB">
        <w:rPr>
          <w:lang w:val="en-US"/>
        </w:rPr>
        <w:t xml:space="preserve"> </w:t>
      </w:r>
      <w:proofErr w:type="spellStart"/>
      <w:r w:rsidR="00626BDB" w:rsidRPr="00626BDB">
        <w:rPr>
          <w:lang w:val="en-US"/>
        </w:rPr>
        <w:t>približno</w:t>
      </w:r>
      <w:proofErr w:type="spellEnd"/>
      <w:r w:rsidR="00626BDB" w:rsidRPr="00626BDB">
        <w:rPr>
          <w:lang w:val="en-US"/>
        </w:rPr>
        <w:t xml:space="preserve"> </w:t>
      </w:r>
      <w:proofErr w:type="spellStart"/>
      <w:r w:rsidR="00626BDB" w:rsidRPr="00626BDB">
        <w:rPr>
          <w:lang w:val="en-US"/>
        </w:rPr>
        <w:t>enako</w:t>
      </w:r>
      <w:proofErr w:type="spellEnd"/>
      <w:r w:rsidR="00626BDB" w:rsidRPr="00626BDB">
        <w:rPr>
          <w:lang w:val="en-US"/>
        </w:rPr>
        <w:t xml:space="preserve"> </w:t>
      </w:r>
      <w:proofErr w:type="spellStart"/>
      <w:r w:rsidR="00626BDB" w:rsidRPr="00626BDB">
        <w:rPr>
          <w:lang w:val="en-US"/>
        </w:rPr>
        <w:t>nizki</w:t>
      </w:r>
      <w:proofErr w:type="spellEnd"/>
      <w:r w:rsidR="00626BDB" w:rsidRPr="00626BDB">
        <w:rPr>
          <w:lang w:val="en-US"/>
        </w:rPr>
        <w:t xml:space="preserve"> </w:t>
      </w:r>
      <w:proofErr w:type="spellStart"/>
      <w:r w:rsidR="00626BDB" w:rsidRPr="00626BDB">
        <w:rPr>
          <w:lang w:val="en-US"/>
        </w:rPr>
        <w:t>ravni</w:t>
      </w:r>
      <w:proofErr w:type="spellEnd"/>
      <w:r w:rsidR="00626BDB" w:rsidRPr="00626BDB">
        <w:rPr>
          <w:lang w:val="en-US"/>
        </w:rPr>
        <w:t xml:space="preserve"> </w:t>
      </w:r>
      <w:proofErr w:type="spellStart"/>
      <w:r w:rsidR="00626BDB" w:rsidRPr="00626BDB">
        <w:rPr>
          <w:lang w:val="en-US"/>
        </w:rPr>
        <w:t>kot</w:t>
      </w:r>
      <w:proofErr w:type="spellEnd"/>
      <w:r w:rsidR="00626BDB" w:rsidRPr="00626BDB">
        <w:rPr>
          <w:lang w:val="en-US"/>
        </w:rPr>
        <w:t xml:space="preserve"> v </w:t>
      </w:r>
      <w:proofErr w:type="spellStart"/>
      <w:r w:rsidR="00626BDB" w:rsidRPr="00626BDB">
        <w:rPr>
          <w:lang w:val="en-US"/>
        </w:rPr>
        <w:t>letu</w:t>
      </w:r>
      <w:proofErr w:type="spellEnd"/>
      <w:r w:rsidR="00626BDB" w:rsidRPr="00626BDB">
        <w:rPr>
          <w:lang w:val="en-US"/>
        </w:rPr>
        <w:t xml:space="preserve"> 2015.</w:t>
      </w:r>
    </w:p>
    <w:p w:rsidR="006A670E" w:rsidRPr="006A670E" w:rsidRDefault="006A670E" w:rsidP="00DE1E54">
      <w:pPr>
        <w:pStyle w:val="Podpispodtabeloaligrafom"/>
        <w:spacing w:after="0"/>
      </w:pPr>
      <w:r w:rsidRPr="006A670E">
        <w:rPr>
          <w:vertAlign w:val="superscript"/>
        </w:rPr>
        <w:t>15</w:t>
      </w:r>
      <w:r>
        <w:rPr>
          <w:vertAlign w:val="superscript"/>
        </w:rPr>
        <w:t xml:space="preserve"> </w:t>
      </w:r>
      <w:r w:rsidRPr="006A670E">
        <w:t xml:space="preserve">Sem sodijo različna področja, npr. </w:t>
      </w:r>
      <w:r w:rsidR="000108DE">
        <w:t>r</w:t>
      </w:r>
      <w:r w:rsidRPr="006A670E">
        <w:t xml:space="preserve">aziskovalne naloge, Prešernove nagrade, </w:t>
      </w:r>
      <w:r w:rsidR="000108DE">
        <w:t>p</w:t>
      </w:r>
      <w:r w:rsidRPr="006A670E">
        <w:t xml:space="preserve">romocija in razvoj slovenskega jezika, </w:t>
      </w:r>
      <w:r w:rsidR="000108DE">
        <w:t>r</w:t>
      </w:r>
      <w:r w:rsidRPr="006A670E">
        <w:t xml:space="preserve">ezerva za nepredvidene akcije, </w:t>
      </w:r>
      <w:r w:rsidR="000108DE">
        <w:t>r</w:t>
      </w:r>
      <w:r w:rsidRPr="006A670E">
        <w:t xml:space="preserve">azvoj projektov za financiranje iz EU sredstev, </w:t>
      </w:r>
      <w:r w:rsidR="000108DE">
        <w:t>k</w:t>
      </w:r>
      <w:r w:rsidRPr="006A670E">
        <w:t>ulturna vzgoja.</w:t>
      </w:r>
    </w:p>
    <w:p w:rsidR="006A670E" w:rsidRPr="006A670E" w:rsidRDefault="006A670E" w:rsidP="00DE1E54">
      <w:pPr>
        <w:pStyle w:val="Podpispodtabeloaligrafom"/>
        <w:spacing w:after="0"/>
      </w:pPr>
      <w:r w:rsidRPr="006A670E">
        <w:rPr>
          <w:vertAlign w:val="superscript"/>
          <w:lang w:val="en-US"/>
        </w:rPr>
        <w:t>1</w:t>
      </w:r>
      <w:r w:rsidR="004539B2">
        <w:rPr>
          <w:vertAlign w:val="superscript"/>
          <w:lang w:val="en-US"/>
        </w:rPr>
        <w:t>6</w:t>
      </w:r>
      <w:r>
        <w:rPr>
          <w:vertAlign w:val="superscript"/>
          <w:lang w:val="en-US"/>
        </w:rPr>
        <w:t xml:space="preserve"> </w:t>
      </w:r>
      <w:proofErr w:type="spellStart"/>
      <w:r w:rsidR="00FF44E3" w:rsidRPr="00FF44E3">
        <w:rPr>
          <w:lang w:val="en-US"/>
        </w:rPr>
        <w:t>Deseta</w:t>
      </w:r>
      <w:proofErr w:type="spellEnd"/>
      <w:r w:rsidR="00FF44E3" w:rsidRPr="00FF44E3">
        <w:rPr>
          <w:lang w:val="en-US"/>
        </w:rPr>
        <w:t xml:space="preserve"> </w:t>
      </w:r>
      <w:proofErr w:type="spellStart"/>
      <w:r w:rsidR="00FF44E3" w:rsidRPr="00FF44E3">
        <w:rPr>
          <w:lang w:val="en-US"/>
        </w:rPr>
        <w:t>vlada</w:t>
      </w:r>
      <w:proofErr w:type="spellEnd"/>
      <w:r w:rsidR="00FF44E3" w:rsidRPr="00FF44E3">
        <w:rPr>
          <w:lang w:val="en-US"/>
        </w:rPr>
        <w:t xml:space="preserve"> RS</w:t>
      </w:r>
      <w:r w:rsidR="00FF44E3">
        <w:rPr>
          <w:lang w:val="en-US"/>
        </w:rPr>
        <w:t xml:space="preserve"> je </w:t>
      </w:r>
      <w:proofErr w:type="spellStart"/>
      <w:r w:rsidR="00FF44E3">
        <w:rPr>
          <w:lang w:val="en-US"/>
        </w:rPr>
        <w:t>ukinila</w:t>
      </w:r>
      <w:proofErr w:type="spellEnd"/>
      <w:r w:rsidR="00FF44E3">
        <w:rPr>
          <w:lang w:val="en-US"/>
        </w:rPr>
        <w:t xml:space="preserve"> </w:t>
      </w:r>
      <w:proofErr w:type="spellStart"/>
      <w:r w:rsidR="00FF44E3">
        <w:rPr>
          <w:lang w:val="en-US"/>
        </w:rPr>
        <w:t>Ministrstvo</w:t>
      </w:r>
      <w:proofErr w:type="spellEnd"/>
      <w:r w:rsidR="00982F24">
        <w:rPr>
          <w:lang w:val="en-US"/>
        </w:rPr>
        <w:t xml:space="preserve"> </w:t>
      </w:r>
      <w:proofErr w:type="spellStart"/>
      <w:r w:rsidR="00982F24">
        <w:rPr>
          <w:lang w:val="en-US"/>
        </w:rPr>
        <w:t>za</w:t>
      </w:r>
      <w:proofErr w:type="spellEnd"/>
      <w:r w:rsidR="00982F24">
        <w:rPr>
          <w:lang w:val="en-US"/>
        </w:rPr>
        <w:t xml:space="preserve"> </w:t>
      </w:r>
      <w:proofErr w:type="spellStart"/>
      <w:r w:rsidR="00982F24">
        <w:rPr>
          <w:lang w:val="en-US"/>
        </w:rPr>
        <w:t>kulturo</w:t>
      </w:r>
      <w:proofErr w:type="spellEnd"/>
      <w:r w:rsidR="00982F24">
        <w:rPr>
          <w:lang w:val="en-US"/>
        </w:rPr>
        <w:t>.</w:t>
      </w:r>
      <w:r w:rsidR="00FF44E3">
        <w:rPr>
          <w:lang w:val="en-US"/>
        </w:rPr>
        <w:t xml:space="preserve"> </w:t>
      </w:r>
      <w:proofErr w:type="spellStart"/>
      <w:r w:rsidR="00982F24">
        <w:rPr>
          <w:lang w:val="en-US"/>
        </w:rPr>
        <w:t>Njegove</w:t>
      </w:r>
      <w:proofErr w:type="spellEnd"/>
      <w:r w:rsidR="00FF44E3">
        <w:rPr>
          <w:lang w:val="en-US"/>
        </w:rPr>
        <w:t xml:space="preserve"> </w:t>
      </w:r>
      <w:proofErr w:type="spellStart"/>
      <w:r w:rsidR="00FF44E3">
        <w:rPr>
          <w:lang w:val="en-US"/>
        </w:rPr>
        <w:t>naloge</w:t>
      </w:r>
      <w:proofErr w:type="spellEnd"/>
      <w:r w:rsidR="00FF44E3">
        <w:rPr>
          <w:lang w:val="en-US"/>
        </w:rPr>
        <w:t xml:space="preserve"> je 1. 4. 2012 </w:t>
      </w:r>
      <w:proofErr w:type="spellStart"/>
      <w:r w:rsidR="00FF44E3">
        <w:rPr>
          <w:lang w:val="en-US"/>
        </w:rPr>
        <w:t>prevzelo</w:t>
      </w:r>
      <w:proofErr w:type="spellEnd"/>
      <w:r w:rsidR="00FF44E3">
        <w:rPr>
          <w:lang w:val="en-US"/>
        </w:rPr>
        <w:t xml:space="preserve"> </w:t>
      </w:r>
      <w:proofErr w:type="spellStart"/>
      <w:r w:rsidR="00FF44E3">
        <w:rPr>
          <w:lang w:val="en-US"/>
        </w:rPr>
        <w:t>Ministrstvo</w:t>
      </w:r>
      <w:proofErr w:type="spellEnd"/>
      <w:r w:rsidR="00FF44E3">
        <w:rPr>
          <w:lang w:val="en-US"/>
        </w:rPr>
        <w:t xml:space="preserve"> </w:t>
      </w:r>
      <w:proofErr w:type="spellStart"/>
      <w:r w:rsidR="00FF44E3">
        <w:rPr>
          <w:lang w:val="en-US"/>
        </w:rPr>
        <w:t>za</w:t>
      </w:r>
      <w:proofErr w:type="spellEnd"/>
      <w:r w:rsidR="00FF44E3">
        <w:rPr>
          <w:lang w:val="en-US"/>
        </w:rPr>
        <w:t xml:space="preserve"> </w:t>
      </w:r>
      <w:proofErr w:type="spellStart"/>
      <w:r w:rsidR="00FF44E3">
        <w:rPr>
          <w:lang w:val="en-US"/>
        </w:rPr>
        <w:t>izobraževanje</w:t>
      </w:r>
      <w:proofErr w:type="spellEnd"/>
      <w:r w:rsidR="00FF44E3">
        <w:rPr>
          <w:lang w:val="en-US"/>
        </w:rPr>
        <w:t xml:space="preserve">, </w:t>
      </w:r>
      <w:proofErr w:type="spellStart"/>
      <w:r w:rsidR="00FF44E3">
        <w:rPr>
          <w:lang w:val="en-US"/>
        </w:rPr>
        <w:t>znanost</w:t>
      </w:r>
      <w:proofErr w:type="spellEnd"/>
      <w:r w:rsidR="00FF44E3">
        <w:rPr>
          <w:lang w:val="en-US"/>
        </w:rPr>
        <w:t xml:space="preserve">, </w:t>
      </w:r>
      <w:proofErr w:type="spellStart"/>
      <w:r w:rsidR="00FF44E3">
        <w:rPr>
          <w:lang w:val="en-US"/>
        </w:rPr>
        <w:t>kulturo</w:t>
      </w:r>
      <w:proofErr w:type="spellEnd"/>
      <w:r w:rsidR="00FF44E3">
        <w:rPr>
          <w:lang w:val="en-US"/>
        </w:rPr>
        <w:t xml:space="preserve"> in </w:t>
      </w:r>
      <w:proofErr w:type="spellStart"/>
      <w:r w:rsidR="00FF44E3">
        <w:rPr>
          <w:lang w:val="en-US"/>
        </w:rPr>
        <w:t>šport</w:t>
      </w:r>
      <w:proofErr w:type="spellEnd"/>
      <w:r w:rsidR="00FF44E3">
        <w:rPr>
          <w:lang w:val="en-US"/>
        </w:rPr>
        <w:t xml:space="preserve">. </w:t>
      </w:r>
      <w:proofErr w:type="spellStart"/>
      <w:r w:rsidR="00FF44E3">
        <w:rPr>
          <w:lang w:val="en-US"/>
        </w:rPr>
        <w:t>Enajsta</w:t>
      </w:r>
      <w:proofErr w:type="spellEnd"/>
      <w:r w:rsidR="00FF44E3">
        <w:rPr>
          <w:lang w:val="en-US"/>
        </w:rPr>
        <w:t xml:space="preserve"> </w:t>
      </w:r>
      <w:proofErr w:type="spellStart"/>
      <w:r w:rsidR="00FF44E3">
        <w:rPr>
          <w:lang w:val="en-US"/>
        </w:rPr>
        <w:t>vlada</w:t>
      </w:r>
      <w:proofErr w:type="spellEnd"/>
      <w:r w:rsidR="00FF44E3">
        <w:rPr>
          <w:lang w:val="en-US"/>
        </w:rPr>
        <w:t xml:space="preserve"> je </w:t>
      </w:r>
      <w:proofErr w:type="spellStart"/>
      <w:r w:rsidR="00FF44E3">
        <w:rPr>
          <w:lang w:val="en-US"/>
        </w:rPr>
        <w:t>nato</w:t>
      </w:r>
      <w:proofErr w:type="spellEnd"/>
      <w:r w:rsidR="00FF44E3">
        <w:rPr>
          <w:lang w:val="en-US"/>
        </w:rPr>
        <w:t xml:space="preserve"> </w:t>
      </w:r>
      <w:proofErr w:type="spellStart"/>
      <w:r w:rsidR="00FF44E3">
        <w:rPr>
          <w:lang w:val="en-US"/>
        </w:rPr>
        <w:t>leto</w:t>
      </w:r>
      <w:proofErr w:type="spellEnd"/>
      <w:r w:rsidR="00FF44E3">
        <w:rPr>
          <w:lang w:val="en-US"/>
        </w:rPr>
        <w:t xml:space="preserve"> </w:t>
      </w:r>
      <w:proofErr w:type="spellStart"/>
      <w:r w:rsidR="00FF44E3">
        <w:rPr>
          <w:lang w:val="en-US"/>
        </w:rPr>
        <w:t>pozneje</w:t>
      </w:r>
      <w:proofErr w:type="spellEnd"/>
      <w:r w:rsidR="00FF44E3">
        <w:rPr>
          <w:lang w:val="en-US"/>
        </w:rPr>
        <w:t xml:space="preserve"> (</w:t>
      </w:r>
      <w:r w:rsidRPr="006A670E">
        <w:rPr>
          <w:lang w:val="en-US"/>
        </w:rPr>
        <w:t>21. 3. 2013</w:t>
      </w:r>
      <w:r w:rsidR="00FF44E3">
        <w:rPr>
          <w:lang w:val="en-US"/>
        </w:rPr>
        <w:t>)</w:t>
      </w:r>
      <w:r w:rsidRPr="006A670E">
        <w:rPr>
          <w:lang w:val="en-US"/>
        </w:rPr>
        <w:t xml:space="preserve"> </w:t>
      </w:r>
      <w:proofErr w:type="spellStart"/>
      <w:r w:rsidRPr="006A670E">
        <w:rPr>
          <w:lang w:val="en-US"/>
        </w:rPr>
        <w:t>Ministrstvo</w:t>
      </w:r>
      <w:proofErr w:type="spellEnd"/>
      <w:r w:rsidRPr="006A670E">
        <w:rPr>
          <w:lang w:val="en-US"/>
        </w:rPr>
        <w:t xml:space="preserve"> </w:t>
      </w:r>
      <w:proofErr w:type="spellStart"/>
      <w:r w:rsidRPr="006A670E">
        <w:rPr>
          <w:lang w:val="en-US"/>
        </w:rPr>
        <w:t>za</w:t>
      </w:r>
      <w:proofErr w:type="spellEnd"/>
      <w:r w:rsidRPr="006A670E">
        <w:rPr>
          <w:lang w:val="en-US"/>
        </w:rPr>
        <w:t xml:space="preserve"> </w:t>
      </w:r>
      <w:proofErr w:type="spellStart"/>
      <w:r w:rsidRPr="006A670E">
        <w:rPr>
          <w:lang w:val="en-US"/>
        </w:rPr>
        <w:t>kulturo</w:t>
      </w:r>
      <w:proofErr w:type="spellEnd"/>
      <w:r w:rsidR="00FF44E3">
        <w:rPr>
          <w:lang w:val="en-US"/>
        </w:rPr>
        <w:t xml:space="preserve"> </w:t>
      </w:r>
      <w:proofErr w:type="spellStart"/>
      <w:r w:rsidR="00FF44E3">
        <w:rPr>
          <w:lang w:val="en-US"/>
        </w:rPr>
        <w:t>ustanovila</w:t>
      </w:r>
      <w:proofErr w:type="spellEnd"/>
      <w:r w:rsidR="00FF44E3">
        <w:rPr>
          <w:lang w:val="en-US"/>
        </w:rPr>
        <w:t xml:space="preserve"> </w:t>
      </w:r>
      <w:proofErr w:type="spellStart"/>
      <w:r w:rsidR="00FF44E3">
        <w:rPr>
          <w:lang w:val="en-US"/>
        </w:rPr>
        <w:t>ponovno</w:t>
      </w:r>
      <w:proofErr w:type="spellEnd"/>
      <w:r w:rsidR="00FF44E3">
        <w:rPr>
          <w:lang w:val="en-US"/>
        </w:rPr>
        <w:t>.</w:t>
      </w:r>
      <w:r w:rsidR="00982F24">
        <w:rPr>
          <w:lang w:val="en-US"/>
        </w:rPr>
        <w:t xml:space="preserve"> </w:t>
      </w:r>
      <w:proofErr w:type="spellStart"/>
      <w:r w:rsidR="00982F24">
        <w:rPr>
          <w:lang w:val="en-US"/>
        </w:rPr>
        <w:t>Ministrstvo</w:t>
      </w:r>
      <w:proofErr w:type="spellEnd"/>
      <w:r w:rsidR="00982F24">
        <w:rPr>
          <w:lang w:val="en-US"/>
        </w:rPr>
        <w:t xml:space="preserve"> je </w:t>
      </w:r>
      <w:proofErr w:type="spellStart"/>
      <w:r w:rsidR="00982F24">
        <w:rPr>
          <w:lang w:val="en-US"/>
        </w:rPr>
        <w:t>tedaj</w:t>
      </w:r>
      <w:proofErr w:type="spellEnd"/>
      <w:r w:rsidR="00982F24">
        <w:rPr>
          <w:lang w:val="en-US"/>
        </w:rPr>
        <w:t xml:space="preserve"> </w:t>
      </w:r>
      <w:proofErr w:type="spellStart"/>
      <w:r w:rsidR="00982F24">
        <w:rPr>
          <w:lang w:val="en-US"/>
        </w:rPr>
        <w:t>prevzelo</w:t>
      </w:r>
      <w:proofErr w:type="spellEnd"/>
      <w:r w:rsidR="00982F24">
        <w:rPr>
          <w:lang w:val="en-US"/>
        </w:rPr>
        <w:t xml:space="preserve"> </w:t>
      </w:r>
      <w:proofErr w:type="spellStart"/>
      <w:r w:rsidR="00982F24">
        <w:rPr>
          <w:lang w:val="en-US"/>
        </w:rPr>
        <w:t>tudi</w:t>
      </w:r>
      <w:proofErr w:type="spellEnd"/>
      <w:r w:rsidR="00982F24">
        <w:rPr>
          <w:lang w:val="en-US"/>
        </w:rPr>
        <w:t xml:space="preserve"> </w:t>
      </w:r>
      <w:proofErr w:type="spellStart"/>
      <w:r w:rsidR="00982F24">
        <w:rPr>
          <w:lang w:val="en-US"/>
        </w:rPr>
        <w:t>naloge</w:t>
      </w:r>
      <w:proofErr w:type="spellEnd"/>
      <w:r w:rsidR="00982F24">
        <w:rPr>
          <w:lang w:val="en-US"/>
        </w:rPr>
        <w:t xml:space="preserve"> (</w:t>
      </w:r>
      <w:proofErr w:type="spellStart"/>
      <w:r w:rsidR="00982F24">
        <w:rPr>
          <w:lang w:val="en-US"/>
        </w:rPr>
        <w:t>pred</w:t>
      </w:r>
      <w:proofErr w:type="spellEnd"/>
      <w:r w:rsidR="00982F24">
        <w:rPr>
          <w:lang w:val="en-US"/>
        </w:rPr>
        <w:t xml:space="preserve"> </w:t>
      </w:r>
      <w:proofErr w:type="spellStart"/>
      <w:r w:rsidR="00982F24">
        <w:rPr>
          <w:lang w:val="en-US"/>
        </w:rPr>
        <w:t>deseto</w:t>
      </w:r>
      <w:proofErr w:type="spellEnd"/>
      <w:r w:rsidR="00982F24">
        <w:rPr>
          <w:lang w:val="en-US"/>
        </w:rPr>
        <w:t xml:space="preserve"> </w:t>
      </w:r>
      <w:proofErr w:type="spellStart"/>
      <w:r w:rsidR="00982F24">
        <w:rPr>
          <w:lang w:val="en-US"/>
        </w:rPr>
        <w:t>vlado</w:t>
      </w:r>
      <w:proofErr w:type="spellEnd"/>
      <w:r w:rsidR="00982F24">
        <w:rPr>
          <w:lang w:val="en-US"/>
        </w:rPr>
        <w:t xml:space="preserve">) </w:t>
      </w:r>
      <w:proofErr w:type="spellStart"/>
      <w:r w:rsidR="00982F24">
        <w:rPr>
          <w:lang w:val="en-US"/>
        </w:rPr>
        <w:t>samostojnega</w:t>
      </w:r>
      <w:proofErr w:type="spellEnd"/>
      <w:r w:rsidR="00982F24">
        <w:rPr>
          <w:lang w:val="en-US"/>
        </w:rPr>
        <w:t xml:space="preserve"> </w:t>
      </w:r>
      <w:proofErr w:type="spellStart"/>
      <w:r w:rsidR="00982F24">
        <w:rPr>
          <w:lang w:val="en-US"/>
        </w:rPr>
        <w:t>Urada</w:t>
      </w:r>
      <w:proofErr w:type="spellEnd"/>
      <w:r w:rsidR="00982F24">
        <w:rPr>
          <w:lang w:val="en-US"/>
        </w:rPr>
        <w:t xml:space="preserve"> </w:t>
      </w:r>
      <w:proofErr w:type="spellStart"/>
      <w:r w:rsidR="00982F24">
        <w:rPr>
          <w:lang w:val="en-US"/>
        </w:rPr>
        <w:t>za</w:t>
      </w:r>
      <w:proofErr w:type="spellEnd"/>
      <w:r w:rsidR="00982F24">
        <w:rPr>
          <w:lang w:val="en-US"/>
        </w:rPr>
        <w:t xml:space="preserve"> </w:t>
      </w:r>
      <w:proofErr w:type="spellStart"/>
      <w:r w:rsidR="00982F24">
        <w:rPr>
          <w:lang w:val="en-US"/>
        </w:rPr>
        <w:t>verske</w:t>
      </w:r>
      <w:proofErr w:type="spellEnd"/>
      <w:r w:rsidR="00982F24">
        <w:rPr>
          <w:lang w:val="en-US"/>
        </w:rPr>
        <w:t xml:space="preserve"> </w:t>
      </w:r>
      <w:proofErr w:type="spellStart"/>
      <w:r w:rsidR="00982F24">
        <w:rPr>
          <w:lang w:val="en-US"/>
        </w:rPr>
        <w:t>skupnosti</w:t>
      </w:r>
      <w:proofErr w:type="spellEnd"/>
      <w:r w:rsidR="00982F24">
        <w:rPr>
          <w:lang w:val="en-US"/>
        </w:rPr>
        <w:t>.</w:t>
      </w:r>
    </w:p>
    <w:p w:rsidR="009D3CF9" w:rsidRPr="00B94207" w:rsidRDefault="00B94207" w:rsidP="00DE1E54">
      <w:pPr>
        <w:spacing w:after="0" w:line="240" w:lineRule="auto"/>
        <w:rPr>
          <w:rStyle w:val="PodpispodtabeloaligrafomZnak"/>
        </w:rPr>
      </w:pPr>
      <w:r w:rsidRPr="00B94207">
        <w:rPr>
          <w:vertAlign w:val="superscript"/>
        </w:rPr>
        <w:t>17</w:t>
      </w:r>
      <w:r>
        <w:t xml:space="preserve"> </w:t>
      </w:r>
      <w:r w:rsidRPr="00B94207">
        <w:rPr>
          <w:rStyle w:val="PodpispodtabeloaligrafomZnak"/>
        </w:rPr>
        <w:t>V sredstvih za vizualne umetnosti so upoštevani programi in projekti nevladnih organizacij in posameznikov na tem področju, del sredstev Cankarjevega doma in sredstva za galerije (tako nacionalne kot občinske).</w:t>
      </w:r>
    </w:p>
    <w:p w:rsidR="0096091A" w:rsidRDefault="0096091A" w:rsidP="00DE1E54">
      <w:pPr>
        <w:spacing w:after="0" w:line="240" w:lineRule="auto"/>
        <w:sectPr w:rsidR="0096091A" w:rsidSect="00C00400">
          <w:footerReference w:type="default" r:id="rId22"/>
          <w:pgSz w:w="16820" w:h="11900" w:orient="landscape" w:code="9"/>
          <w:pgMar w:top="720" w:right="720" w:bottom="720" w:left="720" w:header="708" w:footer="708" w:gutter="0"/>
          <w:cols w:space="708"/>
          <w:docGrid w:linePitch="360"/>
        </w:sectPr>
      </w:pPr>
    </w:p>
    <w:p w:rsidR="0096091A" w:rsidRDefault="003413D3" w:rsidP="0096091A">
      <w:r>
        <w:lastRenderedPageBreak/>
        <w:t>Pri</w:t>
      </w:r>
      <w:r w:rsidR="0096091A">
        <w:t xml:space="preserve"> </w:t>
      </w:r>
      <w:r>
        <w:t>opazovanju spreminjanja</w:t>
      </w:r>
      <w:r w:rsidR="0096091A">
        <w:t xml:space="preserve"> strukturnih razmerij med področji </w:t>
      </w:r>
      <w:r w:rsidR="00CA2762">
        <w:t>(glej stolpce v tabeli 10 oz. graf 12</w:t>
      </w:r>
      <w:r w:rsidR="0096091A" w:rsidRPr="00B94207">
        <w:t>),</w:t>
      </w:r>
      <w:r w:rsidR="0096091A">
        <w:t xml:space="preserve"> </w:t>
      </w:r>
      <w:r w:rsidR="00DE28FF">
        <w:t>dobimo</w:t>
      </w:r>
      <w:r w:rsidR="0096091A">
        <w:t xml:space="preserve"> </w:t>
      </w:r>
      <w:r w:rsidR="00DE28FF">
        <w:t>drugačno informacijo</w:t>
      </w:r>
      <w:r w:rsidR="0096091A">
        <w:t xml:space="preserve">. </w:t>
      </w:r>
    </w:p>
    <w:p w:rsidR="0096091A" w:rsidRDefault="009E141D" w:rsidP="00C41251">
      <w:pPr>
        <w:pStyle w:val="Odstavekseznama"/>
        <w:numPr>
          <w:ilvl w:val="0"/>
          <w:numId w:val="4"/>
        </w:numPr>
      </w:pPr>
      <w:r>
        <w:t>leta 1992</w:t>
      </w:r>
      <w:r w:rsidR="0096091A">
        <w:t xml:space="preserve"> je bilo največ (od </w:t>
      </w:r>
      <w:r w:rsidR="00C349BE">
        <w:t>17 do 22</w:t>
      </w:r>
      <w:r w:rsidR="0096091A">
        <w:t xml:space="preserve"> %) sredstev namenjenih za varstvo premične kulturne dediščine, glasbo in uprizoritvene umetnosti, leta 2015 pa za ista tri področja ter za varstvo nepremične kulturne dediščine</w:t>
      </w:r>
      <w:r w:rsidR="00626BDB">
        <w:rPr>
          <w:rStyle w:val="Sprotnaopomba-sklic"/>
        </w:rPr>
        <w:footnoteReference w:id="24"/>
      </w:r>
      <w:r w:rsidR="00C349BE">
        <w:t xml:space="preserve"> (od 15 do 17 %);</w:t>
      </w:r>
    </w:p>
    <w:p w:rsidR="0096091A" w:rsidRPr="001311FF" w:rsidRDefault="00C349BE" w:rsidP="00C41251">
      <w:pPr>
        <w:pStyle w:val="Odstavekseznama"/>
        <w:numPr>
          <w:ilvl w:val="0"/>
          <w:numId w:val="4"/>
        </w:numPr>
      </w:pPr>
      <w:r>
        <w:t>leta 1992</w:t>
      </w:r>
      <w:r w:rsidR="0096091A">
        <w:t xml:space="preserve"> je bilo najmanj sredstev (manj kot 1 %) namenjenih za manjšinske skupnosti v RS, </w:t>
      </w:r>
      <w:r>
        <w:t xml:space="preserve">Slovence zunaj RS, </w:t>
      </w:r>
      <w:r w:rsidR="00B50CE5">
        <w:t>ljubiteljsko kulturo in</w:t>
      </w:r>
      <w:r w:rsidR="0096091A">
        <w:t xml:space="preserve"> štipendije, leta 2015 pa za </w:t>
      </w:r>
      <w:proofErr w:type="spellStart"/>
      <w:r w:rsidR="00B50CE5">
        <w:t>intermedijske</w:t>
      </w:r>
      <w:proofErr w:type="spellEnd"/>
      <w:r w:rsidR="00B50CE5">
        <w:t xml:space="preserve"> umetnosti, </w:t>
      </w:r>
      <w:r w:rsidR="0096091A">
        <w:t xml:space="preserve">investicije in investicijsko vzdrževanje, štipendije </w:t>
      </w:r>
      <w:r w:rsidR="00B50CE5">
        <w:t>ter</w:t>
      </w:r>
      <w:r w:rsidR="0096091A">
        <w:t xml:space="preserve"> mednarodno sodelovanje.</w:t>
      </w:r>
    </w:p>
    <w:p w:rsidR="0096091A" w:rsidRPr="008F5A7C" w:rsidRDefault="0082127F" w:rsidP="00092F0C">
      <w:pPr>
        <w:pStyle w:val="Naslovtabele"/>
      </w:pPr>
      <w:bookmarkStart w:id="123" w:name="_Toc490053357"/>
      <w:bookmarkStart w:id="124" w:name="_Toc490053728"/>
      <w:bookmarkStart w:id="125" w:name="_Toc490600000"/>
      <w:r>
        <w:t>Graf 12</w:t>
      </w:r>
      <w:r w:rsidR="0096091A" w:rsidRPr="008F5A7C">
        <w:t xml:space="preserve">: </w:t>
      </w:r>
      <w:r w:rsidR="00D3342C">
        <w:t>Financiranje</w:t>
      </w:r>
      <w:r w:rsidR="0096091A">
        <w:t xml:space="preserve"> glavnih področij iz proračuna Ministrstva za kulturo</w:t>
      </w:r>
      <w:r w:rsidR="00D3342C">
        <w:t xml:space="preserve"> (1992 in 2015)</w:t>
      </w:r>
      <w:bookmarkEnd w:id="123"/>
      <w:bookmarkEnd w:id="124"/>
      <w:r>
        <w:t>*</w:t>
      </w:r>
      <w:bookmarkEnd w:id="125"/>
    </w:p>
    <w:p w:rsidR="0096091A" w:rsidRDefault="002D091F" w:rsidP="0096091A">
      <w:r>
        <w:rPr>
          <w:noProof/>
          <w:lang w:eastAsia="sl-SI"/>
        </w:rPr>
        <w:drawing>
          <wp:inline distT="0" distB="0" distL="0" distR="0" wp14:anchorId="3EC3134A" wp14:editId="5CC7C86F">
            <wp:extent cx="5767070" cy="4075776"/>
            <wp:effectExtent l="0" t="0" r="0" b="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96091A" w:rsidRDefault="0096091A" w:rsidP="00DE1E54">
      <w:pPr>
        <w:pStyle w:val="Podpispodtabeloaligrafom"/>
        <w:spacing w:after="0"/>
      </w:pPr>
      <w:r>
        <w:t>Vir: Ministrstvo za kulturo.</w:t>
      </w:r>
    </w:p>
    <w:p w:rsidR="00181215" w:rsidRPr="00C13ADD" w:rsidRDefault="00453B99" w:rsidP="0096091A">
      <w:pPr>
        <w:pStyle w:val="Podpispodtabeloaligrafom"/>
        <w:rPr>
          <w:i/>
        </w:rPr>
      </w:pPr>
      <w:r w:rsidRPr="00181215">
        <w:t xml:space="preserve">* Za celovito informacijo glej opombe </w:t>
      </w:r>
      <w:r w:rsidR="00181215">
        <w:t xml:space="preserve">pod tabelo </w:t>
      </w:r>
      <w:r w:rsidR="00181215" w:rsidRPr="00C13ADD">
        <w:rPr>
          <w:i/>
        </w:rPr>
        <w:t>10 Struktura proračuna Ministrstva za kulturo po glavnih področjih (1992–2015).</w:t>
      </w:r>
    </w:p>
    <w:p w:rsidR="009033A0" w:rsidRDefault="009033A0" w:rsidP="006C45FF"/>
    <w:p w:rsidR="009033A0" w:rsidRDefault="009033A0" w:rsidP="009033A0">
      <w:pPr>
        <w:pStyle w:val="Podnaslov3"/>
      </w:pPr>
      <w:bookmarkStart w:id="126" w:name="_Toc489859815"/>
      <w:bookmarkStart w:id="127" w:name="_Toc490047578"/>
      <w:bookmarkStart w:id="128" w:name="_Toc490599943"/>
      <w:bookmarkStart w:id="129" w:name="_Toc506192072"/>
      <w:r>
        <w:t>Struktura po prejemnikih</w:t>
      </w:r>
      <w:bookmarkEnd w:id="126"/>
      <w:bookmarkEnd w:id="127"/>
      <w:bookmarkEnd w:id="128"/>
      <w:bookmarkEnd w:id="129"/>
    </w:p>
    <w:p w:rsidR="001439A8" w:rsidRDefault="00983CDC" w:rsidP="006C45FF">
      <w:r w:rsidRPr="00983CDC">
        <w:t xml:space="preserve">Nižanja proračuna Ministrstva za kulturo v zadnjih letih so vplivala na finančna razmerja med sektorji v kulturi. Kot rečeno, je največ sredstev namenjenih za varstvo nepremične in premične kulturne dediščine (muzeji in arhivi) ter glasbo in uprizoritvene umetnosti. (H kulturni dediščini lahko uvrstimo tudi sredstva za </w:t>
      </w:r>
      <w:r w:rsidR="00C13ADD">
        <w:t>knjižnice, ki sicer v tabeli 10</w:t>
      </w:r>
      <w:r w:rsidRPr="00983CDC">
        <w:t xml:space="preserve"> ne izstopajo po višini sr</w:t>
      </w:r>
      <w:r w:rsidR="003413D3">
        <w:t xml:space="preserve">edstev.). To so hkrati področja, katerih delovanje je v veliki meri zagotovljeno </w:t>
      </w:r>
      <w:r w:rsidRPr="00983CDC">
        <w:t>z javnimi zavodi in redno zaposlenimi, v nasprotju s področji, na katerih delujejo pretežno samozaposleni, nevladne organizacije oz. podjetja (vizualne</w:t>
      </w:r>
      <w:r w:rsidR="007F1C17">
        <w:t xml:space="preserve"> </w:t>
      </w:r>
      <w:r w:rsidRPr="00983CDC">
        <w:t xml:space="preserve">in </w:t>
      </w:r>
      <w:proofErr w:type="spellStart"/>
      <w:r w:rsidRPr="00983CDC">
        <w:t>intermedijske</w:t>
      </w:r>
      <w:proofErr w:type="spellEnd"/>
      <w:r w:rsidRPr="00983CDC">
        <w:t xml:space="preserve"> umetnosti, film, knjiga).</w:t>
      </w:r>
    </w:p>
    <w:p w:rsidR="00B9459E" w:rsidRDefault="00E042A3" w:rsidP="006C45FF">
      <w:r>
        <w:lastRenderedPageBreak/>
        <w:t>Omenjene razlike</w:t>
      </w:r>
      <w:r w:rsidR="00B81763">
        <w:t xml:space="preserve"> so</w:t>
      </w:r>
      <w:r w:rsidR="00983CDC">
        <w:t xml:space="preserve"> dobro</w:t>
      </w:r>
      <w:r w:rsidR="00B81763">
        <w:t xml:space="preserve"> razvidn</w:t>
      </w:r>
      <w:r>
        <w:t>e</w:t>
      </w:r>
      <w:r w:rsidR="00B81763">
        <w:t xml:space="preserve"> iz </w:t>
      </w:r>
      <w:r w:rsidR="00AF3E37">
        <w:t xml:space="preserve">tabele </w:t>
      </w:r>
      <w:r w:rsidR="00C13ADD">
        <w:t>11</w:t>
      </w:r>
      <w:r w:rsidR="00AF3E37">
        <w:t xml:space="preserve">, ki kaže </w:t>
      </w:r>
      <w:r w:rsidR="006541FE">
        <w:t>strukturo</w:t>
      </w:r>
      <w:r w:rsidR="00B81763">
        <w:t xml:space="preserve"> </w:t>
      </w:r>
      <w:r w:rsidR="006541FE">
        <w:t>realizacije</w:t>
      </w:r>
      <w:r w:rsidR="00B81763">
        <w:t xml:space="preserve"> proračuna Ministrstva za kulturo</w:t>
      </w:r>
      <w:r w:rsidR="00AF3E37">
        <w:t xml:space="preserve"> </w:t>
      </w:r>
      <w:r w:rsidR="006541FE">
        <w:t xml:space="preserve">po prejemnikih </w:t>
      </w:r>
      <w:r w:rsidR="00AF3E37">
        <w:t>v obdobju od 2002</w:t>
      </w:r>
      <w:r w:rsidR="000D7823">
        <w:rPr>
          <w:rStyle w:val="Sprotnaopomba-sklic"/>
        </w:rPr>
        <w:footnoteReference w:id="25"/>
      </w:r>
      <w:r w:rsidR="00AF3E37">
        <w:t xml:space="preserve"> do 2015.</w:t>
      </w:r>
    </w:p>
    <w:p w:rsidR="00E042A3" w:rsidRPr="007F1C17" w:rsidRDefault="0044718A" w:rsidP="000D7823">
      <w:pPr>
        <w:pStyle w:val="Naslovtabele"/>
      </w:pPr>
      <w:bookmarkStart w:id="130" w:name="_Toc490053358"/>
      <w:bookmarkStart w:id="131" w:name="_Toc490053729"/>
      <w:bookmarkStart w:id="132" w:name="_Toc490600001"/>
      <w:r>
        <w:t>Tabela 11</w:t>
      </w:r>
      <w:r w:rsidR="00376E7D" w:rsidRPr="007F1C17">
        <w:t xml:space="preserve">: Struktura realizacije proračuna Ministrstva za kulturo </w:t>
      </w:r>
      <w:r w:rsidR="00B71439">
        <w:t>po</w:t>
      </w:r>
      <w:r w:rsidR="00376E7D" w:rsidRPr="007F1C17">
        <w:t xml:space="preserve"> prejemnik</w:t>
      </w:r>
      <w:r w:rsidR="00B71439">
        <w:t>ih</w:t>
      </w:r>
      <w:r w:rsidR="00376E7D" w:rsidRPr="007F1C17">
        <w:t xml:space="preserve"> sredstev (2002–2015)</w:t>
      </w:r>
      <w:bookmarkEnd w:id="130"/>
      <w:bookmarkEnd w:id="131"/>
      <w:bookmarkEnd w:id="132"/>
    </w:p>
    <w:tbl>
      <w:tblPr>
        <w:tblStyle w:val="Svetelseznampoudarek3"/>
        <w:tblW w:w="5000" w:type="pct"/>
        <w:tblLayout w:type="fixed"/>
        <w:tblLook w:val="04A0" w:firstRow="1" w:lastRow="0" w:firstColumn="1" w:lastColumn="0" w:noHBand="0" w:noVBand="1"/>
      </w:tblPr>
      <w:tblGrid>
        <w:gridCol w:w="1526"/>
        <w:gridCol w:w="554"/>
        <w:gridCol w:w="555"/>
        <w:gridCol w:w="554"/>
        <w:gridCol w:w="555"/>
        <w:gridCol w:w="554"/>
        <w:gridCol w:w="555"/>
        <w:gridCol w:w="554"/>
        <w:gridCol w:w="555"/>
        <w:gridCol w:w="554"/>
        <w:gridCol w:w="555"/>
        <w:gridCol w:w="554"/>
        <w:gridCol w:w="555"/>
        <w:gridCol w:w="554"/>
        <w:gridCol w:w="555"/>
      </w:tblGrid>
      <w:tr w:rsidR="0025572F" w:rsidRPr="007F1C17" w:rsidTr="00E042A3">
        <w:trPr>
          <w:cnfStyle w:val="100000000000" w:firstRow="1" w:lastRow="0" w:firstColumn="0" w:lastColumn="0" w:oddVBand="0" w:evenVBand="0" w:oddHBand="0" w:evenHBand="0" w:firstRowFirstColumn="0" w:firstRowLastColumn="0" w:lastRowFirstColumn="0" w:lastRowLastColumn="0"/>
          <w:cantSplit/>
          <w:trHeight w:val="651"/>
        </w:trPr>
        <w:tc>
          <w:tcPr>
            <w:cnfStyle w:val="001000000000" w:firstRow="0" w:lastRow="0" w:firstColumn="1" w:lastColumn="0" w:oddVBand="0" w:evenVBand="0" w:oddHBand="0" w:evenHBand="0" w:firstRowFirstColumn="0" w:firstRowLastColumn="0" w:lastRowFirstColumn="0" w:lastRowLastColumn="0"/>
            <w:tcW w:w="821" w:type="pct"/>
            <w:noWrap/>
            <w:hideMark/>
          </w:tcPr>
          <w:p w:rsidR="00E042A3" w:rsidRPr="00A321E2" w:rsidRDefault="00E042A3" w:rsidP="00A321E2">
            <w:pPr>
              <w:rPr>
                <w:rFonts w:ascii="Arial Narrow" w:hAnsi="Arial Narrow"/>
                <w:sz w:val="16"/>
                <w:szCs w:val="16"/>
              </w:rPr>
            </w:pPr>
            <w:bookmarkStart w:id="133" w:name="_Toc477339481"/>
            <w:bookmarkStart w:id="134" w:name="_Toc477339737"/>
            <w:bookmarkStart w:id="135" w:name="_Toc477339905"/>
          </w:p>
        </w:tc>
        <w:tc>
          <w:tcPr>
            <w:tcW w:w="298" w:type="pct"/>
            <w:noWrap/>
            <w:textDirection w:val="btLr"/>
            <w:vAlign w:val="center"/>
            <w:hideMark/>
          </w:tcPr>
          <w:p w:rsidR="00E042A3" w:rsidRPr="00A321E2" w:rsidRDefault="00E042A3" w:rsidP="00A321E2">
            <w:pPr>
              <w:cnfStyle w:val="100000000000" w:firstRow="1"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2002</w:t>
            </w:r>
          </w:p>
        </w:tc>
        <w:tc>
          <w:tcPr>
            <w:tcW w:w="299" w:type="pct"/>
            <w:noWrap/>
            <w:textDirection w:val="btLr"/>
            <w:vAlign w:val="center"/>
            <w:hideMark/>
          </w:tcPr>
          <w:p w:rsidR="00E042A3" w:rsidRPr="00A321E2" w:rsidRDefault="00E042A3" w:rsidP="00A321E2">
            <w:pPr>
              <w:cnfStyle w:val="100000000000" w:firstRow="1"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2003</w:t>
            </w:r>
          </w:p>
        </w:tc>
        <w:tc>
          <w:tcPr>
            <w:tcW w:w="298" w:type="pct"/>
            <w:noWrap/>
            <w:textDirection w:val="btLr"/>
            <w:vAlign w:val="center"/>
            <w:hideMark/>
          </w:tcPr>
          <w:p w:rsidR="00E042A3" w:rsidRPr="00A321E2" w:rsidRDefault="00E042A3" w:rsidP="00A321E2">
            <w:pPr>
              <w:cnfStyle w:val="100000000000" w:firstRow="1"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2004</w:t>
            </w:r>
          </w:p>
        </w:tc>
        <w:tc>
          <w:tcPr>
            <w:tcW w:w="299" w:type="pct"/>
            <w:noWrap/>
            <w:textDirection w:val="btLr"/>
            <w:vAlign w:val="center"/>
            <w:hideMark/>
          </w:tcPr>
          <w:p w:rsidR="00E042A3" w:rsidRPr="00A321E2" w:rsidRDefault="00E042A3" w:rsidP="00A321E2">
            <w:pPr>
              <w:cnfStyle w:val="100000000000" w:firstRow="1"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2005</w:t>
            </w:r>
          </w:p>
        </w:tc>
        <w:tc>
          <w:tcPr>
            <w:tcW w:w="298" w:type="pct"/>
            <w:noWrap/>
            <w:textDirection w:val="btLr"/>
            <w:vAlign w:val="center"/>
            <w:hideMark/>
          </w:tcPr>
          <w:p w:rsidR="00E042A3" w:rsidRPr="00A321E2" w:rsidRDefault="00E042A3" w:rsidP="00A321E2">
            <w:pPr>
              <w:cnfStyle w:val="100000000000" w:firstRow="1"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2006</w:t>
            </w:r>
          </w:p>
        </w:tc>
        <w:tc>
          <w:tcPr>
            <w:tcW w:w="299" w:type="pct"/>
            <w:noWrap/>
            <w:textDirection w:val="btLr"/>
            <w:vAlign w:val="center"/>
            <w:hideMark/>
          </w:tcPr>
          <w:p w:rsidR="00E042A3" w:rsidRPr="00A321E2" w:rsidRDefault="00E042A3" w:rsidP="00A321E2">
            <w:pPr>
              <w:cnfStyle w:val="100000000000" w:firstRow="1"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2007</w:t>
            </w:r>
          </w:p>
        </w:tc>
        <w:tc>
          <w:tcPr>
            <w:tcW w:w="298" w:type="pct"/>
            <w:noWrap/>
            <w:textDirection w:val="btLr"/>
            <w:vAlign w:val="center"/>
            <w:hideMark/>
          </w:tcPr>
          <w:p w:rsidR="00E042A3" w:rsidRPr="00A321E2" w:rsidRDefault="00E042A3" w:rsidP="00A321E2">
            <w:pPr>
              <w:cnfStyle w:val="100000000000" w:firstRow="1"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2008</w:t>
            </w:r>
          </w:p>
        </w:tc>
        <w:tc>
          <w:tcPr>
            <w:tcW w:w="299" w:type="pct"/>
            <w:noWrap/>
            <w:textDirection w:val="btLr"/>
            <w:vAlign w:val="center"/>
            <w:hideMark/>
          </w:tcPr>
          <w:p w:rsidR="00E042A3" w:rsidRPr="00A321E2" w:rsidRDefault="00E042A3" w:rsidP="00A321E2">
            <w:pPr>
              <w:cnfStyle w:val="100000000000" w:firstRow="1"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2009</w:t>
            </w:r>
            <w:r w:rsidR="002777B4" w:rsidRPr="00A321E2">
              <w:rPr>
                <w:rFonts w:ascii="Arial Narrow" w:hAnsi="Arial Narrow"/>
                <w:sz w:val="16"/>
                <w:szCs w:val="16"/>
                <w:vertAlign w:val="superscript"/>
              </w:rPr>
              <w:t>1</w:t>
            </w:r>
          </w:p>
        </w:tc>
        <w:tc>
          <w:tcPr>
            <w:tcW w:w="298" w:type="pct"/>
            <w:noWrap/>
            <w:textDirection w:val="btLr"/>
            <w:vAlign w:val="center"/>
            <w:hideMark/>
          </w:tcPr>
          <w:p w:rsidR="00E042A3" w:rsidRPr="00A321E2" w:rsidRDefault="00E042A3" w:rsidP="00A321E2">
            <w:pPr>
              <w:cnfStyle w:val="100000000000" w:firstRow="1"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2010</w:t>
            </w:r>
          </w:p>
        </w:tc>
        <w:tc>
          <w:tcPr>
            <w:tcW w:w="299" w:type="pct"/>
            <w:noWrap/>
            <w:textDirection w:val="btLr"/>
            <w:vAlign w:val="center"/>
            <w:hideMark/>
          </w:tcPr>
          <w:p w:rsidR="00E042A3" w:rsidRPr="00A321E2" w:rsidRDefault="00E042A3" w:rsidP="00A321E2">
            <w:pPr>
              <w:cnfStyle w:val="100000000000" w:firstRow="1"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2011</w:t>
            </w:r>
            <w:r w:rsidR="002777B4" w:rsidRPr="00A321E2">
              <w:rPr>
                <w:rFonts w:ascii="Arial Narrow" w:hAnsi="Arial Narrow"/>
                <w:sz w:val="16"/>
                <w:szCs w:val="16"/>
                <w:vertAlign w:val="superscript"/>
              </w:rPr>
              <w:t>2</w:t>
            </w:r>
          </w:p>
        </w:tc>
        <w:tc>
          <w:tcPr>
            <w:tcW w:w="298" w:type="pct"/>
            <w:noWrap/>
            <w:textDirection w:val="btLr"/>
            <w:vAlign w:val="center"/>
            <w:hideMark/>
          </w:tcPr>
          <w:p w:rsidR="00E042A3" w:rsidRPr="00A321E2" w:rsidRDefault="00E042A3" w:rsidP="00A321E2">
            <w:pPr>
              <w:cnfStyle w:val="100000000000" w:firstRow="1"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2012</w:t>
            </w:r>
          </w:p>
        </w:tc>
        <w:tc>
          <w:tcPr>
            <w:tcW w:w="299" w:type="pct"/>
            <w:noWrap/>
            <w:textDirection w:val="btLr"/>
            <w:vAlign w:val="center"/>
            <w:hideMark/>
          </w:tcPr>
          <w:p w:rsidR="00E042A3" w:rsidRPr="00A321E2" w:rsidRDefault="00E042A3" w:rsidP="00A321E2">
            <w:pPr>
              <w:cnfStyle w:val="100000000000" w:firstRow="1"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2013</w:t>
            </w:r>
            <w:r w:rsidR="002777B4" w:rsidRPr="00A321E2">
              <w:rPr>
                <w:rFonts w:ascii="Arial Narrow" w:hAnsi="Arial Narrow"/>
                <w:sz w:val="16"/>
                <w:szCs w:val="16"/>
                <w:vertAlign w:val="superscript"/>
              </w:rPr>
              <w:t>5</w:t>
            </w:r>
          </w:p>
        </w:tc>
        <w:tc>
          <w:tcPr>
            <w:tcW w:w="298" w:type="pct"/>
            <w:noWrap/>
            <w:textDirection w:val="btLr"/>
            <w:vAlign w:val="center"/>
            <w:hideMark/>
          </w:tcPr>
          <w:p w:rsidR="00E042A3" w:rsidRPr="00A321E2" w:rsidRDefault="00E042A3" w:rsidP="00A321E2">
            <w:pPr>
              <w:cnfStyle w:val="100000000000" w:firstRow="1"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2014</w:t>
            </w:r>
          </w:p>
        </w:tc>
        <w:tc>
          <w:tcPr>
            <w:tcW w:w="299" w:type="pct"/>
            <w:noWrap/>
            <w:textDirection w:val="btLr"/>
            <w:vAlign w:val="center"/>
            <w:hideMark/>
          </w:tcPr>
          <w:p w:rsidR="00E042A3" w:rsidRPr="00A321E2" w:rsidRDefault="00E042A3" w:rsidP="00A321E2">
            <w:pPr>
              <w:cnfStyle w:val="100000000000" w:firstRow="1"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2015</w:t>
            </w:r>
          </w:p>
        </w:tc>
      </w:tr>
      <w:tr w:rsidR="006F282B" w:rsidRPr="007F1C17" w:rsidTr="009C59DA">
        <w:trPr>
          <w:cnfStyle w:val="000000100000" w:firstRow="0" w:lastRow="0" w:firstColumn="0" w:lastColumn="0" w:oddVBand="0" w:evenVBand="0" w:oddHBand="1" w:evenHBand="0" w:firstRowFirstColumn="0" w:firstRowLastColumn="0" w:lastRowFirstColumn="0" w:lastRowLastColumn="0"/>
          <w:trHeight w:val="250"/>
        </w:trPr>
        <w:tc>
          <w:tcPr>
            <w:cnfStyle w:val="001000000000" w:firstRow="0" w:lastRow="0" w:firstColumn="1" w:lastColumn="0" w:oddVBand="0" w:evenVBand="0" w:oddHBand="0" w:evenHBand="0" w:firstRowFirstColumn="0" w:firstRowLastColumn="0" w:lastRowFirstColumn="0" w:lastRowLastColumn="0"/>
            <w:tcW w:w="821" w:type="pct"/>
            <w:shd w:val="clear" w:color="auto" w:fill="9BBB59" w:themeFill="accent3"/>
            <w:noWrap/>
          </w:tcPr>
          <w:p w:rsidR="006F282B" w:rsidRPr="00A321E2" w:rsidRDefault="006F282B" w:rsidP="00A321E2">
            <w:pPr>
              <w:spacing w:line="240" w:lineRule="auto"/>
              <w:rPr>
                <w:rFonts w:ascii="Arial Narrow" w:hAnsi="Arial Narrow"/>
                <w:sz w:val="16"/>
                <w:szCs w:val="16"/>
              </w:rPr>
            </w:pPr>
          </w:p>
        </w:tc>
        <w:tc>
          <w:tcPr>
            <w:tcW w:w="298" w:type="pct"/>
            <w:shd w:val="clear" w:color="auto" w:fill="9BBB59" w:themeFill="accent3"/>
            <w:noWrap/>
          </w:tcPr>
          <w:p w:rsidR="006F282B" w:rsidRPr="00A321E2" w:rsidRDefault="006F282B" w:rsidP="00A321E2">
            <w:pPr>
              <w:spacing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color w:val="FFFFFF" w:themeColor="background1"/>
                <w:sz w:val="16"/>
                <w:szCs w:val="16"/>
              </w:rPr>
            </w:pPr>
            <w:r w:rsidRPr="00A321E2">
              <w:rPr>
                <w:rFonts w:ascii="Arial Narrow" w:hAnsi="Arial Narrow"/>
                <w:b/>
                <w:color w:val="FFFFFF" w:themeColor="background1"/>
                <w:sz w:val="16"/>
                <w:szCs w:val="16"/>
              </w:rPr>
              <w:t>%</w:t>
            </w:r>
          </w:p>
        </w:tc>
        <w:tc>
          <w:tcPr>
            <w:tcW w:w="299" w:type="pct"/>
            <w:shd w:val="clear" w:color="auto" w:fill="9BBB59" w:themeFill="accent3"/>
            <w:noWrap/>
          </w:tcPr>
          <w:p w:rsidR="006F282B" w:rsidRPr="00A321E2" w:rsidRDefault="006F282B" w:rsidP="00A321E2">
            <w:pPr>
              <w:spacing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color w:val="FFFFFF" w:themeColor="background1"/>
                <w:sz w:val="16"/>
                <w:szCs w:val="16"/>
              </w:rPr>
            </w:pPr>
            <w:r w:rsidRPr="00A321E2">
              <w:rPr>
                <w:rFonts w:ascii="Arial Narrow" w:hAnsi="Arial Narrow"/>
                <w:b/>
                <w:color w:val="FFFFFF" w:themeColor="background1"/>
                <w:sz w:val="16"/>
                <w:szCs w:val="16"/>
              </w:rPr>
              <w:t>%</w:t>
            </w:r>
          </w:p>
        </w:tc>
        <w:tc>
          <w:tcPr>
            <w:tcW w:w="298" w:type="pct"/>
            <w:shd w:val="clear" w:color="auto" w:fill="9BBB59" w:themeFill="accent3"/>
            <w:noWrap/>
          </w:tcPr>
          <w:p w:rsidR="006F282B" w:rsidRPr="00A321E2" w:rsidRDefault="006F282B" w:rsidP="00A321E2">
            <w:pPr>
              <w:spacing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color w:val="FFFFFF" w:themeColor="background1"/>
                <w:sz w:val="16"/>
                <w:szCs w:val="16"/>
              </w:rPr>
            </w:pPr>
            <w:r w:rsidRPr="00A321E2">
              <w:rPr>
                <w:rFonts w:ascii="Arial Narrow" w:hAnsi="Arial Narrow"/>
                <w:b/>
                <w:color w:val="FFFFFF" w:themeColor="background1"/>
                <w:sz w:val="16"/>
                <w:szCs w:val="16"/>
              </w:rPr>
              <w:t>%</w:t>
            </w:r>
          </w:p>
        </w:tc>
        <w:tc>
          <w:tcPr>
            <w:tcW w:w="299" w:type="pct"/>
            <w:shd w:val="clear" w:color="auto" w:fill="9BBB59" w:themeFill="accent3"/>
            <w:noWrap/>
          </w:tcPr>
          <w:p w:rsidR="006F282B" w:rsidRPr="00A321E2" w:rsidRDefault="006F282B" w:rsidP="00A321E2">
            <w:pPr>
              <w:spacing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color w:val="FFFFFF" w:themeColor="background1"/>
                <w:sz w:val="16"/>
                <w:szCs w:val="16"/>
              </w:rPr>
            </w:pPr>
            <w:r w:rsidRPr="00A321E2">
              <w:rPr>
                <w:rFonts w:ascii="Arial Narrow" w:hAnsi="Arial Narrow"/>
                <w:b/>
                <w:color w:val="FFFFFF" w:themeColor="background1"/>
                <w:sz w:val="16"/>
                <w:szCs w:val="16"/>
              </w:rPr>
              <w:t>%</w:t>
            </w:r>
          </w:p>
        </w:tc>
        <w:tc>
          <w:tcPr>
            <w:tcW w:w="298" w:type="pct"/>
            <w:shd w:val="clear" w:color="auto" w:fill="9BBB59" w:themeFill="accent3"/>
            <w:noWrap/>
          </w:tcPr>
          <w:p w:rsidR="006F282B" w:rsidRPr="00A321E2" w:rsidRDefault="006F282B" w:rsidP="00A321E2">
            <w:pPr>
              <w:spacing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color w:val="FFFFFF" w:themeColor="background1"/>
                <w:sz w:val="16"/>
                <w:szCs w:val="16"/>
              </w:rPr>
            </w:pPr>
            <w:r w:rsidRPr="00A321E2">
              <w:rPr>
                <w:rFonts w:ascii="Arial Narrow" w:hAnsi="Arial Narrow"/>
                <w:b/>
                <w:color w:val="FFFFFF" w:themeColor="background1"/>
                <w:sz w:val="16"/>
                <w:szCs w:val="16"/>
              </w:rPr>
              <w:t>%</w:t>
            </w:r>
          </w:p>
        </w:tc>
        <w:tc>
          <w:tcPr>
            <w:tcW w:w="299" w:type="pct"/>
            <w:shd w:val="clear" w:color="auto" w:fill="9BBB59" w:themeFill="accent3"/>
            <w:noWrap/>
          </w:tcPr>
          <w:p w:rsidR="006F282B" w:rsidRPr="00A321E2" w:rsidRDefault="006F282B" w:rsidP="00A321E2">
            <w:pPr>
              <w:spacing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color w:val="FFFFFF" w:themeColor="background1"/>
                <w:sz w:val="16"/>
                <w:szCs w:val="16"/>
              </w:rPr>
            </w:pPr>
            <w:r w:rsidRPr="00A321E2">
              <w:rPr>
                <w:rFonts w:ascii="Arial Narrow" w:hAnsi="Arial Narrow"/>
                <w:b/>
                <w:color w:val="FFFFFF" w:themeColor="background1"/>
                <w:sz w:val="16"/>
                <w:szCs w:val="16"/>
              </w:rPr>
              <w:t>%</w:t>
            </w:r>
          </w:p>
        </w:tc>
        <w:tc>
          <w:tcPr>
            <w:tcW w:w="298" w:type="pct"/>
            <w:shd w:val="clear" w:color="auto" w:fill="9BBB59" w:themeFill="accent3"/>
            <w:noWrap/>
          </w:tcPr>
          <w:p w:rsidR="006F282B" w:rsidRPr="00A321E2" w:rsidRDefault="006F282B" w:rsidP="00A321E2">
            <w:pPr>
              <w:spacing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color w:val="FFFFFF" w:themeColor="background1"/>
                <w:sz w:val="16"/>
                <w:szCs w:val="16"/>
              </w:rPr>
            </w:pPr>
            <w:r w:rsidRPr="00A321E2">
              <w:rPr>
                <w:rFonts w:ascii="Arial Narrow" w:hAnsi="Arial Narrow"/>
                <w:b/>
                <w:color w:val="FFFFFF" w:themeColor="background1"/>
                <w:sz w:val="16"/>
                <w:szCs w:val="16"/>
              </w:rPr>
              <w:t>%</w:t>
            </w:r>
          </w:p>
        </w:tc>
        <w:tc>
          <w:tcPr>
            <w:tcW w:w="299" w:type="pct"/>
            <w:shd w:val="clear" w:color="auto" w:fill="9BBB59" w:themeFill="accent3"/>
            <w:noWrap/>
          </w:tcPr>
          <w:p w:rsidR="006F282B" w:rsidRPr="00A321E2" w:rsidRDefault="006F282B" w:rsidP="00A321E2">
            <w:pPr>
              <w:spacing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color w:val="FFFFFF" w:themeColor="background1"/>
                <w:sz w:val="16"/>
                <w:szCs w:val="16"/>
              </w:rPr>
            </w:pPr>
            <w:r w:rsidRPr="00A321E2">
              <w:rPr>
                <w:rFonts w:ascii="Arial Narrow" w:hAnsi="Arial Narrow"/>
                <w:b/>
                <w:color w:val="FFFFFF" w:themeColor="background1"/>
                <w:sz w:val="16"/>
                <w:szCs w:val="16"/>
              </w:rPr>
              <w:t>%</w:t>
            </w:r>
          </w:p>
        </w:tc>
        <w:tc>
          <w:tcPr>
            <w:tcW w:w="298" w:type="pct"/>
            <w:shd w:val="clear" w:color="auto" w:fill="9BBB59" w:themeFill="accent3"/>
            <w:noWrap/>
          </w:tcPr>
          <w:p w:rsidR="006F282B" w:rsidRPr="00A321E2" w:rsidRDefault="006F282B" w:rsidP="00A321E2">
            <w:pPr>
              <w:spacing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color w:val="FFFFFF" w:themeColor="background1"/>
                <w:sz w:val="16"/>
                <w:szCs w:val="16"/>
                <w:lang w:val="en-US"/>
              </w:rPr>
            </w:pPr>
            <w:r w:rsidRPr="00A321E2">
              <w:rPr>
                <w:rFonts w:ascii="Arial Narrow" w:hAnsi="Arial Narrow"/>
                <w:b/>
                <w:color w:val="FFFFFF" w:themeColor="background1"/>
                <w:sz w:val="16"/>
                <w:szCs w:val="16"/>
              </w:rPr>
              <w:t>%</w:t>
            </w:r>
          </w:p>
        </w:tc>
        <w:tc>
          <w:tcPr>
            <w:tcW w:w="299" w:type="pct"/>
            <w:shd w:val="clear" w:color="auto" w:fill="9BBB59" w:themeFill="accent3"/>
            <w:noWrap/>
          </w:tcPr>
          <w:p w:rsidR="006F282B" w:rsidRPr="00A321E2" w:rsidRDefault="006F282B" w:rsidP="00A321E2">
            <w:pPr>
              <w:spacing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color w:val="FFFFFF" w:themeColor="background1"/>
                <w:sz w:val="16"/>
                <w:szCs w:val="16"/>
                <w:lang w:val="en-US"/>
              </w:rPr>
            </w:pPr>
            <w:r w:rsidRPr="00A321E2">
              <w:rPr>
                <w:rFonts w:ascii="Arial Narrow" w:hAnsi="Arial Narrow"/>
                <w:b/>
                <w:color w:val="FFFFFF" w:themeColor="background1"/>
                <w:sz w:val="16"/>
                <w:szCs w:val="16"/>
              </w:rPr>
              <w:t>%</w:t>
            </w:r>
          </w:p>
        </w:tc>
        <w:tc>
          <w:tcPr>
            <w:tcW w:w="298" w:type="pct"/>
            <w:shd w:val="clear" w:color="auto" w:fill="9BBB59" w:themeFill="accent3"/>
            <w:noWrap/>
          </w:tcPr>
          <w:p w:rsidR="006F282B" w:rsidRPr="00A321E2" w:rsidRDefault="006F282B" w:rsidP="00A321E2">
            <w:pPr>
              <w:spacing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color w:val="FFFFFF" w:themeColor="background1"/>
                <w:sz w:val="16"/>
                <w:szCs w:val="16"/>
                <w:lang w:val="en-US"/>
              </w:rPr>
            </w:pPr>
            <w:r w:rsidRPr="00A321E2">
              <w:rPr>
                <w:rFonts w:ascii="Arial Narrow" w:hAnsi="Arial Narrow"/>
                <w:b/>
                <w:color w:val="FFFFFF" w:themeColor="background1"/>
                <w:sz w:val="16"/>
                <w:szCs w:val="16"/>
              </w:rPr>
              <w:t>%</w:t>
            </w:r>
          </w:p>
        </w:tc>
        <w:tc>
          <w:tcPr>
            <w:tcW w:w="299" w:type="pct"/>
            <w:shd w:val="clear" w:color="auto" w:fill="9BBB59" w:themeFill="accent3"/>
            <w:noWrap/>
          </w:tcPr>
          <w:p w:rsidR="006F282B" w:rsidRPr="00A321E2" w:rsidRDefault="006F282B" w:rsidP="00A321E2">
            <w:pPr>
              <w:spacing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color w:val="FFFFFF" w:themeColor="background1"/>
                <w:sz w:val="16"/>
                <w:szCs w:val="16"/>
                <w:lang w:val="en-US"/>
              </w:rPr>
            </w:pPr>
            <w:r w:rsidRPr="00A321E2">
              <w:rPr>
                <w:rFonts w:ascii="Arial Narrow" w:hAnsi="Arial Narrow"/>
                <w:b/>
                <w:color w:val="FFFFFF" w:themeColor="background1"/>
                <w:sz w:val="16"/>
                <w:szCs w:val="16"/>
              </w:rPr>
              <w:t>%</w:t>
            </w:r>
          </w:p>
        </w:tc>
        <w:tc>
          <w:tcPr>
            <w:tcW w:w="298" w:type="pct"/>
            <w:shd w:val="clear" w:color="auto" w:fill="9BBB59" w:themeFill="accent3"/>
            <w:noWrap/>
          </w:tcPr>
          <w:p w:rsidR="006F282B" w:rsidRPr="00A321E2" w:rsidRDefault="006F282B" w:rsidP="00A321E2">
            <w:pPr>
              <w:spacing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color w:val="FFFFFF" w:themeColor="background1"/>
                <w:sz w:val="16"/>
                <w:szCs w:val="16"/>
              </w:rPr>
            </w:pPr>
            <w:r w:rsidRPr="00A321E2">
              <w:rPr>
                <w:rFonts w:ascii="Arial Narrow" w:hAnsi="Arial Narrow"/>
                <w:b/>
                <w:color w:val="FFFFFF" w:themeColor="background1"/>
                <w:sz w:val="16"/>
                <w:szCs w:val="16"/>
              </w:rPr>
              <w:t>%</w:t>
            </w:r>
          </w:p>
        </w:tc>
        <w:tc>
          <w:tcPr>
            <w:tcW w:w="299" w:type="pct"/>
            <w:shd w:val="clear" w:color="auto" w:fill="9BBB59" w:themeFill="accent3"/>
            <w:noWrap/>
          </w:tcPr>
          <w:p w:rsidR="006F282B" w:rsidRPr="00A321E2" w:rsidRDefault="006F282B" w:rsidP="00A321E2">
            <w:pPr>
              <w:spacing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color w:val="FFFFFF" w:themeColor="background1"/>
                <w:sz w:val="16"/>
                <w:szCs w:val="16"/>
                <w:lang w:val="en-US"/>
              </w:rPr>
            </w:pPr>
            <w:r w:rsidRPr="00A321E2">
              <w:rPr>
                <w:rFonts w:ascii="Arial Narrow" w:hAnsi="Arial Narrow"/>
                <w:b/>
                <w:color w:val="FFFFFF" w:themeColor="background1"/>
                <w:sz w:val="16"/>
                <w:szCs w:val="16"/>
              </w:rPr>
              <w:t>%</w:t>
            </w:r>
          </w:p>
        </w:tc>
      </w:tr>
      <w:tr w:rsidR="00E042A3" w:rsidRPr="007F1C17" w:rsidTr="00E042A3">
        <w:trPr>
          <w:trHeight w:val="250"/>
        </w:trPr>
        <w:tc>
          <w:tcPr>
            <w:cnfStyle w:val="001000000000" w:firstRow="0" w:lastRow="0" w:firstColumn="1" w:lastColumn="0" w:oddVBand="0" w:evenVBand="0" w:oddHBand="0" w:evenHBand="0" w:firstRowFirstColumn="0" w:firstRowLastColumn="0" w:lastRowFirstColumn="0" w:lastRowLastColumn="0"/>
            <w:tcW w:w="821" w:type="pct"/>
            <w:noWrap/>
            <w:hideMark/>
          </w:tcPr>
          <w:p w:rsidR="00E042A3" w:rsidRPr="00A321E2" w:rsidRDefault="00E042A3" w:rsidP="000B7534">
            <w:pPr>
              <w:spacing w:after="0" w:line="240" w:lineRule="auto"/>
              <w:rPr>
                <w:rFonts w:ascii="Arial Narrow" w:hAnsi="Arial Narrow"/>
                <w:b w:val="0"/>
                <w:sz w:val="16"/>
                <w:szCs w:val="16"/>
              </w:rPr>
            </w:pPr>
            <w:r w:rsidRPr="00A321E2">
              <w:rPr>
                <w:rFonts w:ascii="Arial Narrow" w:hAnsi="Arial Narrow"/>
                <w:b w:val="0"/>
                <w:sz w:val="16"/>
                <w:szCs w:val="16"/>
              </w:rPr>
              <w:t>Javni zavodi</w:t>
            </w:r>
            <w:r w:rsidR="002777B4" w:rsidRPr="00A321E2">
              <w:rPr>
                <w:rFonts w:ascii="Arial Narrow" w:hAnsi="Arial Narrow"/>
                <w:b w:val="0"/>
                <w:sz w:val="16"/>
                <w:szCs w:val="16"/>
                <w:vertAlign w:val="superscript"/>
              </w:rPr>
              <w:t>3</w:t>
            </w:r>
          </w:p>
        </w:tc>
        <w:tc>
          <w:tcPr>
            <w:tcW w:w="298" w:type="pct"/>
            <w:noWrap/>
            <w:hideMark/>
          </w:tcPr>
          <w:p w:rsidR="00E042A3" w:rsidRPr="00A321E2" w:rsidRDefault="00E042A3"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66,78</w:t>
            </w:r>
          </w:p>
        </w:tc>
        <w:tc>
          <w:tcPr>
            <w:tcW w:w="299" w:type="pct"/>
            <w:noWrap/>
            <w:hideMark/>
          </w:tcPr>
          <w:p w:rsidR="00E042A3" w:rsidRPr="00A321E2" w:rsidRDefault="00E042A3"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65,96</w:t>
            </w:r>
          </w:p>
        </w:tc>
        <w:tc>
          <w:tcPr>
            <w:tcW w:w="298" w:type="pct"/>
            <w:noWrap/>
            <w:hideMark/>
          </w:tcPr>
          <w:p w:rsidR="00E042A3" w:rsidRPr="00A321E2" w:rsidRDefault="00E042A3"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63,85</w:t>
            </w:r>
          </w:p>
        </w:tc>
        <w:tc>
          <w:tcPr>
            <w:tcW w:w="299" w:type="pct"/>
            <w:noWrap/>
            <w:hideMark/>
          </w:tcPr>
          <w:p w:rsidR="00E042A3" w:rsidRPr="00A321E2" w:rsidRDefault="00E042A3"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63,04</w:t>
            </w:r>
          </w:p>
        </w:tc>
        <w:tc>
          <w:tcPr>
            <w:tcW w:w="298" w:type="pct"/>
            <w:noWrap/>
            <w:hideMark/>
          </w:tcPr>
          <w:p w:rsidR="00E042A3" w:rsidRPr="00A321E2" w:rsidRDefault="00E042A3"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62,04</w:t>
            </w:r>
          </w:p>
        </w:tc>
        <w:tc>
          <w:tcPr>
            <w:tcW w:w="299" w:type="pct"/>
            <w:noWrap/>
            <w:hideMark/>
          </w:tcPr>
          <w:p w:rsidR="00E042A3" w:rsidRPr="00A321E2" w:rsidRDefault="00E042A3"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61,84</w:t>
            </w:r>
          </w:p>
        </w:tc>
        <w:tc>
          <w:tcPr>
            <w:tcW w:w="298" w:type="pct"/>
            <w:noWrap/>
            <w:hideMark/>
          </w:tcPr>
          <w:p w:rsidR="00E042A3" w:rsidRPr="00A321E2" w:rsidRDefault="00E042A3"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61,91</w:t>
            </w:r>
          </w:p>
        </w:tc>
        <w:tc>
          <w:tcPr>
            <w:tcW w:w="299" w:type="pct"/>
            <w:noWrap/>
            <w:hideMark/>
          </w:tcPr>
          <w:p w:rsidR="00E042A3" w:rsidRPr="00A321E2" w:rsidRDefault="00E042A3"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58,67</w:t>
            </w:r>
          </w:p>
        </w:tc>
        <w:tc>
          <w:tcPr>
            <w:tcW w:w="298" w:type="pct"/>
            <w:noWrap/>
            <w:hideMark/>
          </w:tcPr>
          <w:p w:rsidR="00E042A3" w:rsidRPr="00A321E2" w:rsidRDefault="00E042A3"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lang w:val="en-US"/>
              </w:rPr>
              <w:t>59,36</w:t>
            </w:r>
          </w:p>
        </w:tc>
        <w:tc>
          <w:tcPr>
            <w:tcW w:w="299" w:type="pct"/>
            <w:noWrap/>
            <w:hideMark/>
          </w:tcPr>
          <w:p w:rsidR="00E042A3" w:rsidRPr="00A321E2" w:rsidRDefault="00E042A3"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lang w:val="en-US"/>
              </w:rPr>
              <w:t>62,16</w:t>
            </w:r>
          </w:p>
        </w:tc>
        <w:tc>
          <w:tcPr>
            <w:tcW w:w="298" w:type="pct"/>
            <w:noWrap/>
            <w:hideMark/>
          </w:tcPr>
          <w:p w:rsidR="00E042A3" w:rsidRPr="00A321E2" w:rsidRDefault="00E042A3"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lang w:val="en-US"/>
              </w:rPr>
              <w:t>67,62</w:t>
            </w:r>
          </w:p>
        </w:tc>
        <w:tc>
          <w:tcPr>
            <w:tcW w:w="299" w:type="pct"/>
            <w:noWrap/>
            <w:hideMark/>
          </w:tcPr>
          <w:p w:rsidR="00E042A3" w:rsidRPr="00A321E2" w:rsidRDefault="00E042A3"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lang w:val="en-US"/>
              </w:rPr>
              <w:t>66,63</w:t>
            </w:r>
          </w:p>
        </w:tc>
        <w:tc>
          <w:tcPr>
            <w:tcW w:w="298" w:type="pct"/>
            <w:noWrap/>
            <w:hideMark/>
          </w:tcPr>
          <w:p w:rsidR="00E042A3" w:rsidRPr="00A321E2" w:rsidRDefault="00E042A3"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62,01</w:t>
            </w:r>
          </w:p>
        </w:tc>
        <w:tc>
          <w:tcPr>
            <w:tcW w:w="299" w:type="pct"/>
            <w:noWrap/>
            <w:hideMark/>
          </w:tcPr>
          <w:p w:rsidR="00E042A3" w:rsidRPr="00A321E2" w:rsidRDefault="00E042A3"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lang w:val="en-US"/>
              </w:rPr>
              <w:t>61,3</w:t>
            </w:r>
          </w:p>
        </w:tc>
      </w:tr>
      <w:tr w:rsidR="00754F44" w:rsidRPr="007F1C17" w:rsidTr="002D23F3">
        <w:trPr>
          <w:cnfStyle w:val="000000100000" w:firstRow="0" w:lastRow="0" w:firstColumn="0" w:lastColumn="0" w:oddVBand="0" w:evenVBand="0" w:oddHBand="1" w:evenHBand="0" w:firstRowFirstColumn="0" w:firstRowLastColumn="0" w:lastRowFirstColumn="0" w:lastRowLastColumn="0"/>
          <w:trHeight w:val="250"/>
        </w:trPr>
        <w:tc>
          <w:tcPr>
            <w:cnfStyle w:val="001000000000" w:firstRow="0" w:lastRow="0" w:firstColumn="1" w:lastColumn="0" w:oddVBand="0" w:evenVBand="0" w:oddHBand="0" w:evenHBand="0" w:firstRowFirstColumn="0" w:firstRowLastColumn="0" w:lastRowFirstColumn="0" w:lastRowLastColumn="0"/>
            <w:tcW w:w="821" w:type="pct"/>
            <w:noWrap/>
            <w:hideMark/>
          </w:tcPr>
          <w:p w:rsidR="00754F44" w:rsidRPr="00A17EE9" w:rsidRDefault="00754F44" w:rsidP="000B7534">
            <w:pPr>
              <w:spacing w:after="0" w:line="240" w:lineRule="auto"/>
              <w:rPr>
                <w:rFonts w:ascii="Arial Narrow" w:hAnsi="Arial Narrow"/>
                <w:b w:val="0"/>
                <w:sz w:val="16"/>
                <w:szCs w:val="16"/>
              </w:rPr>
            </w:pPr>
            <w:r w:rsidRPr="00A17EE9">
              <w:rPr>
                <w:rFonts w:ascii="Arial Narrow" w:hAnsi="Arial Narrow"/>
                <w:b w:val="0"/>
                <w:sz w:val="16"/>
                <w:szCs w:val="16"/>
              </w:rPr>
              <w:t>Javni skladi</w:t>
            </w:r>
          </w:p>
        </w:tc>
        <w:tc>
          <w:tcPr>
            <w:tcW w:w="298" w:type="pct"/>
            <w:noWrap/>
          </w:tcPr>
          <w:p w:rsidR="00754F44" w:rsidRPr="00A17EE9" w:rsidRDefault="00A17EE9"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17EE9">
              <w:rPr>
                <w:rFonts w:ascii="Arial Narrow" w:hAnsi="Arial Narrow"/>
                <w:sz w:val="16"/>
                <w:szCs w:val="16"/>
              </w:rPr>
              <w:t>2,70</w:t>
            </w:r>
          </w:p>
        </w:tc>
        <w:tc>
          <w:tcPr>
            <w:tcW w:w="299" w:type="pct"/>
            <w:noWrap/>
          </w:tcPr>
          <w:p w:rsidR="00754F44" w:rsidRPr="00A17EE9" w:rsidRDefault="00754F44" w:rsidP="00754F4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17EE9">
              <w:rPr>
                <w:rFonts w:ascii="Arial Narrow" w:hAnsi="Arial Narrow"/>
                <w:sz w:val="16"/>
                <w:szCs w:val="16"/>
              </w:rPr>
              <w:t>4,98</w:t>
            </w:r>
          </w:p>
        </w:tc>
        <w:tc>
          <w:tcPr>
            <w:tcW w:w="298" w:type="pct"/>
            <w:noWrap/>
          </w:tcPr>
          <w:p w:rsidR="00754F44" w:rsidRPr="00A17EE9" w:rsidRDefault="00754F44"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17EE9">
              <w:rPr>
                <w:rFonts w:ascii="Arial Narrow" w:hAnsi="Arial Narrow"/>
                <w:sz w:val="16"/>
                <w:szCs w:val="16"/>
              </w:rPr>
              <w:t>4,98</w:t>
            </w:r>
          </w:p>
        </w:tc>
        <w:tc>
          <w:tcPr>
            <w:tcW w:w="299" w:type="pct"/>
            <w:noWrap/>
          </w:tcPr>
          <w:p w:rsidR="00754F44" w:rsidRPr="00A17EE9" w:rsidRDefault="00A17EE9"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17EE9">
              <w:rPr>
                <w:rFonts w:ascii="Arial Narrow" w:hAnsi="Arial Narrow"/>
                <w:sz w:val="16"/>
                <w:szCs w:val="16"/>
              </w:rPr>
              <w:t>5,10</w:t>
            </w:r>
          </w:p>
        </w:tc>
        <w:tc>
          <w:tcPr>
            <w:tcW w:w="298" w:type="pct"/>
            <w:noWrap/>
          </w:tcPr>
          <w:p w:rsidR="00754F44" w:rsidRPr="00A17EE9" w:rsidRDefault="00A17EE9"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17EE9">
              <w:rPr>
                <w:rFonts w:ascii="Arial Narrow" w:hAnsi="Arial Narrow"/>
                <w:sz w:val="16"/>
                <w:szCs w:val="16"/>
              </w:rPr>
              <w:t>5,34</w:t>
            </w:r>
          </w:p>
        </w:tc>
        <w:tc>
          <w:tcPr>
            <w:tcW w:w="299" w:type="pct"/>
            <w:noWrap/>
          </w:tcPr>
          <w:p w:rsidR="00754F44" w:rsidRPr="00754F44" w:rsidRDefault="00A17EE9"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Pr>
                <w:rFonts w:ascii="Arial Narrow" w:hAnsi="Arial Narrow"/>
                <w:sz w:val="16"/>
                <w:szCs w:val="16"/>
              </w:rPr>
              <w:t>5,13</w:t>
            </w:r>
          </w:p>
        </w:tc>
        <w:tc>
          <w:tcPr>
            <w:tcW w:w="298" w:type="pct"/>
            <w:noWrap/>
          </w:tcPr>
          <w:p w:rsidR="00754F44" w:rsidRPr="00754F44" w:rsidRDefault="00754F44"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754F44">
              <w:rPr>
                <w:rFonts w:ascii="Arial Narrow" w:hAnsi="Arial Narrow"/>
                <w:sz w:val="16"/>
                <w:szCs w:val="16"/>
              </w:rPr>
              <w:t>4,91</w:t>
            </w:r>
          </w:p>
        </w:tc>
        <w:tc>
          <w:tcPr>
            <w:tcW w:w="299" w:type="pct"/>
            <w:noWrap/>
          </w:tcPr>
          <w:p w:rsidR="00754F44" w:rsidRPr="00754F44" w:rsidRDefault="00754F44"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754F44">
              <w:rPr>
                <w:rFonts w:ascii="Arial Narrow" w:hAnsi="Arial Narrow"/>
                <w:sz w:val="16"/>
                <w:szCs w:val="16"/>
              </w:rPr>
              <w:t>4,66</w:t>
            </w:r>
          </w:p>
        </w:tc>
        <w:tc>
          <w:tcPr>
            <w:tcW w:w="298" w:type="pct"/>
            <w:noWrap/>
          </w:tcPr>
          <w:p w:rsidR="00754F44" w:rsidRPr="00754F44" w:rsidRDefault="00754F44"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754F44">
              <w:rPr>
                <w:rFonts w:ascii="Arial Narrow" w:hAnsi="Arial Narrow"/>
                <w:sz w:val="16"/>
                <w:szCs w:val="16"/>
              </w:rPr>
              <w:t>5,10</w:t>
            </w:r>
          </w:p>
        </w:tc>
        <w:tc>
          <w:tcPr>
            <w:tcW w:w="299" w:type="pct"/>
            <w:noWrap/>
          </w:tcPr>
          <w:p w:rsidR="00754F44" w:rsidRPr="002D23F3" w:rsidRDefault="00754F44"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Pr>
                <w:rFonts w:ascii="Arial Narrow" w:hAnsi="Arial Narrow"/>
                <w:sz w:val="16"/>
                <w:szCs w:val="16"/>
              </w:rPr>
              <w:t>3,00</w:t>
            </w:r>
          </w:p>
        </w:tc>
        <w:tc>
          <w:tcPr>
            <w:tcW w:w="298" w:type="pct"/>
            <w:noWrap/>
          </w:tcPr>
          <w:p w:rsidR="00754F44" w:rsidRPr="002D23F3" w:rsidRDefault="00754F44"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Pr>
                <w:rFonts w:ascii="Arial Narrow" w:hAnsi="Arial Narrow"/>
                <w:sz w:val="16"/>
                <w:szCs w:val="16"/>
              </w:rPr>
              <w:t>2,59</w:t>
            </w:r>
          </w:p>
        </w:tc>
        <w:tc>
          <w:tcPr>
            <w:tcW w:w="299" w:type="pct"/>
            <w:noWrap/>
          </w:tcPr>
          <w:p w:rsidR="00754F44" w:rsidRPr="002D23F3" w:rsidRDefault="00754F44"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Pr>
                <w:rFonts w:ascii="Arial Narrow" w:hAnsi="Arial Narrow"/>
                <w:sz w:val="16"/>
                <w:szCs w:val="16"/>
              </w:rPr>
              <w:t>2,16</w:t>
            </w:r>
          </w:p>
        </w:tc>
        <w:tc>
          <w:tcPr>
            <w:tcW w:w="298" w:type="pct"/>
            <w:noWrap/>
          </w:tcPr>
          <w:p w:rsidR="00754F44" w:rsidRPr="002D23F3" w:rsidRDefault="00754F44"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Pr>
                <w:rFonts w:ascii="Arial Narrow" w:hAnsi="Arial Narrow"/>
                <w:sz w:val="16"/>
                <w:szCs w:val="16"/>
              </w:rPr>
              <w:t>2,10</w:t>
            </w:r>
          </w:p>
        </w:tc>
        <w:tc>
          <w:tcPr>
            <w:tcW w:w="299" w:type="pct"/>
            <w:noWrap/>
          </w:tcPr>
          <w:p w:rsidR="00754F44" w:rsidRPr="002D23F3" w:rsidRDefault="00754F44"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Pr>
                <w:rFonts w:ascii="Arial Narrow" w:hAnsi="Arial Narrow"/>
                <w:sz w:val="16"/>
                <w:szCs w:val="16"/>
              </w:rPr>
              <w:t>2,14</w:t>
            </w:r>
          </w:p>
        </w:tc>
      </w:tr>
      <w:tr w:rsidR="00754F44" w:rsidRPr="007F1C17" w:rsidTr="002D23F3">
        <w:trPr>
          <w:trHeight w:val="250"/>
        </w:trPr>
        <w:tc>
          <w:tcPr>
            <w:cnfStyle w:val="001000000000" w:firstRow="0" w:lastRow="0" w:firstColumn="1" w:lastColumn="0" w:oddVBand="0" w:evenVBand="0" w:oddHBand="0" w:evenHBand="0" w:firstRowFirstColumn="0" w:firstRowLastColumn="0" w:lastRowFirstColumn="0" w:lastRowLastColumn="0"/>
            <w:tcW w:w="821" w:type="pct"/>
            <w:noWrap/>
            <w:hideMark/>
          </w:tcPr>
          <w:p w:rsidR="00754F44" w:rsidRPr="00754F44" w:rsidRDefault="00754F44" w:rsidP="000B7534">
            <w:pPr>
              <w:spacing w:after="0" w:line="240" w:lineRule="auto"/>
              <w:rPr>
                <w:rFonts w:ascii="Arial Narrow" w:hAnsi="Arial Narrow"/>
                <w:b w:val="0"/>
                <w:sz w:val="16"/>
                <w:szCs w:val="16"/>
              </w:rPr>
            </w:pPr>
            <w:r w:rsidRPr="00754F44">
              <w:rPr>
                <w:rFonts w:ascii="Arial Narrow" w:hAnsi="Arial Narrow"/>
                <w:b w:val="0"/>
                <w:sz w:val="16"/>
                <w:szCs w:val="16"/>
              </w:rPr>
              <w:t>Javne agencije</w:t>
            </w:r>
          </w:p>
        </w:tc>
        <w:tc>
          <w:tcPr>
            <w:tcW w:w="298" w:type="pct"/>
            <w:noWrap/>
            <w:hideMark/>
          </w:tcPr>
          <w:p w:rsidR="00754F44" w:rsidRPr="00754F44" w:rsidRDefault="00754F44"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754F44">
              <w:rPr>
                <w:rFonts w:ascii="Arial Narrow" w:hAnsi="Arial Narrow"/>
                <w:sz w:val="16"/>
                <w:szCs w:val="16"/>
              </w:rPr>
              <w:t>–</w:t>
            </w:r>
          </w:p>
        </w:tc>
        <w:tc>
          <w:tcPr>
            <w:tcW w:w="299" w:type="pct"/>
            <w:noWrap/>
            <w:hideMark/>
          </w:tcPr>
          <w:p w:rsidR="00754F44" w:rsidRPr="00754F44" w:rsidRDefault="00754F44"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754F44">
              <w:rPr>
                <w:rFonts w:ascii="Arial Narrow" w:hAnsi="Arial Narrow"/>
                <w:sz w:val="16"/>
                <w:szCs w:val="16"/>
              </w:rPr>
              <w:t>–</w:t>
            </w:r>
          </w:p>
        </w:tc>
        <w:tc>
          <w:tcPr>
            <w:tcW w:w="298" w:type="pct"/>
            <w:noWrap/>
            <w:hideMark/>
          </w:tcPr>
          <w:p w:rsidR="00754F44" w:rsidRPr="00754F44" w:rsidRDefault="00754F44"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754F44">
              <w:rPr>
                <w:rFonts w:ascii="Arial Narrow" w:hAnsi="Arial Narrow"/>
                <w:sz w:val="16"/>
                <w:szCs w:val="16"/>
              </w:rPr>
              <w:t>–</w:t>
            </w:r>
          </w:p>
        </w:tc>
        <w:tc>
          <w:tcPr>
            <w:tcW w:w="299" w:type="pct"/>
            <w:noWrap/>
            <w:hideMark/>
          </w:tcPr>
          <w:p w:rsidR="00754F44" w:rsidRPr="00754F44" w:rsidRDefault="00754F44"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754F44">
              <w:rPr>
                <w:rFonts w:ascii="Arial Narrow" w:hAnsi="Arial Narrow"/>
                <w:sz w:val="16"/>
                <w:szCs w:val="16"/>
              </w:rPr>
              <w:t>–</w:t>
            </w:r>
          </w:p>
        </w:tc>
        <w:tc>
          <w:tcPr>
            <w:tcW w:w="298" w:type="pct"/>
            <w:noWrap/>
            <w:hideMark/>
          </w:tcPr>
          <w:p w:rsidR="00754F44" w:rsidRPr="00754F44" w:rsidRDefault="00754F44"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754F44">
              <w:rPr>
                <w:rFonts w:ascii="Arial Narrow" w:hAnsi="Arial Narrow"/>
                <w:sz w:val="16"/>
                <w:szCs w:val="16"/>
              </w:rPr>
              <w:t>–</w:t>
            </w:r>
          </w:p>
        </w:tc>
        <w:tc>
          <w:tcPr>
            <w:tcW w:w="299" w:type="pct"/>
            <w:noWrap/>
            <w:hideMark/>
          </w:tcPr>
          <w:p w:rsidR="00754F44" w:rsidRPr="00754F44" w:rsidRDefault="00754F44"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754F44">
              <w:rPr>
                <w:rFonts w:ascii="Arial Narrow" w:hAnsi="Arial Narrow"/>
                <w:sz w:val="16"/>
                <w:szCs w:val="16"/>
              </w:rPr>
              <w:t>–</w:t>
            </w:r>
          </w:p>
        </w:tc>
        <w:tc>
          <w:tcPr>
            <w:tcW w:w="298" w:type="pct"/>
            <w:noWrap/>
            <w:hideMark/>
          </w:tcPr>
          <w:p w:rsidR="00754F44" w:rsidRPr="00754F44" w:rsidRDefault="00754F44"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754F44">
              <w:rPr>
                <w:rFonts w:ascii="Arial Narrow" w:hAnsi="Arial Narrow"/>
                <w:sz w:val="16"/>
                <w:szCs w:val="16"/>
              </w:rPr>
              <w:t>–</w:t>
            </w:r>
          </w:p>
        </w:tc>
        <w:tc>
          <w:tcPr>
            <w:tcW w:w="299" w:type="pct"/>
            <w:noWrap/>
          </w:tcPr>
          <w:p w:rsidR="00754F44" w:rsidRPr="00754F44" w:rsidRDefault="00754F44"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754F44">
              <w:rPr>
                <w:rFonts w:ascii="Arial Narrow" w:hAnsi="Arial Narrow"/>
                <w:sz w:val="16"/>
                <w:szCs w:val="16"/>
              </w:rPr>
              <w:t>3,04</w:t>
            </w:r>
          </w:p>
        </w:tc>
        <w:tc>
          <w:tcPr>
            <w:tcW w:w="298" w:type="pct"/>
            <w:noWrap/>
          </w:tcPr>
          <w:p w:rsidR="00754F44" w:rsidRPr="00754F44" w:rsidRDefault="00754F44"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754F44">
              <w:rPr>
                <w:rFonts w:ascii="Arial Narrow" w:hAnsi="Arial Narrow"/>
                <w:sz w:val="16"/>
                <w:szCs w:val="16"/>
              </w:rPr>
              <w:t>3,48</w:t>
            </w:r>
          </w:p>
        </w:tc>
        <w:tc>
          <w:tcPr>
            <w:tcW w:w="299" w:type="pct"/>
            <w:noWrap/>
          </w:tcPr>
          <w:p w:rsidR="00754F44" w:rsidRPr="002D23F3" w:rsidRDefault="00754F44"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2D23F3">
              <w:rPr>
                <w:rFonts w:ascii="Arial Narrow" w:hAnsi="Arial Narrow"/>
                <w:sz w:val="16"/>
                <w:szCs w:val="16"/>
              </w:rPr>
              <w:t>5,86</w:t>
            </w:r>
          </w:p>
        </w:tc>
        <w:tc>
          <w:tcPr>
            <w:tcW w:w="298" w:type="pct"/>
            <w:noWrap/>
          </w:tcPr>
          <w:p w:rsidR="00754F44" w:rsidRPr="002D23F3" w:rsidRDefault="00754F44"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2D23F3">
              <w:rPr>
                <w:rFonts w:ascii="Arial Narrow" w:hAnsi="Arial Narrow"/>
                <w:sz w:val="16"/>
                <w:szCs w:val="16"/>
              </w:rPr>
              <w:t>4,85</w:t>
            </w:r>
          </w:p>
        </w:tc>
        <w:tc>
          <w:tcPr>
            <w:tcW w:w="299" w:type="pct"/>
            <w:noWrap/>
          </w:tcPr>
          <w:p w:rsidR="00754F44" w:rsidRPr="002D23F3" w:rsidRDefault="00754F44"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2D23F3">
              <w:rPr>
                <w:rFonts w:ascii="Arial Narrow" w:hAnsi="Arial Narrow"/>
                <w:sz w:val="16"/>
                <w:szCs w:val="16"/>
              </w:rPr>
              <w:t>0,58</w:t>
            </w:r>
          </w:p>
        </w:tc>
        <w:tc>
          <w:tcPr>
            <w:tcW w:w="298" w:type="pct"/>
            <w:noWrap/>
          </w:tcPr>
          <w:p w:rsidR="00754F44" w:rsidRPr="002D23F3" w:rsidRDefault="00754F44"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2D23F3">
              <w:rPr>
                <w:rFonts w:ascii="Arial Narrow" w:hAnsi="Arial Narrow"/>
                <w:sz w:val="16"/>
                <w:szCs w:val="16"/>
              </w:rPr>
              <w:t>0,73</w:t>
            </w:r>
          </w:p>
        </w:tc>
        <w:tc>
          <w:tcPr>
            <w:tcW w:w="299" w:type="pct"/>
            <w:noWrap/>
          </w:tcPr>
          <w:p w:rsidR="00754F44" w:rsidRPr="002D23F3" w:rsidRDefault="00754F44"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2D23F3">
              <w:rPr>
                <w:rFonts w:ascii="Arial Narrow" w:hAnsi="Arial Narrow"/>
                <w:sz w:val="16"/>
                <w:szCs w:val="16"/>
              </w:rPr>
              <w:t>0,77</w:t>
            </w:r>
          </w:p>
        </w:tc>
      </w:tr>
      <w:tr w:rsidR="00754F44" w:rsidRPr="007F1C17" w:rsidTr="00E042A3">
        <w:trPr>
          <w:cnfStyle w:val="000000100000" w:firstRow="0" w:lastRow="0" w:firstColumn="0" w:lastColumn="0" w:oddVBand="0" w:evenVBand="0" w:oddHBand="1" w:evenHBand="0" w:firstRowFirstColumn="0" w:firstRowLastColumn="0" w:lastRowFirstColumn="0" w:lastRowLastColumn="0"/>
          <w:trHeight w:val="250"/>
        </w:trPr>
        <w:tc>
          <w:tcPr>
            <w:cnfStyle w:val="001000000000" w:firstRow="0" w:lastRow="0" w:firstColumn="1" w:lastColumn="0" w:oddVBand="0" w:evenVBand="0" w:oddHBand="0" w:evenHBand="0" w:firstRowFirstColumn="0" w:firstRowLastColumn="0" w:lastRowFirstColumn="0" w:lastRowLastColumn="0"/>
            <w:tcW w:w="821" w:type="pct"/>
            <w:noWrap/>
            <w:hideMark/>
          </w:tcPr>
          <w:p w:rsidR="00754F44" w:rsidRPr="00A321E2" w:rsidRDefault="00754F44" w:rsidP="000B7534">
            <w:pPr>
              <w:spacing w:after="0" w:line="240" w:lineRule="auto"/>
              <w:rPr>
                <w:rFonts w:ascii="Arial Narrow" w:hAnsi="Arial Narrow"/>
                <w:b w:val="0"/>
                <w:sz w:val="16"/>
                <w:szCs w:val="16"/>
              </w:rPr>
            </w:pPr>
            <w:r w:rsidRPr="00A321E2">
              <w:rPr>
                <w:rFonts w:ascii="Arial Narrow" w:hAnsi="Arial Narrow"/>
                <w:b w:val="0"/>
                <w:sz w:val="16"/>
                <w:szCs w:val="16"/>
              </w:rPr>
              <w:t>Neprofitne organizacije</w:t>
            </w:r>
            <w:r w:rsidRPr="00A321E2">
              <w:rPr>
                <w:rFonts w:ascii="Arial Narrow" w:hAnsi="Arial Narrow"/>
                <w:b w:val="0"/>
                <w:sz w:val="16"/>
                <w:szCs w:val="16"/>
                <w:vertAlign w:val="superscript"/>
              </w:rPr>
              <w:t>4</w:t>
            </w:r>
          </w:p>
        </w:tc>
        <w:tc>
          <w:tcPr>
            <w:tcW w:w="298" w:type="pct"/>
            <w:noWrap/>
            <w:hideMark/>
          </w:tcPr>
          <w:p w:rsidR="00754F44" w:rsidRPr="00A321E2" w:rsidRDefault="00754F44"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4,41</w:t>
            </w:r>
          </w:p>
        </w:tc>
        <w:tc>
          <w:tcPr>
            <w:tcW w:w="299" w:type="pct"/>
            <w:noWrap/>
            <w:hideMark/>
          </w:tcPr>
          <w:p w:rsidR="00754F44" w:rsidRPr="00A321E2" w:rsidRDefault="00754F44"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4,8</w:t>
            </w:r>
          </w:p>
        </w:tc>
        <w:tc>
          <w:tcPr>
            <w:tcW w:w="298" w:type="pct"/>
            <w:noWrap/>
            <w:hideMark/>
          </w:tcPr>
          <w:p w:rsidR="00754F44" w:rsidRPr="00A321E2" w:rsidRDefault="00754F44"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5,48</w:t>
            </w:r>
          </w:p>
        </w:tc>
        <w:tc>
          <w:tcPr>
            <w:tcW w:w="299" w:type="pct"/>
            <w:noWrap/>
            <w:hideMark/>
          </w:tcPr>
          <w:p w:rsidR="00754F44" w:rsidRPr="00A321E2" w:rsidRDefault="00754F44"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5,45</w:t>
            </w:r>
          </w:p>
        </w:tc>
        <w:tc>
          <w:tcPr>
            <w:tcW w:w="298" w:type="pct"/>
            <w:noWrap/>
            <w:hideMark/>
          </w:tcPr>
          <w:p w:rsidR="00754F44" w:rsidRPr="00A321E2" w:rsidRDefault="00754F44"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6,77</w:t>
            </w:r>
          </w:p>
        </w:tc>
        <w:tc>
          <w:tcPr>
            <w:tcW w:w="299" w:type="pct"/>
            <w:noWrap/>
            <w:hideMark/>
          </w:tcPr>
          <w:p w:rsidR="00754F44" w:rsidRPr="00A321E2" w:rsidRDefault="00754F44"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6,71</w:t>
            </w:r>
          </w:p>
        </w:tc>
        <w:tc>
          <w:tcPr>
            <w:tcW w:w="298" w:type="pct"/>
            <w:noWrap/>
            <w:hideMark/>
          </w:tcPr>
          <w:p w:rsidR="00754F44" w:rsidRPr="00A321E2" w:rsidRDefault="00754F44"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5,94</w:t>
            </w:r>
          </w:p>
        </w:tc>
        <w:tc>
          <w:tcPr>
            <w:tcW w:w="299" w:type="pct"/>
            <w:noWrap/>
            <w:hideMark/>
          </w:tcPr>
          <w:p w:rsidR="00754F44" w:rsidRPr="00A321E2" w:rsidRDefault="00754F44"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4,64</w:t>
            </w:r>
          </w:p>
        </w:tc>
        <w:tc>
          <w:tcPr>
            <w:tcW w:w="298" w:type="pct"/>
            <w:noWrap/>
            <w:hideMark/>
          </w:tcPr>
          <w:p w:rsidR="00754F44" w:rsidRPr="00A321E2" w:rsidRDefault="00754F44"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321E2">
              <w:rPr>
                <w:rFonts w:ascii="Arial Narrow" w:hAnsi="Arial Narrow"/>
                <w:sz w:val="16"/>
                <w:szCs w:val="16"/>
                <w:lang w:val="en-US"/>
              </w:rPr>
              <w:t>5,62</w:t>
            </w:r>
          </w:p>
        </w:tc>
        <w:tc>
          <w:tcPr>
            <w:tcW w:w="299" w:type="pct"/>
            <w:noWrap/>
            <w:hideMark/>
          </w:tcPr>
          <w:p w:rsidR="00754F44" w:rsidRPr="00A321E2" w:rsidRDefault="00754F44"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321E2">
              <w:rPr>
                <w:rFonts w:ascii="Arial Narrow" w:hAnsi="Arial Narrow"/>
                <w:sz w:val="16"/>
                <w:szCs w:val="16"/>
                <w:lang w:val="en-US"/>
              </w:rPr>
              <w:t>5,23</w:t>
            </w:r>
          </w:p>
        </w:tc>
        <w:tc>
          <w:tcPr>
            <w:tcW w:w="298" w:type="pct"/>
            <w:noWrap/>
            <w:hideMark/>
          </w:tcPr>
          <w:p w:rsidR="00754F44" w:rsidRPr="00A321E2" w:rsidRDefault="00754F44"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321E2">
              <w:rPr>
                <w:rFonts w:ascii="Arial Narrow" w:hAnsi="Arial Narrow"/>
                <w:sz w:val="16"/>
                <w:szCs w:val="16"/>
                <w:lang w:val="en-US"/>
              </w:rPr>
              <w:t>5,63</w:t>
            </w:r>
          </w:p>
        </w:tc>
        <w:tc>
          <w:tcPr>
            <w:tcW w:w="299" w:type="pct"/>
            <w:noWrap/>
            <w:hideMark/>
          </w:tcPr>
          <w:p w:rsidR="00754F44" w:rsidRPr="00A321E2" w:rsidRDefault="00754F44"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321E2">
              <w:rPr>
                <w:rFonts w:ascii="Arial Narrow" w:hAnsi="Arial Narrow"/>
                <w:sz w:val="16"/>
                <w:szCs w:val="16"/>
                <w:lang w:val="en-US"/>
              </w:rPr>
              <w:t>9,93</w:t>
            </w:r>
          </w:p>
        </w:tc>
        <w:tc>
          <w:tcPr>
            <w:tcW w:w="298" w:type="pct"/>
            <w:noWrap/>
            <w:hideMark/>
          </w:tcPr>
          <w:p w:rsidR="00754F44" w:rsidRPr="00A321E2" w:rsidRDefault="00754F44"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9,94</w:t>
            </w:r>
          </w:p>
        </w:tc>
        <w:tc>
          <w:tcPr>
            <w:tcW w:w="299" w:type="pct"/>
            <w:noWrap/>
            <w:hideMark/>
          </w:tcPr>
          <w:p w:rsidR="00754F44" w:rsidRPr="00A321E2" w:rsidRDefault="00754F44"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321E2">
              <w:rPr>
                <w:rFonts w:ascii="Arial Narrow" w:hAnsi="Arial Narrow"/>
                <w:sz w:val="16"/>
                <w:szCs w:val="16"/>
                <w:lang w:val="en-US"/>
              </w:rPr>
              <w:t>8,97</w:t>
            </w:r>
          </w:p>
        </w:tc>
      </w:tr>
      <w:tr w:rsidR="00754F44" w:rsidRPr="007F1C17" w:rsidTr="00E042A3">
        <w:trPr>
          <w:trHeight w:val="250"/>
        </w:trPr>
        <w:tc>
          <w:tcPr>
            <w:cnfStyle w:val="001000000000" w:firstRow="0" w:lastRow="0" w:firstColumn="1" w:lastColumn="0" w:oddVBand="0" w:evenVBand="0" w:oddHBand="0" w:evenHBand="0" w:firstRowFirstColumn="0" w:firstRowLastColumn="0" w:lastRowFirstColumn="0" w:lastRowLastColumn="0"/>
            <w:tcW w:w="821" w:type="pct"/>
            <w:noWrap/>
            <w:hideMark/>
          </w:tcPr>
          <w:p w:rsidR="00754F44" w:rsidRPr="00A321E2" w:rsidRDefault="00754F44" w:rsidP="000B7534">
            <w:pPr>
              <w:spacing w:after="0" w:line="240" w:lineRule="auto"/>
              <w:rPr>
                <w:rFonts w:ascii="Arial Narrow" w:hAnsi="Arial Narrow"/>
                <w:b w:val="0"/>
                <w:sz w:val="16"/>
                <w:szCs w:val="16"/>
              </w:rPr>
            </w:pPr>
            <w:r w:rsidRPr="00A321E2">
              <w:rPr>
                <w:rFonts w:ascii="Arial Narrow" w:hAnsi="Arial Narrow"/>
                <w:b w:val="0"/>
                <w:sz w:val="16"/>
                <w:szCs w:val="16"/>
              </w:rPr>
              <w:t>Profitne organizacije</w:t>
            </w:r>
          </w:p>
        </w:tc>
        <w:tc>
          <w:tcPr>
            <w:tcW w:w="298" w:type="pct"/>
            <w:noWrap/>
            <w:hideMark/>
          </w:tcPr>
          <w:p w:rsidR="00754F44" w:rsidRPr="00A321E2" w:rsidRDefault="00754F44"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2</w:t>
            </w:r>
          </w:p>
        </w:tc>
        <w:tc>
          <w:tcPr>
            <w:tcW w:w="299" w:type="pct"/>
            <w:noWrap/>
            <w:hideMark/>
          </w:tcPr>
          <w:p w:rsidR="00754F44" w:rsidRPr="00A321E2" w:rsidRDefault="00754F44"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1,7</w:t>
            </w:r>
          </w:p>
        </w:tc>
        <w:tc>
          <w:tcPr>
            <w:tcW w:w="298" w:type="pct"/>
            <w:noWrap/>
            <w:hideMark/>
          </w:tcPr>
          <w:p w:rsidR="00754F44" w:rsidRPr="00A321E2" w:rsidRDefault="00754F44"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2,8</w:t>
            </w:r>
          </w:p>
        </w:tc>
        <w:tc>
          <w:tcPr>
            <w:tcW w:w="299" w:type="pct"/>
            <w:noWrap/>
            <w:hideMark/>
          </w:tcPr>
          <w:p w:rsidR="00754F44" w:rsidRPr="00A321E2" w:rsidRDefault="00754F44"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4,44</w:t>
            </w:r>
          </w:p>
        </w:tc>
        <w:tc>
          <w:tcPr>
            <w:tcW w:w="298" w:type="pct"/>
            <w:noWrap/>
            <w:hideMark/>
          </w:tcPr>
          <w:p w:rsidR="00754F44" w:rsidRPr="00A321E2" w:rsidRDefault="00754F44"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4,45</w:t>
            </w:r>
          </w:p>
        </w:tc>
        <w:tc>
          <w:tcPr>
            <w:tcW w:w="299" w:type="pct"/>
            <w:noWrap/>
            <w:hideMark/>
          </w:tcPr>
          <w:p w:rsidR="00754F44" w:rsidRPr="00A321E2" w:rsidRDefault="00754F44"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4,21</w:t>
            </w:r>
          </w:p>
        </w:tc>
        <w:tc>
          <w:tcPr>
            <w:tcW w:w="298" w:type="pct"/>
            <w:noWrap/>
            <w:hideMark/>
          </w:tcPr>
          <w:p w:rsidR="00754F44" w:rsidRPr="00A321E2" w:rsidRDefault="00754F44"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4,32</w:t>
            </w:r>
          </w:p>
        </w:tc>
        <w:tc>
          <w:tcPr>
            <w:tcW w:w="299" w:type="pct"/>
            <w:noWrap/>
            <w:hideMark/>
          </w:tcPr>
          <w:p w:rsidR="00754F44" w:rsidRPr="00A321E2" w:rsidRDefault="00754F44"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2,75</w:t>
            </w:r>
          </w:p>
        </w:tc>
        <w:tc>
          <w:tcPr>
            <w:tcW w:w="298" w:type="pct"/>
            <w:noWrap/>
            <w:hideMark/>
          </w:tcPr>
          <w:p w:rsidR="00754F44" w:rsidRPr="00A321E2" w:rsidRDefault="00754F44"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lang w:val="en-US"/>
              </w:rPr>
              <w:t>2,51</w:t>
            </w:r>
          </w:p>
        </w:tc>
        <w:tc>
          <w:tcPr>
            <w:tcW w:w="299" w:type="pct"/>
            <w:noWrap/>
            <w:hideMark/>
          </w:tcPr>
          <w:p w:rsidR="00754F44" w:rsidRPr="00A321E2" w:rsidRDefault="00754F44"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lang w:val="en-US"/>
              </w:rPr>
              <w:t>2,19</w:t>
            </w:r>
          </w:p>
        </w:tc>
        <w:tc>
          <w:tcPr>
            <w:tcW w:w="298" w:type="pct"/>
            <w:noWrap/>
            <w:hideMark/>
          </w:tcPr>
          <w:p w:rsidR="00754F44" w:rsidRPr="00A321E2" w:rsidRDefault="00754F44"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lang w:val="en-US"/>
              </w:rPr>
              <w:t>1,32</w:t>
            </w:r>
          </w:p>
        </w:tc>
        <w:tc>
          <w:tcPr>
            <w:tcW w:w="299" w:type="pct"/>
            <w:noWrap/>
            <w:hideMark/>
          </w:tcPr>
          <w:p w:rsidR="00754F44" w:rsidRPr="00A321E2" w:rsidRDefault="00754F44"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lang w:val="en-US"/>
              </w:rPr>
              <w:t>4,46</w:t>
            </w:r>
          </w:p>
        </w:tc>
        <w:tc>
          <w:tcPr>
            <w:tcW w:w="298" w:type="pct"/>
            <w:noWrap/>
            <w:hideMark/>
          </w:tcPr>
          <w:p w:rsidR="00754F44" w:rsidRPr="00A321E2" w:rsidRDefault="00754F44"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2,9</w:t>
            </w:r>
          </w:p>
        </w:tc>
        <w:tc>
          <w:tcPr>
            <w:tcW w:w="299" w:type="pct"/>
            <w:noWrap/>
            <w:hideMark/>
          </w:tcPr>
          <w:p w:rsidR="00754F44" w:rsidRPr="00A321E2" w:rsidRDefault="00754F44"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lang w:val="en-US"/>
              </w:rPr>
              <w:t>3,62</w:t>
            </w:r>
          </w:p>
        </w:tc>
      </w:tr>
      <w:tr w:rsidR="00754F44" w:rsidRPr="007F1C17" w:rsidTr="00E042A3">
        <w:trPr>
          <w:cnfStyle w:val="000000100000" w:firstRow="0" w:lastRow="0" w:firstColumn="0" w:lastColumn="0" w:oddVBand="0" w:evenVBand="0" w:oddHBand="1" w:evenHBand="0" w:firstRowFirstColumn="0" w:firstRowLastColumn="0" w:lastRowFirstColumn="0" w:lastRowLastColumn="0"/>
          <w:trHeight w:val="250"/>
        </w:trPr>
        <w:tc>
          <w:tcPr>
            <w:cnfStyle w:val="001000000000" w:firstRow="0" w:lastRow="0" w:firstColumn="1" w:lastColumn="0" w:oddVBand="0" w:evenVBand="0" w:oddHBand="0" w:evenHBand="0" w:firstRowFirstColumn="0" w:firstRowLastColumn="0" w:lastRowFirstColumn="0" w:lastRowLastColumn="0"/>
            <w:tcW w:w="821" w:type="pct"/>
            <w:noWrap/>
            <w:hideMark/>
          </w:tcPr>
          <w:p w:rsidR="00754F44" w:rsidRPr="00A321E2" w:rsidRDefault="00754F44" w:rsidP="000B7534">
            <w:pPr>
              <w:spacing w:after="0" w:line="240" w:lineRule="auto"/>
              <w:rPr>
                <w:rFonts w:ascii="Arial Narrow" w:hAnsi="Arial Narrow"/>
                <w:b w:val="0"/>
                <w:sz w:val="16"/>
                <w:szCs w:val="16"/>
              </w:rPr>
            </w:pPr>
            <w:r w:rsidRPr="00A321E2">
              <w:rPr>
                <w:rFonts w:ascii="Arial Narrow" w:hAnsi="Arial Narrow"/>
                <w:b w:val="0"/>
                <w:sz w:val="16"/>
                <w:szCs w:val="16"/>
              </w:rPr>
              <w:t>Fizične osebe</w:t>
            </w:r>
            <w:r w:rsidRPr="00A321E2">
              <w:rPr>
                <w:rFonts w:ascii="Arial Narrow" w:hAnsi="Arial Narrow"/>
                <w:b w:val="0"/>
                <w:sz w:val="16"/>
                <w:szCs w:val="16"/>
                <w:vertAlign w:val="superscript"/>
              </w:rPr>
              <w:t>6</w:t>
            </w:r>
          </w:p>
        </w:tc>
        <w:tc>
          <w:tcPr>
            <w:tcW w:w="298" w:type="pct"/>
            <w:noWrap/>
            <w:hideMark/>
          </w:tcPr>
          <w:p w:rsidR="00754F44" w:rsidRPr="00A321E2" w:rsidRDefault="00754F44"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3,5</w:t>
            </w:r>
          </w:p>
        </w:tc>
        <w:tc>
          <w:tcPr>
            <w:tcW w:w="299" w:type="pct"/>
            <w:noWrap/>
            <w:hideMark/>
          </w:tcPr>
          <w:p w:rsidR="00754F44" w:rsidRPr="00A321E2" w:rsidRDefault="00754F44"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3,61</w:t>
            </w:r>
          </w:p>
        </w:tc>
        <w:tc>
          <w:tcPr>
            <w:tcW w:w="298" w:type="pct"/>
            <w:noWrap/>
            <w:hideMark/>
          </w:tcPr>
          <w:p w:rsidR="00754F44" w:rsidRPr="00A321E2" w:rsidRDefault="00754F44"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3,69</w:t>
            </w:r>
          </w:p>
        </w:tc>
        <w:tc>
          <w:tcPr>
            <w:tcW w:w="299" w:type="pct"/>
            <w:noWrap/>
            <w:hideMark/>
          </w:tcPr>
          <w:p w:rsidR="00754F44" w:rsidRPr="00A321E2" w:rsidRDefault="00754F44"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3,44</w:t>
            </w:r>
          </w:p>
        </w:tc>
        <w:tc>
          <w:tcPr>
            <w:tcW w:w="298" w:type="pct"/>
            <w:noWrap/>
            <w:hideMark/>
          </w:tcPr>
          <w:p w:rsidR="00754F44" w:rsidRPr="00A321E2" w:rsidRDefault="00754F44"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3,38</w:t>
            </w:r>
          </w:p>
        </w:tc>
        <w:tc>
          <w:tcPr>
            <w:tcW w:w="299" w:type="pct"/>
            <w:noWrap/>
            <w:hideMark/>
          </w:tcPr>
          <w:p w:rsidR="00754F44" w:rsidRPr="00A321E2" w:rsidRDefault="00754F44"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3,71</w:t>
            </w:r>
          </w:p>
        </w:tc>
        <w:tc>
          <w:tcPr>
            <w:tcW w:w="298" w:type="pct"/>
            <w:noWrap/>
            <w:hideMark/>
          </w:tcPr>
          <w:p w:rsidR="00754F44" w:rsidRPr="00A321E2" w:rsidRDefault="00754F44"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3,56</w:t>
            </w:r>
          </w:p>
        </w:tc>
        <w:tc>
          <w:tcPr>
            <w:tcW w:w="299" w:type="pct"/>
            <w:noWrap/>
            <w:hideMark/>
          </w:tcPr>
          <w:p w:rsidR="00754F44" w:rsidRPr="00A321E2" w:rsidRDefault="00754F44"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2,89</w:t>
            </w:r>
          </w:p>
        </w:tc>
        <w:tc>
          <w:tcPr>
            <w:tcW w:w="298" w:type="pct"/>
            <w:noWrap/>
            <w:hideMark/>
          </w:tcPr>
          <w:p w:rsidR="00754F44" w:rsidRPr="00A321E2" w:rsidRDefault="00754F44"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321E2">
              <w:rPr>
                <w:rFonts w:ascii="Arial Narrow" w:hAnsi="Arial Narrow"/>
                <w:sz w:val="16"/>
                <w:szCs w:val="16"/>
                <w:lang w:val="en-US"/>
              </w:rPr>
              <w:t>3,3</w:t>
            </w:r>
          </w:p>
        </w:tc>
        <w:tc>
          <w:tcPr>
            <w:tcW w:w="299" w:type="pct"/>
            <w:noWrap/>
            <w:hideMark/>
          </w:tcPr>
          <w:p w:rsidR="00754F44" w:rsidRPr="00A321E2" w:rsidRDefault="00754F44"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321E2">
              <w:rPr>
                <w:rFonts w:ascii="Arial Narrow" w:hAnsi="Arial Narrow"/>
                <w:sz w:val="16"/>
                <w:szCs w:val="16"/>
                <w:lang w:val="en-US"/>
              </w:rPr>
              <w:t>3,46</w:t>
            </w:r>
          </w:p>
        </w:tc>
        <w:tc>
          <w:tcPr>
            <w:tcW w:w="298" w:type="pct"/>
            <w:noWrap/>
            <w:hideMark/>
          </w:tcPr>
          <w:p w:rsidR="00754F44" w:rsidRPr="00A321E2" w:rsidRDefault="00754F44"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321E2">
              <w:rPr>
                <w:rFonts w:ascii="Arial Narrow" w:hAnsi="Arial Narrow"/>
                <w:sz w:val="16"/>
                <w:szCs w:val="16"/>
                <w:lang w:val="en-US"/>
              </w:rPr>
              <w:t>4,05</w:t>
            </w:r>
          </w:p>
        </w:tc>
        <w:tc>
          <w:tcPr>
            <w:tcW w:w="299" w:type="pct"/>
            <w:noWrap/>
            <w:hideMark/>
          </w:tcPr>
          <w:p w:rsidR="00754F44" w:rsidRPr="00A321E2" w:rsidRDefault="00754F44"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321E2">
              <w:rPr>
                <w:rFonts w:ascii="Arial Narrow" w:hAnsi="Arial Narrow"/>
                <w:sz w:val="16"/>
                <w:szCs w:val="16"/>
                <w:lang w:val="en-US"/>
              </w:rPr>
              <w:t>4,69</w:t>
            </w:r>
          </w:p>
        </w:tc>
        <w:tc>
          <w:tcPr>
            <w:tcW w:w="298" w:type="pct"/>
            <w:noWrap/>
            <w:hideMark/>
          </w:tcPr>
          <w:p w:rsidR="00754F44" w:rsidRPr="00A321E2" w:rsidRDefault="00754F44"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4,62</w:t>
            </w:r>
          </w:p>
        </w:tc>
        <w:tc>
          <w:tcPr>
            <w:tcW w:w="299" w:type="pct"/>
            <w:noWrap/>
            <w:hideMark/>
          </w:tcPr>
          <w:p w:rsidR="00754F44" w:rsidRPr="00A321E2" w:rsidRDefault="00754F44"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321E2">
              <w:rPr>
                <w:rFonts w:ascii="Arial Narrow" w:hAnsi="Arial Narrow"/>
                <w:sz w:val="16"/>
                <w:szCs w:val="16"/>
                <w:lang w:val="en-US"/>
              </w:rPr>
              <w:t>5,08</w:t>
            </w:r>
          </w:p>
        </w:tc>
      </w:tr>
      <w:tr w:rsidR="00754F44" w:rsidRPr="007F1C17" w:rsidTr="00E042A3">
        <w:trPr>
          <w:trHeight w:val="250"/>
        </w:trPr>
        <w:tc>
          <w:tcPr>
            <w:cnfStyle w:val="001000000000" w:firstRow="0" w:lastRow="0" w:firstColumn="1" w:lastColumn="0" w:oddVBand="0" w:evenVBand="0" w:oddHBand="0" w:evenHBand="0" w:firstRowFirstColumn="0" w:firstRowLastColumn="0" w:lastRowFirstColumn="0" w:lastRowLastColumn="0"/>
            <w:tcW w:w="821" w:type="pct"/>
            <w:noWrap/>
            <w:hideMark/>
          </w:tcPr>
          <w:p w:rsidR="00754F44" w:rsidRPr="00A321E2" w:rsidRDefault="00754F44" w:rsidP="000B7534">
            <w:pPr>
              <w:spacing w:after="0" w:line="240" w:lineRule="auto"/>
              <w:rPr>
                <w:rFonts w:ascii="Arial Narrow" w:hAnsi="Arial Narrow"/>
                <w:b w:val="0"/>
                <w:sz w:val="16"/>
                <w:szCs w:val="16"/>
              </w:rPr>
            </w:pPr>
            <w:r w:rsidRPr="00A321E2">
              <w:rPr>
                <w:rFonts w:ascii="Arial Narrow" w:hAnsi="Arial Narrow"/>
                <w:b w:val="0"/>
                <w:sz w:val="16"/>
                <w:szCs w:val="16"/>
              </w:rPr>
              <w:t>Investicijski odhodki in transferi</w:t>
            </w:r>
            <w:r w:rsidRPr="00A321E2">
              <w:rPr>
                <w:rFonts w:ascii="Arial Narrow" w:hAnsi="Arial Narrow"/>
                <w:b w:val="0"/>
                <w:sz w:val="16"/>
                <w:szCs w:val="16"/>
                <w:vertAlign w:val="superscript"/>
              </w:rPr>
              <w:t>7</w:t>
            </w:r>
          </w:p>
        </w:tc>
        <w:tc>
          <w:tcPr>
            <w:tcW w:w="298" w:type="pct"/>
            <w:noWrap/>
            <w:hideMark/>
          </w:tcPr>
          <w:p w:rsidR="00754F44" w:rsidRPr="00A321E2" w:rsidRDefault="00754F44"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12,57</w:t>
            </w:r>
          </w:p>
        </w:tc>
        <w:tc>
          <w:tcPr>
            <w:tcW w:w="299" w:type="pct"/>
            <w:noWrap/>
            <w:hideMark/>
          </w:tcPr>
          <w:p w:rsidR="00754F44" w:rsidRPr="00A321E2" w:rsidRDefault="00754F44"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12,88</w:t>
            </w:r>
          </w:p>
        </w:tc>
        <w:tc>
          <w:tcPr>
            <w:tcW w:w="298" w:type="pct"/>
            <w:noWrap/>
            <w:hideMark/>
          </w:tcPr>
          <w:p w:rsidR="00754F44" w:rsidRPr="00A321E2" w:rsidRDefault="00754F44"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13,06</w:t>
            </w:r>
          </w:p>
        </w:tc>
        <w:tc>
          <w:tcPr>
            <w:tcW w:w="299" w:type="pct"/>
            <w:noWrap/>
            <w:hideMark/>
          </w:tcPr>
          <w:p w:rsidR="00754F44" w:rsidRPr="00A321E2" w:rsidRDefault="00754F44"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11,9</w:t>
            </w:r>
          </w:p>
        </w:tc>
        <w:tc>
          <w:tcPr>
            <w:tcW w:w="298" w:type="pct"/>
            <w:noWrap/>
            <w:hideMark/>
          </w:tcPr>
          <w:p w:rsidR="00754F44" w:rsidRPr="00A321E2" w:rsidRDefault="00754F44"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11,32</w:t>
            </w:r>
          </w:p>
        </w:tc>
        <w:tc>
          <w:tcPr>
            <w:tcW w:w="299" w:type="pct"/>
            <w:noWrap/>
            <w:hideMark/>
          </w:tcPr>
          <w:p w:rsidR="00754F44" w:rsidRPr="00A321E2" w:rsidRDefault="00754F44"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11,21</w:t>
            </w:r>
          </w:p>
        </w:tc>
        <w:tc>
          <w:tcPr>
            <w:tcW w:w="298" w:type="pct"/>
            <w:noWrap/>
            <w:hideMark/>
          </w:tcPr>
          <w:p w:rsidR="00754F44" w:rsidRPr="00A321E2" w:rsidRDefault="00754F44"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12,48</w:t>
            </w:r>
          </w:p>
        </w:tc>
        <w:tc>
          <w:tcPr>
            <w:tcW w:w="299" w:type="pct"/>
            <w:noWrap/>
            <w:hideMark/>
          </w:tcPr>
          <w:p w:rsidR="00754F44" w:rsidRPr="00A321E2" w:rsidRDefault="00754F44"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17</w:t>
            </w:r>
          </w:p>
        </w:tc>
        <w:tc>
          <w:tcPr>
            <w:tcW w:w="298" w:type="pct"/>
            <w:noWrap/>
            <w:hideMark/>
          </w:tcPr>
          <w:p w:rsidR="00754F44" w:rsidRPr="00A321E2" w:rsidRDefault="00754F44"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lang w:val="en-US"/>
              </w:rPr>
              <w:t>13,94</w:t>
            </w:r>
          </w:p>
        </w:tc>
        <w:tc>
          <w:tcPr>
            <w:tcW w:w="299" w:type="pct"/>
            <w:noWrap/>
            <w:hideMark/>
          </w:tcPr>
          <w:p w:rsidR="00754F44" w:rsidRPr="00A321E2" w:rsidRDefault="00754F44"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lang w:val="en-US"/>
              </w:rPr>
              <w:t>11,43</w:t>
            </w:r>
          </w:p>
        </w:tc>
        <w:tc>
          <w:tcPr>
            <w:tcW w:w="298" w:type="pct"/>
            <w:noWrap/>
            <w:hideMark/>
          </w:tcPr>
          <w:p w:rsidR="00754F44" w:rsidRPr="00A321E2" w:rsidRDefault="00754F44"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lang w:val="en-US"/>
              </w:rPr>
              <w:t>7,49</w:t>
            </w:r>
          </w:p>
        </w:tc>
        <w:tc>
          <w:tcPr>
            <w:tcW w:w="299" w:type="pct"/>
            <w:noWrap/>
            <w:hideMark/>
          </w:tcPr>
          <w:p w:rsidR="00754F44" w:rsidRPr="00A321E2" w:rsidRDefault="00754F44"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lang w:val="en-US"/>
              </w:rPr>
              <w:t>5,1</w:t>
            </w:r>
          </w:p>
        </w:tc>
        <w:tc>
          <w:tcPr>
            <w:tcW w:w="298" w:type="pct"/>
            <w:noWrap/>
            <w:hideMark/>
          </w:tcPr>
          <w:p w:rsidR="00754F44" w:rsidRPr="00A321E2" w:rsidRDefault="00754F44"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11,42</w:t>
            </w:r>
          </w:p>
        </w:tc>
        <w:tc>
          <w:tcPr>
            <w:tcW w:w="299" w:type="pct"/>
            <w:noWrap/>
            <w:hideMark/>
          </w:tcPr>
          <w:p w:rsidR="00754F44" w:rsidRPr="00A321E2" w:rsidRDefault="00754F44"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lang w:val="en-US"/>
              </w:rPr>
              <w:t>11,89</w:t>
            </w:r>
          </w:p>
        </w:tc>
      </w:tr>
      <w:tr w:rsidR="00754F44" w:rsidRPr="007F1C17" w:rsidTr="00E042A3">
        <w:trPr>
          <w:cnfStyle w:val="000000100000" w:firstRow="0" w:lastRow="0" w:firstColumn="0" w:lastColumn="0" w:oddVBand="0" w:evenVBand="0" w:oddHBand="1" w:evenHBand="0" w:firstRowFirstColumn="0" w:firstRowLastColumn="0" w:lastRowFirstColumn="0" w:lastRowLastColumn="0"/>
          <w:trHeight w:val="250"/>
        </w:trPr>
        <w:tc>
          <w:tcPr>
            <w:cnfStyle w:val="001000000000" w:firstRow="0" w:lastRow="0" w:firstColumn="1" w:lastColumn="0" w:oddVBand="0" w:evenVBand="0" w:oddHBand="0" w:evenHBand="0" w:firstRowFirstColumn="0" w:firstRowLastColumn="0" w:lastRowFirstColumn="0" w:lastRowLastColumn="0"/>
            <w:tcW w:w="821" w:type="pct"/>
            <w:noWrap/>
            <w:hideMark/>
          </w:tcPr>
          <w:p w:rsidR="00754F44" w:rsidRPr="00A321E2" w:rsidRDefault="00754F44" w:rsidP="000B7534">
            <w:pPr>
              <w:spacing w:after="0" w:line="240" w:lineRule="auto"/>
              <w:rPr>
                <w:rFonts w:ascii="Arial Narrow" w:hAnsi="Arial Narrow"/>
                <w:b w:val="0"/>
                <w:sz w:val="16"/>
                <w:szCs w:val="16"/>
              </w:rPr>
            </w:pPr>
            <w:r w:rsidRPr="00A321E2">
              <w:rPr>
                <w:rFonts w:ascii="Arial Narrow" w:hAnsi="Arial Narrow"/>
                <w:b w:val="0"/>
                <w:sz w:val="16"/>
                <w:szCs w:val="16"/>
              </w:rPr>
              <w:t>Ostalo (delovanje MK in organov v sestavi)</w:t>
            </w:r>
          </w:p>
        </w:tc>
        <w:tc>
          <w:tcPr>
            <w:tcW w:w="298" w:type="pct"/>
            <w:noWrap/>
            <w:hideMark/>
          </w:tcPr>
          <w:p w:rsidR="00754F44" w:rsidRPr="00A321E2" w:rsidRDefault="00754F44"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5,57</w:t>
            </w:r>
          </w:p>
        </w:tc>
        <w:tc>
          <w:tcPr>
            <w:tcW w:w="299" w:type="pct"/>
            <w:noWrap/>
            <w:hideMark/>
          </w:tcPr>
          <w:p w:rsidR="00754F44" w:rsidRPr="00A321E2" w:rsidRDefault="00754F44"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6,07</w:t>
            </w:r>
          </w:p>
        </w:tc>
        <w:tc>
          <w:tcPr>
            <w:tcW w:w="298" w:type="pct"/>
            <w:noWrap/>
            <w:hideMark/>
          </w:tcPr>
          <w:p w:rsidR="00754F44" w:rsidRPr="00A321E2" w:rsidRDefault="00754F44"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6,14</w:t>
            </w:r>
          </w:p>
        </w:tc>
        <w:tc>
          <w:tcPr>
            <w:tcW w:w="299" w:type="pct"/>
            <w:noWrap/>
            <w:hideMark/>
          </w:tcPr>
          <w:p w:rsidR="00754F44" w:rsidRPr="00A321E2" w:rsidRDefault="00754F44"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6,62</w:t>
            </w:r>
          </w:p>
        </w:tc>
        <w:tc>
          <w:tcPr>
            <w:tcW w:w="298" w:type="pct"/>
            <w:noWrap/>
            <w:hideMark/>
          </w:tcPr>
          <w:p w:rsidR="00754F44" w:rsidRPr="00A321E2" w:rsidRDefault="00754F44"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6,7</w:t>
            </w:r>
          </w:p>
        </w:tc>
        <w:tc>
          <w:tcPr>
            <w:tcW w:w="299" w:type="pct"/>
            <w:noWrap/>
            <w:hideMark/>
          </w:tcPr>
          <w:p w:rsidR="00754F44" w:rsidRPr="00A321E2" w:rsidRDefault="00754F44"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7,19</w:t>
            </w:r>
          </w:p>
        </w:tc>
        <w:tc>
          <w:tcPr>
            <w:tcW w:w="298" w:type="pct"/>
            <w:noWrap/>
            <w:hideMark/>
          </w:tcPr>
          <w:p w:rsidR="00754F44" w:rsidRPr="00A321E2" w:rsidRDefault="00754F44"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6,89</w:t>
            </w:r>
          </w:p>
        </w:tc>
        <w:tc>
          <w:tcPr>
            <w:tcW w:w="299" w:type="pct"/>
            <w:noWrap/>
            <w:hideMark/>
          </w:tcPr>
          <w:p w:rsidR="00754F44" w:rsidRPr="00A321E2" w:rsidRDefault="00754F44"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6,34</w:t>
            </w:r>
          </w:p>
        </w:tc>
        <w:tc>
          <w:tcPr>
            <w:tcW w:w="298" w:type="pct"/>
            <w:noWrap/>
            <w:hideMark/>
          </w:tcPr>
          <w:p w:rsidR="00754F44" w:rsidRPr="00A321E2" w:rsidRDefault="00754F44"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321E2">
              <w:rPr>
                <w:rFonts w:ascii="Arial Narrow" w:hAnsi="Arial Narrow"/>
                <w:sz w:val="16"/>
                <w:szCs w:val="16"/>
                <w:lang w:val="en-US"/>
              </w:rPr>
              <w:t>6,69</w:t>
            </w:r>
          </w:p>
        </w:tc>
        <w:tc>
          <w:tcPr>
            <w:tcW w:w="299" w:type="pct"/>
            <w:noWrap/>
            <w:hideMark/>
          </w:tcPr>
          <w:p w:rsidR="00754F44" w:rsidRPr="00A321E2" w:rsidRDefault="00754F44"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321E2">
              <w:rPr>
                <w:rFonts w:ascii="Arial Narrow" w:hAnsi="Arial Narrow"/>
                <w:sz w:val="16"/>
                <w:szCs w:val="16"/>
                <w:lang w:val="en-US"/>
              </w:rPr>
              <w:t>6,65</w:t>
            </w:r>
          </w:p>
        </w:tc>
        <w:tc>
          <w:tcPr>
            <w:tcW w:w="298" w:type="pct"/>
            <w:noWrap/>
            <w:hideMark/>
          </w:tcPr>
          <w:p w:rsidR="00754F44" w:rsidRPr="00A321E2" w:rsidRDefault="00754F44"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321E2">
              <w:rPr>
                <w:rFonts w:ascii="Arial Narrow" w:hAnsi="Arial Narrow"/>
                <w:sz w:val="16"/>
                <w:szCs w:val="16"/>
                <w:lang w:val="en-US"/>
              </w:rPr>
              <w:t>6,45</w:t>
            </w:r>
          </w:p>
        </w:tc>
        <w:tc>
          <w:tcPr>
            <w:tcW w:w="299" w:type="pct"/>
            <w:noWrap/>
            <w:hideMark/>
          </w:tcPr>
          <w:p w:rsidR="00754F44" w:rsidRPr="00A321E2" w:rsidRDefault="00754F44"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321E2">
              <w:rPr>
                <w:rFonts w:ascii="Arial Narrow" w:hAnsi="Arial Narrow"/>
                <w:sz w:val="16"/>
                <w:szCs w:val="16"/>
                <w:lang w:val="en-US"/>
              </w:rPr>
              <w:t>6,45</w:t>
            </w:r>
          </w:p>
        </w:tc>
        <w:tc>
          <w:tcPr>
            <w:tcW w:w="298" w:type="pct"/>
            <w:noWrap/>
            <w:hideMark/>
          </w:tcPr>
          <w:p w:rsidR="00754F44" w:rsidRPr="00A321E2" w:rsidRDefault="00754F44"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6,28</w:t>
            </w:r>
          </w:p>
        </w:tc>
        <w:tc>
          <w:tcPr>
            <w:tcW w:w="299" w:type="pct"/>
            <w:noWrap/>
            <w:hideMark/>
          </w:tcPr>
          <w:p w:rsidR="00754F44" w:rsidRPr="00A321E2" w:rsidRDefault="00754F44"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321E2">
              <w:rPr>
                <w:rFonts w:ascii="Arial Narrow" w:hAnsi="Arial Narrow"/>
                <w:sz w:val="16"/>
                <w:szCs w:val="16"/>
                <w:lang w:val="en-US"/>
              </w:rPr>
              <w:t>6,23</w:t>
            </w:r>
          </w:p>
        </w:tc>
      </w:tr>
      <w:tr w:rsidR="00754F44" w:rsidRPr="00E042A3" w:rsidTr="00E042A3">
        <w:trPr>
          <w:trHeight w:val="250"/>
        </w:trPr>
        <w:tc>
          <w:tcPr>
            <w:cnfStyle w:val="001000000000" w:firstRow="0" w:lastRow="0" w:firstColumn="1" w:lastColumn="0" w:oddVBand="0" w:evenVBand="0" w:oddHBand="0" w:evenHBand="0" w:firstRowFirstColumn="0" w:firstRowLastColumn="0" w:lastRowFirstColumn="0" w:lastRowLastColumn="0"/>
            <w:tcW w:w="821" w:type="pct"/>
            <w:noWrap/>
            <w:hideMark/>
          </w:tcPr>
          <w:p w:rsidR="00754F44" w:rsidRPr="00A321E2" w:rsidRDefault="00754F44" w:rsidP="000B7534">
            <w:pPr>
              <w:spacing w:after="0" w:line="240" w:lineRule="auto"/>
              <w:rPr>
                <w:rFonts w:ascii="Arial Narrow" w:hAnsi="Arial Narrow"/>
                <w:b w:val="0"/>
                <w:sz w:val="16"/>
                <w:szCs w:val="16"/>
              </w:rPr>
            </w:pPr>
            <w:r w:rsidRPr="00A321E2">
              <w:rPr>
                <w:rFonts w:ascii="Arial Narrow" w:hAnsi="Arial Narrow"/>
                <w:b w:val="0"/>
                <w:sz w:val="16"/>
                <w:szCs w:val="16"/>
              </w:rPr>
              <w:t>Skupaj</w:t>
            </w:r>
          </w:p>
        </w:tc>
        <w:tc>
          <w:tcPr>
            <w:tcW w:w="298" w:type="pct"/>
            <w:noWrap/>
            <w:hideMark/>
          </w:tcPr>
          <w:p w:rsidR="00754F44" w:rsidRPr="00A321E2" w:rsidRDefault="00754F44"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100</w:t>
            </w:r>
          </w:p>
        </w:tc>
        <w:tc>
          <w:tcPr>
            <w:tcW w:w="299" w:type="pct"/>
            <w:noWrap/>
            <w:hideMark/>
          </w:tcPr>
          <w:p w:rsidR="00754F44" w:rsidRPr="00A321E2" w:rsidRDefault="00754F44"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100</w:t>
            </w:r>
          </w:p>
        </w:tc>
        <w:tc>
          <w:tcPr>
            <w:tcW w:w="298" w:type="pct"/>
            <w:noWrap/>
            <w:hideMark/>
          </w:tcPr>
          <w:p w:rsidR="00754F44" w:rsidRPr="00A321E2" w:rsidRDefault="00754F44"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100</w:t>
            </w:r>
          </w:p>
        </w:tc>
        <w:tc>
          <w:tcPr>
            <w:tcW w:w="299" w:type="pct"/>
            <w:noWrap/>
            <w:hideMark/>
          </w:tcPr>
          <w:p w:rsidR="00754F44" w:rsidRPr="00A321E2" w:rsidRDefault="00754F44"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100</w:t>
            </w:r>
          </w:p>
        </w:tc>
        <w:tc>
          <w:tcPr>
            <w:tcW w:w="298" w:type="pct"/>
            <w:noWrap/>
            <w:hideMark/>
          </w:tcPr>
          <w:p w:rsidR="00754F44" w:rsidRPr="00A321E2" w:rsidRDefault="00754F44"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100</w:t>
            </w:r>
          </w:p>
        </w:tc>
        <w:tc>
          <w:tcPr>
            <w:tcW w:w="299" w:type="pct"/>
            <w:noWrap/>
            <w:hideMark/>
          </w:tcPr>
          <w:p w:rsidR="00754F44" w:rsidRPr="00A321E2" w:rsidRDefault="00754F44"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100</w:t>
            </w:r>
          </w:p>
        </w:tc>
        <w:tc>
          <w:tcPr>
            <w:tcW w:w="298" w:type="pct"/>
            <w:noWrap/>
            <w:hideMark/>
          </w:tcPr>
          <w:p w:rsidR="00754F44" w:rsidRPr="00A321E2" w:rsidRDefault="00754F44"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100</w:t>
            </w:r>
          </w:p>
        </w:tc>
        <w:tc>
          <w:tcPr>
            <w:tcW w:w="299" w:type="pct"/>
            <w:noWrap/>
            <w:hideMark/>
          </w:tcPr>
          <w:p w:rsidR="00754F44" w:rsidRPr="00A321E2" w:rsidRDefault="00754F44"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100</w:t>
            </w:r>
          </w:p>
        </w:tc>
        <w:tc>
          <w:tcPr>
            <w:tcW w:w="298" w:type="pct"/>
            <w:noWrap/>
            <w:hideMark/>
          </w:tcPr>
          <w:p w:rsidR="00754F44" w:rsidRPr="00A321E2" w:rsidRDefault="00754F44"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100</w:t>
            </w:r>
          </w:p>
        </w:tc>
        <w:tc>
          <w:tcPr>
            <w:tcW w:w="299" w:type="pct"/>
            <w:noWrap/>
            <w:hideMark/>
          </w:tcPr>
          <w:p w:rsidR="00754F44" w:rsidRPr="00A321E2" w:rsidRDefault="00754F44"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lang w:val="en-US"/>
              </w:rPr>
              <w:t>100</w:t>
            </w:r>
          </w:p>
        </w:tc>
        <w:tc>
          <w:tcPr>
            <w:tcW w:w="298" w:type="pct"/>
            <w:noWrap/>
            <w:hideMark/>
          </w:tcPr>
          <w:p w:rsidR="00754F44" w:rsidRPr="00A321E2" w:rsidRDefault="00754F44"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100</w:t>
            </w:r>
          </w:p>
        </w:tc>
        <w:tc>
          <w:tcPr>
            <w:tcW w:w="299" w:type="pct"/>
            <w:noWrap/>
            <w:hideMark/>
          </w:tcPr>
          <w:p w:rsidR="00754F44" w:rsidRPr="00A321E2" w:rsidRDefault="00754F44"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100</w:t>
            </w:r>
          </w:p>
        </w:tc>
        <w:tc>
          <w:tcPr>
            <w:tcW w:w="298" w:type="pct"/>
            <w:noWrap/>
            <w:hideMark/>
          </w:tcPr>
          <w:p w:rsidR="00754F44" w:rsidRPr="00A321E2" w:rsidRDefault="00754F44"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100</w:t>
            </w:r>
          </w:p>
        </w:tc>
        <w:tc>
          <w:tcPr>
            <w:tcW w:w="299" w:type="pct"/>
            <w:noWrap/>
            <w:hideMark/>
          </w:tcPr>
          <w:p w:rsidR="00754F44" w:rsidRPr="00A321E2" w:rsidRDefault="00754F44"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100</w:t>
            </w:r>
          </w:p>
        </w:tc>
      </w:tr>
    </w:tbl>
    <w:p w:rsidR="009143D6" w:rsidRDefault="00376E7D" w:rsidP="00DE1E54">
      <w:pPr>
        <w:pStyle w:val="Podpispodtabeloaligrafom"/>
        <w:spacing w:after="0"/>
      </w:pPr>
      <w:r>
        <w:t>Vir: Ministrstvo za kulturo.</w:t>
      </w:r>
    </w:p>
    <w:p w:rsidR="00376E7D" w:rsidRPr="00A321E2" w:rsidRDefault="002777B4" w:rsidP="00A321E2">
      <w:pPr>
        <w:pStyle w:val="Podpispodtabeloaligrafom"/>
        <w:spacing w:after="0"/>
      </w:pPr>
      <w:r w:rsidRPr="00A321E2">
        <w:t xml:space="preserve">1 </w:t>
      </w:r>
      <w:r w:rsidR="00376E7D" w:rsidRPr="00A321E2">
        <w:t>Leta 2009 je začela delovati Javna agencija za knjigo RS.</w:t>
      </w:r>
    </w:p>
    <w:p w:rsidR="00376E7D" w:rsidRPr="00A321E2" w:rsidRDefault="002777B4" w:rsidP="00A321E2">
      <w:pPr>
        <w:pStyle w:val="Podpispodtabeloaligrafom"/>
        <w:spacing w:after="0"/>
      </w:pPr>
      <w:r w:rsidRPr="00A321E2">
        <w:t xml:space="preserve">2 </w:t>
      </w:r>
      <w:r w:rsidR="00376E7D" w:rsidRPr="00A321E2">
        <w:t>Leta 2011 se je Filmski sklad preoblikoval v Slovenski filmski center, javno agencijo RS.</w:t>
      </w:r>
    </w:p>
    <w:p w:rsidR="00376E7D" w:rsidRPr="00A321E2" w:rsidRDefault="002777B4" w:rsidP="00A321E2">
      <w:pPr>
        <w:pStyle w:val="Podpispodtabeloaligrafom"/>
        <w:spacing w:after="0"/>
      </w:pPr>
      <w:r w:rsidRPr="00A321E2">
        <w:t xml:space="preserve">3 </w:t>
      </w:r>
      <w:r w:rsidR="00376E7D" w:rsidRPr="00A321E2">
        <w:t>V letu 2011 vključena sredstva za financiranje Evropske prestolnice kulture v višini</w:t>
      </w:r>
      <w:r w:rsidR="007F1C17" w:rsidRPr="00A321E2">
        <w:t xml:space="preserve"> </w:t>
      </w:r>
      <w:r w:rsidR="00376E7D" w:rsidRPr="00A321E2">
        <w:t>3.220.000 EUR, v letu 2012 v višini</w:t>
      </w:r>
      <w:r w:rsidR="007F1C17" w:rsidRPr="00A321E2">
        <w:t xml:space="preserve"> </w:t>
      </w:r>
      <w:r w:rsidR="00376E7D" w:rsidRPr="00A321E2">
        <w:t>8.220.000 EUR in v letu 2013 v višini 1.992.864 EUR</w:t>
      </w:r>
    </w:p>
    <w:p w:rsidR="00376E7D" w:rsidRPr="00A321E2" w:rsidRDefault="002777B4" w:rsidP="00A321E2">
      <w:pPr>
        <w:pStyle w:val="Podpispodtabeloaligrafom"/>
        <w:spacing w:after="0"/>
      </w:pPr>
      <w:r w:rsidRPr="00A321E2">
        <w:t xml:space="preserve">4 </w:t>
      </w:r>
      <w:r w:rsidR="00376E7D" w:rsidRPr="00A321E2">
        <w:t xml:space="preserve">Od leta 2012 naprej vključena tudi sredstva za </w:t>
      </w:r>
      <w:r w:rsidRPr="00A321E2">
        <w:t xml:space="preserve">socialne </w:t>
      </w:r>
      <w:r w:rsidR="00376E7D" w:rsidRPr="00A321E2">
        <w:t>prispevke duhovniko</w:t>
      </w:r>
      <w:r w:rsidRPr="00A321E2">
        <w:t>v</w:t>
      </w:r>
      <w:r w:rsidR="00B2098E" w:rsidRPr="00A321E2">
        <w:t xml:space="preserve"> (1.682.000,00 EUR v letu 2015), v vseh letih pa tudi sredstva, ki so jih (v glavnem za obnovo kulturnih spomenikov) prejemale verske organizacije, zlasti katoliška cerkev.</w:t>
      </w:r>
    </w:p>
    <w:p w:rsidR="00376E7D" w:rsidRPr="00A321E2" w:rsidRDefault="002777B4" w:rsidP="00A321E2">
      <w:pPr>
        <w:pStyle w:val="Podpispodtabeloaligrafom"/>
        <w:spacing w:after="0"/>
      </w:pPr>
      <w:r w:rsidRPr="00A321E2">
        <w:t xml:space="preserve">5 </w:t>
      </w:r>
      <w:r w:rsidR="00376E7D" w:rsidRPr="00A321E2">
        <w:t>Sredstva, ki jih agenciji in sklad nakažejo končnim upravičencem, so od leta 2013 naprej uvrščena glede na status končnega upravičenca – neprofitna organizacija, profitna organizacija oz fizična oseba.</w:t>
      </w:r>
    </w:p>
    <w:p w:rsidR="00376E7D" w:rsidRPr="00A321E2" w:rsidRDefault="002777B4" w:rsidP="00A321E2">
      <w:pPr>
        <w:pStyle w:val="Podpispodtabeloaligrafom"/>
        <w:spacing w:after="0"/>
      </w:pPr>
      <w:r w:rsidRPr="00A321E2">
        <w:t xml:space="preserve">6 </w:t>
      </w:r>
      <w:r w:rsidR="00376E7D" w:rsidRPr="00A321E2">
        <w:t>Poleg sredstev za projekte, upoštevane tudi štipendije, kulturne žepnine, republiške priznavalnine in sredstva za socialne prispevke za samozaposlene.</w:t>
      </w:r>
    </w:p>
    <w:p w:rsidR="002777B4" w:rsidRPr="00A321E2" w:rsidRDefault="002777B4" w:rsidP="00A321E2">
      <w:pPr>
        <w:pStyle w:val="Podpispodtabeloaligrafom"/>
        <w:spacing w:after="0"/>
      </w:pPr>
      <w:r w:rsidRPr="00A321E2">
        <w:t xml:space="preserve">7 </w:t>
      </w:r>
      <w:r w:rsidR="00A52129" w:rsidRPr="00A321E2">
        <w:t>Investicijski odhodki in transferi vključujejo investicije v kulturno infrastrukturo in obnovo spomenikov, ne vključujejo pa sredstev za investicijsko vzdrževanje in nakup opreme za javne zavode in sklade, knjižnice, nevladne organizacije in Ministrstvo za kulturo. Slednja so razdeljena po njihovih prejemnikih –tj. javnih zavodih, nevladnih/neprofitnih organizacijah itd.</w:t>
      </w:r>
    </w:p>
    <w:p w:rsidR="00A321E2" w:rsidRDefault="00A321E2" w:rsidP="001439A8"/>
    <w:p w:rsidR="00376E7D" w:rsidRDefault="00A17EE9" w:rsidP="001439A8">
      <w:r>
        <w:t>Leta 2016 so</w:t>
      </w:r>
      <w:r w:rsidR="001439A8">
        <w:t xml:space="preserve"> </w:t>
      </w:r>
      <w:r w:rsidR="001439A8" w:rsidRPr="00376E7D">
        <w:t xml:space="preserve">približno 60 % vseh sredstev </w:t>
      </w:r>
      <w:r>
        <w:t>prejeli</w:t>
      </w:r>
      <w:r w:rsidR="001439A8" w:rsidRPr="00376E7D">
        <w:t xml:space="preserve"> javni zavodi (vključena sredstva tako za programe kot za plače in delovanje),</w:t>
      </w:r>
      <w:r w:rsidR="001439A8" w:rsidRPr="00376E7D">
        <w:rPr>
          <w:rStyle w:val="Sprotnaopomba-sklic"/>
        </w:rPr>
        <w:footnoteReference w:id="26"/>
      </w:r>
      <w:r w:rsidR="001439A8" w:rsidRPr="00376E7D">
        <w:t xml:space="preserve"> približno 12 % </w:t>
      </w:r>
      <w:r w:rsidR="00257F4E">
        <w:t xml:space="preserve">je </w:t>
      </w:r>
      <w:r>
        <w:t xml:space="preserve">bilo </w:t>
      </w:r>
      <w:r w:rsidR="00257F4E">
        <w:t>namenjeno</w:t>
      </w:r>
      <w:r w:rsidR="001439A8" w:rsidRPr="00376E7D">
        <w:t xml:space="preserve"> za investicije, približno 10 % </w:t>
      </w:r>
      <w:r w:rsidR="00257F4E">
        <w:t xml:space="preserve">sredstev </w:t>
      </w:r>
      <w:r w:rsidR="001439A8" w:rsidRPr="00376E7D">
        <w:t xml:space="preserve">za delovanje ministrstva, Arhiva RS, Inšpektorata za kulturo in medije, Javnega sklada RS za </w:t>
      </w:r>
      <w:r w:rsidR="000E2C17">
        <w:t>kulturne</w:t>
      </w:r>
      <w:r w:rsidR="001439A8" w:rsidRPr="00376E7D">
        <w:t xml:space="preserve"> dejavnost</w:t>
      </w:r>
      <w:r w:rsidR="000E2C17">
        <w:t>i</w:t>
      </w:r>
      <w:r w:rsidR="001439A8" w:rsidRPr="00376E7D">
        <w:t>, Javne agencije za knjigo</w:t>
      </w:r>
      <w:r w:rsidR="000E2C17">
        <w:t xml:space="preserve"> RS</w:t>
      </w:r>
      <w:r w:rsidR="001439A8" w:rsidRPr="00376E7D">
        <w:t xml:space="preserve"> in Slovenskega filmskega centra, približno 18 % pa </w:t>
      </w:r>
      <w:r>
        <w:t xml:space="preserve">za </w:t>
      </w:r>
      <w:r w:rsidR="001439A8" w:rsidRPr="00376E7D">
        <w:t>program</w:t>
      </w:r>
      <w:r>
        <w:t>e</w:t>
      </w:r>
      <w:r w:rsidR="001439A8" w:rsidRPr="00376E7D">
        <w:t xml:space="preserve"> in projekt</w:t>
      </w:r>
      <w:r>
        <w:t>e</w:t>
      </w:r>
      <w:r w:rsidR="001439A8" w:rsidRPr="00376E7D">
        <w:t xml:space="preserve"> nevladnih</w:t>
      </w:r>
      <w:r w:rsidR="009027BB">
        <w:t>/neprofitnih</w:t>
      </w:r>
      <w:r w:rsidR="001439A8" w:rsidRPr="00376E7D">
        <w:t xml:space="preserve"> organizacij in </w:t>
      </w:r>
      <w:r w:rsidR="00572773">
        <w:t>gospodarskih družb</w:t>
      </w:r>
      <w:r w:rsidR="001439A8" w:rsidRPr="00376E7D">
        <w:t xml:space="preserve"> ter za projekte in socialne prispevke posameznikov.</w:t>
      </w:r>
      <w:r w:rsidR="001439A8" w:rsidRPr="00AE1BD4">
        <w:t xml:space="preserve"> </w:t>
      </w:r>
      <w:r w:rsidR="001439A8" w:rsidRPr="00B9459E">
        <w:t xml:space="preserve">Ob dejstvu, da </w:t>
      </w:r>
      <w:r w:rsidR="00B72685">
        <w:t xml:space="preserve">je </w:t>
      </w:r>
      <w:r w:rsidR="001439A8" w:rsidRPr="00B9459E">
        <w:t xml:space="preserve">vsota sredstev za </w:t>
      </w:r>
      <w:r w:rsidR="00D06BE8">
        <w:t>nevladne/neprofitne organizacije, samozaposlene in gospodarske družbe</w:t>
      </w:r>
      <w:r w:rsidR="001439A8" w:rsidRPr="00B9459E">
        <w:t xml:space="preserve"> </w:t>
      </w:r>
      <w:r w:rsidR="00B72685">
        <w:t xml:space="preserve">leta 2015 </w:t>
      </w:r>
      <w:r w:rsidR="001439A8" w:rsidRPr="00B9459E">
        <w:t>znaša</w:t>
      </w:r>
      <w:r w:rsidR="00B72685">
        <w:t>la</w:t>
      </w:r>
      <w:r w:rsidR="001439A8" w:rsidRPr="00B9459E">
        <w:t xml:space="preserve"> dobrih 28,5 milijonov evrov</w:t>
      </w:r>
      <w:r w:rsidR="00CA2762">
        <w:t xml:space="preserve"> (graf 13</w:t>
      </w:r>
      <w:r w:rsidR="00D5686D">
        <w:t>)</w:t>
      </w:r>
      <w:r w:rsidR="001439A8" w:rsidRPr="00B9459E">
        <w:t xml:space="preserve">, prispevki </w:t>
      </w:r>
      <w:r w:rsidR="001439A8" w:rsidRPr="00B72685">
        <w:t>za samozaposlene, republiške priznavalnine in bolniška nadomestila</w:t>
      </w:r>
      <w:r w:rsidR="00CA2762">
        <w:t xml:space="preserve"> (glej poglavje Pravica do plačila prispevkov iz državnega proračuna za socialno varnost</w:t>
      </w:r>
      <w:r w:rsidR="001439A8" w:rsidRPr="00B9459E">
        <w:t xml:space="preserve">) pa </w:t>
      </w:r>
      <w:r w:rsidR="00B72685">
        <w:t>7</w:t>
      </w:r>
      <w:r w:rsidR="001439A8" w:rsidRPr="00763C7E">
        <w:t>,</w:t>
      </w:r>
      <w:r w:rsidR="00B72685">
        <w:t>2</w:t>
      </w:r>
      <w:r w:rsidR="001439A8" w:rsidRPr="00763C7E">
        <w:t xml:space="preserve"> milijon</w:t>
      </w:r>
      <w:r w:rsidR="00B72685">
        <w:t>a</w:t>
      </w:r>
      <w:r w:rsidR="001439A8" w:rsidRPr="00763C7E">
        <w:t xml:space="preserve">, se za socialne transferje nameni </w:t>
      </w:r>
      <w:r w:rsidR="00257F4E">
        <w:t>četrtina</w:t>
      </w:r>
      <w:r w:rsidR="001439A8" w:rsidRPr="00763C7E">
        <w:t xml:space="preserve"> teh sredstev.</w:t>
      </w:r>
    </w:p>
    <w:p w:rsidR="00257F4E" w:rsidRDefault="00257F4E">
      <w:pPr>
        <w:rPr>
          <w:b/>
        </w:rPr>
      </w:pPr>
      <w:bookmarkStart w:id="136" w:name="_Toc490053359"/>
      <w:bookmarkStart w:id="137" w:name="_Toc490053730"/>
      <w:r>
        <w:br w:type="page"/>
      </w:r>
    </w:p>
    <w:p w:rsidR="005A47BF" w:rsidRPr="00A17EE9" w:rsidRDefault="009143D6" w:rsidP="009942DB">
      <w:pPr>
        <w:pStyle w:val="Naslovtabele"/>
      </w:pPr>
      <w:bookmarkStart w:id="138" w:name="_Toc490600002"/>
      <w:r w:rsidRPr="00A17EE9">
        <w:lastRenderedPageBreak/>
        <w:t>Graf</w:t>
      </w:r>
      <w:r w:rsidR="00656F44" w:rsidRPr="00A17EE9">
        <w:t xml:space="preserve"> 13</w:t>
      </w:r>
      <w:r w:rsidR="00697385" w:rsidRPr="00A17EE9">
        <w:t xml:space="preserve">: </w:t>
      </w:r>
      <w:r w:rsidR="00B71439" w:rsidRPr="00A17EE9">
        <w:t>Struktura realizacije</w:t>
      </w:r>
      <w:r w:rsidR="00B81763" w:rsidRPr="00A17EE9">
        <w:t xml:space="preserve"> proračuna Ministrstva za kulturo</w:t>
      </w:r>
      <w:r w:rsidR="00697385" w:rsidRPr="00A17EE9">
        <w:t xml:space="preserve"> </w:t>
      </w:r>
      <w:r w:rsidR="00B71439" w:rsidRPr="00A17EE9">
        <w:t>po</w:t>
      </w:r>
      <w:r w:rsidR="00697385" w:rsidRPr="00A17EE9">
        <w:t xml:space="preserve"> </w:t>
      </w:r>
      <w:r w:rsidR="00B71439" w:rsidRPr="00A17EE9">
        <w:t>prejemnikih</w:t>
      </w:r>
      <w:r w:rsidR="00697385" w:rsidRPr="00A17EE9">
        <w:t xml:space="preserve"> sredstev </w:t>
      </w:r>
      <w:bookmarkEnd w:id="133"/>
      <w:bookmarkEnd w:id="134"/>
      <w:bookmarkEnd w:id="135"/>
      <w:r w:rsidR="006E4584" w:rsidRPr="00A17EE9">
        <w:t>(2015)</w:t>
      </w:r>
      <w:r w:rsidR="00431B8D" w:rsidRPr="00A17EE9">
        <w:t>*</w:t>
      </w:r>
      <w:bookmarkEnd w:id="136"/>
      <w:bookmarkEnd w:id="137"/>
      <w:bookmarkEnd w:id="138"/>
    </w:p>
    <w:p w:rsidR="00B807D9" w:rsidRDefault="003C2391" w:rsidP="00B807D9">
      <w:r>
        <w:rPr>
          <w:noProof/>
          <w:lang w:eastAsia="sl-SI"/>
        </w:rPr>
        <w:drawing>
          <wp:inline distT="0" distB="0" distL="0" distR="0" wp14:anchorId="77614042" wp14:editId="68EB206E">
            <wp:extent cx="5502276" cy="2743200"/>
            <wp:effectExtent l="0" t="0" r="9525" b="0"/>
            <wp:docPr id="23" name="Grafikon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B81763" w:rsidRDefault="00B81763" w:rsidP="00DE1E54">
      <w:pPr>
        <w:pStyle w:val="Podpispodtabeloaligrafom"/>
        <w:spacing w:after="0"/>
      </w:pPr>
      <w:r>
        <w:t>Vir: Ministrstvo za kulturo.</w:t>
      </w:r>
    </w:p>
    <w:p w:rsidR="00431B8D" w:rsidRDefault="00431B8D" w:rsidP="00DE1E54">
      <w:pPr>
        <w:pStyle w:val="Podpispodtabeloaligrafom"/>
        <w:spacing w:after="0"/>
      </w:pPr>
      <w:r>
        <w:t xml:space="preserve">* </w:t>
      </w:r>
      <w:r w:rsidRPr="00431B8D">
        <w:t>Sredstva, ki jih agenciji in sklad nakažejo končnim upravičencem, so od leta 2013 naprej uvrščena glede na status končnega upravičenca – neprofitna organizacija, profitna organizacija oz fizična oseba.</w:t>
      </w:r>
    </w:p>
    <w:p w:rsidR="00AF3E37" w:rsidRDefault="00533BEC" w:rsidP="00DE1E54">
      <w:pPr>
        <w:pStyle w:val="Podpispodtabeloaligrafom"/>
        <w:spacing w:after="0"/>
      </w:pPr>
      <w:r w:rsidRPr="00533BEC">
        <w:rPr>
          <w:vertAlign w:val="superscript"/>
        </w:rPr>
        <w:t>1</w:t>
      </w:r>
      <w:r w:rsidR="00AF3E37">
        <w:t xml:space="preserve"> </w:t>
      </w:r>
      <w:r w:rsidR="008A0CCA" w:rsidRPr="008A0CCA">
        <w:t>Od leta 2012 naprej vključena tudi sredstva za socialne prispevke duhovnikov (1.682.000,00 EUR v letu 2015), v vseh letih pa tudi sredstva, ki so jih (v glavnem za obnovo kulturnih spomenikov) prejemale verske organizacije, zlasti katoliška cerkev.</w:t>
      </w:r>
    </w:p>
    <w:p w:rsidR="00AF3E37" w:rsidRDefault="00533BEC" w:rsidP="00DE1E54">
      <w:pPr>
        <w:pStyle w:val="Podpispodtabeloaligrafom"/>
        <w:spacing w:after="0"/>
      </w:pPr>
      <w:r w:rsidRPr="00533BEC">
        <w:rPr>
          <w:vertAlign w:val="superscript"/>
        </w:rPr>
        <w:t>2</w:t>
      </w:r>
      <w:r w:rsidR="00431B8D" w:rsidRPr="00533BEC">
        <w:rPr>
          <w:vertAlign w:val="superscript"/>
        </w:rPr>
        <w:t xml:space="preserve"> </w:t>
      </w:r>
      <w:r w:rsidR="00AF3E37">
        <w:t>Poleg sredstev za projekte, upoštevane tudi štipendije, kulturne žepnine, republiške priznavalnine in sredstva za socialne prispevke za samozaposlene.</w:t>
      </w:r>
    </w:p>
    <w:p w:rsidR="006C45FF" w:rsidRDefault="00533BEC" w:rsidP="00AF3E37">
      <w:pPr>
        <w:pStyle w:val="Podpispodtabeloaligrafom"/>
      </w:pPr>
      <w:r w:rsidRPr="00533BEC">
        <w:rPr>
          <w:vertAlign w:val="superscript"/>
        </w:rPr>
        <w:t>3</w:t>
      </w:r>
      <w:r w:rsidR="00431B8D">
        <w:t xml:space="preserve"> </w:t>
      </w:r>
      <w:r w:rsidR="00AF3E37">
        <w:t>Investicijski odhodki in transferi vključujejo investicije v kulturno infrastrukturo in obnovo spomenikov, ne vključujejo pa sredstev za investicijsko vzdrževanje in nakup opreme za javne zavode in sklade, knjižnice, nevladne organizacije in Ministrstvo za kulturo.</w:t>
      </w:r>
      <w:r w:rsidR="00B365DE">
        <w:t xml:space="preserve"> Slednja so razdeljena po njihovih prejemnikih –tj. javnih zavodih, nevladnih/neprofitnih organizacijah itd.</w:t>
      </w:r>
    </w:p>
    <w:p w:rsidR="00FE7E14" w:rsidRDefault="00FE7E14" w:rsidP="00AF3E37">
      <w:pPr>
        <w:pStyle w:val="Podpispodtabeloaligrafom"/>
      </w:pPr>
    </w:p>
    <w:p w:rsidR="009033A0" w:rsidRDefault="009033A0" w:rsidP="009033A0">
      <w:pPr>
        <w:pStyle w:val="Podnaslov3"/>
      </w:pPr>
      <w:bookmarkStart w:id="139" w:name="_Toc489859816"/>
      <w:bookmarkStart w:id="140" w:name="_Toc490047579"/>
      <w:bookmarkStart w:id="141" w:name="_Toc490599944"/>
      <w:bookmarkStart w:id="142" w:name="_Toc506192073"/>
      <w:r>
        <w:t>Struktura po statističnih regijah</w:t>
      </w:r>
      <w:bookmarkEnd w:id="139"/>
      <w:bookmarkEnd w:id="140"/>
      <w:bookmarkEnd w:id="141"/>
      <w:bookmarkEnd w:id="142"/>
    </w:p>
    <w:p w:rsidR="002E1703" w:rsidRDefault="009D2CA4" w:rsidP="009D2CA4">
      <w:r>
        <w:t xml:space="preserve">Oglejmo si še strukturo proračuna glede na statistične regije. </w:t>
      </w:r>
      <w:r w:rsidR="00CF4672">
        <w:t xml:space="preserve">Podatki zanjo so na razpolago od leta </w:t>
      </w:r>
      <w:r w:rsidR="00CF4672" w:rsidRPr="00917225">
        <w:t xml:space="preserve">2002 naprej. </w:t>
      </w:r>
      <w:r w:rsidRPr="00917225">
        <w:t xml:space="preserve">Iz </w:t>
      </w:r>
      <w:r w:rsidR="00581D84">
        <w:t>tabele</w:t>
      </w:r>
      <w:r w:rsidR="00C13ADD">
        <w:t xml:space="preserve"> 12</w:t>
      </w:r>
      <w:r w:rsidR="00917225">
        <w:t xml:space="preserve"> je razvidno, da se približno dve tretjini sredstev proračuna Ministrstva za kulturo nameni osrednjeslovenski regiji. Druga po vrsti je bila leta 2015 podravska regija, ki je prejela dobro desetino sredstev, tretja pa goriška z dvajsetino sredstev. Regije, ki so leta 2015 prejele najmanj sredstev – manj kot odstotek –</w:t>
      </w:r>
      <w:r w:rsidR="00915026">
        <w:t>,</w:t>
      </w:r>
      <w:r w:rsidR="00917225">
        <w:t xml:space="preserve"> so bile zasavska, koroška in </w:t>
      </w:r>
      <w:proofErr w:type="spellStart"/>
      <w:r w:rsidR="00917225">
        <w:t>spodnjeposavska</w:t>
      </w:r>
      <w:proofErr w:type="spellEnd"/>
      <w:r w:rsidR="00917225">
        <w:t>.</w:t>
      </w:r>
    </w:p>
    <w:p w:rsidR="009D2CA4" w:rsidRDefault="009843D9" w:rsidP="009D2CA4">
      <w:pPr>
        <w:pStyle w:val="Naslovtabele"/>
      </w:pPr>
      <w:bookmarkStart w:id="143" w:name="_Toc490053360"/>
      <w:bookmarkStart w:id="144" w:name="_Toc490053731"/>
      <w:bookmarkStart w:id="145" w:name="_Toc490600003"/>
      <w:r>
        <w:t>Tabela</w:t>
      </w:r>
      <w:r w:rsidR="0044718A">
        <w:t xml:space="preserve"> 12</w:t>
      </w:r>
      <w:r w:rsidR="009D2CA4">
        <w:t xml:space="preserve">: </w:t>
      </w:r>
      <w:r w:rsidR="00B71439">
        <w:t>Struktura r</w:t>
      </w:r>
      <w:r w:rsidR="009D2CA4" w:rsidRPr="009D2CA4">
        <w:t>ealizacij</w:t>
      </w:r>
      <w:r w:rsidR="009D69DE">
        <w:t>e</w:t>
      </w:r>
      <w:r w:rsidR="009D2CA4" w:rsidRPr="009D2CA4">
        <w:t xml:space="preserve"> državnega proračuna za kulturo</w:t>
      </w:r>
      <w:r w:rsidR="009D2CA4">
        <w:t xml:space="preserve"> po statističnih regijah (2002</w:t>
      </w:r>
      <w:r w:rsidR="00B43CCF">
        <w:t>–</w:t>
      </w:r>
      <w:r w:rsidR="009D2CA4">
        <w:t>2015)</w:t>
      </w:r>
      <w:r w:rsidR="00310C8B">
        <w:t>*</w:t>
      </w:r>
      <w:bookmarkEnd w:id="143"/>
      <w:bookmarkEnd w:id="144"/>
      <w:bookmarkEnd w:id="145"/>
    </w:p>
    <w:tbl>
      <w:tblPr>
        <w:tblStyle w:val="Svetelseznampoudarek3"/>
        <w:tblW w:w="0" w:type="auto"/>
        <w:tblInd w:w="-176" w:type="dxa"/>
        <w:tblLook w:val="04A0" w:firstRow="1" w:lastRow="0" w:firstColumn="1" w:lastColumn="0" w:noHBand="0" w:noVBand="1"/>
      </w:tblPr>
      <w:tblGrid>
        <w:gridCol w:w="1589"/>
        <w:gridCol w:w="644"/>
        <w:gridCol w:w="557"/>
        <w:gridCol w:w="557"/>
        <w:gridCol w:w="557"/>
        <w:gridCol w:w="557"/>
        <w:gridCol w:w="556"/>
        <w:gridCol w:w="556"/>
        <w:gridCol w:w="556"/>
        <w:gridCol w:w="556"/>
        <w:gridCol w:w="556"/>
        <w:gridCol w:w="556"/>
        <w:gridCol w:w="556"/>
        <w:gridCol w:w="556"/>
        <w:gridCol w:w="556"/>
      </w:tblGrid>
      <w:tr w:rsidR="009843D9" w:rsidRPr="009843D9" w:rsidTr="00FF2334">
        <w:trPr>
          <w:cnfStyle w:val="100000000000" w:firstRow="1" w:lastRow="0" w:firstColumn="0" w:lastColumn="0" w:oddVBand="0" w:evenVBand="0" w:oddHBand="0"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1589" w:type="dxa"/>
            <w:noWrap/>
            <w:hideMark/>
          </w:tcPr>
          <w:p w:rsidR="009843D9" w:rsidRPr="009843D9" w:rsidRDefault="00145065" w:rsidP="00145065">
            <w:pPr>
              <w:rPr>
                <w:rFonts w:ascii="Arial Narrow" w:hAnsi="Arial Narrow"/>
                <w:sz w:val="16"/>
                <w:szCs w:val="16"/>
              </w:rPr>
            </w:pPr>
            <w:r>
              <w:rPr>
                <w:rFonts w:ascii="Arial Narrow" w:hAnsi="Arial Narrow"/>
                <w:sz w:val="16"/>
                <w:szCs w:val="16"/>
              </w:rPr>
              <w:t>Statistična regija</w:t>
            </w:r>
          </w:p>
        </w:tc>
        <w:tc>
          <w:tcPr>
            <w:tcW w:w="644" w:type="dxa"/>
            <w:noWrap/>
            <w:hideMark/>
          </w:tcPr>
          <w:p w:rsidR="009843D9" w:rsidRPr="009843D9" w:rsidRDefault="009843D9" w:rsidP="009843D9">
            <w:pPr>
              <w:cnfStyle w:val="100000000000" w:firstRow="1" w:lastRow="0" w:firstColumn="0" w:lastColumn="0" w:oddVBand="0" w:evenVBand="0" w:oddHBand="0"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2002</w:t>
            </w:r>
          </w:p>
        </w:tc>
        <w:tc>
          <w:tcPr>
            <w:tcW w:w="557" w:type="dxa"/>
            <w:noWrap/>
            <w:hideMark/>
          </w:tcPr>
          <w:p w:rsidR="009843D9" w:rsidRPr="009843D9" w:rsidRDefault="009843D9" w:rsidP="009843D9">
            <w:pPr>
              <w:cnfStyle w:val="100000000000" w:firstRow="1" w:lastRow="0" w:firstColumn="0" w:lastColumn="0" w:oddVBand="0" w:evenVBand="0" w:oddHBand="0"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2003</w:t>
            </w:r>
          </w:p>
        </w:tc>
        <w:tc>
          <w:tcPr>
            <w:tcW w:w="557" w:type="dxa"/>
            <w:noWrap/>
            <w:hideMark/>
          </w:tcPr>
          <w:p w:rsidR="009843D9" w:rsidRPr="009843D9" w:rsidRDefault="009843D9" w:rsidP="009843D9">
            <w:pPr>
              <w:cnfStyle w:val="100000000000" w:firstRow="1" w:lastRow="0" w:firstColumn="0" w:lastColumn="0" w:oddVBand="0" w:evenVBand="0" w:oddHBand="0"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2004</w:t>
            </w:r>
          </w:p>
        </w:tc>
        <w:tc>
          <w:tcPr>
            <w:tcW w:w="557" w:type="dxa"/>
            <w:noWrap/>
            <w:hideMark/>
          </w:tcPr>
          <w:p w:rsidR="009843D9" w:rsidRPr="009843D9" w:rsidRDefault="009843D9" w:rsidP="009843D9">
            <w:pPr>
              <w:cnfStyle w:val="100000000000" w:firstRow="1" w:lastRow="0" w:firstColumn="0" w:lastColumn="0" w:oddVBand="0" w:evenVBand="0" w:oddHBand="0"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2005</w:t>
            </w:r>
          </w:p>
        </w:tc>
        <w:tc>
          <w:tcPr>
            <w:tcW w:w="557" w:type="dxa"/>
            <w:noWrap/>
            <w:hideMark/>
          </w:tcPr>
          <w:p w:rsidR="009843D9" w:rsidRPr="009843D9" w:rsidRDefault="009843D9" w:rsidP="009843D9">
            <w:pPr>
              <w:cnfStyle w:val="100000000000" w:firstRow="1" w:lastRow="0" w:firstColumn="0" w:lastColumn="0" w:oddVBand="0" w:evenVBand="0" w:oddHBand="0"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2006</w:t>
            </w:r>
          </w:p>
        </w:tc>
        <w:tc>
          <w:tcPr>
            <w:tcW w:w="556" w:type="dxa"/>
            <w:noWrap/>
            <w:hideMark/>
          </w:tcPr>
          <w:p w:rsidR="009843D9" w:rsidRPr="009843D9" w:rsidRDefault="009843D9" w:rsidP="009843D9">
            <w:pPr>
              <w:cnfStyle w:val="100000000000" w:firstRow="1" w:lastRow="0" w:firstColumn="0" w:lastColumn="0" w:oddVBand="0" w:evenVBand="0" w:oddHBand="0"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2007</w:t>
            </w:r>
          </w:p>
        </w:tc>
        <w:tc>
          <w:tcPr>
            <w:tcW w:w="556" w:type="dxa"/>
            <w:noWrap/>
            <w:hideMark/>
          </w:tcPr>
          <w:p w:rsidR="009843D9" w:rsidRPr="009843D9" w:rsidRDefault="009843D9" w:rsidP="009843D9">
            <w:pPr>
              <w:cnfStyle w:val="100000000000" w:firstRow="1" w:lastRow="0" w:firstColumn="0" w:lastColumn="0" w:oddVBand="0" w:evenVBand="0" w:oddHBand="0"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2008</w:t>
            </w:r>
          </w:p>
        </w:tc>
        <w:tc>
          <w:tcPr>
            <w:tcW w:w="556" w:type="dxa"/>
            <w:noWrap/>
            <w:hideMark/>
          </w:tcPr>
          <w:p w:rsidR="009843D9" w:rsidRPr="009843D9" w:rsidRDefault="009843D9" w:rsidP="009843D9">
            <w:pPr>
              <w:cnfStyle w:val="100000000000" w:firstRow="1" w:lastRow="0" w:firstColumn="0" w:lastColumn="0" w:oddVBand="0" w:evenVBand="0" w:oddHBand="0"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2009</w:t>
            </w:r>
          </w:p>
        </w:tc>
        <w:tc>
          <w:tcPr>
            <w:tcW w:w="556" w:type="dxa"/>
            <w:noWrap/>
            <w:hideMark/>
          </w:tcPr>
          <w:p w:rsidR="009843D9" w:rsidRPr="009843D9" w:rsidRDefault="009843D9" w:rsidP="009843D9">
            <w:pPr>
              <w:cnfStyle w:val="100000000000" w:firstRow="1" w:lastRow="0" w:firstColumn="0" w:lastColumn="0" w:oddVBand="0" w:evenVBand="0" w:oddHBand="0"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2010</w:t>
            </w:r>
          </w:p>
        </w:tc>
        <w:tc>
          <w:tcPr>
            <w:tcW w:w="556" w:type="dxa"/>
            <w:noWrap/>
            <w:hideMark/>
          </w:tcPr>
          <w:p w:rsidR="009843D9" w:rsidRPr="009843D9" w:rsidRDefault="009843D9" w:rsidP="009843D9">
            <w:pPr>
              <w:cnfStyle w:val="100000000000" w:firstRow="1" w:lastRow="0" w:firstColumn="0" w:lastColumn="0" w:oddVBand="0" w:evenVBand="0" w:oddHBand="0"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2011</w:t>
            </w:r>
          </w:p>
        </w:tc>
        <w:tc>
          <w:tcPr>
            <w:tcW w:w="556" w:type="dxa"/>
            <w:noWrap/>
            <w:hideMark/>
          </w:tcPr>
          <w:p w:rsidR="009843D9" w:rsidRPr="009843D9" w:rsidRDefault="009843D9" w:rsidP="009843D9">
            <w:pPr>
              <w:cnfStyle w:val="100000000000" w:firstRow="1" w:lastRow="0" w:firstColumn="0" w:lastColumn="0" w:oddVBand="0" w:evenVBand="0" w:oddHBand="0"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2012</w:t>
            </w:r>
          </w:p>
        </w:tc>
        <w:tc>
          <w:tcPr>
            <w:tcW w:w="556" w:type="dxa"/>
            <w:noWrap/>
            <w:hideMark/>
          </w:tcPr>
          <w:p w:rsidR="009843D9" w:rsidRPr="009843D9" w:rsidRDefault="009843D9" w:rsidP="009843D9">
            <w:pPr>
              <w:cnfStyle w:val="100000000000" w:firstRow="1" w:lastRow="0" w:firstColumn="0" w:lastColumn="0" w:oddVBand="0" w:evenVBand="0" w:oddHBand="0"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2013</w:t>
            </w:r>
          </w:p>
        </w:tc>
        <w:tc>
          <w:tcPr>
            <w:tcW w:w="556" w:type="dxa"/>
            <w:noWrap/>
            <w:hideMark/>
          </w:tcPr>
          <w:p w:rsidR="009843D9" w:rsidRPr="009843D9" w:rsidRDefault="009843D9" w:rsidP="009843D9">
            <w:pPr>
              <w:cnfStyle w:val="100000000000" w:firstRow="1" w:lastRow="0" w:firstColumn="0" w:lastColumn="0" w:oddVBand="0" w:evenVBand="0" w:oddHBand="0"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2014</w:t>
            </w:r>
          </w:p>
        </w:tc>
        <w:tc>
          <w:tcPr>
            <w:tcW w:w="556" w:type="dxa"/>
            <w:noWrap/>
            <w:hideMark/>
          </w:tcPr>
          <w:p w:rsidR="009843D9" w:rsidRPr="009843D9" w:rsidRDefault="009843D9" w:rsidP="009843D9">
            <w:pPr>
              <w:cnfStyle w:val="100000000000" w:firstRow="1" w:lastRow="0" w:firstColumn="0" w:lastColumn="0" w:oddVBand="0" w:evenVBand="0" w:oddHBand="0"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2015</w:t>
            </w:r>
          </w:p>
        </w:tc>
      </w:tr>
      <w:tr w:rsidR="009843D9" w:rsidRPr="009843D9" w:rsidTr="000B7534">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1589" w:type="dxa"/>
            <w:noWrap/>
            <w:hideMark/>
          </w:tcPr>
          <w:p w:rsidR="009843D9" w:rsidRPr="009843D9" w:rsidRDefault="009843D9" w:rsidP="000B7534">
            <w:pPr>
              <w:spacing w:after="0" w:line="240" w:lineRule="auto"/>
              <w:rPr>
                <w:rFonts w:ascii="Arial Narrow" w:hAnsi="Arial Narrow"/>
                <w:sz w:val="16"/>
                <w:szCs w:val="16"/>
              </w:rPr>
            </w:pPr>
            <w:r w:rsidRPr="009843D9">
              <w:rPr>
                <w:rFonts w:ascii="Arial Narrow" w:hAnsi="Arial Narrow"/>
                <w:sz w:val="16"/>
                <w:szCs w:val="16"/>
              </w:rPr>
              <w:t>Gorenjska</w:t>
            </w:r>
          </w:p>
        </w:tc>
        <w:tc>
          <w:tcPr>
            <w:tcW w:w="644" w:type="dxa"/>
            <w:noWrap/>
            <w:hideMark/>
          </w:tcPr>
          <w:p w:rsidR="009843D9" w:rsidRPr="009843D9" w:rsidRDefault="009843D9"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2,21</w:t>
            </w:r>
          </w:p>
        </w:tc>
        <w:tc>
          <w:tcPr>
            <w:tcW w:w="557" w:type="dxa"/>
            <w:noWrap/>
            <w:hideMark/>
          </w:tcPr>
          <w:p w:rsidR="009843D9" w:rsidRPr="009843D9" w:rsidRDefault="009843D9"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2,36</w:t>
            </w:r>
          </w:p>
        </w:tc>
        <w:tc>
          <w:tcPr>
            <w:tcW w:w="557" w:type="dxa"/>
            <w:noWrap/>
            <w:hideMark/>
          </w:tcPr>
          <w:p w:rsidR="009843D9" w:rsidRPr="009843D9" w:rsidRDefault="009843D9"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2,3</w:t>
            </w:r>
          </w:p>
        </w:tc>
        <w:tc>
          <w:tcPr>
            <w:tcW w:w="557" w:type="dxa"/>
            <w:noWrap/>
            <w:hideMark/>
          </w:tcPr>
          <w:p w:rsidR="009843D9" w:rsidRPr="009843D9" w:rsidRDefault="009843D9"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2,37</w:t>
            </w:r>
          </w:p>
        </w:tc>
        <w:tc>
          <w:tcPr>
            <w:tcW w:w="557" w:type="dxa"/>
            <w:noWrap/>
            <w:hideMark/>
          </w:tcPr>
          <w:p w:rsidR="009843D9" w:rsidRPr="009843D9" w:rsidRDefault="009843D9"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3,12</w:t>
            </w:r>
          </w:p>
        </w:tc>
        <w:tc>
          <w:tcPr>
            <w:tcW w:w="556" w:type="dxa"/>
            <w:noWrap/>
            <w:hideMark/>
          </w:tcPr>
          <w:p w:rsidR="009843D9" w:rsidRPr="009843D9" w:rsidRDefault="009843D9"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2,81</w:t>
            </w:r>
          </w:p>
        </w:tc>
        <w:tc>
          <w:tcPr>
            <w:tcW w:w="556" w:type="dxa"/>
            <w:noWrap/>
            <w:hideMark/>
          </w:tcPr>
          <w:p w:rsidR="009843D9" w:rsidRPr="009843D9" w:rsidRDefault="009843D9"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2,56</w:t>
            </w:r>
          </w:p>
        </w:tc>
        <w:tc>
          <w:tcPr>
            <w:tcW w:w="556" w:type="dxa"/>
            <w:noWrap/>
            <w:hideMark/>
          </w:tcPr>
          <w:p w:rsidR="009843D9" w:rsidRPr="009843D9" w:rsidRDefault="009843D9"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2,79</w:t>
            </w:r>
          </w:p>
        </w:tc>
        <w:tc>
          <w:tcPr>
            <w:tcW w:w="556" w:type="dxa"/>
            <w:noWrap/>
            <w:hideMark/>
          </w:tcPr>
          <w:p w:rsidR="009843D9" w:rsidRPr="009843D9" w:rsidRDefault="009843D9"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3,23</w:t>
            </w:r>
          </w:p>
        </w:tc>
        <w:tc>
          <w:tcPr>
            <w:tcW w:w="556" w:type="dxa"/>
            <w:noWrap/>
            <w:hideMark/>
          </w:tcPr>
          <w:p w:rsidR="009843D9" w:rsidRPr="009843D9" w:rsidRDefault="009843D9"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4,47</w:t>
            </w:r>
          </w:p>
        </w:tc>
        <w:tc>
          <w:tcPr>
            <w:tcW w:w="556" w:type="dxa"/>
            <w:noWrap/>
            <w:hideMark/>
          </w:tcPr>
          <w:p w:rsidR="009843D9" w:rsidRPr="009843D9" w:rsidRDefault="009843D9"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2,49</w:t>
            </w:r>
          </w:p>
        </w:tc>
        <w:tc>
          <w:tcPr>
            <w:tcW w:w="556" w:type="dxa"/>
            <w:noWrap/>
            <w:hideMark/>
          </w:tcPr>
          <w:p w:rsidR="009843D9" w:rsidRPr="009843D9" w:rsidRDefault="009843D9"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2,11</w:t>
            </w:r>
          </w:p>
        </w:tc>
        <w:tc>
          <w:tcPr>
            <w:tcW w:w="556" w:type="dxa"/>
            <w:noWrap/>
            <w:hideMark/>
          </w:tcPr>
          <w:p w:rsidR="009843D9" w:rsidRPr="009843D9" w:rsidRDefault="009843D9"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2</w:t>
            </w:r>
          </w:p>
        </w:tc>
        <w:tc>
          <w:tcPr>
            <w:tcW w:w="556" w:type="dxa"/>
            <w:noWrap/>
            <w:hideMark/>
          </w:tcPr>
          <w:p w:rsidR="009843D9" w:rsidRPr="009843D9" w:rsidRDefault="009843D9"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2,16</w:t>
            </w:r>
          </w:p>
        </w:tc>
      </w:tr>
      <w:tr w:rsidR="009843D9" w:rsidRPr="009843D9" w:rsidTr="000B7534">
        <w:trPr>
          <w:trHeight w:val="102"/>
        </w:trPr>
        <w:tc>
          <w:tcPr>
            <w:cnfStyle w:val="001000000000" w:firstRow="0" w:lastRow="0" w:firstColumn="1" w:lastColumn="0" w:oddVBand="0" w:evenVBand="0" w:oddHBand="0" w:evenHBand="0" w:firstRowFirstColumn="0" w:firstRowLastColumn="0" w:lastRowFirstColumn="0" w:lastRowLastColumn="0"/>
            <w:tcW w:w="1589" w:type="dxa"/>
            <w:noWrap/>
            <w:hideMark/>
          </w:tcPr>
          <w:p w:rsidR="009843D9" w:rsidRPr="009843D9" w:rsidRDefault="009843D9" w:rsidP="000B7534">
            <w:pPr>
              <w:spacing w:after="0" w:line="240" w:lineRule="auto"/>
              <w:rPr>
                <w:rFonts w:ascii="Arial Narrow" w:hAnsi="Arial Narrow"/>
                <w:sz w:val="16"/>
                <w:szCs w:val="16"/>
              </w:rPr>
            </w:pPr>
            <w:r w:rsidRPr="009843D9">
              <w:rPr>
                <w:rFonts w:ascii="Arial Narrow" w:hAnsi="Arial Narrow"/>
                <w:sz w:val="16"/>
                <w:szCs w:val="16"/>
              </w:rPr>
              <w:t>Goriška</w:t>
            </w:r>
          </w:p>
        </w:tc>
        <w:tc>
          <w:tcPr>
            <w:tcW w:w="644" w:type="dxa"/>
            <w:noWrap/>
            <w:hideMark/>
          </w:tcPr>
          <w:p w:rsidR="009843D9" w:rsidRPr="009843D9" w:rsidRDefault="009843D9"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4,38</w:t>
            </w:r>
          </w:p>
        </w:tc>
        <w:tc>
          <w:tcPr>
            <w:tcW w:w="557" w:type="dxa"/>
            <w:noWrap/>
            <w:hideMark/>
          </w:tcPr>
          <w:p w:rsidR="009843D9" w:rsidRPr="009843D9" w:rsidRDefault="009843D9"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4,73</w:t>
            </w:r>
          </w:p>
        </w:tc>
        <w:tc>
          <w:tcPr>
            <w:tcW w:w="557" w:type="dxa"/>
            <w:noWrap/>
            <w:hideMark/>
          </w:tcPr>
          <w:p w:rsidR="009843D9" w:rsidRPr="009843D9" w:rsidRDefault="009843D9"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4,13</w:t>
            </w:r>
          </w:p>
        </w:tc>
        <w:tc>
          <w:tcPr>
            <w:tcW w:w="557" w:type="dxa"/>
            <w:noWrap/>
            <w:hideMark/>
          </w:tcPr>
          <w:p w:rsidR="009843D9" w:rsidRPr="009843D9" w:rsidRDefault="009843D9"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4,03</w:t>
            </w:r>
          </w:p>
        </w:tc>
        <w:tc>
          <w:tcPr>
            <w:tcW w:w="557" w:type="dxa"/>
            <w:noWrap/>
            <w:hideMark/>
          </w:tcPr>
          <w:p w:rsidR="009843D9" w:rsidRPr="009843D9" w:rsidRDefault="009843D9"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3,93</w:t>
            </w:r>
          </w:p>
        </w:tc>
        <w:tc>
          <w:tcPr>
            <w:tcW w:w="556" w:type="dxa"/>
            <w:noWrap/>
            <w:hideMark/>
          </w:tcPr>
          <w:p w:rsidR="009843D9" w:rsidRPr="009843D9" w:rsidRDefault="009843D9"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3,94</w:t>
            </w:r>
          </w:p>
        </w:tc>
        <w:tc>
          <w:tcPr>
            <w:tcW w:w="556" w:type="dxa"/>
            <w:noWrap/>
            <w:hideMark/>
          </w:tcPr>
          <w:p w:rsidR="009843D9" w:rsidRPr="009843D9" w:rsidRDefault="009843D9"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3,82</w:t>
            </w:r>
          </w:p>
        </w:tc>
        <w:tc>
          <w:tcPr>
            <w:tcW w:w="556" w:type="dxa"/>
            <w:noWrap/>
            <w:hideMark/>
          </w:tcPr>
          <w:p w:rsidR="009843D9" w:rsidRPr="009843D9" w:rsidRDefault="009843D9"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4,25</w:t>
            </w:r>
          </w:p>
        </w:tc>
        <w:tc>
          <w:tcPr>
            <w:tcW w:w="556" w:type="dxa"/>
            <w:noWrap/>
            <w:hideMark/>
          </w:tcPr>
          <w:p w:rsidR="009843D9" w:rsidRPr="009843D9" w:rsidRDefault="009843D9"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4,87</w:t>
            </w:r>
          </w:p>
        </w:tc>
        <w:tc>
          <w:tcPr>
            <w:tcW w:w="556" w:type="dxa"/>
            <w:noWrap/>
            <w:hideMark/>
          </w:tcPr>
          <w:p w:rsidR="009843D9" w:rsidRPr="009843D9" w:rsidRDefault="009843D9"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3,59</w:t>
            </w:r>
          </w:p>
        </w:tc>
        <w:tc>
          <w:tcPr>
            <w:tcW w:w="556" w:type="dxa"/>
            <w:noWrap/>
            <w:hideMark/>
          </w:tcPr>
          <w:p w:rsidR="009843D9" w:rsidRPr="009843D9" w:rsidRDefault="009843D9"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6,05</w:t>
            </w:r>
          </w:p>
        </w:tc>
        <w:tc>
          <w:tcPr>
            <w:tcW w:w="556" w:type="dxa"/>
            <w:noWrap/>
            <w:hideMark/>
          </w:tcPr>
          <w:p w:rsidR="009843D9" w:rsidRPr="009843D9" w:rsidRDefault="009843D9"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4,9</w:t>
            </w:r>
          </w:p>
        </w:tc>
        <w:tc>
          <w:tcPr>
            <w:tcW w:w="556" w:type="dxa"/>
            <w:noWrap/>
            <w:hideMark/>
          </w:tcPr>
          <w:p w:rsidR="009843D9" w:rsidRPr="009843D9" w:rsidRDefault="009843D9"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6,12</w:t>
            </w:r>
          </w:p>
        </w:tc>
        <w:tc>
          <w:tcPr>
            <w:tcW w:w="556" w:type="dxa"/>
            <w:noWrap/>
            <w:hideMark/>
          </w:tcPr>
          <w:p w:rsidR="009843D9" w:rsidRPr="009843D9" w:rsidRDefault="009843D9"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5,67</w:t>
            </w:r>
          </w:p>
        </w:tc>
      </w:tr>
      <w:tr w:rsidR="009843D9" w:rsidRPr="009843D9" w:rsidTr="000B7534">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1589" w:type="dxa"/>
            <w:noWrap/>
            <w:hideMark/>
          </w:tcPr>
          <w:p w:rsidR="009843D9" w:rsidRPr="009843D9" w:rsidRDefault="009843D9" w:rsidP="000B7534">
            <w:pPr>
              <w:spacing w:after="0" w:line="240" w:lineRule="auto"/>
              <w:rPr>
                <w:rFonts w:ascii="Arial Narrow" w:hAnsi="Arial Narrow"/>
                <w:sz w:val="16"/>
                <w:szCs w:val="16"/>
              </w:rPr>
            </w:pPr>
            <w:r w:rsidRPr="009843D9">
              <w:rPr>
                <w:rFonts w:ascii="Arial Narrow" w:hAnsi="Arial Narrow"/>
                <w:sz w:val="16"/>
                <w:szCs w:val="16"/>
              </w:rPr>
              <w:t>Jugovzhodna Slovenija</w:t>
            </w:r>
          </w:p>
        </w:tc>
        <w:tc>
          <w:tcPr>
            <w:tcW w:w="644" w:type="dxa"/>
            <w:noWrap/>
            <w:hideMark/>
          </w:tcPr>
          <w:p w:rsidR="009843D9" w:rsidRPr="009843D9" w:rsidRDefault="009843D9"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1,62</w:t>
            </w:r>
          </w:p>
        </w:tc>
        <w:tc>
          <w:tcPr>
            <w:tcW w:w="557" w:type="dxa"/>
            <w:noWrap/>
            <w:hideMark/>
          </w:tcPr>
          <w:p w:rsidR="009843D9" w:rsidRPr="009843D9" w:rsidRDefault="009843D9"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1,4</w:t>
            </w:r>
          </w:p>
        </w:tc>
        <w:tc>
          <w:tcPr>
            <w:tcW w:w="557" w:type="dxa"/>
            <w:noWrap/>
            <w:hideMark/>
          </w:tcPr>
          <w:p w:rsidR="009843D9" w:rsidRPr="009843D9" w:rsidRDefault="009843D9"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1,42</w:t>
            </w:r>
          </w:p>
        </w:tc>
        <w:tc>
          <w:tcPr>
            <w:tcW w:w="557" w:type="dxa"/>
            <w:noWrap/>
            <w:hideMark/>
          </w:tcPr>
          <w:p w:rsidR="009843D9" w:rsidRPr="009843D9" w:rsidRDefault="009843D9"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1,86</w:t>
            </w:r>
          </w:p>
        </w:tc>
        <w:tc>
          <w:tcPr>
            <w:tcW w:w="557" w:type="dxa"/>
            <w:noWrap/>
            <w:hideMark/>
          </w:tcPr>
          <w:p w:rsidR="009843D9" w:rsidRPr="009843D9" w:rsidRDefault="009843D9"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1,85</w:t>
            </w:r>
          </w:p>
        </w:tc>
        <w:tc>
          <w:tcPr>
            <w:tcW w:w="556" w:type="dxa"/>
            <w:noWrap/>
            <w:hideMark/>
          </w:tcPr>
          <w:p w:rsidR="009843D9" w:rsidRPr="009843D9" w:rsidRDefault="009843D9"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1,96</w:t>
            </w:r>
          </w:p>
        </w:tc>
        <w:tc>
          <w:tcPr>
            <w:tcW w:w="556" w:type="dxa"/>
            <w:noWrap/>
            <w:hideMark/>
          </w:tcPr>
          <w:p w:rsidR="009843D9" w:rsidRPr="009843D9" w:rsidRDefault="009843D9"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2,02</w:t>
            </w:r>
          </w:p>
        </w:tc>
        <w:tc>
          <w:tcPr>
            <w:tcW w:w="556" w:type="dxa"/>
            <w:noWrap/>
            <w:hideMark/>
          </w:tcPr>
          <w:p w:rsidR="009843D9" w:rsidRPr="009843D9" w:rsidRDefault="009843D9"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1,64</w:t>
            </w:r>
          </w:p>
        </w:tc>
        <w:tc>
          <w:tcPr>
            <w:tcW w:w="556" w:type="dxa"/>
            <w:noWrap/>
            <w:hideMark/>
          </w:tcPr>
          <w:p w:rsidR="009843D9" w:rsidRPr="009843D9" w:rsidRDefault="009843D9"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1,81</w:t>
            </w:r>
          </w:p>
        </w:tc>
        <w:tc>
          <w:tcPr>
            <w:tcW w:w="556" w:type="dxa"/>
            <w:noWrap/>
            <w:hideMark/>
          </w:tcPr>
          <w:p w:rsidR="009843D9" w:rsidRPr="009843D9" w:rsidRDefault="009843D9"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2,08</w:t>
            </w:r>
          </w:p>
        </w:tc>
        <w:tc>
          <w:tcPr>
            <w:tcW w:w="556" w:type="dxa"/>
            <w:noWrap/>
            <w:hideMark/>
          </w:tcPr>
          <w:p w:rsidR="009843D9" w:rsidRPr="009843D9" w:rsidRDefault="009843D9"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1,34</w:t>
            </w:r>
          </w:p>
        </w:tc>
        <w:tc>
          <w:tcPr>
            <w:tcW w:w="556" w:type="dxa"/>
            <w:noWrap/>
            <w:hideMark/>
          </w:tcPr>
          <w:p w:rsidR="009843D9" w:rsidRPr="009843D9" w:rsidRDefault="009843D9"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1,39</w:t>
            </w:r>
          </w:p>
        </w:tc>
        <w:tc>
          <w:tcPr>
            <w:tcW w:w="556" w:type="dxa"/>
            <w:noWrap/>
            <w:hideMark/>
          </w:tcPr>
          <w:p w:rsidR="009843D9" w:rsidRPr="009843D9" w:rsidRDefault="009843D9"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1,42</w:t>
            </w:r>
          </w:p>
        </w:tc>
        <w:tc>
          <w:tcPr>
            <w:tcW w:w="556" w:type="dxa"/>
            <w:noWrap/>
            <w:hideMark/>
          </w:tcPr>
          <w:p w:rsidR="009843D9" w:rsidRPr="009843D9" w:rsidRDefault="009843D9"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1,76</w:t>
            </w:r>
          </w:p>
        </w:tc>
      </w:tr>
      <w:tr w:rsidR="009843D9" w:rsidRPr="009843D9" w:rsidTr="000B7534">
        <w:trPr>
          <w:trHeight w:val="102"/>
        </w:trPr>
        <w:tc>
          <w:tcPr>
            <w:cnfStyle w:val="001000000000" w:firstRow="0" w:lastRow="0" w:firstColumn="1" w:lastColumn="0" w:oddVBand="0" w:evenVBand="0" w:oddHBand="0" w:evenHBand="0" w:firstRowFirstColumn="0" w:firstRowLastColumn="0" w:lastRowFirstColumn="0" w:lastRowLastColumn="0"/>
            <w:tcW w:w="1589" w:type="dxa"/>
            <w:noWrap/>
            <w:hideMark/>
          </w:tcPr>
          <w:p w:rsidR="009843D9" w:rsidRPr="009843D9" w:rsidRDefault="009843D9" w:rsidP="000B7534">
            <w:pPr>
              <w:spacing w:after="0" w:line="240" w:lineRule="auto"/>
              <w:rPr>
                <w:rFonts w:ascii="Arial Narrow" w:hAnsi="Arial Narrow"/>
                <w:sz w:val="16"/>
                <w:szCs w:val="16"/>
              </w:rPr>
            </w:pPr>
            <w:r w:rsidRPr="009843D9">
              <w:rPr>
                <w:rFonts w:ascii="Arial Narrow" w:hAnsi="Arial Narrow"/>
                <w:sz w:val="16"/>
                <w:szCs w:val="16"/>
              </w:rPr>
              <w:t>Koroška</w:t>
            </w:r>
          </w:p>
        </w:tc>
        <w:tc>
          <w:tcPr>
            <w:tcW w:w="644" w:type="dxa"/>
            <w:noWrap/>
            <w:hideMark/>
          </w:tcPr>
          <w:p w:rsidR="009843D9" w:rsidRPr="009843D9" w:rsidRDefault="009843D9"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0,72</w:t>
            </w:r>
          </w:p>
        </w:tc>
        <w:tc>
          <w:tcPr>
            <w:tcW w:w="557" w:type="dxa"/>
            <w:noWrap/>
            <w:hideMark/>
          </w:tcPr>
          <w:p w:rsidR="009843D9" w:rsidRPr="009843D9" w:rsidRDefault="009843D9"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1,77</w:t>
            </w:r>
          </w:p>
        </w:tc>
        <w:tc>
          <w:tcPr>
            <w:tcW w:w="557" w:type="dxa"/>
            <w:noWrap/>
            <w:hideMark/>
          </w:tcPr>
          <w:p w:rsidR="009843D9" w:rsidRPr="009843D9" w:rsidRDefault="009843D9"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1,44</w:t>
            </w:r>
          </w:p>
        </w:tc>
        <w:tc>
          <w:tcPr>
            <w:tcW w:w="557" w:type="dxa"/>
            <w:noWrap/>
            <w:hideMark/>
          </w:tcPr>
          <w:p w:rsidR="009843D9" w:rsidRPr="009843D9" w:rsidRDefault="009843D9"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1,02</w:t>
            </w:r>
          </w:p>
        </w:tc>
        <w:tc>
          <w:tcPr>
            <w:tcW w:w="557" w:type="dxa"/>
            <w:noWrap/>
            <w:hideMark/>
          </w:tcPr>
          <w:p w:rsidR="009843D9" w:rsidRPr="009843D9" w:rsidRDefault="009843D9"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0,87</w:t>
            </w:r>
          </w:p>
        </w:tc>
        <w:tc>
          <w:tcPr>
            <w:tcW w:w="556" w:type="dxa"/>
            <w:noWrap/>
            <w:hideMark/>
          </w:tcPr>
          <w:p w:rsidR="009843D9" w:rsidRPr="009843D9" w:rsidRDefault="009843D9"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0,93</w:t>
            </w:r>
          </w:p>
        </w:tc>
        <w:tc>
          <w:tcPr>
            <w:tcW w:w="556" w:type="dxa"/>
            <w:noWrap/>
            <w:hideMark/>
          </w:tcPr>
          <w:p w:rsidR="009843D9" w:rsidRPr="009843D9" w:rsidRDefault="009843D9"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0,91</w:t>
            </w:r>
          </w:p>
        </w:tc>
        <w:tc>
          <w:tcPr>
            <w:tcW w:w="556" w:type="dxa"/>
            <w:noWrap/>
            <w:hideMark/>
          </w:tcPr>
          <w:p w:rsidR="009843D9" w:rsidRPr="009843D9" w:rsidRDefault="009843D9"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1,15</w:t>
            </w:r>
          </w:p>
        </w:tc>
        <w:tc>
          <w:tcPr>
            <w:tcW w:w="556" w:type="dxa"/>
            <w:noWrap/>
            <w:hideMark/>
          </w:tcPr>
          <w:p w:rsidR="009843D9" w:rsidRPr="009843D9" w:rsidRDefault="009843D9"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1,33</w:t>
            </w:r>
          </w:p>
        </w:tc>
        <w:tc>
          <w:tcPr>
            <w:tcW w:w="556" w:type="dxa"/>
            <w:noWrap/>
            <w:hideMark/>
          </w:tcPr>
          <w:p w:rsidR="009843D9" w:rsidRPr="009843D9" w:rsidRDefault="009843D9"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1,3</w:t>
            </w:r>
          </w:p>
        </w:tc>
        <w:tc>
          <w:tcPr>
            <w:tcW w:w="556" w:type="dxa"/>
            <w:noWrap/>
            <w:hideMark/>
          </w:tcPr>
          <w:p w:rsidR="009843D9" w:rsidRPr="009843D9" w:rsidRDefault="009843D9"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0,82</w:t>
            </w:r>
          </w:p>
        </w:tc>
        <w:tc>
          <w:tcPr>
            <w:tcW w:w="556" w:type="dxa"/>
            <w:noWrap/>
            <w:hideMark/>
          </w:tcPr>
          <w:p w:rsidR="009843D9" w:rsidRPr="009843D9" w:rsidRDefault="009843D9"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1,08</w:t>
            </w:r>
          </w:p>
        </w:tc>
        <w:tc>
          <w:tcPr>
            <w:tcW w:w="556" w:type="dxa"/>
            <w:noWrap/>
            <w:hideMark/>
          </w:tcPr>
          <w:p w:rsidR="009843D9" w:rsidRPr="009843D9" w:rsidRDefault="009843D9"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0,85</w:t>
            </w:r>
          </w:p>
        </w:tc>
        <w:tc>
          <w:tcPr>
            <w:tcW w:w="556" w:type="dxa"/>
            <w:noWrap/>
            <w:hideMark/>
          </w:tcPr>
          <w:p w:rsidR="009843D9" w:rsidRPr="009843D9" w:rsidRDefault="009843D9"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0,84</w:t>
            </w:r>
          </w:p>
        </w:tc>
      </w:tr>
      <w:tr w:rsidR="009843D9" w:rsidRPr="009843D9" w:rsidTr="000B7534">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1589" w:type="dxa"/>
            <w:noWrap/>
            <w:hideMark/>
          </w:tcPr>
          <w:p w:rsidR="009843D9" w:rsidRPr="009843D9" w:rsidRDefault="009843D9" w:rsidP="000B7534">
            <w:pPr>
              <w:spacing w:after="0" w:line="240" w:lineRule="auto"/>
              <w:rPr>
                <w:rFonts w:ascii="Arial Narrow" w:hAnsi="Arial Narrow"/>
                <w:sz w:val="16"/>
                <w:szCs w:val="16"/>
              </w:rPr>
            </w:pPr>
            <w:r w:rsidRPr="00C2529D">
              <w:rPr>
                <w:rFonts w:ascii="Arial Narrow" w:hAnsi="Arial Narrow"/>
                <w:sz w:val="16"/>
                <w:szCs w:val="16"/>
              </w:rPr>
              <w:t>Notranjsko</w:t>
            </w:r>
            <w:r w:rsidRPr="00145065">
              <w:rPr>
                <w:rFonts w:ascii="Arial Narrow" w:hAnsi="Arial Narrow"/>
                <w:sz w:val="16"/>
                <w:szCs w:val="16"/>
              </w:rPr>
              <w:t>-</w:t>
            </w:r>
            <w:r w:rsidRPr="00C2529D">
              <w:rPr>
                <w:rFonts w:ascii="Arial Narrow" w:hAnsi="Arial Narrow"/>
                <w:sz w:val="16"/>
                <w:szCs w:val="16"/>
              </w:rPr>
              <w:t>kraška</w:t>
            </w:r>
          </w:p>
        </w:tc>
        <w:tc>
          <w:tcPr>
            <w:tcW w:w="644" w:type="dxa"/>
            <w:noWrap/>
            <w:hideMark/>
          </w:tcPr>
          <w:p w:rsidR="009843D9" w:rsidRPr="009843D9" w:rsidRDefault="009843D9"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0,32</w:t>
            </w:r>
          </w:p>
        </w:tc>
        <w:tc>
          <w:tcPr>
            <w:tcW w:w="557" w:type="dxa"/>
            <w:noWrap/>
            <w:hideMark/>
          </w:tcPr>
          <w:p w:rsidR="009843D9" w:rsidRPr="009843D9" w:rsidRDefault="009843D9"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0,46</w:t>
            </w:r>
          </w:p>
        </w:tc>
        <w:tc>
          <w:tcPr>
            <w:tcW w:w="557" w:type="dxa"/>
            <w:noWrap/>
            <w:hideMark/>
          </w:tcPr>
          <w:p w:rsidR="009843D9" w:rsidRPr="009843D9" w:rsidRDefault="009843D9"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0,53</w:t>
            </w:r>
          </w:p>
        </w:tc>
        <w:tc>
          <w:tcPr>
            <w:tcW w:w="557" w:type="dxa"/>
            <w:noWrap/>
            <w:hideMark/>
          </w:tcPr>
          <w:p w:rsidR="009843D9" w:rsidRPr="009843D9" w:rsidRDefault="009843D9"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0,91</w:t>
            </w:r>
          </w:p>
        </w:tc>
        <w:tc>
          <w:tcPr>
            <w:tcW w:w="557" w:type="dxa"/>
            <w:noWrap/>
            <w:hideMark/>
          </w:tcPr>
          <w:p w:rsidR="009843D9" w:rsidRPr="009843D9" w:rsidRDefault="009843D9"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1,29</w:t>
            </w:r>
          </w:p>
        </w:tc>
        <w:tc>
          <w:tcPr>
            <w:tcW w:w="556" w:type="dxa"/>
            <w:noWrap/>
            <w:hideMark/>
          </w:tcPr>
          <w:p w:rsidR="009843D9" w:rsidRPr="009843D9" w:rsidRDefault="009843D9"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1,35</w:t>
            </w:r>
          </w:p>
        </w:tc>
        <w:tc>
          <w:tcPr>
            <w:tcW w:w="556" w:type="dxa"/>
            <w:noWrap/>
            <w:hideMark/>
          </w:tcPr>
          <w:p w:rsidR="009843D9" w:rsidRPr="009843D9" w:rsidRDefault="009843D9"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0,84</w:t>
            </w:r>
          </w:p>
        </w:tc>
        <w:tc>
          <w:tcPr>
            <w:tcW w:w="556" w:type="dxa"/>
            <w:noWrap/>
            <w:hideMark/>
          </w:tcPr>
          <w:p w:rsidR="009843D9" w:rsidRPr="009843D9" w:rsidRDefault="009843D9"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0,25</w:t>
            </w:r>
          </w:p>
        </w:tc>
        <w:tc>
          <w:tcPr>
            <w:tcW w:w="556" w:type="dxa"/>
            <w:noWrap/>
            <w:hideMark/>
          </w:tcPr>
          <w:p w:rsidR="009843D9" w:rsidRPr="009843D9" w:rsidRDefault="009843D9"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0,4</w:t>
            </w:r>
          </w:p>
        </w:tc>
        <w:tc>
          <w:tcPr>
            <w:tcW w:w="556" w:type="dxa"/>
            <w:noWrap/>
            <w:hideMark/>
          </w:tcPr>
          <w:p w:rsidR="009843D9" w:rsidRPr="009843D9" w:rsidRDefault="009843D9"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0,24</w:t>
            </w:r>
          </w:p>
        </w:tc>
        <w:tc>
          <w:tcPr>
            <w:tcW w:w="556" w:type="dxa"/>
            <w:noWrap/>
            <w:hideMark/>
          </w:tcPr>
          <w:p w:rsidR="009843D9" w:rsidRPr="009843D9" w:rsidRDefault="009843D9"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0,26</w:t>
            </w:r>
          </w:p>
        </w:tc>
        <w:tc>
          <w:tcPr>
            <w:tcW w:w="556" w:type="dxa"/>
            <w:noWrap/>
            <w:hideMark/>
          </w:tcPr>
          <w:p w:rsidR="009843D9" w:rsidRPr="009843D9" w:rsidRDefault="009843D9"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0,4</w:t>
            </w:r>
          </w:p>
        </w:tc>
        <w:tc>
          <w:tcPr>
            <w:tcW w:w="556" w:type="dxa"/>
            <w:noWrap/>
            <w:hideMark/>
          </w:tcPr>
          <w:p w:rsidR="009843D9" w:rsidRPr="009843D9" w:rsidRDefault="009843D9"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1,43</w:t>
            </w:r>
          </w:p>
        </w:tc>
        <w:tc>
          <w:tcPr>
            <w:tcW w:w="556" w:type="dxa"/>
            <w:noWrap/>
            <w:hideMark/>
          </w:tcPr>
          <w:p w:rsidR="009843D9" w:rsidRPr="009843D9" w:rsidRDefault="009843D9"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3,24</w:t>
            </w:r>
          </w:p>
        </w:tc>
      </w:tr>
      <w:tr w:rsidR="009843D9" w:rsidRPr="009843D9" w:rsidTr="000B7534">
        <w:trPr>
          <w:trHeight w:val="102"/>
        </w:trPr>
        <w:tc>
          <w:tcPr>
            <w:cnfStyle w:val="001000000000" w:firstRow="0" w:lastRow="0" w:firstColumn="1" w:lastColumn="0" w:oddVBand="0" w:evenVBand="0" w:oddHBand="0" w:evenHBand="0" w:firstRowFirstColumn="0" w:firstRowLastColumn="0" w:lastRowFirstColumn="0" w:lastRowLastColumn="0"/>
            <w:tcW w:w="1589" w:type="dxa"/>
            <w:noWrap/>
            <w:hideMark/>
          </w:tcPr>
          <w:p w:rsidR="009843D9" w:rsidRPr="009843D9" w:rsidRDefault="009843D9" w:rsidP="000B7534">
            <w:pPr>
              <w:spacing w:after="0" w:line="240" w:lineRule="auto"/>
              <w:rPr>
                <w:rFonts w:ascii="Arial Narrow" w:hAnsi="Arial Narrow"/>
                <w:sz w:val="16"/>
                <w:szCs w:val="16"/>
              </w:rPr>
            </w:pPr>
            <w:r w:rsidRPr="009843D9">
              <w:rPr>
                <w:rFonts w:ascii="Arial Narrow" w:hAnsi="Arial Narrow"/>
                <w:sz w:val="16"/>
                <w:szCs w:val="16"/>
              </w:rPr>
              <w:t>Obalno-kraška</w:t>
            </w:r>
          </w:p>
        </w:tc>
        <w:tc>
          <w:tcPr>
            <w:tcW w:w="644" w:type="dxa"/>
            <w:noWrap/>
            <w:hideMark/>
          </w:tcPr>
          <w:p w:rsidR="009843D9" w:rsidRPr="009843D9" w:rsidRDefault="009843D9"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2,79</w:t>
            </w:r>
          </w:p>
        </w:tc>
        <w:tc>
          <w:tcPr>
            <w:tcW w:w="557" w:type="dxa"/>
            <w:noWrap/>
            <w:hideMark/>
          </w:tcPr>
          <w:p w:rsidR="009843D9" w:rsidRPr="009843D9" w:rsidRDefault="009843D9"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2,51</w:t>
            </w:r>
          </w:p>
        </w:tc>
        <w:tc>
          <w:tcPr>
            <w:tcW w:w="557" w:type="dxa"/>
            <w:noWrap/>
            <w:hideMark/>
          </w:tcPr>
          <w:p w:rsidR="009843D9" w:rsidRPr="009843D9" w:rsidRDefault="009843D9"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2,59</w:t>
            </w:r>
          </w:p>
        </w:tc>
        <w:tc>
          <w:tcPr>
            <w:tcW w:w="557" w:type="dxa"/>
            <w:noWrap/>
            <w:hideMark/>
          </w:tcPr>
          <w:p w:rsidR="009843D9" w:rsidRPr="009843D9" w:rsidRDefault="009843D9"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3,56</w:t>
            </w:r>
          </w:p>
        </w:tc>
        <w:tc>
          <w:tcPr>
            <w:tcW w:w="557" w:type="dxa"/>
            <w:noWrap/>
            <w:hideMark/>
          </w:tcPr>
          <w:p w:rsidR="009843D9" w:rsidRPr="009843D9" w:rsidRDefault="009843D9"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3,3</w:t>
            </w:r>
          </w:p>
        </w:tc>
        <w:tc>
          <w:tcPr>
            <w:tcW w:w="556" w:type="dxa"/>
            <w:noWrap/>
            <w:hideMark/>
          </w:tcPr>
          <w:p w:rsidR="009843D9" w:rsidRPr="009843D9" w:rsidRDefault="009843D9"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4,77</w:t>
            </w:r>
          </w:p>
        </w:tc>
        <w:tc>
          <w:tcPr>
            <w:tcW w:w="556" w:type="dxa"/>
            <w:noWrap/>
            <w:hideMark/>
          </w:tcPr>
          <w:p w:rsidR="009843D9" w:rsidRPr="009843D9" w:rsidRDefault="009843D9"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3,99</w:t>
            </w:r>
          </w:p>
        </w:tc>
        <w:tc>
          <w:tcPr>
            <w:tcW w:w="556" w:type="dxa"/>
            <w:noWrap/>
            <w:hideMark/>
          </w:tcPr>
          <w:p w:rsidR="009843D9" w:rsidRPr="009843D9" w:rsidRDefault="009843D9"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3,77</w:t>
            </w:r>
          </w:p>
        </w:tc>
        <w:tc>
          <w:tcPr>
            <w:tcW w:w="556" w:type="dxa"/>
            <w:noWrap/>
            <w:hideMark/>
          </w:tcPr>
          <w:p w:rsidR="009843D9" w:rsidRPr="009843D9" w:rsidRDefault="009843D9"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4,36</w:t>
            </w:r>
          </w:p>
        </w:tc>
        <w:tc>
          <w:tcPr>
            <w:tcW w:w="556" w:type="dxa"/>
            <w:noWrap/>
            <w:hideMark/>
          </w:tcPr>
          <w:p w:rsidR="009843D9" w:rsidRPr="009843D9" w:rsidRDefault="009843D9"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3,85</w:t>
            </w:r>
          </w:p>
        </w:tc>
        <w:tc>
          <w:tcPr>
            <w:tcW w:w="556" w:type="dxa"/>
            <w:noWrap/>
            <w:hideMark/>
          </w:tcPr>
          <w:p w:rsidR="009843D9" w:rsidRPr="009843D9" w:rsidRDefault="009843D9"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2,69</w:t>
            </w:r>
          </w:p>
        </w:tc>
        <w:tc>
          <w:tcPr>
            <w:tcW w:w="556" w:type="dxa"/>
            <w:noWrap/>
            <w:hideMark/>
          </w:tcPr>
          <w:p w:rsidR="009843D9" w:rsidRPr="009843D9" w:rsidRDefault="009843D9"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2,36</w:t>
            </w:r>
          </w:p>
        </w:tc>
        <w:tc>
          <w:tcPr>
            <w:tcW w:w="556" w:type="dxa"/>
            <w:noWrap/>
            <w:hideMark/>
          </w:tcPr>
          <w:p w:rsidR="009843D9" w:rsidRPr="009843D9" w:rsidRDefault="009843D9"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2,59</w:t>
            </w:r>
          </w:p>
        </w:tc>
        <w:tc>
          <w:tcPr>
            <w:tcW w:w="556" w:type="dxa"/>
            <w:noWrap/>
            <w:hideMark/>
          </w:tcPr>
          <w:p w:rsidR="009843D9" w:rsidRPr="009843D9" w:rsidRDefault="009843D9"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2,09</w:t>
            </w:r>
          </w:p>
        </w:tc>
      </w:tr>
      <w:tr w:rsidR="009843D9" w:rsidRPr="009843D9" w:rsidTr="000B7534">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1589" w:type="dxa"/>
            <w:noWrap/>
            <w:hideMark/>
          </w:tcPr>
          <w:p w:rsidR="009843D9" w:rsidRPr="009843D9" w:rsidRDefault="009843D9" w:rsidP="000B7534">
            <w:pPr>
              <w:spacing w:after="0" w:line="240" w:lineRule="auto"/>
              <w:rPr>
                <w:rFonts w:ascii="Arial Narrow" w:hAnsi="Arial Narrow"/>
                <w:sz w:val="16"/>
                <w:szCs w:val="16"/>
              </w:rPr>
            </w:pPr>
            <w:r w:rsidRPr="009843D9">
              <w:rPr>
                <w:rFonts w:ascii="Arial Narrow" w:hAnsi="Arial Narrow"/>
                <w:sz w:val="16"/>
                <w:szCs w:val="16"/>
              </w:rPr>
              <w:t>Osrednjeslovenska</w:t>
            </w:r>
          </w:p>
        </w:tc>
        <w:tc>
          <w:tcPr>
            <w:tcW w:w="644" w:type="dxa"/>
            <w:noWrap/>
            <w:hideMark/>
          </w:tcPr>
          <w:p w:rsidR="009843D9" w:rsidRPr="009843D9" w:rsidRDefault="009843D9"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65,35</w:t>
            </w:r>
          </w:p>
        </w:tc>
        <w:tc>
          <w:tcPr>
            <w:tcW w:w="557" w:type="dxa"/>
            <w:noWrap/>
            <w:hideMark/>
          </w:tcPr>
          <w:p w:rsidR="009843D9" w:rsidRPr="009843D9" w:rsidRDefault="009843D9"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65,07</w:t>
            </w:r>
          </w:p>
        </w:tc>
        <w:tc>
          <w:tcPr>
            <w:tcW w:w="557" w:type="dxa"/>
            <w:noWrap/>
            <w:hideMark/>
          </w:tcPr>
          <w:p w:rsidR="009843D9" w:rsidRPr="009843D9" w:rsidRDefault="009843D9"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64,93</w:t>
            </w:r>
          </w:p>
        </w:tc>
        <w:tc>
          <w:tcPr>
            <w:tcW w:w="557" w:type="dxa"/>
            <w:noWrap/>
            <w:hideMark/>
          </w:tcPr>
          <w:p w:rsidR="009843D9" w:rsidRPr="009843D9" w:rsidRDefault="009843D9"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63,72</w:t>
            </w:r>
          </w:p>
        </w:tc>
        <w:tc>
          <w:tcPr>
            <w:tcW w:w="557" w:type="dxa"/>
            <w:noWrap/>
            <w:hideMark/>
          </w:tcPr>
          <w:p w:rsidR="009843D9" w:rsidRPr="009843D9" w:rsidRDefault="009843D9"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63,23</w:t>
            </w:r>
          </w:p>
        </w:tc>
        <w:tc>
          <w:tcPr>
            <w:tcW w:w="556" w:type="dxa"/>
            <w:noWrap/>
            <w:hideMark/>
          </w:tcPr>
          <w:p w:rsidR="009843D9" w:rsidRPr="009843D9" w:rsidRDefault="009843D9"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60,43</w:t>
            </w:r>
          </w:p>
        </w:tc>
        <w:tc>
          <w:tcPr>
            <w:tcW w:w="556" w:type="dxa"/>
            <w:noWrap/>
            <w:hideMark/>
          </w:tcPr>
          <w:p w:rsidR="009843D9" w:rsidRPr="009843D9" w:rsidRDefault="009843D9"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64,59</w:t>
            </w:r>
          </w:p>
        </w:tc>
        <w:tc>
          <w:tcPr>
            <w:tcW w:w="556" w:type="dxa"/>
            <w:noWrap/>
            <w:hideMark/>
          </w:tcPr>
          <w:p w:rsidR="009843D9" w:rsidRPr="009843D9" w:rsidRDefault="009843D9"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69,16</w:t>
            </w:r>
          </w:p>
        </w:tc>
        <w:tc>
          <w:tcPr>
            <w:tcW w:w="556" w:type="dxa"/>
            <w:noWrap/>
            <w:hideMark/>
          </w:tcPr>
          <w:p w:rsidR="009843D9" w:rsidRPr="009843D9" w:rsidRDefault="009843D9"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63,76</w:t>
            </w:r>
          </w:p>
        </w:tc>
        <w:tc>
          <w:tcPr>
            <w:tcW w:w="556" w:type="dxa"/>
            <w:noWrap/>
            <w:hideMark/>
          </w:tcPr>
          <w:p w:rsidR="009843D9" w:rsidRPr="009843D9" w:rsidRDefault="009843D9"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62,53</w:t>
            </w:r>
          </w:p>
        </w:tc>
        <w:tc>
          <w:tcPr>
            <w:tcW w:w="556" w:type="dxa"/>
            <w:noWrap/>
            <w:hideMark/>
          </w:tcPr>
          <w:p w:rsidR="009843D9" w:rsidRPr="009843D9" w:rsidRDefault="009843D9"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59,99</w:t>
            </w:r>
          </w:p>
        </w:tc>
        <w:tc>
          <w:tcPr>
            <w:tcW w:w="556" w:type="dxa"/>
            <w:noWrap/>
            <w:hideMark/>
          </w:tcPr>
          <w:p w:rsidR="009843D9" w:rsidRPr="009843D9" w:rsidRDefault="009843D9"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68,35</w:t>
            </w:r>
          </w:p>
        </w:tc>
        <w:tc>
          <w:tcPr>
            <w:tcW w:w="556" w:type="dxa"/>
            <w:noWrap/>
            <w:hideMark/>
          </w:tcPr>
          <w:p w:rsidR="009843D9" w:rsidRPr="009843D9" w:rsidRDefault="009843D9"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66,43</w:t>
            </w:r>
          </w:p>
        </w:tc>
        <w:tc>
          <w:tcPr>
            <w:tcW w:w="556" w:type="dxa"/>
            <w:noWrap/>
            <w:hideMark/>
          </w:tcPr>
          <w:p w:rsidR="009843D9" w:rsidRPr="009843D9" w:rsidRDefault="009843D9"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65,71</w:t>
            </w:r>
          </w:p>
        </w:tc>
      </w:tr>
      <w:tr w:rsidR="009843D9" w:rsidRPr="009843D9" w:rsidTr="000B7534">
        <w:trPr>
          <w:trHeight w:val="102"/>
        </w:trPr>
        <w:tc>
          <w:tcPr>
            <w:cnfStyle w:val="001000000000" w:firstRow="0" w:lastRow="0" w:firstColumn="1" w:lastColumn="0" w:oddVBand="0" w:evenVBand="0" w:oddHBand="0" w:evenHBand="0" w:firstRowFirstColumn="0" w:firstRowLastColumn="0" w:lastRowFirstColumn="0" w:lastRowLastColumn="0"/>
            <w:tcW w:w="1589" w:type="dxa"/>
            <w:noWrap/>
            <w:hideMark/>
          </w:tcPr>
          <w:p w:rsidR="009843D9" w:rsidRPr="009843D9" w:rsidRDefault="009843D9" w:rsidP="000B7534">
            <w:pPr>
              <w:spacing w:after="0" w:line="240" w:lineRule="auto"/>
              <w:rPr>
                <w:rFonts w:ascii="Arial Narrow" w:hAnsi="Arial Narrow"/>
                <w:sz w:val="16"/>
                <w:szCs w:val="16"/>
              </w:rPr>
            </w:pPr>
            <w:r w:rsidRPr="009843D9">
              <w:rPr>
                <w:rFonts w:ascii="Arial Narrow" w:hAnsi="Arial Narrow"/>
                <w:sz w:val="16"/>
                <w:szCs w:val="16"/>
              </w:rPr>
              <w:t>Podravska</w:t>
            </w:r>
          </w:p>
        </w:tc>
        <w:tc>
          <w:tcPr>
            <w:tcW w:w="644" w:type="dxa"/>
            <w:noWrap/>
            <w:hideMark/>
          </w:tcPr>
          <w:p w:rsidR="009843D9" w:rsidRPr="009843D9" w:rsidRDefault="009843D9"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12,95</w:t>
            </w:r>
          </w:p>
        </w:tc>
        <w:tc>
          <w:tcPr>
            <w:tcW w:w="557" w:type="dxa"/>
            <w:noWrap/>
            <w:hideMark/>
          </w:tcPr>
          <w:p w:rsidR="009843D9" w:rsidRPr="009843D9" w:rsidRDefault="009843D9"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12,79</w:t>
            </w:r>
          </w:p>
        </w:tc>
        <w:tc>
          <w:tcPr>
            <w:tcW w:w="557" w:type="dxa"/>
            <w:noWrap/>
            <w:hideMark/>
          </w:tcPr>
          <w:p w:rsidR="009843D9" w:rsidRPr="009843D9" w:rsidRDefault="009843D9"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11,92</w:t>
            </w:r>
          </w:p>
        </w:tc>
        <w:tc>
          <w:tcPr>
            <w:tcW w:w="557" w:type="dxa"/>
            <w:noWrap/>
            <w:hideMark/>
          </w:tcPr>
          <w:p w:rsidR="009843D9" w:rsidRPr="009843D9" w:rsidRDefault="009843D9"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12,92</w:t>
            </w:r>
          </w:p>
        </w:tc>
        <w:tc>
          <w:tcPr>
            <w:tcW w:w="557" w:type="dxa"/>
            <w:noWrap/>
            <w:hideMark/>
          </w:tcPr>
          <w:p w:rsidR="009843D9" w:rsidRPr="009843D9" w:rsidRDefault="009843D9"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12,16</w:t>
            </w:r>
          </w:p>
        </w:tc>
        <w:tc>
          <w:tcPr>
            <w:tcW w:w="556" w:type="dxa"/>
            <w:noWrap/>
            <w:hideMark/>
          </w:tcPr>
          <w:p w:rsidR="009843D9" w:rsidRPr="009843D9" w:rsidRDefault="009843D9"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12,19</w:t>
            </w:r>
          </w:p>
        </w:tc>
        <w:tc>
          <w:tcPr>
            <w:tcW w:w="556" w:type="dxa"/>
            <w:noWrap/>
            <w:hideMark/>
          </w:tcPr>
          <w:p w:rsidR="009843D9" w:rsidRPr="009843D9" w:rsidRDefault="009843D9"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12,1</w:t>
            </w:r>
          </w:p>
        </w:tc>
        <w:tc>
          <w:tcPr>
            <w:tcW w:w="556" w:type="dxa"/>
            <w:noWrap/>
            <w:hideMark/>
          </w:tcPr>
          <w:p w:rsidR="009843D9" w:rsidRPr="009843D9" w:rsidRDefault="009843D9"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9,72</w:t>
            </w:r>
          </w:p>
        </w:tc>
        <w:tc>
          <w:tcPr>
            <w:tcW w:w="556" w:type="dxa"/>
            <w:noWrap/>
            <w:hideMark/>
          </w:tcPr>
          <w:p w:rsidR="009843D9" w:rsidRPr="009843D9" w:rsidRDefault="009843D9"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11,9</w:t>
            </w:r>
          </w:p>
        </w:tc>
        <w:tc>
          <w:tcPr>
            <w:tcW w:w="556" w:type="dxa"/>
            <w:noWrap/>
            <w:hideMark/>
          </w:tcPr>
          <w:p w:rsidR="009843D9" w:rsidRPr="009843D9" w:rsidRDefault="009843D9"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13,58</w:t>
            </w:r>
          </w:p>
        </w:tc>
        <w:tc>
          <w:tcPr>
            <w:tcW w:w="556" w:type="dxa"/>
            <w:noWrap/>
            <w:hideMark/>
          </w:tcPr>
          <w:p w:rsidR="009843D9" w:rsidRPr="009843D9" w:rsidRDefault="009843D9"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17,1</w:t>
            </w:r>
          </w:p>
        </w:tc>
        <w:tc>
          <w:tcPr>
            <w:tcW w:w="556" w:type="dxa"/>
            <w:noWrap/>
            <w:hideMark/>
          </w:tcPr>
          <w:p w:rsidR="009843D9" w:rsidRPr="009843D9" w:rsidRDefault="009843D9"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12,84</w:t>
            </w:r>
          </w:p>
        </w:tc>
        <w:tc>
          <w:tcPr>
            <w:tcW w:w="556" w:type="dxa"/>
            <w:noWrap/>
            <w:hideMark/>
          </w:tcPr>
          <w:p w:rsidR="009843D9" w:rsidRPr="009843D9" w:rsidRDefault="009843D9"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11,15</w:t>
            </w:r>
          </w:p>
        </w:tc>
        <w:tc>
          <w:tcPr>
            <w:tcW w:w="556" w:type="dxa"/>
            <w:noWrap/>
            <w:hideMark/>
          </w:tcPr>
          <w:p w:rsidR="009843D9" w:rsidRPr="009843D9" w:rsidRDefault="009843D9"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11,28</w:t>
            </w:r>
          </w:p>
        </w:tc>
      </w:tr>
      <w:tr w:rsidR="009843D9" w:rsidRPr="009843D9" w:rsidTr="000B7534">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1589" w:type="dxa"/>
            <w:noWrap/>
            <w:hideMark/>
          </w:tcPr>
          <w:p w:rsidR="009843D9" w:rsidRPr="009843D9" w:rsidRDefault="009843D9" w:rsidP="000B7534">
            <w:pPr>
              <w:spacing w:after="0" w:line="240" w:lineRule="auto"/>
              <w:rPr>
                <w:rFonts w:ascii="Arial Narrow" w:hAnsi="Arial Narrow"/>
                <w:sz w:val="16"/>
                <w:szCs w:val="16"/>
              </w:rPr>
            </w:pPr>
            <w:r w:rsidRPr="009843D9">
              <w:rPr>
                <w:rFonts w:ascii="Arial Narrow" w:hAnsi="Arial Narrow"/>
                <w:sz w:val="16"/>
                <w:szCs w:val="16"/>
              </w:rPr>
              <w:t>Pomurska</w:t>
            </w:r>
          </w:p>
        </w:tc>
        <w:tc>
          <w:tcPr>
            <w:tcW w:w="644" w:type="dxa"/>
            <w:noWrap/>
            <w:hideMark/>
          </w:tcPr>
          <w:p w:rsidR="009843D9" w:rsidRPr="009843D9" w:rsidRDefault="009843D9"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2,05</w:t>
            </w:r>
          </w:p>
        </w:tc>
        <w:tc>
          <w:tcPr>
            <w:tcW w:w="557" w:type="dxa"/>
            <w:noWrap/>
            <w:hideMark/>
          </w:tcPr>
          <w:p w:rsidR="009843D9" w:rsidRPr="009843D9" w:rsidRDefault="009843D9"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1,56</w:t>
            </w:r>
          </w:p>
        </w:tc>
        <w:tc>
          <w:tcPr>
            <w:tcW w:w="557" w:type="dxa"/>
            <w:noWrap/>
            <w:hideMark/>
          </w:tcPr>
          <w:p w:rsidR="009843D9" w:rsidRPr="009843D9" w:rsidRDefault="009843D9"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2,39</w:t>
            </w:r>
          </w:p>
        </w:tc>
        <w:tc>
          <w:tcPr>
            <w:tcW w:w="557" w:type="dxa"/>
            <w:noWrap/>
            <w:hideMark/>
          </w:tcPr>
          <w:p w:rsidR="009843D9" w:rsidRPr="009843D9" w:rsidRDefault="009843D9"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2,14</w:t>
            </w:r>
          </w:p>
        </w:tc>
        <w:tc>
          <w:tcPr>
            <w:tcW w:w="557" w:type="dxa"/>
            <w:noWrap/>
            <w:hideMark/>
          </w:tcPr>
          <w:p w:rsidR="009843D9" w:rsidRPr="009843D9" w:rsidRDefault="009843D9"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3,32</w:t>
            </w:r>
          </w:p>
        </w:tc>
        <w:tc>
          <w:tcPr>
            <w:tcW w:w="556" w:type="dxa"/>
            <w:noWrap/>
            <w:hideMark/>
          </w:tcPr>
          <w:p w:rsidR="009843D9" w:rsidRPr="009843D9" w:rsidRDefault="009843D9"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3</w:t>
            </w:r>
          </w:p>
        </w:tc>
        <w:tc>
          <w:tcPr>
            <w:tcW w:w="556" w:type="dxa"/>
            <w:noWrap/>
            <w:hideMark/>
          </w:tcPr>
          <w:p w:rsidR="009843D9" w:rsidRPr="009843D9" w:rsidRDefault="009843D9"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2,75</w:t>
            </w:r>
          </w:p>
        </w:tc>
        <w:tc>
          <w:tcPr>
            <w:tcW w:w="556" w:type="dxa"/>
            <w:noWrap/>
            <w:hideMark/>
          </w:tcPr>
          <w:p w:rsidR="009843D9" w:rsidRPr="009843D9" w:rsidRDefault="009843D9"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1,77</w:t>
            </w:r>
          </w:p>
        </w:tc>
        <w:tc>
          <w:tcPr>
            <w:tcW w:w="556" w:type="dxa"/>
            <w:noWrap/>
            <w:hideMark/>
          </w:tcPr>
          <w:p w:rsidR="009843D9" w:rsidRPr="009843D9" w:rsidRDefault="009843D9"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1,67</w:t>
            </w:r>
          </w:p>
        </w:tc>
        <w:tc>
          <w:tcPr>
            <w:tcW w:w="556" w:type="dxa"/>
            <w:noWrap/>
            <w:hideMark/>
          </w:tcPr>
          <w:p w:rsidR="009843D9" w:rsidRPr="009843D9" w:rsidRDefault="009843D9"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1,86</w:t>
            </w:r>
          </w:p>
        </w:tc>
        <w:tc>
          <w:tcPr>
            <w:tcW w:w="556" w:type="dxa"/>
            <w:noWrap/>
            <w:hideMark/>
          </w:tcPr>
          <w:p w:rsidR="009843D9" w:rsidRPr="009843D9" w:rsidRDefault="009843D9"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1,41</w:t>
            </w:r>
          </w:p>
        </w:tc>
        <w:tc>
          <w:tcPr>
            <w:tcW w:w="556" w:type="dxa"/>
            <w:noWrap/>
            <w:hideMark/>
          </w:tcPr>
          <w:p w:rsidR="009843D9" w:rsidRPr="009843D9" w:rsidRDefault="009843D9"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1,48</w:t>
            </w:r>
          </w:p>
        </w:tc>
        <w:tc>
          <w:tcPr>
            <w:tcW w:w="556" w:type="dxa"/>
            <w:noWrap/>
            <w:hideMark/>
          </w:tcPr>
          <w:p w:rsidR="009843D9" w:rsidRPr="009843D9" w:rsidRDefault="009843D9"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1,23</w:t>
            </w:r>
          </w:p>
        </w:tc>
        <w:tc>
          <w:tcPr>
            <w:tcW w:w="556" w:type="dxa"/>
            <w:noWrap/>
            <w:hideMark/>
          </w:tcPr>
          <w:p w:rsidR="009843D9" w:rsidRPr="009843D9" w:rsidRDefault="009843D9"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1,55</w:t>
            </w:r>
          </w:p>
        </w:tc>
      </w:tr>
      <w:tr w:rsidR="009843D9" w:rsidRPr="009843D9" w:rsidTr="000B7534">
        <w:trPr>
          <w:trHeight w:val="102"/>
        </w:trPr>
        <w:tc>
          <w:tcPr>
            <w:cnfStyle w:val="001000000000" w:firstRow="0" w:lastRow="0" w:firstColumn="1" w:lastColumn="0" w:oddVBand="0" w:evenVBand="0" w:oddHBand="0" w:evenHBand="0" w:firstRowFirstColumn="0" w:firstRowLastColumn="0" w:lastRowFirstColumn="0" w:lastRowLastColumn="0"/>
            <w:tcW w:w="1589" w:type="dxa"/>
            <w:noWrap/>
            <w:hideMark/>
          </w:tcPr>
          <w:p w:rsidR="009843D9" w:rsidRPr="009843D9" w:rsidRDefault="009843D9" w:rsidP="000B7534">
            <w:pPr>
              <w:spacing w:after="0" w:line="240" w:lineRule="auto"/>
              <w:rPr>
                <w:rFonts w:ascii="Arial Narrow" w:hAnsi="Arial Narrow"/>
                <w:sz w:val="16"/>
                <w:szCs w:val="16"/>
              </w:rPr>
            </w:pPr>
            <w:r w:rsidRPr="009843D9">
              <w:rPr>
                <w:rFonts w:ascii="Arial Narrow" w:hAnsi="Arial Narrow"/>
                <w:sz w:val="16"/>
                <w:szCs w:val="16"/>
              </w:rPr>
              <w:t>Savinjska</w:t>
            </w:r>
          </w:p>
        </w:tc>
        <w:tc>
          <w:tcPr>
            <w:tcW w:w="644" w:type="dxa"/>
            <w:noWrap/>
            <w:hideMark/>
          </w:tcPr>
          <w:p w:rsidR="009843D9" w:rsidRPr="009843D9" w:rsidRDefault="009843D9"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4,83</w:t>
            </w:r>
          </w:p>
        </w:tc>
        <w:tc>
          <w:tcPr>
            <w:tcW w:w="557" w:type="dxa"/>
            <w:noWrap/>
            <w:hideMark/>
          </w:tcPr>
          <w:p w:rsidR="009843D9" w:rsidRPr="009843D9" w:rsidRDefault="009843D9"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4,54</w:t>
            </w:r>
          </w:p>
        </w:tc>
        <w:tc>
          <w:tcPr>
            <w:tcW w:w="557" w:type="dxa"/>
            <w:noWrap/>
            <w:hideMark/>
          </w:tcPr>
          <w:p w:rsidR="009843D9" w:rsidRPr="009843D9" w:rsidRDefault="009843D9"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5,66</w:t>
            </w:r>
          </w:p>
        </w:tc>
        <w:tc>
          <w:tcPr>
            <w:tcW w:w="557" w:type="dxa"/>
            <w:noWrap/>
            <w:hideMark/>
          </w:tcPr>
          <w:p w:rsidR="009843D9" w:rsidRPr="009843D9" w:rsidRDefault="009843D9"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4,67</w:t>
            </w:r>
          </w:p>
        </w:tc>
        <w:tc>
          <w:tcPr>
            <w:tcW w:w="557" w:type="dxa"/>
            <w:noWrap/>
            <w:hideMark/>
          </w:tcPr>
          <w:p w:rsidR="009843D9" w:rsidRPr="009843D9" w:rsidRDefault="009843D9"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4,67</w:t>
            </w:r>
          </w:p>
        </w:tc>
        <w:tc>
          <w:tcPr>
            <w:tcW w:w="556" w:type="dxa"/>
            <w:noWrap/>
            <w:hideMark/>
          </w:tcPr>
          <w:p w:rsidR="009843D9" w:rsidRPr="009843D9" w:rsidRDefault="009843D9"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6,02</w:t>
            </w:r>
          </w:p>
        </w:tc>
        <w:tc>
          <w:tcPr>
            <w:tcW w:w="556" w:type="dxa"/>
            <w:noWrap/>
            <w:hideMark/>
          </w:tcPr>
          <w:p w:rsidR="009843D9" w:rsidRPr="009843D9" w:rsidRDefault="009843D9"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4,93</w:t>
            </w:r>
          </w:p>
        </w:tc>
        <w:tc>
          <w:tcPr>
            <w:tcW w:w="556" w:type="dxa"/>
            <w:noWrap/>
            <w:hideMark/>
          </w:tcPr>
          <w:p w:rsidR="009843D9" w:rsidRPr="009843D9" w:rsidRDefault="009843D9"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3,81</w:t>
            </w:r>
          </w:p>
        </w:tc>
        <w:tc>
          <w:tcPr>
            <w:tcW w:w="556" w:type="dxa"/>
            <w:noWrap/>
            <w:hideMark/>
          </w:tcPr>
          <w:p w:rsidR="009843D9" w:rsidRPr="009843D9" w:rsidRDefault="009843D9"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4,35</w:t>
            </w:r>
          </w:p>
        </w:tc>
        <w:tc>
          <w:tcPr>
            <w:tcW w:w="556" w:type="dxa"/>
            <w:noWrap/>
            <w:hideMark/>
          </w:tcPr>
          <w:p w:rsidR="009843D9" w:rsidRPr="009843D9" w:rsidRDefault="009843D9"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4,05</w:t>
            </w:r>
          </w:p>
        </w:tc>
        <w:tc>
          <w:tcPr>
            <w:tcW w:w="556" w:type="dxa"/>
            <w:noWrap/>
            <w:hideMark/>
          </w:tcPr>
          <w:p w:rsidR="009843D9" w:rsidRPr="009843D9" w:rsidRDefault="009843D9"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5,27</w:t>
            </w:r>
          </w:p>
        </w:tc>
        <w:tc>
          <w:tcPr>
            <w:tcW w:w="556" w:type="dxa"/>
            <w:noWrap/>
            <w:hideMark/>
          </w:tcPr>
          <w:p w:rsidR="009843D9" w:rsidRPr="009843D9" w:rsidRDefault="009843D9"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3,72</w:t>
            </w:r>
          </w:p>
        </w:tc>
        <w:tc>
          <w:tcPr>
            <w:tcW w:w="556" w:type="dxa"/>
            <w:noWrap/>
            <w:hideMark/>
          </w:tcPr>
          <w:p w:rsidR="009843D9" w:rsidRPr="009843D9" w:rsidRDefault="009843D9"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5,06</w:t>
            </w:r>
          </w:p>
        </w:tc>
        <w:tc>
          <w:tcPr>
            <w:tcW w:w="556" w:type="dxa"/>
            <w:noWrap/>
            <w:hideMark/>
          </w:tcPr>
          <w:p w:rsidR="009843D9" w:rsidRPr="009843D9" w:rsidRDefault="009843D9"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4,09</w:t>
            </w:r>
          </w:p>
        </w:tc>
      </w:tr>
      <w:tr w:rsidR="009843D9" w:rsidRPr="009843D9" w:rsidTr="000B7534">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1589" w:type="dxa"/>
            <w:noWrap/>
            <w:hideMark/>
          </w:tcPr>
          <w:p w:rsidR="009843D9" w:rsidRPr="009843D9" w:rsidRDefault="009843D9" w:rsidP="000B7534">
            <w:pPr>
              <w:spacing w:after="0" w:line="240" w:lineRule="auto"/>
              <w:rPr>
                <w:rFonts w:ascii="Arial Narrow" w:hAnsi="Arial Narrow"/>
                <w:sz w:val="16"/>
                <w:szCs w:val="16"/>
              </w:rPr>
            </w:pPr>
            <w:proofErr w:type="spellStart"/>
            <w:r w:rsidRPr="00C2529D">
              <w:rPr>
                <w:rFonts w:ascii="Arial Narrow" w:hAnsi="Arial Narrow"/>
                <w:sz w:val="16"/>
                <w:szCs w:val="16"/>
              </w:rPr>
              <w:t>Spodnjeposavska</w:t>
            </w:r>
            <w:proofErr w:type="spellEnd"/>
          </w:p>
        </w:tc>
        <w:tc>
          <w:tcPr>
            <w:tcW w:w="644" w:type="dxa"/>
            <w:noWrap/>
            <w:hideMark/>
          </w:tcPr>
          <w:p w:rsidR="009843D9" w:rsidRPr="009843D9" w:rsidRDefault="009843D9"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1,39</w:t>
            </w:r>
          </w:p>
        </w:tc>
        <w:tc>
          <w:tcPr>
            <w:tcW w:w="557" w:type="dxa"/>
            <w:noWrap/>
            <w:hideMark/>
          </w:tcPr>
          <w:p w:rsidR="009843D9" w:rsidRPr="009843D9" w:rsidRDefault="009843D9"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1,39</w:t>
            </w:r>
          </w:p>
        </w:tc>
        <w:tc>
          <w:tcPr>
            <w:tcW w:w="557" w:type="dxa"/>
            <w:noWrap/>
            <w:hideMark/>
          </w:tcPr>
          <w:p w:rsidR="009843D9" w:rsidRPr="009843D9" w:rsidRDefault="009843D9"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1,53</w:t>
            </w:r>
          </w:p>
        </w:tc>
        <w:tc>
          <w:tcPr>
            <w:tcW w:w="557" w:type="dxa"/>
            <w:noWrap/>
            <w:hideMark/>
          </w:tcPr>
          <w:p w:rsidR="009843D9" w:rsidRPr="009843D9" w:rsidRDefault="009843D9"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1,66</w:t>
            </w:r>
          </w:p>
        </w:tc>
        <w:tc>
          <w:tcPr>
            <w:tcW w:w="557" w:type="dxa"/>
            <w:noWrap/>
            <w:hideMark/>
          </w:tcPr>
          <w:p w:rsidR="009843D9" w:rsidRPr="009843D9" w:rsidRDefault="009843D9"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1,86</w:t>
            </w:r>
          </w:p>
        </w:tc>
        <w:tc>
          <w:tcPr>
            <w:tcW w:w="556" w:type="dxa"/>
            <w:noWrap/>
            <w:hideMark/>
          </w:tcPr>
          <w:p w:rsidR="009843D9" w:rsidRPr="009843D9" w:rsidRDefault="009843D9"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2,18</w:t>
            </w:r>
          </w:p>
        </w:tc>
        <w:tc>
          <w:tcPr>
            <w:tcW w:w="556" w:type="dxa"/>
            <w:noWrap/>
            <w:hideMark/>
          </w:tcPr>
          <w:p w:rsidR="009843D9" w:rsidRPr="009843D9" w:rsidRDefault="009843D9"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1,15</w:t>
            </w:r>
          </w:p>
        </w:tc>
        <w:tc>
          <w:tcPr>
            <w:tcW w:w="556" w:type="dxa"/>
            <w:noWrap/>
            <w:hideMark/>
          </w:tcPr>
          <w:p w:rsidR="009843D9" w:rsidRPr="009843D9" w:rsidRDefault="009843D9"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1,38</w:t>
            </w:r>
          </w:p>
        </w:tc>
        <w:tc>
          <w:tcPr>
            <w:tcW w:w="556" w:type="dxa"/>
            <w:noWrap/>
            <w:hideMark/>
          </w:tcPr>
          <w:p w:rsidR="009843D9" w:rsidRPr="009843D9" w:rsidRDefault="009843D9"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1,44</w:t>
            </w:r>
          </w:p>
        </w:tc>
        <w:tc>
          <w:tcPr>
            <w:tcW w:w="556" w:type="dxa"/>
            <w:noWrap/>
            <w:hideMark/>
          </w:tcPr>
          <w:p w:rsidR="009843D9" w:rsidRPr="009843D9" w:rsidRDefault="009843D9"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1,97</w:t>
            </w:r>
          </w:p>
        </w:tc>
        <w:tc>
          <w:tcPr>
            <w:tcW w:w="556" w:type="dxa"/>
            <w:noWrap/>
            <w:hideMark/>
          </w:tcPr>
          <w:p w:rsidR="009843D9" w:rsidRPr="009843D9" w:rsidRDefault="009843D9"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2,13</w:t>
            </w:r>
          </w:p>
        </w:tc>
        <w:tc>
          <w:tcPr>
            <w:tcW w:w="556" w:type="dxa"/>
            <w:noWrap/>
            <w:hideMark/>
          </w:tcPr>
          <w:p w:rsidR="009843D9" w:rsidRPr="009843D9" w:rsidRDefault="009843D9"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0,89</w:t>
            </w:r>
          </w:p>
        </w:tc>
        <w:tc>
          <w:tcPr>
            <w:tcW w:w="556" w:type="dxa"/>
            <w:noWrap/>
            <w:hideMark/>
          </w:tcPr>
          <w:p w:rsidR="009843D9" w:rsidRPr="009843D9" w:rsidRDefault="009843D9"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1,28</w:t>
            </w:r>
          </w:p>
        </w:tc>
        <w:tc>
          <w:tcPr>
            <w:tcW w:w="556" w:type="dxa"/>
            <w:noWrap/>
            <w:hideMark/>
          </w:tcPr>
          <w:p w:rsidR="009843D9" w:rsidRPr="009843D9" w:rsidRDefault="009843D9"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1,09</w:t>
            </w:r>
          </w:p>
        </w:tc>
      </w:tr>
      <w:tr w:rsidR="009843D9" w:rsidRPr="009843D9" w:rsidTr="000B7534">
        <w:trPr>
          <w:trHeight w:val="102"/>
        </w:trPr>
        <w:tc>
          <w:tcPr>
            <w:cnfStyle w:val="001000000000" w:firstRow="0" w:lastRow="0" w:firstColumn="1" w:lastColumn="0" w:oddVBand="0" w:evenVBand="0" w:oddHBand="0" w:evenHBand="0" w:firstRowFirstColumn="0" w:firstRowLastColumn="0" w:lastRowFirstColumn="0" w:lastRowLastColumn="0"/>
            <w:tcW w:w="1589" w:type="dxa"/>
            <w:noWrap/>
            <w:hideMark/>
          </w:tcPr>
          <w:p w:rsidR="009843D9" w:rsidRPr="009843D9" w:rsidRDefault="009843D9" w:rsidP="000B7534">
            <w:pPr>
              <w:spacing w:after="0" w:line="240" w:lineRule="auto"/>
              <w:rPr>
                <w:rFonts w:ascii="Arial Narrow" w:hAnsi="Arial Narrow"/>
                <w:sz w:val="16"/>
                <w:szCs w:val="16"/>
              </w:rPr>
            </w:pPr>
            <w:r w:rsidRPr="009843D9">
              <w:rPr>
                <w:rFonts w:ascii="Arial Narrow" w:hAnsi="Arial Narrow"/>
                <w:sz w:val="16"/>
                <w:szCs w:val="16"/>
              </w:rPr>
              <w:t>Zasavska</w:t>
            </w:r>
          </w:p>
        </w:tc>
        <w:tc>
          <w:tcPr>
            <w:tcW w:w="644" w:type="dxa"/>
            <w:noWrap/>
            <w:hideMark/>
          </w:tcPr>
          <w:p w:rsidR="009843D9" w:rsidRPr="009843D9" w:rsidRDefault="009843D9"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0,25</w:t>
            </w:r>
          </w:p>
        </w:tc>
        <w:tc>
          <w:tcPr>
            <w:tcW w:w="557" w:type="dxa"/>
            <w:noWrap/>
            <w:hideMark/>
          </w:tcPr>
          <w:p w:rsidR="009843D9" w:rsidRPr="009843D9" w:rsidRDefault="009843D9"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0,25</w:t>
            </w:r>
          </w:p>
        </w:tc>
        <w:tc>
          <w:tcPr>
            <w:tcW w:w="557" w:type="dxa"/>
            <w:noWrap/>
            <w:hideMark/>
          </w:tcPr>
          <w:p w:rsidR="009843D9" w:rsidRPr="009843D9" w:rsidRDefault="009843D9"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0,3</w:t>
            </w:r>
          </w:p>
        </w:tc>
        <w:tc>
          <w:tcPr>
            <w:tcW w:w="557" w:type="dxa"/>
            <w:noWrap/>
            <w:hideMark/>
          </w:tcPr>
          <w:p w:rsidR="009843D9" w:rsidRPr="009843D9" w:rsidRDefault="009843D9"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0,35</w:t>
            </w:r>
          </w:p>
        </w:tc>
        <w:tc>
          <w:tcPr>
            <w:tcW w:w="557" w:type="dxa"/>
            <w:noWrap/>
            <w:hideMark/>
          </w:tcPr>
          <w:p w:rsidR="009843D9" w:rsidRPr="009843D9" w:rsidRDefault="009843D9"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0,34</w:t>
            </w:r>
          </w:p>
        </w:tc>
        <w:tc>
          <w:tcPr>
            <w:tcW w:w="556" w:type="dxa"/>
            <w:noWrap/>
            <w:hideMark/>
          </w:tcPr>
          <w:p w:rsidR="009843D9" w:rsidRPr="009843D9" w:rsidRDefault="009843D9"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0,32</w:t>
            </w:r>
          </w:p>
        </w:tc>
        <w:tc>
          <w:tcPr>
            <w:tcW w:w="556" w:type="dxa"/>
            <w:noWrap/>
            <w:hideMark/>
          </w:tcPr>
          <w:p w:rsidR="009843D9" w:rsidRPr="009843D9" w:rsidRDefault="009843D9"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0,27</w:t>
            </w:r>
          </w:p>
        </w:tc>
        <w:tc>
          <w:tcPr>
            <w:tcW w:w="556" w:type="dxa"/>
            <w:noWrap/>
            <w:hideMark/>
          </w:tcPr>
          <w:p w:rsidR="009843D9" w:rsidRPr="009843D9" w:rsidRDefault="009843D9"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0,23</w:t>
            </w:r>
          </w:p>
        </w:tc>
        <w:tc>
          <w:tcPr>
            <w:tcW w:w="556" w:type="dxa"/>
            <w:noWrap/>
            <w:hideMark/>
          </w:tcPr>
          <w:p w:rsidR="009843D9" w:rsidRPr="009843D9" w:rsidRDefault="009843D9"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0,71</w:t>
            </w:r>
          </w:p>
        </w:tc>
        <w:tc>
          <w:tcPr>
            <w:tcW w:w="556" w:type="dxa"/>
            <w:noWrap/>
            <w:hideMark/>
          </w:tcPr>
          <w:p w:rsidR="009843D9" w:rsidRPr="009843D9" w:rsidRDefault="009843D9"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0,25</w:t>
            </w:r>
          </w:p>
        </w:tc>
        <w:tc>
          <w:tcPr>
            <w:tcW w:w="556" w:type="dxa"/>
            <w:noWrap/>
            <w:hideMark/>
          </w:tcPr>
          <w:p w:rsidR="009843D9" w:rsidRPr="009843D9" w:rsidRDefault="009843D9"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0,25</w:t>
            </w:r>
          </w:p>
        </w:tc>
        <w:tc>
          <w:tcPr>
            <w:tcW w:w="556" w:type="dxa"/>
            <w:noWrap/>
            <w:hideMark/>
          </w:tcPr>
          <w:p w:rsidR="009843D9" w:rsidRPr="009843D9" w:rsidRDefault="009843D9"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0,24</w:t>
            </w:r>
          </w:p>
        </w:tc>
        <w:tc>
          <w:tcPr>
            <w:tcW w:w="556" w:type="dxa"/>
            <w:noWrap/>
            <w:hideMark/>
          </w:tcPr>
          <w:p w:rsidR="009843D9" w:rsidRPr="009843D9" w:rsidRDefault="009843D9"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0,24</w:t>
            </w:r>
          </w:p>
        </w:tc>
        <w:tc>
          <w:tcPr>
            <w:tcW w:w="556" w:type="dxa"/>
            <w:noWrap/>
            <w:hideMark/>
          </w:tcPr>
          <w:p w:rsidR="009843D9" w:rsidRPr="009843D9" w:rsidRDefault="009843D9" w:rsidP="000B753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0,27</w:t>
            </w:r>
          </w:p>
        </w:tc>
      </w:tr>
      <w:tr w:rsidR="009843D9" w:rsidRPr="009843D9" w:rsidTr="000B7534">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1589" w:type="dxa"/>
            <w:noWrap/>
            <w:hideMark/>
          </w:tcPr>
          <w:p w:rsidR="009843D9" w:rsidRPr="009843D9" w:rsidRDefault="009843D9" w:rsidP="000B7534">
            <w:pPr>
              <w:spacing w:after="0" w:line="240" w:lineRule="auto"/>
              <w:rPr>
                <w:rFonts w:ascii="Arial Narrow" w:hAnsi="Arial Narrow"/>
                <w:sz w:val="16"/>
                <w:szCs w:val="16"/>
              </w:rPr>
            </w:pPr>
            <w:r w:rsidRPr="009843D9">
              <w:rPr>
                <w:rFonts w:ascii="Arial Narrow" w:hAnsi="Arial Narrow"/>
                <w:sz w:val="16"/>
                <w:szCs w:val="16"/>
              </w:rPr>
              <w:t>Tujina/ostalo</w:t>
            </w:r>
          </w:p>
        </w:tc>
        <w:tc>
          <w:tcPr>
            <w:tcW w:w="644" w:type="dxa"/>
            <w:noWrap/>
            <w:hideMark/>
          </w:tcPr>
          <w:p w:rsidR="009843D9" w:rsidRPr="009843D9" w:rsidRDefault="009843D9"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1,16</w:t>
            </w:r>
          </w:p>
        </w:tc>
        <w:tc>
          <w:tcPr>
            <w:tcW w:w="557" w:type="dxa"/>
            <w:noWrap/>
            <w:hideMark/>
          </w:tcPr>
          <w:p w:rsidR="009843D9" w:rsidRPr="009843D9" w:rsidRDefault="009843D9"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1,18</w:t>
            </w:r>
          </w:p>
        </w:tc>
        <w:tc>
          <w:tcPr>
            <w:tcW w:w="557" w:type="dxa"/>
            <w:noWrap/>
            <w:hideMark/>
          </w:tcPr>
          <w:p w:rsidR="009843D9" w:rsidRPr="009843D9" w:rsidRDefault="009843D9"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0,87</w:t>
            </w:r>
          </w:p>
        </w:tc>
        <w:tc>
          <w:tcPr>
            <w:tcW w:w="557" w:type="dxa"/>
            <w:noWrap/>
            <w:hideMark/>
          </w:tcPr>
          <w:p w:rsidR="009843D9" w:rsidRPr="009843D9" w:rsidRDefault="009843D9"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0,8</w:t>
            </w:r>
          </w:p>
        </w:tc>
        <w:tc>
          <w:tcPr>
            <w:tcW w:w="557" w:type="dxa"/>
            <w:noWrap/>
            <w:hideMark/>
          </w:tcPr>
          <w:p w:rsidR="009843D9" w:rsidRPr="009843D9" w:rsidRDefault="009843D9"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0,09</w:t>
            </w:r>
          </w:p>
        </w:tc>
        <w:tc>
          <w:tcPr>
            <w:tcW w:w="556" w:type="dxa"/>
            <w:noWrap/>
            <w:hideMark/>
          </w:tcPr>
          <w:p w:rsidR="009843D9" w:rsidRPr="009843D9" w:rsidRDefault="009843D9"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0</w:t>
            </w:r>
          </w:p>
        </w:tc>
        <w:tc>
          <w:tcPr>
            <w:tcW w:w="556" w:type="dxa"/>
            <w:noWrap/>
            <w:hideMark/>
          </w:tcPr>
          <w:p w:rsidR="009843D9" w:rsidRPr="009843D9" w:rsidRDefault="009843D9"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0</w:t>
            </w:r>
          </w:p>
        </w:tc>
        <w:tc>
          <w:tcPr>
            <w:tcW w:w="556" w:type="dxa"/>
            <w:noWrap/>
            <w:hideMark/>
          </w:tcPr>
          <w:p w:rsidR="009843D9" w:rsidRPr="009843D9" w:rsidRDefault="009843D9"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0</w:t>
            </w:r>
          </w:p>
        </w:tc>
        <w:tc>
          <w:tcPr>
            <w:tcW w:w="556" w:type="dxa"/>
            <w:noWrap/>
            <w:hideMark/>
          </w:tcPr>
          <w:p w:rsidR="009843D9" w:rsidRPr="009843D9" w:rsidRDefault="009843D9"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0,15</w:t>
            </w:r>
          </w:p>
        </w:tc>
        <w:tc>
          <w:tcPr>
            <w:tcW w:w="556" w:type="dxa"/>
            <w:noWrap/>
            <w:hideMark/>
          </w:tcPr>
          <w:p w:rsidR="009843D9" w:rsidRPr="009843D9" w:rsidRDefault="009843D9"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0,23</w:t>
            </w:r>
          </w:p>
        </w:tc>
        <w:tc>
          <w:tcPr>
            <w:tcW w:w="556" w:type="dxa"/>
            <w:noWrap/>
            <w:hideMark/>
          </w:tcPr>
          <w:p w:rsidR="009843D9" w:rsidRPr="009843D9" w:rsidRDefault="009843D9"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0,2</w:t>
            </w:r>
          </w:p>
        </w:tc>
        <w:tc>
          <w:tcPr>
            <w:tcW w:w="556" w:type="dxa"/>
            <w:noWrap/>
            <w:hideMark/>
          </w:tcPr>
          <w:p w:rsidR="009843D9" w:rsidRPr="009843D9" w:rsidRDefault="009843D9"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0,27</w:t>
            </w:r>
          </w:p>
        </w:tc>
        <w:tc>
          <w:tcPr>
            <w:tcW w:w="556" w:type="dxa"/>
            <w:noWrap/>
            <w:hideMark/>
          </w:tcPr>
          <w:p w:rsidR="009843D9" w:rsidRPr="009843D9" w:rsidRDefault="009843D9"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0,2</w:t>
            </w:r>
          </w:p>
        </w:tc>
        <w:tc>
          <w:tcPr>
            <w:tcW w:w="556" w:type="dxa"/>
            <w:noWrap/>
            <w:hideMark/>
          </w:tcPr>
          <w:p w:rsidR="009843D9" w:rsidRPr="009843D9" w:rsidRDefault="009843D9" w:rsidP="000B753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9843D9">
              <w:rPr>
                <w:rFonts w:ascii="Arial Narrow" w:hAnsi="Arial Narrow"/>
                <w:sz w:val="16"/>
                <w:szCs w:val="16"/>
              </w:rPr>
              <w:t>0,25</w:t>
            </w:r>
          </w:p>
        </w:tc>
      </w:tr>
    </w:tbl>
    <w:p w:rsidR="00310C8B" w:rsidRDefault="00310C8B" w:rsidP="00310C8B">
      <w:pPr>
        <w:pStyle w:val="Podpispodtabeloaligrafom"/>
      </w:pPr>
      <w:r>
        <w:t>*</w:t>
      </w:r>
      <w:r w:rsidR="00FB768A">
        <w:t xml:space="preserve"> </w:t>
      </w:r>
      <w:r w:rsidR="00DD4306">
        <w:t>Gre za sredstva, ki se jih nameni javnim zavodom, občinam, nevladnim</w:t>
      </w:r>
      <w:r w:rsidR="009027BB">
        <w:t>/neprofitnim</w:t>
      </w:r>
      <w:r w:rsidR="00DD4306">
        <w:t xml:space="preserve"> organizacijam, verskim organizacijam, podjetjem in posameznikom</w:t>
      </w:r>
      <w:r w:rsidR="009843D9">
        <w:t xml:space="preserve"> za</w:t>
      </w:r>
      <w:r w:rsidR="00DD4306">
        <w:t xml:space="preserve"> izvajanje kulturne dejavnosti, obnovo spomenikov in investicije. </w:t>
      </w:r>
      <w:r>
        <w:t>Sredstva za izpostave Javnega sklada RS za kulturne dejavnosti v drugih regijah so upoštev</w:t>
      </w:r>
      <w:r w:rsidR="009843D9">
        <w:t>ana pri Mestni občini Ljubljana.</w:t>
      </w:r>
      <w:r w:rsidR="00DD5702">
        <w:t xml:space="preserve"> </w:t>
      </w:r>
      <w:r>
        <w:t>V sredstvih niso zajeta sredstva za delovanje Minis</w:t>
      </w:r>
      <w:r w:rsidR="00F63CAC">
        <w:t>trstva za kulturo, Arhiva RS in</w:t>
      </w:r>
      <w:r>
        <w:t xml:space="preserve"> Inšpektorata RS za kulturo in medije.</w:t>
      </w:r>
    </w:p>
    <w:p w:rsidR="00581D84" w:rsidRDefault="00581D84" w:rsidP="00425DEA"/>
    <w:p w:rsidR="00EB5438" w:rsidRDefault="00C71864" w:rsidP="00425DEA">
      <w:r w:rsidRPr="007F4AAE">
        <w:lastRenderedPageBreak/>
        <w:t>Kot smo že omenili, večino proračunskih sredstev za kulturo prejmejo javni zavodi</w:t>
      </w:r>
      <w:r w:rsidR="00780D24">
        <w:t>,</w:t>
      </w:r>
      <w:r w:rsidR="00C2529D" w:rsidRPr="007F4AAE">
        <w:t xml:space="preserve"> </w:t>
      </w:r>
      <w:r w:rsidR="00257F4E">
        <w:t>kar</w:t>
      </w:r>
      <w:r w:rsidR="00C2529D" w:rsidRPr="007F4AAE">
        <w:t xml:space="preserve"> je najverjetnejši razlog za velike </w:t>
      </w:r>
      <w:proofErr w:type="spellStart"/>
      <w:r w:rsidR="00C2529D" w:rsidRPr="007F4AAE">
        <w:t>medregijske</w:t>
      </w:r>
      <w:proofErr w:type="spellEnd"/>
      <w:r w:rsidR="00C2529D" w:rsidRPr="007F4AAE">
        <w:t xml:space="preserve"> razlike v porazdelitvi proračunskih sredstev. V </w:t>
      </w:r>
      <w:r w:rsidR="00EB5438" w:rsidRPr="007F4AAE">
        <w:t>osrednjeslovenski regiji, ki prejme daleč</w:t>
      </w:r>
      <w:r w:rsidR="00C2529D" w:rsidRPr="007F4AAE">
        <w:t xml:space="preserve"> največ sredstev</w:t>
      </w:r>
      <w:r w:rsidR="0056490D">
        <w:t xml:space="preserve">, </w:t>
      </w:r>
      <w:r w:rsidR="00C2529D" w:rsidRPr="007F4AAE">
        <w:t xml:space="preserve">domuje </w:t>
      </w:r>
      <w:r w:rsidR="007F4AAE">
        <w:t xml:space="preserve">1) </w:t>
      </w:r>
      <w:r w:rsidR="00C2529D" w:rsidRPr="007F4AAE">
        <w:t>največ javnih zavodov</w:t>
      </w:r>
      <w:r w:rsidR="007F4AAE">
        <w:t>; 2) največ javnih zavodov,</w:t>
      </w:r>
      <w:r w:rsidR="00EB5438" w:rsidRPr="007F4AAE">
        <w:t xml:space="preserve"> </w:t>
      </w:r>
      <w:r w:rsidR="007F4AAE">
        <w:t>ki jih je ustanovila država in 3) druge osebe javnega prava</w:t>
      </w:r>
      <w:r w:rsidR="00A34F5F">
        <w:t>, ki delujejo v kulturi na nacionalni ravni</w:t>
      </w:r>
      <w:r w:rsidR="007F4AAE">
        <w:t xml:space="preserve">: </w:t>
      </w:r>
      <w:r w:rsidR="00EB5438" w:rsidRPr="007F4AAE">
        <w:t>Slovenski filmski center,</w:t>
      </w:r>
      <w:r w:rsidR="00240081">
        <w:t xml:space="preserve"> </w:t>
      </w:r>
      <w:r w:rsidR="002D3E7F">
        <w:t xml:space="preserve">javna </w:t>
      </w:r>
      <w:r w:rsidR="00240081">
        <w:t>agencija</w:t>
      </w:r>
      <w:r w:rsidR="002D3E7F">
        <w:t xml:space="preserve"> RS,</w:t>
      </w:r>
      <w:r w:rsidR="00EB5438" w:rsidRPr="007F4AAE">
        <w:t xml:space="preserve"> Javna agencija za knjigo</w:t>
      </w:r>
      <w:r w:rsidR="00193263">
        <w:t xml:space="preserve"> RS</w:t>
      </w:r>
      <w:r w:rsidR="00EB5438" w:rsidRPr="007F4AAE">
        <w:t xml:space="preserve"> in </w:t>
      </w:r>
      <w:r w:rsidR="007F4AAE" w:rsidRPr="007F4AAE">
        <w:t xml:space="preserve">Javni </w:t>
      </w:r>
      <w:r w:rsidR="007F4AAE">
        <w:t>sklad RS za kulturne dejavnosti, Inšpektorat za kulturo in medije ter Arhiv RS.</w:t>
      </w:r>
      <w:r w:rsidR="00A34F5F">
        <w:t xml:space="preserve"> Na obseg sredstev, ki jih prejme določenega regija, vpliva poleg števila javnih kulturnih inštitucij v njej tudi velikost inštitucij oz. pomen (</w:t>
      </w:r>
      <w:r w:rsidR="00E41FFE">
        <w:t>npr. lokalni, regijski, nacionalni pomen</w:t>
      </w:r>
      <w:r w:rsidR="00A34F5F">
        <w:t>) ter obseg delovanja (javni ag</w:t>
      </w:r>
      <w:r w:rsidR="00A24F60">
        <w:t>enciji, sklad in inšpektorat</w:t>
      </w:r>
      <w:r w:rsidR="00A34F5F">
        <w:t xml:space="preserve"> skrbijo za območje celotne države)</w:t>
      </w:r>
      <w:r w:rsidR="00E41FFE">
        <w:t xml:space="preserve">. </w:t>
      </w:r>
      <w:r w:rsidR="006206C2">
        <w:t xml:space="preserve">A </w:t>
      </w:r>
      <w:r w:rsidR="00A24F60">
        <w:t xml:space="preserve">z </w:t>
      </w:r>
      <w:r w:rsidR="006206C2">
        <w:t>n</w:t>
      </w:r>
      <w:r w:rsidR="00E41FFE">
        <w:t>aštet</w:t>
      </w:r>
      <w:r w:rsidR="00A24F60">
        <w:t>im</w:t>
      </w:r>
      <w:r w:rsidR="00E41FFE">
        <w:t xml:space="preserve"> </w:t>
      </w:r>
      <w:r w:rsidR="006206C2">
        <w:t xml:space="preserve">verjetno </w:t>
      </w:r>
      <w:r w:rsidR="00E41FFE">
        <w:t xml:space="preserve">ne </w:t>
      </w:r>
      <w:r w:rsidR="00A24F60">
        <w:t>moremo pojasniti vseh razlik</w:t>
      </w:r>
      <w:r w:rsidR="00E41FFE">
        <w:t xml:space="preserve"> v financiranju regij</w:t>
      </w:r>
      <w:r w:rsidR="00A24F60">
        <w:t>. Dejstvo</w:t>
      </w:r>
      <w:r w:rsidR="00E41FFE">
        <w:t>, da je v osrednjeslovenski regiji največ najpomembnejših javnih kulturnih inštitucij</w:t>
      </w:r>
      <w:r w:rsidR="00E96B0D">
        <w:t>,</w:t>
      </w:r>
      <w:r w:rsidR="00E41FFE">
        <w:t xml:space="preserve"> ni </w:t>
      </w:r>
      <w:r w:rsidR="00FF2334">
        <w:t xml:space="preserve">niti </w:t>
      </w:r>
      <w:r w:rsidR="00E41FFE">
        <w:t xml:space="preserve">naravno dano </w:t>
      </w:r>
      <w:r w:rsidR="00FF2334">
        <w:t xml:space="preserve">niti </w:t>
      </w:r>
      <w:r w:rsidR="00A24F60">
        <w:t>preprosta</w:t>
      </w:r>
      <w:r w:rsidR="00FF2334">
        <w:t xml:space="preserve"> posledica kulturno-zgodovinskega razvoja, </w:t>
      </w:r>
      <w:r w:rsidR="00E41FFE">
        <w:t xml:space="preserve">temveč </w:t>
      </w:r>
      <w:r w:rsidR="00A24F60">
        <w:t xml:space="preserve">je </w:t>
      </w:r>
      <w:r w:rsidR="0056490D">
        <w:t xml:space="preserve">rezultat </w:t>
      </w:r>
      <w:r w:rsidR="00977EED">
        <w:t xml:space="preserve">tudi </w:t>
      </w:r>
      <w:r w:rsidR="0056490D">
        <w:t>političnih odločitev (kakor je njihov rezultat tudi način/obseg financiranja).</w:t>
      </w:r>
    </w:p>
    <w:p w:rsidR="008E2AB0" w:rsidRPr="0003029E" w:rsidRDefault="006D2D21" w:rsidP="00FD6C27">
      <w:pPr>
        <w:pStyle w:val="Naslovtabele"/>
      </w:pPr>
      <w:bookmarkStart w:id="146" w:name="_Toc490053361"/>
      <w:bookmarkStart w:id="147" w:name="_Toc490053732"/>
      <w:bookmarkStart w:id="148" w:name="_Toc490600004"/>
      <w:r>
        <w:t>Tabela 13</w:t>
      </w:r>
      <w:r w:rsidR="008E2AB0" w:rsidRPr="0003029E">
        <w:t>: Število poslovnih subjektov</w:t>
      </w:r>
      <w:r w:rsidR="00164BD7">
        <w:t xml:space="preserve"> v kulturi</w:t>
      </w:r>
      <w:r w:rsidR="008E2AB0" w:rsidRPr="0003029E">
        <w:t xml:space="preserve"> po statističnih regijah</w:t>
      </w:r>
      <w:r w:rsidR="009D69DE">
        <w:t xml:space="preserve"> (31. 12. 2015)</w:t>
      </w:r>
      <w:r w:rsidR="00DD5702">
        <w:t>*</w:t>
      </w:r>
      <w:bookmarkEnd w:id="146"/>
      <w:bookmarkEnd w:id="147"/>
      <w:bookmarkEnd w:id="148"/>
    </w:p>
    <w:tbl>
      <w:tblPr>
        <w:tblStyle w:val="Svetelseznampoudarek3"/>
        <w:tblW w:w="5000" w:type="pct"/>
        <w:tblLayout w:type="fixed"/>
        <w:tblLook w:val="04A0" w:firstRow="1" w:lastRow="0" w:firstColumn="1" w:lastColumn="0" w:noHBand="0" w:noVBand="1"/>
      </w:tblPr>
      <w:tblGrid>
        <w:gridCol w:w="1392"/>
        <w:gridCol w:w="740"/>
        <w:gridCol w:w="961"/>
        <w:gridCol w:w="715"/>
        <w:gridCol w:w="992"/>
        <w:gridCol w:w="992"/>
        <w:gridCol w:w="1421"/>
        <w:gridCol w:w="717"/>
        <w:gridCol w:w="856"/>
        <w:gridCol w:w="503"/>
      </w:tblGrid>
      <w:tr w:rsidR="005026D5" w:rsidRPr="00164BD7" w:rsidTr="005026D5">
        <w:trPr>
          <w:cnfStyle w:val="100000000000" w:firstRow="1" w:lastRow="0" w:firstColumn="0" w:lastColumn="0" w:oddVBand="0" w:evenVBand="0" w:oddHBand="0" w:evenHBand="0" w:firstRowFirstColumn="0" w:firstRowLastColumn="0" w:lastRowFirstColumn="0" w:lastRowLastColumn="0"/>
          <w:trHeight w:val="580"/>
        </w:trPr>
        <w:tc>
          <w:tcPr>
            <w:cnfStyle w:val="001000000000" w:firstRow="0" w:lastRow="0" w:firstColumn="1" w:lastColumn="0" w:oddVBand="0" w:evenVBand="0" w:oddHBand="0" w:evenHBand="0" w:firstRowFirstColumn="0" w:firstRowLastColumn="0" w:lastRowFirstColumn="0" w:lastRowLastColumn="0"/>
            <w:tcW w:w="749" w:type="pct"/>
            <w:noWrap/>
            <w:hideMark/>
          </w:tcPr>
          <w:p w:rsidR="00164BD7" w:rsidRPr="000471D1" w:rsidRDefault="00164BD7" w:rsidP="00164BD7">
            <w:pPr>
              <w:pStyle w:val="Podpispodtabeloaligrafom"/>
            </w:pPr>
            <w:r w:rsidRPr="000471D1">
              <w:t>Statistična regija</w:t>
            </w:r>
          </w:p>
        </w:tc>
        <w:tc>
          <w:tcPr>
            <w:tcW w:w="398" w:type="pct"/>
            <w:hideMark/>
          </w:tcPr>
          <w:p w:rsidR="00164BD7" w:rsidRPr="000471D1" w:rsidRDefault="00164BD7" w:rsidP="00DD5702">
            <w:pPr>
              <w:pStyle w:val="Podpispodtabeloaligrafom"/>
              <w:cnfStyle w:val="100000000000" w:firstRow="1" w:lastRow="0" w:firstColumn="0" w:lastColumn="0" w:oddVBand="0" w:evenVBand="0" w:oddHBand="0" w:evenHBand="0" w:firstRowFirstColumn="0" w:firstRowLastColumn="0" w:lastRowFirstColumn="0" w:lastRowLastColumn="0"/>
            </w:pPr>
            <w:r w:rsidRPr="000471D1">
              <w:t xml:space="preserve">Pravne osebe </w:t>
            </w:r>
            <w:proofErr w:type="spellStart"/>
            <w:r w:rsidRPr="000471D1">
              <w:t>javega</w:t>
            </w:r>
            <w:proofErr w:type="spellEnd"/>
            <w:r w:rsidRPr="000471D1">
              <w:t xml:space="preserve"> prava</w:t>
            </w:r>
            <w:r w:rsidR="00DD5702" w:rsidRPr="00DD5702">
              <w:rPr>
                <w:vertAlign w:val="superscript"/>
              </w:rPr>
              <w:t>1</w:t>
            </w:r>
          </w:p>
        </w:tc>
        <w:tc>
          <w:tcPr>
            <w:tcW w:w="517" w:type="pct"/>
            <w:hideMark/>
          </w:tcPr>
          <w:p w:rsidR="00164BD7" w:rsidRPr="000471D1" w:rsidRDefault="00164BD7" w:rsidP="00DD5702">
            <w:pPr>
              <w:pStyle w:val="Podpispodtabeloaligrafom"/>
              <w:cnfStyle w:val="100000000000" w:firstRow="1" w:lastRow="0" w:firstColumn="0" w:lastColumn="0" w:oddVBand="0" w:evenVBand="0" w:oddHBand="0" w:evenHBand="0" w:firstRowFirstColumn="0" w:firstRowLastColumn="0" w:lastRowFirstColumn="0" w:lastRowLastColumn="0"/>
            </w:pPr>
            <w:r w:rsidRPr="000471D1">
              <w:t xml:space="preserve">Nepridobitne organizacije </w:t>
            </w:r>
            <w:r w:rsidR="00F6212D">
              <w:t>–</w:t>
            </w:r>
            <w:r w:rsidRPr="000471D1">
              <w:t xml:space="preserve"> pravne osebe zasebnega prava</w:t>
            </w:r>
            <w:r w:rsidR="00DD5702" w:rsidRPr="00DD5702">
              <w:rPr>
                <w:vertAlign w:val="superscript"/>
              </w:rPr>
              <w:t>2</w:t>
            </w:r>
          </w:p>
        </w:tc>
        <w:tc>
          <w:tcPr>
            <w:tcW w:w="385" w:type="pct"/>
            <w:hideMark/>
          </w:tcPr>
          <w:p w:rsidR="00164BD7" w:rsidRPr="000471D1" w:rsidRDefault="00164BD7" w:rsidP="00164BD7">
            <w:pPr>
              <w:pStyle w:val="Podpispodtabeloaligrafom"/>
              <w:cnfStyle w:val="100000000000" w:firstRow="1" w:lastRow="0" w:firstColumn="0" w:lastColumn="0" w:oddVBand="0" w:evenVBand="0" w:oddHBand="0" w:evenHBand="0" w:firstRowFirstColumn="0" w:firstRowLastColumn="0" w:lastRowFirstColumn="0" w:lastRowLastColumn="0"/>
            </w:pPr>
            <w:r w:rsidRPr="000471D1">
              <w:t>Društva</w:t>
            </w:r>
          </w:p>
        </w:tc>
        <w:tc>
          <w:tcPr>
            <w:tcW w:w="534" w:type="pct"/>
            <w:hideMark/>
          </w:tcPr>
          <w:p w:rsidR="00164BD7" w:rsidRPr="00DD5702" w:rsidRDefault="00164BD7" w:rsidP="00DD5702">
            <w:pPr>
              <w:pStyle w:val="Podpispodtabeloaligrafom"/>
              <w:cnfStyle w:val="100000000000" w:firstRow="1" w:lastRow="0" w:firstColumn="0" w:lastColumn="0" w:oddVBand="0" w:evenVBand="0" w:oddHBand="0" w:evenHBand="0" w:firstRowFirstColumn="0" w:firstRowLastColumn="0" w:lastRowFirstColumn="0" w:lastRowLastColumn="0"/>
              <w:rPr>
                <w:vertAlign w:val="superscript"/>
              </w:rPr>
            </w:pPr>
            <w:r w:rsidRPr="000471D1">
              <w:t>Samostojni podjetniki posamezniki</w:t>
            </w:r>
            <w:r w:rsidR="00DD5702" w:rsidRPr="00DD5702">
              <w:rPr>
                <w:vertAlign w:val="superscript"/>
              </w:rPr>
              <w:t>2</w:t>
            </w:r>
          </w:p>
        </w:tc>
        <w:tc>
          <w:tcPr>
            <w:tcW w:w="534" w:type="pct"/>
            <w:hideMark/>
          </w:tcPr>
          <w:p w:rsidR="00164BD7" w:rsidRPr="000471D1" w:rsidRDefault="00164BD7" w:rsidP="00DD5702">
            <w:pPr>
              <w:pStyle w:val="Podpispodtabeloaligrafom"/>
              <w:cnfStyle w:val="100000000000" w:firstRow="1" w:lastRow="0" w:firstColumn="0" w:lastColumn="0" w:oddVBand="0" w:evenVBand="0" w:oddHBand="0" w:evenHBand="0" w:firstRowFirstColumn="0" w:firstRowLastColumn="0" w:lastRowFirstColumn="0" w:lastRowLastColumn="0"/>
            </w:pPr>
            <w:r w:rsidRPr="000471D1">
              <w:t>Gospodarske družbe</w:t>
            </w:r>
            <w:r w:rsidR="00DD5702">
              <w:rPr>
                <w:vertAlign w:val="superscript"/>
              </w:rPr>
              <w:t>2</w:t>
            </w:r>
          </w:p>
        </w:tc>
        <w:tc>
          <w:tcPr>
            <w:tcW w:w="765" w:type="pct"/>
            <w:hideMark/>
          </w:tcPr>
          <w:p w:rsidR="00164BD7" w:rsidRPr="000471D1" w:rsidRDefault="00164BD7" w:rsidP="00164BD7">
            <w:pPr>
              <w:pStyle w:val="Podpispodtabeloaligrafom"/>
              <w:cnfStyle w:val="100000000000" w:firstRow="1" w:lastRow="0" w:firstColumn="0" w:lastColumn="0" w:oddVBand="0" w:evenVBand="0" w:oddHBand="0" w:evenHBand="0" w:firstRowFirstColumn="0" w:firstRowLastColumn="0" w:lastRowFirstColumn="0" w:lastRowLastColumn="0"/>
            </w:pPr>
            <w:r w:rsidRPr="000471D1">
              <w:t>Druge fizične osebe, ki opravljajo registrirane oziroma s predpisom določene dejavnosti</w:t>
            </w:r>
          </w:p>
        </w:tc>
        <w:tc>
          <w:tcPr>
            <w:tcW w:w="386" w:type="pct"/>
            <w:hideMark/>
          </w:tcPr>
          <w:p w:rsidR="00164BD7" w:rsidRPr="000471D1" w:rsidRDefault="00164BD7" w:rsidP="00164BD7">
            <w:pPr>
              <w:pStyle w:val="Podpispodtabeloaligrafom"/>
              <w:cnfStyle w:val="100000000000" w:firstRow="1" w:lastRow="0" w:firstColumn="0" w:lastColumn="0" w:oddVBand="0" w:evenVBand="0" w:oddHBand="0" w:evenHBand="0" w:firstRowFirstColumn="0" w:firstRowLastColumn="0" w:lastRowFirstColumn="0" w:lastRowLastColumn="0"/>
            </w:pPr>
            <w:r w:rsidRPr="000471D1">
              <w:t>Zadruge</w:t>
            </w:r>
          </w:p>
        </w:tc>
        <w:tc>
          <w:tcPr>
            <w:tcW w:w="461" w:type="pct"/>
            <w:hideMark/>
          </w:tcPr>
          <w:p w:rsidR="00164BD7" w:rsidRPr="000471D1" w:rsidRDefault="00164BD7" w:rsidP="00164BD7">
            <w:pPr>
              <w:pStyle w:val="Podpispodtabeloaligrafom"/>
              <w:cnfStyle w:val="100000000000" w:firstRow="1" w:lastRow="0" w:firstColumn="0" w:lastColumn="0" w:oddVBand="0" w:evenVBand="0" w:oddHBand="0" w:evenHBand="0" w:firstRowFirstColumn="0" w:firstRowLastColumn="0" w:lastRowFirstColumn="0" w:lastRowLastColumn="0"/>
            </w:pPr>
            <w:r w:rsidRPr="000471D1">
              <w:t>Skupna vsota</w:t>
            </w:r>
          </w:p>
        </w:tc>
        <w:tc>
          <w:tcPr>
            <w:tcW w:w="272" w:type="pct"/>
            <w:hideMark/>
          </w:tcPr>
          <w:p w:rsidR="00164BD7" w:rsidRPr="000471D1" w:rsidRDefault="00164BD7" w:rsidP="00164BD7">
            <w:pPr>
              <w:pStyle w:val="Podpispodtabeloaligrafom"/>
              <w:cnfStyle w:val="100000000000" w:firstRow="1" w:lastRow="0" w:firstColumn="0" w:lastColumn="0" w:oddVBand="0" w:evenVBand="0" w:oddHBand="0" w:evenHBand="0" w:firstRowFirstColumn="0" w:firstRowLastColumn="0" w:lastRowFirstColumn="0" w:lastRowLastColumn="0"/>
            </w:pPr>
            <w:r w:rsidRPr="000471D1">
              <w:t>%</w:t>
            </w:r>
          </w:p>
        </w:tc>
      </w:tr>
      <w:tr w:rsidR="005026D5" w:rsidRPr="00164BD7" w:rsidTr="005026D5">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749" w:type="pct"/>
            <w:noWrap/>
            <w:hideMark/>
          </w:tcPr>
          <w:p w:rsidR="00164BD7" w:rsidRPr="00164BD7" w:rsidRDefault="00164BD7" w:rsidP="000B7534">
            <w:pPr>
              <w:pStyle w:val="Podpispodtabeloaligrafom"/>
              <w:spacing w:after="0"/>
            </w:pPr>
            <w:r w:rsidRPr="00164BD7">
              <w:t>Gorenjska</w:t>
            </w:r>
          </w:p>
        </w:tc>
        <w:tc>
          <w:tcPr>
            <w:tcW w:w="398" w:type="pct"/>
            <w:noWrap/>
            <w:hideMark/>
          </w:tcPr>
          <w:p w:rsidR="00164BD7" w:rsidRPr="00164BD7" w:rsidRDefault="00164BD7" w:rsidP="000B7534">
            <w:pPr>
              <w:pStyle w:val="Podpispodtabeloaligrafom"/>
              <w:spacing w:after="0"/>
              <w:cnfStyle w:val="000000100000" w:firstRow="0" w:lastRow="0" w:firstColumn="0" w:lastColumn="0" w:oddVBand="0" w:evenVBand="0" w:oddHBand="1" w:evenHBand="0" w:firstRowFirstColumn="0" w:firstRowLastColumn="0" w:lastRowFirstColumn="0" w:lastRowLastColumn="0"/>
            </w:pPr>
            <w:r w:rsidRPr="00164BD7">
              <w:t>21</w:t>
            </w:r>
          </w:p>
        </w:tc>
        <w:tc>
          <w:tcPr>
            <w:tcW w:w="517" w:type="pct"/>
            <w:noWrap/>
            <w:hideMark/>
          </w:tcPr>
          <w:p w:rsidR="00164BD7" w:rsidRPr="00164BD7" w:rsidRDefault="00164BD7" w:rsidP="000B7534">
            <w:pPr>
              <w:pStyle w:val="Podpispodtabeloaligrafom"/>
              <w:spacing w:after="0"/>
              <w:cnfStyle w:val="000000100000" w:firstRow="0" w:lastRow="0" w:firstColumn="0" w:lastColumn="0" w:oddVBand="0" w:evenVBand="0" w:oddHBand="1" w:evenHBand="0" w:firstRowFirstColumn="0" w:firstRowLastColumn="0" w:lastRowFirstColumn="0" w:lastRowLastColumn="0"/>
            </w:pPr>
            <w:r w:rsidRPr="00164BD7">
              <w:t>40</w:t>
            </w:r>
          </w:p>
        </w:tc>
        <w:tc>
          <w:tcPr>
            <w:tcW w:w="385" w:type="pct"/>
            <w:noWrap/>
            <w:hideMark/>
          </w:tcPr>
          <w:p w:rsidR="00164BD7" w:rsidRPr="00164BD7" w:rsidRDefault="00164BD7" w:rsidP="000B7534">
            <w:pPr>
              <w:pStyle w:val="Podpispodtabeloaligrafom"/>
              <w:spacing w:after="0"/>
              <w:cnfStyle w:val="000000100000" w:firstRow="0" w:lastRow="0" w:firstColumn="0" w:lastColumn="0" w:oddVBand="0" w:evenVBand="0" w:oddHBand="1" w:evenHBand="0" w:firstRowFirstColumn="0" w:firstRowLastColumn="0" w:lastRowFirstColumn="0" w:lastRowLastColumn="0"/>
            </w:pPr>
            <w:r w:rsidRPr="00164BD7">
              <w:t>56</w:t>
            </w:r>
          </w:p>
        </w:tc>
        <w:tc>
          <w:tcPr>
            <w:tcW w:w="534" w:type="pct"/>
            <w:noWrap/>
            <w:hideMark/>
          </w:tcPr>
          <w:p w:rsidR="00164BD7" w:rsidRPr="00164BD7" w:rsidRDefault="00164BD7" w:rsidP="000B7534">
            <w:pPr>
              <w:pStyle w:val="Podpispodtabeloaligrafom"/>
              <w:spacing w:after="0"/>
              <w:cnfStyle w:val="000000100000" w:firstRow="0" w:lastRow="0" w:firstColumn="0" w:lastColumn="0" w:oddVBand="0" w:evenVBand="0" w:oddHBand="1" w:evenHBand="0" w:firstRowFirstColumn="0" w:firstRowLastColumn="0" w:lastRowFirstColumn="0" w:lastRowLastColumn="0"/>
            </w:pPr>
            <w:r w:rsidRPr="00164BD7">
              <w:t>781</w:t>
            </w:r>
          </w:p>
        </w:tc>
        <w:tc>
          <w:tcPr>
            <w:tcW w:w="534" w:type="pct"/>
            <w:noWrap/>
            <w:hideMark/>
          </w:tcPr>
          <w:p w:rsidR="00164BD7" w:rsidRPr="00164BD7" w:rsidRDefault="00164BD7" w:rsidP="000B7534">
            <w:pPr>
              <w:pStyle w:val="Podpispodtabeloaligrafom"/>
              <w:spacing w:after="0"/>
              <w:cnfStyle w:val="000000100000" w:firstRow="0" w:lastRow="0" w:firstColumn="0" w:lastColumn="0" w:oddVBand="0" w:evenVBand="0" w:oddHBand="1" w:evenHBand="0" w:firstRowFirstColumn="0" w:firstRowLastColumn="0" w:lastRowFirstColumn="0" w:lastRowLastColumn="0"/>
            </w:pPr>
            <w:r w:rsidRPr="00164BD7">
              <w:t>201</w:t>
            </w:r>
          </w:p>
        </w:tc>
        <w:tc>
          <w:tcPr>
            <w:tcW w:w="765" w:type="pct"/>
            <w:noWrap/>
            <w:hideMark/>
          </w:tcPr>
          <w:p w:rsidR="00164BD7" w:rsidRPr="00164BD7" w:rsidRDefault="00164BD7" w:rsidP="000B7534">
            <w:pPr>
              <w:pStyle w:val="Podpispodtabeloaligrafom"/>
              <w:spacing w:after="0"/>
              <w:cnfStyle w:val="000000100000" w:firstRow="0" w:lastRow="0" w:firstColumn="0" w:lastColumn="0" w:oddVBand="0" w:evenVBand="0" w:oddHBand="1" w:evenHBand="0" w:firstRowFirstColumn="0" w:firstRowLastColumn="0" w:lastRowFirstColumn="0" w:lastRowLastColumn="0"/>
            </w:pPr>
            <w:r w:rsidRPr="00164BD7">
              <w:t>170</w:t>
            </w:r>
          </w:p>
        </w:tc>
        <w:tc>
          <w:tcPr>
            <w:tcW w:w="386" w:type="pct"/>
            <w:noWrap/>
            <w:hideMark/>
          </w:tcPr>
          <w:p w:rsidR="00164BD7" w:rsidRPr="00164BD7" w:rsidRDefault="00164BD7" w:rsidP="000B7534">
            <w:pPr>
              <w:pStyle w:val="Podpispodtabeloaligrafom"/>
              <w:spacing w:after="0"/>
              <w:cnfStyle w:val="000000100000" w:firstRow="0" w:lastRow="0" w:firstColumn="0" w:lastColumn="0" w:oddVBand="0" w:evenVBand="0" w:oddHBand="1" w:evenHBand="0" w:firstRowFirstColumn="0" w:firstRowLastColumn="0" w:lastRowFirstColumn="0" w:lastRowLastColumn="0"/>
            </w:pPr>
          </w:p>
        </w:tc>
        <w:tc>
          <w:tcPr>
            <w:tcW w:w="461" w:type="pct"/>
            <w:noWrap/>
            <w:hideMark/>
          </w:tcPr>
          <w:p w:rsidR="00164BD7" w:rsidRPr="00164BD7" w:rsidRDefault="00164BD7" w:rsidP="000B7534">
            <w:pPr>
              <w:pStyle w:val="Podpispodtabeloaligrafom"/>
              <w:spacing w:after="0"/>
              <w:cnfStyle w:val="000000100000" w:firstRow="0" w:lastRow="0" w:firstColumn="0" w:lastColumn="0" w:oddVBand="0" w:evenVBand="0" w:oddHBand="1" w:evenHBand="0" w:firstRowFirstColumn="0" w:firstRowLastColumn="0" w:lastRowFirstColumn="0" w:lastRowLastColumn="0"/>
              <w:rPr>
                <w:bCs/>
              </w:rPr>
            </w:pPr>
            <w:r w:rsidRPr="00164BD7">
              <w:rPr>
                <w:bCs/>
              </w:rPr>
              <w:t>1.269</w:t>
            </w:r>
          </w:p>
        </w:tc>
        <w:tc>
          <w:tcPr>
            <w:tcW w:w="272" w:type="pct"/>
            <w:noWrap/>
            <w:hideMark/>
          </w:tcPr>
          <w:p w:rsidR="00164BD7" w:rsidRPr="00164BD7" w:rsidRDefault="00164BD7" w:rsidP="000B7534">
            <w:pPr>
              <w:pStyle w:val="Podpispodtabeloaligrafom"/>
              <w:spacing w:after="0"/>
              <w:cnfStyle w:val="000000100000" w:firstRow="0" w:lastRow="0" w:firstColumn="0" w:lastColumn="0" w:oddVBand="0" w:evenVBand="0" w:oddHBand="1" w:evenHBand="0" w:firstRowFirstColumn="0" w:firstRowLastColumn="0" w:lastRowFirstColumn="0" w:lastRowLastColumn="0"/>
            </w:pPr>
            <w:r w:rsidRPr="00164BD7">
              <w:t>8,66</w:t>
            </w:r>
          </w:p>
        </w:tc>
      </w:tr>
      <w:tr w:rsidR="005026D5" w:rsidRPr="00164BD7" w:rsidTr="005026D5">
        <w:trPr>
          <w:trHeight w:val="102"/>
        </w:trPr>
        <w:tc>
          <w:tcPr>
            <w:cnfStyle w:val="001000000000" w:firstRow="0" w:lastRow="0" w:firstColumn="1" w:lastColumn="0" w:oddVBand="0" w:evenVBand="0" w:oddHBand="0" w:evenHBand="0" w:firstRowFirstColumn="0" w:firstRowLastColumn="0" w:lastRowFirstColumn="0" w:lastRowLastColumn="0"/>
            <w:tcW w:w="749" w:type="pct"/>
            <w:noWrap/>
            <w:hideMark/>
          </w:tcPr>
          <w:p w:rsidR="00164BD7" w:rsidRPr="00164BD7" w:rsidRDefault="00164BD7" w:rsidP="000B7534">
            <w:pPr>
              <w:pStyle w:val="Podpispodtabeloaligrafom"/>
              <w:spacing w:after="0"/>
            </w:pPr>
            <w:r w:rsidRPr="00164BD7">
              <w:t>Goriška</w:t>
            </w:r>
          </w:p>
        </w:tc>
        <w:tc>
          <w:tcPr>
            <w:tcW w:w="398" w:type="pct"/>
            <w:noWrap/>
            <w:hideMark/>
          </w:tcPr>
          <w:p w:rsidR="00164BD7" w:rsidRPr="00164BD7" w:rsidRDefault="00164BD7" w:rsidP="000B7534">
            <w:pPr>
              <w:pStyle w:val="Podpispodtabeloaligrafom"/>
              <w:spacing w:after="0"/>
              <w:cnfStyle w:val="000000000000" w:firstRow="0" w:lastRow="0" w:firstColumn="0" w:lastColumn="0" w:oddVBand="0" w:evenVBand="0" w:oddHBand="0" w:evenHBand="0" w:firstRowFirstColumn="0" w:firstRowLastColumn="0" w:lastRowFirstColumn="0" w:lastRowLastColumn="0"/>
            </w:pPr>
            <w:r w:rsidRPr="00164BD7">
              <w:t>18</w:t>
            </w:r>
          </w:p>
        </w:tc>
        <w:tc>
          <w:tcPr>
            <w:tcW w:w="517" w:type="pct"/>
            <w:noWrap/>
            <w:hideMark/>
          </w:tcPr>
          <w:p w:rsidR="00164BD7" w:rsidRPr="00164BD7" w:rsidRDefault="00164BD7" w:rsidP="000B7534">
            <w:pPr>
              <w:pStyle w:val="Podpispodtabeloaligrafom"/>
              <w:spacing w:after="0"/>
              <w:cnfStyle w:val="000000000000" w:firstRow="0" w:lastRow="0" w:firstColumn="0" w:lastColumn="0" w:oddVBand="0" w:evenVBand="0" w:oddHBand="0" w:evenHBand="0" w:firstRowFirstColumn="0" w:firstRowLastColumn="0" w:lastRowFirstColumn="0" w:lastRowLastColumn="0"/>
            </w:pPr>
            <w:r w:rsidRPr="00164BD7">
              <w:t>30</w:t>
            </w:r>
          </w:p>
        </w:tc>
        <w:tc>
          <w:tcPr>
            <w:tcW w:w="385" w:type="pct"/>
            <w:noWrap/>
            <w:hideMark/>
          </w:tcPr>
          <w:p w:rsidR="00164BD7" w:rsidRPr="00164BD7" w:rsidRDefault="00164BD7" w:rsidP="000B7534">
            <w:pPr>
              <w:pStyle w:val="Podpispodtabeloaligrafom"/>
              <w:spacing w:after="0"/>
              <w:cnfStyle w:val="000000000000" w:firstRow="0" w:lastRow="0" w:firstColumn="0" w:lastColumn="0" w:oddVBand="0" w:evenVBand="0" w:oddHBand="0" w:evenHBand="0" w:firstRowFirstColumn="0" w:firstRowLastColumn="0" w:lastRowFirstColumn="0" w:lastRowLastColumn="0"/>
            </w:pPr>
            <w:r w:rsidRPr="00164BD7">
              <w:t>43</w:t>
            </w:r>
          </w:p>
        </w:tc>
        <w:tc>
          <w:tcPr>
            <w:tcW w:w="534" w:type="pct"/>
            <w:noWrap/>
            <w:hideMark/>
          </w:tcPr>
          <w:p w:rsidR="00164BD7" w:rsidRPr="00164BD7" w:rsidRDefault="00164BD7" w:rsidP="000B7534">
            <w:pPr>
              <w:pStyle w:val="Podpispodtabeloaligrafom"/>
              <w:spacing w:after="0"/>
              <w:cnfStyle w:val="000000000000" w:firstRow="0" w:lastRow="0" w:firstColumn="0" w:lastColumn="0" w:oddVBand="0" w:evenVBand="0" w:oddHBand="0" w:evenHBand="0" w:firstRowFirstColumn="0" w:firstRowLastColumn="0" w:lastRowFirstColumn="0" w:lastRowLastColumn="0"/>
            </w:pPr>
            <w:r w:rsidRPr="00164BD7">
              <w:t>406</w:t>
            </w:r>
          </w:p>
        </w:tc>
        <w:tc>
          <w:tcPr>
            <w:tcW w:w="534" w:type="pct"/>
            <w:noWrap/>
            <w:hideMark/>
          </w:tcPr>
          <w:p w:rsidR="00164BD7" w:rsidRPr="00164BD7" w:rsidRDefault="00164BD7" w:rsidP="000B7534">
            <w:pPr>
              <w:pStyle w:val="Podpispodtabeloaligrafom"/>
              <w:spacing w:after="0"/>
              <w:cnfStyle w:val="000000000000" w:firstRow="0" w:lastRow="0" w:firstColumn="0" w:lastColumn="0" w:oddVBand="0" w:evenVBand="0" w:oddHBand="0" w:evenHBand="0" w:firstRowFirstColumn="0" w:firstRowLastColumn="0" w:lastRowFirstColumn="0" w:lastRowLastColumn="0"/>
            </w:pPr>
            <w:r w:rsidRPr="00164BD7">
              <w:t>125</w:t>
            </w:r>
          </w:p>
        </w:tc>
        <w:tc>
          <w:tcPr>
            <w:tcW w:w="765" w:type="pct"/>
            <w:noWrap/>
            <w:hideMark/>
          </w:tcPr>
          <w:p w:rsidR="00164BD7" w:rsidRPr="00164BD7" w:rsidRDefault="00164BD7" w:rsidP="000B7534">
            <w:pPr>
              <w:pStyle w:val="Podpispodtabeloaligrafom"/>
              <w:spacing w:after="0"/>
              <w:cnfStyle w:val="000000000000" w:firstRow="0" w:lastRow="0" w:firstColumn="0" w:lastColumn="0" w:oddVBand="0" w:evenVBand="0" w:oddHBand="0" w:evenHBand="0" w:firstRowFirstColumn="0" w:firstRowLastColumn="0" w:lastRowFirstColumn="0" w:lastRowLastColumn="0"/>
            </w:pPr>
            <w:r w:rsidRPr="00164BD7">
              <w:t>154</w:t>
            </w:r>
          </w:p>
        </w:tc>
        <w:tc>
          <w:tcPr>
            <w:tcW w:w="386" w:type="pct"/>
            <w:noWrap/>
            <w:hideMark/>
          </w:tcPr>
          <w:p w:rsidR="00164BD7" w:rsidRPr="00164BD7" w:rsidRDefault="00164BD7" w:rsidP="000B7534">
            <w:pPr>
              <w:pStyle w:val="Podpispodtabeloaligrafom"/>
              <w:spacing w:after="0"/>
              <w:cnfStyle w:val="000000000000" w:firstRow="0" w:lastRow="0" w:firstColumn="0" w:lastColumn="0" w:oddVBand="0" w:evenVBand="0" w:oddHBand="0" w:evenHBand="0" w:firstRowFirstColumn="0" w:firstRowLastColumn="0" w:lastRowFirstColumn="0" w:lastRowLastColumn="0"/>
            </w:pPr>
          </w:p>
        </w:tc>
        <w:tc>
          <w:tcPr>
            <w:tcW w:w="461" w:type="pct"/>
            <w:noWrap/>
            <w:hideMark/>
          </w:tcPr>
          <w:p w:rsidR="00164BD7" w:rsidRPr="00164BD7" w:rsidRDefault="00164BD7" w:rsidP="000B7534">
            <w:pPr>
              <w:pStyle w:val="Podpispodtabeloaligrafom"/>
              <w:spacing w:after="0"/>
              <w:cnfStyle w:val="000000000000" w:firstRow="0" w:lastRow="0" w:firstColumn="0" w:lastColumn="0" w:oddVBand="0" w:evenVBand="0" w:oddHBand="0" w:evenHBand="0" w:firstRowFirstColumn="0" w:firstRowLastColumn="0" w:lastRowFirstColumn="0" w:lastRowLastColumn="0"/>
              <w:rPr>
                <w:bCs/>
              </w:rPr>
            </w:pPr>
            <w:r w:rsidRPr="00164BD7">
              <w:rPr>
                <w:bCs/>
              </w:rPr>
              <w:t>776</w:t>
            </w:r>
          </w:p>
        </w:tc>
        <w:tc>
          <w:tcPr>
            <w:tcW w:w="272" w:type="pct"/>
            <w:noWrap/>
            <w:hideMark/>
          </w:tcPr>
          <w:p w:rsidR="00164BD7" w:rsidRPr="00164BD7" w:rsidRDefault="00164BD7" w:rsidP="000B7534">
            <w:pPr>
              <w:pStyle w:val="Podpispodtabeloaligrafom"/>
              <w:spacing w:after="0"/>
              <w:cnfStyle w:val="000000000000" w:firstRow="0" w:lastRow="0" w:firstColumn="0" w:lastColumn="0" w:oddVBand="0" w:evenVBand="0" w:oddHBand="0" w:evenHBand="0" w:firstRowFirstColumn="0" w:firstRowLastColumn="0" w:lastRowFirstColumn="0" w:lastRowLastColumn="0"/>
            </w:pPr>
            <w:r w:rsidRPr="00164BD7">
              <w:t>5,29</w:t>
            </w:r>
          </w:p>
        </w:tc>
      </w:tr>
      <w:tr w:rsidR="005026D5" w:rsidRPr="00164BD7" w:rsidTr="005026D5">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749" w:type="pct"/>
            <w:noWrap/>
            <w:hideMark/>
          </w:tcPr>
          <w:p w:rsidR="00164BD7" w:rsidRPr="00164BD7" w:rsidRDefault="000B7534" w:rsidP="000B7534">
            <w:pPr>
              <w:pStyle w:val="Podpispodtabeloaligrafom"/>
              <w:spacing w:after="0"/>
            </w:pPr>
            <w:r>
              <w:t>Jugovzhodna S</w:t>
            </w:r>
            <w:r w:rsidR="00164BD7" w:rsidRPr="00164BD7">
              <w:t>lovenija</w:t>
            </w:r>
          </w:p>
        </w:tc>
        <w:tc>
          <w:tcPr>
            <w:tcW w:w="398" w:type="pct"/>
            <w:noWrap/>
            <w:hideMark/>
          </w:tcPr>
          <w:p w:rsidR="00164BD7" w:rsidRPr="00164BD7" w:rsidRDefault="00164BD7" w:rsidP="000B7534">
            <w:pPr>
              <w:pStyle w:val="Podpispodtabeloaligrafom"/>
              <w:spacing w:after="0"/>
              <w:cnfStyle w:val="000000100000" w:firstRow="0" w:lastRow="0" w:firstColumn="0" w:lastColumn="0" w:oddVBand="0" w:evenVBand="0" w:oddHBand="1" w:evenHBand="0" w:firstRowFirstColumn="0" w:firstRowLastColumn="0" w:lastRowFirstColumn="0" w:lastRowLastColumn="0"/>
            </w:pPr>
            <w:r w:rsidRPr="00164BD7">
              <w:t>19</w:t>
            </w:r>
          </w:p>
        </w:tc>
        <w:tc>
          <w:tcPr>
            <w:tcW w:w="517" w:type="pct"/>
            <w:noWrap/>
            <w:hideMark/>
          </w:tcPr>
          <w:p w:rsidR="00164BD7" w:rsidRPr="00164BD7" w:rsidRDefault="00164BD7" w:rsidP="000B7534">
            <w:pPr>
              <w:pStyle w:val="Podpispodtabeloaligrafom"/>
              <w:spacing w:after="0"/>
              <w:cnfStyle w:val="000000100000" w:firstRow="0" w:lastRow="0" w:firstColumn="0" w:lastColumn="0" w:oddVBand="0" w:evenVBand="0" w:oddHBand="1" w:evenHBand="0" w:firstRowFirstColumn="0" w:firstRowLastColumn="0" w:lastRowFirstColumn="0" w:lastRowLastColumn="0"/>
            </w:pPr>
            <w:r w:rsidRPr="00164BD7">
              <w:t>29</w:t>
            </w:r>
          </w:p>
        </w:tc>
        <w:tc>
          <w:tcPr>
            <w:tcW w:w="385" w:type="pct"/>
            <w:noWrap/>
            <w:hideMark/>
          </w:tcPr>
          <w:p w:rsidR="00164BD7" w:rsidRPr="00164BD7" w:rsidRDefault="00164BD7" w:rsidP="000B7534">
            <w:pPr>
              <w:pStyle w:val="Podpispodtabeloaligrafom"/>
              <w:spacing w:after="0"/>
              <w:cnfStyle w:val="000000100000" w:firstRow="0" w:lastRow="0" w:firstColumn="0" w:lastColumn="0" w:oddVBand="0" w:evenVBand="0" w:oddHBand="1" w:evenHBand="0" w:firstRowFirstColumn="0" w:firstRowLastColumn="0" w:lastRowFirstColumn="0" w:lastRowLastColumn="0"/>
            </w:pPr>
            <w:r w:rsidRPr="00164BD7">
              <w:t>57</w:t>
            </w:r>
          </w:p>
        </w:tc>
        <w:tc>
          <w:tcPr>
            <w:tcW w:w="534" w:type="pct"/>
            <w:noWrap/>
            <w:hideMark/>
          </w:tcPr>
          <w:p w:rsidR="00164BD7" w:rsidRPr="00164BD7" w:rsidRDefault="00164BD7" w:rsidP="000B7534">
            <w:pPr>
              <w:pStyle w:val="Podpispodtabeloaligrafom"/>
              <w:spacing w:after="0"/>
              <w:cnfStyle w:val="000000100000" w:firstRow="0" w:lastRow="0" w:firstColumn="0" w:lastColumn="0" w:oddVBand="0" w:evenVBand="0" w:oddHBand="1" w:evenHBand="0" w:firstRowFirstColumn="0" w:firstRowLastColumn="0" w:lastRowFirstColumn="0" w:lastRowLastColumn="0"/>
            </w:pPr>
            <w:r w:rsidRPr="00164BD7">
              <w:t>305</w:t>
            </w:r>
          </w:p>
        </w:tc>
        <w:tc>
          <w:tcPr>
            <w:tcW w:w="534" w:type="pct"/>
            <w:noWrap/>
            <w:hideMark/>
          </w:tcPr>
          <w:p w:rsidR="00164BD7" w:rsidRPr="00164BD7" w:rsidRDefault="00164BD7" w:rsidP="000B7534">
            <w:pPr>
              <w:pStyle w:val="Podpispodtabeloaligrafom"/>
              <w:spacing w:after="0"/>
              <w:cnfStyle w:val="000000100000" w:firstRow="0" w:lastRow="0" w:firstColumn="0" w:lastColumn="0" w:oddVBand="0" w:evenVBand="0" w:oddHBand="1" w:evenHBand="0" w:firstRowFirstColumn="0" w:firstRowLastColumn="0" w:lastRowFirstColumn="0" w:lastRowLastColumn="0"/>
            </w:pPr>
            <w:r w:rsidRPr="00164BD7">
              <w:t>100</w:t>
            </w:r>
          </w:p>
        </w:tc>
        <w:tc>
          <w:tcPr>
            <w:tcW w:w="765" w:type="pct"/>
            <w:noWrap/>
            <w:hideMark/>
          </w:tcPr>
          <w:p w:rsidR="00164BD7" w:rsidRPr="00164BD7" w:rsidRDefault="00164BD7" w:rsidP="000B7534">
            <w:pPr>
              <w:pStyle w:val="Podpispodtabeloaligrafom"/>
              <w:spacing w:after="0"/>
              <w:cnfStyle w:val="000000100000" w:firstRow="0" w:lastRow="0" w:firstColumn="0" w:lastColumn="0" w:oddVBand="0" w:evenVBand="0" w:oddHBand="1" w:evenHBand="0" w:firstRowFirstColumn="0" w:firstRowLastColumn="0" w:lastRowFirstColumn="0" w:lastRowLastColumn="0"/>
            </w:pPr>
            <w:r w:rsidRPr="00164BD7">
              <w:t>90</w:t>
            </w:r>
          </w:p>
        </w:tc>
        <w:tc>
          <w:tcPr>
            <w:tcW w:w="386" w:type="pct"/>
            <w:noWrap/>
            <w:hideMark/>
          </w:tcPr>
          <w:p w:rsidR="00164BD7" w:rsidRPr="00164BD7" w:rsidRDefault="00164BD7" w:rsidP="000B7534">
            <w:pPr>
              <w:pStyle w:val="Podpispodtabeloaligrafom"/>
              <w:spacing w:after="0"/>
              <w:cnfStyle w:val="000000100000" w:firstRow="0" w:lastRow="0" w:firstColumn="0" w:lastColumn="0" w:oddVBand="0" w:evenVBand="0" w:oddHBand="1" w:evenHBand="0" w:firstRowFirstColumn="0" w:firstRowLastColumn="0" w:lastRowFirstColumn="0" w:lastRowLastColumn="0"/>
            </w:pPr>
          </w:p>
        </w:tc>
        <w:tc>
          <w:tcPr>
            <w:tcW w:w="461" w:type="pct"/>
            <w:noWrap/>
            <w:hideMark/>
          </w:tcPr>
          <w:p w:rsidR="00164BD7" w:rsidRPr="00164BD7" w:rsidRDefault="00164BD7" w:rsidP="000B7534">
            <w:pPr>
              <w:pStyle w:val="Podpispodtabeloaligrafom"/>
              <w:spacing w:after="0"/>
              <w:cnfStyle w:val="000000100000" w:firstRow="0" w:lastRow="0" w:firstColumn="0" w:lastColumn="0" w:oddVBand="0" w:evenVBand="0" w:oddHBand="1" w:evenHBand="0" w:firstRowFirstColumn="0" w:firstRowLastColumn="0" w:lastRowFirstColumn="0" w:lastRowLastColumn="0"/>
              <w:rPr>
                <w:bCs/>
              </w:rPr>
            </w:pPr>
            <w:r w:rsidRPr="00164BD7">
              <w:rPr>
                <w:bCs/>
              </w:rPr>
              <w:t>600</w:t>
            </w:r>
          </w:p>
        </w:tc>
        <w:tc>
          <w:tcPr>
            <w:tcW w:w="272" w:type="pct"/>
            <w:noWrap/>
            <w:hideMark/>
          </w:tcPr>
          <w:p w:rsidR="00164BD7" w:rsidRPr="00164BD7" w:rsidRDefault="00164BD7" w:rsidP="000B7534">
            <w:pPr>
              <w:pStyle w:val="Podpispodtabeloaligrafom"/>
              <w:spacing w:after="0"/>
              <w:cnfStyle w:val="000000100000" w:firstRow="0" w:lastRow="0" w:firstColumn="0" w:lastColumn="0" w:oddVBand="0" w:evenVBand="0" w:oddHBand="1" w:evenHBand="0" w:firstRowFirstColumn="0" w:firstRowLastColumn="0" w:lastRowFirstColumn="0" w:lastRowLastColumn="0"/>
            </w:pPr>
            <w:r w:rsidRPr="00164BD7">
              <w:t>4,09</w:t>
            </w:r>
          </w:p>
        </w:tc>
      </w:tr>
      <w:tr w:rsidR="005026D5" w:rsidRPr="00164BD7" w:rsidTr="005026D5">
        <w:trPr>
          <w:trHeight w:val="102"/>
        </w:trPr>
        <w:tc>
          <w:tcPr>
            <w:cnfStyle w:val="001000000000" w:firstRow="0" w:lastRow="0" w:firstColumn="1" w:lastColumn="0" w:oddVBand="0" w:evenVBand="0" w:oddHBand="0" w:evenHBand="0" w:firstRowFirstColumn="0" w:firstRowLastColumn="0" w:lastRowFirstColumn="0" w:lastRowLastColumn="0"/>
            <w:tcW w:w="749" w:type="pct"/>
            <w:noWrap/>
            <w:hideMark/>
          </w:tcPr>
          <w:p w:rsidR="00164BD7" w:rsidRPr="00164BD7" w:rsidRDefault="00164BD7" w:rsidP="000B7534">
            <w:pPr>
              <w:pStyle w:val="Podpispodtabeloaligrafom"/>
              <w:spacing w:after="0"/>
            </w:pPr>
            <w:r w:rsidRPr="00164BD7">
              <w:t>Koroška</w:t>
            </w:r>
          </w:p>
        </w:tc>
        <w:tc>
          <w:tcPr>
            <w:tcW w:w="398" w:type="pct"/>
            <w:noWrap/>
            <w:hideMark/>
          </w:tcPr>
          <w:p w:rsidR="00164BD7" w:rsidRPr="00164BD7" w:rsidRDefault="00164BD7" w:rsidP="000B7534">
            <w:pPr>
              <w:pStyle w:val="Podpispodtabeloaligrafom"/>
              <w:spacing w:after="0"/>
              <w:cnfStyle w:val="000000000000" w:firstRow="0" w:lastRow="0" w:firstColumn="0" w:lastColumn="0" w:oddVBand="0" w:evenVBand="0" w:oddHBand="0" w:evenHBand="0" w:firstRowFirstColumn="0" w:firstRowLastColumn="0" w:lastRowFirstColumn="0" w:lastRowLastColumn="0"/>
            </w:pPr>
            <w:r w:rsidRPr="00164BD7">
              <w:t>11</w:t>
            </w:r>
          </w:p>
        </w:tc>
        <w:tc>
          <w:tcPr>
            <w:tcW w:w="517" w:type="pct"/>
            <w:noWrap/>
            <w:hideMark/>
          </w:tcPr>
          <w:p w:rsidR="00164BD7" w:rsidRPr="00164BD7" w:rsidRDefault="00164BD7" w:rsidP="000B7534">
            <w:pPr>
              <w:pStyle w:val="Podpispodtabeloaligrafom"/>
              <w:spacing w:after="0"/>
              <w:cnfStyle w:val="000000000000" w:firstRow="0" w:lastRow="0" w:firstColumn="0" w:lastColumn="0" w:oddVBand="0" w:evenVBand="0" w:oddHBand="0" w:evenHBand="0" w:firstRowFirstColumn="0" w:firstRowLastColumn="0" w:lastRowFirstColumn="0" w:lastRowLastColumn="0"/>
            </w:pPr>
            <w:r w:rsidRPr="00164BD7">
              <w:t>3</w:t>
            </w:r>
          </w:p>
        </w:tc>
        <w:tc>
          <w:tcPr>
            <w:tcW w:w="385" w:type="pct"/>
            <w:noWrap/>
            <w:hideMark/>
          </w:tcPr>
          <w:p w:rsidR="00164BD7" w:rsidRPr="00164BD7" w:rsidRDefault="00164BD7" w:rsidP="000B7534">
            <w:pPr>
              <w:pStyle w:val="Podpispodtabeloaligrafom"/>
              <w:spacing w:after="0"/>
              <w:cnfStyle w:val="000000000000" w:firstRow="0" w:lastRow="0" w:firstColumn="0" w:lastColumn="0" w:oddVBand="0" w:evenVBand="0" w:oddHBand="0" w:evenHBand="0" w:firstRowFirstColumn="0" w:firstRowLastColumn="0" w:lastRowFirstColumn="0" w:lastRowLastColumn="0"/>
            </w:pPr>
            <w:r w:rsidRPr="00164BD7">
              <w:t>41</w:t>
            </w:r>
          </w:p>
        </w:tc>
        <w:tc>
          <w:tcPr>
            <w:tcW w:w="534" w:type="pct"/>
            <w:noWrap/>
            <w:hideMark/>
          </w:tcPr>
          <w:p w:rsidR="00164BD7" w:rsidRPr="00164BD7" w:rsidRDefault="00164BD7" w:rsidP="000B7534">
            <w:pPr>
              <w:pStyle w:val="Podpispodtabeloaligrafom"/>
              <w:spacing w:after="0"/>
              <w:cnfStyle w:val="000000000000" w:firstRow="0" w:lastRow="0" w:firstColumn="0" w:lastColumn="0" w:oddVBand="0" w:evenVBand="0" w:oddHBand="0" w:evenHBand="0" w:firstRowFirstColumn="0" w:firstRowLastColumn="0" w:lastRowFirstColumn="0" w:lastRowLastColumn="0"/>
            </w:pPr>
            <w:r w:rsidRPr="00164BD7">
              <w:t>175</w:t>
            </w:r>
          </w:p>
        </w:tc>
        <w:tc>
          <w:tcPr>
            <w:tcW w:w="534" w:type="pct"/>
            <w:noWrap/>
            <w:hideMark/>
          </w:tcPr>
          <w:p w:rsidR="00164BD7" w:rsidRPr="00164BD7" w:rsidRDefault="00164BD7" w:rsidP="000B7534">
            <w:pPr>
              <w:pStyle w:val="Podpispodtabeloaligrafom"/>
              <w:spacing w:after="0"/>
              <w:cnfStyle w:val="000000000000" w:firstRow="0" w:lastRow="0" w:firstColumn="0" w:lastColumn="0" w:oddVBand="0" w:evenVBand="0" w:oddHBand="0" w:evenHBand="0" w:firstRowFirstColumn="0" w:firstRowLastColumn="0" w:lastRowFirstColumn="0" w:lastRowLastColumn="0"/>
            </w:pPr>
            <w:r w:rsidRPr="00164BD7">
              <w:t>43</w:t>
            </w:r>
          </w:p>
        </w:tc>
        <w:tc>
          <w:tcPr>
            <w:tcW w:w="765" w:type="pct"/>
            <w:noWrap/>
            <w:hideMark/>
          </w:tcPr>
          <w:p w:rsidR="00164BD7" w:rsidRPr="00164BD7" w:rsidRDefault="00164BD7" w:rsidP="000B7534">
            <w:pPr>
              <w:pStyle w:val="Podpispodtabeloaligrafom"/>
              <w:spacing w:after="0"/>
              <w:cnfStyle w:val="000000000000" w:firstRow="0" w:lastRow="0" w:firstColumn="0" w:lastColumn="0" w:oddVBand="0" w:evenVBand="0" w:oddHBand="0" w:evenHBand="0" w:firstRowFirstColumn="0" w:firstRowLastColumn="0" w:lastRowFirstColumn="0" w:lastRowLastColumn="0"/>
            </w:pPr>
            <w:r w:rsidRPr="00164BD7">
              <w:t>27</w:t>
            </w:r>
          </w:p>
        </w:tc>
        <w:tc>
          <w:tcPr>
            <w:tcW w:w="386" w:type="pct"/>
            <w:noWrap/>
            <w:hideMark/>
          </w:tcPr>
          <w:p w:rsidR="00164BD7" w:rsidRPr="00164BD7" w:rsidRDefault="00164BD7" w:rsidP="000B7534">
            <w:pPr>
              <w:pStyle w:val="Podpispodtabeloaligrafom"/>
              <w:spacing w:after="0"/>
              <w:cnfStyle w:val="000000000000" w:firstRow="0" w:lastRow="0" w:firstColumn="0" w:lastColumn="0" w:oddVBand="0" w:evenVBand="0" w:oddHBand="0" w:evenHBand="0" w:firstRowFirstColumn="0" w:firstRowLastColumn="0" w:lastRowFirstColumn="0" w:lastRowLastColumn="0"/>
            </w:pPr>
            <w:r w:rsidRPr="00164BD7">
              <w:t>2</w:t>
            </w:r>
          </w:p>
        </w:tc>
        <w:tc>
          <w:tcPr>
            <w:tcW w:w="461" w:type="pct"/>
            <w:noWrap/>
            <w:hideMark/>
          </w:tcPr>
          <w:p w:rsidR="00164BD7" w:rsidRPr="00164BD7" w:rsidRDefault="00164BD7" w:rsidP="000B7534">
            <w:pPr>
              <w:pStyle w:val="Podpispodtabeloaligrafom"/>
              <w:spacing w:after="0"/>
              <w:cnfStyle w:val="000000000000" w:firstRow="0" w:lastRow="0" w:firstColumn="0" w:lastColumn="0" w:oddVBand="0" w:evenVBand="0" w:oddHBand="0" w:evenHBand="0" w:firstRowFirstColumn="0" w:firstRowLastColumn="0" w:lastRowFirstColumn="0" w:lastRowLastColumn="0"/>
              <w:rPr>
                <w:bCs/>
              </w:rPr>
            </w:pPr>
            <w:r w:rsidRPr="00164BD7">
              <w:rPr>
                <w:bCs/>
              </w:rPr>
              <w:t>302</w:t>
            </w:r>
          </w:p>
        </w:tc>
        <w:tc>
          <w:tcPr>
            <w:tcW w:w="272" w:type="pct"/>
            <w:noWrap/>
            <w:hideMark/>
          </w:tcPr>
          <w:p w:rsidR="00164BD7" w:rsidRPr="00164BD7" w:rsidRDefault="00164BD7" w:rsidP="000B7534">
            <w:pPr>
              <w:pStyle w:val="Podpispodtabeloaligrafom"/>
              <w:spacing w:after="0"/>
              <w:cnfStyle w:val="000000000000" w:firstRow="0" w:lastRow="0" w:firstColumn="0" w:lastColumn="0" w:oddVBand="0" w:evenVBand="0" w:oddHBand="0" w:evenHBand="0" w:firstRowFirstColumn="0" w:firstRowLastColumn="0" w:lastRowFirstColumn="0" w:lastRowLastColumn="0"/>
            </w:pPr>
            <w:r w:rsidRPr="00164BD7">
              <w:t>2,06</w:t>
            </w:r>
          </w:p>
        </w:tc>
      </w:tr>
      <w:tr w:rsidR="005026D5" w:rsidRPr="00164BD7" w:rsidTr="005026D5">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749" w:type="pct"/>
            <w:noWrap/>
            <w:hideMark/>
          </w:tcPr>
          <w:p w:rsidR="00164BD7" w:rsidRPr="00164BD7" w:rsidRDefault="00164BD7" w:rsidP="000B7534">
            <w:pPr>
              <w:pStyle w:val="Podpispodtabeloaligrafom"/>
              <w:spacing w:after="0"/>
            </w:pPr>
            <w:r w:rsidRPr="00164BD7">
              <w:t>Obalno-kraška</w:t>
            </w:r>
          </w:p>
        </w:tc>
        <w:tc>
          <w:tcPr>
            <w:tcW w:w="398" w:type="pct"/>
            <w:noWrap/>
            <w:hideMark/>
          </w:tcPr>
          <w:p w:rsidR="00164BD7" w:rsidRPr="00164BD7" w:rsidRDefault="00164BD7" w:rsidP="000B7534">
            <w:pPr>
              <w:pStyle w:val="Podpispodtabeloaligrafom"/>
              <w:spacing w:after="0"/>
              <w:cnfStyle w:val="000000100000" w:firstRow="0" w:lastRow="0" w:firstColumn="0" w:lastColumn="0" w:oddVBand="0" w:evenVBand="0" w:oddHBand="1" w:evenHBand="0" w:firstRowFirstColumn="0" w:firstRowLastColumn="0" w:lastRowFirstColumn="0" w:lastRowLastColumn="0"/>
            </w:pPr>
            <w:r w:rsidRPr="00164BD7">
              <w:t>15</w:t>
            </w:r>
          </w:p>
        </w:tc>
        <w:tc>
          <w:tcPr>
            <w:tcW w:w="517" w:type="pct"/>
            <w:noWrap/>
            <w:hideMark/>
          </w:tcPr>
          <w:p w:rsidR="00164BD7" w:rsidRPr="00164BD7" w:rsidRDefault="00164BD7" w:rsidP="000B7534">
            <w:pPr>
              <w:pStyle w:val="Podpispodtabeloaligrafom"/>
              <w:spacing w:after="0"/>
              <w:cnfStyle w:val="000000100000" w:firstRow="0" w:lastRow="0" w:firstColumn="0" w:lastColumn="0" w:oddVBand="0" w:evenVBand="0" w:oddHBand="1" w:evenHBand="0" w:firstRowFirstColumn="0" w:firstRowLastColumn="0" w:lastRowFirstColumn="0" w:lastRowLastColumn="0"/>
            </w:pPr>
            <w:r w:rsidRPr="00164BD7">
              <w:t>30</w:t>
            </w:r>
          </w:p>
        </w:tc>
        <w:tc>
          <w:tcPr>
            <w:tcW w:w="385" w:type="pct"/>
            <w:noWrap/>
            <w:hideMark/>
          </w:tcPr>
          <w:p w:rsidR="00164BD7" w:rsidRPr="00164BD7" w:rsidRDefault="00164BD7" w:rsidP="000B7534">
            <w:pPr>
              <w:pStyle w:val="Podpispodtabeloaligrafom"/>
              <w:spacing w:after="0"/>
              <w:cnfStyle w:val="000000100000" w:firstRow="0" w:lastRow="0" w:firstColumn="0" w:lastColumn="0" w:oddVBand="0" w:evenVBand="0" w:oddHBand="1" w:evenHBand="0" w:firstRowFirstColumn="0" w:firstRowLastColumn="0" w:lastRowFirstColumn="0" w:lastRowLastColumn="0"/>
            </w:pPr>
            <w:r w:rsidRPr="00164BD7">
              <w:t>44</w:t>
            </w:r>
          </w:p>
        </w:tc>
        <w:tc>
          <w:tcPr>
            <w:tcW w:w="534" w:type="pct"/>
            <w:noWrap/>
            <w:hideMark/>
          </w:tcPr>
          <w:p w:rsidR="00164BD7" w:rsidRPr="00164BD7" w:rsidRDefault="00164BD7" w:rsidP="000B7534">
            <w:pPr>
              <w:pStyle w:val="Podpispodtabeloaligrafom"/>
              <w:spacing w:after="0"/>
              <w:cnfStyle w:val="000000100000" w:firstRow="0" w:lastRow="0" w:firstColumn="0" w:lastColumn="0" w:oddVBand="0" w:evenVBand="0" w:oddHBand="1" w:evenHBand="0" w:firstRowFirstColumn="0" w:firstRowLastColumn="0" w:lastRowFirstColumn="0" w:lastRowLastColumn="0"/>
            </w:pPr>
            <w:r w:rsidRPr="00164BD7">
              <w:t>417</w:t>
            </w:r>
          </w:p>
        </w:tc>
        <w:tc>
          <w:tcPr>
            <w:tcW w:w="534" w:type="pct"/>
            <w:noWrap/>
            <w:hideMark/>
          </w:tcPr>
          <w:p w:rsidR="00164BD7" w:rsidRPr="00164BD7" w:rsidRDefault="00164BD7" w:rsidP="000B7534">
            <w:pPr>
              <w:pStyle w:val="Podpispodtabeloaligrafom"/>
              <w:spacing w:after="0"/>
              <w:cnfStyle w:val="000000100000" w:firstRow="0" w:lastRow="0" w:firstColumn="0" w:lastColumn="0" w:oddVBand="0" w:evenVBand="0" w:oddHBand="1" w:evenHBand="0" w:firstRowFirstColumn="0" w:firstRowLastColumn="0" w:lastRowFirstColumn="0" w:lastRowLastColumn="0"/>
            </w:pPr>
            <w:r w:rsidRPr="00164BD7">
              <w:t>182</w:t>
            </w:r>
          </w:p>
        </w:tc>
        <w:tc>
          <w:tcPr>
            <w:tcW w:w="765" w:type="pct"/>
            <w:noWrap/>
            <w:hideMark/>
          </w:tcPr>
          <w:p w:rsidR="00164BD7" w:rsidRPr="00164BD7" w:rsidRDefault="00164BD7" w:rsidP="000B7534">
            <w:pPr>
              <w:pStyle w:val="Podpispodtabeloaligrafom"/>
              <w:spacing w:after="0"/>
              <w:cnfStyle w:val="000000100000" w:firstRow="0" w:lastRow="0" w:firstColumn="0" w:lastColumn="0" w:oddVBand="0" w:evenVBand="0" w:oddHBand="1" w:evenHBand="0" w:firstRowFirstColumn="0" w:firstRowLastColumn="0" w:lastRowFirstColumn="0" w:lastRowLastColumn="0"/>
            </w:pPr>
            <w:r w:rsidRPr="00164BD7">
              <w:t>117</w:t>
            </w:r>
          </w:p>
        </w:tc>
        <w:tc>
          <w:tcPr>
            <w:tcW w:w="386" w:type="pct"/>
            <w:noWrap/>
            <w:hideMark/>
          </w:tcPr>
          <w:p w:rsidR="00164BD7" w:rsidRPr="00164BD7" w:rsidRDefault="00164BD7" w:rsidP="000B7534">
            <w:pPr>
              <w:pStyle w:val="Podpispodtabeloaligrafom"/>
              <w:spacing w:after="0"/>
              <w:cnfStyle w:val="000000100000" w:firstRow="0" w:lastRow="0" w:firstColumn="0" w:lastColumn="0" w:oddVBand="0" w:evenVBand="0" w:oddHBand="1" w:evenHBand="0" w:firstRowFirstColumn="0" w:firstRowLastColumn="0" w:lastRowFirstColumn="0" w:lastRowLastColumn="0"/>
            </w:pPr>
            <w:r w:rsidRPr="00164BD7">
              <w:t>2</w:t>
            </w:r>
          </w:p>
        </w:tc>
        <w:tc>
          <w:tcPr>
            <w:tcW w:w="461" w:type="pct"/>
            <w:noWrap/>
            <w:hideMark/>
          </w:tcPr>
          <w:p w:rsidR="00164BD7" w:rsidRPr="00164BD7" w:rsidRDefault="00164BD7" w:rsidP="000B7534">
            <w:pPr>
              <w:pStyle w:val="Podpispodtabeloaligrafom"/>
              <w:spacing w:after="0"/>
              <w:cnfStyle w:val="000000100000" w:firstRow="0" w:lastRow="0" w:firstColumn="0" w:lastColumn="0" w:oddVBand="0" w:evenVBand="0" w:oddHBand="1" w:evenHBand="0" w:firstRowFirstColumn="0" w:firstRowLastColumn="0" w:lastRowFirstColumn="0" w:lastRowLastColumn="0"/>
              <w:rPr>
                <w:bCs/>
              </w:rPr>
            </w:pPr>
            <w:r w:rsidRPr="00164BD7">
              <w:rPr>
                <w:bCs/>
              </w:rPr>
              <w:t>807</w:t>
            </w:r>
          </w:p>
        </w:tc>
        <w:tc>
          <w:tcPr>
            <w:tcW w:w="272" w:type="pct"/>
            <w:noWrap/>
            <w:hideMark/>
          </w:tcPr>
          <w:p w:rsidR="00164BD7" w:rsidRPr="00164BD7" w:rsidRDefault="00164BD7" w:rsidP="000B7534">
            <w:pPr>
              <w:pStyle w:val="Podpispodtabeloaligrafom"/>
              <w:spacing w:after="0"/>
              <w:cnfStyle w:val="000000100000" w:firstRow="0" w:lastRow="0" w:firstColumn="0" w:lastColumn="0" w:oddVBand="0" w:evenVBand="0" w:oddHBand="1" w:evenHBand="0" w:firstRowFirstColumn="0" w:firstRowLastColumn="0" w:lastRowFirstColumn="0" w:lastRowLastColumn="0"/>
            </w:pPr>
            <w:r w:rsidRPr="00164BD7">
              <w:t>5,51</w:t>
            </w:r>
          </w:p>
        </w:tc>
      </w:tr>
      <w:tr w:rsidR="005026D5" w:rsidRPr="00164BD7" w:rsidTr="005026D5">
        <w:trPr>
          <w:trHeight w:val="102"/>
        </w:trPr>
        <w:tc>
          <w:tcPr>
            <w:cnfStyle w:val="001000000000" w:firstRow="0" w:lastRow="0" w:firstColumn="1" w:lastColumn="0" w:oddVBand="0" w:evenVBand="0" w:oddHBand="0" w:evenHBand="0" w:firstRowFirstColumn="0" w:firstRowLastColumn="0" w:lastRowFirstColumn="0" w:lastRowLastColumn="0"/>
            <w:tcW w:w="749" w:type="pct"/>
            <w:noWrap/>
            <w:hideMark/>
          </w:tcPr>
          <w:p w:rsidR="00164BD7" w:rsidRPr="00164BD7" w:rsidRDefault="00164BD7" w:rsidP="000B7534">
            <w:pPr>
              <w:pStyle w:val="Podpispodtabeloaligrafom"/>
              <w:spacing w:after="0"/>
            </w:pPr>
            <w:r w:rsidRPr="00164BD7">
              <w:t>Osrednjeslovenska</w:t>
            </w:r>
          </w:p>
        </w:tc>
        <w:tc>
          <w:tcPr>
            <w:tcW w:w="398" w:type="pct"/>
            <w:noWrap/>
            <w:hideMark/>
          </w:tcPr>
          <w:p w:rsidR="00164BD7" w:rsidRPr="00164BD7" w:rsidRDefault="00164BD7" w:rsidP="000B7534">
            <w:pPr>
              <w:pStyle w:val="Podpispodtabeloaligrafom"/>
              <w:spacing w:after="0"/>
              <w:cnfStyle w:val="000000000000" w:firstRow="0" w:lastRow="0" w:firstColumn="0" w:lastColumn="0" w:oddVBand="0" w:evenVBand="0" w:oddHBand="0" w:evenHBand="0" w:firstRowFirstColumn="0" w:firstRowLastColumn="0" w:lastRowFirstColumn="0" w:lastRowLastColumn="0"/>
            </w:pPr>
            <w:r w:rsidRPr="00164BD7">
              <w:t>55</w:t>
            </w:r>
          </w:p>
        </w:tc>
        <w:tc>
          <w:tcPr>
            <w:tcW w:w="517" w:type="pct"/>
            <w:noWrap/>
            <w:hideMark/>
          </w:tcPr>
          <w:p w:rsidR="00164BD7" w:rsidRPr="00164BD7" w:rsidRDefault="00164BD7" w:rsidP="000B7534">
            <w:pPr>
              <w:pStyle w:val="Podpispodtabeloaligrafom"/>
              <w:spacing w:after="0"/>
              <w:cnfStyle w:val="000000000000" w:firstRow="0" w:lastRow="0" w:firstColumn="0" w:lastColumn="0" w:oddVBand="0" w:evenVBand="0" w:oddHBand="0" w:evenHBand="0" w:firstRowFirstColumn="0" w:firstRowLastColumn="0" w:lastRowFirstColumn="0" w:lastRowLastColumn="0"/>
            </w:pPr>
            <w:r w:rsidRPr="00164BD7">
              <w:t>387</w:t>
            </w:r>
          </w:p>
        </w:tc>
        <w:tc>
          <w:tcPr>
            <w:tcW w:w="385" w:type="pct"/>
            <w:noWrap/>
            <w:hideMark/>
          </w:tcPr>
          <w:p w:rsidR="00164BD7" w:rsidRPr="00164BD7" w:rsidRDefault="00164BD7" w:rsidP="000B7534">
            <w:pPr>
              <w:pStyle w:val="Podpispodtabeloaligrafom"/>
              <w:spacing w:after="0"/>
              <w:cnfStyle w:val="000000000000" w:firstRow="0" w:lastRow="0" w:firstColumn="0" w:lastColumn="0" w:oddVBand="0" w:evenVBand="0" w:oddHBand="0" w:evenHBand="0" w:firstRowFirstColumn="0" w:firstRowLastColumn="0" w:lastRowFirstColumn="0" w:lastRowLastColumn="0"/>
            </w:pPr>
            <w:r w:rsidRPr="00164BD7">
              <w:t>139</w:t>
            </w:r>
          </w:p>
        </w:tc>
        <w:tc>
          <w:tcPr>
            <w:tcW w:w="534" w:type="pct"/>
            <w:noWrap/>
            <w:hideMark/>
          </w:tcPr>
          <w:p w:rsidR="00164BD7" w:rsidRPr="00164BD7" w:rsidRDefault="00164BD7" w:rsidP="000B7534">
            <w:pPr>
              <w:pStyle w:val="Podpispodtabeloaligrafom"/>
              <w:spacing w:after="0"/>
              <w:cnfStyle w:val="000000000000" w:firstRow="0" w:lastRow="0" w:firstColumn="0" w:lastColumn="0" w:oddVBand="0" w:evenVBand="0" w:oddHBand="0" w:evenHBand="0" w:firstRowFirstColumn="0" w:firstRowLastColumn="0" w:lastRowFirstColumn="0" w:lastRowLastColumn="0"/>
            </w:pPr>
            <w:r w:rsidRPr="00164BD7">
              <w:t>2.981</w:t>
            </w:r>
          </w:p>
        </w:tc>
        <w:tc>
          <w:tcPr>
            <w:tcW w:w="534" w:type="pct"/>
            <w:noWrap/>
            <w:hideMark/>
          </w:tcPr>
          <w:p w:rsidR="00164BD7" w:rsidRPr="00164BD7" w:rsidRDefault="00164BD7" w:rsidP="000B7534">
            <w:pPr>
              <w:pStyle w:val="Podpispodtabeloaligrafom"/>
              <w:spacing w:after="0"/>
              <w:cnfStyle w:val="000000000000" w:firstRow="0" w:lastRow="0" w:firstColumn="0" w:lastColumn="0" w:oddVBand="0" w:evenVBand="0" w:oddHBand="0" w:evenHBand="0" w:firstRowFirstColumn="0" w:firstRowLastColumn="0" w:lastRowFirstColumn="0" w:lastRowLastColumn="0"/>
            </w:pPr>
            <w:r w:rsidRPr="00164BD7">
              <w:t>1.754</w:t>
            </w:r>
          </w:p>
        </w:tc>
        <w:tc>
          <w:tcPr>
            <w:tcW w:w="765" w:type="pct"/>
            <w:noWrap/>
            <w:hideMark/>
          </w:tcPr>
          <w:p w:rsidR="00164BD7" w:rsidRPr="00164BD7" w:rsidRDefault="00164BD7" w:rsidP="000B7534">
            <w:pPr>
              <w:pStyle w:val="Podpispodtabeloaligrafom"/>
              <w:spacing w:after="0"/>
              <w:cnfStyle w:val="000000000000" w:firstRow="0" w:lastRow="0" w:firstColumn="0" w:lastColumn="0" w:oddVBand="0" w:evenVBand="0" w:oddHBand="0" w:evenHBand="0" w:firstRowFirstColumn="0" w:firstRowLastColumn="0" w:lastRowFirstColumn="0" w:lastRowLastColumn="0"/>
            </w:pPr>
            <w:r w:rsidRPr="00164BD7">
              <w:t>1.636</w:t>
            </w:r>
          </w:p>
        </w:tc>
        <w:tc>
          <w:tcPr>
            <w:tcW w:w="386" w:type="pct"/>
            <w:noWrap/>
            <w:hideMark/>
          </w:tcPr>
          <w:p w:rsidR="00164BD7" w:rsidRPr="00164BD7" w:rsidRDefault="00164BD7" w:rsidP="000B7534">
            <w:pPr>
              <w:pStyle w:val="Podpispodtabeloaligrafom"/>
              <w:spacing w:after="0"/>
              <w:cnfStyle w:val="000000000000" w:firstRow="0" w:lastRow="0" w:firstColumn="0" w:lastColumn="0" w:oddVBand="0" w:evenVBand="0" w:oddHBand="0" w:evenHBand="0" w:firstRowFirstColumn="0" w:firstRowLastColumn="0" w:lastRowFirstColumn="0" w:lastRowLastColumn="0"/>
            </w:pPr>
            <w:r w:rsidRPr="00164BD7">
              <w:t>2</w:t>
            </w:r>
          </w:p>
        </w:tc>
        <w:tc>
          <w:tcPr>
            <w:tcW w:w="461" w:type="pct"/>
            <w:noWrap/>
            <w:hideMark/>
          </w:tcPr>
          <w:p w:rsidR="00164BD7" w:rsidRPr="00164BD7" w:rsidRDefault="00164BD7" w:rsidP="000B7534">
            <w:pPr>
              <w:pStyle w:val="Podpispodtabeloaligrafom"/>
              <w:spacing w:after="0"/>
              <w:cnfStyle w:val="000000000000" w:firstRow="0" w:lastRow="0" w:firstColumn="0" w:lastColumn="0" w:oddVBand="0" w:evenVBand="0" w:oddHBand="0" w:evenHBand="0" w:firstRowFirstColumn="0" w:firstRowLastColumn="0" w:lastRowFirstColumn="0" w:lastRowLastColumn="0"/>
              <w:rPr>
                <w:bCs/>
              </w:rPr>
            </w:pPr>
            <w:r w:rsidRPr="00164BD7">
              <w:rPr>
                <w:bCs/>
              </w:rPr>
              <w:t>6.954</w:t>
            </w:r>
          </w:p>
        </w:tc>
        <w:tc>
          <w:tcPr>
            <w:tcW w:w="272" w:type="pct"/>
            <w:noWrap/>
            <w:hideMark/>
          </w:tcPr>
          <w:p w:rsidR="00164BD7" w:rsidRPr="00164BD7" w:rsidRDefault="00164BD7" w:rsidP="000B7534">
            <w:pPr>
              <w:pStyle w:val="Podpispodtabeloaligrafom"/>
              <w:spacing w:after="0"/>
              <w:cnfStyle w:val="000000000000" w:firstRow="0" w:lastRow="0" w:firstColumn="0" w:lastColumn="0" w:oddVBand="0" w:evenVBand="0" w:oddHBand="0" w:evenHBand="0" w:firstRowFirstColumn="0" w:firstRowLastColumn="0" w:lastRowFirstColumn="0" w:lastRowLastColumn="0"/>
            </w:pPr>
            <w:r w:rsidRPr="00164BD7">
              <w:t>47,45</w:t>
            </w:r>
          </w:p>
        </w:tc>
      </w:tr>
      <w:tr w:rsidR="005026D5" w:rsidRPr="00164BD7" w:rsidTr="005026D5">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749" w:type="pct"/>
            <w:noWrap/>
            <w:hideMark/>
          </w:tcPr>
          <w:p w:rsidR="00164BD7" w:rsidRPr="00164BD7" w:rsidRDefault="00164BD7" w:rsidP="000B7534">
            <w:pPr>
              <w:pStyle w:val="Podpispodtabeloaligrafom"/>
              <w:spacing w:after="0"/>
            </w:pPr>
            <w:r w:rsidRPr="00164BD7">
              <w:t>Podravska</w:t>
            </w:r>
          </w:p>
        </w:tc>
        <w:tc>
          <w:tcPr>
            <w:tcW w:w="398" w:type="pct"/>
            <w:noWrap/>
            <w:hideMark/>
          </w:tcPr>
          <w:p w:rsidR="00164BD7" w:rsidRPr="00164BD7" w:rsidRDefault="00164BD7" w:rsidP="000B7534">
            <w:pPr>
              <w:pStyle w:val="Podpispodtabeloaligrafom"/>
              <w:spacing w:after="0"/>
              <w:cnfStyle w:val="000000100000" w:firstRow="0" w:lastRow="0" w:firstColumn="0" w:lastColumn="0" w:oddVBand="0" w:evenVBand="0" w:oddHBand="1" w:evenHBand="0" w:firstRowFirstColumn="0" w:firstRowLastColumn="0" w:lastRowFirstColumn="0" w:lastRowLastColumn="0"/>
            </w:pPr>
            <w:r w:rsidRPr="00164BD7">
              <w:t>27</w:t>
            </w:r>
          </w:p>
        </w:tc>
        <w:tc>
          <w:tcPr>
            <w:tcW w:w="517" w:type="pct"/>
            <w:noWrap/>
            <w:hideMark/>
          </w:tcPr>
          <w:p w:rsidR="00164BD7" w:rsidRPr="00164BD7" w:rsidRDefault="00164BD7" w:rsidP="000B7534">
            <w:pPr>
              <w:pStyle w:val="Podpispodtabeloaligrafom"/>
              <w:spacing w:after="0"/>
              <w:cnfStyle w:val="000000100000" w:firstRow="0" w:lastRow="0" w:firstColumn="0" w:lastColumn="0" w:oddVBand="0" w:evenVBand="0" w:oddHBand="1" w:evenHBand="0" w:firstRowFirstColumn="0" w:firstRowLastColumn="0" w:lastRowFirstColumn="0" w:lastRowLastColumn="0"/>
            </w:pPr>
            <w:r w:rsidRPr="00164BD7">
              <w:t>68</w:t>
            </w:r>
          </w:p>
        </w:tc>
        <w:tc>
          <w:tcPr>
            <w:tcW w:w="385" w:type="pct"/>
            <w:noWrap/>
            <w:hideMark/>
          </w:tcPr>
          <w:p w:rsidR="00164BD7" w:rsidRPr="00164BD7" w:rsidRDefault="00164BD7" w:rsidP="000B7534">
            <w:pPr>
              <w:pStyle w:val="Podpispodtabeloaligrafom"/>
              <w:spacing w:after="0"/>
              <w:cnfStyle w:val="000000100000" w:firstRow="0" w:lastRow="0" w:firstColumn="0" w:lastColumn="0" w:oddVBand="0" w:evenVBand="0" w:oddHBand="1" w:evenHBand="0" w:firstRowFirstColumn="0" w:firstRowLastColumn="0" w:lastRowFirstColumn="0" w:lastRowLastColumn="0"/>
            </w:pPr>
            <w:r w:rsidRPr="00164BD7">
              <w:t>58</w:t>
            </w:r>
          </w:p>
        </w:tc>
        <w:tc>
          <w:tcPr>
            <w:tcW w:w="534" w:type="pct"/>
            <w:noWrap/>
            <w:hideMark/>
          </w:tcPr>
          <w:p w:rsidR="00164BD7" w:rsidRPr="00164BD7" w:rsidRDefault="00164BD7" w:rsidP="000B7534">
            <w:pPr>
              <w:pStyle w:val="Podpispodtabeloaligrafom"/>
              <w:spacing w:after="0"/>
              <w:cnfStyle w:val="000000100000" w:firstRow="0" w:lastRow="0" w:firstColumn="0" w:lastColumn="0" w:oddVBand="0" w:evenVBand="0" w:oddHBand="1" w:evenHBand="0" w:firstRowFirstColumn="0" w:firstRowLastColumn="0" w:lastRowFirstColumn="0" w:lastRowLastColumn="0"/>
            </w:pPr>
            <w:r w:rsidRPr="00164BD7">
              <w:t>865</w:t>
            </w:r>
          </w:p>
        </w:tc>
        <w:tc>
          <w:tcPr>
            <w:tcW w:w="534" w:type="pct"/>
            <w:noWrap/>
            <w:hideMark/>
          </w:tcPr>
          <w:p w:rsidR="00164BD7" w:rsidRPr="00164BD7" w:rsidRDefault="00164BD7" w:rsidP="000B7534">
            <w:pPr>
              <w:pStyle w:val="Podpispodtabeloaligrafom"/>
              <w:spacing w:after="0"/>
              <w:cnfStyle w:val="000000100000" w:firstRow="0" w:lastRow="0" w:firstColumn="0" w:lastColumn="0" w:oddVBand="0" w:evenVBand="0" w:oddHBand="1" w:evenHBand="0" w:firstRowFirstColumn="0" w:firstRowLastColumn="0" w:lastRowFirstColumn="0" w:lastRowLastColumn="0"/>
            </w:pPr>
            <w:r w:rsidRPr="00164BD7">
              <w:t>337</w:t>
            </w:r>
          </w:p>
        </w:tc>
        <w:tc>
          <w:tcPr>
            <w:tcW w:w="765" w:type="pct"/>
            <w:noWrap/>
            <w:hideMark/>
          </w:tcPr>
          <w:p w:rsidR="00164BD7" w:rsidRPr="00164BD7" w:rsidRDefault="00164BD7" w:rsidP="000B7534">
            <w:pPr>
              <w:pStyle w:val="Podpispodtabeloaligrafom"/>
              <w:spacing w:after="0"/>
              <w:cnfStyle w:val="000000100000" w:firstRow="0" w:lastRow="0" w:firstColumn="0" w:lastColumn="0" w:oddVBand="0" w:evenVBand="0" w:oddHBand="1" w:evenHBand="0" w:firstRowFirstColumn="0" w:firstRowLastColumn="0" w:lastRowFirstColumn="0" w:lastRowLastColumn="0"/>
            </w:pPr>
            <w:r w:rsidRPr="00164BD7">
              <w:t>212</w:t>
            </w:r>
          </w:p>
        </w:tc>
        <w:tc>
          <w:tcPr>
            <w:tcW w:w="386" w:type="pct"/>
            <w:noWrap/>
            <w:hideMark/>
          </w:tcPr>
          <w:p w:rsidR="00164BD7" w:rsidRPr="00164BD7" w:rsidRDefault="00164BD7" w:rsidP="000B7534">
            <w:pPr>
              <w:pStyle w:val="Podpispodtabeloaligrafom"/>
              <w:spacing w:after="0"/>
              <w:cnfStyle w:val="000000100000" w:firstRow="0" w:lastRow="0" w:firstColumn="0" w:lastColumn="0" w:oddVBand="0" w:evenVBand="0" w:oddHBand="1" w:evenHBand="0" w:firstRowFirstColumn="0" w:firstRowLastColumn="0" w:lastRowFirstColumn="0" w:lastRowLastColumn="0"/>
            </w:pPr>
            <w:r w:rsidRPr="00164BD7">
              <w:t>3</w:t>
            </w:r>
          </w:p>
        </w:tc>
        <w:tc>
          <w:tcPr>
            <w:tcW w:w="461" w:type="pct"/>
            <w:noWrap/>
            <w:hideMark/>
          </w:tcPr>
          <w:p w:rsidR="00164BD7" w:rsidRPr="00164BD7" w:rsidRDefault="00164BD7" w:rsidP="000B7534">
            <w:pPr>
              <w:pStyle w:val="Podpispodtabeloaligrafom"/>
              <w:spacing w:after="0"/>
              <w:cnfStyle w:val="000000100000" w:firstRow="0" w:lastRow="0" w:firstColumn="0" w:lastColumn="0" w:oddVBand="0" w:evenVBand="0" w:oddHBand="1" w:evenHBand="0" w:firstRowFirstColumn="0" w:firstRowLastColumn="0" w:lastRowFirstColumn="0" w:lastRowLastColumn="0"/>
              <w:rPr>
                <w:bCs/>
              </w:rPr>
            </w:pPr>
            <w:r w:rsidRPr="00164BD7">
              <w:rPr>
                <w:bCs/>
              </w:rPr>
              <w:t>1.570</w:t>
            </w:r>
          </w:p>
        </w:tc>
        <w:tc>
          <w:tcPr>
            <w:tcW w:w="272" w:type="pct"/>
            <w:noWrap/>
            <w:hideMark/>
          </w:tcPr>
          <w:p w:rsidR="00164BD7" w:rsidRPr="00164BD7" w:rsidRDefault="00164BD7" w:rsidP="000B7534">
            <w:pPr>
              <w:pStyle w:val="Podpispodtabeloaligrafom"/>
              <w:spacing w:after="0"/>
              <w:cnfStyle w:val="000000100000" w:firstRow="0" w:lastRow="0" w:firstColumn="0" w:lastColumn="0" w:oddVBand="0" w:evenVBand="0" w:oddHBand="1" w:evenHBand="0" w:firstRowFirstColumn="0" w:firstRowLastColumn="0" w:lastRowFirstColumn="0" w:lastRowLastColumn="0"/>
            </w:pPr>
            <w:r w:rsidRPr="00164BD7">
              <w:t>10,71</w:t>
            </w:r>
          </w:p>
        </w:tc>
      </w:tr>
      <w:tr w:rsidR="005026D5" w:rsidRPr="00164BD7" w:rsidTr="005026D5">
        <w:trPr>
          <w:trHeight w:val="102"/>
        </w:trPr>
        <w:tc>
          <w:tcPr>
            <w:cnfStyle w:val="001000000000" w:firstRow="0" w:lastRow="0" w:firstColumn="1" w:lastColumn="0" w:oddVBand="0" w:evenVBand="0" w:oddHBand="0" w:evenHBand="0" w:firstRowFirstColumn="0" w:firstRowLastColumn="0" w:lastRowFirstColumn="0" w:lastRowLastColumn="0"/>
            <w:tcW w:w="749" w:type="pct"/>
            <w:noWrap/>
            <w:hideMark/>
          </w:tcPr>
          <w:p w:rsidR="00164BD7" w:rsidRPr="00164BD7" w:rsidRDefault="00164BD7" w:rsidP="000B7534">
            <w:pPr>
              <w:pStyle w:val="Podpispodtabeloaligrafom"/>
              <w:spacing w:after="0"/>
            </w:pPr>
            <w:r w:rsidRPr="00164BD7">
              <w:t>Pomurska</w:t>
            </w:r>
          </w:p>
        </w:tc>
        <w:tc>
          <w:tcPr>
            <w:tcW w:w="398" w:type="pct"/>
            <w:noWrap/>
            <w:hideMark/>
          </w:tcPr>
          <w:p w:rsidR="00164BD7" w:rsidRPr="00164BD7" w:rsidRDefault="00164BD7" w:rsidP="000B7534">
            <w:pPr>
              <w:pStyle w:val="Podpispodtabeloaligrafom"/>
              <w:spacing w:after="0"/>
              <w:cnfStyle w:val="000000000000" w:firstRow="0" w:lastRow="0" w:firstColumn="0" w:lastColumn="0" w:oddVBand="0" w:evenVBand="0" w:oddHBand="0" w:evenHBand="0" w:firstRowFirstColumn="0" w:firstRowLastColumn="0" w:lastRowFirstColumn="0" w:lastRowLastColumn="0"/>
            </w:pPr>
            <w:r w:rsidRPr="00164BD7">
              <w:t>19</w:t>
            </w:r>
          </w:p>
        </w:tc>
        <w:tc>
          <w:tcPr>
            <w:tcW w:w="517" w:type="pct"/>
            <w:noWrap/>
            <w:hideMark/>
          </w:tcPr>
          <w:p w:rsidR="00164BD7" w:rsidRPr="00164BD7" w:rsidRDefault="00164BD7" w:rsidP="000B7534">
            <w:pPr>
              <w:pStyle w:val="Podpispodtabeloaligrafom"/>
              <w:spacing w:after="0"/>
              <w:cnfStyle w:val="000000000000" w:firstRow="0" w:lastRow="0" w:firstColumn="0" w:lastColumn="0" w:oddVBand="0" w:evenVBand="0" w:oddHBand="0" w:evenHBand="0" w:firstRowFirstColumn="0" w:firstRowLastColumn="0" w:lastRowFirstColumn="0" w:lastRowLastColumn="0"/>
            </w:pPr>
            <w:r w:rsidRPr="00164BD7">
              <w:t>27</w:t>
            </w:r>
          </w:p>
        </w:tc>
        <w:tc>
          <w:tcPr>
            <w:tcW w:w="385" w:type="pct"/>
            <w:noWrap/>
            <w:hideMark/>
          </w:tcPr>
          <w:p w:rsidR="00164BD7" w:rsidRPr="00164BD7" w:rsidRDefault="00164BD7" w:rsidP="000B7534">
            <w:pPr>
              <w:pStyle w:val="Podpispodtabeloaligrafom"/>
              <w:spacing w:after="0"/>
              <w:cnfStyle w:val="000000000000" w:firstRow="0" w:lastRow="0" w:firstColumn="0" w:lastColumn="0" w:oddVBand="0" w:evenVBand="0" w:oddHBand="0" w:evenHBand="0" w:firstRowFirstColumn="0" w:firstRowLastColumn="0" w:lastRowFirstColumn="0" w:lastRowLastColumn="0"/>
            </w:pPr>
            <w:r w:rsidRPr="00164BD7">
              <w:t>25</w:t>
            </w:r>
          </w:p>
        </w:tc>
        <w:tc>
          <w:tcPr>
            <w:tcW w:w="534" w:type="pct"/>
            <w:noWrap/>
            <w:hideMark/>
          </w:tcPr>
          <w:p w:rsidR="00164BD7" w:rsidRPr="00164BD7" w:rsidRDefault="00164BD7" w:rsidP="000B7534">
            <w:pPr>
              <w:pStyle w:val="Podpispodtabeloaligrafom"/>
              <w:spacing w:after="0"/>
              <w:cnfStyle w:val="000000000000" w:firstRow="0" w:lastRow="0" w:firstColumn="0" w:lastColumn="0" w:oddVBand="0" w:evenVBand="0" w:oddHBand="0" w:evenHBand="0" w:firstRowFirstColumn="0" w:firstRowLastColumn="0" w:lastRowFirstColumn="0" w:lastRowLastColumn="0"/>
            </w:pPr>
            <w:r w:rsidRPr="00164BD7">
              <w:t>257</w:t>
            </w:r>
          </w:p>
        </w:tc>
        <w:tc>
          <w:tcPr>
            <w:tcW w:w="534" w:type="pct"/>
            <w:noWrap/>
            <w:hideMark/>
          </w:tcPr>
          <w:p w:rsidR="00164BD7" w:rsidRPr="00164BD7" w:rsidRDefault="00164BD7" w:rsidP="000B7534">
            <w:pPr>
              <w:pStyle w:val="Podpispodtabeloaligrafom"/>
              <w:spacing w:after="0"/>
              <w:cnfStyle w:val="000000000000" w:firstRow="0" w:lastRow="0" w:firstColumn="0" w:lastColumn="0" w:oddVBand="0" w:evenVBand="0" w:oddHBand="0" w:evenHBand="0" w:firstRowFirstColumn="0" w:firstRowLastColumn="0" w:lastRowFirstColumn="0" w:lastRowLastColumn="0"/>
            </w:pPr>
            <w:r w:rsidRPr="00164BD7">
              <w:t>62</w:t>
            </w:r>
          </w:p>
        </w:tc>
        <w:tc>
          <w:tcPr>
            <w:tcW w:w="765" w:type="pct"/>
            <w:noWrap/>
            <w:hideMark/>
          </w:tcPr>
          <w:p w:rsidR="00164BD7" w:rsidRPr="00164BD7" w:rsidRDefault="00164BD7" w:rsidP="000B7534">
            <w:pPr>
              <w:pStyle w:val="Podpispodtabeloaligrafom"/>
              <w:spacing w:after="0"/>
              <w:cnfStyle w:val="000000000000" w:firstRow="0" w:lastRow="0" w:firstColumn="0" w:lastColumn="0" w:oddVBand="0" w:evenVBand="0" w:oddHBand="0" w:evenHBand="0" w:firstRowFirstColumn="0" w:firstRowLastColumn="0" w:lastRowFirstColumn="0" w:lastRowLastColumn="0"/>
            </w:pPr>
            <w:r w:rsidRPr="00164BD7">
              <w:t>39</w:t>
            </w:r>
          </w:p>
        </w:tc>
        <w:tc>
          <w:tcPr>
            <w:tcW w:w="386" w:type="pct"/>
            <w:noWrap/>
            <w:hideMark/>
          </w:tcPr>
          <w:p w:rsidR="00164BD7" w:rsidRPr="00164BD7" w:rsidRDefault="00164BD7" w:rsidP="000B7534">
            <w:pPr>
              <w:pStyle w:val="Podpispodtabeloaligrafom"/>
              <w:spacing w:after="0"/>
              <w:cnfStyle w:val="000000000000" w:firstRow="0" w:lastRow="0" w:firstColumn="0" w:lastColumn="0" w:oddVBand="0" w:evenVBand="0" w:oddHBand="0" w:evenHBand="0" w:firstRowFirstColumn="0" w:firstRowLastColumn="0" w:lastRowFirstColumn="0" w:lastRowLastColumn="0"/>
            </w:pPr>
          </w:p>
        </w:tc>
        <w:tc>
          <w:tcPr>
            <w:tcW w:w="461" w:type="pct"/>
            <w:noWrap/>
            <w:hideMark/>
          </w:tcPr>
          <w:p w:rsidR="00164BD7" w:rsidRPr="00164BD7" w:rsidRDefault="00164BD7" w:rsidP="000B7534">
            <w:pPr>
              <w:pStyle w:val="Podpispodtabeloaligrafom"/>
              <w:spacing w:after="0"/>
              <w:cnfStyle w:val="000000000000" w:firstRow="0" w:lastRow="0" w:firstColumn="0" w:lastColumn="0" w:oddVBand="0" w:evenVBand="0" w:oddHBand="0" w:evenHBand="0" w:firstRowFirstColumn="0" w:firstRowLastColumn="0" w:lastRowFirstColumn="0" w:lastRowLastColumn="0"/>
              <w:rPr>
                <w:bCs/>
              </w:rPr>
            </w:pPr>
            <w:r w:rsidRPr="00164BD7">
              <w:rPr>
                <w:bCs/>
              </w:rPr>
              <w:t>429</w:t>
            </w:r>
          </w:p>
        </w:tc>
        <w:tc>
          <w:tcPr>
            <w:tcW w:w="272" w:type="pct"/>
            <w:noWrap/>
            <w:hideMark/>
          </w:tcPr>
          <w:p w:rsidR="00164BD7" w:rsidRPr="00164BD7" w:rsidRDefault="00164BD7" w:rsidP="000B7534">
            <w:pPr>
              <w:pStyle w:val="Podpispodtabeloaligrafom"/>
              <w:spacing w:after="0"/>
              <w:cnfStyle w:val="000000000000" w:firstRow="0" w:lastRow="0" w:firstColumn="0" w:lastColumn="0" w:oddVBand="0" w:evenVBand="0" w:oddHBand="0" w:evenHBand="0" w:firstRowFirstColumn="0" w:firstRowLastColumn="0" w:lastRowFirstColumn="0" w:lastRowLastColumn="0"/>
            </w:pPr>
            <w:r w:rsidRPr="00164BD7">
              <w:t>2,93</w:t>
            </w:r>
          </w:p>
        </w:tc>
      </w:tr>
      <w:tr w:rsidR="005026D5" w:rsidRPr="00164BD7" w:rsidTr="005026D5">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749" w:type="pct"/>
            <w:noWrap/>
            <w:hideMark/>
          </w:tcPr>
          <w:p w:rsidR="00164BD7" w:rsidRPr="00164BD7" w:rsidRDefault="00164BD7" w:rsidP="000B7534">
            <w:pPr>
              <w:pStyle w:val="Podpispodtabeloaligrafom"/>
              <w:spacing w:after="0"/>
            </w:pPr>
            <w:r w:rsidRPr="00164BD7">
              <w:t>Posavska</w:t>
            </w:r>
          </w:p>
        </w:tc>
        <w:tc>
          <w:tcPr>
            <w:tcW w:w="398" w:type="pct"/>
            <w:noWrap/>
            <w:hideMark/>
          </w:tcPr>
          <w:p w:rsidR="00164BD7" w:rsidRPr="00164BD7" w:rsidRDefault="00164BD7" w:rsidP="000B7534">
            <w:pPr>
              <w:pStyle w:val="Podpispodtabeloaligrafom"/>
              <w:spacing w:after="0"/>
              <w:cnfStyle w:val="000000100000" w:firstRow="0" w:lastRow="0" w:firstColumn="0" w:lastColumn="0" w:oddVBand="0" w:evenVBand="0" w:oddHBand="1" w:evenHBand="0" w:firstRowFirstColumn="0" w:firstRowLastColumn="0" w:lastRowFirstColumn="0" w:lastRowLastColumn="0"/>
            </w:pPr>
            <w:r w:rsidRPr="00164BD7">
              <w:t>12</w:t>
            </w:r>
          </w:p>
        </w:tc>
        <w:tc>
          <w:tcPr>
            <w:tcW w:w="517" w:type="pct"/>
            <w:noWrap/>
            <w:hideMark/>
          </w:tcPr>
          <w:p w:rsidR="00164BD7" w:rsidRPr="00164BD7" w:rsidRDefault="00164BD7" w:rsidP="000B7534">
            <w:pPr>
              <w:pStyle w:val="Podpispodtabeloaligrafom"/>
              <w:spacing w:after="0"/>
              <w:cnfStyle w:val="000000100000" w:firstRow="0" w:lastRow="0" w:firstColumn="0" w:lastColumn="0" w:oddVBand="0" w:evenVBand="0" w:oddHBand="1" w:evenHBand="0" w:firstRowFirstColumn="0" w:firstRowLastColumn="0" w:lastRowFirstColumn="0" w:lastRowLastColumn="0"/>
            </w:pPr>
            <w:r w:rsidRPr="00164BD7">
              <w:t>13</w:t>
            </w:r>
          </w:p>
        </w:tc>
        <w:tc>
          <w:tcPr>
            <w:tcW w:w="385" w:type="pct"/>
            <w:noWrap/>
            <w:hideMark/>
          </w:tcPr>
          <w:p w:rsidR="00164BD7" w:rsidRPr="00164BD7" w:rsidRDefault="00164BD7" w:rsidP="000B7534">
            <w:pPr>
              <w:pStyle w:val="Podpispodtabeloaligrafom"/>
              <w:spacing w:after="0"/>
              <w:cnfStyle w:val="000000100000" w:firstRow="0" w:lastRow="0" w:firstColumn="0" w:lastColumn="0" w:oddVBand="0" w:evenVBand="0" w:oddHBand="1" w:evenHBand="0" w:firstRowFirstColumn="0" w:firstRowLastColumn="0" w:lastRowFirstColumn="0" w:lastRowLastColumn="0"/>
            </w:pPr>
            <w:r w:rsidRPr="00164BD7">
              <w:t>12</w:t>
            </w:r>
          </w:p>
        </w:tc>
        <w:tc>
          <w:tcPr>
            <w:tcW w:w="534" w:type="pct"/>
            <w:noWrap/>
            <w:hideMark/>
          </w:tcPr>
          <w:p w:rsidR="00164BD7" w:rsidRPr="00164BD7" w:rsidRDefault="00164BD7" w:rsidP="000B7534">
            <w:pPr>
              <w:pStyle w:val="Podpispodtabeloaligrafom"/>
              <w:spacing w:after="0"/>
              <w:cnfStyle w:val="000000100000" w:firstRow="0" w:lastRow="0" w:firstColumn="0" w:lastColumn="0" w:oddVBand="0" w:evenVBand="0" w:oddHBand="1" w:evenHBand="0" w:firstRowFirstColumn="0" w:firstRowLastColumn="0" w:lastRowFirstColumn="0" w:lastRowLastColumn="0"/>
            </w:pPr>
            <w:r w:rsidRPr="00164BD7">
              <w:t>208</w:t>
            </w:r>
          </w:p>
        </w:tc>
        <w:tc>
          <w:tcPr>
            <w:tcW w:w="534" w:type="pct"/>
            <w:noWrap/>
            <w:hideMark/>
          </w:tcPr>
          <w:p w:rsidR="00164BD7" w:rsidRPr="00164BD7" w:rsidRDefault="00164BD7" w:rsidP="000B7534">
            <w:pPr>
              <w:pStyle w:val="Podpispodtabeloaligrafom"/>
              <w:spacing w:after="0"/>
              <w:cnfStyle w:val="000000100000" w:firstRow="0" w:lastRow="0" w:firstColumn="0" w:lastColumn="0" w:oddVBand="0" w:evenVBand="0" w:oddHBand="1" w:evenHBand="0" w:firstRowFirstColumn="0" w:firstRowLastColumn="0" w:lastRowFirstColumn="0" w:lastRowLastColumn="0"/>
            </w:pPr>
            <w:r w:rsidRPr="00164BD7">
              <w:t>53</w:t>
            </w:r>
          </w:p>
        </w:tc>
        <w:tc>
          <w:tcPr>
            <w:tcW w:w="765" w:type="pct"/>
            <w:noWrap/>
            <w:hideMark/>
          </w:tcPr>
          <w:p w:rsidR="00164BD7" w:rsidRPr="00164BD7" w:rsidRDefault="00164BD7" w:rsidP="000B7534">
            <w:pPr>
              <w:pStyle w:val="Podpispodtabeloaligrafom"/>
              <w:spacing w:after="0"/>
              <w:cnfStyle w:val="000000100000" w:firstRow="0" w:lastRow="0" w:firstColumn="0" w:lastColumn="0" w:oddVBand="0" w:evenVBand="0" w:oddHBand="1" w:evenHBand="0" w:firstRowFirstColumn="0" w:firstRowLastColumn="0" w:lastRowFirstColumn="0" w:lastRowLastColumn="0"/>
            </w:pPr>
            <w:r w:rsidRPr="00164BD7">
              <w:t>33</w:t>
            </w:r>
          </w:p>
        </w:tc>
        <w:tc>
          <w:tcPr>
            <w:tcW w:w="386" w:type="pct"/>
            <w:noWrap/>
            <w:hideMark/>
          </w:tcPr>
          <w:p w:rsidR="00164BD7" w:rsidRPr="00164BD7" w:rsidRDefault="00164BD7" w:rsidP="000B7534">
            <w:pPr>
              <w:pStyle w:val="Podpispodtabeloaligrafom"/>
              <w:spacing w:after="0"/>
              <w:cnfStyle w:val="000000100000" w:firstRow="0" w:lastRow="0" w:firstColumn="0" w:lastColumn="0" w:oddVBand="0" w:evenVBand="0" w:oddHBand="1" w:evenHBand="0" w:firstRowFirstColumn="0" w:firstRowLastColumn="0" w:lastRowFirstColumn="0" w:lastRowLastColumn="0"/>
            </w:pPr>
          </w:p>
        </w:tc>
        <w:tc>
          <w:tcPr>
            <w:tcW w:w="461" w:type="pct"/>
            <w:noWrap/>
            <w:hideMark/>
          </w:tcPr>
          <w:p w:rsidR="00164BD7" w:rsidRPr="00164BD7" w:rsidRDefault="00164BD7" w:rsidP="000B7534">
            <w:pPr>
              <w:pStyle w:val="Podpispodtabeloaligrafom"/>
              <w:spacing w:after="0"/>
              <w:cnfStyle w:val="000000100000" w:firstRow="0" w:lastRow="0" w:firstColumn="0" w:lastColumn="0" w:oddVBand="0" w:evenVBand="0" w:oddHBand="1" w:evenHBand="0" w:firstRowFirstColumn="0" w:firstRowLastColumn="0" w:lastRowFirstColumn="0" w:lastRowLastColumn="0"/>
              <w:rPr>
                <w:bCs/>
              </w:rPr>
            </w:pPr>
            <w:r w:rsidRPr="00164BD7">
              <w:rPr>
                <w:bCs/>
              </w:rPr>
              <w:t>331</w:t>
            </w:r>
          </w:p>
        </w:tc>
        <w:tc>
          <w:tcPr>
            <w:tcW w:w="272" w:type="pct"/>
            <w:noWrap/>
            <w:hideMark/>
          </w:tcPr>
          <w:p w:rsidR="00164BD7" w:rsidRPr="00164BD7" w:rsidRDefault="00164BD7" w:rsidP="000B7534">
            <w:pPr>
              <w:pStyle w:val="Podpispodtabeloaligrafom"/>
              <w:spacing w:after="0"/>
              <w:cnfStyle w:val="000000100000" w:firstRow="0" w:lastRow="0" w:firstColumn="0" w:lastColumn="0" w:oddVBand="0" w:evenVBand="0" w:oddHBand="1" w:evenHBand="0" w:firstRowFirstColumn="0" w:firstRowLastColumn="0" w:lastRowFirstColumn="0" w:lastRowLastColumn="0"/>
            </w:pPr>
            <w:r w:rsidRPr="00164BD7">
              <w:t>2,26</w:t>
            </w:r>
          </w:p>
        </w:tc>
      </w:tr>
      <w:tr w:rsidR="005026D5" w:rsidRPr="00164BD7" w:rsidTr="005026D5">
        <w:trPr>
          <w:trHeight w:val="102"/>
        </w:trPr>
        <w:tc>
          <w:tcPr>
            <w:cnfStyle w:val="001000000000" w:firstRow="0" w:lastRow="0" w:firstColumn="1" w:lastColumn="0" w:oddVBand="0" w:evenVBand="0" w:oddHBand="0" w:evenHBand="0" w:firstRowFirstColumn="0" w:firstRowLastColumn="0" w:lastRowFirstColumn="0" w:lastRowLastColumn="0"/>
            <w:tcW w:w="749" w:type="pct"/>
            <w:noWrap/>
            <w:hideMark/>
          </w:tcPr>
          <w:p w:rsidR="00164BD7" w:rsidRPr="00164BD7" w:rsidRDefault="00164BD7" w:rsidP="000B7534">
            <w:pPr>
              <w:pStyle w:val="Podpispodtabeloaligrafom"/>
              <w:spacing w:after="0"/>
            </w:pPr>
            <w:r w:rsidRPr="00164BD7">
              <w:t>Primorsko-notranjska</w:t>
            </w:r>
          </w:p>
        </w:tc>
        <w:tc>
          <w:tcPr>
            <w:tcW w:w="398" w:type="pct"/>
            <w:noWrap/>
            <w:hideMark/>
          </w:tcPr>
          <w:p w:rsidR="00164BD7" w:rsidRPr="00164BD7" w:rsidRDefault="00164BD7" w:rsidP="000B7534">
            <w:pPr>
              <w:pStyle w:val="Podpispodtabeloaligrafom"/>
              <w:spacing w:after="0"/>
              <w:cnfStyle w:val="000000000000" w:firstRow="0" w:lastRow="0" w:firstColumn="0" w:lastColumn="0" w:oddVBand="0" w:evenVBand="0" w:oddHBand="0" w:evenHBand="0" w:firstRowFirstColumn="0" w:firstRowLastColumn="0" w:lastRowFirstColumn="0" w:lastRowLastColumn="0"/>
            </w:pPr>
            <w:r w:rsidRPr="00164BD7">
              <w:t>9</w:t>
            </w:r>
          </w:p>
        </w:tc>
        <w:tc>
          <w:tcPr>
            <w:tcW w:w="517" w:type="pct"/>
            <w:noWrap/>
            <w:hideMark/>
          </w:tcPr>
          <w:p w:rsidR="00164BD7" w:rsidRPr="00164BD7" w:rsidRDefault="00164BD7" w:rsidP="000B7534">
            <w:pPr>
              <w:pStyle w:val="Podpispodtabeloaligrafom"/>
              <w:spacing w:after="0"/>
              <w:cnfStyle w:val="000000000000" w:firstRow="0" w:lastRow="0" w:firstColumn="0" w:lastColumn="0" w:oddVBand="0" w:evenVBand="0" w:oddHBand="0" w:evenHBand="0" w:firstRowFirstColumn="0" w:firstRowLastColumn="0" w:lastRowFirstColumn="0" w:lastRowLastColumn="0"/>
            </w:pPr>
            <w:r w:rsidRPr="00164BD7">
              <w:t>12</w:t>
            </w:r>
          </w:p>
        </w:tc>
        <w:tc>
          <w:tcPr>
            <w:tcW w:w="385" w:type="pct"/>
            <w:noWrap/>
            <w:hideMark/>
          </w:tcPr>
          <w:p w:rsidR="00164BD7" w:rsidRPr="00164BD7" w:rsidRDefault="00164BD7" w:rsidP="000B7534">
            <w:pPr>
              <w:pStyle w:val="Podpispodtabeloaligrafom"/>
              <w:spacing w:after="0"/>
              <w:cnfStyle w:val="000000000000" w:firstRow="0" w:lastRow="0" w:firstColumn="0" w:lastColumn="0" w:oddVBand="0" w:evenVBand="0" w:oddHBand="0" w:evenHBand="0" w:firstRowFirstColumn="0" w:firstRowLastColumn="0" w:lastRowFirstColumn="0" w:lastRowLastColumn="0"/>
            </w:pPr>
            <w:r w:rsidRPr="00164BD7">
              <w:t>20</w:t>
            </w:r>
          </w:p>
        </w:tc>
        <w:tc>
          <w:tcPr>
            <w:tcW w:w="534" w:type="pct"/>
            <w:noWrap/>
            <w:hideMark/>
          </w:tcPr>
          <w:p w:rsidR="00164BD7" w:rsidRPr="00164BD7" w:rsidRDefault="00164BD7" w:rsidP="000B7534">
            <w:pPr>
              <w:pStyle w:val="Podpispodtabeloaligrafom"/>
              <w:spacing w:after="0"/>
              <w:cnfStyle w:val="000000000000" w:firstRow="0" w:lastRow="0" w:firstColumn="0" w:lastColumn="0" w:oddVBand="0" w:evenVBand="0" w:oddHBand="0" w:evenHBand="0" w:firstRowFirstColumn="0" w:firstRowLastColumn="0" w:lastRowFirstColumn="0" w:lastRowLastColumn="0"/>
            </w:pPr>
            <w:r w:rsidRPr="00164BD7">
              <w:t>144</w:t>
            </w:r>
          </w:p>
        </w:tc>
        <w:tc>
          <w:tcPr>
            <w:tcW w:w="534" w:type="pct"/>
            <w:noWrap/>
            <w:hideMark/>
          </w:tcPr>
          <w:p w:rsidR="00164BD7" w:rsidRPr="00164BD7" w:rsidRDefault="00164BD7" w:rsidP="000B7534">
            <w:pPr>
              <w:pStyle w:val="Podpispodtabeloaligrafom"/>
              <w:spacing w:after="0"/>
              <w:cnfStyle w:val="000000000000" w:firstRow="0" w:lastRow="0" w:firstColumn="0" w:lastColumn="0" w:oddVBand="0" w:evenVBand="0" w:oddHBand="0" w:evenHBand="0" w:firstRowFirstColumn="0" w:firstRowLastColumn="0" w:lastRowFirstColumn="0" w:lastRowLastColumn="0"/>
            </w:pPr>
            <w:r w:rsidRPr="00164BD7">
              <w:t>31</w:t>
            </w:r>
          </w:p>
        </w:tc>
        <w:tc>
          <w:tcPr>
            <w:tcW w:w="765" w:type="pct"/>
            <w:noWrap/>
            <w:hideMark/>
          </w:tcPr>
          <w:p w:rsidR="00164BD7" w:rsidRPr="00164BD7" w:rsidRDefault="00164BD7" w:rsidP="000B7534">
            <w:pPr>
              <w:pStyle w:val="Podpispodtabeloaligrafom"/>
              <w:spacing w:after="0"/>
              <w:cnfStyle w:val="000000000000" w:firstRow="0" w:lastRow="0" w:firstColumn="0" w:lastColumn="0" w:oddVBand="0" w:evenVBand="0" w:oddHBand="0" w:evenHBand="0" w:firstRowFirstColumn="0" w:firstRowLastColumn="0" w:lastRowFirstColumn="0" w:lastRowLastColumn="0"/>
            </w:pPr>
            <w:r w:rsidRPr="00164BD7">
              <w:t>27</w:t>
            </w:r>
          </w:p>
        </w:tc>
        <w:tc>
          <w:tcPr>
            <w:tcW w:w="386" w:type="pct"/>
            <w:noWrap/>
            <w:hideMark/>
          </w:tcPr>
          <w:p w:rsidR="00164BD7" w:rsidRPr="00164BD7" w:rsidRDefault="00164BD7" w:rsidP="000B7534">
            <w:pPr>
              <w:pStyle w:val="Podpispodtabeloaligrafom"/>
              <w:spacing w:after="0"/>
              <w:cnfStyle w:val="000000000000" w:firstRow="0" w:lastRow="0" w:firstColumn="0" w:lastColumn="0" w:oddVBand="0" w:evenVBand="0" w:oddHBand="0" w:evenHBand="0" w:firstRowFirstColumn="0" w:firstRowLastColumn="0" w:lastRowFirstColumn="0" w:lastRowLastColumn="0"/>
            </w:pPr>
          </w:p>
        </w:tc>
        <w:tc>
          <w:tcPr>
            <w:tcW w:w="461" w:type="pct"/>
            <w:noWrap/>
            <w:hideMark/>
          </w:tcPr>
          <w:p w:rsidR="00164BD7" w:rsidRPr="00164BD7" w:rsidRDefault="00164BD7" w:rsidP="000B7534">
            <w:pPr>
              <w:pStyle w:val="Podpispodtabeloaligrafom"/>
              <w:spacing w:after="0"/>
              <w:cnfStyle w:val="000000000000" w:firstRow="0" w:lastRow="0" w:firstColumn="0" w:lastColumn="0" w:oddVBand="0" w:evenVBand="0" w:oddHBand="0" w:evenHBand="0" w:firstRowFirstColumn="0" w:firstRowLastColumn="0" w:lastRowFirstColumn="0" w:lastRowLastColumn="0"/>
              <w:rPr>
                <w:bCs/>
              </w:rPr>
            </w:pPr>
            <w:r w:rsidRPr="00164BD7">
              <w:rPr>
                <w:bCs/>
              </w:rPr>
              <w:t>243</w:t>
            </w:r>
          </w:p>
        </w:tc>
        <w:tc>
          <w:tcPr>
            <w:tcW w:w="272" w:type="pct"/>
            <w:noWrap/>
            <w:hideMark/>
          </w:tcPr>
          <w:p w:rsidR="00164BD7" w:rsidRPr="00164BD7" w:rsidRDefault="00164BD7" w:rsidP="000B7534">
            <w:pPr>
              <w:pStyle w:val="Podpispodtabeloaligrafom"/>
              <w:spacing w:after="0"/>
              <w:cnfStyle w:val="000000000000" w:firstRow="0" w:lastRow="0" w:firstColumn="0" w:lastColumn="0" w:oddVBand="0" w:evenVBand="0" w:oddHBand="0" w:evenHBand="0" w:firstRowFirstColumn="0" w:firstRowLastColumn="0" w:lastRowFirstColumn="0" w:lastRowLastColumn="0"/>
            </w:pPr>
            <w:r w:rsidRPr="00164BD7">
              <w:t>1,66</w:t>
            </w:r>
          </w:p>
        </w:tc>
      </w:tr>
      <w:tr w:rsidR="005026D5" w:rsidRPr="00164BD7" w:rsidTr="005026D5">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749" w:type="pct"/>
            <w:noWrap/>
            <w:hideMark/>
          </w:tcPr>
          <w:p w:rsidR="00164BD7" w:rsidRPr="00164BD7" w:rsidRDefault="00164BD7" w:rsidP="000B7534">
            <w:pPr>
              <w:pStyle w:val="Podpispodtabeloaligrafom"/>
              <w:spacing w:after="0"/>
            </w:pPr>
            <w:r w:rsidRPr="00164BD7">
              <w:t>Savinjska</w:t>
            </w:r>
          </w:p>
        </w:tc>
        <w:tc>
          <w:tcPr>
            <w:tcW w:w="398" w:type="pct"/>
            <w:noWrap/>
            <w:hideMark/>
          </w:tcPr>
          <w:p w:rsidR="00164BD7" w:rsidRPr="00164BD7" w:rsidRDefault="00164BD7" w:rsidP="000B7534">
            <w:pPr>
              <w:pStyle w:val="Podpispodtabeloaligrafom"/>
              <w:spacing w:after="0"/>
              <w:cnfStyle w:val="000000100000" w:firstRow="0" w:lastRow="0" w:firstColumn="0" w:lastColumn="0" w:oddVBand="0" w:evenVBand="0" w:oddHBand="1" w:evenHBand="0" w:firstRowFirstColumn="0" w:firstRowLastColumn="0" w:lastRowFirstColumn="0" w:lastRowLastColumn="0"/>
            </w:pPr>
            <w:r w:rsidRPr="00164BD7">
              <w:t>32</w:t>
            </w:r>
          </w:p>
        </w:tc>
        <w:tc>
          <w:tcPr>
            <w:tcW w:w="517" w:type="pct"/>
            <w:noWrap/>
            <w:hideMark/>
          </w:tcPr>
          <w:p w:rsidR="00164BD7" w:rsidRPr="00164BD7" w:rsidRDefault="00164BD7" w:rsidP="000B7534">
            <w:pPr>
              <w:pStyle w:val="Podpispodtabeloaligrafom"/>
              <w:spacing w:after="0"/>
              <w:cnfStyle w:val="000000100000" w:firstRow="0" w:lastRow="0" w:firstColumn="0" w:lastColumn="0" w:oddVBand="0" w:evenVBand="0" w:oddHBand="1" w:evenHBand="0" w:firstRowFirstColumn="0" w:firstRowLastColumn="0" w:lastRowFirstColumn="0" w:lastRowLastColumn="0"/>
            </w:pPr>
            <w:r w:rsidRPr="00164BD7">
              <w:t>40</w:t>
            </w:r>
          </w:p>
        </w:tc>
        <w:tc>
          <w:tcPr>
            <w:tcW w:w="385" w:type="pct"/>
            <w:noWrap/>
            <w:hideMark/>
          </w:tcPr>
          <w:p w:rsidR="00164BD7" w:rsidRPr="00164BD7" w:rsidRDefault="00164BD7" w:rsidP="000B7534">
            <w:pPr>
              <w:pStyle w:val="Podpispodtabeloaligrafom"/>
              <w:spacing w:after="0"/>
              <w:cnfStyle w:val="000000100000" w:firstRow="0" w:lastRow="0" w:firstColumn="0" w:lastColumn="0" w:oddVBand="0" w:evenVBand="0" w:oddHBand="1" w:evenHBand="0" w:firstRowFirstColumn="0" w:firstRowLastColumn="0" w:lastRowFirstColumn="0" w:lastRowLastColumn="0"/>
            </w:pPr>
            <w:r w:rsidRPr="00164BD7">
              <w:t>85</w:t>
            </w:r>
          </w:p>
        </w:tc>
        <w:tc>
          <w:tcPr>
            <w:tcW w:w="534" w:type="pct"/>
            <w:noWrap/>
            <w:hideMark/>
          </w:tcPr>
          <w:p w:rsidR="00164BD7" w:rsidRPr="00164BD7" w:rsidRDefault="00164BD7" w:rsidP="000B7534">
            <w:pPr>
              <w:pStyle w:val="Podpispodtabeloaligrafom"/>
              <w:spacing w:after="0"/>
              <w:cnfStyle w:val="000000100000" w:firstRow="0" w:lastRow="0" w:firstColumn="0" w:lastColumn="0" w:oddVBand="0" w:evenVBand="0" w:oddHBand="1" w:evenHBand="0" w:firstRowFirstColumn="0" w:firstRowLastColumn="0" w:lastRowFirstColumn="0" w:lastRowLastColumn="0"/>
            </w:pPr>
            <w:r w:rsidRPr="00164BD7">
              <w:t>661</w:t>
            </w:r>
          </w:p>
        </w:tc>
        <w:tc>
          <w:tcPr>
            <w:tcW w:w="534" w:type="pct"/>
            <w:noWrap/>
            <w:hideMark/>
          </w:tcPr>
          <w:p w:rsidR="00164BD7" w:rsidRPr="00164BD7" w:rsidRDefault="00164BD7" w:rsidP="000B7534">
            <w:pPr>
              <w:pStyle w:val="Podpispodtabeloaligrafom"/>
              <w:spacing w:after="0"/>
              <w:cnfStyle w:val="000000100000" w:firstRow="0" w:lastRow="0" w:firstColumn="0" w:lastColumn="0" w:oddVBand="0" w:evenVBand="0" w:oddHBand="1" w:evenHBand="0" w:firstRowFirstColumn="0" w:firstRowLastColumn="0" w:lastRowFirstColumn="0" w:lastRowLastColumn="0"/>
            </w:pPr>
            <w:r w:rsidRPr="00164BD7">
              <w:t>200</w:t>
            </w:r>
          </w:p>
        </w:tc>
        <w:tc>
          <w:tcPr>
            <w:tcW w:w="765" w:type="pct"/>
            <w:noWrap/>
            <w:hideMark/>
          </w:tcPr>
          <w:p w:rsidR="00164BD7" w:rsidRPr="00164BD7" w:rsidRDefault="00164BD7" w:rsidP="000B7534">
            <w:pPr>
              <w:pStyle w:val="Podpispodtabeloaligrafom"/>
              <w:spacing w:after="0"/>
              <w:cnfStyle w:val="000000100000" w:firstRow="0" w:lastRow="0" w:firstColumn="0" w:lastColumn="0" w:oddVBand="0" w:evenVBand="0" w:oddHBand="1" w:evenHBand="0" w:firstRowFirstColumn="0" w:firstRowLastColumn="0" w:lastRowFirstColumn="0" w:lastRowLastColumn="0"/>
            </w:pPr>
            <w:r w:rsidRPr="00164BD7">
              <w:t>125</w:t>
            </w:r>
          </w:p>
        </w:tc>
        <w:tc>
          <w:tcPr>
            <w:tcW w:w="386" w:type="pct"/>
            <w:noWrap/>
            <w:hideMark/>
          </w:tcPr>
          <w:p w:rsidR="00164BD7" w:rsidRPr="00164BD7" w:rsidRDefault="00164BD7" w:rsidP="000B7534">
            <w:pPr>
              <w:pStyle w:val="Podpispodtabeloaligrafom"/>
              <w:spacing w:after="0"/>
              <w:cnfStyle w:val="000000100000" w:firstRow="0" w:lastRow="0" w:firstColumn="0" w:lastColumn="0" w:oddVBand="0" w:evenVBand="0" w:oddHBand="1" w:evenHBand="0" w:firstRowFirstColumn="0" w:firstRowLastColumn="0" w:lastRowFirstColumn="0" w:lastRowLastColumn="0"/>
            </w:pPr>
            <w:r w:rsidRPr="00164BD7">
              <w:t>1</w:t>
            </w:r>
          </w:p>
        </w:tc>
        <w:tc>
          <w:tcPr>
            <w:tcW w:w="461" w:type="pct"/>
            <w:noWrap/>
            <w:hideMark/>
          </w:tcPr>
          <w:p w:rsidR="00164BD7" w:rsidRPr="00164BD7" w:rsidRDefault="00164BD7" w:rsidP="000B7534">
            <w:pPr>
              <w:pStyle w:val="Podpispodtabeloaligrafom"/>
              <w:spacing w:after="0"/>
              <w:cnfStyle w:val="000000100000" w:firstRow="0" w:lastRow="0" w:firstColumn="0" w:lastColumn="0" w:oddVBand="0" w:evenVBand="0" w:oddHBand="1" w:evenHBand="0" w:firstRowFirstColumn="0" w:firstRowLastColumn="0" w:lastRowFirstColumn="0" w:lastRowLastColumn="0"/>
              <w:rPr>
                <w:bCs/>
              </w:rPr>
            </w:pPr>
            <w:r w:rsidRPr="00164BD7">
              <w:rPr>
                <w:bCs/>
              </w:rPr>
              <w:t>1.144</w:t>
            </w:r>
          </w:p>
        </w:tc>
        <w:tc>
          <w:tcPr>
            <w:tcW w:w="272" w:type="pct"/>
            <w:noWrap/>
            <w:hideMark/>
          </w:tcPr>
          <w:p w:rsidR="00164BD7" w:rsidRPr="00164BD7" w:rsidRDefault="00164BD7" w:rsidP="000B7534">
            <w:pPr>
              <w:pStyle w:val="Podpispodtabeloaligrafom"/>
              <w:spacing w:after="0"/>
              <w:cnfStyle w:val="000000100000" w:firstRow="0" w:lastRow="0" w:firstColumn="0" w:lastColumn="0" w:oddVBand="0" w:evenVBand="0" w:oddHBand="1" w:evenHBand="0" w:firstRowFirstColumn="0" w:firstRowLastColumn="0" w:lastRowFirstColumn="0" w:lastRowLastColumn="0"/>
            </w:pPr>
            <w:r w:rsidRPr="00164BD7">
              <w:t>7,81</w:t>
            </w:r>
          </w:p>
        </w:tc>
      </w:tr>
      <w:tr w:rsidR="005026D5" w:rsidRPr="00164BD7" w:rsidTr="005026D5">
        <w:trPr>
          <w:trHeight w:val="102"/>
        </w:trPr>
        <w:tc>
          <w:tcPr>
            <w:cnfStyle w:val="001000000000" w:firstRow="0" w:lastRow="0" w:firstColumn="1" w:lastColumn="0" w:oddVBand="0" w:evenVBand="0" w:oddHBand="0" w:evenHBand="0" w:firstRowFirstColumn="0" w:firstRowLastColumn="0" w:lastRowFirstColumn="0" w:lastRowLastColumn="0"/>
            <w:tcW w:w="749" w:type="pct"/>
            <w:noWrap/>
            <w:hideMark/>
          </w:tcPr>
          <w:p w:rsidR="00164BD7" w:rsidRPr="00164BD7" w:rsidRDefault="00164BD7" w:rsidP="000B7534">
            <w:pPr>
              <w:pStyle w:val="Podpispodtabeloaligrafom"/>
              <w:spacing w:after="0"/>
            </w:pPr>
            <w:r w:rsidRPr="00164BD7">
              <w:t>Zasavska</w:t>
            </w:r>
          </w:p>
        </w:tc>
        <w:tc>
          <w:tcPr>
            <w:tcW w:w="398" w:type="pct"/>
            <w:noWrap/>
            <w:hideMark/>
          </w:tcPr>
          <w:p w:rsidR="00164BD7" w:rsidRPr="00164BD7" w:rsidRDefault="00164BD7" w:rsidP="000B7534">
            <w:pPr>
              <w:pStyle w:val="Podpispodtabeloaligrafom"/>
              <w:spacing w:after="0"/>
              <w:cnfStyle w:val="000000000000" w:firstRow="0" w:lastRow="0" w:firstColumn="0" w:lastColumn="0" w:oddVBand="0" w:evenVBand="0" w:oddHBand="0" w:evenHBand="0" w:firstRowFirstColumn="0" w:firstRowLastColumn="0" w:lastRowFirstColumn="0" w:lastRowLastColumn="0"/>
            </w:pPr>
            <w:r w:rsidRPr="00164BD7">
              <w:t>15</w:t>
            </w:r>
          </w:p>
        </w:tc>
        <w:tc>
          <w:tcPr>
            <w:tcW w:w="517" w:type="pct"/>
            <w:noWrap/>
            <w:hideMark/>
          </w:tcPr>
          <w:p w:rsidR="00164BD7" w:rsidRPr="00164BD7" w:rsidRDefault="00164BD7" w:rsidP="000B7534">
            <w:pPr>
              <w:pStyle w:val="Podpispodtabeloaligrafom"/>
              <w:spacing w:after="0"/>
              <w:cnfStyle w:val="000000000000" w:firstRow="0" w:lastRow="0" w:firstColumn="0" w:lastColumn="0" w:oddVBand="0" w:evenVBand="0" w:oddHBand="0" w:evenHBand="0" w:firstRowFirstColumn="0" w:firstRowLastColumn="0" w:lastRowFirstColumn="0" w:lastRowLastColumn="0"/>
            </w:pPr>
            <w:r w:rsidRPr="00164BD7">
              <w:t>7</w:t>
            </w:r>
          </w:p>
        </w:tc>
        <w:tc>
          <w:tcPr>
            <w:tcW w:w="385" w:type="pct"/>
            <w:noWrap/>
            <w:hideMark/>
          </w:tcPr>
          <w:p w:rsidR="00164BD7" w:rsidRPr="00164BD7" w:rsidRDefault="00164BD7" w:rsidP="000B7534">
            <w:pPr>
              <w:pStyle w:val="Podpispodtabeloaligrafom"/>
              <w:spacing w:after="0"/>
              <w:cnfStyle w:val="000000000000" w:firstRow="0" w:lastRow="0" w:firstColumn="0" w:lastColumn="0" w:oddVBand="0" w:evenVBand="0" w:oddHBand="0" w:evenHBand="0" w:firstRowFirstColumn="0" w:firstRowLastColumn="0" w:lastRowFirstColumn="0" w:lastRowLastColumn="0"/>
            </w:pPr>
            <w:r w:rsidRPr="00164BD7">
              <w:t>18</w:t>
            </w:r>
          </w:p>
        </w:tc>
        <w:tc>
          <w:tcPr>
            <w:tcW w:w="534" w:type="pct"/>
            <w:noWrap/>
            <w:hideMark/>
          </w:tcPr>
          <w:p w:rsidR="00164BD7" w:rsidRPr="00164BD7" w:rsidRDefault="00164BD7" w:rsidP="000B7534">
            <w:pPr>
              <w:pStyle w:val="Podpispodtabeloaligrafom"/>
              <w:spacing w:after="0"/>
              <w:cnfStyle w:val="000000000000" w:firstRow="0" w:lastRow="0" w:firstColumn="0" w:lastColumn="0" w:oddVBand="0" w:evenVBand="0" w:oddHBand="0" w:evenHBand="0" w:firstRowFirstColumn="0" w:firstRowLastColumn="0" w:lastRowFirstColumn="0" w:lastRowLastColumn="0"/>
            </w:pPr>
            <w:r w:rsidRPr="00164BD7">
              <w:t>126</w:t>
            </w:r>
          </w:p>
        </w:tc>
        <w:tc>
          <w:tcPr>
            <w:tcW w:w="534" w:type="pct"/>
            <w:noWrap/>
            <w:hideMark/>
          </w:tcPr>
          <w:p w:rsidR="00164BD7" w:rsidRPr="00164BD7" w:rsidRDefault="00164BD7" w:rsidP="000B7534">
            <w:pPr>
              <w:pStyle w:val="Podpispodtabeloaligrafom"/>
              <w:spacing w:after="0"/>
              <w:cnfStyle w:val="000000000000" w:firstRow="0" w:lastRow="0" w:firstColumn="0" w:lastColumn="0" w:oddVBand="0" w:evenVBand="0" w:oddHBand="0" w:evenHBand="0" w:firstRowFirstColumn="0" w:firstRowLastColumn="0" w:lastRowFirstColumn="0" w:lastRowLastColumn="0"/>
            </w:pPr>
            <w:r w:rsidRPr="00164BD7">
              <w:t>35</w:t>
            </w:r>
          </w:p>
        </w:tc>
        <w:tc>
          <w:tcPr>
            <w:tcW w:w="765" w:type="pct"/>
            <w:noWrap/>
            <w:hideMark/>
          </w:tcPr>
          <w:p w:rsidR="00164BD7" w:rsidRPr="00164BD7" w:rsidRDefault="00164BD7" w:rsidP="000B7534">
            <w:pPr>
              <w:pStyle w:val="Podpispodtabeloaligrafom"/>
              <w:spacing w:after="0"/>
              <w:cnfStyle w:val="000000000000" w:firstRow="0" w:lastRow="0" w:firstColumn="0" w:lastColumn="0" w:oddVBand="0" w:evenVBand="0" w:oddHBand="0" w:evenHBand="0" w:firstRowFirstColumn="0" w:firstRowLastColumn="0" w:lastRowFirstColumn="0" w:lastRowLastColumn="0"/>
            </w:pPr>
            <w:r w:rsidRPr="00164BD7">
              <w:t>30</w:t>
            </w:r>
          </w:p>
        </w:tc>
        <w:tc>
          <w:tcPr>
            <w:tcW w:w="386" w:type="pct"/>
            <w:noWrap/>
            <w:hideMark/>
          </w:tcPr>
          <w:p w:rsidR="00164BD7" w:rsidRPr="00164BD7" w:rsidRDefault="00164BD7" w:rsidP="000B7534">
            <w:pPr>
              <w:pStyle w:val="Podpispodtabeloaligrafom"/>
              <w:spacing w:after="0"/>
              <w:cnfStyle w:val="000000000000" w:firstRow="0" w:lastRow="0" w:firstColumn="0" w:lastColumn="0" w:oddVBand="0" w:evenVBand="0" w:oddHBand="0" w:evenHBand="0" w:firstRowFirstColumn="0" w:firstRowLastColumn="0" w:lastRowFirstColumn="0" w:lastRowLastColumn="0"/>
            </w:pPr>
          </w:p>
        </w:tc>
        <w:tc>
          <w:tcPr>
            <w:tcW w:w="461" w:type="pct"/>
            <w:noWrap/>
            <w:hideMark/>
          </w:tcPr>
          <w:p w:rsidR="00164BD7" w:rsidRPr="00164BD7" w:rsidRDefault="00164BD7" w:rsidP="000B7534">
            <w:pPr>
              <w:pStyle w:val="Podpispodtabeloaligrafom"/>
              <w:spacing w:after="0"/>
              <w:cnfStyle w:val="000000000000" w:firstRow="0" w:lastRow="0" w:firstColumn="0" w:lastColumn="0" w:oddVBand="0" w:evenVBand="0" w:oddHBand="0" w:evenHBand="0" w:firstRowFirstColumn="0" w:firstRowLastColumn="0" w:lastRowFirstColumn="0" w:lastRowLastColumn="0"/>
              <w:rPr>
                <w:bCs/>
              </w:rPr>
            </w:pPr>
            <w:r w:rsidRPr="00164BD7">
              <w:rPr>
                <w:bCs/>
              </w:rPr>
              <w:t>231</w:t>
            </w:r>
          </w:p>
        </w:tc>
        <w:tc>
          <w:tcPr>
            <w:tcW w:w="272" w:type="pct"/>
            <w:noWrap/>
            <w:hideMark/>
          </w:tcPr>
          <w:p w:rsidR="00164BD7" w:rsidRPr="00164BD7" w:rsidRDefault="00164BD7" w:rsidP="000B7534">
            <w:pPr>
              <w:pStyle w:val="Podpispodtabeloaligrafom"/>
              <w:spacing w:after="0"/>
              <w:cnfStyle w:val="000000000000" w:firstRow="0" w:lastRow="0" w:firstColumn="0" w:lastColumn="0" w:oddVBand="0" w:evenVBand="0" w:oddHBand="0" w:evenHBand="0" w:firstRowFirstColumn="0" w:firstRowLastColumn="0" w:lastRowFirstColumn="0" w:lastRowLastColumn="0"/>
            </w:pPr>
            <w:r w:rsidRPr="00164BD7">
              <w:t>1,58</w:t>
            </w:r>
          </w:p>
        </w:tc>
      </w:tr>
      <w:tr w:rsidR="005026D5" w:rsidRPr="00164BD7" w:rsidTr="005026D5">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749" w:type="pct"/>
            <w:noWrap/>
            <w:hideMark/>
          </w:tcPr>
          <w:p w:rsidR="00164BD7" w:rsidRPr="00164BD7" w:rsidRDefault="00164BD7" w:rsidP="000B7534">
            <w:pPr>
              <w:pStyle w:val="Podpispodtabeloaligrafom"/>
              <w:spacing w:after="0"/>
            </w:pPr>
            <w:r w:rsidRPr="00164BD7">
              <w:t>Skupna vsota</w:t>
            </w:r>
          </w:p>
        </w:tc>
        <w:tc>
          <w:tcPr>
            <w:tcW w:w="398" w:type="pct"/>
            <w:noWrap/>
            <w:hideMark/>
          </w:tcPr>
          <w:p w:rsidR="00164BD7" w:rsidRPr="00164BD7" w:rsidRDefault="00164BD7" w:rsidP="000B7534">
            <w:pPr>
              <w:pStyle w:val="Podpispodtabeloaligrafom"/>
              <w:spacing w:after="0"/>
              <w:cnfStyle w:val="000000100000" w:firstRow="0" w:lastRow="0" w:firstColumn="0" w:lastColumn="0" w:oddVBand="0" w:evenVBand="0" w:oddHBand="1" w:evenHBand="0" w:firstRowFirstColumn="0" w:firstRowLastColumn="0" w:lastRowFirstColumn="0" w:lastRowLastColumn="0"/>
              <w:rPr>
                <w:b/>
                <w:bCs/>
              </w:rPr>
            </w:pPr>
            <w:r w:rsidRPr="00164BD7">
              <w:rPr>
                <w:b/>
                <w:bCs/>
              </w:rPr>
              <w:t>253</w:t>
            </w:r>
          </w:p>
        </w:tc>
        <w:tc>
          <w:tcPr>
            <w:tcW w:w="517" w:type="pct"/>
            <w:noWrap/>
            <w:hideMark/>
          </w:tcPr>
          <w:p w:rsidR="00164BD7" w:rsidRPr="00164BD7" w:rsidRDefault="00164BD7" w:rsidP="000B7534">
            <w:pPr>
              <w:pStyle w:val="Podpispodtabeloaligrafom"/>
              <w:spacing w:after="0"/>
              <w:cnfStyle w:val="000000100000" w:firstRow="0" w:lastRow="0" w:firstColumn="0" w:lastColumn="0" w:oddVBand="0" w:evenVBand="0" w:oddHBand="1" w:evenHBand="0" w:firstRowFirstColumn="0" w:firstRowLastColumn="0" w:lastRowFirstColumn="0" w:lastRowLastColumn="0"/>
              <w:rPr>
                <w:b/>
                <w:bCs/>
              </w:rPr>
            </w:pPr>
            <w:r w:rsidRPr="00164BD7">
              <w:rPr>
                <w:b/>
                <w:bCs/>
              </w:rPr>
              <w:t>686</w:t>
            </w:r>
          </w:p>
        </w:tc>
        <w:tc>
          <w:tcPr>
            <w:tcW w:w="385" w:type="pct"/>
            <w:noWrap/>
            <w:hideMark/>
          </w:tcPr>
          <w:p w:rsidR="00164BD7" w:rsidRPr="00164BD7" w:rsidRDefault="00164BD7" w:rsidP="000B7534">
            <w:pPr>
              <w:pStyle w:val="Podpispodtabeloaligrafom"/>
              <w:spacing w:after="0"/>
              <w:cnfStyle w:val="000000100000" w:firstRow="0" w:lastRow="0" w:firstColumn="0" w:lastColumn="0" w:oddVBand="0" w:evenVBand="0" w:oddHBand="1" w:evenHBand="0" w:firstRowFirstColumn="0" w:firstRowLastColumn="0" w:lastRowFirstColumn="0" w:lastRowLastColumn="0"/>
              <w:rPr>
                <w:b/>
                <w:bCs/>
              </w:rPr>
            </w:pPr>
            <w:r w:rsidRPr="00164BD7">
              <w:rPr>
                <w:b/>
                <w:bCs/>
              </w:rPr>
              <w:t>598</w:t>
            </w:r>
          </w:p>
        </w:tc>
        <w:tc>
          <w:tcPr>
            <w:tcW w:w="534" w:type="pct"/>
            <w:noWrap/>
            <w:hideMark/>
          </w:tcPr>
          <w:p w:rsidR="00164BD7" w:rsidRPr="00164BD7" w:rsidRDefault="00164BD7" w:rsidP="000B7534">
            <w:pPr>
              <w:pStyle w:val="Podpispodtabeloaligrafom"/>
              <w:spacing w:after="0"/>
              <w:cnfStyle w:val="000000100000" w:firstRow="0" w:lastRow="0" w:firstColumn="0" w:lastColumn="0" w:oddVBand="0" w:evenVBand="0" w:oddHBand="1" w:evenHBand="0" w:firstRowFirstColumn="0" w:firstRowLastColumn="0" w:lastRowFirstColumn="0" w:lastRowLastColumn="0"/>
              <w:rPr>
                <w:b/>
                <w:bCs/>
              </w:rPr>
            </w:pPr>
            <w:r w:rsidRPr="00164BD7">
              <w:rPr>
                <w:b/>
                <w:bCs/>
              </w:rPr>
              <w:t>7.326</w:t>
            </w:r>
          </w:p>
        </w:tc>
        <w:tc>
          <w:tcPr>
            <w:tcW w:w="534" w:type="pct"/>
            <w:noWrap/>
            <w:hideMark/>
          </w:tcPr>
          <w:p w:rsidR="00164BD7" w:rsidRPr="00164BD7" w:rsidRDefault="00164BD7" w:rsidP="000B7534">
            <w:pPr>
              <w:pStyle w:val="Podpispodtabeloaligrafom"/>
              <w:spacing w:after="0"/>
              <w:cnfStyle w:val="000000100000" w:firstRow="0" w:lastRow="0" w:firstColumn="0" w:lastColumn="0" w:oddVBand="0" w:evenVBand="0" w:oddHBand="1" w:evenHBand="0" w:firstRowFirstColumn="0" w:firstRowLastColumn="0" w:lastRowFirstColumn="0" w:lastRowLastColumn="0"/>
              <w:rPr>
                <w:b/>
                <w:bCs/>
              </w:rPr>
            </w:pPr>
            <w:r w:rsidRPr="00164BD7">
              <w:rPr>
                <w:b/>
                <w:bCs/>
              </w:rPr>
              <w:t>3.123</w:t>
            </w:r>
          </w:p>
        </w:tc>
        <w:tc>
          <w:tcPr>
            <w:tcW w:w="765" w:type="pct"/>
            <w:noWrap/>
            <w:hideMark/>
          </w:tcPr>
          <w:p w:rsidR="00164BD7" w:rsidRPr="00164BD7" w:rsidRDefault="00164BD7" w:rsidP="000B7534">
            <w:pPr>
              <w:pStyle w:val="Podpispodtabeloaligrafom"/>
              <w:spacing w:after="0"/>
              <w:cnfStyle w:val="000000100000" w:firstRow="0" w:lastRow="0" w:firstColumn="0" w:lastColumn="0" w:oddVBand="0" w:evenVBand="0" w:oddHBand="1" w:evenHBand="0" w:firstRowFirstColumn="0" w:firstRowLastColumn="0" w:lastRowFirstColumn="0" w:lastRowLastColumn="0"/>
              <w:rPr>
                <w:b/>
                <w:bCs/>
              </w:rPr>
            </w:pPr>
            <w:r w:rsidRPr="00164BD7">
              <w:rPr>
                <w:b/>
                <w:bCs/>
              </w:rPr>
              <w:t>2.660</w:t>
            </w:r>
          </w:p>
        </w:tc>
        <w:tc>
          <w:tcPr>
            <w:tcW w:w="386" w:type="pct"/>
            <w:noWrap/>
            <w:hideMark/>
          </w:tcPr>
          <w:p w:rsidR="00164BD7" w:rsidRPr="00164BD7" w:rsidRDefault="00164BD7" w:rsidP="000B7534">
            <w:pPr>
              <w:pStyle w:val="Podpispodtabeloaligrafom"/>
              <w:spacing w:after="0"/>
              <w:cnfStyle w:val="000000100000" w:firstRow="0" w:lastRow="0" w:firstColumn="0" w:lastColumn="0" w:oddVBand="0" w:evenVBand="0" w:oddHBand="1" w:evenHBand="0" w:firstRowFirstColumn="0" w:firstRowLastColumn="0" w:lastRowFirstColumn="0" w:lastRowLastColumn="0"/>
              <w:rPr>
                <w:b/>
                <w:bCs/>
              </w:rPr>
            </w:pPr>
            <w:r w:rsidRPr="00164BD7">
              <w:rPr>
                <w:b/>
                <w:bCs/>
              </w:rPr>
              <w:t>10</w:t>
            </w:r>
          </w:p>
        </w:tc>
        <w:tc>
          <w:tcPr>
            <w:tcW w:w="461" w:type="pct"/>
            <w:noWrap/>
            <w:hideMark/>
          </w:tcPr>
          <w:p w:rsidR="00164BD7" w:rsidRPr="00164BD7" w:rsidRDefault="00164BD7" w:rsidP="000B7534">
            <w:pPr>
              <w:pStyle w:val="Podpispodtabeloaligrafom"/>
              <w:spacing w:after="0"/>
              <w:cnfStyle w:val="000000100000" w:firstRow="0" w:lastRow="0" w:firstColumn="0" w:lastColumn="0" w:oddVBand="0" w:evenVBand="0" w:oddHBand="1" w:evenHBand="0" w:firstRowFirstColumn="0" w:firstRowLastColumn="0" w:lastRowFirstColumn="0" w:lastRowLastColumn="0"/>
              <w:rPr>
                <w:b/>
                <w:bCs/>
              </w:rPr>
            </w:pPr>
            <w:r w:rsidRPr="00164BD7">
              <w:rPr>
                <w:b/>
                <w:bCs/>
              </w:rPr>
              <w:t>14.656</w:t>
            </w:r>
          </w:p>
        </w:tc>
        <w:tc>
          <w:tcPr>
            <w:tcW w:w="272" w:type="pct"/>
            <w:noWrap/>
            <w:hideMark/>
          </w:tcPr>
          <w:p w:rsidR="00164BD7" w:rsidRPr="00164BD7" w:rsidRDefault="00164BD7" w:rsidP="000B7534">
            <w:pPr>
              <w:pStyle w:val="Podpispodtabeloaligrafom"/>
              <w:spacing w:after="0"/>
              <w:cnfStyle w:val="000000100000" w:firstRow="0" w:lastRow="0" w:firstColumn="0" w:lastColumn="0" w:oddVBand="0" w:evenVBand="0" w:oddHBand="1" w:evenHBand="0" w:firstRowFirstColumn="0" w:firstRowLastColumn="0" w:lastRowFirstColumn="0" w:lastRowLastColumn="0"/>
              <w:rPr>
                <w:b/>
              </w:rPr>
            </w:pPr>
            <w:r w:rsidRPr="00164BD7">
              <w:rPr>
                <w:b/>
              </w:rPr>
              <w:t>100</w:t>
            </w:r>
          </w:p>
        </w:tc>
      </w:tr>
    </w:tbl>
    <w:p w:rsidR="00F6212D" w:rsidRDefault="00D9639E" w:rsidP="00DE1E54">
      <w:pPr>
        <w:pStyle w:val="Podpispodtabeloaligrafom"/>
        <w:spacing w:after="0"/>
      </w:pPr>
      <w:r w:rsidRPr="00D64BE3">
        <w:t xml:space="preserve">Vir: </w:t>
      </w:r>
      <w:r w:rsidR="00EA14AF" w:rsidRPr="00EA14AF">
        <w:t>Agencija RS za javnopravne evidence in storitve</w:t>
      </w:r>
      <w:r w:rsidRPr="00D64BE3">
        <w:t xml:space="preserve"> – Poslovni register Slovenije. </w:t>
      </w:r>
      <w:r w:rsidR="00B71439">
        <w:t xml:space="preserve">Stanje na dan 31. 12. 2015. </w:t>
      </w:r>
      <w:r w:rsidRPr="00D64BE3">
        <w:t xml:space="preserve">Izračuni: </w:t>
      </w:r>
      <w:r w:rsidR="002816A9">
        <w:t>Ministrstvo za kulturo</w:t>
      </w:r>
      <w:r w:rsidRPr="00D64BE3">
        <w:t>.</w:t>
      </w:r>
    </w:p>
    <w:p w:rsidR="00F6212D" w:rsidRPr="00F6212D" w:rsidRDefault="00F6212D" w:rsidP="00DE1E54">
      <w:pPr>
        <w:pStyle w:val="Podpispodtabeloaligrafom"/>
        <w:spacing w:after="0"/>
      </w:pPr>
      <w:r>
        <w:t xml:space="preserve">* Upoštevane so dejavnosti, ki jih po priporočilu </w:t>
      </w:r>
      <w:r w:rsidRPr="0037430B">
        <w:t xml:space="preserve">projekta </w:t>
      </w:r>
      <w:proofErr w:type="spellStart"/>
      <w:r w:rsidRPr="0037430B">
        <w:t>ESSnet</w:t>
      </w:r>
      <w:proofErr w:type="spellEnd"/>
      <w:r w:rsidRPr="0037430B">
        <w:rPr>
          <w:rStyle w:val="Sprotnaopomba-sklic"/>
        </w:rPr>
        <w:footnoteReference w:id="27"/>
      </w:r>
      <w:r>
        <w:t xml:space="preserve">uvrščamo med kulturne. Seznam dejavnosti je </w:t>
      </w:r>
      <w:r w:rsidR="005A3BBB">
        <w:t xml:space="preserve">v tabeli 29 </w:t>
      </w:r>
      <w:r w:rsidR="005A3BBB" w:rsidRPr="00292A4B">
        <w:rPr>
          <w:i/>
        </w:rPr>
        <w:t>Delovno aktivni v kulturnih dejavnostih po statističnem registru delovno aktivnega prebivalstva (2008–2015).</w:t>
      </w:r>
    </w:p>
    <w:p w:rsidR="00142D6A" w:rsidRPr="005A3BBB" w:rsidRDefault="00DD5702" w:rsidP="00DE1E54">
      <w:pPr>
        <w:pStyle w:val="Podpispodtabeloaligrafom"/>
        <w:spacing w:after="0"/>
      </w:pPr>
      <w:r w:rsidRPr="00DD5702">
        <w:rPr>
          <w:vertAlign w:val="superscript"/>
        </w:rPr>
        <w:t>1</w:t>
      </w:r>
      <w:r w:rsidR="00142D6A" w:rsidRPr="00DD5702">
        <w:rPr>
          <w:vertAlign w:val="superscript"/>
        </w:rPr>
        <w:t xml:space="preserve"> </w:t>
      </w:r>
      <w:r w:rsidR="00142D6A" w:rsidRPr="006B46F8">
        <w:t xml:space="preserve">Razlika med to tabelo in </w:t>
      </w:r>
      <w:r w:rsidR="005A3BBB" w:rsidRPr="005A3BBB">
        <w:t>grafom 37</w:t>
      </w:r>
      <w:r w:rsidR="00292A4B">
        <w:t xml:space="preserve"> </w:t>
      </w:r>
      <w:r w:rsidR="00292A4B" w:rsidRPr="00292A4B">
        <w:rPr>
          <w:i/>
        </w:rPr>
        <w:t>Poslovni subjekti</w:t>
      </w:r>
      <w:r w:rsidR="00C6278F">
        <w:rPr>
          <w:i/>
        </w:rPr>
        <w:t>, ki so oddali poslovno poro</w:t>
      </w:r>
      <w:r w:rsidR="00C6278F">
        <w:rPr>
          <w:rFonts w:ascii="Calibri" w:hAnsi="Calibri" w:cs="Calibri"/>
          <w:i/>
        </w:rPr>
        <w:t xml:space="preserve">čilo </w:t>
      </w:r>
      <w:r w:rsidR="00292A4B" w:rsidRPr="00292A4B">
        <w:rPr>
          <w:i/>
        </w:rPr>
        <w:t xml:space="preserve">glede na pravno organizacijsko obliko (2008 in 2015) </w:t>
      </w:r>
      <w:r w:rsidR="00142D6A" w:rsidRPr="005A3BBB">
        <w:t xml:space="preserve"> je </w:t>
      </w:r>
      <w:r w:rsidR="00420DB2" w:rsidRPr="005A3BBB">
        <w:t>še</w:t>
      </w:r>
      <w:r w:rsidR="00142D6A" w:rsidRPr="005A3BBB">
        <w:t xml:space="preserve"> pri številu oseb javnega prava. </w:t>
      </w:r>
      <w:r w:rsidR="006B46F8" w:rsidRPr="005A3BBB">
        <w:t>4</w:t>
      </w:r>
      <w:r w:rsidR="00142D6A" w:rsidRPr="005A3BBB">
        <w:t xml:space="preserve"> </w:t>
      </w:r>
      <w:r w:rsidR="00547574" w:rsidRPr="005A3BBB">
        <w:t>zasebni zavodi</w:t>
      </w:r>
      <w:r w:rsidR="00142D6A" w:rsidRPr="005A3BBB">
        <w:t xml:space="preserve"> </w:t>
      </w:r>
      <w:r w:rsidR="006B46F8" w:rsidRPr="005A3BBB">
        <w:t>izvajajo tudi javno službo in so zato v grafu</w:t>
      </w:r>
      <w:r w:rsidR="00A47669" w:rsidRPr="005A3BBB">
        <w:t xml:space="preserve"> </w:t>
      </w:r>
      <w:r w:rsidR="005A3BBB" w:rsidRPr="005A3BBB">
        <w:t>37</w:t>
      </w:r>
      <w:r w:rsidR="006B46F8" w:rsidRPr="005A3BBB">
        <w:t xml:space="preserve"> </w:t>
      </w:r>
      <w:r w:rsidR="00142D6A" w:rsidRPr="005A3BBB">
        <w:t>obravnavan</w:t>
      </w:r>
      <w:r w:rsidR="005A3BBB" w:rsidRPr="005A3BBB">
        <w:t>i</w:t>
      </w:r>
      <w:r w:rsidR="00142D6A" w:rsidRPr="005A3BBB">
        <w:t xml:space="preserve"> kot </w:t>
      </w:r>
      <w:r w:rsidR="006B46F8" w:rsidRPr="005A3BBB">
        <w:t>osebe javnega prava, 2 javna zavoda pa sta bila leta 2015 izbrisana iz poslovnega registra in nista oddala poslovnega poročila za to leto.</w:t>
      </w:r>
    </w:p>
    <w:p w:rsidR="00DD5702" w:rsidRPr="007A052B" w:rsidRDefault="00DD5702" w:rsidP="00DD5702">
      <w:pPr>
        <w:pStyle w:val="Podpispodtabeloaligrafom"/>
        <w:rPr>
          <w:highlight w:val="cyan"/>
        </w:rPr>
      </w:pPr>
      <w:r w:rsidRPr="005A3BBB">
        <w:rPr>
          <w:vertAlign w:val="superscript"/>
        </w:rPr>
        <w:t>2</w:t>
      </w:r>
      <w:r w:rsidR="004217F1">
        <w:rPr>
          <w:vertAlign w:val="superscript"/>
        </w:rPr>
        <w:t xml:space="preserve"> </w:t>
      </w:r>
      <w:r w:rsidRPr="005A3BBB">
        <w:t xml:space="preserve">V podatkih te tabele je več poslovnih subjektov kot v grafu </w:t>
      </w:r>
      <w:r w:rsidR="005A3BBB" w:rsidRPr="005A3BBB">
        <w:t>37</w:t>
      </w:r>
      <w:r w:rsidRPr="005A3BBB">
        <w:t xml:space="preserve">, in sicer v skupinah: Nepridobitne organizacije – osebe zasebnega prava, samostojni podjetniki posamezniki in gospodarske družbe. Do razlike pride zato, ker se graf </w:t>
      </w:r>
      <w:r w:rsidR="005A3BBB" w:rsidRPr="005A3BBB">
        <w:t>37</w:t>
      </w:r>
      <w:r w:rsidRPr="005A3BBB">
        <w:t xml:space="preserve"> nanaša samo na</w:t>
      </w:r>
      <w:r>
        <w:t xml:space="preserve"> poslovne subjekte, ki so oddali poslovno poročilo za leto 2015, ta tabela pa na vse registrirane poslovne subjekte. Osebam, ki imajo status samozaposlenega v kulturi, </w:t>
      </w:r>
      <w:r w:rsidRPr="006649C2">
        <w:t>samostojn</w:t>
      </w:r>
      <w:r>
        <w:t>im</w:t>
      </w:r>
      <w:r w:rsidRPr="006649C2">
        <w:t xml:space="preserve"> </w:t>
      </w:r>
      <w:r>
        <w:t>novinarjem</w:t>
      </w:r>
      <w:r w:rsidRPr="006649C2">
        <w:t xml:space="preserve"> in </w:t>
      </w:r>
      <w:proofErr w:type="spellStart"/>
      <w:r w:rsidRPr="006649C2">
        <w:t>samostojn</w:t>
      </w:r>
      <w:r>
        <w:t>iim</w:t>
      </w:r>
      <w:proofErr w:type="spellEnd"/>
      <w:r w:rsidRPr="006649C2">
        <w:t xml:space="preserve"> </w:t>
      </w:r>
      <w:r>
        <w:t>podjetnikom</w:t>
      </w:r>
      <w:r w:rsidRPr="006649C2">
        <w:t>, ki so obdavčeni na podlagi ugotovljenega dobička z upoštevanjem normiranih odhodkov</w:t>
      </w:r>
      <w:r>
        <w:t xml:space="preserve">, poslovnih poročil </w:t>
      </w:r>
      <w:proofErr w:type="spellStart"/>
      <w:r w:rsidR="00EA14AF">
        <w:t>AgencijI</w:t>
      </w:r>
      <w:proofErr w:type="spellEnd"/>
      <w:r w:rsidR="00EA14AF" w:rsidRPr="00EA14AF">
        <w:t xml:space="preserve"> </w:t>
      </w:r>
      <w:r w:rsidR="00EA14AF">
        <w:t>RS</w:t>
      </w:r>
      <w:r w:rsidR="00EA14AF" w:rsidRPr="00EA14AF">
        <w:t xml:space="preserve"> za javnopravne evidence in storitve</w:t>
      </w:r>
      <w:r w:rsidR="00EA14AF">
        <w:t xml:space="preserve"> </w:t>
      </w:r>
      <w:r>
        <w:t>ni treba oddati. Hkrati pa poslovnih poročil ne oddajo vsi, ki bi jih morali.</w:t>
      </w:r>
    </w:p>
    <w:p w:rsidR="00DD5702" w:rsidRPr="006B46F8" w:rsidRDefault="00DD5702" w:rsidP="00780D24">
      <w:pPr>
        <w:pStyle w:val="Podpispodtabeloaligrafom"/>
      </w:pPr>
    </w:p>
    <w:p w:rsidR="0003029E" w:rsidRPr="00DE1E54" w:rsidRDefault="00DE1E54" w:rsidP="00DE1E54">
      <w:pPr>
        <w:rPr>
          <w:i/>
          <w:color w:val="4F81BD" w:themeColor="accent1"/>
          <w:spacing w:val="15"/>
        </w:rPr>
      </w:pPr>
      <w:r>
        <w:br w:type="page"/>
      </w:r>
    </w:p>
    <w:p w:rsidR="00FE3FB5" w:rsidRDefault="00FE7E14" w:rsidP="00026B1D">
      <w:pPr>
        <w:pStyle w:val="Podnaslov2"/>
      </w:pPr>
      <w:bookmarkStart w:id="149" w:name="_Toc489859817"/>
      <w:bookmarkStart w:id="150" w:name="_Toc490047580"/>
      <w:bookmarkStart w:id="151" w:name="_Toc490599945"/>
      <w:bookmarkStart w:id="152" w:name="_Toc506192074"/>
      <w:r w:rsidRPr="002D49BA">
        <w:lastRenderedPageBreak/>
        <w:t>Proračuni za kulturo v lokalnih skupnostih</w:t>
      </w:r>
      <w:bookmarkEnd w:id="149"/>
      <w:bookmarkEnd w:id="150"/>
      <w:bookmarkEnd w:id="151"/>
      <w:bookmarkEnd w:id="152"/>
    </w:p>
    <w:p w:rsidR="00FE3FB5" w:rsidRDefault="00FE3FB5" w:rsidP="00FE3FB5">
      <w:pPr>
        <w:pStyle w:val="Podnaslov3"/>
      </w:pPr>
      <w:bookmarkStart w:id="153" w:name="_Toc489859818"/>
      <w:bookmarkStart w:id="154" w:name="_Toc490047581"/>
      <w:bookmarkStart w:id="155" w:name="_Toc490599946"/>
      <w:bookmarkStart w:id="156" w:name="_Toc506192075"/>
      <w:r>
        <w:t>Obseg sredstev</w:t>
      </w:r>
      <w:r w:rsidR="00AD3007">
        <w:t xml:space="preserve"> in hierarhija področij</w:t>
      </w:r>
      <w:bookmarkEnd w:id="153"/>
      <w:bookmarkEnd w:id="154"/>
      <w:r w:rsidR="00026B1D">
        <w:t xml:space="preserve"> javnega financiranja</w:t>
      </w:r>
      <w:bookmarkEnd w:id="155"/>
      <w:bookmarkEnd w:id="156"/>
    </w:p>
    <w:p w:rsidR="00956988" w:rsidRDefault="003D031D" w:rsidP="003D031D">
      <w:r w:rsidRPr="002D49BA">
        <w:t>Glede na to, da lokalne skupnosti prispevajo približno polovico vseh javnih iz</w:t>
      </w:r>
      <w:r w:rsidR="004217F1">
        <w:t xml:space="preserve">datkov za kulturo (graf </w:t>
      </w:r>
      <w:r w:rsidR="00491E22">
        <w:t>9</w:t>
      </w:r>
      <w:r w:rsidRPr="002D49BA">
        <w:t>)</w:t>
      </w:r>
      <w:r w:rsidR="00DC1A93" w:rsidRPr="002D49BA">
        <w:t xml:space="preserve">, si kaže lokalne proračune ogledati podrobneje. V tem poglavju nas bo zanimalo predvsem razmerje med skupnimi izdatki za kulturne storitve in skupnimi preostalimi izdatki, </w:t>
      </w:r>
      <w:r w:rsidR="00293B14" w:rsidRPr="002D49BA">
        <w:t xml:space="preserve">za leti 2008 in 2015 pa </w:t>
      </w:r>
      <w:r w:rsidR="00DC1A93" w:rsidRPr="002D49BA">
        <w:t xml:space="preserve">si bomo ogledali tudi razmerja med izdatki za kulturne storitve in izdatki za </w:t>
      </w:r>
      <w:r w:rsidR="00293B14" w:rsidRPr="002D49BA">
        <w:t>preostala področja, kot so izobraževanje, socialna varnost, stanovanjska dejavnost itd.</w:t>
      </w:r>
      <w:r w:rsidR="00F44CCB" w:rsidRPr="002D49BA">
        <w:t xml:space="preserve"> Uporabili bomo podatke Ministrstva za finance, prikazane po funkcionalni klasifikaciji</w:t>
      </w:r>
      <w:r w:rsidR="0049298C" w:rsidRPr="002D49BA">
        <w:t xml:space="preserve"> (glede na raven 2)</w:t>
      </w:r>
      <w:r w:rsidR="00F44CCB" w:rsidRPr="002D49BA">
        <w:t>,</w:t>
      </w:r>
      <w:r w:rsidR="0049298C" w:rsidRPr="002D49BA">
        <w:rPr>
          <w:rStyle w:val="Sprotnaopomba-sklic"/>
        </w:rPr>
        <w:footnoteReference w:id="28"/>
      </w:r>
      <w:r w:rsidR="00F44CCB" w:rsidRPr="002D49BA">
        <w:t xml:space="preserve"> ki smo jo uporabili tudi za prikaz nacionalnih javnih izdatkov.</w:t>
      </w:r>
      <w:r w:rsidR="00EE0A6F" w:rsidRPr="002D49BA">
        <w:rPr>
          <w:rStyle w:val="Sprotnaopomba-sklic"/>
        </w:rPr>
        <w:footnoteReference w:id="29"/>
      </w:r>
    </w:p>
    <w:p w:rsidR="00956988" w:rsidRDefault="002A5C4D" w:rsidP="002A5C4D">
      <w:pPr>
        <w:pStyle w:val="Naslovtabele"/>
      </w:pPr>
      <w:bookmarkStart w:id="157" w:name="_Toc490053362"/>
      <w:bookmarkStart w:id="158" w:name="_Toc490053733"/>
      <w:bookmarkStart w:id="159" w:name="_Toc490600005"/>
      <w:r>
        <w:t>Tabela</w:t>
      </w:r>
      <w:r w:rsidR="006D2D21">
        <w:t xml:space="preserve"> 14</w:t>
      </w:r>
      <w:r>
        <w:t>: Sredstva za kulturo v proračunih lokalnih skupnosti (2008–2015)</w:t>
      </w:r>
      <w:bookmarkEnd w:id="157"/>
      <w:bookmarkEnd w:id="158"/>
      <w:bookmarkEnd w:id="159"/>
    </w:p>
    <w:tbl>
      <w:tblPr>
        <w:tblStyle w:val="Svetelseznampoudarek3"/>
        <w:tblW w:w="5000" w:type="pct"/>
        <w:tblLook w:val="04A0" w:firstRow="1" w:lastRow="0" w:firstColumn="1" w:lastColumn="0" w:noHBand="0" w:noVBand="1"/>
      </w:tblPr>
      <w:tblGrid>
        <w:gridCol w:w="532"/>
        <w:gridCol w:w="1251"/>
        <w:gridCol w:w="1251"/>
        <w:gridCol w:w="1251"/>
        <w:gridCol w:w="1251"/>
        <w:gridCol w:w="1251"/>
        <w:gridCol w:w="1251"/>
        <w:gridCol w:w="1251"/>
      </w:tblGrid>
      <w:tr w:rsidR="002A5C4D" w:rsidRPr="002A5C4D" w:rsidTr="002A5C4D">
        <w:trPr>
          <w:cnfStyle w:val="100000000000" w:firstRow="1" w:lastRow="0" w:firstColumn="0" w:lastColumn="0" w:oddVBand="0" w:evenVBand="0" w:oddHBand="0" w:evenHBand="0" w:firstRowFirstColumn="0" w:firstRowLastColumn="0" w:lastRowFirstColumn="0" w:lastRowLastColumn="0"/>
          <w:trHeight w:val="1546"/>
        </w:trPr>
        <w:tc>
          <w:tcPr>
            <w:cnfStyle w:val="001000000000" w:firstRow="0" w:lastRow="0" w:firstColumn="1" w:lastColumn="0" w:oddVBand="0" w:evenVBand="0" w:oddHBand="0" w:evenHBand="0" w:firstRowFirstColumn="0" w:firstRowLastColumn="0" w:lastRowFirstColumn="0" w:lastRowLastColumn="0"/>
            <w:tcW w:w="286" w:type="pct"/>
            <w:hideMark/>
          </w:tcPr>
          <w:p w:rsidR="002A5C4D" w:rsidRPr="002A5C4D" w:rsidRDefault="002A5C4D" w:rsidP="002A5C4D">
            <w:pPr>
              <w:rPr>
                <w:rFonts w:ascii="Arial Narrow" w:hAnsi="Arial Narrow"/>
                <w:sz w:val="16"/>
                <w:szCs w:val="16"/>
                <w:lang w:eastAsia="sl-SI"/>
              </w:rPr>
            </w:pPr>
          </w:p>
        </w:tc>
        <w:tc>
          <w:tcPr>
            <w:tcW w:w="673" w:type="pct"/>
            <w:hideMark/>
          </w:tcPr>
          <w:p w:rsidR="002A5C4D" w:rsidRPr="002A5C4D" w:rsidRDefault="002A5C4D" w:rsidP="002A5C4D">
            <w:pPr>
              <w:cnfStyle w:val="100000000000" w:firstRow="1"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2A5C4D">
              <w:rPr>
                <w:rFonts w:ascii="Arial Narrow" w:hAnsi="Arial Narrow"/>
                <w:sz w:val="16"/>
                <w:szCs w:val="16"/>
                <w:lang w:eastAsia="sl-SI"/>
              </w:rPr>
              <w:t xml:space="preserve">Za kulturne </w:t>
            </w:r>
            <w:r>
              <w:rPr>
                <w:rFonts w:ascii="Arial Narrow" w:hAnsi="Arial Narrow"/>
                <w:sz w:val="16"/>
                <w:szCs w:val="16"/>
                <w:lang w:eastAsia="sl-SI"/>
              </w:rPr>
              <w:t xml:space="preserve">dejavnosti </w:t>
            </w:r>
            <w:r w:rsidRPr="002A5C4D">
              <w:rPr>
                <w:rFonts w:ascii="Arial Narrow" w:hAnsi="Arial Narrow"/>
                <w:sz w:val="16"/>
                <w:szCs w:val="16"/>
                <w:lang w:eastAsia="sl-SI"/>
              </w:rPr>
              <w:t xml:space="preserve">v vseh proračunih </w:t>
            </w:r>
            <w:proofErr w:type="spellStart"/>
            <w:r w:rsidRPr="002A5C4D">
              <w:rPr>
                <w:rFonts w:ascii="Arial Narrow" w:hAnsi="Arial Narrow"/>
                <w:sz w:val="16"/>
                <w:szCs w:val="16"/>
                <w:lang w:eastAsia="sl-SI"/>
              </w:rPr>
              <w:t>lokanih</w:t>
            </w:r>
            <w:proofErr w:type="spellEnd"/>
            <w:r w:rsidRPr="002A5C4D">
              <w:rPr>
                <w:rFonts w:ascii="Arial Narrow" w:hAnsi="Arial Narrow"/>
                <w:sz w:val="16"/>
                <w:szCs w:val="16"/>
                <w:lang w:eastAsia="sl-SI"/>
              </w:rPr>
              <w:t xml:space="preserve"> skupnosti (EUR)</w:t>
            </w:r>
          </w:p>
        </w:tc>
        <w:tc>
          <w:tcPr>
            <w:tcW w:w="673" w:type="pct"/>
            <w:hideMark/>
          </w:tcPr>
          <w:p w:rsidR="002A5C4D" w:rsidRPr="002A5C4D" w:rsidRDefault="002A5C4D" w:rsidP="002A5C4D">
            <w:pPr>
              <w:cnfStyle w:val="100000000000" w:firstRow="1"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2A5C4D">
              <w:rPr>
                <w:rFonts w:ascii="Arial Narrow" w:hAnsi="Arial Narrow"/>
                <w:sz w:val="16"/>
                <w:szCs w:val="16"/>
                <w:lang w:eastAsia="sl-SI"/>
              </w:rPr>
              <w:t xml:space="preserve">Za </w:t>
            </w:r>
            <w:r>
              <w:rPr>
                <w:rFonts w:ascii="Arial Narrow" w:hAnsi="Arial Narrow"/>
                <w:sz w:val="16"/>
                <w:szCs w:val="16"/>
                <w:lang w:eastAsia="sl-SI"/>
              </w:rPr>
              <w:t>dejavnosti</w:t>
            </w:r>
            <w:r w:rsidRPr="002A5C4D">
              <w:rPr>
                <w:rFonts w:ascii="Arial Narrow" w:hAnsi="Arial Narrow"/>
                <w:sz w:val="16"/>
                <w:szCs w:val="16"/>
                <w:lang w:eastAsia="sl-SI"/>
              </w:rPr>
              <w:t xml:space="preserve"> RTV in založništva v vseh proračunih lokalnih skupnosti (EUR)</w:t>
            </w:r>
          </w:p>
        </w:tc>
        <w:tc>
          <w:tcPr>
            <w:tcW w:w="673" w:type="pct"/>
            <w:hideMark/>
          </w:tcPr>
          <w:p w:rsidR="002A5C4D" w:rsidRPr="002A5C4D" w:rsidRDefault="002A5C4D" w:rsidP="002A5C4D">
            <w:pPr>
              <w:cnfStyle w:val="100000000000" w:firstRow="1"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2A5C4D">
              <w:rPr>
                <w:rFonts w:ascii="Arial Narrow" w:hAnsi="Arial Narrow"/>
                <w:sz w:val="16"/>
                <w:szCs w:val="16"/>
                <w:lang w:eastAsia="sl-SI"/>
              </w:rPr>
              <w:t>Za vse namene v vseh proračunih lokalnih skupnosti skupaj (EUR)</w:t>
            </w:r>
          </w:p>
        </w:tc>
        <w:tc>
          <w:tcPr>
            <w:tcW w:w="673" w:type="pct"/>
            <w:hideMark/>
          </w:tcPr>
          <w:p w:rsidR="002A5C4D" w:rsidRPr="002A5C4D" w:rsidRDefault="002A5C4D" w:rsidP="002A5C4D">
            <w:pPr>
              <w:cnfStyle w:val="100000000000" w:firstRow="1"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2A5C4D">
              <w:rPr>
                <w:rFonts w:ascii="Arial Narrow" w:hAnsi="Arial Narrow"/>
                <w:sz w:val="16"/>
                <w:szCs w:val="16"/>
                <w:lang w:eastAsia="sl-SI"/>
              </w:rPr>
              <w:t xml:space="preserve">Za kulturne </w:t>
            </w:r>
            <w:r>
              <w:rPr>
                <w:rFonts w:ascii="Arial Narrow" w:hAnsi="Arial Narrow"/>
                <w:sz w:val="16"/>
                <w:szCs w:val="16"/>
                <w:lang w:eastAsia="sl-SI"/>
              </w:rPr>
              <w:t>dejavnosti</w:t>
            </w:r>
            <w:r w:rsidR="007F1C17">
              <w:rPr>
                <w:rFonts w:ascii="Arial Narrow" w:hAnsi="Arial Narrow"/>
                <w:sz w:val="16"/>
                <w:szCs w:val="16"/>
                <w:lang w:eastAsia="sl-SI"/>
              </w:rPr>
              <w:t xml:space="preserve"> </w:t>
            </w:r>
            <w:r w:rsidRPr="002A5C4D">
              <w:rPr>
                <w:rFonts w:ascii="Arial Narrow" w:hAnsi="Arial Narrow"/>
                <w:sz w:val="16"/>
                <w:szCs w:val="16"/>
                <w:lang w:eastAsia="sl-SI"/>
              </w:rPr>
              <w:t xml:space="preserve">v vseh proračunih </w:t>
            </w:r>
            <w:proofErr w:type="spellStart"/>
            <w:r w:rsidRPr="002A5C4D">
              <w:rPr>
                <w:rFonts w:ascii="Arial Narrow" w:hAnsi="Arial Narrow"/>
                <w:sz w:val="16"/>
                <w:szCs w:val="16"/>
                <w:lang w:eastAsia="sl-SI"/>
              </w:rPr>
              <w:t>lokanih</w:t>
            </w:r>
            <w:proofErr w:type="spellEnd"/>
            <w:r w:rsidRPr="002A5C4D">
              <w:rPr>
                <w:rFonts w:ascii="Arial Narrow" w:hAnsi="Arial Narrow"/>
                <w:sz w:val="16"/>
                <w:szCs w:val="16"/>
                <w:lang w:eastAsia="sl-SI"/>
              </w:rPr>
              <w:t xml:space="preserve"> skupnosti (%) </w:t>
            </w:r>
          </w:p>
        </w:tc>
        <w:tc>
          <w:tcPr>
            <w:tcW w:w="673" w:type="pct"/>
            <w:hideMark/>
          </w:tcPr>
          <w:p w:rsidR="002A5C4D" w:rsidRPr="002A5C4D" w:rsidRDefault="002A5C4D" w:rsidP="002A5C4D">
            <w:pPr>
              <w:cnfStyle w:val="100000000000" w:firstRow="1"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2A5C4D">
              <w:rPr>
                <w:rFonts w:ascii="Arial Narrow" w:hAnsi="Arial Narrow"/>
                <w:sz w:val="16"/>
                <w:szCs w:val="16"/>
                <w:lang w:eastAsia="sl-SI"/>
              </w:rPr>
              <w:t>Za storitve RTV in založništva v vseh proračunih lokalnih skupnosti (%)</w:t>
            </w:r>
          </w:p>
        </w:tc>
        <w:tc>
          <w:tcPr>
            <w:tcW w:w="673" w:type="pct"/>
            <w:hideMark/>
          </w:tcPr>
          <w:p w:rsidR="002A5C4D" w:rsidRPr="002A5C4D" w:rsidRDefault="002A5C4D" w:rsidP="002A5C4D">
            <w:pPr>
              <w:cnfStyle w:val="100000000000" w:firstRow="1"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2A5C4D">
              <w:rPr>
                <w:rFonts w:ascii="Arial Narrow" w:hAnsi="Arial Narrow"/>
                <w:sz w:val="16"/>
                <w:szCs w:val="16"/>
                <w:lang w:eastAsia="sl-SI"/>
              </w:rPr>
              <w:t>Zaporedno mesto, ki ga zasedajo izdatki za kulturne storitve v vseh proračunih skupaj</w:t>
            </w:r>
          </w:p>
        </w:tc>
        <w:tc>
          <w:tcPr>
            <w:tcW w:w="673" w:type="pct"/>
            <w:hideMark/>
          </w:tcPr>
          <w:p w:rsidR="002A5C4D" w:rsidRPr="002A5C4D" w:rsidRDefault="002A5C4D" w:rsidP="002A5C4D">
            <w:pPr>
              <w:cnfStyle w:val="100000000000" w:firstRow="1"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2A5C4D">
              <w:rPr>
                <w:rFonts w:ascii="Arial Narrow" w:hAnsi="Arial Narrow"/>
                <w:sz w:val="16"/>
                <w:szCs w:val="16"/>
                <w:lang w:eastAsia="sl-SI"/>
              </w:rPr>
              <w:t>Zaporedno mesto, ki ga zasedajo izdatki za storitve RTV in založništva v vseh proračunih skupaj</w:t>
            </w:r>
          </w:p>
        </w:tc>
      </w:tr>
      <w:tr w:rsidR="002A5C4D" w:rsidRPr="002A5C4D" w:rsidTr="005026D5">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286" w:type="pct"/>
            <w:noWrap/>
            <w:hideMark/>
          </w:tcPr>
          <w:p w:rsidR="002A5C4D" w:rsidRPr="002A5C4D" w:rsidRDefault="002A5C4D" w:rsidP="002A5C4D">
            <w:pPr>
              <w:spacing w:after="0" w:line="240" w:lineRule="auto"/>
              <w:rPr>
                <w:rFonts w:ascii="Arial Narrow" w:hAnsi="Arial Narrow"/>
                <w:color w:val="000000"/>
                <w:sz w:val="16"/>
                <w:szCs w:val="16"/>
                <w:lang w:eastAsia="sl-SI"/>
              </w:rPr>
            </w:pPr>
            <w:r w:rsidRPr="002A5C4D">
              <w:rPr>
                <w:rFonts w:ascii="Arial Narrow" w:hAnsi="Arial Narrow"/>
                <w:color w:val="000000"/>
                <w:sz w:val="16"/>
                <w:szCs w:val="16"/>
                <w:lang w:eastAsia="sl-SI"/>
              </w:rPr>
              <w:t>2008</w:t>
            </w:r>
          </w:p>
        </w:tc>
        <w:tc>
          <w:tcPr>
            <w:tcW w:w="673" w:type="pct"/>
            <w:hideMark/>
          </w:tcPr>
          <w:p w:rsidR="002A5C4D" w:rsidRPr="002A5C4D" w:rsidRDefault="002A5C4D" w:rsidP="007650C6">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2A5C4D">
              <w:rPr>
                <w:rFonts w:ascii="Arial Narrow" w:hAnsi="Arial Narrow"/>
                <w:color w:val="000000"/>
                <w:sz w:val="16"/>
                <w:szCs w:val="16"/>
                <w:lang w:eastAsia="sl-SI"/>
              </w:rPr>
              <w:t>139.393.080,01</w:t>
            </w:r>
          </w:p>
        </w:tc>
        <w:tc>
          <w:tcPr>
            <w:tcW w:w="673" w:type="pct"/>
            <w:hideMark/>
          </w:tcPr>
          <w:p w:rsidR="002A5C4D" w:rsidRPr="002A5C4D" w:rsidRDefault="002A5C4D" w:rsidP="007650C6">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2A5C4D">
              <w:rPr>
                <w:rFonts w:ascii="Arial Narrow" w:hAnsi="Arial Narrow"/>
                <w:color w:val="000000"/>
                <w:sz w:val="16"/>
                <w:szCs w:val="16"/>
                <w:lang w:eastAsia="sl-SI"/>
              </w:rPr>
              <w:t>4.027.021,13</w:t>
            </w:r>
          </w:p>
        </w:tc>
        <w:tc>
          <w:tcPr>
            <w:tcW w:w="673" w:type="pct"/>
            <w:noWrap/>
            <w:hideMark/>
          </w:tcPr>
          <w:p w:rsidR="002A5C4D" w:rsidRPr="002A5C4D" w:rsidRDefault="002A5C4D" w:rsidP="007650C6">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2A5C4D">
              <w:rPr>
                <w:rFonts w:ascii="Arial Narrow" w:hAnsi="Arial Narrow"/>
                <w:color w:val="000000"/>
                <w:sz w:val="16"/>
                <w:szCs w:val="16"/>
                <w:lang w:eastAsia="sl-SI"/>
              </w:rPr>
              <w:t>2.078.102.594,14</w:t>
            </w:r>
          </w:p>
        </w:tc>
        <w:tc>
          <w:tcPr>
            <w:tcW w:w="673" w:type="pct"/>
            <w:noWrap/>
            <w:hideMark/>
          </w:tcPr>
          <w:p w:rsidR="002A5C4D" w:rsidRPr="002A5C4D" w:rsidRDefault="002A5C4D" w:rsidP="007650C6">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2A5C4D">
              <w:rPr>
                <w:rFonts w:ascii="Arial Narrow" w:hAnsi="Arial Narrow"/>
                <w:color w:val="000000"/>
                <w:sz w:val="16"/>
                <w:szCs w:val="16"/>
                <w:lang w:eastAsia="sl-SI"/>
              </w:rPr>
              <w:t>6,7</w:t>
            </w:r>
          </w:p>
        </w:tc>
        <w:tc>
          <w:tcPr>
            <w:tcW w:w="673" w:type="pct"/>
            <w:noWrap/>
            <w:hideMark/>
          </w:tcPr>
          <w:p w:rsidR="002A5C4D" w:rsidRPr="002A5C4D" w:rsidRDefault="002A5C4D" w:rsidP="007650C6">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2A5C4D">
              <w:rPr>
                <w:rFonts w:ascii="Arial Narrow" w:hAnsi="Arial Narrow"/>
                <w:color w:val="000000"/>
                <w:sz w:val="16"/>
                <w:szCs w:val="16"/>
                <w:lang w:eastAsia="sl-SI"/>
              </w:rPr>
              <w:t>0,2</w:t>
            </w:r>
          </w:p>
        </w:tc>
        <w:tc>
          <w:tcPr>
            <w:tcW w:w="673" w:type="pct"/>
            <w:noWrap/>
            <w:hideMark/>
          </w:tcPr>
          <w:p w:rsidR="002A5C4D" w:rsidRPr="002A5C4D" w:rsidRDefault="002A5C4D" w:rsidP="007650C6">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2A5C4D">
              <w:rPr>
                <w:rFonts w:ascii="Arial Narrow" w:hAnsi="Arial Narrow"/>
                <w:color w:val="000000"/>
                <w:sz w:val="16"/>
                <w:szCs w:val="16"/>
                <w:lang w:eastAsia="sl-SI"/>
              </w:rPr>
              <w:t>5. od 44</w:t>
            </w:r>
          </w:p>
        </w:tc>
        <w:tc>
          <w:tcPr>
            <w:tcW w:w="673" w:type="pct"/>
            <w:noWrap/>
            <w:hideMark/>
          </w:tcPr>
          <w:p w:rsidR="002A5C4D" w:rsidRPr="002A5C4D" w:rsidRDefault="002A5C4D" w:rsidP="007650C6">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2A5C4D">
              <w:rPr>
                <w:rFonts w:ascii="Arial Narrow" w:hAnsi="Arial Narrow"/>
                <w:color w:val="000000"/>
                <w:sz w:val="16"/>
                <w:szCs w:val="16"/>
                <w:lang w:eastAsia="sl-SI"/>
              </w:rPr>
              <w:t>30. od 44</w:t>
            </w:r>
          </w:p>
        </w:tc>
      </w:tr>
      <w:tr w:rsidR="002A5C4D" w:rsidRPr="002A5C4D" w:rsidTr="005026D5">
        <w:trPr>
          <w:trHeight w:val="102"/>
        </w:trPr>
        <w:tc>
          <w:tcPr>
            <w:cnfStyle w:val="001000000000" w:firstRow="0" w:lastRow="0" w:firstColumn="1" w:lastColumn="0" w:oddVBand="0" w:evenVBand="0" w:oddHBand="0" w:evenHBand="0" w:firstRowFirstColumn="0" w:firstRowLastColumn="0" w:lastRowFirstColumn="0" w:lastRowLastColumn="0"/>
            <w:tcW w:w="286" w:type="pct"/>
            <w:noWrap/>
            <w:hideMark/>
          </w:tcPr>
          <w:p w:rsidR="002A5C4D" w:rsidRPr="002A5C4D" w:rsidRDefault="002A5C4D" w:rsidP="002A5C4D">
            <w:pPr>
              <w:spacing w:after="0" w:line="240" w:lineRule="auto"/>
              <w:rPr>
                <w:rFonts w:ascii="Arial Narrow" w:hAnsi="Arial Narrow"/>
                <w:color w:val="000000"/>
                <w:sz w:val="16"/>
                <w:szCs w:val="16"/>
                <w:lang w:eastAsia="sl-SI"/>
              </w:rPr>
            </w:pPr>
            <w:r w:rsidRPr="002A5C4D">
              <w:rPr>
                <w:rFonts w:ascii="Arial Narrow" w:hAnsi="Arial Narrow"/>
                <w:color w:val="000000"/>
                <w:sz w:val="16"/>
                <w:szCs w:val="16"/>
                <w:lang w:eastAsia="sl-SI"/>
              </w:rPr>
              <w:t>2009</w:t>
            </w:r>
          </w:p>
        </w:tc>
        <w:tc>
          <w:tcPr>
            <w:tcW w:w="673" w:type="pct"/>
            <w:hideMark/>
          </w:tcPr>
          <w:p w:rsidR="002A5C4D" w:rsidRPr="002A5C4D" w:rsidRDefault="002A5C4D" w:rsidP="007650C6">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2A5C4D">
              <w:rPr>
                <w:rFonts w:ascii="Arial Narrow" w:hAnsi="Arial Narrow"/>
                <w:color w:val="000000"/>
                <w:sz w:val="16"/>
                <w:szCs w:val="16"/>
                <w:lang w:eastAsia="sl-SI"/>
              </w:rPr>
              <w:t>147.641.861,07</w:t>
            </w:r>
          </w:p>
        </w:tc>
        <w:tc>
          <w:tcPr>
            <w:tcW w:w="673" w:type="pct"/>
            <w:hideMark/>
          </w:tcPr>
          <w:p w:rsidR="002A5C4D" w:rsidRPr="002A5C4D" w:rsidRDefault="002A5C4D" w:rsidP="007650C6">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2A5C4D">
              <w:rPr>
                <w:rFonts w:ascii="Arial Narrow" w:hAnsi="Arial Narrow"/>
                <w:color w:val="000000"/>
                <w:sz w:val="16"/>
                <w:szCs w:val="16"/>
                <w:lang w:eastAsia="sl-SI"/>
              </w:rPr>
              <w:t>4.934.172,94</w:t>
            </w:r>
          </w:p>
        </w:tc>
        <w:tc>
          <w:tcPr>
            <w:tcW w:w="673" w:type="pct"/>
            <w:noWrap/>
            <w:hideMark/>
          </w:tcPr>
          <w:p w:rsidR="002A5C4D" w:rsidRPr="002A5C4D" w:rsidRDefault="002A5C4D" w:rsidP="007650C6">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2A5C4D">
              <w:rPr>
                <w:rFonts w:ascii="Arial Narrow" w:hAnsi="Arial Narrow"/>
                <w:color w:val="000000"/>
                <w:sz w:val="16"/>
                <w:szCs w:val="16"/>
                <w:lang w:eastAsia="sl-SI"/>
              </w:rPr>
              <w:t>2.235.589.477,66</w:t>
            </w:r>
          </w:p>
        </w:tc>
        <w:tc>
          <w:tcPr>
            <w:tcW w:w="673" w:type="pct"/>
            <w:noWrap/>
            <w:hideMark/>
          </w:tcPr>
          <w:p w:rsidR="002A5C4D" w:rsidRPr="002A5C4D" w:rsidRDefault="002A5C4D" w:rsidP="007650C6">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2A5C4D">
              <w:rPr>
                <w:rFonts w:ascii="Arial Narrow" w:hAnsi="Arial Narrow"/>
                <w:color w:val="000000"/>
                <w:sz w:val="16"/>
                <w:szCs w:val="16"/>
                <w:lang w:eastAsia="sl-SI"/>
              </w:rPr>
              <w:t>6,6</w:t>
            </w:r>
          </w:p>
        </w:tc>
        <w:tc>
          <w:tcPr>
            <w:tcW w:w="673" w:type="pct"/>
            <w:noWrap/>
            <w:hideMark/>
          </w:tcPr>
          <w:p w:rsidR="002A5C4D" w:rsidRPr="002A5C4D" w:rsidRDefault="002A5C4D" w:rsidP="007650C6">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2A5C4D">
              <w:rPr>
                <w:rFonts w:ascii="Arial Narrow" w:hAnsi="Arial Narrow"/>
                <w:color w:val="000000"/>
                <w:sz w:val="16"/>
                <w:szCs w:val="16"/>
                <w:lang w:eastAsia="sl-SI"/>
              </w:rPr>
              <w:t>0,2</w:t>
            </w:r>
          </w:p>
        </w:tc>
        <w:tc>
          <w:tcPr>
            <w:tcW w:w="673" w:type="pct"/>
            <w:noWrap/>
            <w:hideMark/>
          </w:tcPr>
          <w:p w:rsidR="002A5C4D" w:rsidRPr="002A5C4D" w:rsidRDefault="002A5C4D" w:rsidP="007650C6">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2A5C4D">
              <w:rPr>
                <w:rFonts w:ascii="Arial Narrow" w:hAnsi="Arial Narrow"/>
                <w:color w:val="000000"/>
                <w:sz w:val="16"/>
                <w:szCs w:val="16"/>
                <w:lang w:eastAsia="sl-SI"/>
              </w:rPr>
              <w:t>6. od 44</w:t>
            </w:r>
          </w:p>
        </w:tc>
        <w:tc>
          <w:tcPr>
            <w:tcW w:w="673" w:type="pct"/>
            <w:noWrap/>
            <w:hideMark/>
          </w:tcPr>
          <w:p w:rsidR="002A5C4D" w:rsidRPr="002A5C4D" w:rsidRDefault="002A5C4D" w:rsidP="007650C6">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2A5C4D">
              <w:rPr>
                <w:rFonts w:ascii="Arial Narrow" w:hAnsi="Arial Narrow"/>
                <w:color w:val="000000"/>
                <w:sz w:val="16"/>
                <w:szCs w:val="16"/>
                <w:lang w:eastAsia="sl-SI"/>
              </w:rPr>
              <w:t>30. od 44</w:t>
            </w:r>
          </w:p>
        </w:tc>
      </w:tr>
      <w:tr w:rsidR="002A5C4D" w:rsidRPr="002A5C4D" w:rsidTr="005026D5">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286" w:type="pct"/>
            <w:noWrap/>
            <w:hideMark/>
          </w:tcPr>
          <w:p w:rsidR="002A5C4D" w:rsidRPr="002A5C4D" w:rsidRDefault="002A5C4D" w:rsidP="002A5C4D">
            <w:pPr>
              <w:spacing w:after="0" w:line="240" w:lineRule="auto"/>
              <w:rPr>
                <w:rFonts w:ascii="Arial Narrow" w:hAnsi="Arial Narrow"/>
                <w:color w:val="000000"/>
                <w:sz w:val="16"/>
                <w:szCs w:val="16"/>
                <w:lang w:eastAsia="sl-SI"/>
              </w:rPr>
            </w:pPr>
            <w:r w:rsidRPr="002A5C4D">
              <w:rPr>
                <w:rFonts w:ascii="Arial Narrow" w:hAnsi="Arial Narrow"/>
                <w:color w:val="000000"/>
                <w:sz w:val="16"/>
                <w:szCs w:val="16"/>
                <w:lang w:eastAsia="sl-SI"/>
              </w:rPr>
              <w:t>2010</w:t>
            </w:r>
          </w:p>
        </w:tc>
        <w:tc>
          <w:tcPr>
            <w:tcW w:w="673" w:type="pct"/>
            <w:hideMark/>
          </w:tcPr>
          <w:p w:rsidR="002A5C4D" w:rsidRPr="002A5C4D" w:rsidRDefault="002A5C4D" w:rsidP="007650C6">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2A5C4D">
              <w:rPr>
                <w:rFonts w:ascii="Arial Narrow" w:hAnsi="Arial Narrow"/>
                <w:color w:val="000000"/>
                <w:sz w:val="16"/>
                <w:szCs w:val="16"/>
                <w:lang w:eastAsia="sl-SI"/>
              </w:rPr>
              <w:t>153.594.273,59</w:t>
            </w:r>
          </w:p>
        </w:tc>
        <w:tc>
          <w:tcPr>
            <w:tcW w:w="673" w:type="pct"/>
            <w:hideMark/>
          </w:tcPr>
          <w:p w:rsidR="002A5C4D" w:rsidRPr="002A5C4D" w:rsidRDefault="002A5C4D" w:rsidP="007650C6">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2A5C4D">
              <w:rPr>
                <w:rFonts w:ascii="Arial Narrow" w:hAnsi="Arial Narrow"/>
                <w:color w:val="000000"/>
                <w:sz w:val="16"/>
                <w:szCs w:val="16"/>
                <w:lang w:eastAsia="sl-SI"/>
              </w:rPr>
              <w:t>5.944.791,87</w:t>
            </w:r>
          </w:p>
        </w:tc>
        <w:tc>
          <w:tcPr>
            <w:tcW w:w="673" w:type="pct"/>
            <w:noWrap/>
            <w:hideMark/>
          </w:tcPr>
          <w:p w:rsidR="002A5C4D" w:rsidRPr="002A5C4D" w:rsidRDefault="002A5C4D" w:rsidP="007650C6">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2A5C4D">
              <w:rPr>
                <w:rFonts w:ascii="Arial Narrow" w:hAnsi="Arial Narrow"/>
                <w:color w:val="000000"/>
                <w:sz w:val="16"/>
                <w:szCs w:val="16"/>
                <w:lang w:eastAsia="sl-SI"/>
              </w:rPr>
              <w:t>2.361.221.117,55</w:t>
            </w:r>
          </w:p>
        </w:tc>
        <w:tc>
          <w:tcPr>
            <w:tcW w:w="673" w:type="pct"/>
            <w:noWrap/>
            <w:hideMark/>
          </w:tcPr>
          <w:p w:rsidR="002A5C4D" w:rsidRPr="002A5C4D" w:rsidRDefault="002A5C4D" w:rsidP="007650C6">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2A5C4D">
              <w:rPr>
                <w:rFonts w:ascii="Arial Narrow" w:hAnsi="Arial Narrow"/>
                <w:color w:val="000000"/>
                <w:sz w:val="16"/>
                <w:szCs w:val="16"/>
                <w:lang w:eastAsia="sl-SI"/>
              </w:rPr>
              <w:t>6,5</w:t>
            </w:r>
          </w:p>
        </w:tc>
        <w:tc>
          <w:tcPr>
            <w:tcW w:w="673" w:type="pct"/>
            <w:noWrap/>
            <w:hideMark/>
          </w:tcPr>
          <w:p w:rsidR="002A5C4D" w:rsidRPr="002A5C4D" w:rsidRDefault="002A5C4D" w:rsidP="007650C6">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2A5C4D">
              <w:rPr>
                <w:rFonts w:ascii="Arial Narrow" w:hAnsi="Arial Narrow"/>
                <w:color w:val="000000"/>
                <w:sz w:val="16"/>
                <w:szCs w:val="16"/>
                <w:lang w:eastAsia="sl-SI"/>
              </w:rPr>
              <w:t>0,3</w:t>
            </w:r>
          </w:p>
        </w:tc>
        <w:tc>
          <w:tcPr>
            <w:tcW w:w="673" w:type="pct"/>
            <w:noWrap/>
            <w:hideMark/>
          </w:tcPr>
          <w:p w:rsidR="002A5C4D" w:rsidRPr="002A5C4D" w:rsidRDefault="002A5C4D" w:rsidP="007650C6">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2A5C4D">
              <w:rPr>
                <w:rFonts w:ascii="Arial Narrow" w:hAnsi="Arial Narrow"/>
                <w:color w:val="000000"/>
                <w:sz w:val="16"/>
                <w:szCs w:val="16"/>
                <w:lang w:eastAsia="sl-SI"/>
              </w:rPr>
              <w:t>5. od 44</w:t>
            </w:r>
          </w:p>
        </w:tc>
        <w:tc>
          <w:tcPr>
            <w:tcW w:w="673" w:type="pct"/>
            <w:noWrap/>
            <w:hideMark/>
          </w:tcPr>
          <w:p w:rsidR="002A5C4D" w:rsidRPr="002A5C4D" w:rsidRDefault="002A5C4D" w:rsidP="007650C6">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2A5C4D">
              <w:rPr>
                <w:rFonts w:ascii="Arial Narrow" w:hAnsi="Arial Narrow"/>
                <w:color w:val="000000"/>
                <w:sz w:val="16"/>
                <w:szCs w:val="16"/>
                <w:lang w:eastAsia="sl-SI"/>
              </w:rPr>
              <w:t>30. od 44</w:t>
            </w:r>
          </w:p>
        </w:tc>
      </w:tr>
      <w:tr w:rsidR="002A5C4D" w:rsidRPr="002A5C4D" w:rsidTr="005026D5">
        <w:trPr>
          <w:trHeight w:val="102"/>
        </w:trPr>
        <w:tc>
          <w:tcPr>
            <w:cnfStyle w:val="001000000000" w:firstRow="0" w:lastRow="0" w:firstColumn="1" w:lastColumn="0" w:oddVBand="0" w:evenVBand="0" w:oddHBand="0" w:evenHBand="0" w:firstRowFirstColumn="0" w:firstRowLastColumn="0" w:lastRowFirstColumn="0" w:lastRowLastColumn="0"/>
            <w:tcW w:w="286" w:type="pct"/>
            <w:noWrap/>
            <w:hideMark/>
          </w:tcPr>
          <w:p w:rsidR="002A5C4D" w:rsidRPr="002A5C4D" w:rsidRDefault="002A5C4D" w:rsidP="002A5C4D">
            <w:pPr>
              <w:spacing w:after="0" w:line="240" w:lineRule="auto"/>
              <w:rPr>
                <w:rFonts w:ascii="Arial Narrow" w:hAnsi="Arial Narrow"/>
                <w:color w:val="000000"/>
                <w:sz w:val="16"/>
                <w:szCs w:val="16"/>
                <w:lang w:eastAsia="sl-SI"/>
              </w:rPr>
            </w:pPr>
            <w:r w:rsidRPr="002A5C4D">
              <w:rPr>
                <w:rFonts w:ascii="Arial Narrow" w:hAnsi="Arial Narrow"/>
                <w:color w:val="000000"/>
                <w:sz w:val="16"/>
                <w:szCs w:val="16"/>
                <w:lang w:eastAsia="sl-SI"/>
              </w:rPr>
              <w:t>2011</w:t>
            </w:r>
          </w:p>
        </w:tc>
        <w:tc>
          <w:tcPr>
            <w:tcW w:w="673" w:type="pct"/>
            <w:hideMark/>
          </w:tcPr>
          <w:p w:rsidR="002A5C4D" w:rsidRPr="002A5C4D" w:rsidRDefault="002A5C4D" w:rsidP="007650C6">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2A5C4D">
              <w:rPr>
                <w:rFonts w:ascii="Arial Narrow" w:hAnsi="Arial Narrow"/>
                <w:color w:val="000000"/>
                <w:sz w:val="16"/>
                <w:szCs w:val="16"/>
                <w:lang w:eastAsia="sl-SI"/>
              </w:rPr>
              <w:t>146.143.233,71</w:t>
            </w:r>
          </w:p>
        </w:tc>
        <w:tc>
          <w:tcPr>
            <w:tcW w:w="673" w:type="pct"/>
            <w:hideMark/>
          </w:tcPr>
          <w:p w:rsidR="002A5C4D" w:rsidRPr="002A5C4D" w:rsidRDefault="002A5C4D" w:rsidP="007650C6">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2A5C4D">
              <w:rPr>
                <w:rFonts w:ascii="Arial Narrow" w:hAnsi="Arial Narrow"/>
                <w:color w:val="000000"/>
                <w:sz w:val="16"/>
                <w:szCs w:val="16"/>
                <w:lang w:eastAsia="sl-SI"/>
              </w:rPr>
              <w:t>4.158.311,76</w:t>
            </w:r>
          </w:p>
        </w:tc>
        <w:tc>
          <w:tcPr>
            <w:tcW w:w="673" w:type="pct"/>
            <w:noWrap/>
            <w:hideMark/>
          </w:tcPr>
          <w:p w:rsidR="002A5C4D" w:rsidRPr="002A5C4D" w:rsidRDefault="002A5C4D" w:rsidP="007650C6">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2A5C4D">
              <w:rPr>
                <w:rFonts w:ascii="Arial Narrow" w:hAnsi="Arial Narrow"/>
                <w:color w:val="000000"/>
                <w:sz w:val="16"/>
                <w:szCs w:val="16"/>
                <w:lang w:eastAsia="sl-SI"/>
              </w:rPr>
              <w:t>2.157.082.541,72</w:t>
            </w:r>
          </w:p>
        </w:tc>
        <w:tc>
          <w:tcPr>
            <w:tcW w:w="673" w:type="pct"/>
            <w:noWrap/>
            <w:hideMark/>
          </w:tcPr>
          <w:p w:rsidR="002A5C4D" w:rsidRPr="002A5C4D" w:rsidRDefault="002A5C4D" w:rsidP="007650C6">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2A5C4D">
              <w:rPr>
                <w:rFonts w:ascii="Arial Narrow" w:hAnsi="Arial Narrow"/>
                <w:color w:val="000000"/>
                <w:sz w:val="16"/>
                <w:szCs w:val="16"/>
                <w:lang w:eastAsia="sl-SI"/>
              </w:rPr>
              <w:t>6,8</w:t>
            </w:r>
          </w:p>
        </w:tc>
        <w:tc>
          <w:tcPr>
            <w:tcW w:w="673" w:type="pct"/>
            <w:noWrap/>
            <w:hideMark/>
          </w:tcPr>
          <w:p w:rsidR="002A5C4D" w:rsidRPr="002A5C4D" w:rsidRDefault="002A5C4D" w:rsidP="007650C6">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2A5C4D">
              <w:rPr>
                <w:rFonts w:ascii="Arial Narrow" w:hAnsi="Arial Narrow"/>
                <w:color w:val="000000"/>
                <w:sz w:val="16"/>
                <w:szCs w:val="16"/>
                <w:lang w:eastAsia="sl-SI"/>
              </w:rPr>
              <w:t>0,2</w:t>
            </w:r>
          </w:p>
        </w:tc>
        <w:tc>
          <w:tcPr>
            <w:tcW w:w="673" w:type="pct"/>
            <w:noWrap/>
            <w:hideMark/>
          </w:tcPr>
          <w:p w:rsidR="002A5C4D" w:rsidRPr="002A5C4D" w:rsidRDefault="002A5C4D" w:rsidP="007650C6">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2A5C4D">
              <w:rPr>
                <w:rFonts w:ascii="Arial Narrow" w:hAnsi="Arial Narrow"/>
                <w:color w:val="000000"/>
                <w:sz w:val="16"/>
                <w:szCs w:val="16"/>
                <w:lang w:eastAsia="sl-SI"/>
              </w:rPr>
              <w:t>4. od 44</w:t>
            </w:r>
          </w:p>
        </w:tc>
        <w:tc>
          <w:tcPr>
            <w:tcW w:w="673" w:type="pct"/>
            <w:noWrap/>
            <w:hideMark/>
          </w:tcPr>
          <w:p w:rsidR="002A5C4D" w:rsidRPr="002A5C4D" w:rsidRDefault="002A5C4D" w:rsidP="007650C6">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2A5C4D">
              <w:rPr>
                <w:rFonts w:ascii="Arial Narrow" w:hAnsi="Arial Narrow"/>
                <w:color w:val="000000"/>
                <w:sz w:val="16"/>
                <w:szCs w:val="16"/>
                <w:lang w:eastAsia="sl-SI"/>
              </w:rPr>
              <w:t>31. od 44</w:t>
            </w:r>
          </w:p>
        </w:tc>
      </w:tr>
      <w:tr w:rsidR="002A5C4D" w:rsidRPr="002A5C4D" w:rsidTr="005026D5">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286" w:type="pct"/>
            <w:noWrap/>
            <w:hideMark/>
          </w:tcPr>
          <w:p w:rsidR="002A5C4D" w:rsidRPr="002A5C4D" w:rsidRDefault="002A5C4D" w:rsidP="002A5C4D">
            <w:pPr>
              <w:spacing w:after="0" w:line="240" w:lineRule="auto"/>
              <w:rPr>
                <w:rFonts w:ascii="Arial Narrow" w:hAnsi="Arial Narrow"/>
                <w:color w:val="000000"/>
                <w:sz w:val="16"/>
                <w:szCs w:val="16"/>
                <w:lang w:eastAsia="sl-SI"/>
              </w:rPr>
            </w:pPr>
            <w:r w:rsidRPr="002A5C4D">
              <w:rPr>
                <w:rFonts w:ascii="Arial Narrow" w:hAnsi="Arial Narrow"/>
                <w:color w:val="000000"/>
                <w:sz w:val="16"/>
                <w:szCs w:val="16"/>
                <w:lang w:eastAsia="sl-SI"/>
              </w:rPr>
              <w:t>2012</w:t>
            </w:r>
          </w:p>
        </w:tc>
        <w:tc>
          <w:tcPr>
            <w:tcW w:w="673" w:type="pct"/>
            <w:hideMark/>
          </w:tcPr>
          <w:p w:rsidR="002A5C4D" w:rsidRPr="002A5C4D" w:rsidRDefault="002A5C4D" w:rsidP="007650C6">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2A5C4D">
              <w:rPr>
                <w:rFonts w:ascii="Arial Narrow" w:hAnsi="Arial Narrow"/>
                <w:color w:val="000000"/>
                <w:sz w:val="16"/>
                <w:szCs w:val="16"/>
                <w:lang w:eastAsia="sl-SI"/>
              </w:rPr>
              <w:t>158.707.337,38</w:t>
            </w:r>
          </w:p>
        </w:tc>
        <w:tc>
          <w:tcPr>
            <w:tcW w:w="673" w:type="pct"/>
            <w:hideMark/>
          </w:tcPr>
          <w:p w:rsidR="002A5C4D" w:rsidRPr="002A5C4D" w:rsidRDefault="002A5C4D" w:rsidP="007650C6">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2A5C4D">
              <w:rPr>
                <w:rFonts w:ascii="Arial Narrow" w:hAnsi="Arial Narrow"/>
                <w:color w:val="000000"/>
                <w:sz w:val="16"/>
                <w:szCs w:val="16"/>
                <w:lang w:eastAsia="sl-SI"/>
              </w:rPr>
              <w:t>4.246.095,34</w:t>
            </w:r>
          </w:p>
        </w:tc>
        <w:tc>
          <w:tcPr>
            <w:tcW w:w="673" w:type="pct"/>
            <w:noWrap/>
            <w:hideMark/>
          </w:tcPr>
          <w:p w:rsidR="002A5C4D" w:rsidRPr="002A5C4D" w:rsidRDefault="002A5C4D" w:rsidP="007650C6">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2A5C4D">
              <w:rPr>
                <w:rFonts w:ascii="Arial Narrow" w:hAnsi="Arial Narrow"/>
                <w:color w:val="000000"/>
                <w:sz w:val="16"/>
                <w:szCs w:val="16"/>
                <w:lang w:eastAsia="sl-SI"/>
              </w:rPr>
              <w:t>2.149.040.159,38</w:t>
            </w:r>
          </w:p>
        </w:tc>
        <w:tc>
          <w:tcPr>
            <w:tcW w:w="673" w:type="pct"/>
            <w:noWrap/>
            <w:hideMark/>
          </w:tcPr>
          <w:p w:rsidR="002A5C4D" w:rsidRPr="002A5C4D" w:rsidRDefault="002A5C4D" w:rsidP="007650C6">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2A5C4D">
              <w:rPr>
                <w:rFonts w:ascii="Arial Narrow" w:hAnsi="Arial Narrow"/>
                <w:color w:val="000000"/>
                <w:sz w:val="16"/>
                <w:szCs w:val="16"/>
                <w:lang w:eastAsia="sl-SI"/>
              </w:rPr>
              <w:t>7,4</w:t>
            </w:r>
          </w:p>
        </w:tc>
        <w:tc>
          <w:tcPr>
            <w:tcW w:w="673" w:type="pct"/>
            <w:noWrap/>
            <w:hideMark/>
          </w:tcPr>
          <w:p w:rsidR="002A5C4D" w:rsidRPr="002A5C4D" w:rsidRDefault="002A5C4D" w:rsidP="007650C6">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2A5C4D">
              <w:rPr>
                <w:rFonts w:ascii="Arial Narrow" w:hAnsi="Arial Narrow"/>
                <w:color w:val="000000"/>
                <w:sz w:val="16"/>
                <w:szCs w:val="16"/>
                <w:lang w:eastAsia="sl-SI"/>
              </w:rPr>
              <w:t>0,2</w:t>
            </w:r>
          </w:p>
        </w:tc>
        <w:tc>
          <w:tcPr>
            <w:tcW w:w="673" w:type="pct"/>
            <w:noWrap/>
            <w:hideMark/>
          </w:tcPr>
          <w:p w:rsidR="002A5C4D" w:rsidRPr="002A5C4D" w:rsidRDefault="002A5C4D" w:rsidP="007650C6">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2A5C4D">
              <w:rPr>
                <w:rFonts w:ascii="Arial Narrow" w:hAnsi="Arial Narrow"/>
                <w:color w:val="000000"/>
                <w:sz w:val="16"/>
                <w:szCs w:val="16"/>
                <w:lang w:eastAsia="sl-SI"/>
              </w:rPr>
              <w:t>4. od 44</w:t>
            </w:r>
          </w:p>
        </w:tc>
        <w:tc>
          <w:tcPr>
            <w:tcW w:w="673" w:type="pct"/>
            <w:noWrap/>
            <w:hideMark/>
          </w:tcPr>
          <w:p w:rsidR="002A5C4D" w:rsidRPr="002A5C4D" w:rsidRDefault="002A5C4D" w:rsidP="007650C6">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2A5C4D">
              <w:rPr>
                <w:rFonts w:ascii="Arial Narrow" w:hAnsi="Arial Narrow"/>
                <w:color w:val="000000"/>
                <w:sz w:val="16"/>
                <w:szCs w:val="16"/>
                <w:lang w:eastAsia="sl-SI"/>
              </w:rPr>
              <w:t>30. od 44</w:t>
            </w:r>
          </w:p>
        </w:tc>
      </w:tr>
      <w:tr w:rsidR="002A5C4D" w:rsidRPr="002A5C4D" w:rsidTr="005026D5">
        <w:trPr>
          <w:trHeight w:val="102"/>
        </w:trPr>
        <w:tc>
          <w:tcPr>
            <w:cnfStyle w:val="001000000000" w:firstRow="0" w:lastRow="0" w:firstColumn="1" w:lastColumn="0" w:oddVBand="0" w:evenVBand="0" w:oddHBand="0" w:evenHBand="0" w:firstRowFirstColumn="0" w:firstRowLastColumn="0" w:lastRowFirstColumn="0" w:lastRowLastColumn="0"/>
            <w:tcW w:w="286" w:type="pct"/>
            <w:noWrap/>
            <w:hideMark/>
          </w:tcPr>
          <w:p w:rsidR="002A5C4D" w:rsidRPr="002A5C4D" w:rsidRDefault="002A5C4D" w:rsidP="002A5C4D">
            <w:pPr>
              <w:spacing w:after="0" w:line="240" w:lineRule="auto"/>
              <w:rPr>
                <w:rFonts w:ascii="Arial Narrow" w:hAnsi="Arial Narrow"/>
                <w:color w:val="000000"/>
                <w:sz w:val="16"/>
                <w:szCs w:val="16"/>
                <w:lang w:eastAsia="sl-SI"/>
              </w:rPr>
            </w:pPr>
            <w:r w:rsidRPr="002A5C4D">
              <w:rPr>
                <w:rFonts w:ascii="Arial Narrow" w:hAnsi="Arial Narrow"/>
                <w:color w:val="000000"/>
                <w:sz w:val="16"/>
                <w:szCs w:val="16"/>
                <w:lang w:eastAsia="sl-SI"/>
              </w:rPr>
              <w:t>2013</w:t>
            </w:r>
          </w:p>
        </w:tc>
        <w:tc>
          <w:tcPr>
            <w:tcW w:w="673" w:type="pct"/>
            <w:hideMark/>
          </w:tcPr>
          <w:p w:rsidR="002A5C4D" w:rsidRPr="002A5C4D" w:rsidRDefault="002A5C4D" w:rsidP="007650C6">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2A5C4D">
              <w:rPr>
                <w:rFonts w:ascii="Arial Narrow" w:hAnsi="Arial Narrow"/>
                <w:color w:val="000000"/>
                <w:sz w:val="16"/>
                <w:szCs w:val="16"/>
                <w:lang w:eastAsia="sl-SI"/>
              </w:rPr>
              <w:t>122.478.176,48</w:t>
            </w:r>
          </w:p>
        </w:tc>
        <w:tc>
          <w:tcPr>
            <w:tcW w:w="673" w:type="pct"/>
            <w:hideMark/>
          </w:tcPr>
          <w:p w:rsidR="002A5C4D" w:rsidRPr="002A5C4D" w:rsidRDefault="002A5C4D" w:rsidP="007650C6">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2A5C4D">
              <w:rPr>
                <w:rFonts w:ascii="Arial Narrow" w:hAnsi="Arial Narrow"/>
                <w:color w:val="000000"/>
                <w:sz w:val="16"/>
                <w:szCs w:val="16"/>
                <w:lang w:eastAsia="sl-SI"/>
              </w:rPr>
              <w:t>4.154.230,56</w:t>
            </w:r>
          </w:p>
        </w:tc>
        <w:tc>
          <w:tcPr>
            <w:tcW w:w="673" w:type="pct"/>
            <w:noWrap/>
            <w:hideMark/>
          </w:tcPr>
          <w:p w:rsidR="002A5C4D" w:rsidRPr="002A5C4D" w:rsidRDefault="002A5C4D" w:rsidP="007650C6">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2A5C4D">
              <w:rPr>
                <w:rFonts w:ascii="Arial Narrow" w:hAnsi="Arial Narrow"/>
                <w:color w:val="000000"/>
                <w:sz w:val="16"/>
                <w:szCs w:val="16"/>
                <w:lang w:eastAsia="sl-SI"/>
              </w:rPr>
              <w:t>2.110.981.406,43</w:t>
            </w:r>
          </w:p>
        </w:tc>
        <w:tc>
          <w:tcPr>
            <w:tcW w:w="673" w:type="pct"/>
            <w:noWrap/>
            <w:hideMark/>
          </w:tcPr>
          <w:p w:rsidR="002A5C4D" w:rsidRPr="002A5C4D" w:rsidRDefault="002A5C4D" w:rsidP="007650C6">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2A5C4D">
              <w:rPr>
                <w:rFonts w:ascii="Arial Narrow" w:hAnsi="Arial Narrow"/>
                <w:color w:val="000000"/>
                <w:sz w:val="16"/>
                <w:szCs w:val="16"/>
                <w:lang w:eastAsia="sl-SI"/>
              </w:rPr>
              <w:t>5,8</w:t>
            </w:r>
          </w:p>
        </w:tc>
        <w:tc>
          <w:tcPr>
            <w:tcW w:w="673" w:type="pct"/>
            <w:noWrap/>
            <w:hideMark/>
          </w:tcPr>
          <w:p w:rsidR="002A5C4D" w:rsidRPr="002A5C4D" w:rsidRDefault="002A5C4D" w:rsidP="007650C6">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2A5C4D">
              <w:rPr>
                <w:rFonts w:ascii="Arial Narrow" w:hAnsi="Arial Narrow"/>
                <w:color w:val="000000"/>
                <w:sz w:val="16"/>
                <w:szCs w:val="16"/>
                <w:lang w:eastAsia="sl-SI"/>
              </w:rPr>
              <w:t>0,2</w:t>
            </w:r>
          </w:p>
        </w:tc>
        <w:tc>
          <w:tcPr>
            <w:tcW w:w="673" w:type="pct"/>
            <w:noWrap/>
            <w:hideMark/>
          </w:tcPr>
          <w:p w:rsidR="002A5C4D" w:rsidRPr="002A5C4D" w:rsidRDefault="002A5C4D" w:rsidP="007650C6">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2A5C4D">
              <w:rPr>
                <w:rFonts w:ascii="Arial Narrow" w:hAnsi="Arial Narrow"/>
                <w:color w:val="000000"/>
                <w:sz w:val="16"/>
                <w:szCs w:val="16"/>
                <w:lang w:eastAsia="sl-SI"/>
              </w:rPr>
              <w:t>5. od 44</w:t>
            </w:r>
          </w:p>
        </w:tc>
        <w:tc>
          <w:tcPr>
            <w:tcW w:w="673" w:type="pct"/>
            <w:noWrap/>
            <w:hideMark/>
          </w:tcPr>
          <w:p w:rsidR="002A5C4D" w:rsidRPr="002A5C4D" w:rsidRDefault="002A5C4D" w:rsidP="007650C6">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2A5C4D">
              <w:rPr>
                <w:rFonts w:ascii="Arial Narrow" w:hAnsi="Arial Narrow"/>
                <w:color w:val="000000"/>
                <w:sz w:val="16"/>
                <w:szCs w:val="16"/>
                <w:lang w:eastAsia="sl-SI"/>
              </w:rPr>
              <w:t>31. od 44</w:t>
            </w:r>
          </w:p>
        </w:tc>
      </w:tr>
      <w:tr w:rsidR="002A5C4D" w:rsidRPr="002A5C4D" w:rsidTr="005026D5">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286" w:type="pct"/>
            <w:noWrap/>
            <w:hideMark/>
          </w:tcPr>
          <w:p w:rsidR="002A5C4D" w:rsidRPr="002A5C4D" w:rsidRDefault="002A5C4D" w:rsidP="002A5C4D">
            <w:pPr>
              <w:spacing w:after="0" w:line="240" w:lineRule="auto"/>
              <w:rPr>
                <w:rFonts w:ascii="Arial Narrow" w:hAnsi="Arial Narrow"/>
                <w:color w:val="000000"/>
                <w:sz w:val="16"/>
                <w:szCs w:val="16"/>
                <w:lang w:eastAsia="sl-SI"/>
              </w:rPr>
            </w:pPr>
            <w:r w:rsidRPr="002A5C4D">
              <w:rPr>
                <w:rFonts w:ascii="Arial Narrow" w:hAnsi="Arial Narrow"/>
                <w:color w:val="000000"/>
                <w:sz w:val="16"/>
                <w:szCs w:val="16"/>
                <w:lang w:eastAsia="sl-SI"/>
              </w:rPr>
              <w:t>2014</w:t>
            </w:r>
          </w:p>
        </w:tc>
        <w:tc>
          <w:tcPr>
            <w:tcW w:w="673" w:type="pct"/>
            <w:hideMark/>
          </w:tcPr>
          <w:p w:rsidR="002A5C4D" w:rsidRPr="002A5C4D" w:rsidRDefault="002A5C4D" w:rsidP="007650C6">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2A5C4D">
              <w:rPr>
                <w:rFonts w:ascii="Arial Narrow" w:hAnsi="Arial Narrow"/>
                <w:color w:val="000000"/>
                <w:sz w:val="16"/>
                <w:szCs w:val="16"/>
                <w:lang w:eastAsia="sl-SI"/>
              </w:rPr>
              <w:t>132.678.568,83</w:t>
            </w:r>
          </w:p>
        </w:tc>
        <w:tc>
          <w:tcPr>
            <w:tcW w:w="673" w:type="pct"/>
            <w:hideMark/>
          </w:tcPr>
          <w:p w:rsidR="002A5C4D" w:rsidRPr="002A5C4D" w:rsidRDefault="002A5C4D" w:rsidP="007650C6">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2A5C4D">
              <w:rPr>
                <w:rFonts w:ascii="Arial Narrow" w:hAnsi="Arial Narrow"/>
                <w:color w:val="000000"/>
                <w:sz w:val="16"/>
                <w:szCs w:val="16"/>
                <w:lang w:eastAsia="sl-SI"/>
              </w:rPr>
              <w:t>4.086.424,42</w:t>
            </w:r>
          </w:p>
        </w:tc>
        <w:tc>
          <w:tcPr>
            <w:tcW w:w="673" w:type="pct"/>
            <w:noWrap/>
            <w:hideMark/>
          </w:tcPr>
          <w:p w:rsidR="002A5C4D" w:rsidRPr="002A5C4D" w:rsidRDefault="002A5C4D" w:rsidP="007650C6">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2A5C4D">
              <w:rPr>
                <w:rFonts w:ascii="Arial Narrow" w:hAnsi="Arial Narrow"/>
                <w:color w:val="000000"/>
                <w:sz w:val="16"/>
                <w:szCs w:val="16"/>
                <w:lang w:eastAsia="sl-SI"/>
              </w:rPr>
              <w:t>2.366.904.063,26</w:t>
            </w:r>
          </w:p>
        </w:tc>
        <w:tc>
          <w:tcPr>
            <w:tcW w:w="673" w:type="pct"/>
            <w:noWrap/>
            <w:hideMark/>
          </w:tcPr>
          <w:p w:rsidR="002A5C4D" w:rsidRPr="002A5C4D" w:rsidRDefault="002A5C4D" w:rsidP="007650C6">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2A5C4D">
              <w:rPr>
                <w:rFonts w:ascii="Arial Narrow" w:hAnsi="Arial Narrow"/>
                <w:color w:val="000000"/>
                <w:sz w:val="16"/>
                <w:szCs w:val="16"/>
                <w:lang w:eastAsia="sl-SI"/>
              </w:rPr>
              <w:t>5,6</w:t>
            </w:r>
          </w:p>
        </w:tc>
        <w:tc>
          <w:tcPr>
            <w:tcW w:w="673" w:type="pct"/>
            <w:noWrap/>
            <w:hideMark/>
          </w:tcPr>
          <w:p w:rsidR="002A5C4D" w:rsidRPr="002A5C4D" w:rsidRDefault="002A5C4D" w:rsidP="007650C6">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2A5C4D">
              <w:rPr>
                <w:rFonts w:ascii="Arial Narrow" w:hAnsi="Arial Narrow"/>
                <w:color w:val="000000"/>
                <w:sz w:val="16"/>
                <w:szCs w:val="16"/>
                <w:lang w:eastAsia="sl-SI"/>
              </w:rPr>
              <w:t>0,2</w:t>
            </w:r>
          </w:p>
        </w:tc>
        <w:tc>
          <w:tcPr>
            <w:tcW w:w="673" w:type="pct"/>
            <w:noWrap/>
            <w:hideMark/>
          </w:tcPr>
          <w:p w:rsidR="002A5C4D" w:rsidRPr="002A5C4D" w:rsidRDefault="002A5C4D" w:rsidP="007650C6">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2A5C4D">
              <w:rPr>
                <w:rFonts w:ascii="Arial Narrow" w:hAnsi="Arial Narrow"/>
                <w:color w:val="000000"/>
                <w:sz w:val="16"/>
                <w:szCs w:val="16"/>
                <w:lang w:eastAsia="sl-SI"/>
              </w:rPr>
              <w:t>6. od 44</w:t>
            </w:r>
          </w:p>
        </w:tc>
        <w:tc>
          <w:tcPr>
            <w:tcW w:w="673" w:type="pct"/>
            <w:noWrap/>
            <w:hideMark/>
          </w:tcPr>
          <w:p w:rsidR="002A5C4D" w:rsidRPr="002A5C4D" w:rsidRDefault="002A5C4D" w:rsidP="007650C6">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2A5C4D">
              <w:rPr>
                <w:rFonts w:ascii="Arial Narrow" w:hAnsi="Arial Narrow"/>
                <w:color w:val="000000"/>
                <w:sz w:val="16"/>
                <w:szCs w:val="16"/>
                <w:lang w:eastAsia="sl-SI"/>
              </w:rPr>
              <w:t>32. od 44</w:t>
            </w:r>
          </w:p>
        </w:tc>
      </w:tr>
      <w:tr w:rsidR="002A5C4D" w:rsidRPr="002A5C4D" w:rsidTr="005026D5">
        <w:trPr>
          <w:trHeight w:val="102"/>
        </w:trPr>
        <w:tc>
          <w:tcPr>
            <w:cnfStyle w:val="001000000000" w:firstRow="0" w:lastRow="0" w:firstColumn="1" w:lastColumn="0" w:oddVBand="0" w:evenVBand="0" w:oddHBand="0" w:evenHBand="0" w:firstRowFirstColumn="0" w:firstRowLastColumn="0" w:lastRowFirstColumn="0" w:lastRowLastColumn="0"/>
            <w:tcW w:w="286" w:type="pct"/>
            <w:noWrap/>
            <w:hideMark/>
          </w:tcPr>
          <w:p w:rsidR="002A5C4D" w:rsidRPr="002A5C4D" w:rsidRDefault="002A5C4D" w:rsidP="002A5C4D">
            <w:pPr>
              <w:spacing w:after="0" w:line="240" w:lineRule="auto"/>
              <w:rPr>
                <w:rFonts w:ascii="Arial Narrow" w:hAnsi="Arial Narrow"/>
                <w:color w:val="000000"/>
                <w:sz w:val="16"/>
                <w:szCs w:val="16"/>
                <w:lang w:eastAsia="sl-SI"/>
              </w:rPr>
            </w:pPr>
            <w:r w:rsidRPr="002A5C4D">
              <w:rPr>
                <w:rFonts w:ascii="Arial Narrow" w:hAnsi="Arial Narrow"/>
                <w:color w:val="000000"/>
                <w:sz w:val="16"/>
                <w:szCs w:val="16"/>
                <w:lang w:eastAsia="sl-SI"/>
              </w:rPr>
              <w:t>2015</w:t>
            </w:r>
          </w:p>
        </w:tc>
        <w:tc>
          <w:tcPr>
            <w:tcW w:w="673" w:type="pct"/>
            <w:hideMark/>
          </w:tcPr>
          <w:p w:rsidR="002A5C4D" w:rsidRPr="002A5C4D" w:rsidRDefault="002A5C4D" w:rsidP="007650C6">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2A5C4D">
              <w:rPr>
                <w:rFonts w:ascii="Arial Narrow" w:hAnsi="Arial Narrow"/>
                <w:color w:val="000000"/>
                <w:sz w:val="16"/>
                <w:szCs w:val="16"/>
                <w:lang w:eastAsia="sl-SI"/>
              </w:rPr>
              <w:t>128.877.283,92</w:t>
            </w:r>
          </w:p>
        </w:tc>
        <w:tc>
          <w:tcPr>
            <w:tcW w:w="673" w:type="pct"/>
            <w:hideMark/>
          </w:tcPr>
          <w:p w:rsidR="002A5C4D" w:rsidRPr="002A5C4D" w:rsidRDefault="002A5C4D" w:rsidP="007650C6">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2A5C4D">
              <w:rPr>
                <w:rFonts w:ascii="Arial Narrow" w:hAnsi="Arial Narrow"/>
                <w:color w:val="000000"/>
                <w:sz w:val="16"/>
                <w:szCs w:val="16"/>
                <w:lang w:eastAsia="sl-SI"/>
              </w:rPr>
              <w:t>4.034.132,38</w:t>
            </w:r>
          </w:p>
        </w:tc>
        <w:tc>
          <w:tcPr>
            <w:tcW w:w="673" w:type="pct"/>
            <w:noWrap/>
            <w:hideMark/>
          </w:tcPr>
          <w:p w:rsidR="002A5C4D" w:rsidRPr="002A5C4D" w:rsidRDefault="002A5C4D" w:rsidP="007650C6">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2A5C4D">
              <w:rPr>
                <w:rFonts w:ascii="Arial Narrow" w:hAnsi="Arial Narrow"/>
                <w:color w:val="000000"/>
                <w:sz w:val="16"/>
                <w:szCs w:val="16"/>
                <w:lang w:eastAsia="sl-SI"/>
              </w:rPr>
              <w:t>2.285.005.440,55</w:t>
            </w:r>
          </w:p>
        </w:tc>
        <w:tc>
          <w:tcPr>
            <w:tcW w:w="673" w:type="pct"/>
            <w:noWrap/>
            <w:hideMark/>
          </w:tcPr>
          <w:p w:rsidR="002A5C4D" w:rsidRPr="002A5C4D" w:rsidRDefault="002A5C4D" w:rsidP="007650C6">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2A5C4D">
              <w:rPr>
                <w:rFonts w:ascii="Arial Narrow" w:hAnsi="Arial Narrow"/>
                <w:color w:val="000000"/>
                <w:sz w:val="16"/>
                <w:szCs w:val="16"/>
                <w:lang w:eastAsia="sl-SI"/>
              </w:rPr>
              <w:t>5,6</w:t>
            </w:r>
          </w:p>
        </w:tc>
        <w:tc>
          <w:tcPr>
            <w:tcW w:w="673" w:type="pct"/>
            <w:noWrap/>
            <w:hideMark/>
          </w:tcPr>
          <w:p w:rsidR="002A5C4D" w:rsidRPr="002A5C4D" w:rsidRDefault="002A5C4D" w:rsidP="007650C6">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2A5C4D">
              <w:rPr>
                <w:rFonts w:ascii="Arial Narrow" w:hAnsi="Arial Narrow"/>
                <w:color w:val="000000"/>
                <w:sz w:val="16"/>
                <w:szCs w:val="16"/>
                <w:lang w:eastAsia="sl-SI"/>
              </w:rPr>
              <w:t>0,2</w:t>
            </w:r>
          </w:p>
        </w:tc>
        <w:tc>
          <w:tcPr>
            <w:tcW w:w="673" w:type="pct"/>
            <w:noWrap/>
            <w:hideMark/>
          </w:tcPr>
          <w:p w:rsidR="002A5C4D" w:rsidRPr="002A5C4D" w:rsidRDefault="002A5C4D" w:rsidP="007650C6">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2A5C4D">
              <w:rPr>
                <w:rFonts w:ascii="Arial Narrow" w:hAnsi="Arial Narrow"/>
                <w:color w:val="000000"/>
                <w:sz w:val="16"/>
                <w:szCs w:val="16"/>
                <w:lang w:eastAsia="sl-SI"/>
              </w:rPr>
              <w:t>6. od 44</w:t>
            </w:r>
          </w:p>
        </w:tc>
        <w:tc>
          <w:tcPr>
            <w:tcW w:w="673" w:type="pct"/>
            <w:noWrap/>
            <w:hideMark/>
          </w:tcPr>
          <w:p w:rsidR="002A5C4D" w:rsidRPr="002A5C4D" w:rsidRDefault="002A5C4D" w:rsidP="007650C6">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2A5C4D">
              <w:rPr>
                <w:rFonts w:ascii="Arial Narrow" w:hAnsi="Arial Narrow"/>
                <w:color w:val="000000"/>
                <w:sz w:val="16"/>
                <w:szCs w:val="16"/>
                <w:lang w:eastAsia="sl-SI"/>
              </w:rPr>
              <w:t>32. od 44</w:t>
            </w:r>
          </w:p>
        </w:tc>
      </w:tr>
    </w:tbl>
    <w:p w:rsidR="00293B14" w:rsidRDefault="002A5C4D" w:rsidP="002A5C4D">
      <w:pPr>
        <w:pStyle w:val="Podpispodtabeloaligrafom"/>
      </w:pPr>
      <w:r>
        <w:t>Vir: Ministrstvo za finance.</w:t>
      </w:r>
    </w:p>
    <w:p w:rsidR="000E50AB" w:rsidRDefault="000E50AB" w:rsidP="002A5C4D">
      <w:pPr>
        <w:pStyle w:val="Podpispodtabeloaligrafom"/>
      </w:pPr>
    </w:p>
    <w:p w:rsidR="008645EE" w:rsidRDefault="00491E22" w:rsidP="008645EE">
      <w:r>
        <w:t>Iz tabele 14</w:t>
      </w:r>
      <w:r w:rsidR="000E50AB">
        <w:t xml:space="preserve"> je razvidno, da </w:t>
      </w:r>
      <w:r w:rsidR="00A9630F">
        <w:t>so v obdobju 2008–2015 sredstva za kulturne dejavnosti obsegala približno 6–7 % vseh sredstev, sredstva za RTV in založništvo pa 0,2 %</w:t>
      </w:r>
      <w:r w:rsidR="001A0946">
        <w:t>. Proračunska sredstva lokalnih skupnosti so razdeljena na 44 različnih področij in med njimi so sredstva za kulturne dejavnosti</w:t>
      </w:r>
      <w:r w:rsidR="00EB2857">
        <w:t xml:space="preserve"> zavzemala približno 5. mesto po vrsti, sredstva za RTV in založništvo pa 31. </w:t>
      </w:r>
    </w:p>
    <w:p w:rsidR="00A049D3" w:rsidRDefault="00EB2857" w:rsidP="003D031D">
      <w:r>
        <w:t xml:space="preserve">Leta 2008 so več sredstev kot kulturne dejavnosti prejela štiri </w:t>
      </w:r>
      <w:r w:rsidR="008645EE">
        <w:t>področja</w:t>
      </w:r>
      <w:r>
        <w:t>: 1) predšolska vzgoja in OŠ izobraževanje</w:t>
      </w:r>
      <w:r w:rsidR="008645EE">
        <w:t xml:space="preserve"> – 21%</w:t>
      </w:r>
      <w:r>
        <w:t>, 2) promet</w:t>
      </w:r>
      <w:r w:rsidR="008645EE">
        <w:t xml:space="preserve"> – 15 %</w:t>
      </w:r>
      <w:r>
        <w:t>, 3) splošne zadeve</w:t>
      </w:r>
      <w:r w:rsidR="008645EE">
        <w:t xml:space="preserve"> – 9 %</w:t>
      </w:r>
      <w:r>
        <w:t xml:space="preserve"> in 4) d</w:t>
      </w:r>
      <w:r w:rsidRPr="00EB2857">
        <w:t>ejavnosti izvršilnih in zakonodajnih organov, ter dejavnosti s področja finančnih in fiskalnih ter zunanjih zadev</w:t>
      </w:r>
      <w:r w:rsidR="008645EE">
        <w:t xml:space="preserve"> – 9 %</w:t>
      </w:r>
      <w:r>
        <w:t>, manj pa 39 področij</w:t>
      </w:r>
      <w:r w:rsidR="00491E22">
        <w:t xml:space="preserve"> (tabela 15</w:t>
      </w:r>
      <w:r w:rsidR="00640E86">
        <w:t>).</w:t>
      </w:r>
    </w:p>
    <w:p w:rsidR="00A049D3" w:rsidRDefault="00A049D3">
      <w:pPr>
        <w:spacing w:after="0" w:line="240" w:lineRule="auto"/>
        <w:sectPr w:rsidR="00A049D3" w:rsidSect="00DE703C">
          <w:pgSz w:w="11907" w:h="16839" w:code="9"/>
          <w:pgMar w:top="1417" w:right="1417" w:bottom="1417" w:left="1417" w:header="708" w:footer="708" w:gutter="0"/>
          <w:cols w:space="708"/>
          <w:docGrid w:linePitch="360"/>
        </w:sectPr>
      </w:pPr>
    </w:p>
    <w:p w:rsidR="00A049D3" w:rsidRDefault="006D2D21" w:rsidP="00F4121C">
      <w:pPr>
        <w:pStyle w:val="Naslovtabele"/>
      </w:pPr>
      <w:bookmarkStart w:id="160" w:name="_Toc490053363"/>
      <w:bookmarkStart w:id="161" w:name="_Toc490053734"/>
      <w:bookmarkStart w:id="162" w:name="_Toc490600006"/>
      <w:r>
        <w:lastRenderedPageBreak/>
        <w:t>Tabela 15</w:t>
      </w:r>
      <w:r w:rsidR="00D354A0">
        <w:t>: Sredstva za kulturo v primerjavi s sredstvi za druga področja v proračunih lokalnih skupnosti (2008 in 2015)</w:t>
      </w:r>
      <w:bookmarkEnd w:id="160"/>
      <w:bookmarkEnd w:id="161"/>
      <w:bookmarkEnd w:id="162"/>
    </w:p>
    <w:tbl>
      <w:tblPr>
        <w:tblStyle w:val="Svetelseznampoudarek3"/>
        <w:tblW w:w="0" w:type="auto"/>
        <w:tblLook w:val="04A0" w:firstRow="1" w:lastRow="0" w:firstColumn="1" w:lastColumn="0" w:noHBand="0" w:noVBand="1"/>
      </w:tblPr>
      <w:tblGrid>
        <w:gridCol w:w="590"/>
        <w:gridCol w:w="2353"/>
        <w:gridCol w:w="2163"/>
        <w:gridCol w:w="1238"/>
        <w:gridCol w:w="691"/>
        <w:gridCol w:w="588"/>
        <w:gridCol w:w="2068"/>
        <w:gridCol w:w="2504"/>
        <w:gridCol w:w="1238"/>
        <w:gridCol w:w="788"/>
      </w:tblGrid>
      <w:tr w:rsidR="000E50AB" w:rsidRPr="00A049D3" w:rsidTr="005026D5">
        <w:trPr>
          <w:cnfStyle w:val="100000000000" w:firstRow="1" w:lastRow="0" w:firstColumn="0" w:lastColumn="0" w:oddVBand="0" w:evenVBand="0" w:oddHBand="0" w:evenHBand="0" w:firstRowFirstColumn="0" w:firstRowLastColumn="0" w:lastRowFirstColumn="0" w:lastRowLastColumn="0"/>
          <w:trHeight w:val="102"/>
          <w:tblHeader/>
        </w:trPr>
        <w:tc>
          <w:tcPr>
            <w:cnfStyle w:val="001000000000" w:firstRow="0" w:lastRow="0" w:firstColumn="1" w:lastColumn="0" w:oddVBand="0" w:evenVBand="0" w:oddHBand="0" w:evenHBand="0" w:firstRowFirstColumn="0" w:firstRowLastColumn="0" w:lastRowFirstColumn="0" w:lastRowLastColumn="0"/>
            <w:tcW w:w="590" w:type="dxa"/>
            <w:noWrap/>
          </w:tcPr>
          <w:p w:rsidR="000E50AB" w:rsidRPr="00F4121C" w:rsidRDefault="000E50AB" w:rsidP="00A049D3">
            <w:pPr>
              <w:rPr>
                <w:rFonts w:ascii="Arial Narrow" w:hAnsi="Arial Narrow"/>
                <w:sz w:val="16"/>
                <w:szCs w:val="16"/>
              </w:rPr>
            </w:pPr>
          </w:p>
        </w:tc>
        <w:tc>
          <w:tcPr>
            <w:tcW w:w="2353" w:type="dxa"/>
          </w:tcPr>
          <w:p w:rsidR="000E50AB" w:rsidRPr="00F4121C" w:rsidRDefault="000E50AB" w:rsidP="00A049D3">
            <w:pPr>
              <w:cnfStyle w:val="100000000000" w:firstRow="1" w:lastRow="0" w:firstColumn="0" w:lastColumn="0" w:oddVBand="0" w:evenVBand="0" w:oddHBand="0" w:evenHBand="0" w:firstRowFirstColumn="0" w:firstRowLastColumn="0" w:lastRowFirstColumn="0" w:lastRowLastColumn="0"/>
              <w:rPr>
                <w:rFonts w:ascii="Arial Narrow" w:hAnsi="Arial Narrow"/>
                <w:bCs w:val="0"/>
                <w:sz w:val="16"/>
                <w:szCs w:val="16"/>
              </w:rPr>
            </w:pPr>
          </w:p>
        </w:tc>
        <w:tc>
          <w:tcPr>
            <w:tcW w:w="2163" w:type="dxa"/>
          </w:tcPr>
          <w:p w:rsidR="000E50AB" w:rsidRPr="00F4121C" w:rsidRDefault="000E50AB" w:rsidP="00A049D3">
            <w:pPr>
              <w:cnfStyle w:val="100000000000" w:firstRow="1" w:lastRow="0" w:firstColumn="0" w:lastColumn="0" w:oddVBand="0" w:evenVBand="0" w:oddHBand="0" w:evenHBand="0" w:firstRowFirstColumn="0" w:firstRowLastColumn="0" w:lastRowFirstColumn="0" w:lastRowLastColumn="0"/>
              <w:rPr>
                <w:rFonts w:ascii="Arial Narrow" w:hAnsi="Arial Narrow"/>
                <w:bCs w:val="0"/>
                <w:sz w:val="16"/>
                <w:szCs w:val="16"/>
              </w:rPr>
            </w:pPr>
            <w:r>
              <w:rPr>
                <w:rFonts w:ascii="Arial Narrow" w:hAnsi="Arial Narrow"/>
                <w:bCs w:val="0"/>
                <w:sz w:val="16"/>
                <w:szCs w:val="16"/>
              </w:rPr>
              <w:t>2008</w:t>
            </w:r>
          </w:p>
        </w:tc>
        <w:tc>
          <w:tcPr>
            <w:tcW w:w="1238" w:type="dxa"/>
            <w:noWrap/>
          </w:tcPr>
          <w:p w:rsidR="000E50AB" w:rsidRPr="00F4121C" w:rsidRDefault="000E50AB" w:rsidP="00A049D3">
            <w:pPr>
              <w:cnfStyle w:val="100000000000" w:firstRow="1" w:lastRow="0" w:firstColumn="0" w:lastColumn="0" w:oddVBand="0" w:evenVBand="0" w:oddHBand="0" w:evenHBand="0" w:firstRowFirstColumn="0" w:firstRowLastColumn="0" w:lastRowFirstColumn="0" w:lastRowLastColumn="0"/>
              <w:rPr>
                <w:rFonts w:ascii="Arial Narrow" w:hAnsi="Arial Narrow"/>
                <w:bCs w:val="0"/>
                <w:sz w:val="16"/>
                <w:szCs w:val="16"/>
              </w:rPr>
            </w:pPr>
          </w:p>
        </w:tc>
        <w:tc>
          <w:tcPr>
            <w:tcW w:w="691" w:type="dxa"/>
            <w:tcBorders>
              <w:right w:val="single" w:sz="4" w:space="0" w:color="auto"/>
            </w:tcBorders>
            <w:noWrap/>
          </w:tcPr>
          <w:p w:rsidR="000E50AB" w:rsidRPr="00F4121C" w:rsidRDefault="000E50AB" w:rsidP="00A049D3">
            <w:pPr>
              <w:cnfStyle w:val="100000000000" w:firstRow="1" w:lastRow="0" w:firstColumn="0" w:lastColumn="0" w:oddVBand="0" w:evenVBand="0" w:oddHBand="0" w:evenHBand="0" w:firstRowFirstColumn="0" w:firstRowLastColumn="0" w:lastRowFirstColumn="0" w:lastRowLastColumn="0"/>
              <w:rPr>
                <w:rFonts w:ascii="Arial Narrow" w:hAnsi="Arial Narrow"/>
                <w:bCs w:val="0"/>
                <w:sz w:val="16"/>
                <w:szCs w:val="16"/>
              </w:rPr>
            </w:pPr>
          </w:p>
        </w:tc>
        <w:tc>
          <w:tcPr>
            <w:tcW w:w="588" w:type="dxa"/>
            <w:tcBorders>
              <w:left w:val="single" w:sz="4" w:space="0" w:color="auto"/>
            </w:tcBorders>
            <w:noWrap/>
          </w:tcPr>
          <w:p w:rsidR="000E50AB" w:rsidRPr="00F4121C" w:rsidRDefault="000E50AB" w:rsidP="00A049D3">
            <w:pPr>
              <w:cnfStyle w:val="100000000000" w:firstRow="1" w:lastRow="0" w:firstColumn="0" w:lastColumn="0" w:oddVBand="0" w:evenVBand="0" w:oddHBand="0" w:evenHBand="0" w:firstRowFirstColumn="0" w:firstRowLastColumn="0" w:lastRowFirstColumn="0" w:lastRowLastColumn="0"/>
              <w:rPr>
                <w:rFonts w:ascii="Arial Narrow" w:hAnsi="Arial Narrow"/>
                <w:bCs w:val="0"/>
                <w:sz w:val="16"/>
                <w:szCs w:val="16"/>
              </w:rPr>
            </w:pPr>
          </w:p>
        </w:tc>
        <w:tc>
          <w:tcPr>
            <w:tcW w:w="2068" w:type="dxa"/>
          </w:tcPr>
          <w:p w:rsidR="000E50AB" w:rsidRPr="00F4121C" w:rsidRDefault="000E50AB" w:rsidP="00A049D3">
            <w:pPr>
              <w:cnfStyle w:val="100000000000" w:firstRow="1" w:lastRow="0" w:firstColumn="0" w:lastColumn="0" w:oddVBand="0" w:evenVBand="0" w:oddHBand="0" w:evenHBand="0" w:firstRowFirstColumn="0" w:firstRowLastColumn="0" w:lastRowFirstColumn="0" w:lastRowLastColumn="0"/>
              <w:rPr>
                <w:rFonts w:ascii="Arial Narrow" w:hAnsi="Arial Narrow"/>
                <w:bCs w:val="0"/>
                <w:sz w:val="16"/>
                <w:szCs w:val="16"/>
              </w:rPr>
            </w:pPr>
          </w:p>
        </w:tc>
        <w:tc>
          <w:tcPr>
            <w:tcW w:w="2504" w:type="dxa"/>
          </w:tcPr>
          <w:p w:rsidR="000E50AB" w:rsidRPr="00F4121C" w:rsidRDefault="000E50AB" w:rsidP="00A049D3">
            <w:pPr>
              <w:cnfStyle w:val="100000000000" w:firstRow="1" w:lastRow="0" w:firstColumn="0" w:lastColumn="0" w:oddVBand="0" w:evenVBand="0" w:oddHBand="0" w:evenHBand="0" w:firstRowFirstColumn="0" w:firstRowLastColumn="0" w:lastRowFirstColumn="0" w:lastRowLastColumn="0"/>
              <w:rPr>
                <w:rFonts w:ascii="Arial Narrow" w:hAnsi="Arial Narrow"/>
                <w:bCs w:val="0"/>
                <w:sz w:val="16"/>
                <w:szCs w:val="16"/>
              </w:rPr>
            </w:pPr>
            <w:r>
              <w:rPr>
                <w:rFonts w:ascii="Arial Narrow" w:hAnsi="Arial Narrow"/>
                <w:bCs w:val="0"/>
                <w:sz w:val="16"/>
                <w:szCs w:val="16"/>
              </w:rPr>
              <w:t>2015</w:t>
            </w:r>
          </w:p>
        </w:tc>
        <w:tc>
          <w:tcPr>
            <w:tcW w:w="1238" w:type="dxa"/>
            <w:noWrap/>
          </w:tcPr>
          <w:p w:rsidR="000E50AB" w:rsidRPr="00F4121C" w:rsidRDefault="000E50AB" w:rsidP="00A049D3">
            <w:pPr>
              <w:cnfStyle w:val="100000000000" w:firstRow="1" w:lastRow="0" w:firstColumn="0" w:lastColumn="0" w:oddVBand="0" w:evenVBand="0" w:oddHBand="0" w:evenHBand="0" w:firstRowFirstColumn="0" w:firstRowLastColumn="0" w:lastRowFirstColumn="0" w:lastRowLastColumn="0"/>
              <w:rPr>
                <w:rFonts w:ascii="Arial Narrow" w:hAnsi="Arial Narrow"/>
                <w:bCs w:val="0"/>
                <w:sz w:val="16"/>
                <w:szCs w:val="16"/>
              </w:rPr>
            </w:pPr>
          </w:p>
        </w:tc>
        <w:tc>
          <w:tcPr>
            <w:tcW w:w="788" w:type="dxa"/>
            <w:noWrap/>
          </w:tcPr>
          <w:p w:rsidR="000E50AB" w:rsidRPr="00F4121C" w:rsidRDefault="000E50AB" w:rsidP="00A049D3">
            <w:pPr>
              <w:cnfStyle w:val="100000000000" w:firstRow="1" w:lastRow="0" w:firstColumn="0" w:lastColumn="0" w:oddVBand="0" w:evenVBand="0" w:oddHBand="0" w:evenHBand="0" w:firstRowFirstColumn="0" w:firstRowLastColumn="0" w:lastRowFirstColumn="0" w:lastRowLastColumn="0"/>
              <w:rPr>
                <w:rFonts w:ascii="Arial Narrow" w:hAnsi="Arial Narrow"/>
                <w:bCs w:val="0"/>
                <w:sz w:val="16"/>
                <w:szCs w:val="16"/>
              </w:rPr>
            </w:pPr>
          </w:p>
        </w:tc>
      </w:tr>
      <w:tr w:rsidR="000E50AB" w:rsidRPr="00A049D3" w:rsidTr="005026D5">
        <w:trPr>
          <w:cnfStyle w:val="100000000000" w:firstRow="1" w:lastRow="0" w:firstColumn="0" w:lastColumn="0" w:oddVBand="0" w:evenVBand="0" w:oddHBand="0" w:evenHBand="0" w:firstRowFirstColumn="0" w:firstRowLastColumn="0" w:lastRowFirstColumn="0" w:lastRowLastColumn="0"/>
          <w:trHeight w:val="102"/>
          <w:tblHeader/>
        </w:trPr>
        <w:tc>
          <w:tcPr>
            <w:cnfStyle w:val="001000000000" w:firstRow="0" w:lastRow="0" w:firstColumn="1" w:lastColumn="0" w:oddVBand="0" w:evenVBand="0" w:oddHBand="0" w:evenHBand="0" w:firstRowFirstColumn="0" w:firstRowLastColumn="0" w:lastRowFirstColumn="0" w:lastRowLastColumn="0"/>
            <w:tcW w:w="590" w:type="dxa"/>
            <w:noWrap/>
            <w:hideMark/>
          </w:tcPr>
          <w:p w:rsidR="00A049D3" w:rsidRPr="00F4121C" w:rsidRDefault="00A049D3" w:rsidP="00A049D3">
            <w:pPr>
              <w:rPr>
                <w:rFonts w:ascii="Arial Narrow" w:hAnsi="Arial Narrow"/>
                <w:sz w:val="16"/>
                <w:szCs w:val="16"/>
              </w:rPr>
            </w:pPr>
            <w:r w:rsidRPr="00F4121C">
              <w:rPr>
                <w:rFonts w:ascii="Arial Narrow" w:hAnsi="Arial Narrow"/>
                <w:sz w:val="16"/>
                <w:szCs w:val="16"/>
              </w:rPr>
              <w:t>Vrstni red</w:t>
            </w:r>
          </w:p>
        </w:tc>
        <w:tc>
          <w:tcPr>
            <w:tcW w:w="2353" w:type="dxa"/>
            <w:hideMark/>
          </w:tcPr>
          <w:p w:rsidR="00A049D3" w:rsidRPr="00F4121C" w:rsidRDefault="00A049D3" w:rsidP="00A049D3">
            <w:pPr>
              <w:cnfStyle w:val="100000000000" w:firstRow="1" w:lastRow="0" w:firstColumn="0" w:lastColumn="0" w:oddVBand="0" w:evenVBand="0" w:oddHBand="0" w:evenHBand="0" w:firstRowFirstColumn="0" w:firstRowLastColumn="0" w:lastRowFirstColumn="0" w:lastRowLastColumn="0"/>
              <w:rPr>
                <w:rFonts w:ascii="Arial Narrow" w:hAnsi="Arial Narrow"/>
                <w:bCs w:val="0"/>
                <w:sz w:val="16"/>
                <w:szCs w:val="16"/>
              </w:rPr>
            </w:pPr>
            <w:r w:rsidRPr="00F4121C">
              <w:rPr>
                <w:rFonts w:ascii="Arial Narrow" w:hAnsi="Arial Narrow"/>
                <w:bCs w:val="0"/>
                <w:sz w:val="16"/>
                <w:szCs w:val="16"/>
              </w:rPr>
              <w:t>Področje (raven 1) po metodologiji COFOG</w:t>
            </w:r>
          </w:p>
        </w:tc>
        <w:tc>
          <w:tcPr>
            <w:tcW w:w="2163" w:type="dxa"/>
            <w:hideMark/>
          </w:tcPr>
          <w:p w:rsidR="00A049D3" w:rsidRPr="00F4121C" w:rsidRDefault="00A049D3" w:rsidP="00A049D3">
            <w:pPr>
              <w:cnfStyle w:val="100000000000" w:firstRow="1" w:lastRow="0" w:firstColumn="0" w:lastColumn="0" w:oddVBand="0" w:evenVBand="0" w:oddHBand="0" w:evenHBand="0" w:firstRowFirstColumn="0" w:firstRowLastColumn="0" w:lastRowFirstColumn="0" w:lastRowLastColumn="0"/>
              <w:rPr>
                <w:rFonts w:ascii="Arial Narrow" w:hAnsi="Arial Narrow"/>
                <w:bCs w:val="0"/>
                <w:sz w:val="16"/>
                <w:szCs w:val="16"/>
              </w:rPr>
            </w:pPr>
            <w:r w:rsidRPr="00F4121C">
              <w:rPr>
                <w:rFonts w:ascii="Arial Narrow" w:hAnsi="Arial Narrow"/>
                <w:bCs w:val="0"/>
                <w:sz w:val="16"/>
                <w:szCs w:val="16"/>
              </w:rPr>
              <w:t>Oddelek (raven 2) po metodologiji COFOG</w:t>
            </w:r>
          </w:p>
        </w:tc>
        <w:tc>
          <w:tcPr>
            <w:tcW w:w="1238" w:type="dxa"/>
            <w:noWrap/>
            <w:hideMark/>
          </w:tcPr>
          <w:p w:rsidR="00A049D3" w:rsidRPr="00F4121C" w:rsidRDefault="00A049D3" w:rsidP="00A049D3">
            <w:pPr>
              <w:cnfStyle w:val="100000000000" w:firstRow="1" w:lastRow="0" w:firstColumn="0" w:lastColumn="0" w:oddVBand="0" w:evenVBand="0" w:oddHBand="0" w:evenHBand="0" w:firstRowFirstColumn="0" w:firstRowLastColumn="0" w:lastRowFirstColumn="0" w:lastRowLastColumn="0"/>
              <w:rPr>
                <w:rFonts w:ascii="Arial Narrow" w:hAnsi="Arial Narrow"/>
                <w:bCs w:val="0"/>
                <w:sz w:val="16"/>
                <w:szCs w:val="16"/>
              </w:rPr>
            </w:pPr>
            <w:r w:rsidRPr="00F4121C">
              <w:rPr>
                <w:rFonts w:ascii="Arial Narrow" w:hAnsi="Arial Narrow"/>
                <w:bCs w:val="0"/>
                <w:sz w:val="16"/>
                <w:szCs w:val="16"/>
              </w:rPr>
              <w:t>EUR</w:t>
            </w:r>
          </w:p>
        </w:tc>
        <w:tc>
          <w:tcPr>
            <w:tcW w:w="691" w:type="dxa"/>
            <w:tcBorders>
              <w:right w:val="single" w:sz="4" w:space="0" w:color="auto"/>
            </w:tcBorders>
            <w:noWrap/>
            <w:hideMark/>
          </w:tcPr>
          <w:p w:rsidR="00A049D3" w:rsidRPr="00F4121C" w:rsidRDefault="00A049D3" w:rsidP="00A049D3">
            <w:pPr>
              <w:cnfStyle w:val="100000000000" w:firstRow="1" w:lastRow="0" w:firstColumn="0" w:lastColumn="0" w:oddVBand="0" w:evenVBand="0" w:oddHBand="0" w:evenHBand="0" w:firstRowFirstColumn="0" w:firstRowLastColumn="0" w:lastRowFirstColumn="0" w:lastRowLastColumn="0"/>
              <w:rPr>
                <w:rFonts w:ascii="Arial Narrow" w:hAnsi="Arial Narrow"/>
                <w:bCs w:val="0"/>
                <w:sz w:val="16"/>
                <w:szCs w:val="16"/>
              </w:rPr>
            </w:pPr>
            <w:r w:rsidRPr="00F4121C">
              <w:rPr>
                <w:rFonts w:ascii="Arial Narrow" w:hAnsi="Arial Narrow"/>
                <w:bCs w:val="0"/>
                <w:sz w:val="16"/>
                <w:szCs w:val="16"/>
              </w:rPr>
              <w:t>%</w:t>
            </w:r>
          </w:p>
        </w:tc>
        <w:tc>
          <w:tcPr>
            <w:tcW w:w="588" w:type="dxa"/>
            <w:tcBorders>
              <w:left w:val="single" w:sz="4" w:space="0" w:color="auto"/>
            </w:tcBorders>
            <w:noWrap/>
            <w:hideMark/>
          </w:tcPr>
          <w:p w:rsidR="00A049D3" w:rsidRPr="00F4121C" w:rsidRDefault="00A049D3" w:rsidP="00A049D3">
            <w:pPr>
              <w:cnfStyle w:val="100000000000" w:firstRow="1" w:lastRow="0" w:firstColumn="0" w:lastColumn="0" w:oddVBand="0" w:evenVBand="0" w:oddHBand="0" w:evenHBand="0" w:firstRowFirstColumn="0" w:firstRowLastColumn="0" w:lastRowFirstColumn="0" w:lastRowLastColumn="0"/>
              <w:rPr>
                <w:rFonts w:ascii="Arial Narrow" w:hAnsi="Arial Narrow"/>
                <w:bCs w:val="0"/>
                <w:sz w:val="16"/>
                <w:szCs w:val="16"/>
              </w:rPr>
            </w:pPr>
            <w:r w:rsidRPr="00F4121C">
              <w:rPr>
                <w:rFonts w:ascii="Arial Narrow" w:hAnsi="Arial Narrow"/>
                <w:bCs w:val="0"/>
                <w:sz w:val="16"/>
                <w:szCs w:val="16"/>
              </w:rPr>
              <w:t>Vrstni red</w:t>
            </w:r>
          </w:p>
        </w:tc>
        <w:tc>
          <w:tcPr>
            <w:tcW w:w="2068" w:type="dxa"/>
            <w:hideMark/>
          </w:tcPr>
          <w:p w:rsidR="00A049D3" w:rsidRPr="00F4121C" w:rsidRDefault="00A049D3" w:rsidP="00A049D3">
            <w:pPr>
              <w:cnfStyle w:val="100000000000" w:firstRow="1" w:lastRow="0" w:firstColumn="0" w:lastColumn="0" w:oddVBand="0" w:evenVBand="0" w:oddHBand="0" w:evenHBand="0" w:firstRowFirstColumn="0" w:firstRowLastColumn="0" w:lastRowFirstColumn="0" w:lastRowLastColumn="0"/>
              <w:rPr>
                <w:rFonts w:ascii="Arial Narrow" w:hAnsi="Arial Narrow"/>
                <w:bCs w:val="0"/>
                <w:sz w:val="16"/>
                <w:szCs w:val="16"/>
              </w:rPr>
            </w:pPr>
            <w:r w:rsidRPr="00F4121C">
              <w:rPr>
                <w:rFonts w:ascii="Arial Narrow" w:hAnsi="Arial Narrow"/>
                <w:bCs w:val="0"/>
                <w:sz w:val="16"/>
                <w:szCs w:val="16"/>
              </w:rPr>
              <w:t>Področje (raven 1) po metodologiji COFOG</w:t>
            </w:r>
          </w:p>
        </w:tc>
        <w:tc>
          <w:tcPr>
            <w:tcW w:w="2504" w:type="dxa"/>
            <w:hideMark/>
          </w:tcPr>
          <w:p w:rsidR="00A049D3" w:rsidRPr="00F4121C" w:rsidRDefault="00A049D3" w:rsidP="00A049D3">
            <w:pPr>
              <w:cnfStyle w:val="100000000000" w:firstRow="1" w:lastRow="0" w:firstColumn="0" w:lastColumn="0" w:oddVBand="0" w:evenVBand="0" w:oddHBand="0" w:evenHBand="0" w:firstRowFirstColumn="0" w:firstRowLastColumn="0" w:lastRowFirstColumn="0" w:lastRowLastColumn="0"/>
              <w:rPr>
                <w:rFonts w:ascii="Arial Narrow" w:hAnsi="Arial Narrow"/>
                <w:bCs w:val="0"/>
                <w:sz w:val="16"/>
                <w:szCs w:val="16"/>
              </w:rPr>
            </w:pPr>
            <w:r w:rsidRPr="00F4121C">
              <w:rPr>
                <w:rFonts w:ascii="Arial Narrow" w:hAnsi="Arial Narrow"/>
                <w:bCs w:val="0"/>
                <w:sz w:val="16"/>
                <w:szCs w:val="16"/>
              </w:rPr>
              <w:t>Oddelek (raven 2) po metodologiji COFOG</w:t>
            </w:r>
          </w:p>
        </w:tc>
        <w:tc>
          <w:tcPr>
            <w:tcW w:w="1238" w:type="dxa"/>
            <w:noWrap/>
            <w:hideMark/>
          </w:tcPr>
          <w:p w:rsidR="00A049D3" w:rsidRPr="00F4121C" w:rsidRDefault="00A049D3" w:rsidP="00A049D3">
            <w:pPr>
              <w:cnfStyle w:val="100000000000" w:firstRow="1" w:lastRow="0" w:firstColumn="0" w:lastColumn="0" w:oddVBand="0" w:evenVBand="0" w:oddHBand="0" w:evenHBand="0" w:firstRowFirstColumn="0" w:firstRowLastColumn="0" w:lastRowFirstColumn="0" w:lastRowLastColumn="0"/>
              <w:rPr>
                <w:rFonts w:ascii="Arial Narrow" w:hAnsi="Arial Narrow"/>
                <w:bCs w:val="0"/>
                <w:sz w:val="16"/>
                <w:szCs w:val="16"/>
              </w:rPr>
            </w:pPr>
            <w:r w:rsidRPr="00F4121C">
              <w:rPr>
                <w:rFonts w:ascii="Arial Narrow" w:hAnsi="Arial Narrow"/>
                <w:bCs w:val="0"/>
                <w:sz w:val="16"/>
                <w:szCs w:val="16"/>
              </w:rPr>
              <w:t>EUR</w:t>
            </w:r>
          </w:p>
        </w:tc>
        <w:tc>
          <w:tcPr>
            <w:tcW w:w="788" w:type="dxa"/>
            <w:noWrap/>
            <w:hideMark/>
          </w:tcPr>
          <w:p w:rsidR="00A049D3" w:rsidRPr="00F4121C" w:rsidRDefault="00A049D3" w:rsidP="00A049D3">
            <w:pPr>
              <w:cnfStyle w:val="100000000000" w:firstRow="1" w:lastRow="0" w:firstColumn="0" w:lastColumn="0" w:oddVBand="0" w:evenVBand="0" w:oddHBand="0" w:evenHBand="0" w:firstRowFirstColumn="0" w:firstRowLastColumn="0" w:lastRowFirstColumn="0" w:lastRowLastColumn="0"/>
              <w:rPr>
                <w:rFonts w:ascii="Arial Narrow" w:hAnsi="Arial Narrow"/>
                <w:bCs w:val="0"/>
                <w:sz w:val="16"/>
                <w:szCs w:val="16"/>
              </w:rPr>
            </w:pPr>
            <w:r w:rsidRPr="00F4121C">
              <w:rPr>
                <w:rFonts w:ascii="Arial Narrow" w:hAnsi="Arial Narrow"/>
                <w:bCs w:val="0"/>
                <w:sz w:val="16"/>
                <w:szCs w:val="16"/>
              </w:rPr>
              <w:t>%</w:t>
            </w:r>
          </w:p>
        </w:tc>
      </w:tr>
      <w:tr w:rsidR="000E50AB" w:rsidRPr="00A049D3" w:rsidTr="00393A4B">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590" w:type="dxa"/>
            <w:noWrap/>
            <w:hideMark/>
          </w:tcPr>
          <w:p w:rsidR="00A049D3" w:rsidRPr="00A049D3" w:rsidRDefault="00A049D3" w:rsidP="00A049D3">
            <w:pPr>
              <w:spacing w:after="0" w:line="240" w:lineRule="auto"/>
              <w:rPr>
                <w:rFonts w:ascii="Arial Narrow" w:hAnsi="Arial Narrow"/>
                <w:sz w:val="16"/>
                <w:szCs w:val="16"/>
              </w:rPr>
            </w:pPr>
            <w:r w:rsidRPr="00A049D3">
              <w:rPr>
                <w:rFonts w:ascii="Arial Narrow" w:hAnsi="Arial Narrow"/>
                <w:sz w:val="16"/>
                <w:szCs w:val="16"/>
              </w:rPr>
              <w:t>1.</w:t>
            </w:r>
          </w:p>
        </w:tc>
        <w:tc>
          <w:tcPr>
            <w:tcW w:w="2353" w:type="dxa"/>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Izobraževanje</w:t>
            </w:r>
          </w:p>
        </w:tc>
        <w:tc>
          <w:tcPr>
            <w:tcW w:w="2163" w:type="dxa"/>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Predšolska vzgoja in osnovnošolsko izobraževanje</w:t>
            </w:r>
          </w:p>
        </w:tc>
        <w:tc>
          <w:tcPr>
            <w:tcW w:w="1238" w:type="dxa"/>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427.613.483,45</w:t>
            </w:r>
          </w:p>
        </w:tc>
        <w:tc>
          <w:tcPr>
            <w:tcW w:w="691" w:type="dxa"/>
            <w:tcBorders>
              <w:right w:val="single" w:sz="4" w:space="0" w:color="auto"/>
            </w:tcBorders>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20,5771</w:t>
            </w:r>
          </w:p>
        </w:tc>
        <w:tc>
          <w:tcPr>
            <w:tcW w:w="588" w:type="dxa"/>
            <w:tcBorders>
              <w:left w:val="single" w:sz="4" w:space="0" w:color="auto"/>
            </w:tcBorders>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sz w:val="16"/>
                <w:szCs w:val="16"/>
              </w:rPr>
            </w:pPr>
            <w:r w:rsidRPr="00A049D3">
              <w:rPr>
                <w:rFonts w:ascii="Arial Narrow" w:hAnsi="Arial Narrow"/>
                <w:b/>
                <w:sz w:val="16"/>
                <w:szCs w:val="16"/>
              </w:rPr>
              <w:t>1.</w:t>
            </w:r>
          </w:p>
        </w:tc>
        <w:tc>
          <w:tcPr>
            <w:tcW w:w="2068" w:type="dxa"/>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Izobraževanje</w:t>
            </w:r>
          </w:p>
        </w:tc>
        <w:tc>
          <w:tcPr>
            <w:tcW w:w="2504" w:type="dxa"/>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Predšolska vzgoja in osnovnošolsko izobraževanje</w:t>
            </w:r>
          </w:p>
        </w:tc>
        <w:tc>
          <w:tcPr>
            <w:tcW w:w="1238" w:type="dxa"/>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426.236.403,09</w:t>
            </w:r>
          </w:p>
        </w:tc>
        <w:tc>
          <w:tcPr>
            <w:tcW w:w="788" w:type="dxa"/>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18,6536</w:t>
            </w:r>
          </w:p>
        </w:tc>
      </w:tr>
      <w:tr w:rsidR="000E50AB" w:rsidRPr="00A049D3" w:rsidTr="00393A4B">
        <w:trPr>
          <w:trHeight w:val="102"/>
        </w:trPr>
        <w:tc>
          <w:tcPr>
            <w:cnfStyle w:val="001000000000" w:firstRow="0" w:lastRow="0" w:firstColumn="1" w:lastColumn="0" w:oddVBand="0" w:evenVBand="0" w:oddHBand="0" w:evenHBand="0" w:firstRowFirstColumn="0" w:firstRowLastColumn="0" w:lastRowFirstColumn="0" w:lastRowLastColumn="0"/>
            <w:tcW w:w="590" w:type="dxa"/>
            <w:noWrap/>
            <w:hideMark/>
          </w:tcPr>
          <w:p w:rsidR="00A049D3" w:rsidRPr="00A049D3" w:rsidRDefault="00A049D3" w:rsidP="00A049D3">
            <w:pPr>
              <w:spacing w:after="0" w:line="240" w:lineRule="auto"/>
              <w:rPr>
                <w:rFonts w:ascii="Arial Narrow" w:hAnsi="Arial Narrow"/>
                <w:sz w:val="16"/>
                <w:szCs w:val="16"/>
              </w:rPr>
            </w:pPr>
            <w:r w:rsidRPr="00A049D3">
              <w:rPr>
                <w:rFonts w:ascii="Arial Narrow" w:hAnsi="Arial Narrow"/>
                <w:sz w:val="16"/>
                <w:szCs w:val="16"/>
              </w:rPr>
              <w:t>2.</w:t>
            </w:r>
          </w:p>
        </w:tc>
        <w:tc>
          <w:tcPr>
            <w:tcW w:w="2353" w:type="dxa"/>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Gospodarske dejavnosti</w:t>
            </w:r>
          </w:p>
        </w:tc>
        <w:tc>
          <w:tcPr>
            <w:tcW w:w="2163" w:type="dxa"/>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Promet</w:t>
            </w:r>
          </w:p>
        </w:tc>
        <w:tc>
          <w:tcPr>
            <w:tcW w:w="1238" w:type="dxa"/>
            <w:noWrap/>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309.384.229,63</w:t>
            </w:r>
          </w:p>
        </w:tc>
        <w:tc>
          <w:tcPr>
            <w:tcW w:w="691" w:type="dxa"/>
            <w:tcBorders>
              <w:right w:val="single" w:sz="4" w:space="0" w:color="auto"/>
            </w:tcBorders>
            <w:noWrap/>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14,8878</w:t>
            </w:r>
          </w:p>
        </w:tc>
        <w:tc>
          <w:tcPr>
            <w:tcW w:w="588" w:type="dxa"/>
            <w:tcBorders>
              <w:left w:val="single" w:sz="4" w:space="0" w:color="auto"/>
            </w:tcBorders>
            <w:noWrap/>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sz w:val="16"/>
                <w:szCs w:val="16"/>
              </w:rPr>
            </w:pPr>
            <w:r w:rsidRPr="00A049D3">
              <w:rPr>
                <w:rFonts w:ascii="Arial Narrow" w:hAnsi="Arial Narrow"/>
                <w:b/>
                <w:sz w:val="16"/>
                <w:szCs w:val="16"/>
              </w:rPr>
              <w:t>2.</w:t>
            </w:r>
          </w:p>
        </w:tc>
        <w:tc>
          <w:tcPr>
            <w:tcW w:w="2068" w:type="dxa"/>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Varstvo okolja</w:t>
            </w:r>
          </w:p>
        </w:tc>
        <w:tc>
          <w:tcPr>
            <w:tcW w:w="2504" w:type="dxa"/>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Ravnanje z odpadno vodo</w:t>
            </w:r>
          </w:p>
        </w:tc>
        <w:tc>
          <w:tcPr>
            <w:tcW w:w="1238" w:type="dxa"/>
            <w:noWrap/>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260.083.473,42</w:t>
            </w:r>
          </w:p>
        </w:tc>
        <w:tc>
          <w:tcPr>
            <w:tcW w:w="788" w:type="dxa"/>
            <w:noWrap/>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11,3822</w:t>
            </w:r>
          </w:p>
        </w:tc>
      </w:tr>
      <w:tr w:rsidR="000E50AB" w:rsidRPr="00A049D3" w:rsidTr="00393A4B">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590" w:type="dxa"/>
            <w:noWrap/>
            <w:hideMark/>
          </w:tcPr>
          <w:p w:rsidR="00A049D3" w:rsidRPr="00A049D3" w:rsidRDefault="00A049D3" w:rsidP="00A049D3">
            <w:pPr>
              <w:spacing w:after="0" w:line="240" w:lineRule="auto"/>
              <w:rPr>
                <w:rFonts w:ascii="Arial Narrow" w:hAnsi="Arial Narrow"/>
                <w:sz w:val="16"/>
                <w:szCs w:val="16"/>
              </w:rPr>
            </w:pPr>
            <w:r w:rsidRPr="00A049D3">
              <w:rPr>
                <w:rFonts w:ascii="Arial Narrow" w:hAnsi="Arial Narrow"/>
                <w:sz w:val="16"/>
                <w:szCs w:val="16"/>
              </w:rPr>
              <w:t>3.</w:t>
            </w:r>
          </w:p>
        </w:tc>
        <w:tc>
          <w:tcPr>
            <w:tcW w:w="2353" w:type="dxa"/>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Javna uprava</w:t>
            </w:r>
          </w:p>
        </w:tc>
        <w:tc>
          <w:tcPr>
            <w:tcW w:w="2163" w:type="dxa"/>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Splošne zadeve</w:t>
            </w:r>
          </w:p>
        </w:tc>
        <w:tc>
          <w:tcPr>
            <w:tcW w:w="1238" w:type="dxa"/>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181.991.348,12</w:t>
            </w:r>
          </w:p>
        </w:tc>
        <w:tc>
          <w:tcPr>
            <w:tcW w:w="691" w:type="dxa"/>
            <w:tcBorders>
              <w:right w:val="single" w:sz="4" w:space="0" w:color="auto"/>
            </w:tcBorders>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8,7576</w:t>
            </w:r>
          </w:p>
        </w:tc>
        <w:tc>
          <w:tcPr>
            <w:tcW w:w="588" w:type="dxa"/>
            <w:tcBorders>
              <w:left w:val="single" w:sz="4" w:space="0" w:color="auto"/>
            </w:tcBorders>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sz w:val="16"/>
                <w:szCs w:val="16"/>
              </w:rPr>
            </w:pPr>
            <w:r w:rsidRPr="00A049D3">
              <w:rPr>
                <w:rFonts w:ascii="Arial Narrow" w:hAnsi="Arial Narrow"/>
                <w:b/>
                <w:sz w:val="16"/>
                <w:szCs w:val="16"/>
              </w:rPr>
              <w:t>3.</w:t>
            </w:r>
          </w:p>
        </w:tc>
        <w:tc>
          <w:tcPr>
            <w:tcW w:w="2068" w:type="dxa"/>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Gospodarske dejavnosti</w:t>
            </w:r>
          </w:p>
        </w:tc>
        <w:tc>
          <w:tcPr>
            <w:tcW w:w="2504" w:type="dxa"/>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Promet</w:t>
            </w:r>
          </w:p>
        </w:tc>
        <w:tc>
          <w:tcPr>
            <w:tcW w:w="1238" w:type="dxa"/>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254.314.800,94</w:t>
            </w:r>
          </w:p>
        </w:tc>
        <w:tc>
          <w:tcPr>
            <w:tcW w:w="788" w:type="dxa"/>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11,1297</w:t>
            </w:r>
          </w:p>
        </w:tc>
      </w:tr>
      <w:tr w:rsidR="000E50AB" w:rsidRPr="00A049D3" w:rsidTr="00393A4B">
        <w:trPr>
          <w:trHeight w:val="102"/>
        </w:trPr>
        <w:tc>
          <w:tcPr>
            <w:cnfStyle w:val="001000000000" w:firstRow="0" w:lastRow="0" w:firstColumn="1" w:lastColumn="0" w:oddVBand="0" w:evenVBand="0" w:oddHBand="0" w:evenHBand="0" w:firstRowFirstColumn="0" w:firstRowLastColumn="0" w:lastRowFirstColumn="0" w:lastRowLastColumn="0"/>
            <w:tcW w:w="590" w:type="dxa"/>
            <w:noWrap/>
            <w:hideMark/>
          </w:tcPr>
          <w:p w:rsidR="00A049D3" w:rsidRPr="00A049D3" w:rsidRDefault="00A049D3" w:rsidP="00A049D3">
            <w:pPr>
              <w:spacing w:after="0" w:line="240" w:lineRule="auto"/>
              <w:rPr>
                <w:rFonts w:ascii="Arial Narrow" w:hAnsi="Arial Narrow"/>
                <w:sz w:val="16"/>
                <w:szCs w:val="16"/>
              </w:rPr>
            </w:pPr>
            <w:r w:rsidRPr="00A049D3">
              <w:rPr>
                <w:rFonts w:ascii="Arial Narrow" w:hAnsi="Arial Narrow"/>
                <w:sz w:val="16"/>
                <w:szCs w:val="16"/>
              </w:rPr>
              <w:t>4.</w:t>
            </w:r>
          </w:p>
        </w:tc>
        <w:tc>
          <w:tcPr>
            <w:tcW w:w="2353" w:type="dxa"/>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Javna uprava</w:t>
            </w:r>
          </w:p>
        </w:tc>
        <w:tc>
          <w:tcPr>
            <w:tcW w:w="2163" w:type="dxa"/>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Dejavnosti izvršilnih in zakonodajnih organov, ter dejavnosti s področja finančnih in fiskalnih ter zunanjih zadev</w:t>
            </w:r>
          </w:p>
        </w:tc>
        <w:tc>
          <w:tcPr>
            <w:tcW w:w="1238" w:type="dxa"/>
            <w:noWrap/>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180.161.998,08</w:t>
            </w:r>
          </w:p>
        </w:tc>
        <w:tc>
          <w:tcPr>
            <w:tcW w:w="691" w:type="dxa"/>
            <w:tcBorders>
              <w:right w:val="single" w:sz="4" w:space="0" w:color="auto"/>
            </w:tcBorders>
            <w:noWrap/>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8,6695</w:t>
            </w:r>
          </w:p>
        </w:tc>
        <w:tc>
          <w:tcPr>
            <w:tcW w:w="588" w:type="dxa"/>
            <w:tcBorders>
              <w:left w:val="single" w:sz="4" w:space="0" w:color="auto"/>
            </w:tcBorders>
            <w:noWrap/>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sz w:val="16"/>
                <w:szCs w:val="16"/>
              </w:rPr>
            </w:pPr>
            <w:r w:rsidRPr="00A049D3">
              <w:rPr>
                <w:rFonts w:ascii="Arial Narrow" w:hAnsi="Arial Narrow"/>
                <w:b/>
                <w:sz w:val="16"/>
                <w:szCs w:val="16"/>
              </w:rPr>
              <w:t>4.</w:t>
            </w:r>
          </w:p>
        </w:tc>
        <w:tc>
          <w:tcPr>
            <w:tcW w:w="2068" w:type="dxa"/>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Javna uprava</w:t>
            </w:r>
          </w:p>
        </w:tc>
        <w:tc>
          <w:tcPr>
            <w:tcW w:w="2504" w:type="dxa"/>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Dejavnosti izvršilnih in zakonodajnih organov, ter dejavnosti s področja finančnih in fiskalnih ter zunanjih zadev</w:t>
            </w:r>
          </w:p>
        </w:tc>
        <w:tc>
          <w:tcPr>
            <w:tcW w:w="1238" w:type="dxa"/>
            <w:noWrap/>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180.561.314,14</w:t>
            </w:r>
          </w:p>
        </w:tc>
        <w:tc>
          <w:tcPr>
            <w:tcW w:w="788" w:type="dxa"/>
            <w:noWrap/>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7,9020</w:t>
            </w:r>
          </w:p>
        </w:tc>
      </w:tr>
      <w:tr w:rsidR="000E50AB" w:rsidRPr="00A049D3" w:rsidTr="00393A4B">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590" w:type="dxa"/>
            <w:noWrap/>
            <w:hideMark/>
          </w:tcPr>
          <w:p w:rsidR="00A049D3" w:rsidRPr="00F4121C" w:rsidRDefault="00A049D3" w:rsidP="00A049D3">
            <w:pPr>
              <w:spacing w:after="0" w:line="240" w:lineRule="auto"/>
              <w:rPr>
                <w:rFonts w:ascii="Arial Narrow" w:hAnsi="Arial Narrow"/>
                <w:color w:val="4F81BD" w:themeColor="accent1"/>
                <w:sz w:val="16"/>
                <w:szCs w:val="16"/>
              </w:rPr>
            </w:pPr>
            <w:r w:rsidRPr="00F4121C">
              <w:rPr>
                <w:rFonts w:ascii="Arial Narrow" w:hAnsi="Arial Narrow"/>
                <w:color w:val="4F81BD" w:themeColor="accent1"/>
                <w:sz w:val="16"/>
                <w:szCs w:val="16"/>
              </w:rPr>
              <w:t>5.</w:t>
            </w:r>
          </w:p>
        </w:tc>
        <w:tc>
          <w:tcPr>
            <w:tcW w:w="2353" w:type="dxa"/>
            <w:hideMark/>
          </w:tcPr>
          <w:p w:rsidR="00A049D3" w:rsidRPr="00F4121C"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color w:val="4F81BD" w:themeColor="accent1"/>
                <w:sz w:val="16"/>
                <w:szCs w:val="16"/>
              </w:rPr>
            </w:pPr>
            <w:r w:rsidRPr="00F4121C">
              <w:rPr>
                <w:rFonts w:ascii="Arial Narrow" w:hAnsi="Arial Narrow"/>
                <w:b/>
                <w:color w:val="4F81BD" w:themeColor="accent1"/>
                <w:sz w:val="16"/>
                <w:szCs w:val="16"/>
              </w:rPr>
              <w:t>Rekreacija, kultura in dejavnosti neprofitnih organizacij, društev, združenj in drugih institucij</w:t>
            </w:r>
          </w:p>
        </w:tc>
        <w:tc>
          <w:tcPr>
            <w:tcW w:w="2163" w:type="dxa"/>
            <w:hideMark/>
          </w:tcPr>
          <w:p w:rsidR="00A049D3" w:rsidRPr="00F4121C"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color w:val="4F81BD" w:themeColor="accent1"/>
                <w:sz w:val="16"/>
                <w:szCs w:val="16"/>
              </w:rPr>
            </w:pPr>
            <w:r w:rsidRPr="00F4121C">
              <w:rPr>
                <w:rFonts w:ascii="Arial Narrow" w:hAnsi="Arial Narrow"/>
                <w:b/>
                <w:color w:val="4F81BD" w:themeColor="accent1"/>
                <w:sz w:val="16"/>
                <w:szCs w:val="16"/>
              </w:rPr>
              <w:t>Kulturne dejavnosti</w:t>
            </w:r>
          </w:p>
        </w:tc>
        <w:tc>
          <w:tcPr>
            <w:tcW w:w="1238" w:type="dxa"/>
            <w:noWrap/>
            <w:hideMark/>
          </w:tcPr>
          <w:p w:rsidR="00A049D3" w:rsidRPr="00F4121C"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color w:val="4F81BD" w:themeColor="accent1"/>
                <w:sz w:val="16"/>
                <w:szCs w:val="16"/>
              </w:rPr>
            </w:pPr>
            <w:r w:rsidRPr="00F4121C">
              <w:rPr>
                <w:rFonts w:ascii="Arial Narrow" w:hAnsi="Arial Narrow"/>
                <w:b/>
                <w:color w:val="4F81BD" w:themeColor="accent1"/>
                <w:sz w:val="16"/>
                <w:szCs w:val="16"/>
              </w:rPr>
              <w:t>139.393.080,01</w:t>
            </w:r>
          </w:p>
        </w:tc>
        <w:tc>
          <w:tcPr>
            <w:tcW w:w="691" w:type="dxa"/>
            <w:tcBorders>
              <w:right w:val="single" w:sz="4" w:space="0" w:color="auto"/>
            </w:tcBorders>
            <w:noWrap/>
            <w:hideMark/>
          </w:tcPr>
          <w:p w:rsidR="00A049D3" w:rsidRPr="00F4121C"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color w:val="4F81BD" w:themeColor="accent1"/>
                <w:sz w:val="16"/>
                <w:szCs w:val="16"/>
              </w:rPr>
            </w:pPr>
            <w:r w:rsidRPr="00F4121C">
              <w:rPr>
                <w:rFonts w:ascii="Arial Narrow" w:hAnsi="Arial Narrow"/>
                <w:b/>
                <w:color w:val="4F81BD" w:themeColor="accent1"/>
                <w:sz w:val="16"/>
                <w:szCs w:val="16"/>
              </w:rPr>
              <w:t>6,7077</w:t>
            </w:r>
          </w:p>
        </w:tc>
        <w:tc>
          <w:tcPr>
            <w:tcW w:w="588" w:type="dxa"/>
            <w:tcBorders>
              <w:left w:val="single" w:sz="4" w:space="0" w:color="auto"/>
            </w:tcBorders>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sz w:val="16"/>
                <w:szCs w:val="16"/>
              </w:rPr>
            </w:pPr>
            <w:r w:rsidRPr="00A049D3">
              <w:rPr>
                <w:rFonts w:ascii="Arial Narrow" w:hAnsi="Arial Narrow"/>
                <w:b/>
                <w:sz w:val="16"/>
                <w:szCs w:val="16"/>
              </w:rPr>
              <w:t>5.</w:t>
            </w:r>
          </w:p>
        </w:tc>
        <w:tc>
          <w:tcPr>
            <w:tcW w:w="2068" w:type="dxa"/>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Stanovanjska dejavnost in prostorski razvoj</w:t>
            </w:r>
          </w:p>
        </w:tc>
        <w:tc>
          <w:tcPr>
            <w:tcW w:w="2504" w:type="dxa"/>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Oskrba z vodo</w:t>
            </w:r>
          </w:p>
        </w:tc>
        <w:tc>
          <w:tcPr>
            <w:tcW w:w="1238" w:type="dxa"/>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150.088.977,85</w:t>
            </w:r>
          </w:p>
        </w:tc>
        <w:tc>
          <w:tcPr>
            <w:tcW w:w="788" w:type="dxa"/>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6,5684</w:t>
            </w:r>
          </w:p>
        </w:tc>
      </w:tr>
      <w:tr w:rsidR="000E50AB" w:rsidRPr="00A049D3" w:rsidTr="00393A4B">
        <w:trPr>
          <w:trHeight w:val="102"/>
        </w:trPr>
        <w:tc>
          <w:tcPr>
            <w:cnfStyle w:val="001000000000" w:firstRow="0" w:lastRow="0" w:firstColumn="1" w:lastColumn="0" w:oddVBand="0" w:evenVBand="0" w:oddHBand="0" w:evenHBand="0" w:firstRowFirstColumn="0" w:firstRowLastColumn="0" w:lastRowFirstColumn="0" w:lastRowLastColumn="0"/>
            <w:tcW w:w="590" w:type="dxa"/>
            <w:noWrap/>
            <w:hideMark/>
          </w:tcPr>
          <w:p w:rsidR="00A049D3" w:rsidRPr="00A049D3" w:rsidRDefault="00A049D3" w:rsidP="00A049D3">
            <w:pPr>
              <w:spacing w:after="0" w:line="240" w:lineRule="auto"/>
              <w:rPr>
                <w:rFonts w:ascii="Arial Narrow" w:hAnsi="Arial Narrow"/>
                <w:sz w:val="16"/>
                <w:szCs w:val="16"/>
              </w:rPr>
            </w:pPr>
            <w:r w:rsidRPr="00A049D3">
              <w:rPr>
                <w:rFonts w:ascii="Arial Narrow" w:hAnsi="Arial Narrow"/>
                <w:sz w:val="16"/>
                <w:szCs w:val="16"/>
              </w:rPr>
              <w:t>6.</w:t>
            </w:r>
          </w:p>
        </w:tc>
        <w:tc>
          <w:tcPr>
            <w:tcW w:w="2353" w:type="dxa"/>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Varstvo okolja</w:t>
            </w:r>
          </w:p>
        </w:tc>
        <w:tc>
          <w:tcPr>
            <w:tcW w:w="2163" w:type="dxa"/>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Ravnanje z odpadno vodo</w:t>
            </w:r>
          </w:p>
        </w:tc>
        <w:tc>
          <w:tcPr>
            <w:tcW w:w="1238" w:type="dxa"/>
            <w:noWrap/>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110.985.212,25</w:t>
            </w:r>
          </w:p>
        </w:tc>
        <w:tc>
          <w:tcPr>
            <w:tcW w:w="691" w:type="dxa"/>
            <w:tcBorders>
              <w:right w:val="single" w:sz="4" w:space="0" w:color="auto"/>
            </w:tcBorders>
            <w:noWrap/>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5,3407</w:t>
            </w:r>
          </w:p>
        </w:tc>
        <w:tc>
          <w:tcPr>
            <w:tcW w:w="588" w:type="dxa"/>
            <w:tcBorders>
              <w:left w:val="single" w:sz="4" w:space="0" w:color="auto"/>
            </w:tcBorders>
            <w:noWrap/>
            <w:hideMark/>
          </w:tcPr>
          <w:p w:rsidR="00A049D3" w:rsidRPr="00F4121C"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color w:val="4F81BD" w:themeColor="accent1"/>
                <w:sz w:val="16"/>
                <w:szCs w:val="16"/>
              </w:rPr>
            </w:pPr>
            <w:r w:rsidRPr="00F4121C">
              <w:rPr>
                <w:rFonts w:ascii="Arial Narrow" w:hAnsi="Arial Narrow"/>
                <w:b/>
                <w:color w:val="4F81BD" w:themeColor="accent1"/>
                <w:sz w:val="16"/>
                <w:szCs w:val="16"/>
              </w:rPr>
              <w:t>6.</w:t>
            </w:r>
          </w:p>
        </w:tc>
        <w:tc>
          <w:tcPr>
            <w:tcW w:w="2068" w:type="dxa"/>
            <w:hideMark/>
          </w:tcPr>
          <w:p w:rsidR="00A049D3" w:rsidRPr="00F4121C"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color w:val="4F81BD" w:themeColor="accent1"/>
                <w:sz w:val="16"/>
                <w:szCs w:val="16"/>
              </w:rPr>
            </w:pPr>
            <w:r w:rsidRPr="00F4121C">
              <w:rPr>
                <w:rFonts w:ascii="Arial Narrow" w:hAnsi="Arial Narrow"/>
                <w:b/>
                <w:color w:val="4F81BD" w:themeColor="accent1"/>
                <w:sz w:val="16"/>
                <w:szCs w:val="16"/>
              </w:rPr>
              <w:t>Rekreacija, kultura in dejavnosti neprofitnih organizacij, društev, združenj in drugih institucij</w:t>
            </w:r>
          </w:p>
        </w:tc>
        <w:tc>
          <w:tcPr>
            <w:tcW w:w="2504" w:type="dxa"/>
            <w:hideMark/>
          </w:tcPr>
          <w:p w:rsidR="00A049D3" w:rsidRPr="00F4121C"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color w:val="4F81BD" w:themeColor="accent1"/>
                <w:sz w:val="16"/>
                <w:szCs w:val="16"/>
              </w:rPr>
            </w:pPr>
            <w:r w:rsidRPr="00F4121C">
              <w:rPr>
                <w:rFonts w:ascii="Arial Narrow" w:hAnsi="Arial Narrow"/>
                <w:b/>
                <w:color w:val="4F81BD" w:themeColor="accent1"/>
                <w:sz w:val="16"/>
                <w:szCs w:val="16"/>
              </w:rPr>
              <w:t>Kulturne dejavnosti</w:t>
            </w:r>
          </w:p>
        </w:tc>
        <w:tc>
          <w:tcPr>
            <w:tcW w:w="1238" w:type="dxa"/>
            <w:noWrap/>
            <w:hideMark/>
          </w:tcPr>
          <w:p w:rsidR="00A049D3" w:rsidRPr="00F4121C"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color w:val="4F81BD" w:themeColor="accent1"/>
                <w:sz w:val="16"/>
                <w:szCs w:val="16"/>
              </w:rPr>
            </w:pPr>
            <w:r w:rsidRPr="00F4121C">
              <w:rPr>
                <w:rFonts w:ascii="Arial Narrow" w:hAnsi="Arial Narrow"/>
                <w:b/>
                <w:color w:val="4F81BD" w:themeColor="accent1"/>
                <w:sz w:val="16"/>
                <w:szCs w:val="16"/>
              </w:rPr>
              <w:t>128.877.283,92</w:t>
            </w:r>
          </w:p>
        </w:tc>
        <w:tc>
          <w:tcPr>
            <w:tcW w:w="788" w:type="dxa"/>
            <w:noWrap/>
            <w:hideMark/>
          </w:tcPr>
          <w:p w:rsidR="00A049D3" w:rsidRPr="00F4121C"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color w:val="4F81BD" w:themeColor="accent1"/>
                <w:sz w:val="16"/>
                <w:szCs w:val="16"/>
              </w:rPr>
            </w:pPr>
            <w:r w:rsidRPr="00F4121C">
              <w:rPr>
                <w:rFonts w:ascii="Arial Narrow" w:hAnsi="Arial Narrow"/>
                <w:b/>
                <w:color w:val="4F81BD" w:themeColor="accent1"/>
                <w:sz w:val="16"/>
                <w:szCs w:val="16"/>
              </w:rPr>
              <w:t>5,6401</w:t>
            </w:r>
          </w:p>
        </w:tc>
      </w:tr>
      <w:tr w:rsidR="000E50AB" w:rsidRPr="00A049D3" w:rsidTr="00393A4B">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590" w:type="dxa"/>
            <w:noWrap/>
            <w:hideMark/>
          </w:tcPr>
          <w:p w:rsidR="00A049D3" w:rsidRPr="00A049D3" w:rsidRDefault="00A049D3" w:rsidP="00A049D3">
            <w:pPr>
              <w:spacing w:after="0" w:line="240" w:lineRule="auto"/>
              <w:rPr>
                <w:rFonts w:ascii="Arial Narrow" w:hAnsi="Arial Narrow"/>
                <w:sz w:val="16"/>
                <w:szCs w:val="16"/>
              </w:rPr>
            </w:pPr>
            <w:r w:rsidRPr="00A049D3">
              <w:rPr>
                <w:rFonts w:ascii="Arial Narrow" w:hAnsi="Arial Narrow"/>
                <w:sz w:val="16"/>
                <w:szCs w:val="16"/>
              </w:rPr>
              <w:t>7.</w:t>
            </w:r>
          </w:p>
        </w:tc>
        <w:tc>
          <w:tcPr>
            <w:tcW w:w="2353" w:type="dxa"/>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Rekreacija, kultura in dejavnosti neprofitnih organizacij, društev, združenj in drugih institucij</w:t>
            </w:r>
          </w:p>
        </w:tc>
        <w:tc>
          <w:tcPr>
            <w:tcW w:w="2163" w:type="dxa"/>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Dejavnosti na področju športa in rekreacije</w:t>
            </w:r>
          </w:p>
        </w:tc>
        <w:tc>
          <w:tcPr>
            <w:tcW w:w="1238" w:type="dxa"/>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71.491.679,82</w:t>
            </w:r>
          </w:p>
        </w:tc>
        <w:tc>
          <w:tcPr>
            <w:tcW w:w="691" w:type="dxa"/>
            <w:tcBorders>
              <w:right w:val="single" w:sz="4" w:space="0" w:color="auto"/>
            </w:tcBorders>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3,4402</w:t>
            </w:r>
          </w:p>
        </w:tc>
        <w:tc>
          <w:tcPr>
            <w:tcW w:w="588" w:type="dxa"/>
            <w:tcBorders>
              <w:left w:val="single" w:sz="4" w:space="0" w:color="auto"/>
            </w:tcBorders>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sz w:val="16"/>
                <w:szCs w:val="16"/>
              </w:rPr>
            </w:pPr>
            <w:r w:rsidRPr="00A049D3">
              <w:rPr>
                <w:rFonts w:ascii="Arial Narrow" w:hAnsi="Arial Narrow"/>
                <w:b/>
                <w:sz w:val="16"/>
                <w:szCs w:val="16"/>
              </w:rPr>
              <w:t>7.</w:t>
            </w:r>
          </w:p>
        </w:tc>
        <w:tc>
          <w:tcPr>
            <w:tcW w:w="2068" w:type="dxa"/>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Varstvo okolja</w:t>
            </w:r>
          </w:p>
        </w:tc>
        <w:tc>
          <w:tcPr>
            <w:tcW w:w="2504" w:type="dxa"/>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Zbiranje in ravnanje z odpadki</w:t>
            </w:r>
          </w:p>
        </w:tc>
        <w:tc>
          <w:tcPr>
            <w:tcW w:w="1238" w:type="dxa"/>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99.005.571,59</w:t>
            </w:r>
          </w:p>
        </w:tc>
        <w:tc>
          <w:tcPr>
            <w:tcW w:w="788" w:type="dxa"/>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4,3328</w:t>
            </w:r>
          </w:p>
        </w:tc>
      </w:tr>
      <w:tr w:rsidR="000E50AB" w:rsidRPr="00A049D3" w:rsidTr="00393A4B">
        <w:trPr>
          <w:trHeight w:val="102"/>
        </w:trPr>
        <w:tc>
          <w:tcPr>
            <w:cnfStyle w:val="001000000000" w:firstRow="0" w:lastRow="0" w:firstColumn="1" w:lastColumn="0" w:oddVBand="0" w:evenVBand="0" w:oddHBand="0" w:evenHBand="0" w:firstRowFirstColumn="0" w:firstRowLastColumn="0" w:lastRowFirstColumn="0" w:lastRowLastColumn="0"/>
            <w:tcW w:w="590" w:type="dxa"/>
            <w:noWrap/>
            <w:hideMark/>
          </w:tcPr>
          <w:p w:rsidR="00A049D3" w:rsidRPr="00A049D3" w:rsidRDefault="00A049D3" w:rsidP="00A049D3">
            <w:pPr>
              <w:spacing w:after="0" w:line="240" w:lineRule="auto"/>
              <w:rPr>
                <w:rFonts w:ascii="Arial Narrow" w:hAnsi="Arial Narrow"/>
                <w:sz w:val="16"/>
                <w:szCs w:val="16"/>
              </w:rPr>
            </w:pPr>
            <w:r w:rsidRPr="00A049D3">
              <w:rPr>
                <w:rFonts w:ascii="Arial Narrow" w:hAnsi="Arial Narrow"/>
                <w:sz w:val="16"/>
                <w:szCs w:val="16"/>
              </w:rPr>
              <w:t>8.</w:t>
            </w:r>
          </w:p>
        </w:tc>
        <w:tc>
          <w:tcPr>
            <w:tcW w:w="2353" w:type="dxa"/>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Stanovanjska dejavnost in prostorski razvoj</w:t>
            </w:r>
          </w:p>
        </w:tc>
        <w:tc>
          <w:tcPr>
            <w:tcW w:w="2163" w:type="dxa"/>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Oskrba z vodo</w:t>
            </w:r>
          </w:p>
        </w:tc>
        <w:tc>
          <w:tcPr>
            <w:tcW w:w="1238" w:type="dxa"/>
            <w:noWrap/>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67.389.443,51</w:t>
            </w:r>
          </w:p>
        </w:tc>
        <w:tc>
          <w:tcPr>
            <w:tcW w:w="691" w:type="dxa"/>
            <w:tcBorders>
              <w:right w:val="single" w:sz="4" w:space="0" w:color="auto"/>
            </w:tcBorders>
            <w:noWrap/>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3,2428</w:t>
            </w:r>
          </w:p>
        </w:tc>
        <w:tc>
          <w:tcPr>
            <w:tcW w:w="588" w:type="dxa"/>
            <w:tcBorders>
              <w:left w:val="single" w:sz="4" w:space="0" w:color="auto"/>
            </w:tcBorders>
            <w:noWrap/>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sz w:val="16"/>
                <w:szCs w:val="16"/>
              </w:rPr>
            </w:pPr>
            <w:r w:rsidRPr="00A049D3">
              <w:rPr>
                <w:rFonts w:ascii="Arial Narrow" w:hAnsi="Arial Narrow"/>
                <w:b/>
                <w:sz w:val="16"/>
                <w:szCs w:val="16"/>
              </w:rPr>
              <w:t>8.</w:t>
            </w:r>
          </w:p>
        </w:tc>
        <w:tc>
          <w:tcPr>
            <w:tcW w:w="2068" w:type="dxa"/>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Javna uprava</w:t>
            </w:r>
          </w:p>
        </w:tc>
        <w:tc>
          <w:tcPr>
            <w:tcW w:w="2504" w:type="dxa"/>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Servisiranje javnega dolga</w:t>
            </w:r>
          </w:p>
        </w:tc>
        <w:tc>
          <w:tcPr>
            <w:tcW w:w="1238" w:type="dxa"/>
            <w:noWrap/>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93.765.309,03</w:t>
            </w:r>
          </w:p>
        </w:tc>
        <w:tc>
          <w:tcPr>
            <w:tcW w:w="788" w:type="dxa"/>
            <w:noWrap/>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4,1035</w:t>
            </w:r>
          </w:p>
        </w:tc>
      </w:tr>
      <w:tr w:rsidR="000E50AB" w:rsidRPr="00A049D3" w:rsidTr="00393A4B">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590" w:type="dxa"/>
            <w:noWrap/>
            <w:hideMark/>
          </w:tcPr>
          <w:p w:rsidR="00A049D3" w:rsidRPr="00A049D3" w:rsidRDefault="00A049D3" w:rsidP="00A049D3">
            <w:pPr>
              <w:spacing w:after="0" w:line="240" w:lineRule="auto"/>
              <w:rPr>
                <w:rFonts w:ascii="Arial Narrow" w:hAnsi="Arial Narrow"/>
                <w:sz w:val="16"/>
                <w:szCs w:val="16"/>
              </w:rPr>
            </w:pPr>
            <w:r w:rsidRPr="00A049D3">
              <w:rPr>
                <w:rFonts w:ascii="Arial Narrow" w:hAnsi="Arial Narrow"/>
                <w:sz w:val="16"/>
                <w:szCs w:val="16"/>
              </w:rPr>
              <w:t>9.</w:t>
            </w:r>
          </w:p>
        </w:tc>
        <w:tc>
          <w:tcPr>
            <w:tcW w:w="2353" w:type="dxa"/>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Gospodarske dejavnosti</w:t>
            </w:r>
          </w:p>
        </w:tc>
        <w:tc>
          <w:tcPr>
            <w:tcW w:w="2163" w:type="dxa"/>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Druge dejavnosti s področja gospodarskih zadev</w:t>
            </w:r>
          </w:p>
        </w:tc>
        <w:tc>
          <w:tcPr>
            <w:tcW w:w="1238" w:type="dxa"/>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61.619.113,38</w:t>
            </w:r>
          </w:p>
        </w:tc>
        <w:tc>
          <w:tcPr>
            <w:tcW w:w="691" w:type="dxa"/>
            <w:tcBorders>
              <w:right w:val="single" w:sz="4" w:space="0" w:color="auto"/>
            </w:tcBorders>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2,9652</w:t>
            </w:r>
          </w:p>
        </w:tc>
        <w:tc>
          <w:tcPr>
            <w:tcW w:w="588" w:type="dxa"/>
            <w:tcBorders>
              <w:left w:val="single" w:sz="4" w:space="0" w:color="auto"/>
            </w:tcBorders>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sz w:val="16"/>
                <w:szCs w:val="16"/>
              </w:rPr>
            </w:pPr>
            <w:r w:rsidRPr="00A049D3">
              <w:rPr>
                <w:rFonts w:ascii="Arial Narrow" w:hAnsi="Arial Narrow"/>
                <w:b/>
                <w:sz w:val="16"/>
                <w:szCs w:val="16"/>
              </w:rPr>
              <w:t>9.</w:t>
            </w:r>
          </w:p>
        </w:tc>
        <w:tc>
          <w:tcPr>
            <w:tcW w:w="2068" w:type="dxa"/>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Socialna varnost</w:t>
            </w:r>
          </w:p>
        </w:tc>
        <w:tc>
          <w:tcPr>
            <w:tcW w:w="2504" w:type="dxa"/>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Zagotavljanje socialne varnosti socialno ogroženih in socialno izključenih kategorij prebivalstva</w:t>
            </w:r>
          </w:p>
        </w:tc>
        <w:tc>
          <w:tcPr>
            <w:tcW w:w="1238" w:type="dxa"/>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93.097.378,15</w:t>
            </w:r>
          </w:p>
        </w:tc>
        <w:tc>
          <w:tcPr>
            <w:tcW w:w="788" w:type="dxa"/>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4,0743</w:t>
            </w:r>
          </w:p>
        </w:tc>
      </w:tr>
      <w:tr w:rsidR="000E50AB" w:rsidRPr="00A049D3" w:rsidTr="00393A4B">
        <w:trPr>
          <w:trHeight w:val="102"/>
        </w:trPr>
        <w:tc>
          <w:tcPr>
            <w:cnfStyle w:val="001000000000" w:firstRow="0" w:lastRow="0" w:firstColumn="1" w:lastColumn="0" w:oddVBand="0" w:evenVBand="0" w:oddHBand="0" w:evenHBand="0" w:firstRowFirstColumn="0" w:firstRowLastColumn="0" w:lastRowFirstColumn="0" w:lastRowLastColumn="0"/>
            <w:tcW w:w="590" w:type="dxa"/>
            <w:noWrap/>
            <w:hideMark/>
          </w:tcPr>
          <w:p w:rsidR="00A049D3" w:rsidRPr="00A049D3" w:rsidRDefault="00A049D3" w:rsidP="00A049D3">
            <w:pPr>
              <w:spacing w:after="0" w:line="240" w:lineRule="auto"/>
              <w:rPr>
                <w:rFonts w:ascii="Arial Narrow" w:hAnsi="Arial Narrow"/>
                <w:sz w:val="16"/>
                <w:szCs w:val="16"/>
              </w:rPr>
            </w:pPr>
            <w:r w:rsidRPr="00A049D3">
              <w:rPr>
                <w:rFonts w:ascii="Arial Narrow" w:hAnsi="Arial Narrow"/>
                <w:sz w:val="16"/>
                <w:szCs w:val="16"/>
              </w:rPr>
              <w:t>10.</w:t>
            </w:r>
          </w:p>
        </w:tc>
        <w:tc>
          <w:tcPr>
            <w:tcW w:w="2353" w:type="dxa"/>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Socialna varnost</w:t>
            </w:r>
          </w:p>
        </w:tc>
        <w:tc>
          <w:tcPr>
            <w:tcW w:w="2163" w:type="dxa"/>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Zagotavljanje socialne varnosti socialno ogroženih in socialno izključenih kategorij prebivalstva</w:t>
            </w:r>
          </w:p>
        </w:tc>
        <w:tc>
          <w:tcPr>
            <w:tcW w:w="1238" w:type="dxa"/>
            <w:noWrap/>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55.340.309,83</w:t>
            </w:r>
          </w:p>
        </w:tc>
        <w:tc>
          <w:tcPr>
            <w:tcW w:w="691" w:type="dxa"/>
            <w:tcBorders>
              <w:right w:val="single" w:sz="4" w:space="0" w:color="auto"/>
            </w:tcBorders>
            <w:noWrap/>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2,6630</w:t>
            </w:r>
          </w:p>
        </w:tc>
        <w:tc>
          <w:tcPr>
            <w:tcW w:w="588" w:type="dxa"/>
            <w:tcBorders>
              <w:left w:val="single" w:sz="4" w:space="0" w:color="auto"/>
            </w:tcBorders>
            <w:noWrap/>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sz w:val="16"/>
                <w:szCs w:val="16"/>
              </w:rPr>
            </w:pPr>
            <w:r w:rsidRPr="00A049D3">
              <w:rPr>
                <w:rFonts w:ascii="Arial Narrow" w:hAnsi="Arial Narrow"/>
                <w:b/>
                <w:sz w:val="16"/>
                <w:szCs w:val="16"/>
              </w:rPr>
              <w:t>10.</w:t>
            </w:r>
          </w:p>
        </w:tc>
        <w:tc>
          <w:tcPr>
            <w:tcW w:w="2068" w:type="dxa"/>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Rekreacija, kultura in dejavnosti neprofitnih organizacij, društev, združenj in drugih institucij</w:t>
            </w:r>
          </w:p>
        </w:tc>
        <w:tc>
          <w:tcPr>
            <w:tcW w:w="2504" w:type="dxa"/>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Dejavnosti na področju športa in rekreacije</w:t>
            </w:r>
          </w:p>
        </w:tc>
        <w:tc>
          <w:tcPr>
            <w:tcW w:w="1238" w:type="dxa"/>
            <w:noWrap/>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78.403.214,88</w:t>
            </w:r>
          </w:p>
        </w:tc>
        <w:tc>
          <w:tcPr>
            <w:tcW w:w="788" w:type="dxa"/>
            <w:noWrap/>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3,4312</w:t>
            </w:r>
          </w:p>
        </w:tc>
      </w:tr>
      <w:tr w:rsidR="000E50AB" w:rsidRPr="00A049D3" w:rsidTr="00393A4B">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590" w:type="dxa"/>
            <w:noWrap/>
            <w:hideMark/>
          </w:tcPr>
          <w:p w:rsidR="00A049D3" w:rsidRPr="00A049D3" w:rsidRDefault="00A049D3" w:rsidP="00A049D3">
            <w:pPr>
              <w:spacing w:after="0" w:line="240" w:lineRule="auto"/>
              <w:rPr>
                <w:rFonts w:ascii="Arial Narrow" w:hAnsi="Arial Narrow"/>
                <w:sz w:val="16"/>
                <w:szCs w:val="16"/>
              </w:rPr>
            </w:pPr>
            <w:r w:rsidRPr="00A049D3">
              <w:rPr>
                <w:rFonts w:ascii="Arial Narrow" w:hAnsi="Arial Narrow"/>
                <w:sz w:val="16"/>
                <w:szCs w:val="16"/>
              </w:rPr>
              <w:t>11.</w:t>
            </w:r>
          </w:p>
        </w:tc>
        <w:tc>
          <w:tcPr>
            <w:tcW w:w="2353" w:type="dxa"/>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Varstvo okolja</w:t>
            </w:r>
          </w:p>
        </w:tc>
        <w:tc>
          <w:tcPr>
            <w:tcW w:w="2163" w:type="dxa"/>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Zbiranje in ravnanje z odpadki</w:t>
            </w:r>
          </w:p>
        </w:tc>
        <w:tc>
          <w:tcPr>
            <w:tcW w:w="1238" w:type="dxa"/>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52.303.559,88</w:t>
            </w:r>
          </w:p>
        </w:tc>
        <w:tc>
          <w:tcPr>
            <w:tcW w:w="691" w:type="dxa"/>
            <w:tcBorders>
              <w:right w:val="single" w:sz="4" w:space="0" w:color="auto"/>
            </w:tcBorders>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2,5169</w:t>
            </w:r>
          </w:p>
        </w:tc>
        <w:tc>
          <w:tcPr>
            <w:tcW w:w="588" w:type="dxa"/>
            <w:tcBorders>
              <w:left w:val="single" w:sz="4" w:space="0" w:color="auto"/>
            </w:tcBorders>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sz w:val="16"/>
                <w:szCs w:val="16"/>
              </w:rPr>
            </w:pPr>
            <w:r w:rsidRPr="00A049D3">
              <w:rPr>
                <w:rFonts w:ascii="Arial Narrow" w:hAnsi="Arial Narrow"/>
                <w:b/>
                <w:sz w:val="16"/>
                <w:szCs w:val="16"/>
              </w:rPr>
              <w:t>11.</w:t>
            </w:r>
          </w:p>
        </w:tc>
        <w:tc>
          <w:tcPr>
            <w:tcW w:w="2068" w:type="dxa"/>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Javna uprava</w:t>
            </w:r>
          </w:p>
        </w:tc>
        <w:tc>
          <w:tcPr>
            <w:tcW w:w="2504" w:type="dxa"/>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Splošne zadeve</w:t>
            </w:r>
          </w:p>
        </w:tc>
        <w:tc>
          <w:tcPr>
            <w:tcW w:w="1238" w:type="dxa"/>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78.149.307,39</w:t>
            </w:r>
          </w:p>
        </w:tc>
        <w:tc>
          <w:tcPr>
            <w:tcW w:w="788" w:type="dxa"/>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3,4201</w:t>
            </w:r>
          </w:p>
        </w:tc>
      </w:tr>
      <w:tr w:rsidR="000E50AB" w:rsidRPr="00A049D3" w:rsidTr="00393A4B">
        <w:trPr>
          <w:trHeight w:val="102"/>
        </w:trPr>
        <w:tc>
          <w:tcPr>
            <w:cnfStyle w:val="001000000000" w:firstRow="0" w:lastRow="0" w:firstColumn="1" w:lastColumn="0" w:oddVBand="0" w:evenVBand="0" w:oddHBand="0" w:evenHBand="0" w:firstRowFirstColumn="0" w:firstRowLastColumn="0" w:lastRowFirstColumn="0" w:lastRowLastColumn="0"/>
            <w:tcW w:w="590" w:type="dxa"/>
            <w:noWrap/>
            <w:hideMark/>
          </w:tcPr>
          <w:p w:rsidR="00A049D3" w:rsidRPr="00A049D3" w:rsidRDefault="00A049D3" w:rsidP="00A049D3">
            <w:pPr>
              <w:spacing w:after="0" w:line="240" w:lineRule="auto"/>
              <w:rPr>
                <w:rFonts w:ascii="Arial Narrow" w:hAnsi="Arial Narrow"/>
                <w:sz w:val="16"/>
                <w:szCs w:val="16"/>
              </w:rPr>
            </w:pPr>
            <w:r w:rsidRPr="00A049D3">
              <w:rPr>
                <w:rFonts w:ascii="Arial Narrow" w:hAnsi="Arial Narrow"/>
                <w:sz w:val="16"/>
                <w:szCs w:val="16"/>
              </w:rPr>
              <w:t>12.</w:t>
            </w:r>
          </w:p>
        </w:tc>
        <w:tc>
          <w:tcPr>
            <w:tcW w:w="2353" w:type="dxa"/>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Stanovanjska dejavnost in prostorski razvoj</w:t>
            </w:r>
          </w:p>
        </w:tc>
        <w:tc>
          <w:tcPr>
            <w:tcW w:w="2163" w:type="dxa"/>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Stanovanjska dejavnost</w:t>
            </w:r>
          </w:p>
        </w:tc>
        <w:tc>
          <w:tcPr>
            <w:tcW w:w="1238" w:type="dxa"/>
            <w:noWrap/>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47.095.416,48</w:t>
            </w:r>
          </w:p>
        </w:tc>
        <w:tc>
          <w:tcPr>
            <w:tcW w:w="691" w:type="dxa"/>
            <w:tcBorders>
              <w:right w:val="single" w:sz="4" w:space="0" w:color="auto"/>
            </w:tcBorders>
            <w:noWrap/>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2,2663</w:t>
            </w:r>
          </w:p>
        </w:tc>
        <w:tc>
          <w:tcPr>
            <w:tcW w:w="588" w:type="dxa"/>
            <w:tcBorders>
              <w:left w:val="single" w:sz="4" w:space="0" w:color="auto"/>
            </w:tcBorders>
            <w:noWrap/>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sz w:val="16"/>
                <w:szCs w:val="16"/>
              </w:rPr>
            </w:pPr>
            <w:r w:rsidRPr="00A049D3">
              <w:rPr>
                <w:rFonts w:ascii="Arial Narrow" w:hAnsi="Arial Narrow"/>
                <w:b/>
                <w:sz w:val="16"/>
                <w:szCs w:val="16"/>
              </w:rPr>
              <w:t>12.</w:t>
            </w:r>
          </w:p>
        </w:tc>
        <w:tc>
          <w:tcPr>
            <w:tcW w:w="2068" w:type="dxa"/>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Gospodarske dejavnosti</w:t>
            </w:r>
          </w:p>
        </w:tc>
        <w:tc>
          <w:tcPr>
            <w:tcW w:w="2504" w:type="dxa"/>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Druge dejavnosti s področja gospodarskih zadev</w:t>
            </w:r>
          </w:p>
        </w:tc>
        <w:tc>
          <w:tcPr>
            <w:tcW w:w="1238" w:type="dxa"/>
            <w:noWrap/>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52.730.893,85</w:t>
            </w:r>
          </w:p>
        </w:tc>
        <w:tc>
          <w:tcPr>
            <w:tcW w:w="788" w:type="dxa"/>
            <w:noWrap/>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2,3077</w:t>
            </w:r>
          </w:p>
        </w:tc>
      </w:tr>
      <w:tr w:rsidR="000E50AB" w:rsidRPr="00A049D3" w:rsidTr="00393A4B">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590" w:type="dxa"/>
            <w:noWrap/>
            <w:hideMark/>
          </w:tcPr>
          <w:p w:rsidR="00A049D3" w:rsidRPr="00A049D3" w:rsidRDefault="00A049D3" w:rsidP="00A049D3">
            <w:pPr>
              <w:spacing w:after="0" w:line="240" w:lineRule="auto"/>
              <w:rPr>
                <w:rFonts w:ascii="Arial Narrow" w:hAnsi="Arial Narrow"/>
                <w:sz w:val="16"/>
                <w:szCs w:val="16"/>
              </w:rPr>
            </w:pPr>
            <w:r w:rsidRPr="00A049D3">
              <w:rPr>
                <w:rFonts w:ascii="Arial Narrow" w:hAnsi="Arial Narrow"/>
                <w:sz w:val="16"/>
                <w:szCs w:val="16"/>
              </w:rPr>
              <w:t>13.</w:t>
            </w:r>
          </w:p>
        </w:tc>
        <w:tc>
          <w:tcPr>
            <w:tcW w:w="2353" w:type="dxa"/>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Javni red in varnost</w:t>
            </w:r>
          </w:p>
        </w:tc>
        <w:tc>
          <w:tcPr>
            <w:tcW w:w="2163" w:type="dxa"/>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Protipožarna varnost</w:t>
            </w:r>
          </w:p>
        </w:tc>
        <w:tc>
          <w:tcPr>
            <w:tcW w:w="1238" w:type="dxa"/>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40.508.011,22</w:t>
            </w:r>
          </w:p>
        </w:tc>
        <w:tc>
          <w:tcPr>
            <w:tcW w:w="691" w:type="dxa"/>
            <w:tcBorders>
              <w:right w:val="single" w:sz="4" w:space="0" w:color="auto"/>
            </w:tcBorders>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1,9493</w:t>
            </w:r>
          </w:p>
        </w:tc>
        <w:tc>
          <w:tcPr>
            <w:tcW w:w="588" w:type="dxa"/>
            <w:tcBorders>
              <w:left w:val="single" w:sz="4" w:space="0" w:color="auto"/>
            </w:tcBorders>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sz w:val="16"/>
                <w:szCs w:val="16"/>
              </w:rPr>
            </w:pPr>
            <w:r w:rsidRPr="00A049D3">
              <w:rPr>
                <w:rFonts w:ascii="Arial Narrow" w:hAnsi="Arial Narrow"/>
                <w:b/>
                <w:sz w:val="16"/>
                <w:szCs w:val="16"/>
              </w:rPr>
              <w:t>13.</w:t>
            </w:r>
          </w:p>
        </w:tc>
        <w:tc>
          <w:tcPr>
            <w:tcW w:w="2068" w:type="dxa"/>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Izobraževanje</w:t>
            </w:r>
          </w:p>
        </w:tc>
        <w:tc>
          <w:tcPr>
            <w:tcW w:w="2504" w:type="dxa"/>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Podporne storitve pri izobraževanju</w:t>
            </w:r>
          </w:p>
        </w:tc>
        <w:tc>
          <w:tcPr>
            <w:tcW w:w="1238" w:type="dxa"/>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48.690.781,15</w:t>
            </w:r>
          </w:p>
        </w:tc>
        <w:tc>
          <w:tcPr>
            <w:tcW w:w="788" w:type="dxa"/>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2,1309</w:t>
            </w:r>
          </w:p>
        </w:tc>
      </w:tr>
      <w:tr w:rsidR="000E50AB" w:rsidRPr="00A049D3" w:rsidTr="00393A4B">
        <w:trPr>
          <w:trHeight w:val="102"/>
        </w:trPr>
        <w:tc>
          <w:tcPr>
            <w:cnfStyle w:val="001000000000" w:firstRow="0" w:lastRow="0" w:firstColumn="1" w:lastColumn="0" w:oddVBand="0" w:evenVBand="0" w:oddHBand="0" w:evenHBand="0" w:firstRowFirstColumn="0" w:firstRowLastColumn="0" w:lastRowFirstColumn="0" w:lastRowLastColumn="0"/>
            <w:tcW w:w="590" w:type="dxa"/>
            <w:noWrap/>
            <w:hideMark/>
          </w:tcPr>
          <w:p w:rsidR="00A049D3" w:rsidRPr="00A049D3" w:rsidRDefault="00A049D3" w:rsidP="00A049D3">
            <w:pPr>
              <w:spacing w:after="0" w:line="240" w:lineRule="auto"/>
              <w:rPr>
                <w:rFonts w:ascii="Arial Narrow" w:hAnsi="Arial Narrow"/>
                <w:sz w:val="16"/>
                <w:szCs w:val="16"/>
              </w:rPr>
            </w:pPr>
            <w:r w:rsidRPr="00A049D3">
              <w:rPr>
                <w:rFonts w:ascii="Arial Narrow" w:hAnsi="Arial Narrow"/>
                <w:sz w:val="16"/>
                <w:szCs w:val="16"/>
              </w:rPr>
              <w:t>14.</w:t>
            </w:r>
          </w:p>
        </w:tc>
        <w:tc>
          <w:tcPr>
            <w:tcW w:w="2353" w:type="dxa"/>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Izobraževanje</w:t>
            </w:r>
          </w:p>
        </w:tc>
        <w:tc>
          <w:tcPr>
            <w:tcW w:w="2163" w:type="dxa"/>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Podporne storitve pri izobraževanju</w:t>
            </w:r>
          </w:p>
        </w:tc>
        <w:tc>
          <w:tcPr>
            <w:tcW w:w="1238" w:type="dxa"/>
            <w:noWrap/>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37.519.150,64</w:t>
            </w:r>
          </w:p>
        </w:tc>
        <w:tc>
          <w:tcPr>
            <w:tcW w:w="691" w:type="dxa"/>
            <w:tcBorders>
              <w:right w:val="single" w:sz="4" w:space="0" w:color="auto"/>
            </w:tcBorders>
            <w:noWrap/>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1,8055</w:t>
            </w:r>
          </w:p>
        </w:tc>
        <w:tc>
          <w:tcPr>
            <w:tcW w:w="588" w:type="dxa"/>
            <w:tcBorders>
              <w:left w:val="single" w:sz="4" w:space="0" w:color="auto"/>
            </w:tcBorders>
            <w:noWrap/>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sz w:val="16"/>
                <w:szCs w:val="16"/>
              </w:rPr>
            </w:pPr>
            <w:r w:rsidRPr="00A049D3">
              <w:rPr>
                <w:rFonts w:ascii="Arial Narrow" w:hAnsi="Arial Narrow"/>
                <w:b/>
                <w:sz w:val="16"/>
                <w:szCs w:val="16"/>
              </w:rPr>
              <w:t>14.</w:t>
            </w:r>
          </w:p>
        </w:tc>
        <w:tc>
          <w:tcPr>
            <w:tcW w:w="2068" w:type="dxa"/>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Javni red in varnost</w:t>
            </w:r>
          </w:p>
        </w:tc>
        <w:tc>
          <w:tcPr>
            <w:tcW w:w="2504" w:type="dxa"/>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Protipožarna varnost</w:t>
            </w:r>
          </w:p>
        </w:tc>
        <w:tc>
          <w:tcPr>
            <w:tcW w:w="1238" w:type="dxa"/>
            <w:noWrap/>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44.382.387,75</w:t>
            </w:r>
          </w:p>
        </w:tc>
        <w:tc>
          <w:tcPr>
            <w:tcW w:w="788" w:type="dxa"/>
            <w:noWrap/>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1,9423</w:t>
            </w:r>
          </w:p>
        </w:tc>
      </w:tr>
      <w:tr w:rsidR="000E50AB" w:rsidRPr="00A049D3" w:rsidTr="00393A4B">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590" w:type="dxa"/>
            <w:noWrap/>
            <w:hideMark/>
          </w:tcPr>
          <w:p w:rsidR="00A049D3" w:rsidRPr="00A049D3" w:rsidRDefault="00A049D3" w:rsidP="00A049D3">
            <w:pPr>
              <w:spacing w:after="0" w:line="240" w:lineRule="auto"/>
              <w:rPr>
                <w:rFonts w:ascii="Arial Narrow" w:hAnsi="Arial Narrow"/>
                <w:sz w:val="16"/>
                <w:szCs w:val="16"/>
              </w:rPr>
            </w:pPr>
            <w:r w:rsidRPr="00A049D3">
              <w:rPr>
                <w:rFonts w:ascii="Arial Narrow" w:hAnsi="Arial Narrow"/>
                <w:sz w:val="16"/>
                <w:szCs w:val="16"/>
              </w:rPr>
              <w:t>15.</w:t>
            </w:r>
          </w:p>
        </w:tc>
        <w:tc>
          <w:tcPr>
            <w:tcW w:w="2353" w:type="dxa"/>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Stanovanjska dejavnost in prostorski razvoj</w:t>
            </w:r>
          </w:p>
        </w:tc>
        <w:tc>
          <w:tcPr>
            <w:tcW w:w="2163" w:type="dxa"/>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Cestna razsvetljava</w:t>
            </w:r>
          </w:p>
        </w:tc>
        <w:tc>
          <w:tcPr>
            <w:tcW w:w="1238" w:type="dxa"/>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36.002.340,79</w:t>
            </w:r>
          </w:p>
        </w:tc>
        <w:tc>
          <w:tcPr>
            <w:tcW w:w="691" w:type="dxa"/>
            <w:tcBorders>
              <w:right w:val="single" w:sz="4" w:space="0" w:color="auto"/>
            </w:tcBorders>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1,7325</w:t>
            </w:r>
          </w:p>
        </w:tc>
        <w:tc>
          <w:tcPr>
            <w:tcW w:w="588" w:type="dxa"/>
            <w:tcBorders>
              <w:left w:val="single" w:sz="4" w:space="0" w:color="auto"/>
            </w:tcBorders>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sz w:val="16"/>
                <w:szCs w:val="16"/>
              </w:rPr>
            </w:pPr>
            <w:r w:rsidRPr="00A049D3">
              <w:rPr>
                <w:rFonts w:ascii="Arial Narrow" w:hAnsi="Arial Narrow"/>
                <w:b/>
                <w:sz w:val="16"/>
                <w:szCs w:val="16"/>
              </w:rPr>
              <w:t>15.</w:t>
            </w:r>
          </w:p>
        </w:tc>
        <w:tc>
          <w:tcPr>
            <w:tcW w:w="2068" w:type="dxa"/>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Stanovanjska dejavnost in prostorski razvoj</w:t>
            </w:r>
          </w:p>
        </w:tc>
        <w:tc>
          <w:tcPr>
            <w:tcW w:w="2504" w:type="dxa"/>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Cestna razsvetljava</w:t>
            </w:r>
          </w:p>
        </w:tc>
        <w:tc>
          <w:tcPr>
            <w:tcW w:w="1238" w:type="dxa"/>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35.852.243,67</w:t>
            </w:r>
          </w:p>
        </w:tc>
        <w:tc>
          <w:tcPr>
            <w:tcW w:w="788" w:type="dxa"/>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1,5690</w:t>
            </w:r>
          </w:p>
        </w:tc>
      </w:tr>
      <w:tr w:rsidR="000E50AB" w:rsidRPr="00A049D3" w:rsidTr="00393A4B">
        <w:trPr>
          <w:trHeight w:val="102"/>
        </w:trPr>
        <w:tc>
          <w:tcPr>
            <w:cnfStyle w:val="001000000000" w:firstRow="0" w:lastRow="0" w:firstColumn="1" w:lastColumn="0" w:oddVBand="0" w:evenVBand="0" w:oddHBand="0" w:evenHBand="0" w:firstRowFirstColumn="0" w:firstRowLastColumn="0" w:lastRowFirstColumn="0" w:lastRowLastColumn="0"/>
            <w:tcW w:w="590" w:type="dxa"/>
            <w:noWrap/>
            <w:hideMark/>
          </w:tcPr>
          <w:p w:rsidR="00A049D3" w:rsidRPr="00A049D3" w:rsidRDefault="00A049D3" w:rsidP="00A049D3">
            <w:pPr>
              <w:spacing w:after="0" w:line="240" w:lineRule="auto"/>
              <w:rPr>
                <w:rFonts w:ascii="Arial Narrow" w:hAnsi="Arial Narrow"/>
                <w:sz w:val="16"/>
                <w:szCs w:val="16"/>
              </w:rPr>
            </w:pPr>
            <w:r w:rsidRPr="00A049D3">
              <w:rPr>
                <w:rFonts w:ascii="Arial Narrow" w:hAnsi="Arial Narrow"/>
                <w:sz w:val="16"/>
                <w:szCs w:val="16"/>
              </w:rPr>
              <w:t>16.</w:t>
            </w:r>
          </w:p>
        </w:tc>
        <w:tc>
          <w:tcPr>
            <w:tcW w:w="2353" w:type="dxa"/>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Gospodarske dejavnosti</w:t>
            </w:r>
          </w:p>
        </w:tc>
        <w:tc>
          <w:tcPr>
            <w:tcW w:w="2163" w:type="dxa"/>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Dejavnosti s področja splošnih gospodarskih zadev ter zadev, povezanih z delom</w:t>
            </w:r>
          </w:p>
        </w:tc>
        <w:tc>
          <w:tcPr>
            <w:tcW w:w="1238" w:type="dxa"/>
            <w:noWrap/>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33.308.070,25</w:t>
            </w:r>
          </w:p>
        </w:tc>
        <w:tc>
          <w:tcPr>
            <w:tcW w:w="691" w:type="dxa"/>
            <w:tcBorders>
              <w:right w:val="single" w:sz="4" w:space="0" w:color="auto"/>
            </w:tcBorders>
            <w:noWrap/>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1,6028</w:t>
            </w:r>
          </w:p>
        </w:tc>
        <w:tc>
          <w:tcPr>
            <w:tcW w:w="588" w:type="dxa"/>
            <w:tcBorders>
              <w:left w:val="single" w:sz="4" w:space="0" w:color="auto"/>
            </w:tcBorders>
            <w:noWrap/>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sz w:val="16"/>
                <w:szCs w:val="16"/>
              </w:rPr>
            </w:pPr>
            <w:r w:rsidRPr="00A049D3">
              <w:rPr>
                <w:rFonts w:ascii="Arial Narrow" w:hAnsi="Arial Narrow"/>
                <w:b/>
                <w:sz w:val="16"/>
                <w:szCs w:val="16"/>
              </w:rPr>
              <w:t>16.</w:t>
            </w:r>
          </w:p>
        </w:tc>
        <w:tc>
          <w:tcPr>
            <w:tcW w:w="2068" w:type="dxa"/>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Gospodarske dejavnosti</w:t>
            </w:r>
          </w:p>
        </w:tc>
        <w:tc>
          <w:tcPr>
            <w:tcW w:w="2504" w:type="dxa"/>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Druge gospodarske dejavnosti oz. turizem</w:t>
            </w:r>
          </w:p>
        </w:tc>
        <w:tc>
          <w:tcPr>
            <w:tcW w:w="1238" w:type="dxa"/>
            <w:noWrap/>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28.822.937,00</w:t>
            </w:r>
          </w:p>
        </w:tc>
        <w:tc>
          <w:tcPr>
            <w:tcW w:w="788" w:type="dxa"/>
            <w:noWrap/>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1,2614</w:t>
            </w:r>
          </w:p>
        </w:tc>
      </w:tr>
      <w:tr w:rsidR="000E50AB" w:rsidRPr="00A049D3" w:rsidTr="00393A4B">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590" w:type="dxa"/>
            <w:noWrap/>
            <w:hideMark/>
          </w:tcPr>
          <w:p w:rsidR="00A049D3" w:rsidRPr="00A049D3" w:rsidRDefault="00A049D3" w:rsidP="00A049D3">
            <w:pPr>
              <w:spacing w:after="0" w:line="240" w:lineRule="auto"/>
              <w:rPr>
                <w:rFonts w:ascii="Arial Narrow" w:hAnsi="Arial Narrow"/>
                <w:sz w:val="16"/>
                <w:szCs w:val="16"/>
              </w:rPr>
            </w:pPr>
            <w:r w:rsidRPr="00A049D3">
              <w:rPr>
                <w:rFonts w:ascii="Arial Narrow" w:hAnsi="Arial Narrow"/>
                <w:sz w:val="16"/>
                <w:szCs w:val="16"/>
              </w:rPr>
              <w:t>17.</w:t>
            </w:r>
          </w:p>
        </w:tc>
        <w:tc>
          <w:tcPr>
            <w:tcW w:w="2353" w:type="dxa"/>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Javna uprava</w:t>
            </w:r>
          </w:p>
        </w:tc>
        <w:tc>
          <w:tcPr>
            <w:tcW w:w="2163" w:type="dxa"/>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Servisiranje javnega dolga</w:t>
            </w:r>
          </w:p>
        </w:tc>
        <w:tc>
          <w:tcPr>
            <w:tcW w:w="1238" w:type="dxa"/>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30.925.655,42</w:t>
            </w:r>
          </w:p>
        </w:tc>
        <w:tc>
          <w:tcPr>
            <w:tcW w:w="691" w:type="dxa"/>
            <w:tcBorders>
              <w:right w:val="single" w:sz="4" w:space="0" w:color="auto"/>
            </w:tcBorders>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1,4882</w:t>
            </w:r>
          </w:p>
        </w:tc>
        <w:tc>
          <w:tcPr>
            <w:tcW w:w="588" w:type="dxa"/>
            <w:tcBorders>
              <w:left w:val="single" w:sz="4" w:space="0" w:color="auto"/>
            </w:tcBorders>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sz w:val="16"/>
                <w:szCs w:val="16"/>
              </w:rPr>
            </w:pPr>
            <w:r w:rsidRPr="00A049D3">
              <w:rPr>
                <w:rFonts w:ascii="Arial Narrow" w:hAnsi="Arial Narrow"/>
                <w:b/>
                <w:sz w:val="16"/>
                <w:szCs w:val="16"/>
              </w:rPr>
              <w:t>17.</w:t>
            </w:r>
          </w:p>
        </w:tc>
        <w:tc>
          <w:tcPr>
            <w:tcW w:w="2068" w:type="dxa"/>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Gospodarske dejavnosti</w:t>
            </w:r>
          </w:p>
        </w:tc>
        <w:tc>
          <w:tcPr>
            <w:tcW w:w="2504" w:type="dxa"/>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 xml:space="preserve">Dejavnosti s področja splošnih gospodarskih zadev ter zadev, </w:t>
            </w:r>
            <w:r w:rsidRPr="00A049D3">
              <w:rPr>
                <w:rFonts w:ascii="Arial Narrow" w:hAnsi="Arial Narrow"/>
                <w:sz w:val="16"/>
                <w:szCs w:val="16"/>
              </w:rPr>
              <w:lastRenderedPageBreak/>
              <w:t>povezanih z delom</w:t>
            </w:r>
          </w:p>
        </w:tc>
        <w:tc>
          <w:tcPr>
            <w:tcW w:w="1238" w:type="dxa"/>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lastRenderedPageBreak/>
              <w:t>28.529.705,16</w:t>
            </w:r>
          </w:p>
        </w:tc>
        <w:tc>
          <w:tcPr>
            <w:tcW w:w="788" w:type="dxa"/>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1,2486</w:t>
            </w:r>
          </w:p>
        </w:tc>
      </w:tr>
      <w:tr w:rsidR="000E50AB" w:rsidRPr="00A049D3" w:rsidTr="005026D5">
        <w:trPr>
          <w:trHeight w:val="102"/>
        </w:trPr>
        <w:tc>
          <w:tcPr>
            <w:cnfStyle w:val="001000000000" w:firstRow="0" w:lastRow="0" w:firstColumn="1" w:lastColumn="0" w:oddVBand="0" w:evenVBand="0" w:oddHBand="0" w:evenHBand="0" w:firstRowFirstColumn="0" w:firstRowLastColumn="0" w:lastRowFirstColumn="0" w:lastRowLastColumn="0"/>
            <w:tcW w:w="590" w:type="dxa"/>
            <w:noWrap/>
            <w:hideMark/>
          </w:tcPr>
          <w:p w:rsidR="00A049D3" w:rsidRPr="00A049D3" w:rsidRDefault="00A049D3" w:rsidP="00A049D3">
            <w:pPr>
              <w:spacing w:after="0" w:line="240" w:lineRule="auto"/>
              <w:rPr>
                <w:rFonts w:ascii="Arial Narrow" w:hAnsi="Arial Narrow"/>
                <w:sz w:val="16"/>
                <w:szCs w:val="16"/>
              </w:rPr>
            </w:pPr>
            <w:r w:rsidRPr="00A049D3">
              <w:rPr>
                <w:rFonts w:ascii="Arial Narrow" w:hAnsi="Arial Narrow"/>
                <w:sz w:val="16"/>
                <w:szCs w:val="16"/>
              </w:rPr>
              <w:lastRenderedPageBreak/>
              <w:t>18.</w:t>
            </w:r>
          </w:p>
        </w:tc>
        <w:tc>
          <w:tcPr>
            <w:tcW w:w="2353" w:type="dxa"/>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Gospodarske dejavnosti</w:t>
            </w:r>
          </w:p>
        </w:tc>
        <w:tc>
          <w:tcPr>
            <w:tcW w:w="2163" w:type="dxa"/>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Druge gospodarske dejavnosti</w:t>
            </w:r>
          </w:p>
        </w:tc>
        <w:tc>
          <w:tcPr>
            <w:tcW w:w="1238" w:type="dxa"/>
            <w:noWrap/>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26.543.282,32</w:t>
            </w:r>
          </w:p>
        </w:tc>
        <w:tc>
          <w:tcPr>
            <w:tcW w:w="691" w:type="dxa"/>
            <w:tcBorders>
              <w:right w:val="single" w:sz="4" w:space="0" w:color="auto"/>
            </w:tcBorders>
            <w:noWrap/>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1,2773</w:t>
            </w:r>
          </w:p>
        </w:tc>
        <w:tc>
          <w:tcPr>
            <w:tcW w:w="588" w:type="dxa"/>
            <w:tcBorders>
              <w:left w:val="single" w:sz="4" w:space="0" w:color="auto"/>
            </w:tcBorders>
            <w:noWrap/>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sz w:val="16"/>
                <w:szCs w:val="16"/>
              </w:rPr>
            </w:pPr>
            <w:r w:rsidRPr="00A049D3">
              <w:rPr>
                <w:rFonts w:ascii="Arial Narrow" w:hAnsi="Arial Narrow"/>
                <w:b/>
                <w:sz w:val="16"/>
                <w:szCs w:val="16"/>
              </w:rPr>
              <w:t>18.</w:t>
            </w:r>
          </w:p>
        </w:tc>
        <w:tc>
          <w:tcPr>
            <w:tcW w:w="2068" w:type="dxa"/>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Stanovanjska dejavnost in prostorski razvoj</w:t>
            </w:r>
          </w:p>
        </w:tc>
        <w:tc>
          <w:tcPr>
            <w:tcW w:w="2504" w:type="dxa"/>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Stanovanjska dejavnost</w:t>
            </w:r>
          </w:p>
        </w:tc>
        <w:tc>
          <w:tcPr>
            <w:tcW w:w="1238" w:type="dxa"/>
            <w:noWrap/>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26.838.514,95</w:t>
            </w:r>
          </w:p>
        </w:tc>
        <w:tc>
          <w:tcPr>
            <w:tcW w:w="788" w:type="dxa"/>
            <w:noWrap/>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1,1745</w:t>
            </w:r>
          </w:p>
        </w:tc>
      </w:tr>
      <w:tr w:rsidR="000E50AB" w:rsidRPr="00A049D3" w:rsidTr="005026D5">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590" w:type="dxa"/>
            <w:noWrap/>
            <w:hideMark/>
          </w:tcPr>
          <w:p w:rsidR="00A049D3" w:rsidRPr="00A049D3" w:rsidRDefault="00A049D3" w:rsidP="00A049D3">
            <w:pPr>
              <w:spacing w:after="0" w:line="240" w:lineRule="auto"/>
              <w:rPr>
                <w:rFonts w:ascii="Arial Narrow" w:hAnsi="Arial Narrow"/>
                <w:sz w:val="16"/>
                <w:szCs w:val="16"/>
              </w:rPr>
            </w:pPr>
            <w:r w:rsidRPr="00A049D3">
              <w:rPr>
                <w:rFonts w:ascii="Arial Narrow" w:hAnsi="Arial Narrow"/>
                <w:sz w:val="16"/>
                <w:szCs w:val="16"/>
              </w:rPr>
              <w:t>19.</w:t>
            </w:r>
          </w:p>
        </w:tc>
        <w:tc>
          <w:tcPr>
            <w:tcW w:w="2353" w:type="dxa"/>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Zdravstvo</w:t>
            </w:r>
          </w:p>
        </w:tc>
        <w:tc>
          <w:tcPr>
            <w:tcW w:w="2163" w:type="dxa"/>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proofErr w:type="spellStart"/>
            <w:r w:rsidRPr="00A049D3">
              <w:rPr>
                <w:rFonts w:ascii="Arial Narrow" w:hAnsi="Arial Narrow"/>
                <w:sz w:val="16"/>
                <w:szCs w:val="16"/>
              </w:rPr>
              <w:t>Izvenbolnišnične</w:t>
            </w:r>
            <w:proofErr w:type="spellEnd"/>
            <w:r w:rsidRPr="00A049D3">
              <w:rPr>
                <w:rFonts w:ascii="Arial Narrow" w:hAnsi="Arial Narrow"/>
                <w:sz w:val="16"/>
                <w:szCs w:val="16"/>
              </w:rPr>
              <w:t xml:space="preserve"> zdravstvene storitve</w:t>
            </w:r>
          </w:p>
        </w:tc>
        <w:tc>
          <w:tcPr>
            <w:tcW w:w="1238" w:type="dxa"/>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24.582.725,08</w:t>
            </w:r>
          </w:p>
        </w:tc>
        <w:tc>
          <w:tcPr>
            <w:tcW w:w="691" w:type="dxa"/>
            <w:tcBorders>
              <w:right w:val="single" w:sz="4" w:space="0" w:color="auto"/>
            </w:tcBorders>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1,1829</w:t>
            </w:r>
          </w:p>
        </w:tc>
        <w:tc>
          <w:tcPr>
            <w:tcW w:w="588" w:type="dxa"/>
            <w:tcBorders>
              <w:left w:val="single" w:sz="4" w:space="0" w:color="auto"/>
            </w:tcBorders>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sz w:val="16"/>
                <w:szCs w:val="16"/>
              </w:rPr>
            </w:pPr>
            <w:r w:rsidRPr="00A049D3">
              <w:rPr>
                <w:rFonts w:ascii="Arial Narrow" w:hAnsi="Arial Narrow"/>
                <w:b/>
                <w:sz w:val="16"/>
                <w:szCs w:val="16"/>
              </w:rPr>
              <w:t>19.</w:t>
            </w:r>
          </w:p>
        </w:tc>
        <w:tc>
          <w:tcPr>
            <w:tcW w:w="2068" w:type="dxa"/>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Gospodarske dejavnosti</w:t>
            </w:r>
          </w:p>
        </w:tc>
        <w:tc>
          <w:tcPr>
            <w:tcW w:w="2504" w:type="dxa"/>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Kmetijstvo, gozdarstvo, ribištvo in lov</w:t>
            </w:r>
          </w:p>
        </w:tc>
        <w:tc>
          <w:tcPr>
            <w:tcW w:w="1238" w:type="dxa"/>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21.929.267,86</w:t>
            </w:r>
          </w:p>
        </w:tc>
        <w:tc>
          <w:tcPr>
            <w:tcW w:w="788" w:type="dxa"/>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0,9597</w:t>
            </w:r>
          </w:p>
        </w:tc>
      </w:tr>
      <w:tr w:rsidR="000E50AB" w:rsidRPr="00A049D3" w:rsidTr="005026D5">
        <w:trPr>
          <w:trHeight w:val="102"/>
        </w:trPr>
        <w:tc>
          <w:tcPr>
            <w:cnfStyle w:val="001000000000" w:firstRow="0" w:lastRow="0" w:firstColumn="1" w:lastColumn="0" w:oddVBand="0" w:evenVBand="0" w:oddHBand="0" w:evenHBand="0" w:firstRowFirstColumn="0" w:firstRowLastColumn="0" w:lastRowFirstColumn="0" w:lastRowLastColumn="0"/>
            <w:tcW w:w="590" w:type="dxa"/>
            <w:noWrap/>
            <w:hideMark/>
          </w:tcPr>
          <w:p w:rsidR="00A049D3" w:rsidRPr="00A049D3" w:rsidRDefault="00A049D3" w:rsidP="00A049D3">
            <w:pPr>
              <w:spacing w:after="0" w:line="240" w:lineRule="auto"/>
              <w:rPr>
                <w:rFonts w:ascii="Arial Narrow" w:hAnsi="Arial Narrow"/>
                <w:sz w:val="16"/>
                <w:szCs w:val="16"/>
              </w:rPr>
            </w:pPr>
            <w:r w:rsidRPr="00A049D3">
              <w:rPr>
                <w:rFonts w:ascii="Arial Narrow" w:hAnsi="Arial Narrow"/>
                <w:sz w:val="16"/>
                <w:szCs w:val="16"/>
              </w:rPr>
              <w:t>20.</w:t>
            </w:r>
          </w:p>
        </w:tc>
        <w:tc>
          <w:tcPr>
            <w:tcW w:w="2353" w:type="dxa"/>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Stanovanjska dejavnost in prostorski razvoj</w:t>
            </w:r>
          </w:p>
        </w:tc>
        <w:tc>
          <w:tcPr>
            <w:tcW w:w="2163" w:type="dxa"/>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Dejavnosti na področju prostorskega načrtovanja in razvoja</w:t>
            </w:r>
          </w:p>
        </w:tc>
        <w:tc>
          <w:tcPr>
            <w:tcW w:w="1238" w:type="dxa"/>
            <w:noWrap/>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24.448.557,98</w:t>
            </w:r>
          </w:p>
        </w:tc>
        <w:tc>
          <w:tcPr>
            <w:tcW w:w="691" w:type="dxa"/>
            <w:tcBorders>
              <w:right w:val="single" w:sz="4" w:space="0" w:color="auto"/>
            </w:tcBorders>
            <w:noWrap/>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1,1765</w:t>
            </w:r>
          </w:p>
        </w:tc>
        <w:tc>
          <w:tcPr>
            <w:tcW w:w="588" w:type="dxa"/>
            <w:tcBorders>
              <w:left w:val="single" w:sz="4" w:space="0" w:color="auto"/>
            </w:tcBorders>
            <w:noWrap/>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sz w:val="16"/>
                <w:szCs w:val="16"/>
              </w:rPr>
            </w:pPr>
            <w:r w:rsidRPr="00A049D3">
              <w:rPr>
                <w:rFonts w:ascii="Arial Narrow" w:hAnsi="Arial Narrow"/>
                <w:b/>
                <w:sz w:val="16"/>
                <w:szCs w:val="16"/>
              </w:rPr>
              <w:t>20.</w:t>
            </w:r>
          </w:p>
        </w:tc>
        <w:tc>
          <w:tcPr>
            <w:tcW w:w="2068" w:type="dxa"/>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Socialna varnost</w:t>
            </w:r>
          </w:p>
        </w:tc>
        <w:tc>
          <w:tcPr>
            <w:tcW w:w="2504" w:type="dxa"/>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Druge dejavnosti na področju socialnega varstva</w:t>
            </w:r>
          </w:p>
        </w:tc>
        <w:tc>
          <w:tcPr>
            <w:tcW w:w="1238" w:type="dxa"/>
            <w:noWrap/>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21.305.412,16</w:t>
            </w:r>
          </w:p>
        </w:tc>
        <w:tc>
          <w:tcPr>
            <w:tcW w:w="788" w:type="dxa"/>
            <w:noWrap/>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0,9324</w:t>
            </w:r>
          </w:p>
        </w:tc>
      </w:tr>
      <w:tr w:rsidR="000E50AB" w:rsidRPr="00A049D3" w:rsidTr="005026D5">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590" w:type="dxa"/>
            <w:noWrap/>
            <w:hideMark/>
          </w:tcPr>
          <w:p w:rsidR="00A049D3" w:rsidRPr="00A049D3" w:rsidRDefault="00A049D3" w:rsidP="00A049D3">
            <w:pPr>
              <w:spacing w:after="0" w:line="240" w:lineRule="auto"/>
              <w:rPr>
                <w:rFonts w:ascii="Arial Narrow" w:hAnsi="Arial Narrow"/>
                <w:sz w:val="16"/>
                <w:szCs w:val="16"/>
              </w:rPr>
            </w:pPr>
            <w:r w:rsidRPr="00A049D3">
              <w:rPr>
                <w:rFonts w:ascii="Arial Narrow" w:hAnsi="Arial Narrow"/>
                <w:sz w:val="16"/>
                <w:szCs w:val="16"/>
              </w:rPr>
              <w:t>21.</w:t>
            </w:r>
          </w:p>
        </w:tc>
        <w:tc>
          <w:tcPr>
            <w:tcW w:w="2353" w:type="dxa"/>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Socialna varnost</w:t>
            </w:r>
          </w:p>
        </w:tc>
        <w:tc>
          <w:tcPr>
            <w:tcW w:w="2163" w:type="dxa"/>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Druge dejavnosti na področju socialnega varstva</w:t>
            </w:r>
          </w:p>
        </w:tc>
        <w:tc>
          <w:tcPr>
            <w:tcW w:w="1238" w:type="dxa"/>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17.909.518,95</w:t>
            </w:r>
          </w:p>
        </w:tc>
        <w:tc>
          <w:tcPr>
            <w:tcW w:w="691" w:type="dxa"/>
            <w:tcBorders>
              <w:right w:val="single" w:sz="4" w:space="0" w:color="auto"/>
            </w:tcBorders>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0,8618</w:t>
            </w:r>
          </w:p>
        </w:tc>
        <w:tc>
          <w:tcPr>
            <w:tcW w:w="588" w:type="dxa"/>
            <w:tcBorders>
              <w:left w:val="single" w:sz="4" w:space="0" w:color="auto"/>
            </w:tcBorders>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sz w:val="16"/>
                <w:szCs w:val="16"/>
              </w:rPr>
            </w:pPr>
            <w:r w:rsidRPr="00A049D3">
              <w:rPr>
                <w:rFonts w:ascii="Arial Narrow" w:hAnsi="Arial Narrow"/>
                <w:b/>
                <w:sz w:val="16"/>
                <w:szCs w:val="16"/>
              </w:rPr>
              <w:t>21.</w:t>
            </w:r>
          </w:p>
        </w:tc>
        <w:tc>
          <w:tcPr>
            <w:tcW w:w="2068" w:type="dxa"/>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Rekreacija, kultura in dejavnosti neprofitnih organizacij, društev, združenj in drugih institucij</w:t>
            </w:r>
          </w:p>
        </w:tc>
        <w:tc>
          <w:tcPr>
            <w:tcW w:w="2504" w:type="dxa"/>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Dejavnosti neprofitnih organizacij, društev, združenj in drugih institucij</w:t>
            </w:r>
          </w:p>
        </w:tc>
        <w:tc>
          <w:tcPr>
            <w:tcW w:w="1238" w:type="dxa"/>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20.064.480,55</w:t>
            </w:r>
          </w:p>
        </w:tc>
        <w:tc>
          <w:tcPr>
            <w:tcW w:w="788" w:type="dxa"/>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0,8781</w:t>
            </w:r>
          </w:p>
        </w:tc>
      </w:tr>
      <w:tr w:rsidR="000E50AB" w:rsidRPr="00A049D3" w:rsidTr="005026D5">
        <w:trPr>
          <w:trHeight w:val="102"/>
        </w:trPr>
        <w:tc>
          <w:tcPr>
            <w:cnfStyle w:val="001000000000" w:firstRow="0" w:lastRow="0" w:firstColumn="1" w:lastColumn="0" w:oddVBand="0" w:evenVBand="0" w:oddHBand="0" w:evenHBand="0" w:firstRowFirstColumn="0" w:firstRowLastColumn="0" w:lastRowFirstColumn="0" w:lastRowLastColumn="0"/>
            <w:tcW w:w="590" w:type="dxa"/>
            <w:noWrap/>
            <w:hideMark/>
          </w:tcPr>
          <w:p w:rsidR="00A049D3" w:rsidRPr="00A049D3" w:rsidRDefault="00A049D3" w:rsidP="00A049D3">
            <w:pPr>
              <w:spacing w:after="0" w:line="240" w:lineRule="auto"/>
              <w:rPr>
                <w:rFonts w:ascii="Arial Narrow" w:hAnsi="Arial Narrow"/>
                <w:sz w:val="16"/>
                <w:szCs w:val="16"/>
              </w:rPr>
            </w:pPr>
            <w:r w:rsidRPr="00A049D3">
              <w:rPr>
                <w:rFonts w:ascii="Arial Narrow" w:hAnsi="Arial Narrow"/>
                <w:sz w:val="16"/>
                <w:szCs w:val="16"/>
              </w:rPr>
              <w:t>22.</w:t>
            </w:r>
          </w:p>
        </w:tc>
        <w:tc>
          <w:tcPr>
            <w:tcW w:w="2353" w:type="dxa"/>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Gospodarske dejavnosti</w:t>
            </w:r>
          </w:p>
        </w:tc>
        <w:tc>
          <w:tcPr>
            <w:tcW w:w="2163" w:type="dxa"/>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Kmetijstvo, gozdarstvo, ribištvo in lov</w:t>
            </w:r>
          </w:p>
        </w:tc>
        <w:tc>
          <w:tcPr>
            <w:tcW w:w="1238" w:type="dxa"/>
            <w:noWrap/>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16.240.662,24</w:t>
            </w:r>
          </w:p>
        </w:tc>
        <w:tc>
          <w:tcPr>
            <w:tcW w:w="691" w:type="dxa"/>
            <w:tcBorders>
              <w:right w:val="single" w:sz="4" w:space="0" w:color="auto"/>
            </w:tcBorders>
            <w:noWrap/>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0,7815</w:t>
            </w:r>
          </w:p>
        </w:tc>
        <w:tc>
          <w:tcPr>
            <w:tcW w:w="588" w:type="dxa"/>
            <w:tcBorders>
              <w:left w:val="single" w:sz="4" w:space="0" w:color="auto"/>
            </w:tcBorders>
            <w:noWrap/>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sz w:val="16"/>
                <w:szCs w:val="16"/>
              </w:rPr>
            </w:pPr>
            <w:r w:rsidRPr="00A049D3">
              <w:rPr>
                <w:rFonts w:ascii="Arial Narrow" w:hAnsi="Arial Narrow"/>
                <w:b/>
                <w:sz w:val="16"/>
                <w:szCs w:val="16"/>
              </w:rPr>
              <w:t>22.</w:t>
            </w:r>
          </w:p>
        </w:tc>
        <w:tc>
          <w:tcPr>
            <w:tcW w:w="2068" w:type="dxa"/>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Socialna varnost</w:t>
            </w:r>
          </w:p>
        </w:tc>
        <w:tc>
          <w:tcPr>
            <w:tcW w:w="2504" w:type="dxa"/>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Varstvo obolelih in invalidnih oseb</w:t>
            </w:r>
          </w:p>
        </w:tc>
        <w:tc>
          <w:tcPr>
            <w:tcW w:w="1238" w:type="dxa"/>
            <w:noWrap/>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17.489.391,94</w:t>
            </w:r>
          </w:p>
        </w:tc>
        <w:tc>
          <w:tcPr>
            <w:tcW w:w="788" w:type="dxa"/>
            <w:noWrap/>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0,7654</w:t>
            </w:r>
          </w:p>
        </w:tc>
      </w:tr>
      <w:tr w:rsidR="000E50AB" w:rsidRPr="00A049D3" w:rsidTr="005026D5">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590" w:type="dxa"/>
            <w:noWrap/>
            <w:hideMark/>
          </w:tcPr>
          <w:p w:rsidR="00A049D3" w:rsidRPr="00A049D3" w:rsidRDefault="00A049D3" w:rsidP="00A049D3">
            <w:pPr>
              <w:spacing w:after="0" w:line="240" w:lineRule="auto"/>
              <w:rPr>
                <w:rFonts w:ascii="Arial Narrow" w:hAnsi="Arial Narrow"/>
                <w:sz w:val="16"/>
                <w:szCs w:val="16"/>
              </w:rPr>
            </w:pPr>
            <w:r w:rsidRPr="00A049D3">
              <w:rPr>
                <w:rFonts w:ascii="Arial Narrow" w:hAnsi="Arial Narrow"/>
                <w:sz w:val="16"/>
                <w:szCs w:val="16"/>
              </w:rPr>
              <w:t>23.</w:t>
            </w:r>
          </w:p>
        </w:tc>
        <w:tc>
          <w:tcPr>
            <w:tcW w:w="2353" w:type="dxa"/>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Rekreacija, kultura in dejavnosti neprofitnih organizacij, društev, združenj in drugih institucij</w:t>
            </w:r>
          </w:p>
        </w:tc>
        <w:tc>
          <w:tcPr>
            <w:tcW w:w="2163" w:type="dxa"/>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Dejavnosti neprofitnih organizacij, društev, združenj in drugih institucij</w:t>
            </w:r>
          </w:p>
        </w:tc>
        <w:tc>
          <w:tcPr>
            <w:tcW w:w="1238" w:type="dxa"/>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15.484.678,84</w:t>
            </w:r>
          </w:p>
        </w:tc>
        <w:tc>
          <w:tcPr>
            <w:tcW w:w="691" w:type="dxa"/>
            <w:tcBorders>
              <w:right w:val="single" w:sz="4" w:space="0" w:color="auto"/>
            </w:tcBorders>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0,7451</w:t>
            </w:r>
          </w:p>
        </w:tc>
        <w:tc>
          <w:tcPr>
            <w:tcW w:w="588" w:type="dxa"/>
            <w:tcBorders>
              <w:left w:val="single" w:sz="4" w:space="0" w:color="auto"/>
            </w:tcBorders>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sz w:val="16"/>
                <w:szCs w:val="16"/>
              </w:rPr>
            </w:pPr>
            <w:r w:rsidRPr="00A049D3">
              <w:rPr>
                <w:rFonts w:ascii="Arial Narrow" w:hAnsi="Arial Narrow"/>
                <w:b/>
                <w:sz w:val="16"/>
                <w:szCs w:val="16"/>
              </w:rPr>
              <w:t>23.</w:t>
            </w:r>
          </w:p>
        </w:tc>
        <w:tc>
          <w:tcPr>
            <w:tcW w:w="2068" w:type="dxa"/>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Zdravstvo</w:t>
            </w:r>
          </w:p>
        </w:tc>
        <w:tc>
          <w:tcPr>
            <w:tcW w:w="2504" w:type="dxa"/>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proofErr w:type="spellStart"/>
            <w:r w:rsidRPr="00A049D3">
              <w:rPr>
                <w:rFonts w:ascii="Arial Narrow" w:hAnsi="Arial Narrow"/>
                <w:sz w:val="16"/>
                <w:szCs w:val="16"/>
              </w:rPr>
              <w:t>Izvenbolnišnične</w:t>
            </w:r>
            <w:proofErr w:type="spellEnd"/>
            <w:r w:rsidRPr="00A049D3">
              <w:rPr>
                <w:rFonts w:ascii="Arial Narrow" w:hAnsi="Arial Narrow"/>
                <w:sz w:val="16"/>
                <w:szCs w:val="16"/>
              </w:rPr>
              <w:t xml:space="preserve"> zdravstvene storitve</w:t>
            </w:r>
          </w:p>
        </w:tc>
        <w:tc>
          <w:tcPr>
            <w:tcW w:w="1238" w:type="dxa"/>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15.482.177,47</w:t>
            </w:r>
          </w:p>
        </w:tc>
        <w:tc>
          <w:tcPr>
            <w:tcW w:w="788" w:type="dxa"/>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0,6776</w:t>
            </w:r>
          </w:p>
        </w:tc>
      </w:tr>
      <w:tr w:rsidR="000E50AB" w:rsidRPr="00A049D3" w:rsidTr="005026D5">
        <w:trPr>
          <w:trHeight w:val="102"/>
        </w:trPr>
        <w:tc>
          <w:tcPr>
            <w:cnfStyle w:val="001000000000" w:firstRow="0" w:lastRow="0" w:firstColumn="1" w:lastColumn="0" w:oddVBand="0" w:evenVBand="0" w:oddHBand="0" w:evenHBand="0" w:firstRowFirstColumn="0" w:firstRowLastColumn="0" w:lastRowFirstColumn="0" w:lastRowLastColumn="0"/>
            <w:tcW w:w="590" w:type="dxa"/>
            <w:noWrap/>
            <w:hideMark/>
          </w:tcPr>
          <w:p w:rsidR="00A049D3" w:rsidRPr="00A049D3" w:rsidRDefault="00A049D3" w:rsidP="00A049D3">
            <w:pPr>
              <w:spacing w:after="0" w:line="240" w:lineRule="auto"/>
              <w:rPr>
                <w:rFonts w:ascii="Arial Narrow" w:hAnsi="Arial Narrow"/>
                <w:sz w:val="16"/>
                <w:szCs w:val="16"/>
              </w:rPr>
            </w:pPr>
            <w:r w:rsidRPr="00A049D3">
              <w:rPr>
                <w:rFonts w:ascii="Arial Narrow" w:hAnsi="Arial Narrow"/>
                <w:sz w:val="16"/>
                <w:szCs w:val="16"/>
              </w:rPr>
              <w:t>24.</w:t>
            </w:r>
          </w:p>
        </w:tc>
        <w:tc>
          <w:tcPr>
            <w:tcW w:w="2353" w:type="dxa"/>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Javna uprava</w:t>
            </w:r>
          </w:p>
        </w:tc>
        <w:tc>
          <w:tcPr>
            <w:tcW w:w="2163" w:type="dxa"/>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Splošni transferi med javnofinančnimi institucijami na različnih ravneh države</w:t>
            </w:r>
          </w:p>
        </w:tc>
        <w:tc>
          <w:tcPr>
            <w:tcW w:w="1238" w:type="dxa"/>
            <w:noWrap/>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12.193.702,73</w:t>
            </w:r>
          </w:p>
        </w:tc>
        <w:tc>
          <w:tcPr>
            <w:tcW w:w="691" w:type="dxa"/>
            <w:tcBorders>
              <w:right w:val="single" w:sz="4" w:space="0" w:color="auto"/>
            </w:tcBorders>
            <w:noWrap/>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0,5868</w:t>
            </w:r>
          </w:p>
        </w:tc>
        <w:tc>
          <w:tcPr>
            <w:tcW w:w="588" w:type="dxa"/>
            <w:tcBorders>
              <w:left w:val="single" w:sz="4" w:space="0" w:color="auto"/>
            </w:tcBorders>
            <w:noWrap/>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sz w:val="16"/>
                <w:szCs w:val="16"/>
              </w:rPr>
            </w:pPr>
            <w:r w:rsidRPr="00A049D3">
              <w:rPr>
                <w:rFonts w:ascii="Arial Narrow" w:hAnsi="Arial Narrow"/>
                <w:b/>
                <w:sz w:val="16"/>
                <w:szCs w:val="16"/>
              </w:rPr>
              <w:t>24.</w:t>
            </w:r>
          </w:p>
        </w:tc>
        <w:tc>
          <w:tcPr>
            <w:tcW w:w="2068" w:type="dxa"/>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Stanovanjska dejavnost in prostorski razvoj</w:t>
            </w:r>
          </w:p>
        </w:tc>
        <w:tc>
          <w:tcPr>
            <w:tcW w:w="2504" w:type="dxa"/>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Dejavnosti na področju prostorskega načrtovanja in razvoja</w:t>
            </w:r>
          </w:p>
        </w:tc>
        <w:tc>
          <w:tcPr>
            <w:tcW w:w="1238" w:type="dxa"/>
            <w:noWrap/>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11.649.967,79</w:t>
            </w:r>
          </w:p>
        </w:tc>
        <w:tc>
          <w:tcPr>
            <w:tcW w:w="788" w:type="dxa"/>
            <w:noWrap/>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0,5098</w:t>
            </w:r>
          </w:p>
        </w:tc>
      </w:tr>
      <w:tr w:rsidR="000E50AB" w:rsidRPr="00A049D3" w:rsidTr="005026D5">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590" w:type="dxa"/>
            <w:noWrap/>
            <w:hideMark/>
          </w:tcPr>
          <w:p w:rsidR="00A049D3" w:rsidRPr="00A049D3" w:rsidRDefault="00A049D3" w:rsidP="00A049D3">
            <w:pPr>
              <w:spacing w:after="0" w:line="240" w:lineRule="auto"/>
              <w:rPr>
                <w:rFonts w:ascii="Arial Narrow" w:hAnsi="Arial Narrow"/>
                <w:sz w:val="16"/>
                <w:szCs w:val="16"/>
              </w:rPr>
            </w:pPr>
            <w:r w:rsidRPr="00A049D3">
              <w:rPr>
                <w:rFonts w:ascii="Arial Narrow" w:hAnsi="Arial Narrow"/>
                <w:sz w:val="16"/>
                <w:szCs w:val="16"/>
              </w:rPr>
              <w:t>25.</w:t>
            </w:r>
          </w:p>
        </w:tc>
        <w:tc>
          <w:tcPr>
            <w:tcW w:w="2353" w:type="dxa"/>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Socialna varnost</w:t>
            </w:r>
          </w:p>
        </w:tc>
        <w:tc>
          <w:tcPr>
            <w:tcW w:w="2163" w:type="dxa"/>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Varstvo obolelih in invalidnih oseb</w:t>
            </w:r>
          </w:p>
        </w:tc>
        <w:tc>
          <w:tcPr>
            <w:tcW w:w="1238" w:type="dxa"/>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9.280.977,34</w:t>
            </w:r>
          </w:p>
        </w:tc>
        <w:tc>
          <w:tcPr>
            <w:tcW w:w="691" w:type="dxa"/>
            <w:tcBorders>
              <w:right w:val="single" w:sz="4" w:space="0" w:color="auto"/>
            </w:tcBorders>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0,4466</w:t>
            </w:r>
          </w:p>
        </w:tc>
        <w:tc>
          <w:tcPr>
            <w:tcW w:w="588" w:type="dxa"/>
            <w:tcBorders>
              <w:left w:val="single" w:sz="4" w:space="0" w:color="auto"/>
            </w:tcBorders>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sz w:val="16"/>
                <w:szCs w:val="16"/>
              </w:rPr>
            </w:pPr>
            <w:r w:rsidRPr="00A049D3">
              <w:rPr>
                <w:rFonts w:ascii="Arial Narrow" w:hAnsi="Arial Narrow"/>
                <w:b/>
                <w:sz w:val="16"/>
                <w:szCs w:val="16"/>
              </w:rPr>
              <w:t>25.</w:t>
            </w:r>
          </w:p>
        </w:tc>
        <w:tc>
          <w:tcPr>
            <w:tcW w:w="2068" w:type="dxa"/>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Gospodarske dejavnosti</w:t>
            </w:r>
          </w:p>
        </w:tc>
        <w:tc>
          <w:tcPr>
            <w:tcW w:w="2504" w:type="dxa"/>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Pridobivanje in distribucija energetskih surovin</w:t>
            </w:r>
          </w:p>
        </w:tc>
        <w:tc>
          <w:tcPr>
            <w:tcW w:w="1238" w:type="dxa"/>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11.527.527,39</w:t>
            </w:r>
          </w:p>
        </w:tc>
        <w:tc>
          <w:tcPr>
            <w:tcW w:w="788" w:type="dxa"/>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0,5045</w:t>
            </w:r>
          </w:p>
        </w:tc>
      </w:tr>
      <w:tr w:rsidR="000E50AB" w:rsidRPr="00A049D3" w:rsidTr="005026D5">
        <w:trPr>
          <w:trHeight w:val="102"/>
        </w:trPr>
        <w:tc>
          <w:tcPr>
            <w:cnfStyle w:val="001000000000" w:firstRow="0" w:lastRow="0" w:firstColumn="1" w:lastColumn="0" w:oddVBand="0" w:evenVBand="0" w:oddHBand="0" w:evenHBand="0" w:firstRowFirstColumn="0" w:firstRowLastColumn="0" w:lastRowFirstColumn="0" w:lastRowLastColumn="0"/>
            <w:tcW w:w="590" w:type="dxa"/>
            <w:noWrap/>
            <w:hideMark/>
          </w:tcPr>
          <w:p w:rsidR="00A049D3" w:rsidRPr="00A049D3" w:rsidRDefault="00A049D3" w:rsidP="00A049D3">
            <w:pPr>
              <w:spacing w:after="0" w:line="240" w:lineRule="auto"/>
              <w:rPr>
                <w:rFonts w:ascii="Arial Narrow" w:hAnsi="Arial Narrow"/>
                <w:sz w:val="16"/>
                <w:szCs w:val="16"/>
              </w:rPr>
            </w:pPr>
            <w:r w:rsidRPr="00A049D3">
              <w:rPr>
                <w:rFonts w:ascii="Arial Narrow" w:hAnsi="Arial Narrow"/>
                <w:sz w:val="16"/>
                <w:szCs w:val="16"/>
              </w:rPr>
              <w:t>26.</w:t>
            </w:r>
          </w:p>
        </w:tc>
        <w:tc>
          <w:tcPr>
            <w:tcW w:w="2353" w:type="dxa"/>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Javna uprava</w:t>
            </w:r>
          </w:p>
        </w:tc>
        <w:tc>
          <w:tcPr>
            <w:tcW w:w="2163" w:type="dxa"/>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Druge dejavnosti javne uprave</w:t>
            </w:r>
          </w:p>
        </w:tc>
        <w:tc>
          <w:tcPr>
            <w:tcW w:w="1238" w:type="dxa"/>
            <w:noWrap/>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8.035.647,06</w:t>
            </w:r>
          </w:p>
        </w:tc>
        <w:tc>
          <w:tcPr>
            <w:tcW w:w="691" w:type="dxa"/>
            <w:tcBorders>
              <w:right w:val="single" w:sz="4" w:space="0" w:color="auto"/>
            </w:tcBorders>
            <w:noWrap/>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0,3867</w:t>
            </w:r>
          </w:p>
        </w:tc>
        <w:tc>
          <w:tcPr>
            <w:tcW w:w="588" w:type="dxa"/>
            <w:tcBorders>
              <w:left w:val="single" w:sz="4" w:space="0" w:color="auto"/>
            </w:tcBorders>
            <w:noWrap/>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sz w:val="16"/>
                <w:szCs w:val="16"/>
              </w:rPr>
            </w:pPr>
            <w:r w:rsidRPr="00A049D3">
              <w:rPr>
                <w:rFonts w:ascii="Arial Narrow" w:hAnsi="Arial Narrow"/>
                <w:b/>
                <w:sz w:val="16"/>
                <w:szCs w:val="16"/>
              </w:rPr>
              <w:t>26.</w:t>
            </w:r>
          </w:p>
        </w:tc>
        <w:tc>
          <w:tcPr>
            <w:tcW w:w="2068" w:type="dxa"/>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Javna uprava</w:t>
            </w:r>
          </w:p>
        </w:tc>
        <w:tc>
          <w:tcPr>
            <w:tcW w:w="2504" w:type="dxa"/>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Splošni transferi med javnofinančnimi institucijami na različnih ravneh države</w:t>
            </w:r>
          </w:p>
        </w:tc>
        <w:tc>
          <w:tcPr>
            <w:tcW w:w="1238" w:type="dxa"/>
            <w:noWrap/>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11.050.071,30</w:t>
            </w:r>
          </w:p>
        </w:tc>
        <w:tc>
          <w:tcPr>
            <w:tcW w:w="788" w:type="dxa"/>
            <w:noWrap/>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0,4836</w:t>
            </w:r>
          </w:p>
        </w:tc>
      </w:tr>
      <w:tr w:rsidR="000E50AB" w:rsidRPr="00A049D3" w:rsidTr="005026D5">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590" w:type="dxa"/>
            <w:noWrap/>
            <w:hideMark/>
          </w:tcPr>
          <w:p w:rsidR="00A049D3" w:rsidRPr="00A049D3" w:rsidRDefault="00A049D3" w:rsidP="00A049D3">
            <w:pPr>
              <w:spacing w:after="0" w:line="240" w:lineRule="auto"/>
              <w:rPr>
                <w:rFonts w:ascii="Arial Narrow" w:hAnsi="Arial Narrow"/>
                <w:sz w:val="16"/>
                <w:szCs w:val="16"/>
              </w:rPr>
            </w:pPr>
            <w:r w:rsidRPr="00A049D3">
              <w:rPr>
                <w:rFonts w:ascii="Arial Narrow" w:hAnsi="Arial Narrow"/>
                <w:sz w:val="16"/>
                <w:szCs w:val="16"/>
              </w:rPr>
              <w:t>27.</w:t>
            </w:r>
          </w:p>
        </w:tc>
        <w:tc>
          <w:tcPr>
            <w:tcW w:w="2353" w:type="dxa"/>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Gospodarske dejavnosti</w:t>
            </w:r>
          </w:p>
        </w:tc>
        <w:tc>
          <w:tcPr>
            <w:tcW w:w="2163" w:type="dxa"/>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Komunikacije</w:t>
            </w:r>
          </w:p>
        </w:tc>
        <w:tc>
          <w:tcPr>
            <w:tcW w:w="1238" w:type="dxa"/>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7.091.464,83</w:t>
            </w:r>
          </w:p>
        </w:tc>
        <w:tc>
          <w:tcPr>
            <w:tcW w:w="691" w:type="dxa"/>
            <w:tcBorders>
              <w:right w:val="single" w:sz="4" w:space="0" w:color="auto"/>
            </w:tcBorders>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0,3412</w:t>
            </w:r>
          </w:p>
        </w:tc>
        <w:tc>
          <w:tcPr>
            <w:tcW w:w="588" w:type="dxa"/>
            <w:tcBorders>
              <w:left w:val="single" w:sz="4" w:space="0" w:color="auto"/>
            </w:tcBorders>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sz w:val="16"/>
                <w:szCs w:val="16"/>
              </w:rPr>
            </w:pPr>
            <w:r w:rsidRPr="00A049D3">
              <w:rPr>
                <w:rFonts w:ascii="Arial Narrow" w:hAnsi="Arial Narrow"/>
                <w:b/>
                <w:sz w:val="16"/>
                <w:szCs w:val="16"/>
              </w:rPr>
              <w:t>27.</w:t>
            </w:r>
          </w:p>
        </w:tc>
        <w:tc>
          <w:tcPr>
            <w:tcW w:w="2068" w:type="dxa"/>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Javna uprava</w:t>
            </w:r>
          </w:p>
        </w:tc>
        <w:tc>
          <w:tcPr>
            <w:tcW w:w="2504" w:type="dxa"/>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Druge dejavnosti javne uprave</w:t>
            </w:r>
          </w:p>
        </w:tc>
        <w:tc>
          <w:tcPr>
            <w:tcW w:w="1238" w:type="dxa"/>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8.512.959,24</w:t>
            </w:r>
          </w:p>
        </w:tc>
        <w:tc>
          <w:tcPr>
            <w:tcW w:w="788" w:type="dxa"/>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0,3726</w:t>
            </w:r>
          </w:p>
        </w:tc>
      </w:tr>
      <w:tr w:rsidR="000E50AB" w:rsidRPr="00A049D3" w:rsidTr="005026D5">
        <w:trPr>
          <w:trHeight w:val="102"/>
        </w:trPr>
        <w:tc>
          <w:tcPr>
            <w:cnfStyle w:val="001000000000" w:firstRow="0" w:lastRow="0" w:firstColumn="1" w:lastColumn="0" w:oddVBand="0" w:evenVBand="0" w:oddHBand="0" w:evenHBand="0" w:firstRowFirstColumn="0" w:firstRowLastColumn="0" w:lastRowFirstColumn="0" w:lastRowLastColumn="0"/>
            <w:tcW w:w="590" w:type="dxa"/>
            <w:noWrap/>
            <w:hideMark/>
          </w:tcPr>
          <w:p w:rsidR="00A049D3" w:rsidRPr="00A049D3" w:rsidRDefault="00A049D3" w:rsidP="00A049D3">
            <w:pPr>
              <w:spacing w:after="0" w:line="240" w:lineRule="auto"/>
              <w:rPr>
                <w:rFonts w:ascii="Arial Narrow" w:hAnsi="Arial Narrow"/>
                <w:sz w:val="16"/>
                <w:szCs w:val="16"/>
              </w:rPr>
            </w:pPr>
            <w:r w:rsidRPr="00A049D3">
              <w:rPr>
                <w:rFonts w:ascii="Arial Narrow" w:hAnsi="Arial Narrow"/>
                <w:sz w:val="16"/>
                <w:szCs w:val="16"/>
              </w:rPr>
              <w:t>28.</w:t>
            </w:r>
          </w:p>
        </w:tc>
        <w:tc>
          <w:tcPr>
            <w:tcW w:w="2353" w:type="dxa"/>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Izobraževanje</w:t>
            </w:r>
          </w:p>
        </w:tc>
        <w:tc>
          <w:tcPr>
            <w:tcW w:w="2163" w:type="dxa"/>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Visokošolsko izobraževanje</w:t>
            </w:r>
          </w:p>
        </w:tc>
        <w:tc>
          <w:tcPr>
            <w:tcW w:w="1238" w:type="dxa"/>
            <w:noWrap/>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6.080.750,24</w:t>
            </w:r>
          </w:p>
        </w:tc>
        <w:tc>
          <w:tcPr>
            <w:tcW w:w="691" w:type="dxa"/>
            <w:tcBorders>
              <w:right w:val="single" w:sz="4" w:space="0" w:color="auto"/>
            </w:tcBorders>
            <w:noWrap/>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0,2926</w:t>
            </w:r>
          </w:p>
        </w:tc>
        <w:tc>
          <w:tcPr>
            <w:tcW w:w="588" w:type="dxa"/>
            <w:tcBorders>
              <w:left w:val="single" w:sz="4" w:space="0" w:color="auto"/>
            </w:tcBorders>
            <w:noWrap/>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sz w:val="16"/>
                <w:szCs w:val="16"/>
              </w:rPr>
            </w:pPr>
            <w:r w:rsidRPr="00A049D3">
              <w:rPr>
                <w:rFonts w:ascii="Arial Narrow" w:hAnsi="Arial Narrow"/>
                <w:b/>
                <w:sz w:val="16"/>
                <w:szCs w:val="16"/>
              </w:rPr>
              <w:t>28.</w:t>
            </w:r>
          </w:p>
        </w:tc>
        <w:tc>
          <w:tcPr>
            <w:tcW w:w="2068" w:type="dxa"/>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Socialna varnost</w:t>
            </w:r>
          </w:p>
        </w:tc>
        <w:tc>
          <w:tcPr>
            <w:tcW w:w="2504" w:type="dxa"/>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Varstvo otrok in družine</w:t>
            </w:r>
          </w:p>
        </w:tc>
        <w:tc>
          <w:tcPr>
            <w:tcW w:w="1238" w:type="dxa"/>
            <w:noWrap/>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7.070.237,68</w:t>
            </w:r>
          </w:p>
        </w:tc>
        <w:tc>
          <w:tcPr>
            <w:tcW w:w="788" w:type="dxa"/>
            <w:noWrap/>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0,3094</w:t>
            </w:r>
          </w:p>
        </w:tc>
      </w:tr>
      <w:tr w:rsidR="000E50AB" w:rsidRPr="00A049D3" w:rsidTr="005026D5">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590" w:type="dxa"/>
            <w:noWrap/>
            <w:hideMark/>
          </w:tcPr>
          <w:p w:rsidR="00A049D3" w:rsidRPr="00A049D3" w:rsidRDefault="00A049D3" w:rsidP="00A049D3">
            <w:pPr>
              <w:spacing w:after="0" w:line="240" w:lineRule="auto"/>
              <w:rPr>
                <w:rFonts w:ascii="Arial Narrow" w:hAnsi="Arial Narrow"/>
                <w:sz w:val="16"/>
                <w:szCs w:val="16"/>
              </w:rPr>
            </w:pPr>
            <w:r w:rsidRPr="00A049D3">
              <w:rPr>
                <w:rFonts w:ascii="Arial Narrow" w:hAnsi="Arial Narrow"/>
                <w:sz w:val="16"/>
                <w:szCs w:val="16"/>
              </w:rPr>
              <w:t>29.</w:t>
            </w:r>
          </w:p>
        </w:tc>
        <w:tc>
          <w:tcPr>
            <w:tcW w:w="2353" w:type="dxa"/>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Socialna varnost</w:t>
            </w:r>
          </w:p>
        </w:tc>
        <w:tc>
          <w:tcPr>
            <w:tcW w:w="2163" w:type="dxa"/>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Varstvo otrok in družine</w:t>
            </w:r>
          </w:p>
        </w:tc>
        <w:tc>
          <w:tcPr>
            <w:tcW w:w="1238" w:type="dxa"/>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5.152.888,23</w:t>
            </w:r>
          </w:p>
        </w:tc>
        <w:tc>
          <w:tcPr>
            <w:tcW w:w="691" w:type="dxa"/>
            <w:tcBorders>
              <w:right w:val="single" w:sz="4" w:space="0" w:color="auto"/>
            </w:tcBorders>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0,2480</w:t>
            </w:r>
          </w:p>
        </w:tc>
        <w:tc>
          <w:tcPr>
            <w:tcW w:w="588" w:type="dxa"/>
            <w:tcBorders>
              <w:left w:val="single" w:sz="4" w:space="0" w:color="auto"/>
            </w:tcBorders>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sz w:val="16"/>
                <w:szCs w:val="16"/>
              </w:rPr>
            </w:pPr>
            <w:r w:rsidRPr="00A049D3">
              <w:rPr>
                <w:rFonts w:ascii="Arial Narrow" w:hAnsi="Arial Narrow"/>
                <w:b/>
                <w:sz w:val="16"/>
                <w:szCs w:val="16"/>
              </w:rPr>
              <w:t>29.</w:t>
            </w:r>
          </w:p>
        </w:tc>
        <w:tc>
          <w:tcPr>
            <w:tcW w:w="2068" w:type="dxa"/>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Obramba</w:t>
            </w:r>
          </w:p>
        </w:tc>
        <w:tc>
          <w:tcPr>
            <w:tcW w:w="2504" w:type="dxa"/>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Civilna zaščita</w:t>
            </w:r>
          </w:p>
        </w:tc>
        <w:tc>
          <w:tcPr>
            <w:tcW w:w="1238" w:type="dxa"/>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5.964.904,76</w:t>
            </w:r>
          </w:p>
        </w:tc>
        <w:tc>
          <w:tcPr>
            <w:tcW w:w="788" w:type="dxa"/>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0,2610</w:t>
            </w:r>
          </w:p>
        </w:tc>
      </w:tr>
      <w:tr w:rsidR="000E50AB" w:rsidRPr="00A049D3" w:rsidTr="005026D5">
        <w:trPr>
          <w:trHeight w:val="102"/>
        </w:trPr>
        <w:tc>
          <w:tcPr>
            <w:cnfStyle w:val="001000000000" w:firstRow="0" w:lastRow="0" w:firstColumn="1" w:lastColumn="0" w:oddVBand="0" w:evenVBand="0" w:oddHBand="0" w:evenHBand="0" w:firstRowFirstColumn="0" w:firstRowLastColumn="0" w:lastRowFirstColumn="0" w:lastRowLastColumn="0"/>
            <w:tcW w:w="590" w:type="dxa"/>
            <w:noWrap/>
            <w:hideMark/>
          </w:tcPr>
          <w:p w:rsidR="00A049D3" w:rsidRPr="00F4121C" w:rsidRDefault="00A049D3" w:rsidP="00A049D3">
            <w:pPr>
              <w:spacing w:after="0" w:line="240" w:lineRule="auto"/>
              <w:rPr>
                <w:rFonts w:ascii="Arial Narrow" w:hAnsi="Arial Narrow"/>
                <w:color w:val="4F81BD" w:themeColor="accent1"/>
                <w:sz w:val="16"/>
                <w:szCs w:val="16"/>
              </w:rPr>
            </w:pPr>
            <w:r w:rsidRPr="00F4121C">
              <w:rPr>
                <w:rFonts w:ascii="Arial Narrow" w:hAnsi="Arial Narrow"/>
                <w:color w:val="4F81BD" w:themeColor="accent1"/>
                <w:sz w:val="16"/>
                <w:szCs w:val="16"/>
              </w:rPr>
              <w:t>30.</w:t>
            </w:r>
          </w:p>
        </w:tc>
        <w:tc>
          <w:tcPr>
            <w:tcW w:w="2353" w:type="dxa"/>
            <w:hideMark/>
          </w:tcPr>
          <w:p w:rsidR="00A049D3" w:rsidRPr="00F4121C"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color w:val="4F81BD" w:themeColor="accent1"/>
                <w:sz w:val="16"/>
                <w:szCs w:val="16"/>
              </w:rPr>
            </w:pPr>
            <w:r w:rsidRPr="00F4121C">
              <w:rPr>
                <w:rFonts w:ascii="Arial Narrow" w:hAnsi="Arial Narrow"/>
                <w:b/>
                <w:color w:val="4F81BD" w:themeColor="accent1"/>
                <w:sz w:val="16"/>
                <w:szCs w:val="16"/>
              </w:rPr>
              <w:t>Rekreacija, kultura in dejavnosti neprofitnih organizacij, društev, združenj in drugih institucij</w:t>
            </w:r>
          </w:p>
        </w:tc>
        <w:tc>
          <w:tcPr>
            <w:tcW w:w="2163" w:type="dxa"/>
            <w:hideMark/>
          </w:tcPr>
          <w:p w:rsidR="00A049D3" w:rsidRPr="00F4121C"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color w:val="4F81BD" w:themeColor="accent1"/>
                <w:sz w:val="16"/>
                <w:szCs w:val="16"/>
              </w:rPr>
            </w:pPr>
            <w:r w:rsidRPr="00F4121C">
              <w:rPr>
                <w:rFonts w:ascii="Arial Narrow" w:hAnsi="Arial Narrow"/>
                <w:b/>
                <w:color w:val="4F81BD" w:themeColor="accent1"/>
                <w:sz w:val="16"/>
                <w:szCs w:val="16"/>
              </w:rPr>
              <w:t>Dejavnosti radia in televizije ter založništva</w:t>
            </w:r>
          </w:p>
        </w:tc>
        <w:tc>
          <w:tcPr>
            <w:tcW w:w="1238" w:type="dxa"/>
            <w:noWrap/>
            <w:hideMark/>
          </w:tcPr>
          <w:p w:rsidR="00A049D3" w:rsidRPr="00F4121C"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color w:val="4F81BD" w:themeColor="accent1"/>
                <w:sz w:val="16"/>
                <w:szCs w:val="16"/>
              </w:rPr>
            </w:pPr>
            <w:r w:rsidRPr="00F4121C">
              <w:rPr>
                <w:rFonts w:ascii="Arial Narrow" w:hAnsi="Arial Narrow"/>
                <w:b/>
                <w:color w:val="4F81BD" w:themeColor="accent1"/>
                <w:sz w:val="16"/>
                <w:szCs w:val="16"/>
              </w:rPr>
              <w:t>4.027.021,13</w:t>
            </w:r>
          </w:p>
        </w:tc>
        <w:tc>
          <w:tcPr>
            <w:tcW w:w="691" w:type="dxa"/>
            <w:tcBorders>
              <w:right w:val="single" w:sz="4" w:space="0" w:color="auto"/>
            </w:tcBorders>
            <w:noWrap/>
            <w:hideMark/>
          </w:tcPr>
          <w:p w:rsidR="00A049D3" w:rsidRPr="00F4121C"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color w:val="4F81BD" w:themeColor="accent1"/>
                <w:sz w:val="16"/>
                <w:szCs w:val="16"/>
              </w:rPr>
            </w:pPr>
            <w:r w:rsidRPr="00F4121C">
              <w:rPr>
                <w:rFonts w:ascii="Arial Narrow" w:hAnsi="Arial Narrow"/>
                <w:b/>
                <w:color w:val="4F81BD" w:themeColor="accent1"/>
                <w:sz w:val="16"/>
                <w:szCs w:val="16"/>
              </w:rPr>
              <w:t>0,1938</w:t>
            </w:r>
          </w:p>
        </w:tc>
        <w:tc>
          <w:tcPr>
            <w:tcW w:w="588" w:type="dxa"/>
            <w:tcBorders>
              <w:left w:val="single" w:sz="4" w:space="0" w:color="auto"/>
            </w:tcBorders>
            <w:noWrap/>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sz w:val="16"/>
                <w:szCs w:val="16"/>
              </w:rPr>
            </w:pPr>
            <w:r w:rsidRPr="00A049D3">
              <w:rPr>
                <w:rFonts w:ascii="Arial Narrow" w:hAnsi="Arial Narrow"/>
                <w:b/>
                <w:sz w:val="16"/>
                <w:szCs w:val="16"/>
              </w:rPr>
              <w:t>30.</w:t>
            </w:r>
          </w:p>
        </w:tc>
        <w:tc>
          <w:tcPr>
            <w:tcW w:w="2068" w:type="dxa"/>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Gospodarske dejavnosti</w:t>
            </w:r>
          </w:p>
        </w:tc>
        <w:tc>
          <w:tcPr>
            <w:tcW w:w="2504" w:type="dxa"/>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Komunikacije</w:t>
            </w:r>
          </w:p>
        </w:tc>
        <w:tc>
          <w:tcPr>
            <w:tcW w:w="1238" w:type="dxa"/>
            <w:noWrap/>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5.085.256,07</w:t>
            </w:r>
          </w:p>
        </w:tc>
        <w:tc>
          <w:tcPr>
            <w:tcW w:w="788" w:type="dxa"/>
            <w:noWrap/>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0,2225</w:t>
            </w:r>
          </w:p>
        </w:tc>
      </w:tr>
      <w:tr w:rsidR="000E50AB" w:rsidRPr="00A049D3" w:rsidTr="005026D5">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590" w:type="dxa"/>
            <w:noWrap/>
            <w:hideMark/>
          </w:tcPr>
          <w:p w:rsidR="00A049D3" w:rsidRPr="00A049D3" w:rsidRDefault="00A049D3" w:rsidP="00A049D3">
            <w:pPr>
              <w:spacing w:after="0" w:line="240" w:lineRule="auto"/>
              <w:rPr>
                <w:rFonts w:ascii="Arial Narrow" w:hAnsi="Arial Narrow"/>
                <w:sz w:val="16"/>
                <w:szCs w:val="16"/>
              </w:rPr>
            </w:pPr>
            <w:r w:rsidRPr="00A049D3">
              <w:rPr>
                <w:rFonts w:ascii="Arial Narrow" w:hAnsi="Arial Narrow"/>
                <w:sz w:val="16"/>
                <w:szCs w:val="16"/>
              </w:rPr>
              <w:t>31.</w:t>
            </w:r>
          </w:p>
        </w:tc>
        <w:tc>
          <w:tcPr>
            <w:tcW w:w="2353" w:type="dxa"/>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Obramba</w:t>
            </w:r>
          </w:p>
        </w:tc>
        <w:tc>
          <w:tcPr>
            <w:tcW w:w="2163" w:type="dxa"/>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Civilna zaščita</w:t>
            </w:r>
          </w:p>
        </w:tc>
        <w:tc>
          <w:tcPr>
            <w:tcW w:w="1238" w:type="dxa"/>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3.864.867,70</w:t>
            </w:r>
          </w:p>
        </w:tc>
        <w:tc>
          <w:tcPr>
            <w:tcW w:w="691" w:type="dxa"/>
            <w:tcBorders>
              <w:right w:val="single" w:sz="4" w:space="0" w:color="auto"/>
            </w:tcBorders>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0,1860</w:t>
            </w:r>
          </w:p>
        </w:tc>
        <w:tc>
          <w:tcPr>
            <w:tcW w:w="588" w:type="dxa"/>
            <w:tcBorders>
              <w:left w:val="single" w:sz="4" w:space="0" w:color="auto"/>
            </w:tcBorders>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sz w:val="16"/>
                <w:szCs w:val="16"/>
              </w:rPr>
            </w:pPr>
            <w:r w:rsidRPr="00A049D3">
              <w:rPr>
                <w:rFonts w:ascii="Arial Narrow" w:hAnsi="Arial Narrow"/>
                <w:b/>
                <w:sz w:val="16"/>
                <w:szCs w:val="16"/>
              </w:rPr>
              <w:t>31.</w:t>
            </w:r>
          </w:p>
        </w:tc>
        <w:tc>
          <w:tcPr>
            <w:tcW w:w="2068" w:type="dxa"/>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Varstvo okolja</w:t>
            </w:r>
          </w:p>
        </w:tc>
        <w:tc>
          <w:tcPr>
            <w:tcW w:w="2504" w:type="dxa"/>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Zmanjševanje onesnaževanja</w:t>
            </w:r>
          </w:p>
        </w:tc>
        <w:tc>
          <w:tcPr>
            <w:tcW w:w="1238" w:type="dxa"/>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5.085.187,52</w:t>
            </w:r>
          </w:p>
        </w:tc>
        <w:tc>
          <w:tcPr>
            <w:tcW w:w="788" w:type="dxa"/>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0,2225</w:t>
            </w:r>
          </w:p>
        </w:tc>
      </w:tr>
      <w:tr w:rsidR="000E50AB" w:rsidRPr="00A049D3" w:rsidTr="005026D5">
        <w:trPr>
          <w:trHeight w:val="102"/>
        </w:trPr>
        <w:tc>
          <w:tcPr>
            <w:cnfStyle w:val="001000000000" w:firstRow="0" w:lastRow="0" w:firstColumn="1" w:lastColumn="0" w:oddVBand="0" w:evenVBand="0" w:oddHBand="0" w:evenHBand="0" w:firstRowFirstColumn="0" w:firstRowLastColumn="0" w:lastRowFirstColumn="0" w:lastRowLastColumn="0"/>
            <w:tcW w:w="590" w:type="dxa"/>
            <w:noWrap/>
            <w:hideMark/>
          </w:tcPr>
          <w:p w:rsidR="00A049D3" w:rsidRPr="00A049D3" w:rsidRDefault="00A049D3" w:rsidP="00A049D3">
            <w:pPr>
              <w:spacing w:after="0" w:line="240" w:lineRule="auto"/>
              <w:rPr>
                <w:rFonts w:ascii="Arial Narrow" w:hAnsi="Arial Narrow"/>
                <w:sz w:val="16"/>
                <w:szCs w:val="16"/>
              </w:rPr>
            </w:pPr>
            <w:r w:rsidRPr="00A049D3">
              <w:rPr>
                <w:rFonts w:ascii="Arial Narrow" w:hAnsi="Arial Narrow"/>
                <w:sz w:val="16"/>
                <w:szCs w:val="16"/>
              </w:rPr>
              <w:t>32.</w:t>
            </w:r>
          </w:p>
        </w:tc>
        <w:tc>
          <w:tcPr>
            <w:tcW w:w="2353" w:type="dxa"/>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Gospodarske dejavnosti</w:t>
            </w:r>
          </w:p>
        </w:tc>
        <w:tc>
          <w:tcPr>
            <w:tcW w:w="2163" w:type="dxa"/>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Pridobivanje in distribucija energetskih surovin</w:t>
            </w:r>
          </w:p>
        </w:tc>
        <w:tc>
          <w:tcPr>
            <w:tcW w:w="1238" w:type="dxa"/>
            <w:noWrap/>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3.814.597,78</w:t>
            </w:r>
          </w:p>
        </w:tc>
        <w:tc>
          <w:tcPr>
            <w:tcW w:w="691" w:type="dxa"/>
            <w:tcBorders>
              <w:right w:val="single" w:sz="4" w:space="0" w:color="auto"/>
            </w:tcBorders>
            <w:noWrap/>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0,1836</w:t>
            </w:r>
          </w:p>
        </w:tc>
        <w:tc>
          <w:tcPr>
            <w:tcW w:w="588" w:type="dxa"/>
            <w:tcBorders>
              <w:left w:val="single" w:sz="4" w:space="0" w:color="auto"/>
            </w:tcBorders>
            <w:noWrap/>
            <w:hideMark/>
          </w:tcPr>
          <w:p w:rsidR="00A049D3" w:rsidRPr="00F4121C"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color w:val="4F81BD" w:themeColor="accent1"/>
                <w:sz w:val="16"/>
                <w:szCs w:val="16"/>
              </w:rPr>
            </w:pPr>
            <w:r w:rsidRPr="00F4121C">
              <w:rPr>
                <w:rFonts w:ascii="Arial Narrow" w:hAnsi="Arial Narrow"/>
                <w:b/>
                <w:color w:val="4F81BD" w:themeColor="accent1"/>
                <w:sz w:val="16"/>
                <w:szCs w:val="16"/>
              </w:rPr>
              <w:t>32.</w:t>
            </w:r>
          </w:p>
        </w:tc>
        <w:tc>
          <w:tcPr>
            <w:tcW w:w="2068" w:type="dxa"/>
            <w:hideMark/>
          </w:tcPr>
          <w:p w:rsidR="00A049D3" w:rsidRPr="00F4121C"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color w:val="4F81BD" w:themeColor="accent1"/>
                <w:sz w:val="16"/>
                <w:szCs w:val="16"/>
              </w:rPr>
            </w:pPr>
            <w:r w:rsidRPr="00F4121C">
              <w:rPr>
                <w:rFonts w:ascii="Arial Narrow" w:hAnsi="Arial Narrow"/>
                <w:b/>
                <w:color w:val="4F81BD" w:themeColor="accent1"/>
                <w:sz w:val="16"/>
                <w:szCs w:val="16"/>
              </w:rPr>
              <w:t>Rekreacija, kultura in dejavnosti neprofitnih organizacij, društev, združenj in drugih institucij</w:t>
            </w:r>
          </w:p>
        </w:tc>
        <w:tc>
          <w:tcPr>
            <w:tcW w:w="2504" w:type="dxa"/>
            <w:hideMark/>
          </w:tcPr>
          <w:p w:rsidR="00A049D3" w:rsidRPr="00F4121C"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color w:val="4F81BD" w:themeColor="accent1"/>
                <w:sz w:val="16"/>
                <w:szCs w:val="16"/>
              </w:rPr>
            </w:pPr>
            <w:r w:rsidRPr="00F4121C">
              <w:rPr>
                <w:rFonts w:ascii="Arial Narrow" w:hAnsi="Arial Narrow"/>
                <w:b/>
                <w:color w:val="4F81BD" w:themeColor="accent1"/>
                <w:sz w:val="16"/>
                <w:szCs w:val="16"/>
              </w:rPr>
              <w:t>Dejavnosti radia in televizije ter založništva</w:t>
            </w:r>
          </w:p>
        </w:tc>
        <w:tc>
          <w:tcPr>
            <w:tcW w:w="1238" w:type="dxa"/>
            <w:noWrap/>
            <w:hideMark/>
          </w:tcPr>
          <w:p w:rsidR="00A049D3" w:rsidRPr="00F4121C"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color w:val="4F81BD" w:themeColor="accent1"/>
                <w:sz w:val="16"/>
                <w:szCs w:val="16"/>
              </w:rPr>
            </w:pPr>
            <w:r w:rsidRPr="00F4121C">
              <w:rPr>
                <w:rFonts w:ascii="Arial Narrow" w:hAnsi="Arial Narrow"/>
                <w:b/>
                <w:color w:val="4F81BD" w:themeColor="accent1"/>
                <w:sz w:val="16"/>
                <w:szCs w:val="16"/>
              </w:rPr>
              <w:t>4.034.132,38</w:t>
            </w:r>
          </w:p>
        </w:tc>
        <w:tc>
          <w:tcPr>
            <w:tcW w:w="788" w:type="dxa"/>
            <w:noWrap/>
            <w:hideMark/>
          </w:tcPr>
          <w:p w:rsidR="00A049D3" w:rsidRPr="00F4121C"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color w:val="4F81BD" w:themeColor="accent1"/>
                <w:sz w:val="16"/>
                <w:szCs w:val="16"/>
              </w:rPr>
            </w:pPr>
            <w:r w:rsidRPr="00F4121C">
              <w:rPr>
                <w:rFonts w:ascii="Arial Narrow" w:hAnsi="Arial Narrow"/>
                <w:b/>
                <w:color w:val="4F81BD" w:themeColor="accent1"/>
                <w:sz w:val="16"/>
                <w:szCs w:val="16"/>
              </w:rPr>
              <w:t>0,1765</w:t>
            </w:r>
          </w:p>
        </w:tc>
      </w:tr>
      <w:tr w:rsidR="000E50AB" w:rsidRPr="00A049D3" w:rsidTr="005026D5">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590" w:type="dxa"/>
            <w:noWrap/>
            <w:hideMark/>
          </w:tcPr>
          <w:p w:rsidR="00A049D3" w:rsidRPr="00A049D3" w:rsidRDefault="00A049D3" w:rsidP="00A049D3">
            <w:pPr>
              <w:spacing w:after="0" w:line="240" w:lineRule="auto"/>
              <w:rPr>
                <w:rFonts w:ascii="Arial Narrow" w:hAnsi="Arial Narrow"/>
                <w:sz w:val="16"/>
                <w:szCs w:val="16"/>
              </w:rPr>
            </w:pPr>
            <w:r w:rsidRPr="00A049D3">
              <w:rPr>
                <w:rFonts w:ascii="Arial Narrow" w:hAnsi="Arial Narrow"/>
                <w:sz w:val="16"/>
                <w:szCs w:val="16"/>
              </w:rPr>
              <w:t>33.</w:t>
            </w:r>
          </w:p>
        </w:tc>
        <w:tc>
          <w:tcPr>
            <w:tcW w:w="2353" w:type="dxa"/>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Varstvo okolja</w:t>
            </w:r>
          </w:p>
        </w:tc>
        <w:tc>
          <w:tcPr>
            <w:tcW w:w="2163" w:type="dxa"/>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Zmanjševanje onesnaževanja</w:t>
            </w:r>
          </w:p>
        </w:tc>
        <w:tc>
          <w:tcPr>
            <w:tcW w:w="1238" w:type="dxa"/>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2.814.368,39</w:t>
            </w:r>
          </w:p>
        </w:tc>
        <w:tc>
          <w:tcPr>
            <w:tcW w:w="691" w:type="dxa"/>
            <w:tcBorders>
              <w:right w:val="single" w:sz="4" w:space="0" w:color="auto"/>
            </w:tcBorders>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0,1354</w:t>
            </w:r>
          </w:p>
        </w:tc>
        <w:tc>
          <w:tcPr>
            <w:tcW w:w="588" w:type="dxa"/>
            <w:tcBorders>
              <w:left w:val="single" w:sz="4" w:space="0" w:color="auto"/>
            </w:tcBorders>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sz w:val="16"/>
                <w:szCs w:val="16"/>
              </w:rPr>
            </w:pPr>
            <w:r w:rsidRPr="00A049D3">
              <w:rPr>
                <w:rFonts w:ascii="Arial Narrow" w:hAnsi="Arial Narrow"/>
                <w:b/>
                <w:sz w:val="16"/>
                <w:szCs w:val="16"/>
              </w:rPr>
              <w:t>33.</w:t>
            </w:r>
          </w:p>
        </w:tc>
        <w:tc>
          <w:tcPr>
            <w:tcW w:w="2068" w:type="dxa"/>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Izobraževanje</w:t>
            </w:r>
          </w:p>
        </w:tc>
        <w:tc>
          <w:tcPr>
            <w:tcW w:w="2504" w:type="dxa"/>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Izobraževanje, ki ga ni mogoče opredeliti po stopnjah</w:t>
            </w:r>
          </w:p>
        </w:tc>
        <w:tc>
          <w:tcPr>
            <w:tcW w:w="1238" w:type="dxa"/>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2.943.213,24</w:t>
            </w:r>
          </w:p>
        </w:tc>
        <w:tc>
          <w:tcPr>
            <w:tcW w:w="788" w:type="dxa"/>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0,1288</w:t>
            </w:r>
          </w:p>
        </w:tc>
      </w:tr>
      <w:tr w:rsidR="000E50AB" w:rsidRPr="00A049D3" w:rsidTr="005026D5">
        <w:trPr>
          <w:trHeight w:val="102"/>
        </w:trPr>
        <w:tc>
          <w:tcPr>
            <w:cnfStyle w:val="001000000000" w:firstRow="0" w:lastRow="0" w:firstColumn="1" w:lastColumn="0" w:oddVBand="0" w:evenVBand="0" w:oddHBand="0" w:evenHBand="0" w:firstRowFirstColumn="0" w:firstRowLastColumn="0" w:lastRowFirstColumn="0" w:lastRowLastColumn="0"/>
            <w:tcW w:w="590" w:type="dxa"/>
            <w:noWrap/>
            <w:hideMark/>
          </w:tcPr>
          <w:p w:rsidR="00A049D3" w:rsidRPr="00A049D3" w:rsidRDefault="00A049D3" w:rsidP="00A049D3">
            <w:pPr>
              <w:spacing w:after="0" w:line="240" w:lineRule="auto"/>
              <w:rPr>
                <w:rFonts w:ascii="Arial Narrow" w:hAnsi="Arial Narrow"/>
                <w:sz w:val="16"/>
                <w:szCs w:val="16"/>
              </w:rPr>
            </w:pPr>
            <w:r w:rsidRPr="00A049D3">
              <w:rPr>
                <w:rFonts w:ascii="Arial Narrow" w:hAnsi="Arial Narrow"/>
                <w:sz w:val="16"/>
                <w:szCs w:val="16"/>
              </w:rPr>
              <w:t>34.</w:t>
            </w:r>
          </w:p>
        </w:tc>
        <w:tc>
          <w:tcPr>
            <w:tcW w:w="2353" w:type="dxa"/>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Izobraževanje</w:t>
            </w:r>
          </w:p>
        </w:tc>
        <w:tc>
          <w:tcPr>
            <w:tcW w:w="2163" w:type="dxa"/>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Izobraževanje, ki ga ni mogoče opredeliti po stopnjah</w:t>
            </w:r>
          </w:p>
        </w:tc>
        <w:tc>
          <w:tcPr>
            <w:tcW w:w="1238" w:type="dxa"/>
            <w:noWrap/>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1.733.434,60</w:t>
            </w:r>
          </w:p>
        </w:tc>
        <w:tc>
          <w:tcPr>
            <w:tcW w:w="691" w:type="dxa"/>
            <w:tcBorders>
              <w:right w:val="single" w:sz="4" w:space="0" w:color="auto"/>
            </w:tcBorders>
            <w:noWrap/>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0,0834</w:t>
            </w:r>
          </w:p>
        </w:tc>
        <w:tc>
          <w:tcPr>
            <w:tcW w:w="588" w:type="dxa"/>
            <w:tcBorders>
              <w:left w:val="single" w:sz="4" w:space="0" w:color="auto"/>
            </w:tcBorders>
            <w:noWrap/>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sz w:val="16"/>
                <w:szCs w:val="16"/>
              </w:rPr>
            </w:pPr>
            <w:r w:rsidRPr="00A049D3">
              <w:rPr>
                <w:rFonts w:ascii="Arial Narrow" w:hAnsi="Arial Narrow"/>
                <w:b/>
                <w:sz w:val="16"/>
                <w:szCs w:val="16"/>
              </w:rPr>
              <w:t>34.</w:t>
            </w:r>
          </w:p>
        </w:tc>
        <w:tc>
          <w:tcPr>
            <w:tcW w:w="2068" w:type="dxa"/>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Zdravstvo</w:t>
            </w:r>
          </w:p>
        </w:tc>
        <w:tc>
          <w:tcPr>
            <w:tcW w:w="2504" w:type="dxa"/>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Storitve splošnega zdravstvenega varstva</w:t>
            </w:r>
          </w:p>
        </w:tc>
        <w:tc>
          <w:tcPr>
            <w:tcW w:w="1238" w:type="dxa"/>
            <w:noWrap/>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1.639.532,78</w:t>
            </w:r>
          </w:p>
        </w:tc>
        <w:tc>
          <w:tcPr>
            <w:tcW w:w="788" w:type="dxa"/>
            <w:noWrap/>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0,0718</w:t>
            </w:r>
          </w:p>
        </w:tc>
      </w:tr>
      <w:tr w:rsidR="000E50AB" w:rsidRPr="00A049D3" w:rsidTr="005026D5">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590" w:type="dxa"/>
            <w:noWrap/>
            <w:hideMark/>
          </w:tcPr>
          <w:p w:rsidR="00A049D3" w:rsidRPr="00A049D3" w:rsidRDefault="00A049D3" w:rsidP="00A049D3">
            <w:pPr>
              <w:spacing w:after="0" w:line="240" w:lineRule="auto"/>
              <w:rPr>
                <w:rFonts w:ascii="Arial Narrow" w:hAnsi="Arial Narrow"/>
                <w:sz w:val="16"/>
                <w:szCs w:val="16"/>
              </w:rPr>
            </w:pPr>
            <w:r w:rsidRPr="00A049D3">
              <w:rPr>
                <w:rFonts w:ascii="Arial Narrow" w:hAnsi="Arial Narrow"/>
                <w:sz w:val="16"/>
                <w:szCs w:val="16"/>
              </w:rPr>
              <w:t>35.</w:t>
            </w:r>
          </w:p>
        </w:tc>
        <w:tc>
          <w:tcPr>
            <w:tcW w:w="2353" w:type="dxa"/>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Zdravstvo</w:t>
            </w:r>
          </w:p>
        </w:tc>
        <w:tc>
          <w:tcPr>
            <w:tcW w:w="2163" w:type="dxa"/>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Storitve splošnega zdravstvenega varstva</w:t>
            </w:r>
          </w:p>
        </w:tc>
        <w:tc>
          <w:tcPr>
            <w:tcW w:w="1238" w:type="dxa"/>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1.378.547,79</w:t>
            </w:r>
          </w:p>
        </w:tc>
        <w:tc>
          <w:tcPr>
            <w:tcW w:w="691" w:type="dxa"/>
            <w:tcBorders>
              <w:right w:val="single" w:sz="4" w:space="0" w:color="auto"/>
            </w:tcBorders>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0,0663</w:t>
            </w:r>
          </w:p>
        </w:tc>
        <w:tc>
          <w:tcPr>
            <w:tcW w:w="588" w:type="dxa"/>
            <w:tcBorders>
              <w:left w:val="single" w:sz="4" w:space="0" w:color="auto"/>
            </w:tcBorders>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sz w:val="16"/>
                <w:szCs w:val="16"/>
              </w:rPr>
            </w:pPr>
            <w:r w:rsidRPr="00A049D3">
              <w:rPr>
                <w:rFonts w:ascii="Arial Narrow" w:hAnsi="Arial Narrow"/>
                <w:b/>
                <w:sz w:val="16"/>
                <w:szCs w:val="16"/>
              </w:rPr>
              <w:t>35.</w:t>
            </w:r>
          </w:p>
        </w:tc>
        <w:tc>
          <w:tcPr>
            <w:tcW w:w="2068" w:type="dxa"/>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Varstvo okolja</w:t>
            </w:r>
          </w:p>
        </w:tc>
        <w:tc>
          <w:tcPr>
            <w:tcW w:w="2504" w:type="dxa"/>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Druge dejavnosti s področja varstva okolja</w:t>
            </w:r>
          </w:p>
        </w:tc>
        <w:tc>
          <w:tcPr>
            <w:tcW w:w="1238" w:type="dxa"/>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1.613.081,82</w:t>
            </w:r>
          </w:p>
        </w:tc>
        <w:tc>
          <w:tcPr>
            <w:tcW w:w="788" w:type="dxa"/>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0,0706</w:t>
            </w:r>
          </w:p>
        </w:tc>
      </w:tr>
      <w:tr w:rsidR="000E50AB" w:rsidRPr="00A049D3" w:rsidTr="005026D5">
        <w:trPr>
          <w:trHeight w:val="102"/>
        </w:trPr>
        <w:tc>
          <w:tcPr>
            <w:cnfStyle w:val="001000000000" w:firstRow="0" w:lastRow="0" w:firstColumn="1" w:lastColumn="0" w:oddVBand="0" w:evenVBand="0" w:oddHBand="0" w:evenHBand="0" w:firstRowFirstColumn="0" w:firstRowLastColumn="0" w:lastRowFirstColumn="0" w:lastRowLastColumn="0"/>
            <w:tcW w:w="590" w:type="dxa"/>
            <w:noWrap/>
            <w:hideMark/>
          </w:tcPr>
          <w:p w:rsidR="00A049D3" w:rsidRPr="00A049D3" w:rsidRDefault="00A049D3" w:rsidP="00A049D3">
            <w:pPr>
              <w:spacing w:after="0" w:line="240" w:lineRule="auto"/>
              <w:rPr>
                <w:rFonts w:ascii="Arial Narrow" w:hAnsi="Arial Narrow"/>
                <w:sz w:val="16"/>
                <w:szCs w:val="16"/>
              </w:rPr>
            </w:pPr>
            <w:r w:rsidRPr="00A049D3">
              <w:rPr>
                <w:rFonts w:ascii="Arial Narrow" w:hAnsi="Arial Narrow"/>
                <w:sz w:val="16"/>
                <w:szCs w:val="16"/>
              </w:rPr>
              <w:t>36.</w:t>
            </w:r>
          </w:p>
        </w:tc>
        <w:tc>
          <w:tcPr>
            <w:tcW w:w="2353" w:type="dxa"/>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Javna uprava</w:t>
            </w:r>
          </w:p>
        </w:tc>
        <w:tc>
          <w:tcPr>
            <w:tcW w:w="2163" w:type="dxa"/>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Raziskave in razvoj na področju javne uprave</w:t>
            </w:r>
          </w:p>
        </w:tc>
        <w:tc>
          <w:tcPr>
            <w:tcW w:w="1238" w:type="dxa"/>
            <w:noWrap/>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1.078.891,70</w:t>
            </w:r>
          </w:p>
        </w:tc>
        <w:tc>
          <w:tcPr>
            <w:tcW w:w="691" w:type="dxa"/>
            <w:tcBorders>
              <w:right w:val="single" w:sz="4" w:space="0" w:color="auto"/>
            </w:tcBorders>
            <w:noWrap/>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0,0519</w:t>
            </w:r>
          </w:p>
        </w:tc>
        <w:tc>
          <w:tcPr>
            <w:tcW w:w="588" w:type="dxa"/>
            <w:tcBorders>
              <w:left w:val="single" w:sz="4" w:space="0" w:color="auto"/>
            </w:tcBorders>
            <w:noWrap/>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sz w:val="16"/>
                <w:szCs w:val="16"/>
              </w:rPr>
            </w:pPr>
            <w:r w:rsidRPr="00A049D3">
              <w:rPr>
                <w:rFonts w:ascii="Arial Narrow" w:hAnsi="Arial Narrow"/>
                <w:b/>
                <w:sz w:val="16"/>
                <w:szCs w:val="16"/>
              </w:rPr>
              <w:t>36.</w:t>
            </w:r>
          </w:p>
        </w:tc>
        <w:tc>
          <w:tcPr>
            <w:tcW w:w="2068" w:type="dxa"/>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Izobraževanje</w:t>
            </w:r>
          </w:p>
        </w:tc>
        <w:tc>
          <w:tcPr>
            <w:tcW w:w="2504" w:type="dxa"/>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Visokošolsko izobraževanje</w:t>
            </w:r>
          </w:p>
        </w:tc>
        <w:tc>
          <w:tcPr>
            <w:tcW w:w="1238" w:type="dxa"/>
            <w:noWrap/>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1.497.051,31</w:t>
            </w:r>
          </w:p>
        </w:tc>
        <w:tc>
          <w:tcPr>
            <w:tcW w:w="788" w:type="dxa"/>
            <w:noWrap/>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0,0655</w:t>
            </w:r>
          </w:p>
        </w:tc>
      </w:tr>
      <w:tr w:rsidR="000E50AB" w:rsidRPr="00A049D3" w:rsidTr="005026D5">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590" w:type="dxa"/>
            <w:noWrap/>
            <w:hideMark/>
          </w:tcPr>
          <w:p w:rsidR="00A049D3" w:rsidRPr="00A049D3" w:rsidRDefault="00A049D3" w:rsidP="00A049D3">
            <w:pPr>
              <w:spacing w:after="0" w:line="240" w:lineRule="auto"/>
              <w:rPr>
                <w:rFonts w:ascii="Arial Narrow" w:hAnsi="Arial Narrow"/>
                <w:sz w:val="16"/>
                <w:szCs w:val="16"/>
              </w:rPr>
            </w:pPr>
            <w:r w:rsidRPr="00A049D3">
              <w:rPr>
                <w:rFonts w:ascii="Arial Narrow" w:hAnsi="Arial Narrow"/>
                <w:sz w:val="16"/>
                <w:szCs w:val="16"/>
              </w:rPr>
              <w:lastRenderedPageBreak/>
              <w:t>37.</w:t>
            </w:r>
          </w:p>
        </w:tc>
        <w:tc>
          <w:tcPr>
            <w:tcW w:w="2353" w:type="dxa"/>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Varstvo okolja</w:t>
            </w:r>
          </w:p>
        </w:tc>
        <w:tc>
          <w:tcPr>
            <w:tcW w:w="2163" w:type="dxa"/>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Varstvo biološke raznovrstnosti in krajine</w:t>
            </w:r>
          </w:p>
        </w:tc>
        <w:tc>
          <w:tcPr>
            <w:tcW w:w="1238" w:type="dxa"/>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1.048.185,87</w:t>
            </w:r>
          </w:p>
        </w:tc>
        <w:tc>
          <w:tcPr>
            <w:tcW w:w="691" w:type="dxa"/>
            <w:tcBorders>
              <w:right w:val="single" w:sz="4" w:space="0" w:color="auto"/>
            </w:tcBorders>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0,0504</w:t>
            </w:r>
          </w:p>
        </w:tc>
        <w:tc>
          <w:tcPr>
            <w:tcW w:w="588" w:type="dxa"/>
            <w:tcBorders>
              <w:left w:val="single" w:sz="4" w:space="0" w:color="auto"/>
            </w:tcBorders>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sz w:val="16"/>
                <w:szCs w:val="16"/>
              </w:rPr>
            </w:pPr>
            <w:r w:rsidRPr="00A049D3">
              <w:rPr>
                <w:rFonts w:ascii="Arial Narrow" w:hAnsi="Arial Narrow"/>
                <w:b/>
                <w:sz w:val="16"/>
                <w:szCs w:val="16"/>
              </w:rPr>
              <w:t>37.</w:t>
            </w:r>
          </w:p>
        </w:tc>
        <w:tc>
          <w:tcPr>
            <w:tcW w:w="2068" w:type="dxa"/>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Javni red in varnost</w:t>
            </w:r>
          </w:p>
        </w:tc>
        <w:tc>
          <w:tcPr>
            <w:tcW w:w="2504" w:type="dxa"/>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Policija</w:t>
            </w:r>
          </w:p>
        </w:tc>
        <w:tc>
          <w:tcPr>
            <w:tcW w:w="1238" w:type="dxa"/>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909.912,67</w:t>
            </w:r>
          </w:p>
        </w:tc>
        <w:tc>
          <w:tcPr>
            <w:tcW w:w="788" w:type="dxa"/>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0,0398</w:t>
            </w:r>
          </w:p>
        </w:tc>
      </w:tr>
      <w:tr w:rsidR="000E50AB" w:rsidRPr="00A049D3" w:rsidTr="005026D5">
        <w:trPr>
          <w:trHeight w:val="102"/>
        </w:trPr>
        <w:tc>
          <w:tcPr>
            <w:cnfStyle w:val="001000000000" w:firstRow="0" w:lastRow="0" w:firstColumn="1" w:lastColumn="0" w:oddVBand="0" w:evenVBand="0" w:oddHBand="0" w:evenHBand="0" w:firstRowFirstColumn="0" w:firstRowLastColumn="0" w:lastRowFirstColumn="0" w:lastRowLastColumn="0"/>
            <w:tcW w:w="590" w:type="dxa"/>
            <w:noWrap/>
            <w:hideMark/>
          </w:tcPr>
          <w:p w:rsidR="00A049D3" w:rsidRPr="00A049D3" w:rsidRDefault="00A049D3" w:rsidP="00A049D3">
            <w:pPr>
              <w:spacing w:after="0" w:line="240" w:lineRule="auto"/>
              <w:rPr>
                <w:rFonts w:ascii="Arial Narrow" w:hAnsi="Arial Narrow"/>
                <w:sz w:val="16"/>
                <w:szCs w:val="16"/>
              </w:rPr>
            </w:pPr>
            <w:r w:rsidRPr="00A049D3">
              <w:rPr>
                <w:rFonts w:ascii="Arial Narrow" w:hAnsi="Arial Narrow"/>
                <w:sz w:val="16"/>
                <w:szCs w:val="16"/>
              </w:rPr>
              <w:t>38.</w:t>
            </w:r>
          </w:p>
        </w:tc>
        <w:tc>
          <w:tcPr>
            <w:tcW w:w="2353" w:type="dxa"/>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Varstvo okolja</w:t>
            </w:r>
          </w:p>
        </w:tc>
        <w:tc>
          <w:tcPr>
            <w:tcW w:w="2163" w:type="dxa"/>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Druge dejavnosti s področja varstva okolja</w:t>
            </w:r>
          </w:p>
        </w:tc>
        <w:tc>
          <w:tcPr>
            <w:tcW w:w="1238" w:type="dxa"/>
            <w:noWrap/>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812.324,92</w:t>
            </w:r>
          </w:p>
        </w:tc>
        <w:tc>
          <w:tcPr>
            <w:tcW w:w="691" w:type="dxa"/>
            <w:tcBorders>
              <w:right w:val="single" w:sz="4" w:space="0" w:color="auto"/>
            </w:tcBorders>
            <w:noWrap/>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0,0391</w:t>
            </w:r>
          </w:p>
        </w:tc>
        <w:tc>
          <w:tcPr>
            <w:tcW w:w="588" w:type="dxa"/>
            <w:tcBorders>
              <w:left w:val="single" w:sz="4" w:space="0" w:color="auto"/>
            </w:tcBorders>
            <w:noWrap/>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sz w:val="16"/>
                <w:szCs w:val="16"/>
              </w:rPr>
            </w:pPr>
            <w:r w:rsidRPr="00A049D3">
              <w:rPr>
                <w:rFonts w:ascii="Arial Narrow" w:hAnsi="Arial Narrow"/>
                <w:b/>
                <w:sz w:val="16"/>
                <w:szCs w:val="16"/>
              </w:rPr>
              <w:t>38.</w:t>
            </w:r>
          </w:p>
        </w:tc>
        <w:tc>
          <w:tcPr>
            <w:tcW w:w="2068" w:type="dxa"/>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Varstvo okolja</w:t>
            </w:r>
          </w:p>
        </w:tc>
        <w:tc>
          <w:tcPr>
            <w:tcW w:w="2504" w:type="dxa"/>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Varstvo biološke raznovrstnosti in krajine</w:t>
            </w:r>
          </w:p>
        </w:tc>
        <w:tc>
          <w:tcPr>
            <w:tcW w:w="1238" w:type="dxa"/>
            <w:noWrap/>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754.547,44</w:t>
            </w:r>
          </w:p>
        </w:tc>
        <w:tc>
          <w:tcPr>
            <w:tcW w:w="788" w:type="dxa"/>
            <w:noWrap/>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0,0330</w:t>
            </w:r>
          </w:p>
        </w:tc>
      </w:tr>
      <w:tr w:rsidR="000E50AB" w:rsidRPr="00A049D3" w:rsidTr="005026D5">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590" w:type="dxa"/>
            <w:noWrap/>
            <w:hideMark/>
          </w:tcPr>
          <w:p w:rsidR="00A049D3" w:rsidRPr="00A049D3" w:rsidRDefault="00A049D3" w:rsidP="00A049D3">
            <w:pPr>
              <w:spacing w:after="0" w:line="240" w:lineRule="auto"/>
              <w:rPr>
                <w:rFonts w:ascii="Arial Narrow" w:hAnsi="Arial Narrow"/>
                <w:sz w:val="16"/>
                <w:szCs w:val="16"/>
              </w:rPr>
            </w:pPr>
            <w:r w:rsidRPr="00A049D3">
              <w:rPr>
                <w:rFonts w:ascii="Arial Narrow" w:hAnsi="Arial Narrow"/>
                <w:sz w:val="16"/>
                <w:szCs w:val="16"/>
              </w:rPr>
              <w:t>39.</w:t>
            </w:r>
          </w:p>
        </w:tc>
        <w:tc>
          <w:tcPr>
            <w:tcW w:w="2353" w:type="dxa"/>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Javni red in varnost</w:t>
            </w:r>
          </w:p>
        </w:tc>
        <w:tc>
          <w:tcPr>
            <w:tcW w:w="2163" w:type="dxa"/>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Policija</w:t>
            </w:r>
          </w:p>
        </w:tc>
        <w:tc>
          <w:tcPr>
            <w:tcW w:w="1238" w:type="dxa"/>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637.505,14</w:t>
            </w:r>
          </w:p>
        </w:tc>
        <w:tc>
          <w:tcPr>
            <w:tcW w:w="691" w:type="dxa"/>
            <w:tcBorders>
              <w:right w:val="single" w:sz="4" w:space="0" w:color="auto"/>
            </w:tcBorders>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0,0307</w:t>
            </w:r>
          </w:p>
        </w:tc>
        <w:tc>
          <w:tcPr>
            <w:tcW w:w="588" w:type="dxa"/>
            <w:tcBorders>
              <w:left w:val="single" w:sz="4" w:space="0" w:color="auto"/>
            </w:tcBorders>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sz w:val="16"/>
                <w:szCs w:val="16"/>
              </w:rPr>
            </w:pPr>
            <w:r w:rsidRPr="00A049D3">
              <w:rPr>
                <w:rFonts w:ascii="Arial Narrow" w:hAnsi="Arial Narrow"/>
                <w:b/>
                <w:sz w:val="16"/>
                <w:szCs w:val="16"/>
              </w:rPr>
              <w:t>39.</w:t>
            </w:r>
          </w:p>
        </w:tc>
        <w:tc>
          <w:tcPr>
            <w:tcW w:w="2068" w:type="dxa"/>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Izobraževanje</w:t>
            </w:r>
          </w:p>
        </w:tc>
        <w:tc>
          <w:tcPr>
            <w:tcW w:w="2504" w:type="dxa"/>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Srednješolsko izobraževanje</w:t>
            </w:r>
          </w:p>
        </w:tc>
        <w:tc>
          <w:tcPr>
            <w:tcW w:w="1238" w:type="dxa"/>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527.766,14</w:t>
            </w:r>
          </w:p>
        </w:tc>
        <w:tc>
          <w:tcPr>
            <w:tcW w:w="788" w:type="dxa"/>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0,0231</w:t>
            </w:r>
          </w:p>
        </w:tc>
      </w:tr>
      <w:tr w:rsidR="000E50AB" w:rsidRPr="00A049D3" w:rsidTr="005026D5">
        <w:trPr>
          <w:trHeight w:val="102"/>
        </w:trPr>
        <w:tc>
          <w:tcPr>
            <w:cnfStyle w:val="001000000000" w:firstRow="0" w:lastRow="0" w:firstColumn="1" w:lastColumn="0" w:oddVBand="0" w:evenVBand="0" w:oddHBand="0" w:evenHBand="0" w:firstRowFirstColumn="0" w:firstRowLastColumn="0" w:lastRowFirstColumn="0" w:lastRowLastColumn="0"/>
            <w:tcW w:w="590" w:type="dxa"/>
            <w:noWrap/>
            <w:hideMark/>
          </w:tcPr>
          <w:p w:rsidR="00A049D3" w:rsidRPr="00A049D3" w:rsidRDefault="00A049D3" w:rsidP="00A049D3">
            <w:pPr>
              <w:spacing w:after="0" w:line="240" w:lineRule="auto"/>
              <w:rPr>
                <w:rFonts w:ascii="Arial Narrow" w:hAnsi="Arial Narrow"/>
                <w:sz w:val="16"/>
                <w:szCs w:val="16"/>
              </w:rPr>
            </w:pPr>
            <w:r w:rsidRPr="00A049D3">
              <w:rPr>
                <w:rFonts w:ascii="Arial Narrow" w:hAnsi="Arial Narrow"/>
                <w:sz w:val="16"/>
                <w:szCs w:val="16"/>
              </w:rPr>
              <w:t>40.</w:t>
            </w:r>
          </w:p>
        </w:tc>
        <w:tc>
          <w:tcPr>
            <w:tcW w:w="2353" w:type="dxa"/>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Izobraževanje</w:t>
            </w:r>
          </w:p>
        </w:tc>
        <w:tc>
          <w:tcPr>
            <w:tcW w:w="2163" w:type="dxa"/>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Srednješolsko izobraževanje</w:t>
            </w:r>
          </w:p>
        </w:tc>
        <w:tc>
          <w:tcPr>
            <w:tcW w:w="1238" w:type="dxa"/>
            <w:noWrap/>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600.481,60</w:t>
            </w:r>
          </w:p>
        </w:tc>
        <w:tc>
          <w:tcPr>
            <w:tcW w:w="691" w:type="dxa"/>
            <w:tcBorders>
              <w:right w:val="single" w:sz="4" w:space="0" w:color="auto"/>
            </w:tcBorders>
            <w:noWrap/>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0,0289</w:t>
            </w:r>
          </w:p>
        </w:tc>
        <w:tc>
          <w:tcPr>
            <w:tcW w:w="588" w:type="dxa"/>
            <w:tcBorders>
              <w:left w:val="single" w:sz="4" w:space="0" w:color="auto"/>
            </w:tcBorders>
            <w:noWrap/>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sz w:val="16"/>
                <w:szCs w:val="16"/>
              </w:rPr>
            </w:pPr>
            <w:r w:rsidRPr="00A049D3">
              <w:rPr>
                <w:rFonts w:ascii="Arial Narrow" w:hAnsi="Arial Narrow"/>
                <w:b/>
                <w:sz w:val="16"/>
                <w:szCs w:val="16"/>
              </w:rPr>
              <w:t>40.</w:t>
            </w:r>
          </w:p>
        </w:tc>
        <w:tc>
          <w:tcPr>
            <w:tcW w:w="2068" w:type="dxa"/>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Javna uprava</w:t>
            </w:r>
          </w:p>
        </w:tc>
        <w:tc>
          <w:tcPr>
            <w:tcW w:w="2504" w:type="dxa"/>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Raziskave in razvoj na področju javne uprave</w:t>
            </w:r>
          </w:p>
        </w:tc>
        <w:tc>
          <w:tcPr>
            <w:tcW w:w="1238" w:type="dxa"/>
            <w:noWrap/>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359.241,66</w:t>
            </w:r>
          </w:p>
        </w:tc>
        <w:tc>
          <w:tcPr>
            <w:tcW w:w="788" w:type="dxa"/>
            <w:noWrap/>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0,0157</w:t>
            </w:r>
          </w:p>
        </w:tc>
      </w:tr>
      <w:tr w:rsidR="000E50AB" w:rsidRPr="00A049D3" w:rsidTr="005026D5">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590" w:type="dxa"/>
            <w:noWrap/>
            <w:hideMark/>
          </w:tcPr>
          <w:p w:rsidR="00A049D3" w:rsidRPr="00A049D3" w:rsidRDefault="00A049D3" w:rsidP="00A049D3">
            <w:pPr>
              <w:spacing w:after="0" w:line="240" w:lineRule="auto"/>
              <w:rPr>
                <w:rFonts w:ascii="Arial Narrow" w:hAnsi="Arial Narrow"/>
                <w:sz w:val="16"/>
                <w:szCs w:val="16"/>
              </w:rPr>
            </w:pPr>
            <w:r w:rsidRPr="00A049D3">
              <w:rPr>
                <w:rFonts w:ascii="Arial Narrow" w:hAnsi="Arial Narrow"/>
                <w:sz w:val="16"/>
                <w:szCs w:val="16"/>
              </w:rPr>
              <w:t>41.</w:t>
            </w:r>
          </w:p>
        </w:tc>
        <w:tc>
          <w:tcPr>
            <w:tcW w:w="2353" w:type="dxa"/>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Zdravstvo</w:t>
            </w:r>
          </w:p>
        </w:tc>
        <w:tc>
          <w:tcPr>
            <w:tcW w:w="2163" w:type="dxa"/>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Bolnišnične zdravstvene storitve</w:t>
            </w:r>
          </w:p>
        </w:tc>
        <w:tc>
          <w:tcPr>
            <w:tcW w:w="1238" w:type="dxa"/>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95.486,00</w:t>
            </w:r>
          </w:p>
        </w:tc>
        <w:tc>
          <w:tcPr>
            <w:tcW w:w="691" w:type="dxa"/>
            <w:tcBorders>
              <w:right w:val="single" w:sz="4" w:space="0" w:color="auto"/>
            </w:tcBorders>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0,0046</w:t>
            </w:r>
          </w:p>
        </w:tc>
        <w:tc>
          <w:tcPr>
            <w:tcW w:w="588" w:type="dxa"/>
            <w:tcBorders>
              <w:left w:val="single" w:sz="4" w:space="0" w:color="auto"/>
            </w:tcBorders>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sz w:val="16"/>
                <w:szCs w:val="16"/>
              </w:rPr>
            </w:pPr>
            <w:r w:rsidRPr="00A049D3">
              <w:rPr>
                <w:rFonts w:ascii="Arial Narrow" w:hAnsi="Arial Narrow"/>
                <w:b/>
                <w:sz w:val="16"/>
                <w:szCs w:val="16"/>
              </w:rPr>
              <w:t>41.</w:t>
            </w:r>
          </w:p>
        </w:tc>
        <w:tc>
          <w:tcPr>
            <w:tcW w:w="2068" w:type="dxa"/>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Javna uprava</w:t>
            </w:r>
          </w:p>
        </w:tc>
        <w:tc>
          <w:tcPr>
            <w:tcW w:w="2504" w:type="dxa"/>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Gospodarska pomoč drugim državam</w:t>
            </w:r>
          </w:p>
        </w:tc>
        <w:tc>
          <w:tcPr>
            <w:tcW w:w="1238" w:type="dxa"/>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25.000,00</w:t>
            </w:r>
          </w:p>
        </w:tc>
        <w:tc>
          <w:tcPr>
            <w:tcW w:w="788" w:type="dxa"/>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0,0011</w:t>
            </w:r>
          </w:p>
        </w:tc>
      </w:tr>
      <w:tr w:rsidR="000E50AB" w:rsidRPr="00A049D3" w:rsidTr="005026D5">
        <w:trPr>
          <w:trHeight w:val="102"/>
        </w:trPr>
        <w:tc>
          <w:tcPr>
            <w:cnfStyle w:val="001000000000" w:firstRow="0" w:lastRow="0" w:firstColumn="1" w:lastColumn="0" w:oddVBand="0" w:evenVBand="0" w:oddHBand="0" w:evenHBand="0" w:firstRowFirstColumn="0" w:firstRowLastColumn="0" w:lastRowFirstColumn="0" w:lastRowLastColumn="0"/>
            <w:tcW w:w="590" w:type="dxa"/>
            <w:noWrap/>
            <w:hideMark/>
          </w:tcPr>
          <w:p w:rsidR="00A049D3" w:rsidRPr="00A049D3" w:rsidRDefault="00A049D3" w:rsidP="00A049D3">
            <w:pPr>
              <w:spacing w:after="0" w:line="240" w:lineRule="auto"/>
              <w:rPr>
                <w:rFonts w:ascii="Arial Narrow" w:hAnsi="Arial Narrow"/>
                <w:sz w:val="16"/>
                <w:szCs w:val="16"/>
              </w:rPr>
            </w:pPr>
            <w:r w:rsidRPr="00A049D3">
              <w:rPr>
                <w:rFonts w:ascii="Arial Narrow" w:hAnsi="Arial Narrow"/>
                <w:sz w:val="16"/>
                <w:szCs w:val="16"/>
              </w:rPr>
              <w:t>42.</w:t>
            </w:r>
          </w:p>
        </w:tc>
        <w:tc>
          <w:tcPr>
            <w:tcW w:w="2353" w:type="dxa"/>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Izobraževanje</w:t>
            </w:r>
          </w:p>
        </w:tc>
        <w:tc>
          <w:tcPr>
            <w:tcW w:w="2163" w:type="dxa"/>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Višješolsko izobraževanje</w:t>
            </w:r>
          </w:p>
        </w:tc>
        <w:tc>
          <w:tcPr>
            <w:tcW w:w="1238" w:type="dxa"/>
            <w:noWrap/>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62.591,76</w:t>
            </w:r>
          </w:p>
        </w:tc>
        <w:tc>
          <w:tcPr>
            <w:tcW w:w="691" w:type="dxa"/>
            <w:tcBorders>
              <w:right w:val="single" w:sz="4" w:space="0" w:color="auto"/>
            </w:tcBorders>
            <w:noWrap/>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0,0030</w:t>
            </w:r>
          </w:p>
        </w:tc>
        <w:tc>
          <w:tcPr>
            <w:tcW w:w="588" w:type="dxa"/>
            <w:tcBorders>
              <w:left w:val="single" w:sz="4" w:space="0" w:color="auto"/>
            </w:tcBorders>
            <w:noWrap/>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sz w:val="16"/>
                <w:szCs w:val="16"/>
              </w:rPr>
            </w:pPr>
            <w:r w:rsidRPr="00A049D3">
              <w:rPr>
                <w:rFonts w:ascii="Arial Narrow" w:hAnsi="Arial Narrow"/>
                <w:b/>
                <w:sz w:val="16"/>
                <w:szCs w:val="16"/>
              </w:rPr>
              <w:t>42.</w:t>
            </w:r>
          </w:p>
        </w:tc>
        <w:tc>
          <w:tcPr>
            <w:tcW w:w="2068" w:type="dxa"/>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Zdravstvo</w:t>
            </w:r>
          </w:p>
        </w:tc>
        <w:tc>
          <w:tcPr>
            <w:tcW w:w="2504" w:type="dxa"/>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Bolnišnične zdravstvene storitve</w:t>
            </w:r>
          </w:p>
        </w:tc>
        <w:tc>
          <w:tcPr>
            <w:tcW w:w="1238" w:type="dxa"/>
            <w:noWrap/>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23.538,53</w:t>
            </w:r>
          </w:p>
        </w:tc>
        <w:tc>
          <w:tcPr>
            <w:tcW w:w="788" w:type="dxa"/>
            <w:noWrap/>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0,0010</w:t>
            </w:r>
          </w:p>
        </w:tc>
      </w:tr>
      <w:tr w:rsidR="000E50AB" w:rsidRPr="00A049D3" w:rsidTr="005026D5">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590" w:type="dxa"/>
            <w:noWrap/>
            <w:hideMark/>
          </w:tcPr>
          <w:p w:rsidR="00A049D3" w:rsidRPr="00A049D3" w:rsidRDefault="00A049D3" w:rsidP="00A049D3">
            <w:pPr>
              <w:spacing w:after="0" w:line="240" w:lineRule="auto"/>
              <w:rPr>
                <w:rFonts w:ascii="Arial Narrow" w:hAnsi="Arial Narrow"/>
                <w:sz w:val="16"/>
                <w:szCs w:val="16"/>
              </w:rPr>
            </w:pPr>
            <w:r w:rsidRPr="00A049D3">
              <w:rPr>
                <w:rFonts w:ascii="Arial Narrow" w:hAnsi="Arial Narrow"/>
                <w:sz w:val="16"/>
                <w:szCs w:val="16"/>
              </w:rPr>
              <w:t>43.</w:t>
            </w:r>
          </w:p>
        </w:tc>
        <w:tc>
          <w:tcPr>
            <w:tcW w:w="2353" w:type="dxa"/>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Zdravstvo</w:t>
            </w:r>
          </w:p>
        </w:tc>
        <w:tc>
          <w:tcPr>
            <w:tcW w:w="2163" w:type="dxa"/>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Oskrba z zdravili, drugimi farmacevtskimi izdelki in ortopedskimi pripomočki</w:t>
            </w:r>
          </w:p>
        </w:tc>
        <w:tc>
          <w:tcPr>
            <w:tcW w:w="1238" w:type="dxa"/>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44.650,00</w:t>
            </w:r>
          </w:p>
        </w:tc>
        <w:tc>
          <w:tcPr>
            <w:tcW w:w="691" w:type="dxa"/>
            <w:tcBorders>
              <w:right w:val="single" w:sz="4" w:space="0" w:color="auto"/>
            </w:tcBorders>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0,0021</w:t>
            </w:r>
          </w:p>
        </w:tc>
        <w:tc>
          <w:tcPr>
            <w:tcW w:w="588" w:type="dxa"/>
            <w:tcBorders>
              <w:left w:val="single" w:sz="4" w:space="0" w:color="auto"/>
            </w:tcBorders>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sz w:val="16"/>
                <w:szCs w:val="16"/>
              </w:rPr>
            </w:pPr>
            <w:r w:rsidRPr="00A049D3">
              <w:rPr>
                <w:rFonts w:ascii="Arial Narrow" w:hAnsi="Arial Narrow"/>
                <w:b/>
                <w:sz w:val="16"/>
                <w:szCs w:val="16"/>
              </w:rPr>
              <w:t>43.</w:t>
            </w:r>
          </w:p>
        </w:tc>
        <w:tc>
          <w:tcPr>
            <w:tcW w:w="2068" w:type="dxa"/>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Zdravstvo</w:t>
            </w:r>
          </w:p>
        </w:tc>
        <w:tc>
          <w:tcPr>
            <w:tcW w:w="2504" w:type="dxa"/>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Oskrba z zdravili, drugimi farmacevtskimi izdelki in ortopedskimi pripomočki</w:t>
            </w:r>
          </w:p>
        </w:tc>
        <w:tc>
          <w:tcPr>
            <w:tcW w:w="1238" w:type="dxa"/>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20.652,06</w:t>
            </w:r>
          </w:p>
        </w:tc>
        <w:tc>
          <w:tcPr>
            <w:tcW w:w="788" w:type="dxa"/>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0,0009</w:t>
            </w:r>
          </w:p>
        </w:tc>
      </w:tr>
      <w:tr w:rsidR="000E50AB" w:rsidRPr="00A049D3" w:rsidTr="005026D5">
        <w:trPr>
          <w:trHeight w:val="102"/>
        </w:trPr>
        <w:tc>
          <w:tcPr>
            <w:cnfStyle w:val="001000000000" w:firstRow="0" w:lastRow="0" w:firstColumn="1" w:lastColumn="0" w:oddVBand="0" w:evenVBand="0" w:oddHBand="0" w:evenHBand="0" w:firstRowFirstColumn="0" w:firstRowLastColumn="0" w:lastRowFirstColumn="0" w:lastRowLastColumn="0"/>
            <w:tcW w:w="590" w:type="dxa"/>
            <w:noWrap/>
            <w:hideMark/>
          </w:tcPr>
          <w:p w:rsidR="00A049D3" w:rsidRPr="00A049D3" w:rsidRDefault="00A049D3" w:rsidP="00A049D3">
            <w:pPr>
              <w:spacing w:after="0" w:line="240" w:lineRule="auto"/>
              <w:rPr>
                <w:rFonts w:ascii="Arial Narrow" w:hAnsi="Arial Narrow"/>
                <w:sz w:val="16"/>
                <w:szCs w:val="16"/>
              </w:rPr>
            </w:pPr>
            <w:r w:rsidRPr="00A049D3">
              <w:rPr>
                <w:rFonts w:ascii="Arial Narrow" w:hAnsi="Arial Narrow"/>
                <w:sz w:val="16"/>
                <w:szCs w:val="16"/>
              </w:rPr>
              <w:t>44.</w:t>
            </w:r>
          </w:p>
        </w:tc>
        <w:tc>
          <w:tcPr>
            <w:tcW w:w="2353" w:type="dxa"/>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Javna uprava</w:t>
            </w:r>
          </w:p>
        </w:tc>
        <w:tc>
          <w:tcPr>
            <w:tcW w:w="2163" w:type="dxa"/>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Gospodarska pomoč drugim državam</w:t>
            </w:r>
          </w:p>
        </w:tc>
        <w:tc>
          <w:tcPr>
            <w:tcW w:w="1238" w:type="dxa"/>
            <w:noWrap/>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12.681,16</w:t>
            </w:r>
          </w:p>
        </w:tc>
        <w:tc>
          <w:tcPr>
            <w:tcW w:w="691" w:type="dxa"/>
            <w:tcBorders>
              <w:right w:val="single" w:sz="4" w:space="0" w:color="auto"/>
            </w:tcBorders>
            <w:noWrap/>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0,0006</w:t>
            </w:r>
          </w:p>
        </w:tc>
        <w:tc>
          <w:tcPr>
            <w:tcW w:w="588" w:type="dxa"/>
            <w:tcBorders>
              <w:left w:val="single" w:sz="4" w:space="0" w:color="auto"/>
            </w:tcBorders>
            <w:noWrap/>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sz w:val="16"/>
                <w:szCs w:val="16"/>
              </w:rPr>
            </w:pPr>
            <w:r w:rsidRPr="00A049D3">
              <w:rPr>
                <w:rFonts w:ascii="Arial Narrow" w:hAnsi="Arial Narrow"/>
                <w:b/>
                <w:sz w:val="16"/>
                <w:szCs w:val="16"/>
              </w:rPr>
              <w:t>44.</w:t>
            </w:r>
          </w:p>
        </w:tc>
        <w:tc>
          <w:tcPr>
            <w:tcW w:w="2068" w:type="dxa"/>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Izobraževanje</w:t>
            </w:r>
          </w:p>
        </w:tc>
        <w:tc>
          <w:tcPr>
            <w:tcW w:w="2504" w:type="dxa"/>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Višješolsko izobraževanje</w:t>
            </w:r>
          </w:p>
        </w:tc>
        <w:tc>
          <w:tcPr>
            <w:tcW w:w="1238" w:type="dxa"/>
            <w:noWrap/>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10.430,86</w:t>
            </w:r>
          </w:p>
        </w:tc>
        <w:tc>
          <w:tcPr>
            <w:tcW w:w="788" w:type="dxa"/>
            <w:noWrap/>
            <w:hideMark/>
          </w:tcPr>
          <w:p w:rsidR="00A049D3" w:rsidRPr="00A049D3" w:rsidRDefault="00A049D3" w:rsidP="00A049D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0,0005</w:t>
            </w:r>
          </w:p>
        </w:tc>
      </w:tr>
      <w:tr w:rsidR="000E50AB" w:rsidRPr="00A049D3" w:rsidTr="005026D5">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590" w:type="dxa"/>
            <w:noWrap/>
            <w:hideMark/>
          </w:tcPr>
          <w:p w:rsidR="00A049D3" w:rsidRPr="00A049D3" w:rsidRDefault="00A049D3" w:rsidP="00A049D3">
            <w:pPr>
              <w:spacing w:after="0" w:line="240" w:lineRule="auto"/>
              <w:rPr>
                <w:rFonts w:ascii="Arial Narrow" w:hAnsi="Arial Narrow"/>
                <w:sz w:val="16"/>
                <w:szCs w:val="16"/>
              </w:rPr>
            </w:pPr>
          </w:p>
        </w:tc>
        <w:tc>
          <w:tcPr>
            <w:tcW w:w="2353" w:type="dxa"/>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p>
        </w:tc>
        <w:tc>
          <w:tcPr>
            <w:tcW w:w="2163" w:type="dxa"/>
            <w:hideMark/>
          </w:tcPr>
          <w:p w:rsidR="00A049D3" w:rsidRPr="00A049D3" w:rsidRDefault="00F4121C"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Pr>
                <w:rFonts w:ascii="Arial Narrow" w:hAnsi="Arial Narrow"/>
                <w:sz w:val="16"/>
                <w:szCs w:val="16"/>
              </w:rPr>
              <w:t>Skupaj vse dejavnosti</w:t>
            </w:r>
          </w:p>
        </w:tc>
        <w:tc>
          <w:tcPr>
            <w:tcW w:w="1238" w:type="dxa"/>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2.078.102.594,14</w:t>
            </w:r>
          </w:p>
        </w:tc>
        <w:tc>
          <w:tcPr>
            <w:tcW w:w="691" w:type="dxa"/>
            <w:tcBorders>
              <w:right w:val="single" w:sz="4" w:space="0" w:color="auto"/>
            </w:tcBorders>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100</w:t>
            </w:r>
          </w:p>
        </w:tc>
        <w:tc>
          <w:tcPr>
            <w:tcW w:w="588" w:type="dxa"/>
            <w:tcBorders>
              <w:left w:val="single" w:sz="4" w:space="0" w:color="auto"/>
            </w:tcBorders>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sz w:val="16"/>
                <w:szCs w:val="16"/>
              </w:rPr>
            </w:pPr>
          </w:p>
        </w:tc>
        <w:tc>
          <w:tcPr>
            <w:tcW w:w="2068" w:type="dxa"/>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p>
        </w:tc>
        <w:tc>
          <w:tcPr>
            <w:tcW w:w="2504" w:type="dxa"/>
            <w:hideMark/>
          </w:tcPr>
          <w:p w:rsidR="00A049D3" w:rsidRDefault="00F4121C"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Pr>
                <w:rFonts w:ascii="Arial Narrow" w:hAnsi="Arial Narrow"/>
                <w:sz w:val="16"/>
                <w:szCs w:val="16"/>
              </w:rPr>
              <w:t>Skupaj vse dejavnosti</w:t>
            </w:r>
          </w:p>
          <w:p w:rsidR="00F4121C" w:rsidRPr="00A049D3" w:rsidRDefault="00F4121C"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p>
        </w:tc>
        <w:tc>
          <w:tcPr>
            <w:tcW w:w="1238" w:type="dxa"/>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2.285.005.440,55</w:t>
            </w:r>
          </w:p>
        </w:tc>
        <w:tc>
          <w:tcPr>
            <w:tcW w:w="788" w:type="dxa"/>
            <w:noWrap/>
            <w:hideMark/>
          </w:tcPr>
          <w:p w:rsidR="00A049D3" w:rsidRPr="00A049D3" w:rsidRDefault="00A049D3" w:rsidP="00A049D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049D3">
              <w:rPr>
                <w:rFonts w:ascii="Arial Narrow" w:hAnsi="Arial Narrow"/>
                <w:sz w:val="16"/>
                <w:szCs w:val="16"/>
              </w:rPr>
              <w:t>100</w:t>
            </w:r>
          </w:p>
        </w:tc>
      </w:tr>
    </w:tbl>
    <w:p w:rsidR="00A049D3" w:rsidRDefault="002F39D8" w:rsidP="002F39D8">
      <w:pPr>
        <w:pStyle w:val="Podpispodtabeloaligrafom"/>
      </w:pPr>
      <w:r>
        <w:t>Vir: Ministrstvo za finance.</w:t>
      </w:r>
      <w:r w:rsidR="009D69DE">
        <w:t xml:space="preserve"> Izračuni: </w:t>
      </w:r>
      <w:r w:rsidR="002816A9">
        <w:t>Ministrstvo za kulturo</w:t>
      </w:r>
      <w:r w:rsidR="009D69DE">
        <w:t>.</w:t>
      </w:r>
    </w:p>
    <w:p w:rsidR="00A049D3" w:rsidRDefault="00A049D3">
      <w:pPr>
        <w:spacing w:after="0" w:line="240" w:lineRule="auto"/>
      </w:pPr>
    </w:p>
    <w:p w:rsidR="00A049D3" w:rsidRDefault="00A049D3" w:rsidP="003D031D">
      <w:pPr>
        <w:sectPr w:rsidR="00A049D3" w:rsidSect="00A049D3">
          <w:pgSz w:w="16839" w:h="11907" w:orient="landscape" w:code="9"/>
          <w:pgMar w:top="1417" w:right="1417" w:bottom="1417" w:left="1417" w:header="708" w:footer="708" w:gutter="0"/>
          <w:cols w:space="708"/>
          <w:docGrid w:linePitch="360"/>
        </w:sectPr>
      </w:pPr>
    </w:p>
    <w:p w:rsidR="00640E86" w:rsidRDefault="00640E86" w:rsidP="00640E86">
      <w:r>
        <w:lastRenderedPageBreak/>
        <w:t xml:space="preserve">Podobno je bilo leta 2015: Več sredstev kot za </w:t>
      </w:r>
      <w:proofErr w:type="spellStart"/>
      <w:r>
        <w:t>kulturme</w:t>
      </w:r>
      <w:proofErr w:type="spellEnd"/>
      <w:r>
        <w:t xml:space="preserve"> dejavnosti je bilo namenjenih za 1) predšolsko vzgojo in OŠ izobraževanje – 19 %, 2) ravnanje z odpadno vodo – 11 %, 3) promet – 11 %, 4) dejavnosti izvršilnih in zakonodajnih organov, ter dejavnosti s področja finančnih in fiskalnih ter zunanjih zadev – 8 % in 5) oskrba z vodo – 7 %, manj </w:t>
      </w:r>
      <w:r w:rsidR="00C02D90">
        <w:t xml:space="preserve">sredstev kot </w:t>
      </w:r>
      <w:r w:rsidR="006206C2">
        <w:t xml:space="preserve">za </w:t>
      </w:r>
      <w:r w:rsidR="00C02D90">
        <w:t>kulturne dejavnosti pa je bilo namenjenih</w:t>
      </w:r>
      <w:r>
        <w:t xml:space="preserve"> 38 </w:t>
      </w:r>
      <w:r w:rsidR="00C02D90">
        <w:t>področjem</w:t>
      </w:r>
      <w:r>
        <w:t>.</w:t>
      </w:r>
    </w:p>
    <w:p w:rsidR="00A049D3" w:rsidRDefault="00640E86" w:rsidP="00640E86">
      <w:r>
        <w:t xml:space="preserve">Sredstva za RTV in založništvo so v lokalnih skupnostih skopo odmerjena – 0,19 % v letu 2008 in 0,18 % leta 2015. Manj kot toliko je prejelo 14 oz. 12 področij, med </w:t>
      </w:r>
      <w:r w:rsidR="00C02D90">
        <w:t>njimi</w:t>
      </w:r>
      <w:r>
        <w:t xml:space="preserve"> splošne zdravstvene storitve, bolnišnične zdravstvene storitve, oskrba z zdravili, varstvo okolja in srednješolsko izobraževanje.</w:t>
      </w:r>
    </w:p>
    <w:p w:rsidR="00AD3007" w:rsidRDefault="00AD3007" w:rsidP="00AD3007">
      <w:pPr>
        <w:pStyle w:val="Podnaslov3"/>
      </w:pPr>
    </w:p>
    <w:p w:rsidR="00AD3007" w:rsidRDefault="00AD3007" w:rsidP="00AD3007">
      <w:pPr>
        <w:pStyle w:val="Podnaslov3"/>
      </w:pPr>
      <w:bookmarkStart w:id="163" w:name="_Toc489859819"/>
      <w:bookmarkStart w:id="164" w:name="_Toc490047582"/>
      <w:bookmarkStart w:id="165" w:name="_Toc490599947"/>
      <w:bookmarkStart w:id="166" w:name="_Toc506192076"/>
      <w:r>
        <w:t>Struktura po vrsti izdatkov</w:t>
      </w:r>
      <w:bookmarkEnd w:id="163"/>
      <w:bookmarkEnd w:id="164"/>
      <w:bookmarkEnd w:id="165"/>
      <w:bookmarkEnd w:id="166"/>
    </w:p>
    <w:p w:rsidR="00640E86" w:rsidRDefault="00EC7432" w:rsidP="00640E86">
      <w:r>
        <w:t xml:space="preserve">Oglejmo si še strukturo </w:t>
      </w:r>
      <w:r w:rsidR="00EE4B81">
        <w:t>porabe lokalnih proračunsk</w:t>
      </w:r>
      <w:r w:rsidR="00C13ADD">
        <w:t>ih sredstev za kulturo (tabela 16</w:t>
      </w:r>
      <w:r w:rsidR="00EE4B81">
        <w:t>)</w:t>
      </w:r>
      <w:r w:rsidR="00C02D90">
        <w:t xml:space="preserve"> glede na vrsto izdatkov</w:t>
      </w:r>
      <w:r w:rsidR="00EE4B81">
        <w:t>. Večina sredstev za kulturne dejavnosti je namenjena za tekoče transfere</w:t>
      </w:r>
      <w:r w:rsidR="006206C2">
        <w:t xml:space="preserve"> </w:t>
      </w:r>
      <w:r w:rsidR="006206C2" w:rsidRPr="006206C2">
        <w:t>in v</w:t>
      </w:r>
      <w:r w:rsidR="006E630E" w:rsidRPr="006206C2">
        <w:t xml:space="preserve">ečina </w:t>
      </w:r>
      <w:r w:rsidR="006206C2" w:rsidRPr="006206C2">
        <w:t>le teh</w:t>
      </w:r>
      <w:r w:rsidR="006E630E" w:rsidRPr="006206C2">
        <w:t xml:space="preserve"> </w:t>
      </w:r>
      <w:r w:rsidR="006206C2">
        <w:t>javnim zavodom.</w:t>
      </w:r>
      <w:r w:rsidR="003F2660">
        <w:t xml:space="preserve"> Odstotek tekočih transferov se je v strukturi vseh lokalnih proračunov skupaj v obdobju 2008–201</w:t>
      </w:r>
      <w:r w:rsidR="00A821C7">
        <w:t>5 povečal za 10 odstotnih točk</w:t>
      </w:r>
      <w:r w:rsidR="005D0F7B">
        <w:t>.</w:t>
      </w:r>
      <w:r w:rsidR="00A821C7">
        <w:t xml:space="preserve"> </w:t>
      </w:r>
      <w:r w:rsidR="005D0F7B">
        <w:t>V</w:t>
      </w:r>
      <w:r w:rsidR="00A821C7">
        <w:t xml:space="preserve">erjetno </w:t>
      </w:r>
      <w:r w:rsidR="005D0F7B">
        <w:t xml:space="preserve">je bilo tako </w:t>
      </w:r>
      <w:r w:rsidR="00A821C7">
        <w:t xml:space="preserve">zato, ker se proračunski izdatki za javne zavode niso zniževali </w:t>
      </w:r>
      <w:proofErr w:type="spellStart"/>
      <w:r w:rsidR="00A821C7">
        <w:t>premosorazmerno</w:t>
      </w:r>
      <w:proofErr w:type="spellEnd"/>
      <w:r w:rsidR="00A821C7">
        <w:t xml:space="preserve"> s proračuni.</w:t>
      </w:r>
    </w:p>
    <w:p w:rsidR="00640E86" w:rsidRDefault="006D2D21" w:rsidP="00EE4B81">
      <w:pPr>
        <w:pStyle w:val="Naslovtabele"/>
      </w:pPr>
      <w:bookmarkStart w:id="167" w:name="_Toc490053364"/>
      <w:bookmarkStart w:id="168" w:name="_Toc490053735"/>
      <w:bookmarkStart w:id="169" w:name="_Toc490600007"/>
      <w:r>
        <w:t>Tabela 16:</w:t>
      </w:r>
      <w:r w:rsidR="009D69DE">
        <w:t xml:space="preserve"> </w:t>
      </w:r>
      <w:r w:rsidR="00C02D90">
        <w:t xml:space="preserve">Struktura občinskih proračunov za kulturo </w:t>
      </w:r>
      <w:r w:rsidR="009D69DE">
        <w:t>po</w:t>
      </w:r>
      <w:r w:rsidR="00C02D90">
        <w:t xml:space="preserve"> vrst</w:t>
      </w:r>
      <w:r w:rsidR="009D69DE">
        <w:t>i</w:t>
      </w:r>
      <w:r w:rsidR="00C02D90">
        <w:t xml:space="preserve"> izdatkov (2008 in 2015)</w:t>
      </w:r>
      <w:bookmarkEnd w:id="167"/>
      <w:bookmarkEnd w:id="168"/>
      <w:bookmarkEnd w:id="169"/>
    </w:p>
    <w:tbl>
      <w:tblPr>
        <w:tblStyle w:val="Svetelseznampoudarek3"/>
        <w:tblW w:w="0" w:type="auto"/>
        <w:tblLayout w:type="fixed"/>
        <w:tblLook w:val="04A0" w:firstRow="1" w:lastRow="0" w:firstColumn="1" w:lastColumn="0" w:noHBand="0" w:noVBand="1"/>
      </w:tblPr>
      <w:tblGrid>
        <w:gridCol w:w="2093"/>
        <w:gridCol w:w="1134"/>
        <w:gridCol w:w="709"/>
        <w:gridCol w:w="1134"/>
        <w:gridCol w:w="708"/>
        <w:gridCol w:w="199"/>
        <w:gridCol w:w="935"/>
        <w:gridCol w:w="567"/>
        <w:gridCol w:w="1055"/>
        <w:gridCol w:w="755"/>
      </w:tblGrid>
      <w:tr w:rsidR="006E630E" w:rsidRPr="00417E93" w:rsidTr="000241B2">
        <w:trPr>
          <w:cnfStyle w:val="100000000000" w:firstRow="1" w:lastRow="0" w:firstColumn="0" w:lastColumn="0" w:oddVBand="0" w:evenVBand="0" w:oddHBand="0"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093" w:type="dxa"/>
            <w:noWrap/>
            <w:hideMark/>
          </w:tcPr>
          <w:p w:rsidR="00417E93" w:rsidRPr="00394C14" w:rsidRDefault="00417E93" w:rsidP="000241B2">
            <w:pPr>
              <w:pStyle w:val="Podpispodtabeloaligrafom"/>
              <w:rPr>
                <w:bCs w:val="0"/>
              </w:rPr>
            </w:pPr>
            <w:r w:rsidRPr="00394C14">
              <w:rPr>
                <w:bCs w:val="0"/>
              </w:rPr>
              <w:t> </w:t>
            </w:r>
          </w:p>
        </w:tc>
        <w:tc>
          <w:tcPr>
            <w:tcW w:w="3884" w:type="dxa"/>
            <w:gridSpan w:val="5"/>
            <w:noWrap/>
            <w:hideMark/>
          </w:tcPr>
          <w:p w:rsidR="00417E93" w:rsidRPr="00394C14" w:rsidRDefault="00417E93" w:rsidP="000241B2">
            <w:pPr>
              <w:pStyle w:val="Podpispodtabeloaligrafom"/>
              <w:cnfStyle w:val="100000000000" w:firstRow="1" w:lastRow="0" w:firstColumn="0" w:lastColumn="0" w:oddVBand="0" w:evenVBand="0" w:oddHBand="0" w:evenHBand="0" w:firstRowFirstColumn="0" w:firstRowLastColumn="0" w:lastRowFirstColumn="0" w:lastRowLastColumn="0"/>
              <w:rPr>
                <w:bCs w:val="0"/>
              </w:rPr>
            </w:pPr>
            <w:r w:rsidRPr="00394C14">
              <w:rPr>
                <w:bCs w:val="0"/>
              </w:rPr>
              <w:t>2008</w:t>
            </w:r>
          </w:p>
        </w:tc>
        <w:tc>
          <w:tcPr>
            <w:tcW w:w="3312" w:type="dxa"/>
            <w:gridSpan w:val="4"/>
            <w:hideMark/>
          </w:tcPr>
          <w:p w:rsidR="00417E93" w:rsidRPr="00394C14" w:rsidRDefault="00417E93" w:rsidP="000241B2">
            <w:pPr>
              <w:pStyle w:val="Podpispodtabeloaligrafom"/>
              <w:cnfStyle w:val="100000000000" w:firstRow="1" w:lastRow="0" w:firstColumn="0" w:lastColumn="0" w:oddVBand="0" w:evenVBand="0" w:oddHBand="0" w:evenHBand="0" w:firstRowFirstColumn="0" w:firstRowLastColumn="0" w:lastRowFirstColumn="0" w:lastRowLastColumn="0"/>
              <w:rPr>
                <w:bCs w:val="0"/>
              </w:rPr>
            </w:pPr>
            <w:r w:rsidRPr="00394C14">
              <w:rPr>
                <w:bCs w:val="0"/>
              </w:rPr>
              <w:t>2015</w:t>
            </w:r>
          </w:p>
        </w:tc>
      </w:tr>
      <w:tr w:rsidR="000241B2" w:rsidRPr="00417E93" w:rsidTr="000D5FDF">
        <w:trPr>
          <w:cnfStyle w:val="000000100000" w:firstRow="0" w:lastRow="0" w:firstColumn="0" w:lastColumn="0" w:oddVBand="0" w:evenVBand="0" w:oddHBand="1" w:evenHBand="0" w:firstRowFirstColumn="0" w:firstRowLastColumn="0" w:lastRowFirstColumn="0" w:lastRowLastColumn="0"/>
          <w:cantSplit/>
          <w:trHeight w:val="1134"/>
        </w:trPr>
        <w:tc>
          <w:tcPr>
            <w:cnfStyle w:val="001000000000" w:firstRow="0" w:lastRow="0" w:firstColumn="1" w:lastColumn="0" w:oddVBand="0" w:evenVBand="0" w:oddHBand="0" w:evenHBand="0" w:firstRowFirstColumn="0" w:firstRowLastColumn="0" w:lastRowFirstColumn="0" w:lastRowLastColumn="0"/>
            <w:tcW w:w="2093" w:type="dxa"/>
            <w:shd w:val="clear" w:color="auto" w:fill="9BBB59" w:themeFill="accent3"/>
            <w:noWrap/>
            <w:hideMark/>
          </w:tcPr>
          <w:p w:rsidR="00417E93" w:rsidRPr="000241B2" w:rsidRDefault="00417E93" w:rsidP="000241B2">
            <w:pPr>
              <w:pStyle w:val="Podpispodtabeloaligrafom"/>
              <w:spacing w:after="0"/>
              <w:rPr>
                <w:bCs w:val="0"/>
                <w:color w:val="FFFFFF" w:themeColor="background1"/>
              </w:rPr>
            </w:pPr>
            <w:r w:rsidRPr="000241B2">
              <w:rPr>
                <w:bCs w:val="0"/>
                <w:color w:val="FFFFFF" w:themeColor="background1"/>
              </w:rPr>
              <w:t>Vrsta izdatka</w:t>
            </w:r>
          </w:p>
        </w:tc>
        <w:tc>
          <w:tcPr>
            <w:tcW w:w="1134" w:type="dxa"/>
            <w:shd w:val="clear" w:color="auto" w:fill="9BBB59" w:themeFill="accent3"/>
            <w:textDirection w:val="btLr"/>
            <w:hideMark/>
          </w:tcPr>
          <w:p w:rsidR="00417E93" w:rsidRPr="000241B2" w:rsidRDefault="00417E93" w:rsidP="000D5FDF">
            <w:pPr>
              <w:pStyle w:val="Podpispodtabeloaligrafom"/>
              <w:spacing w:after="0"/>
              <w:ind w:left="113" w:right="113"/>
              <w:cnfStyle w:val="000000100000" w:firstRow="0" w:lastRow="0" w:firstColumn="0" w:lastColumn="0" w:oddVBand="0" w:evenVBand="0" w:oddHBand="1" w:evenHBand="0" w:firstRowFirstColumn="0" w:firstRowLastColumn="0" w:lastRowFirstColumn="0" w:lastRowLastColumn="0"/>
              <w:rPr>
                <w:bCs/>
                <w:color w:val="FFFFFF" w:themeColor="background1"/>
              </w:rPr>
            </w:pPr>
            <w:r w:rsidRPr="000241B2">
              <w:rPr>
                <w:bCs/>
                <w:color w:val="FFFFFF" w:themeColor="background1"/>
              </w:rPr>
              <w:t>Kulturne dejavnosti (EUR)</w:t>
            </w:r>
          </w:p>
        </w:tc>
        <w:tc>
          <w:tcPr>
            <w:tcW w:w="709" w:type="dxa"/>
            <w:shd w:val="clear" w:color="auto" w:fill="9BBB59" w:themeFill="accent3"/>
            <w:textDirection w:val="btLr"/>
            <w:hideMark/>
          </w:tcPr>
          <w:p w:rsidR="00417E93" w:rsidRPr="000241B2" w:rsidRDefault="00417E93" w:rsidP="000D5FDF">
            <w:pPr>
              <w:pStyle w:val="Podpispodtabeloaligrafom"/>
              <w:spacing w:after="0"/>
              <w:ind w:left="113" w:right="113"/>
              <w:cnfStyle w:val="000000100000" w:firstRow="0" w:lastRow="0" w:firstColumn="0" w:lastColumn="0" w:oddVBand="0" w:evenVBand="0" w:oddHBand="1" w:evenHBand="0" w:firstRowFirstColumn="0" w:firstRowLastColumn="0" w:lastRowFirstColumn="0" w:lastRowLastColumn="0"/>
              <w:rPr>
                <w:bCs/>
                <w:color w:val="FFFFFF" w:themeColor="background1"/>
              </w:rPr>
            </w:pPr>
            <w:r w:rsidRPr="000241B2">
              <w:rPr>
                <w:bCs/>
                <w:color w:val="FFFFFF" w:themeColor="background1"/>
              </w:rPr>
              <w:t>Kulturne dejavnosti (%)</w:t>
            </w:r>
          </w:p>
        </w:tc>
        <w:tc>
          <w:tcPr>
            <w:tcW w:w="1134" w:type="dxa"/>
            <w:shd w:val="clear" w:color="auto" w:fill="9BBB59" w:themeFill="accent3"/>
            <w:textDirection w:val="btLr"/>
            <w:hideMark/>
          </w:tcPr>
          <w:p w:rsidR="00417E93" w:rsidRPr="000241B2" w:rsidRDefault="00417E93" w:rsidP="000D5FDF">
            <w:pPr>
              <w:pStyle w:val="Podpispodtabeloaligrafom"/>
              <w:spacing w:after="0"/>
              <w:ind w:left="113" w:right="113"/>
              <w:cnfStyle w:val="000000100000" w:firstRow="0" w:lastRow="0" w:firstColumn="0" w:lastColumn="0" w:oddVBand="0" w:evenVBand="0" w:oddHBand="1" w:evenHBand="0" w:firstRowFirstColumn="0" w:firstRowLastColumn="0" w:lastRowFirstColumn="0" w:lastRowLastColumn="0"/>
              <w:rPr>
                <w:bCs/>
                <w:color w:val="FFFFFF" w:themeColor="background1"/>
              </w:rPr>
            </w:pPr>
            <w:r w:rsidRPr="000241B2">
              <w:rPr>
                <w:bCs/>
                <w:color w:val="FFFFFF" w:themeColor="background1"/>
              </w:rPr>
              <w:t>Dejavnosti radia in televizije ter založništva (EUR)</w:t>
            </w:r>
          </w:p>
        </w:tc>
        <w:tc>
          <w:tcPr>
            <w:tcW w:w="708" w:type="dxa"/>
            <w:tcBorders>
              <w:right w:val="single" w:sz="8" w:space="0" w:color="9BBB59" w:themeColor="accent3"/>
            </w:tcBorders>
            <w:shd w:val="clear" w:color="auto" w:fill="9BBB59" w:themeFill="accent3"/>
            <w:textDirection w:val="btLr"/>
            <w:hideMark/>
          </w:tcPr>
          <w:p w:rsidR="00417E93" w:rsidRPr="000241B2" w:rsidRDefault="00417E93" w:rsidP="000D5FDF">
            <w:pPr>
              <w:pStyle w:val="Podpispodtabeloaligrafom"/>
              <w:spacing w:after="0"/>
              <w:ind w:left="113" w:right="113"/>
              <w:cnfStyle w:val="000000100000" w:firstRow="0" w:lastRow="0" w:firstColumn="0" w:lastColumn="0" w:oddVBand="0" w:evenVBand="0" w:oddHBand="1" w:evenHBand="0" w:firstRowFirstColumn="0" w:firstRowLastColumn="0" w:lastRowFirstColumn="0" w:lastRowLastColumn="0"/>
              <w:rPr>
                <w:bCs/>
                <w:color w:val="FFFFFF" w:themeColor="background1"/>
              </w:rPr>
            </w:pPr>
            <w:r w:rsidRPr="000241B2">
              <w:rPr>
                <w:bCs/>
                <w:color w:val="FFFFFF" w:themeColor="background1"/>
              </w:rPr>
              <w:t>Dejavnosti radia in televizije ter založništva (%)</w:t>
            </w:r>
          </w:p>
        </w:tc>
        <w:tc>
          <w:tcPr>
            <w:tcW w:w="1134" w:type="dxa"/>
            <w:gridSpan w:val="2"/>
            <w:tcBorders>
              <w:left w:val="single" w:sz="8" w:space="0" w:color="9BBB59" w:themeColor="accent3"/>
            </w:tcBorders>
            <w:shd w:val="clear" w:color="auto" w:fill="9BBB59" w:themeFill="accent3"/>
            <w:textDirection w:val="btLr"/>
            <w:hideMark/>
          </w:tcPr>
          <w:p w:rsidR="00417E93" w:rsidRPr="000241B2" w:rsidRDefault="00417E93" w:rsidP="000D5FDF">
            <w:pPr>
              <w:pStyle w:val="Podpispodtabeloaligrafom"/>
              <w:spacing w:after="0"/>
              <w:ind w:left="113" w:right="113"/>
              <w:cnfStyle w:val="000000100000" w:firstRow="0" w:lastRow="0" w:firstColumn="0" w:lastColumn="0" w:oddVBand="0" w:evenVBand="0" w:oddHBand="1" w:evenHBand="0" w:firstRowFirstColumn="0" w:firstRowLastColumn="0" w:lastRowFirstColumn="0" w:lastRowLastColumn="0"/>
              <w:rPr>
                <w:bCs/>
                <w:color w:val="FFFFFF" w:themeColor="background1"/>
              </w:rPr>
            </w:pPr>
            <w:r w:rsidRPr="000241B2">
              <w:rPr>
                <w:bCs/>
                <w:color w:val="FFFFFF" w:themeColor="background1"/>
              </w:rPr>
              <w:t>Kulturne dejavnosti (EUR)</w:t>
            </w:r>
          </w:p>
        </w:tc>
        <w:tc>
          <w:tcPr>
            <w:tcW w:w="567" w:type="dxa"/>
            <w:shd w:val="clear" w:color="auto" w:fill="9BBB59" w:themeFill="accent3"/>
            <w:textDirection w:val="btLr"/>
            <w:hideMark/>
          </w:tcPr>
          <w:p w:rsidR="00417E93" w:rsidRPr="000241B2" w:rsidRDefault="00417E93" w:rsidP="000D5FDF">
            <w:pPr>
              <w:pStyle w:val="Podpispodtabeloaligrafom"/>
              <w:spacing w:after="0"/>
              <w:ind w:left="113" w:right="113"/>
              <w:cnfStyle w:val="000000100000" w:firstRow="0" w:lastRow="0" w:firstColumn="0" w:lastColumn="0" w:oddVBand="0" w:evenVBand="0" w:oddHBand="1" w:evenHBand="0" w:firstRowFirstColumn="0" w:firstRowLastColumn="0" w:lastRowFirstColumn="0" w:lastRowLastColumn="0"/>
              <w:rPr>
                <w:bCs/>
                <w:color w:val="FFFFFF" w:themeColor="background1"/>
              </w:rPr>
            </w:pPr>
            <w:r w:rsidRPr="000241B2">
              <w:rPr>
                <w:bCs/>
                <w:color w:val="FFFFFF" w:themeColor="background1"/>
              </w:rPr>
              <w:t>Kulturne dejavnosti (%)</w:t>
            </w:r>
          </w:p>
        </w:tc>
        <w:tc>
          <w:tcPr>
            <w:tcW w:w="1055" w:type="dxa"/>
            <w:shd w:val="clear" w:color="auto" w:fill="9BBB59" w:themeFill="accent3"/>
            <w:textDirection w:val="btLr"/>
            <w:hideMark/>
          </w:tcPr>
          <w:p w:rsidR="00417E93" w:rsidRPr="000241B2" w:rsidRDefault="00417E93" w:rsidP="000D5FDF">
            <w:pPr>
              <w:pStyle w:val="Podpispodtabeloaligrafom"/>
              <w:spacing w:after="0"/>
              <w:ind w:left="113" w:right="113"/>
              <w:cnfStyle w:val="000000100000" w:firstRow="0" w:lastRow="0" w:firstColumn="0" w:lastColumn="0" w:oddVBand="0" w:evenVBand="0" w:oddHBand="1" w:evenHBand="0" w:firstRowFirstColumn="0" w:firstRowLastColumn="0" w:lastRowFirstColumn="0" w:lastRowLastColumn="0"/>
              <w:rPr>
                <w:bCs/>
                <w:color w:val="FFFFFF" w:themeColor="background1"/>
              </w:rPr>
            </w:pPr>
            <w:r w:rsidRPr="000241B2">
              <w:rPr>
                <w:bCs/>
                <w:color w:val="FFFFFF" w:themeColor="background1"/>
              </w:rPr>
              <w:t>Dejavnosti radia in televizije ter založništva (EUR)</w:t>
            </w:r>
          </w:p>
        </w:tc>
        <w:tc>
          <w:tcPr>
            <w:tcW w:w="755" w:type="dxa"/>
            <w:shd w:val="clear" w:color="auto" w:fill="9BBB59" w:themeFill="accent3"/>
            <w:textDirection w:val="btLr"/>
            <w:hideMark/>
          </w:tcPr>
          <w:p w:rsidR="00417E93" w:rsidRPr="000241B2" w:rsidRDefault="00417E93" w:rsidP="000D5FDF">
            <w:pPr>
              <w:pStyle w:val="Podpispodtabeloaligrafom"/>
              <w:spacing w:after="0"/>
              <w:ind w:left="113" w:right="113"/>
              <w:cnfStyle w:val="000000100000" w:firstRow="0" w:lastRow="0" w:firstColumn="0" w:lastColumn="0" w:oddVBand="0" w:evenVBand="0" w:oddHBand="1" w:evenHBand="0" w:firstRowFirstColumn="0" w:firstRowLastColumn="0" w:lastRowFirstColumn="0" w:lastRowLastColumn="0"/>
              <w:rPr>
                <w:bCs/>
                <w:color w:val="FFFFFF" w:themeColor="background1"/>
              </w:rPr>
            </w:pPr>
            <w:r w:rsidRPr="000241B2">
              <w:rPr>
                <w:bCs/>
                <w:color w:val="FFFFFF" w:themeColor="background1"/>
              </w:rPr>
              <w:t>Dejavnosti radia in televizije ter založništva (%)</w:t>
            </w:r>
          </w:p>
        </w:tc>
      </w:tr>
      <w:tr w:rsidR="000241B2" w:rsidRPr="00417E93" w:rsidTr="005026D5">
        <w:trPr>
          <w:trHeight w:val="102"/>
        </w:trPr>
        <w:tc>
          <w:tcPr>
            <w:cnfStyle w:val="001000000000" w:firstRow="0" w:lastRow="0" w:firstColumn="1" w:lastColumn="0" w:oddVBand="0" w:evenVBand="0" w:oddHBand="0" w:evenHBand="0" w:firstRowFirstColumn="0" w:firstRowLastColumn="0" w:lastRowFirstColumn="0" w:lastRowLastColumn="0"/>
            <w:tcW w:w="2093" w:type="dxa"/>
            <w:noWrap/>
            <w:hideMark/>
          </w:tcPr>
          <w:p w:rsidR="00417E93" w:rsidRPr="000241B2" w:rsidRDefault="00417E93" w:rsidP="000241B2">
            <w:pPr>
              <w:pStyle w:val="Podpispodtabeloaligrafom"/>
              <w:spacing w:after="0"/>
              <w:rPr>
                <w:bCs w:val="0"/>
              </w:rPr>
            </w:pPr>
            <w:r w:rsidRPr="000241B2">
              <w:rPr>
                <w:bCs w:val="0"/>
              </w:rPr>
              <w:t>Tekoči odhodki</w:t>
            </w:r>
          </w:p>
        </w:tc>
        <w:tc>
          <w:tcPr>
            <w:tcW w:w="1134" w:type="dxa"/>
            <w:hideMark/>
          </w:tcPr>
          <w:p w:rsidR="00417E93" w:rsidRPr="00394C14" w:rsidRDefault="00417E93" w:rsidP="000241B2">
            <w:pPr>
              <w:pStyle w:val="Podpispodtabeloaligrafom"/>
              <w:spacing w:after="0"/>
              <w:cnfStyle w:val="000000000000" w:firstRow="0" w:lastRow="0" w:firstColumn="0" w:lastColumn="0" w:oddVBand="0" w:evenVBand="0" w:oddHBand="0" w:evenHBand="0" w:firstRowFirstColumn="0" w:firstRowLastColumn="0" w:lastRowFirstColumn="0" w:lastRowLastColumn="0"/>
            </w:pPr>
            <w:r w:rsidRPr="00394C14">
              <w:t>5.913.219,46</w:t>
            </w:r>
          </w:p>
        </w:tc>
        <w:tc>
          <w:tcPr>
            <w:tcW w:w="709" w:type="dxa"/>
            <w:noWrap/>
            <w:hideMark/>
          </w:tcPr>
          <w:p w:rsidR="00417E93" w:rsidRPr="00394C14" w:rsidRDefault="00417E93" w:rsidP="000241B2">
            <w:pPr>
              <w:pStyle w:val="Podpispodtabeloaligrafom"/>
              <w:spacing w:after="0"/>
              <w:cnfStyle w:val="000000000000" w:firstRow="0" w:lastRow="0" w:firstColumn="0" w:lastColumn="0" w:oddVBand="0" w:evenVBand="0" w:oddHBand="0" w:evenHBand="0" w:firstRowFirstColumn="0" w:firstRowLastColumn="0" w:lastRowFirstColumn="0" w:lastRowLastColumn="0"/>
            </w:pPr>
            <w:r w:rsidRPr="00394C14">
              <w:t>4,24</w:t>
            </w:r>
          </w:p>
        </w:tc>
        <w:tc>
          <w:tcPr>
            <w:tcW w:w="1134" w:type="dxa"/>
            <w:hideMark/>
          </w:tcPr>
          <w:p w:rsidR="00417E93" w:rsidRPr="00394C14" w:rsidRDefault="00417E93" w:rsidP="000241B2">
            <w:pPr>
              <w:pStyle w:val="Podpispodtabeloaligrafom"/>
              <w:spacing w:after="0"/>
              <w:cnfStyle w:val="000000000000" w:firstRow="0" w:lastRow="0" w:firstColumn="0" w:lastColumn="0" w:oddVBand="0" w:evenVBand="0" w:oddHBand="0" w:evenHBand="0" w:firstRowFirstColumn="0" w:firstRowLastColumn="0" w:lastRowFirstColumn="0" w:lastRowLastColumn="0"/>
            </w:pPr>
            <w:r w:rsidRPr="00394C14">
              <w:t>3.226.620,74</w:t>
            </w:r>
          </w:p>
        </w:tc>
        <w:tc>
          <w:tcPr>
            <w:tcW w:w="708" w:type="dxa"/>
            <w:tcBorders>
              <w:right w:val="single" w:sz="8" w:space="0" w:color="9BBB59" w:themeColor="accent3"/>
            </w:tcBorders>
            <w:noWrap/>
            <w:hideMark/>
          </w:tcPr>
          <w:p w:rsidR="00417E93" w:rsidRPr="00394C14" w:rsidRDefault="00417E93" w:rsidP="000241B2">
            <w:pPr>
              <w:pStyle w:val="Podpispodtabeloaligrafom"/>
              <w:spacing w:after="0"/>
              <w:cnfStyle w:val="000000000000" w:firstRow="0" w:lastRow="0" w:firstColumn="0" w:lastColumn="0" w:oddVBand="0" w:evenVBand="0" w:oddHBand="0" w:evenHBand="0" w:firstRowFirstColumn="0" w:firstRowLastColumn="0" w:lastRowFirstColumn="0" w:lastRowLastColumn="0"/>
            </w:pPr>
            <w:r w:rsidRPr="00394C14">
              <w:t>80,12</w:t>
            </w:r>
          </w:p>
        </w:tc>
        <w:tc>
          <w:tcPr>
            <w:tcW w:w="1134" w:type="dxa"/>
            <w:gridSpan w:val="2"/>
            <w:tcBorders>
              <w:top w:val="single" w:sz="8" w:space="0" w:color="9BBB59" w:themeColor="accent3"/>
              <w:left w:val="single" w:sz="8" w:space="0" w:color="9BBB59" w:themeColor="accent3"/>
              <w:bottom w:val="single" w:sz="8" w:space="0" w:color="9BBB59" w:themeColor="accent3"/>
            </w:tcBorders>
            <w:hideMark/>
          </w:tcPr>
          <w:p w:rsidR="00417E93" w:rsidRPr="00394C14" w:rsidRDefault="00417E93" w:rsidP="000241B2">
            <w:pPr>
              <w:pStyle w:val="Podpispodtabeloaligrafom"/>
              <w:spacing w:after="0"/>
              <w:cnfStyle w:val="000000000000" w:firstRow="0" w:lastRow="0" w:firstColumn="0" w:lastColumn="0" w:oddVBand="0" w:evenVBand="0" w:oddHBand="0" w:evenHBand="0" w:firstRowFirstColumn="0" w:firstRowLastColumn="0" w:lastRowFirstColumn="0" w:lastRowLastColumn="0"/>
            </w:pPr>
            <w:r w:rsidRPr="00394C14">
              <w:t>5.972.016,02</w:t>
            </w:r>
          </w:p>
        </w:tc>
        <w:tc>
          <w:tcPr>
            <w:tcW w:w="567" w:type="dxa"/>
            <w:noWrap/>
            <w:hideMark/>
          </w:tcPr>
          <w:p w:rsidR="00417E93" w:rsidRPr="00394C14" w:rsidRDefault="00417E93" w:rsidP="000241B2">
            <w:pPr>
              <w:pStyle w:val="Podpispodtabeloaligrafom"/>
              <w:spacing w:after="0"/>
              <w:cnfStyle w:val="000000000000" w:firstRow="0" w:lastRow="0" w:firstColumn="0" w:lastColumn="0" w:oddVBand="0" w:evenVBand="0" w:oddHBand="0" w:evenHBand="0" w:firstRowFirstColumn="0" w:firstRowLastColumn="0" w:lastRowFirstColumn="0" w:lastRowLastColumn="0"/>
            </w:pPr>
            <w:r w:rsidRPr="00394C14">
              <w:t>4,63</w:t>
            </w:r>
          </w:p>
        </w:tc>
        <w:tc>
          <w:tcPr>
            <w:tcW w:w="1055" w:type="dxa"/>
            <w:hideMark/>
          </w:tcPr>
          <w:p w:rsidR="00417E93" w:rsidRPr="00394C14" w:rsidRDefault="00417E93" w:rsidP="000241B2">
            <w:pPr>
              <w:pStyle w:val="Podpispodtabeloaligrafom"/>
              <w:spacing w:after="0"/>
              <w:cnfStyle w:val="000000000000" w:firstRow="0" w:lastRow="0" w:firstColumn="0" w:lastColumn="0" w:oddVBand="0" w:evenVBand="0" w:oddHBand="0" w:evenHBand="0" w:firstRowFirstColumn="0" w:firstRowLastColumn="0" w:lastRowFirstColumn="0" w:lastRowLastColumn="0"/>
            </w:pPr>
            <w:r w:rsidRPr="00394C14">
              <w:t>3.210.893,10</w:t>
            </w:r>
          </w:p>
        </w:tc>
        <w:tc>
          <w:tcPr>
            <w:tcW w:w="755" w:type="dxa"/>
            <w:noWrap/>
            <w:hideMark/>
          </w:tcPr>
          <w:p w:rsidR="00417E93" w:rsidRPr="00394C14" w:rsidRDefault="00417E93" w:rsidP="000241B2">
            <w:pPr>
              <w:pStyle w:val="Podpispodtabeloaligrafom"/>
              <w:spacing w:after="0"/>
              <w:cnfStyle w:val="000000000000" w:firstRow="0" w:lastRow="0" w:firstColumn="0" w:lastColumn="0" w:oddVBand="0" w:evenVBand="0" w:oddHBand="0" w:evenHBand="0" w:firstRowFirstColumn="0" w:firstRowLastColumn="0" w:lastRowFirstColumn="0" w:lastRowLastColumn="0"/>
            </w:pPr>
            <w:r w:rsidRPr="00394C14">
              <w:t>79,59</w:t>
            </w:r>
          </w:p>
        </w:tc>
      </w:tr>
      <w:tr w:rsidR="000241B2" w:rsidRPr="00417E93" w:rsidTr="005026D5">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2093" w:type="dxa"/>
            <w:noWrap/>
            <w:hideMark/>
          </w:tcPr>
          <w:p w:rsidR="00417E93" w:rsidRPr="000241B2" w:rsidRDefault="00417E93" w:rsidP="000241B2">
            <w:pPr>
              <w:pStyle w:val="Podpispodtabeloaligrafom"/>
              <w:spacing w:after="0"/>
              <w:rPr>
                <w:bCs w:val="0"/>
              </w:rPr>
            </w:pPr>
            <w:r w:rsidRPr="000241B2">
              <w:rPr>
                <w:bCs w:val="0"/>
              </w:rPr>
              <w:t>Tekoči transferi</w:t>
            </w:r>
          </w:p>
        </w:tc>
        <w:tc>
          <w:tcPr>
            <w:tcW w:w="1134" w:type="dxa"/>
            <w:hideMark/>
          </w:tcPr>
          <w:p w:rsidR="00417E93" w:rsidRPr="00394C14" w:rsidRDefault="00417E93" w:rsidP="000241B2">
            <w:pPr>
              <w:pStyle w:val="Podpispodtabeloaligrafom"/>
              <w:spacing w:after="0"/>
              <w:cnfStyle w:val="000000100000" w:firstRow="0" w:lastRow="0" w:firstColumn="0" w:lastColumn="0" w:oddVBand="0" w:evenVBand="0" w:oddHBand="1" w:evenHBand="0" w:firstRowFirstColumn="0" w:firstRowLastColumn="0" w:lastRowFirstColumn="0" w:lastRowLastColumn="0"/>
            </w:pPr>
            <w:r w:rsidRPr="00394C14">
              <w:t>70.822.362,99</w:t>
            </w:r>
          </w:p>
        </w:tc>
        <w:tc>
          <w:tcPr>
            <w:tcW w:w="709" w:type="dxa"/>
            <w:noWrap/>
            <w:hideMark/>
          </w:tcPr>
          <w:p w:rsidR="00417E93" w:rsidRPr="00394C14" w:rsidRDefault="00417E93" w:rsidP="000241B2">
            <w:pPr>
              <w:pStyle w:val="Podpispodtabeloaligrafom"/>
              <w:spacing w:after="0"/>
              <w:cnfStyle w:val="000000100000" w:firstRow="0" w:lastRow="0" w:firstColumn="0" w:lastColumn="0" w:oddVBand="0" w:evenVBand="0" w:oddHBand="1" w:evenHBand="0" w:firstRowFirstColumn="0" w:firstRowLastColumn="0" w:lastRowFirstColumn="0" w:lastRowLastColumn="0"/>
            </w:pPr>
            <w:r w:rsidRPr="00394C14">
              <w:t>50,81</w:t>
            </w:r>
          </w:p>
        </w:tc>
        <w:tc>
          <w:tcPr>
            <w:tcW w:w="1134" w:type="dxa"/>
            <w:hideMark/>
          </w:tcPr>
          <w:p w:rsidR="00417E93" w:rsidRPr="00394C14" w:rsidRDefault="00417E93" w:rsidP="000241B2">
            <w:pPr>
              <w:pStyle w:val="Podpispodtabeloaligrafom"/>
              <w:spacing w:after="0"/>
              <w:cnfStyle w:val="000000100000" w:firstRow="0" w:lastRow="0" w:firstColumn="0" w:lastColumn="0" w:oddVBand="0" w:evenVBand="0" w:oddHBand="1" w:evenHBand="0" w:firstRowFirstColumn="0" w:firstRowLastColumn="0" w:lastRowFirstColumn="0" w:lastRowLastColumn="0"/>
            </w:pPr>
            <w:r w:rsidRPr="00394C14">
              <w:t>766.881,82</w:t>
            </w:r>
          </w:p>
        </w:tc>
        <w:tc>
          <w:tcPr>
            <w:tcW w:w="708" w:type="dxa"/>
            <w:tcBorders>
              <w:right w:val="single" w:sz="8" w:space="0" w:color="9BBB59" w:themeColor="accent3"/>
            </w:tcBorders>
            <w:noWrap/>
            <w:hideMark/>
          </w:tcPr>
          <w:p w:rsidR="00417E93" w:rsidRPr="00394C14" w:rsidRDefault="00417E93" w:rsidP="000241B2">
            <w:pPr>
              <w:pStyle w:val="Podpispodtabeloaligrafom"/>
              <w:spacing w:after="0"/>
              <w:cnfStyle w:val="000000100000" w:firstRow="0" w:lastRow="0" w:firstColumn="0" w:lastColumn="0" w:oddVBand="0" w:evenVBand="0" w:oddHBand="1" w:evenHBand="0" w:firstRowFirstColumn="0" w:firstRowLastColumn="0" w:lastRowFirstColumn="0" w:lastRowLastColumn="0"/>
            </w:pPr>
            <w:r w:rsidRPr="00394C14">
              <w:t>19,04</w:t>
            </w:r>
          </w:p>
        </w:tc>
        <w:tc>
          <w:tcPr>
            <w:tcW w:w="1134" w:type="dxa"/>
            <w:gridSpan w:val="2"/>
            <w:tcBorders>
              <w:left w:val="single" w:sz="8" w:space="0" w:color="9BBB59" w:themeColor="accent3"/>
            </w:tcBorders>
            <w:hideMark/>
          </w:tcPr>
          <w:p w:rsidR="00417E93" w:rsidRPr="00394C14" w:rsidRDefault="00417E93" w:rsidP="000241B2">
            <w:pPr>
              <w:pStyle w:val="Podpispodtabeloaligrafom"/>
              <w:spacing w:after="0"/>
              <w:cnfStyle w:val="000000100000" w:firstRow="0" w:lastRow="0" w:firstColumn="0" w:lastColumn="0" w:oddVBand="0" w:evenVBand="0" w:oddHBand="1" w:evenHBand="0" w:firstRowFirstColumn="0" w:firstRowLastColumn="0" w:lastRowFirstColumn="0" w:lastRowLastColumn="0"/>
            </w:pPr>
            <w:r w:rsidRPr="00394C14">
              <w:t>80.268.634,06</w:t>
            </w:r>
          </w:p>
        </w:tc>
        <w:tc>
          <w:tcPr>
            <w:tcW w:w="567" w:type="dxa"/>
            <w:noWrap/>
            <w:hideMark/>
          </w:tcPr>
          <w:p w:rsidR="00417E93" w:rsidRPr="00394C14" w:rsidRDefault="00417E93" w:rsidP="000241B2">
            <w:pPr>
              <w:pStyle w:val="Podpispodtabeloaligrafom"/>
              <w:spacing w:after="0"/>
              <w:cnfStyle w:val="000000100000" w:firstRow="0" w:lastRow="0" w:firstColumn="0" w:lastColumn="0" w:oddVBand="0" w:evenVBand="0" w:oddHBand="1" w:evenHBand="0" w:firstRowFirstColumn="0" w:firstRowLastColumn="0" w:lastRowFirstColumn="0" w:lastRowLastColumn="0"/>
            </w:pPr>
            <w:r w:rsidRPr="00394C14">
              <w:t>62,28</w:t>
            </w:r>
          </w:p>
        </w:tc>
        <w:tc>
          <w:tcPr>
            <w:tcW w:w="1055" w:type="dxa"/>
            <w:hideMark/>
          </w:tcPr>
          <w:p w:rsidR="00417E93" w:rsidRPr="00394C14" w:rsidRDefault="00417E93" w:rsidP="000241B2">
            <w:pPr>
              <w:pStyle w:val="Podpispodtabeloaligrafom"/>
              <w:spacing w:after="0"/>
              <w:cnfStyle w:val="000000100000" w:firstRow="0" w:lastRow="0" w:firstColumn="0" w:lastColumn="0" w:oddVBand="0" w:evenVBand="0" w:oddHBand="1" w:evenHBand="0" w:firstRowFirstColumn="0" w:firstRowLastColumn="0" w:lastRowFirstColumn="0" w:lastRowLastColumn="0"/>
            </w:pPr>
            <w:r w:rsidRPr="00394C14">
              <w:t>793.486,86</w:t>
            </w:r>
          </w:p>
        </w:tc>
        <w:tc>
          <w:tcPr>
            <w:tcW w:w="755" w:type="dxa"/>
            <w:noWrap/>
            <w:hideMark/>
          </w:tcPr>
          <w:p w:rsidR="00417E93" w:rsidRPr="00394C14" w:rsidRDefault="00417E93" w:rsidP="000241B2">
            <w:pPr>
              <w:pStyle w:val="Podpispodtabeloaligrafom"/>
              <w:spacing w:after="0"/>
              <w:cnfStyle w:val="000000100000" w:firstRow="0" w:lastRow="0" w:firstColumn="0" w:lastColumn="0" w:oddVBand="0" w:evenVBand="0" w:oddHBand="1" w:evenHBand="0" w:firstRowFirstColumn="0" w:firstRowLastColumn="0" w:lastRowFirstColumn="0" w:lastRowLastColumn="0"/>
            </w:pPr>
            <w:r w:rsidRPr="00394C14">
              <w:t>19,67</w:t>
            </w:r>
          </w:p>
        </w:tc>
      </w:tr>
      <w:tr w:rsidR="000241B2" w:rsidRPr="00417E93" w:rsidTr="005026D5">
        <w:trPr>
          <w:trHeight w:val="102"/>
        </w:trPr>
        <w:tc>
          <w:tcPr>
            <w:cnfStyle w:val="001000000000" w:firstRow="0" w:lastRow="0" w:firstColumn="1" w:lastColumn="0" w:oddVBand="0" w:evenVBand="0" w:oddHBand="0" w:evenHBand="0" w:firstRowFirstColumn="0" w:firstRowLastColumn="0" w:lastRowFirstColumn="0" w:lastRowLastColumn="0"/>
            <w:tcW w:w="2093" w:type="dxa"/>
            <w:noWrap/>
            <w:hideMark/>
          </w:tcPr>
          <w:p w:rsidR="00417E93" w:rsidRPr="000241B2" w:rsidRDefault="00417E93" w:rsidP="000241B2">
            <w:pPr>
              <w:pStyle w:val="Podpispodtabeloaligrafom"/>
              <w:spacing w:after="0"/>
              <w:rPr>
                <w:bCs w:val="0"/>
              </w:rPr>
            </w:pPr>
            <w:r w:rsidRPr="000241B2">
              <w:rPr>
                <w:bCs w:val="0"/>
              </w:rPr>
              <w:t>Investicijski odhodki</w:t>
            </w:r>
          </w:p>
        </w:tc>
        <w:tc>
          <w:tcPr>
            <w:tcW w:w="1134" w:type="dxa"/>
            <w:hideMark/>
          </w:tcPr>
          <w:p w:rsidR="00417E93" w:rsidRPr="00394C14" w:rsidRDefault="00417E93" w:rsidP="000241B2">
            <w:pPr>
              <w:pStyle w:val="Podpispodtabeloaligrafom"/>
              <w:spacing w:after="0"/>
              <w:cnfStyle w:val="000000000000" w:firstRow="0" w:lastRow="0" w:firstColumn="0" w:lastColumn="0" w:oddVBand="0" w:evenVBand="0" w:oddHBand="0" w:evenHBand="0" w:firstRowFirstColumn="0" w:firstRowLastColumn="0" w:lastRowFirstColumn="0" w:lastRowLastColumn="0"/>
            </w:pPr>
            <w:r w:rsidRPr="00394C14">
              <w:t>52.883.628,93</w:t>
            </w:r>
          </w:p>
        </w:tc>
        <w:tc>
          <w:tcPr>
            <w:tcW w:w="709" w:type="dxa"/>
            <w:noWrap/>
            <w:hideMark/>
          </w:tcPr>
          <w:p w:rsidR="00417E93" w:rsidRPr="00394C14" w:rsidRDefault="00417E93" w:rsidP="000241B2">
            <w:pPr>
              <w:pStyle w:val="Podpispodtabeloaligrafom"/>
              <w:spacing w:after="0"/>
              <w:cnfStyle w:val="000000000000" w:firstRow="0" w:lastRow="0" w:firstColumn="0" w:lastColumn="0" w:oddVBand="0" w:evenVBand="0" w:oddHBand="0" w:evenHBand="0" w:firstRowFirstColumn="0" w:firstRowLastColumn="0" w:lastRowFirstColumn="0" w:lastRowLastColumn="0"/>
            </w:pPr>
            <w:r w:rsidRPr="00394C14">
              <w:t>37,94</w:t>
            </w:r>
          </w:p>
        </w:tc>
        <w:tc>
          <w:tcPr>
            <w:tcW w:w="1134" w:type="dxa"/>
            <w:hideMark/>
          </w:tcPr>
          <w:p w:rsidR="00417E93" w:rsidRPr="00394C14" w:rsidRDefault="00417E93" w:rsidP="000241B2">
            <w:pPr>
              <w:pStyle w:val="Podpispodtabeloaligrafom"/>
              <w:spacing w:after="0"/>
              <w:cnfStyle w:val="000000000000" w:firstRow="0" w:lastRow="0" w:firstColumn="0" w:lastColumn="0" w:oddVBand="0" w:evenVBand="0" w:oddHBand="0" w:evenHBand="0" w:firstRowFirstColumn="0" w:firstRowLastColumn="0" w:lastRowFirstColumn="0" w:lastRowLastColumn="0"/>
            </w:pPr>
            <w:r w:rsidRPr="00394C14">
              <w:t>32.867,46</w:t>
            </w:r>
          </w:p>
        </w:tc>
        <w:tc>
          <w:tcPr>
            <w:tcW w:w="708" w:type="dxa"/>
            <w:tcBorders>
              <w:right w:val="single" w:sz="8" w:space="0" w:color="9BBB59" w:themeColor="accent3"/>
            </w:tcBorders>
            <w:noWrap/>
            <w:hideMark/>
          </w:tcPr>
          <w:p w:rsidR="00417E93" w:rsidRPr="00394C14" w:rsidRDefault="00417E93" w:rsidP="000241B2">
            <w:pPr>
              <w:pStyle w:val="Podpispodtabeloaligrafom"/>
              <w:spacing w:after="0"/>
              <w:cnfStyle w:val="000000000000" w:firstRow="0" w:lastRow="0" w:firstColumn="0" w:lastColumn="0" w:oddVBand="0" w:evenVBand="0" w:oddHBand="0" w:evenHBand="0" w:firstRowFirstColumn="0" w:firstRowLastColumn="0" w:lastRowFirstColumn="0" w:lastRowLastColumn="0"/>
            </w:pPr>
            <w:r w:rsidRPr="00394C14">
              <w:t>0,82</w:t>
            </w:r>
          </w:p>
        </w:tc>
        <w:tc>
          <w:tcPr>
            <w:tcW w:w="1134" w:type="dxa"/>
            <w:gridSpan w:val="2"/>
            <w:tcBorders>
              <w:top w:val="single" w:sz="8" w:space="0" w:color="9BBB59" w:themeColor="accent3"/>
              <w:left w:val="single" w:sz="8" w:space="0" w:color="9BBB59" w:themeColor="accent3"/>
              <w:bottom w:val="single" w:sz="8" w:space="0" w:color="9BBB59" w:themeColor="accent3"/>
            </w:tcBorders>
            <w:hideMark/>
          </w:tcPr>
          <w:p w:rsidR="00417E93" w:rsidRPr="00394C14" w:rsidRDefault="00417E93" w:rsidP="000241B2">
            <w:pPr>
              <w:pStyle w:val="Podpispodtabeloaligrafom"/>
              <w:spacing w:after="0"/>
              <w:cnfStyle w:val="000000000000" w:firstRow="0" w:lastRow="0" w:firstColumn="0" w:lastColumn="0" w:oddVBand="0" w:evenVBand="0" w:oddHBand="0" w:evenHBand="0" w:firstRowFirstColumn="0" w:firstRowLastColumn="0" w:lastRowFirstColumn="0" w:lastRowLastColumn="0"/>
            </w:pPr>
            <w:r w:rsidRPr="00394C14">
              <w:t>38.018.518,55</w:t>
            </w:r>
          </w:p>
        </w:tc>
        <w:tc>
          <w:tcPr>
            <w:tcW w:w="567" w:type="dxa"/>
            <w:noWrap/>
            <w:hideMark/>
          </w:tcPr>
          <w:p w:rsidR="00417E93" w:rsidRPr="00394C14" w:rsidRDefault="00417E93" w:rsidP="000241B2">
            <w:pPr>
              <w:pStyle w:val="Podpispodtabeloaligrafom"/>
              <w:spacing w:after="0"/>
              <w:cnfStyle w:val="000000000000" w:firstRow="0" w:lastRow="0" w:firstColumn="0" w:lastColumn="0" w:oddVBand="0" w:evenVBand="0" w:oddHBand="0" w:evenHBand="0" w:firstRowFirstColumn="0" w:firstRowLastColumn="0" w:lastRowFirstColumn="0" w:lastRowLastColumn="0"/>
            </w:pPr>
            <w:r w:rsidRPr="00394C14">
              <w:t>29,50</w:t>
            </w:r>
          </w:p>
        </w:tc>
        <w:tc>
          <w:tcPr>
            <w:tcW w:w="1055" w:type="dxa"/>
            <w:hideMark/>
          </w:tcPr>
          <w:p w:rsidR="00417E93" w:rsidRPr="00394C14" w:rsidRDefault="00417E93" w:rsidP="000241B2">
            <w:pPr>
              <w:pStyle w:val="Podpispodtabeloaligrafom"/>
              <w:spacing w:after="0"/>
              <w:cnfStyle w:val="000000000000" w:firstRow="0" w:lastRow="0" w:firstColumn="0" w:lastColumn="0" w:oddVBand="0" w:evenVBand="0" w:oddHBand="0" w:evenHBand="0" w:firstRowFirstColumn="0" w:firstRowLastColumn="0" w:lastRowFirstColumn="0" w:lastRowLastColumn="0"/>
            </w:pPr>
            <w:r w:rsidRPr="00394C14">
              <w:t>15.159,73</w:t>
            </w:r>
          </w:p>
        </w:tc>
        <w:tc>
          <w:tcPr>
            <w:tcW w:w="755" w:type="dxa"/>
            <w:noWrap/>
            <w:hideMark/>
          </w:tcPr>
          <w:p w:rsidR="00417E93" w:rsidRPr="00394C14" w:rsidRDefault="00417E93" w:rsidP="000241B2">
            <w:pPr>
              <w:pStyle w:val="Podpispodtabeloaligrafom"/>
              <w:spacing w:after="0"/>
              <w:cnfStyle w:val="000000000000" w:firstRow="0" w:lastRow="0" w:firstColumn="0" w:lastColumn="0" w:oddVBand="0" w:evenVBand="0" w:oddHBand="0" w:evenHBand="0" w:firstRowFirstColumn="0" w:firstRowLastColumn="0" w:lastRowFirstColumn="0" w:lastRowLastColumn="0"/>
            </w:pPr>
            <w:r w:rsidRPr="00394C14">
              <w:t>0,38</w:t>
            </w:r>
          </w:p>
        </w:tc>
      </w:tr>
      <w:tr w:rsidR="000241B2" w:rsidRPr="00417E93" w:rsidTr="005026D5">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2093" w:type="dxa"/>
            <w:noWrap/>
            <w:hideMark/>
          </w:tcPr>
          <w:p w:rsidR="00417E93" w:rsidRPr="000241B2" w:rsidRDefault="00417E93" w:rsidP="000241B2">
            <w:pPr>
              <w:pStyle w:val="Podpispodtabeloaligrafom"/>
              <w:spacing w:after="0"/>
              <w:rPr>
                <w:bCs w:val="0"/>
              </w:rPr>
            </w:pPr>
            <w:r w:rsidRPr="000241B2">
              <w:rPr>
                <w:bCs w:val="0"/>
              </w:rPr>
              <w:t>Investicijski transferi</w:t>
            </w:r>
          </w:p>
        </w:tc>
        <w:tc>
          <w:tcPr>
            <w:tcW w:w="1134" w:type="dxa"/>
            <w:hideMark/>
          </w:tcPr>
          <w:p w:rsidR="00417E93" w:rsidRPr="00394C14" w:rsidRDefault="00417E93" w:rsidP="000241B2">
            <w:pPr>
              <w:pStyle w:val="Podpispodtabeloaligrafom"/>
              <w:spacing w:after="0"/>
              <w:cnfStyle w:val="000000100000" w:firstRow="0" w:lastRow="0" w:firstColumn="0" w:lastColumn="0" w:oddVBand="0" w:evenVBand="0" w:oddHBand="1" w:evenHBand="0" w:firstRowFirstColumn="0" w:firstRowLastColumn="0" w:lastRowFirstColumn="0" w:lastRowLastColumn="0"/>
            </w:pPr>
            <w:r w:rsidRPr="00394C14">
              <w:t>9.195.957,63</w:t>
            </w:r>
          </w:p>
        </w:tc>
        <w:tc>
          <w:tcPr>
            <w:tcW w:w="709" w:type="dxa"/>
            <w:noWrap/>
            <w:hideMark/>
          </w:tcPr>
          <w:p w:rsidR="00417E93" w:rsidRPr="00394C14" w:rsidRDefault="00417E93" w:rsidP="000241B2">
            <w:pPr>
              <w:pStyle w:val="Podpispodtabeloaligrafom"/>
              <w:spacing w:after="0"/>
              <w:cnfStyle w:val="000000100000" w:firstRow="0" w:lastRow="0" w:firstColumn="0" w:lastColumn="0" w:oddVBand="0" w:evenVBand="0" w:oddHBand="1" w:evenHBand="0" w:firstRowFirstColumn="0" w:firstRowLastColumn="0" w:lastRowFirstColumn="0" w:lastRowLastColumn="0"/>
            </w:pPr>
            <w:r w:rsidRPr="00394C14">
              <w:t>6,60</w:t>
            </w:r>
          </w:p>
        </w:tc>
        <w:tc>
          <w:tcPr>
            <w:tcW w:w="1134" w:type="dxa"/>
            <w:hideMark/>
          </w:tcPr>
          <w:p w:rsidR="00417E93" w:rsidRPr="00394C14" w:rsidRDefault="00417E93" w:rsidP="000241B2">
            <w:pPr>
              <w:pStyle w:val="Podpispodtabeloaligrafom"/>
              <w:spacing w:after="0"/>
              <w:cnfStyle w:val="000000100000" w:firstRow="0" w:lastRow="0" w:firstColumn="0" w:lastColumn="0" w:oddVBand="0" w:evenVBand="0" w:oddHBand="1" w:evenHBand="0" w:firstRowFirstColumn="0" w:firstRowLastColumn="0" w:lastRowFirstColumn="0" w:lastRowLastColumn="0"/>
            </w:pPr>
            <w:r w:rsidRPr="00394C14">
              <w:t>651,11</w:t>
            </w:r>
          </w:p>
        </w:tc>
        <w:tc>
          <w:tcPr>
            <w:tcW w:w="708" w:type="dxa"/>
            <w:tcBorders>
              <w:right w:val="single" w:sz="8" w:space="0" w:color="9BBB59" w:themeColor="accent3"/>
            </w:tcBorders>
            <w:noWrap/>
            <w:hideMark/>
          </w:tcPr>
          <w:p w:rsidR="00417E93" w:rsidRPr="00394C14" w:rsidRDefault="00417E93" w:rsidP="000241B2">
            <w:pPr>
              <w:pStyle w:val="Podpispodtabeloaligrafom"/>
              <w:spacing w:after="0"/>
              <w:cnfStyle w:val="000000100000" w:firstRow="0" w:lastRow="0" w:firstColumn="0" w:lastColumn="0" w:oddVBand="0" w:evenVBand="0" w:oddHBand="1" w:evenHBand="0" w:firstRowFirstColumn="0" w:firstRowLastColumn="0" w:lastRowFirstColumn="0" w:lastRowLastColumn="0"/>
            </w:pPr>
            <w:r w:rsidRPr="00394C14">
              <w:t>0,02</w:t>
            </w:r>
          </w:p>
        </w:tc>
        <w:tc>
          <w:tcPr>
            <w:tcW w:w="1134" w:type="dxa"/>
            <w:gridSpan w:val="2"/>
            <w:tcBorders>
              <w:left w:val="single" w:sz="8" w:space="0" w:color="9BBB59" w:themeColor="accent3"/>
            </w:tcBorders>
            <w:hideMark/>
          </w:tcPr>
          <w:p w:rsidR="00417E93" w:rsidRPr="00394C14" w:rsidRDefault="00417E93" w:rsidP="000241B2">
            <w:pPr>
              <w:pStyle w:val="Podpispodtabeloaligrafom"/>
              <w:spacing w:after="0"/>
              <w:cnfStyle w:val="000000100000" w:firstRow="0" w:lastRow="0" w:firstColumn="0" w:lastColumn="0" w:oddVBand="0" w:evenVBand="0" w:oddHBand="1" w:evenHBand="0" w:firstRowFirstColumn="0" w:firstRowLastColumn="0" w:lastRowFirstColumn="0" w:lastRowLastColumn="0"/>
            </w:pPr>
            <w:r w:rsidRPr="00394C14">
              <w:t>4.616.928,55</w:t>
            </w:r>
          </w:p>
        </w:tc>
        <w:tc>
          <w:tcPr>
            <w:tcW w:w="567" w:type="dxa"/>
            <w:noWrap/>
            <w:hideMark/>
          </w:tcPr>
          <w:p w:rsidR="00417E93" w:rsidRPr="00394C14" w:rsidRDefault="00417E93" w:rsidP="000241B2">
            <w:pPr>
              <w:pStyle w:val="Podpispodtabeloaligrafom"/>
              <w:spacing w:after="0"/>
              <w:cnfStyle w:val="000000100000" w:firstRow="0" w:lastRow="0" w:firstColumn="0" w:lastColumn="0" w:oddVBand="0" w:evenVBand="0" w:oddHBand="1" w:evenHBand="0" w:firstRowFirstColumn="0" w:firstRowLastColumn="0" w:lastRowFirstColumn="0" w:lastRowLastColumn="0"/>
            </w:pPr>
            <w:r w:rsidRPr="00394C14">
              <w:t>3,58</w:t>
            </w:r>
          </w:p>
        </w:tc>
        <w:tc>
          <w:tcPr>
            <w:tcW w:w="1055" w:type="dxa"/>
            <w:hideMark/>
          </w:tcPr>
          <w:p w:rsidR="00417E93" w:rsidRPr="00394C14" w:rsidRDefault="00417E93" w:rsidP="000241B2">
            <w:pPr>
              <w:pStyle w:val="Podpispodtabeloaligrafom"/>
              <w:spacing w:after="0"/>
              <w:cnfStyle w:val="000000100000" w:firstRow="0" w:lastRow="0" w:firstColumn="0" w:lastColumn="0" w:oddVBand="0" w:evenVBand="0" w:oddHBand="1" w:evenHBand="0" w:firstRowFirstColumn="0" w:firstRowLastColumn="0" w:lastRowFirstColumn="0" w:lastRowLastColumn="0"/>
            </w:pPr>
            <w:r w:rsidRPr="00394C14">
              <w:t>14.592,69</w:t>
            </w:r>
          </w:p>
        </w:tc>
        <w:tc>
          <w:tcPr>
            <w:tcW w:w="755" w:type="dxa"/>
            <w:noWrap/>
            <w:hideMark/>
          </w:tcPr>
          <w:p w:rsidR="00417E93" w:rsidRPr="00394C14" w:rsidRDefault="00417E93" w:rsidP="000241B2">
            <w:pPr>
              <w:pStyle w:val="Podpispodtabeloaligrafom"/>
              <w:spacing w:after="0"/>
              <w:cnfStyle w:val="000000100000" w:firstRow="0" w:lastRow="0" w:firstColumn="0" w:lastColumn="0" w:oddVBand="0" w:evenVBand="0" w:oddHBand="1" w:evenHBand="0" w:firstRowFirstColumn="0" w:firstRowLastColumn="0" w:lastRowFirstColumn="0" w:lastRowLastColumn="0"/>
            </w:pPr>
            <w:r w:rsidRPr="00394C14">
              <w:t>0,36</w:t>
            </w:r>
          </w:p>
        </w:tc>
      </w:tr>
      <w:tr w:rsidR="000241B2" w:rsidRPr="00417E93" w:rsidTr="005026D5">
        <w:trPr>
          <w:trHeight w:val="102"/>
        </w:trPr>
        <w:tc>
          <w:tcPr>
            <w:cnfStyle w:val="001000000000" w:firstRow="0" w:lastRow="0" w:firstColumn="1" w:lastColumn="0" w:oddVBand="0" w:evenVBand="0" w:oddHBand="0" w:evenHBand="0" w:firstRowFirstColumn="0" w:firstRowLastColumn="0" w:lastRowFirstColumn="0" w:lastRowLastColumn="0"/>
            <w:tcW w:w="2093" w:type="dxa"/>
            <w:noWrap/>
            <w:hideMark/>
          </w:tcPr>
          <w:p w:rsidR="00417E93" w:rsidRPr="000241B2" w:rsidRDefault="00417E93" w:rsidP="000241B2">
            <w:pPr>
              <w:pStyle w:val="Podpispodtabeloaligrafom"/>
              <w:spacing w:after="0"/>
              <w:rPr>
                <w:bCs w:val="0"/>
              </w:rPr>
            </w:pPr>
            <w:r w:rsidRPr="000241B2">
              <w:rPr>
                <w:bCs w:val="0"/>
              </w:rPr>
              <w:t>Dana posojila in povečanje kapitalskih deležev</w:t>
            </w:r>
          </w:p>
        </w:tc>
        <w:tc>
          <w:tcPr>
            <w:tcW w:w="1134" w:type="dxa"/>
            <w:hideMark/>
          </w:tcPr>
          <w:p w:rsidR="00417E93" w:rsidRPr="00394C14" w:rsidRDefault="00417E93" w:rsidP="000241B2">
            <w:pPr>
              <w:pStyle w:val="Podpispodtabeloaligrafom"/>
              <w:spacing w:after="0"/>
              <w:cnfStyle w:val="000000000000" w:firstRow="0" w:lastRow="0" w:firstColumn="0" w:lastColumn="0" w:oddVBand="0" w:evenVBand="0" w:oddHBand="0" w:evenHBand="0" w:firstRowFirstColumn="0" w:firstRowLastColumn="0" w:lastRowFirstColumn="0" w:lastRowLastColumn="0"/>
            </w:pPr>
            <w:r w:rsidRPr="00394C14">
              <w:t>8.306,60</w:t>
            </w:r>
          </w:p>
        </w:tc>
        <w:tc>
          <w:tcPr>
            <w:tcW w:w="709" w:type="dxa"/>
            <w:noWrap/>
            <w:hideMark/>
          </w:tcPr>
          <w:p w:rsidR="00417E93" w:rsidRPr="00394C14" w:rsidRDefault="00417E93" w:rsidP="000241B2">
            <w:pPr>
              <w:pStyle w:val="Podpispodtabeloaligrafom"/>
              <w:spacing w:after="0"/>
              <w:cnfStyle w:val="000000000000" w:firstRow="0" w:lastRow="0" w:firstColumn="0" w:lastColumn="0" w:oddVBand="0" w:evenVBand="0" w:oddHBand="0" w:evenHBand="0" w:firstRowFirstColumn="0" w:firstRowLastColumn="0" w:lastRowFirstColumn="0" w:lastRowLastColumn="0"/>
            </w:pPr>
            <w:r w:rsidRPr="00394C14">
              <w:t>0,01</w:t>
            </w:r>
          </w:p>
        </w:tc>
        <w:tc>
          <w:tcPr>
            <w:tcW w:w="1134" w:type="dxa"/>
            <w:hideMark/>
          </w:tcPr>
          <w:p w:rsidR="00417E93" w:rsidRPr="00394C14" w:rsidRDefault="00417E93" w:rsidP="000241B2">
            <w:pPr>
              <w:pStyle w:val="Podpispodtabeloaligrafom"/>
              <w:spacing w:after="0"/>
              <w:cnfStyle w:val="000000000000" w:firstRow="0" w:lastRow="0" w:firstColumn="0" w:lastColumn="0" w:oddVBand="0" w:evenVBand="0" w:oddHBand="0" w:evenHBand="0" w:firstRowFirstColumn="0" w:firstRowLastColumn="0" w:lastRowFirstColumn="0" w:lastRowLastColumn="0"/>
            </w:pPr>
            <w:r w:rsidRPr="00394C14">
              <w:t>0,00</w:t>
            </w:r>
          </w:p>
        </w:tc>
        <w:tc>
          <w:tcPr>
            <w:tcW w:w="708" w:type="dxa"/>
            <w:tcBorders>
              <w:right w:val="single" w:sz="8" w:space="0" w:color="9BBB59" w:themeColor="accent3"/>
            </w:tcBorders>
            <w:noWrap/>
            <w:hideMark/>
          </w:tcPr>
          <w:p w:rsidR="00417E93" w:rsidRPr="00394C14" w:rsidRDefault="00417E93" w:rsidP="000241B2">
            <w:pPr>
              <w:pStyle w:val="Podpispodtabeloaligrafom"/>
              <w:spacing w:after="0"/>
              <w:cnfStyle w:val="000000000000" w:firstRow="0" w:lastRow="0" w:firstColumn="0" w:lastColumn="0" w:oddVBand="0" w:evenVBand="0" w:oddHBand="0" w:evenHBand="0" w:firstRowFirstColumn="0" w:firstRowLastColumn="0" w:lastRowFirstColumn="0" w:lastRowLastColumn="0"/>
            </w:pPr>
            <w:r w:rsidRPr="00394C14">
              <w:t>0,00</w:t>
            </w:r>
          </w:p>
        </w:tc>
        <w:tc>
          <w:tcPr>
            <w:tcW w:w="1134" w:type="dxa"/>
            <w:gridSpan w:val="2"/>
            <w:tcBorders>
              <w:top w:val="single" w:sz="8" w:space="0" w:color="9BBB59" w:themeColor="accent3"/>
              <w:left w:val="single" w:sz="8" w:space="0" w:color="9BBB59" w:themeColor="accent3"/>
              <w:bottom w:val="single" w:sz="8" w:space="0" w:color="9BBB59" w:themeColor="accent3"/>
            </w:tcBorders>
            <w:hideMark/>
          </w:tcPr>
          <w:p w:rsidR="00417E93" w:rsidRPr="00394C14" w:rsidRDefault="00417E93" w:rsidP="000241B2">
            <w:pPr>
              <w:pStyle w:val="Podpispodtabeloaligrafom"/>
              <w:spacing w:after="0"/>
              <w:cnfStyle w:val="000000000000" w:firstRow="0" w:lastRow="0" w:firstColumn="0" w:lastColumn="0" w:oddVBand="0" w:evenVBand="0" w:oddHBand="0" w:evenHBand="0" w:firstRowFirstColumn="0" w:firstRowLastColumn="0" w:lastRowFirstColumn="0" w:lastRowLastColumn="0"/>
            </w:pPr>
            <w:r w:rsidRPr="00394C14">
              <w:t>0,00</w:t>
            </w:r>
          </w:p>
        </w:tc>
        <w:tc>
          <w:tcPr>
            <w:tcW w:w="567" w:type="dxa"/>
            <w:noWrap/>
            <w:hideMark/>
          </w:tcPr>
          <w:p w:rsidR="00417E93" w:rsidRPr="00394C14" w:rsidRDefault="00417E93" w:rsidP="000241B2">
            <w:pPr>
              <w:pStyle w:val="Podpispodtabeloaligrafom"/>
              <w:spacing w:after="0"/>
              <w:cnfStyle w:val="000000000000" w:firstRow="0" w:lastRow="0" w:firstColumn="0" w:lastColumn="0" w:oddVBand="0" w:evenVBand="0" w:oddHBand="0" w:evenHBand="0" w:firstRowFirstColumn="0" w:firstRowLastColumn="0" w:lastRowFirstColumn="0" w:lastRowLastColumn="0"/>
            </w:pPr>
            <w:r w:rsidRPr="00394C14">
              <w:t>0,00</w:t>
            </w:r>
          </w:p>
        </w:tc>
        <w:tc>
          <w:tcPr>
            <w:tcW w:w="1055" w:type="dxa"/>
            <w:hideMark/>
          </w:tcPr>
          <w:p w:rsidR="00417E93" w:rsidRPr="00394C14" w:rsidRDefault="00417E93" w:rsidP="000241B2">
            <w:pPr>
              <w:pStyle w:val="Podpispodtabeloaligrafom"/>
              <w:spacing w:after="0"/>
              <w:cnfStyle w:val="000000000000" w:firstRow="0" w:lastRow="0" w:firstColumn="0" w:lastColumn="0" w:oddVBand="0" w:evenVBand="0" w:oddHBand="0" w:evenHBand="0" w:firstRowFirstColumn="0" w:firstRowLastColumn="0" w:lastRowFirstColumn="0" w:lastRowLastColumn="0"/>
            </w:pPr>
            <w:r w:rsidRPr="00394C14">
              <w:t>0,00</w:t>
            </w:r>
          </w:p>
        </w:tc>
        <w:tc>
          <w:tcPr>
            <w:tcW w:w="755" w:type="dxa"/>
            <w:noWrap/>
            <w:hideMark/>
          </w:tcPr>
          <w:p w:rsidR="00417E93" w:rsidRPr="00394C14" w:rsidRDefault="00417E93" w:rsidP="000241B2">
            <w:pPr>
              <w:pStyle w:val="Podpispodtabeloaligrafom"/>
              <w:spacing w:after="0"/>
              <w:cnfStyle w:val="000000000000" w:firstRow="0" w:lastRow="0" w:firstColumn="0" w:lastColumn="0" w:oddVBand="0" w:evenVBand="0" w:oddHBand="0" w:evenHBand="0" w:firstRowFirstColumn="0" w:firstRowLastColumn="0" w:lastRowFirstColumn="0" w:lastRowLastColumn="0"/>
            </w:pPr>
            <w:r w:rsidRPr="00394C14">
              <w:t>0,00</w:t>
            </w:r>
          </w:p>
        </w:tc>
      </w:tr>
      <w:tr w:rsidR="000241B2" w:rsidRPr="00417E93" w:rsidTr="005026D5">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2093" w:type="dxa"/>
            <w:noWrap/>
            <w:hideMark/>
          </w:tcPr>
          <w:p w:rsidR="00417E93" w:rsidRPr="000241B2" w:rsidRDefault="00417E93" w:rsidP="000241B2">
            <w:pPr>
              <w:pStyle w:val="Podpispodtabeloaligrafom"/>
              <w:spacing w:after="0"/>
              <w:rPr>
                <w:bCs w:val="0"/>
              </w:rPr>
            </w:pPr>
            <w:r w:rsidRPr="000241B2">
              <w:rPr>
                <w:bCs w:val="0"/>
              </w:rPr>
              <w:t>Odplačila dolga</w:t>
            </w:r>
          </w:p>
        </w:tc>
        <w:tc>
          <w:tcPr>
            <w:tcW w:w="1134" w:type="dxa"/>
            <w:hideMark/>
          </w:tcPr>
          <w:p w:rsidR="00417E93" w:rsidRPr="00394C14" w:rsidRDefault="00417E93" w:rsidP="000241B2">
            <w:pPr>
              <w:pStyle w:val="Podpispodtabeloaligrafom"/>
              <w:spacing w:after="0"/>
              <w:cnfStyle w:val="000000100000" w:firstRow="0" w:lastRow="0" w:firstColumn="0" w:lastColumn="0" w:oddVBand="0" w:evenVBand="0" w:oddHBand="1" w:evenHBand="0" w:firstRowFirstColumn="0" w:firstRowLastColumn="0" w:lastRowFirstColumn="0" w:lastRowLastColumn="0"/>
            </w:pPr>
            <w:r w:rsidRPr="00394C14">
              <w:t>569.604,40</w:t>
            </w:r>
          </w:p>
        </w:tc>
        <w:tc>
          <w:tcPr>
            <w:tcW w:w="709" w:type="dxa"/>
            <w:noWrap/>
            <w:hideMark/>
          </w:tcPr>
          <w:p w:rsidR="00417E93" w:rsidRPr="00394C14" w:rsidRDefault="00417E93" w:rsidP="000241B2">
            <w:pPr>
              <w:pStyle w:val="Podpispodtabeloaligrafom"/>
              <w:spacing w:after="0"/>
              <w:cnfStyle w:val="000000100000" w:firstRow="0" w:lastRow="0" w:firstColumn="0" w:lastColumn="0" w:oddVBand="0" w:evenVBand="0" w:oddHBand="1" w:evenHBand="0" w:firstRowFirstColumn="0" w:firstRowLastColumn="0" w:lastRowFirstColumn="0" w:lastRowLastColumn="0"/>
            </w:pPr>
            <w:r w:rsidRPr="00394C14">
              <w:t>0,41</w:t>
            </w:r>
          </w:p>
        </w:tc>
        <w:tc>
          <w:tcPr>
            <w:tcW w:w="1134" w:type="dxa"/>
            <w:hideMark/>
          </w:tcPr>
          <w:p w:rsidR="00417E93" w:rsidRPr="00394C14" w:rsidRDefault="00417E93" w:rsidP="000241B2">
            <w:pPr>
              <w:pStyle w:val="Podpispodtabeloaligrafom"/>
              <w:spacing w:after="0"/>
              <w:cnfStyle w:val="000000100000" w:firstRow="0" w:lastRow="0" w:firstColumn="0" w:lastColumn="0" w:oddVBand="0" w:evenVBand="0" w:oddHBand="1" w:evenHBand="0" w:firstRowFirstColumn="0" w:firstRowLastColumn="0" w:lastRowFirstColumn="0" w:lastRowLastColumn="0"/>
            </w:pPr>
            <w:r w:rsidRPr="00394C14">
              <w:t>0,00</w:t>
            </w:r>
          </w:p>
        </w:tc>
        <w:tc>
          <w:tcPr>
            <w:tcW w:w="708" w:type="dxa"/>
            <w:tcBorders>
              <w:right w:val="single" w:sz="8" w:space="0" w:color="9BBB59" w:themeColor="accent3"/>
            </w:tcBorders>
            <w:noWrap/>
            <w:hideMark/>
          </w:tcPr>
          <w:p w:rsidR="00417E93" w:rsidRPr="00394C14" w:rsidRDefault="00417E93" w:rsidP="000241B2">
            <w:pPr>
              <w:pStyle w:val="Podpispodtabeloaligrafom"/>
              <w:spacing w:after="0"/>
              <w:cnfStyle w:val="000000100000" w:firstRow="0" w:lastRow="0" w:firstColumn="0" w:lastColumn="0" w:oddVBand="0" w:evenVBand="0" w:oddHBand="1" w:evenHBand="0" w:firstRowFirstColumn="0" w:firstRowLastColumn="0" w:lastRowFirstColumn="0" w:lastRowLastColumn="0"/>
            </w:pPr>
            <w:r w:rsidRPr="00394C14">
              <w:t>0,00</w:t>
            </w:r>
          </w:p>
        </w:tc>
        <w:tc>
          <w:tcPr>
            <w:tcW w:w="1134" w:type="dxa"/>
            <w:gridSpan w:val="2"/>
            <w:tcBorders>
              <w:left w:val="single" w:sz="8" w:space="0" w:color="9BBB59" w:themeColor="accent3"/>
            </w:tcBorders>
            <w:hideMark/>
          </w:tcPr>
          <w:p w:rsidR="00417E93" w:rsidRPr="00394C14" w:rsidRDefault="00417E93" w:rsidP="000241B2">
            <w:pPr>
              <w:pStyle w:val="Podpispodtabeloaligrafom"/>
              <w:spacing w:after="0"/>
              <w:cnfStyle w:val="000000100000" w:firstRow="0" w:lastRow="0" w:firstColumn="0" w:lastColumn="0" w:oddVBand="0" w:evenVBand="0" w:oddHBand="1" w:evenHBand="0" w:firstRowFirstColumn="0" w:firstRowLastColumn="0" w:lastRowFirstColumn="0" w:lastRowLastColumn="0"/>
            </w:pPr>
            <w:r w:rsidRPr="00394C14">
              <w:t>1.186,74</w:t>
            </w:r>
          </w:p>
        </w:tc>
        <w:tc>
          <w:tcPr>
            <w:tcW w:w="567" w:type="dxa"/>
            <w:noWrap/>
            <w:hideMark/>
          </w:tcPr>
          <w:p w:rsidR="00417E93" w:rsidRPr="00394C14" w:rsidRDefault="00417E93" w:rsidP="000241B2">
            <w:pPr>
              <w:pStyle w:val="Podpispodtabeloaligrafom"/>
              <w:spacing w:after="0"/>
              <w:cnfStyle w:val="000000100000" w:firstRow="0" w:lastRow="0" w:firstColumn="0" w:lastColumn="0" w:oddVBand="0" w:evenVBand="0" w:oddHBand="1" w:evenHBand="0" w:firstRowFirstColumn="0" w:firstRowLastColumn="0" w:lastRowFirstColumn="0" w:lastRowLastColumn="0"/>
            </w:pPr>
            <w:r w:rsidRPr="00394C14">
              <w:t>0,00</w:t>
            </w:r>
          </w:p>
        </w:tc>
        <w:tc>
          <w:tcPr>
            <w:tcW w:w="1055" w:type="dxa"/>
            <w:hideMark/>
          </w:tcPr>
          <w:p w:rsidR="00417E93" w:rsidRPr="00394C14" w:rsidRDefault="00417E93" w:rsidP="000241B2">
            <w:pPr>
              <w:pStyle w:val="Podpispodtabeloaligrafom"/>
              <w:spacing w:after="0"/>
              <w:cnfStyle w:val="000000100000" w:firstRow="0" w:lastRow="0" w:firstColumn="0" w:lastColumn="0" w:oddVBand="0" w:evenVBand="0" w:oddHBand="1" w:evenHBand="0" w:firstRowFirstColumn="0" w:firstRowLastColumn="0" w:lastRowFirstColumn="0" w:lastRowLastColumn="0"/>
            </w:pPr>
            <w:r w:rsidRPr="00394C14">
              <w:t>0,00</w:t>
            </w:r>
          </w:p>
        </w:tc>
        <w:tc>
          <w:tcPr>
            <w:tcW w:w="755" w:type="dxa"/>
            <w:noWrap/>
            <w:hideMark/>
          </w:tcPr>
          <w:p w:rsidR="00417E93" w:rsidRPr="00394C14" w:rsidRDefault="00417E93" w:rsidP="000241B2">
            <w:pPr>
              <w:pStyle w:val="Podpispodtabeloaligrafom"/>
              <w:spacing w:after="0"/>
              <w:cnfStyle w:val="000000100000" w:firstRow="0" w:lastRow="0" w:firstColumn="0" w:lastColumn="0" w:oddVBand="0" w:evenVBand="0" w:oddHBand="1" w:evenHBand="0" w:firstRowFirstColumn="0" w:firstRowLastColumn="0" w:lastRowFirstColumn="0" w:lastRowLastColumn="0"/>
            </w:pPr>
            <w:r w:rsidRPr="00394C14">
              <w:t>0,00</w:t>
            </w:r>
          </w:p>
        </w:tc>
      </w:tr>
      <w:tr w:rsidR="000241B2" w:rsidRPr="00417E93" w:rsidTr="005026D5">
        <w:trPr>
          <w:trHeight w:val="102"/>
        </w:trPr>
        <w:tc>
          <w:tcPr>
            <w:cnfStyle w:val="001000000000" w:firstRow="0" w:lastRow="0" w:firstColumn="1" w:lastColumn="0" w:oddVBand="0" w:evenVBand="0" w:oddHBand="0" w:evenHBand="0" w:firstRowFirstColumn="0" w:firstRowLastColumn="0" w:lastRowFirstColumn="0" w:lastRowLastColumn="0"/>
            <w:tcW w:w="2093" w:type="dxa"/>
            <w:noWrap/>
            <w:hideMark/>
          </w:tcPr>
          <w:p w:rsidR="00417E93" w:rsidRPr="000241B2" w:rsidRDefault="00417E93" w:rsidP="000241B2">
            <w:pPr>
              <w:pStyle w:val="Podpispodtabeloaligrafom"/>
              <w:spacing w:after="0"/>
              <w:rPr>
                <w:bCs w:val="0"/>
              </w:rPr>
            </w:pPr>
            <w:r w:rsidRPr="000241B2">
              <w:rPr>
                <w:bCs w:val="0"/>
              </w:rPr>
              <w:t>Skupaj</w:t>
            </w:r>
          </w:p>
        </w:tc>
        <w:tc>
          <w:tcPr>
            <w:tcW w:w="1134" w:type="dxa"/>
            <w:hideMark/>
          </w:tcPr>
          <w:p w:rsidR="00417E93" w:rsidRPr="00394C14" w:rsidRDefault="00417E93" w:rsidP="000241B2">
            <w:pPr>
              <w:pStyle w:val="Podpispodtabeloaligrafom"/>
              <w:spacing w:after="0"/>
              <w:cnfStyle w:val="000000000000" w:firstRow="0" w:lastRow="0" w:firstColumn="0" w:lastColumn="0" w:oddVBand="0" w:evenVBand="0" w:oddHBand="0" w:evenHBand="0" w:firstRowFirstColumn="0" w:firstRowLastColumn="0" w:lastRowFirstColumn="0" w:lastRowLastColumn="0"/>
            </w:pPr>
            <w:r w:rsidRPr="00394C14">
              <w:t>139.393.080,01</w:t>
            </w:r>
          </w:p>
        </w:tc>
        <w:tc>
          <w:tcPr>
            <w:tcW w:w="709" w:type="dxa"/>
            <w:noWrap/>
            <w:hideMark/>
          </w:tcPr>
          <w:p w:rsidR="00417E93" w:rsidRPr="00394C14" w:rsidRDefault="000241B2" w:rsidP="000241B2">
            <w:pPr>
              <w:pStyle w:val="Podpispodtabeloaligrafom"/>
              <w:spacing w:after="0"/>
              <w:cnfStyle w:val="000000000000" w:firstRow="0" w:lastRow="0" w:firstColumn="0" w:lastColumn="0" w:oddVBand="0" w:evenVBand="0" w:oddHBand="0" w:evenHBand="0" w:firstRowFirstColumn="0" w:firstRowLastColumn="0" w:lastRowFirstColumn="0" w:lastRowLastColumn="0"/>
            </w:pPr>
            <w:r>
              <w:t>100</w:t>
            </w:r>
          </w:p>
        </w:tc>
        <w:tc>
          <w:tcPr>
            <w:tcW w:w="1134" w:type="dxa"/>
            <w:hideMark/>
          </w:tcPr>
          <w:p w:rsidR="00417E93" w:rsidRPr="00394C14" w:rsidRDefault="00417E93" w:rsidP="000241B2">
            <w:pPr>
              <w:pStyle w:val="Podpispodtabeloaligrafom"/>
              <w:spacing w:after="0"/>
              <w:cnfStyle w:val="000000000000" w:firstRow="0" w:lastRow="0" w:firstColumn="0" w:lastColumn="0" w:oddVBand="0" w:evenVBand="0" w:oddHBand="0" w:evenHBand="0" w:firstRowFirstColumn="0" w:firstRowLastColumn="0" w:lastRowFirstColumn="0" w:lastRowLastColumn="0"/>
            </w:pPr>
            <w:r w:rsidRPr="00394C14">
              <w:t>4.027.021,13</w:t>
            </w:r>
          </w:p>
        </w:tc>
        <w:tc>
          <w:tcPr>
            <w:tcW w:w="708" w:type="dxa"/>
            <w:tcBorders>
              <w:right w:val="single" w:sz="8" w:space="0" w:color="9BBB59" w:themeColor="accent3"/>
            </w:tcBorders>
            <w:noWrap/>
            <w:hideMark/>
          </w:tcPr>
          <w:p w:rsidR="00417E93" w:rsidRPr="00394C14" w:rsidRDefault="00417E93" w:rsidP="000241B2">
            <w:pPr>
              <w:pStyle w:val="Podpispodtabeloaligrafom"/>
              <w:spacing w:after="0"/>
              <w:cnfStyle w:val="000000000000" w:firstRow="0" w:lastRow="0" w:firstColumn="0" w:lastColumn="0" w:oddVBand="0" w:evenVBand="0" w:oddHBand="0" w:evenHBand="0" w:firstRowFirstColumn="0" w:firstRowLastColumn="0" w:lastRowFirstColumn="0" w:lastRowLastColumn="0"/>
            </w:pPr>
            <w:r w:rsidRPr="00394C14">
              <w:t>100,00</w:t>
            </w:r>
          </w:p>
        </w:tc>
        <w:tc>
          <w:tcPr>
            <w:tcW w:w="1134" w:type="dxa"/>
            <w:gridSpan w:val="2"/>
            <w:tcBorders>
              <w:top w:val="single" w:sz="8" w:space="0" w:color="9BBB59" w:themeColor="accent3"/>
              <w:left w:val="single" w:sz="8" w:space="0" w:color="9BBB59" w:themeColor="accent3"/>
              <w:bottom w:val="single" w:sz="8" w:space="0" w:color="9BBB59" w:themeColor="accent3"/>
            </w:tcBorders>
            <w:hideMark/>
          </w:tcPr>
          <w:p w:rsidR="00417E93" w:rsidRPr="00394C14" w:rsidRDefault="00417E93" w:rsidP="000241B2">
            <w:pPr>
              <w:pStyle w:val="Podpispodtabeloaligrafom"/>
              <w:spacing w:after="0"/>
              <w:cnfStyle w:val="000000000000" w:firstRow="0" w:lastRow="0" w:firstColumn="0" w:lastColumn="0" w:oddVBand="0" w:evenVBand="0" w:oddHBand="0" w:evenHBand="0" w:firstRowFirstColumn="0" w:firstRowLastColumn="0" w:lastRowFirstColumn="0" w:lastRowLastColumn="0"/>
            </w:pPr>
            <w:r w:rsidRPr="00394C14">
              <w:t>128.877.283,92</w:t>
            </w:r>
          </w:p>
        </w:tc>
        <w:tc>
          <w:tcPr>
            <w:tcW w:w="567" w:type="dxa"/>
            <w:noWrap/>
            <w:hideMark/>
          </w:tcPr>
          <w:p w:rsidR="00417E93" w:rsidRPr="00394C14" w:rsidRDefault="00417E93" w:rsidP="000241B2">
            <w:pPr>
              <w:pStyle w:val="Podpispodtabeloaligrafom"/>
              <w:spacing w:after="0"/>
              <w:cnfStyle w:val="000000000000" w:firstRow="0" w:lastRow="0" w:firstColumn="0" w:lastColumn="0" w:oddVBand="0" w:evenVBand="0" w:oddHBand="0" w:evenHBand="0" w:firstRowFirstColumn="0" w:firstRowLastColumn="0" w:lastRowFirstColumn="0" w:lastRowLastColumn="0"/>
            </w:pPr>
            <w:r w:rsidRPr="00394C14">
              <w:t>100,00</w:t>
            </w:r>
          </w:p>
        </w:tc>
        <w:tc>
          <w:tcPr>
            <w:tcW w:w="1055" w:type="dxa"/>
            <w:hideMark/>
          </w:tcPr>
          <w:p w:rsidR="00417E93" w:rsidRPr="00394C14" w:rsidRDefault="00417E93" w:rsidP="000241B2">
            <w:pPr>
              <w:pStyle w:val="Podpispodtabeloaligrafom"/>
              <w:spacing w:after="0"/>
              <w:cnfStyle w:val="000000000000" w:firstRow="0" w:lastRow="0" w:firstColumn="0" w:lastColumn="0" w:oddVBand="0" w:evenVBand="0" w:oddHBand="0" w:evenHBand="0" w:firstRowFirstColumn="0" w:firstRowLastColumn="0" w:lastRowFirstColumn="0" w:lastRowLastColumn="0"/>
            </w:pPr>
            <w:r w:rsidRPr="00394C14">
              <w:t>4.034.132,38</w:t>
            </w:r>
          </w:p>
        </w:tc>
        <w:tc>
          <w:tcPr>
            <w:tcW w:w="755" w:type="dxa"/>
            <w:noWrap/>
            <w:hideMark/>
          </w:tcPr>
          <w:p w:rsidR="00417E93" w:rsidRPr="00394C14" w:rsidRDefault="000241B2" w:rsidP="000241B2">
            <w:pPr>
              <w:pStyle w:val="Podpispodtabeloaligrafom"/>
              <w:spacing w:after="0"/>
              <w:cnfStyle w:val="000000000000" w:firstRow="0" w:lastRow="0" w:firstColumn="0" w:lastColumn="0" w:oddVBand="0" w:evenVBand="0" w:oddHBand="0" w:evenHBand="0" w:firstRowFirstColumn="0" w:firstRowLastColumn="0" w:lastRowFirstColumn="0" w:lastRowLastColumn="0"/>
            </w:pPr>
            <w:r>
              <w:t>100</w:t>
            </w:r>
          </w:p>
        </w:tc>
      </w:tr>
    </w:tbl>
    <w:p w:rsidR="00640E86" w:rsidRPr="003D031D" w:rsidRDefault="00EE4B81" w:rsidP="00EE4B81">
      <w:pPr>
        <w:pStyle w:val="Podpispodtabeloaligrafom"/>
      </w:pPr>
      <w:r w:rsidRPr="00EE4B81">
        <w:t>Vir: Ministrstvo za finance.</w:t>
      </w:r>
      <w:r w:rsidR="00EC5CA8">
        <w:t xml:space="preserve"> Izračuni: </w:t>
      </w:r>
      <w:r w:rsidR="002816A9">
        <w:t>Ministrstvo za kulturo</w:t>
      </w:r>
      <w:r w:rsidR="00EC5CA8">
        <w:t>.</w:t>
      </w:r>
    </w:p>
    <w:p w:rsidR="00302386" w:rsidRDefault="00302386">
      <w:pPr>
        <w:rPr>
          <w:rFonts w:eastAsiaTheme="majorEastAsia" w:cstheme="majorBidi"/>
          <w:i/>
          <w:iCs/>
          <w:color w:val="4F81BD" w:themeColor="accent1"/>
          <w:spacing w:val="15"/>
          <w:sz w:val="24"/>
        </w:rPr>
      </w:pPr>
      <w:bookmarkStart w:id="170" w:name="_Toc489859820"/>
      <w:bookmarkStart w:id="171" w:name="_Toc490047583"/>
      <w:r>
        <w:br w:type="page"/>
      </w:r>
    </w:p>
    <w:p w:rsidR="00FE3FB5" w:rsidRDefault="00512FBD" w:rsidP="00302386">
      <w:pPr>
        <w:pStyle w:val="Podnaslov"/>
        <w:spacing w:after="0"/>
      </w:pPr>
      <w:bookmarkStart w:id="172" w:name="_Toc490599948"/>
      <w:bookmarkStart w:id="173" w:name="_Toc506192077"/>
      <w:r>
        <w:lastRenderedPageBreak/>
        <w:t>Zasebni izdatki za kulturo</w:t>
      </w:r>
      <w:bookmarkEnd w:id="170"/>
      <w:bookmarkEnd w:id="171"/>
      <w:bookmarkEnd w:id="172"/>
      <w:bookmarkEnd w:id="173"/>
    </w:p>
    <w:p w:rsidR="00B04D6C" w:rsidRDefault="00B04D6C" w:rsidP="00094966">
      <w:pPr>
        <w:pStyle w:val="Podnaslov2"/>
      </w:pPr>
      <w:bookmarkStart w:id="174" w:name="_Toc489859821"/>
      <w:bookmarkStart w:id="175" w:name="_Toc490047584"/>
      <w:bookmarkStart w:id="176" w:name="_Toc490599949"/>
      <w:bookmarkStart w:id="177" w:name="_Toc506192078"/>
      <w:r>
        <w:t xml:space="preserve">Izdatki </w:t>
      </w:r>
      <w:r w:rsidR="003921A3">
        <w:t>prebivalstva</w:t>
      </w:r>
      <w:bookmarkEnd w:id="174"/>
      <w:bookmarkEnd w:id="175"/>
      <w:bookmarkEnd w:id="176"/>
      <w:bookmarkEnd w:id="177"/>
    </w:p>
    <w:p w:rsidR="00B04D6C" w:rsidRDefault="00B04D6C" w:rsidP="00B04D6C">
      <w:r>
        <w:t xml:space="preserve">Iz raziskave Poraba v gospodinjstvih izvemo, da slovenska gospodinjstva za </w:t>
      </w:r>
      <w:r w:rsidR="00D4172F">
        <w:t>kulturo</w:t>
      </w:r>
      <w:r>
        <w:t xml:space="preserve"> v povprečju namenijo dobre 3 % svojih letnih izdatkov, kar na ravni države znaša približno 500 milijonov evrov na leto.</w:t>
      </w:r>
      <w:r w:rsidR="00141C9B">
        <w:t xml:space="preserve"> </w:t>
      </w:r>
      <w:r w:rsidR="005D583B">
        <w:t>Največji del predstavljajo naročnine na televizijo in radio (</w:t>
      </w:r>
      <w:proofErr w:type="spellStart"/>
      <w:r w:rsidR="005D583B">
        <w:t>povpr</w:t>
      </w:r>
      <w:proofErr w:type="spellEnd"/>
      <w:r w:rsidR="005D583B">
        <w:t>. 188 EUR na gospodinjstvo), drugi in tretji izdatek po velikosti pa sta za časopise in periodični tisk (</w:t>
      </w:r>
      <w:proofErr w:type="spellStart"/>
      <w:r w:rsidR="005D583B">
        <w:t>povpr</w:t>
      </w:r>
      <w:proofErr w:type="spellEnd"/>
      <w:r w:rsidR="005D583B">
        <w:t>. 96 EUR na gospodinjstvo) ter knjige (</w:t>
      </w:r>
      <w:proofErr w:type="spellStart"/>
      <w:r w:rsidR="005D583B">
        <w:t>povpr</w:t>
      </w:r>
      <w:proofErr w:type="spellEnd"/>
      <w:r w:rsidR="005D583B">
        <w:t xml:space="preserve">. </w:t>
      </w:r>
      <w:r w:rsidR="00F63EE4">
        <w:t xml:space="preserve">dobrih </w:t>
      </w:r>
      <w:r w:rsidR="005D583B">
        <w:t>8</w:t>
      </w:r>
      <w:r w:rsidR="00F63EE4">
        <w:t>4</w:t>
      </w:r>
      <w:r w:rsidR="005D583B">
        <w:t xml:space="preserve"> EUR na gospodinjstvo; od tega </w:t>
      </w:r>
      <w:r w:rsidR="00F63EE4">
        <w:t xml:space="preserve">približno </w:t>
      </w:r>
      <w:r w:rsidR="005D583B">
        <w:t>54 EUR za izobraževalne učbenike, 23 EUR za leposlovje in 7 EUR za druge neleposlovne knjige).</w:t>
      </w:r>
      <w:r w:rsidR="005D583B">
        <w:rPr>
          <w:rStyle w:val="Sprotnaopomba-sklic"/>
        </w:rPr>
        <w:footnoteReference w:id="30"/>
      </w:r>
      <w:r w:rsidR="005D583B">
        <w:t xml:space="preserve"> </w:t>
      </w:r>
    </w:p>
    <w:p w:rsidR="00B04D6C" w:rsidRDefault="006D2D21" w:rsidP="00B04D6C">
      <w:pPr>
        <w:pStyle w:val="Naslovtabele"/>
      </w:pPr>
      <w:bookmarkStart w:id="178" w:name="_Toc490053365"/>
      <w:bookmarkStart w:id="179" w:name="_Toc490053736"/>
      <w:bookmarkStart w:id="180" w:name="_Toc490600008"/>
      <w:r>
        <w:t>Tabela 17</w:t>
      </w:r>
      <w:r w:rsidR="00B04D6C">
        <w:t xml:space="preserve">: </w:t>
      </w:r>
      <w:r w:rsidR="00B04D6C" w:rsidRPr="0095212C">
        <w:t xml:space="preserve">Povprečna </w:t>
      </w:r>
      <w:r w:rsidR="009D69DE">
        <w:t xml:space="preserve">letna </w:t>
      </w:r>
      <w:r w:rsidR="00B04D6C" w:rsidRPr="0095212C">
        <w:t>porabljena d</w:t>
      </w:r>
      <w:r w:rsidR="00B04D6C">
        <w:t>enarna sredstva gospodinjstev za kulturo</w:t>
      </w:r>
      <w:r w:rsidR="00B04D6C" w:rsidRPr="0095212C">
        <w:t xml:space="preserve"> </w:t>
      </w:r>
      <w:r w:rsidR="00B04D6C">
        <w:t>(2002–2010, 2012 in</w:t>
      </w:r>
      <w:r w:rsidR="00B04D6C" w:rsidRPr="0095212C">
        <w:t xml:space="preserve"> 2015</w:t>
      </w:r>
      <w:r w:rsidR="00B04D6C">
        <w:t>)</w:t>
      </w:r>
      <w:bookmarkEnd w:id="178"/>
      <w:bookmarkEnd w:id="179"/>
      <w:bookmarkEnd w:id="180"/>
    </w:p>
    <w:tbl>
      <w:tblPr>
        <w:tblStyle w:val="Svetelseznampoudarek3"/>
        <w:tblW w:w="5000" w:type="pct"/>
        <w:tblLook w:val="04A0" w:firstRow="1" w:lastRow="0" w:firstColumn="1" w:lastColumn="0" w:noHBand="0" w:noVBand="1"/>
      </w:tblPr>
      <w:tblGrid>
        <w:gridCol w:w="4644"/>
        <w:gridCol w:w="4645"/>
      </w:tblGrid>
      <w:tr w:rsidR="00B04D6C" w:rsidRPr="0095212C" w:rsidTr="00003BCC">
        <w:trPr>
          <w:cnfStyle w:val="100000000000" w:firstRow="1" w:lastRow="0" w:firstColumn="0" w:lastColumn="0" w:oddVBand="0" w:evenVBand="0" w:oddHBand="0" w:evenHBand="0" w:firstRowFirstColumn="0" w:firstRowLastColumn="0" w:lastRowFirstColumn="0" w:lastRowLastColumn="0"/>
          <w:trHeight w:val="102"/>
          <w:tblHeader/>
        </w:trPr>
        <w:tc>
          <w:tcPr>
            <w:cnfStyle w:val="001000000000" w:firstRow="0" w:lastRow="0" w:firstColumn="1" w:lastColumn="0" w:oddVBand="0" w:evenVBand="0" w:oddHBand="0" w:evenHBand="0" w:firstRowFirstColumn="0" w:firstRowLastColumn="0" w:lastRowFirstColumn="0" w:lastRowLastColumn="0"/>
            <w:tcW w:w="2500" w:type="pct"/>
            <w:noWrap/>
            <w:hideMark/>
          </w:tcPr>
          <w:p w:rsidR="00B04D6C" w:rsidRPr="0095212C" w:rsidRDefault="00B04D6C" w:rsidP="00FD1253">
            <w:pPr>
              <w:rPr>
                <w:rFonts w:ascii="Arial Narrow" w:hAnsi="Arial Narrow"/>
                <w:sz w:val="16"/>
              </w:rPr>
            </w:pPr>
            <w:r>
              <w:rPr>
                <w:rFonts w:ascii="Arial Narrow" w:hAnsi="Arial Narrow"/>
                <w:sz w:val="16"/>
              </w:rPr>
              <w:t>Leto</w:t>
            </w:r>
          </w:p>
        </w:tc>
        <w:tc>
          <w:tcPr>
            <w:tcW w:w="2500" w:type="pct"/>
            <w:noWrap/>
            <w:hideMark/>
          </w:tcPr>
          <w:p w:rsidR="00B04D6C" w:rsidRPr="0095212C" w:rsidRDefault="00B04D6C" w:rsidP="006A1288">
            <w:pPr>
              <w:cnfStyle w:val="100000000000" w:firstRow="1" w:lastRow="0" w:firstColumn="0" w:lastColumn="0" w:oddVBand="0" w:evenVBand="0" w:oddHBand="0" w:evenHBand="0" w:firstRowFirstColumn="0" w:firstRowLastColumn="0" w:lastRowFirstColumn="0" w:lastRowLastColumn="0"/>
              <w:rPr>
                <w:rFonts w:ascii="Arial Narrow" w:hAnsi="Arial Narrow"/>
                <w:sz w:val="16"/>
              </w:rPr>
            </w:pPr>
            <w:r w:rsidRPr="0095212C">
              <w:rPr>
                <w:rFonts w:ascii="Arial Narrow" w:hAnsi="Arial Narrow"/>
                <w:sz w:val="16"/>
              </w:rPr>
              <w:t>Izbrani izdatki za kulturo</w:t>
            </w:r>
            <w:r>
              <w:rPr>
                <w:rFonts w:ascii="Arial Narrow" w:hAnsi="Arial Narrow"/>
                <w:sz w:val="16"/>
              </w:rPr>
              <w:t xml:space="preserve"> (EUR)</w:t>
            </w:r>
            <w:r w:rsidR="006A1288" w:rsidRPr="006A1288">
              <w:rPr>
                <w:rFonts w:ascii="Arial Narrow" w:hAnsi="Arial Narrow"/>
                <w:sz w:val="16"/>
                <w:vertAlign w:val="superscript"/>
              </w:rPr>
              <w:t>1</w:t>
            </w:r>
          </w:p>
        </w:tc>
      </w:tr>
      <w:tr w:rsidR="00B04D6C" w:rsidRPr="0095212C" w:rsidTr="00003BCC">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2500" w:type="pct"/>
            <w:noWrap/>
            <w:hideMark/>
          </w:tcPr>
          <w:p w:rsidR="00B04D6C" w:rsidRPr="0095212C" w:rsidRDefault="00B04D6C" w:rsidP="00FD1253">
            <w:pPr>
              <w:spacing w:after="0" w:line="240" w:lineRule="auto"/>
              <w:rPr>
                <w:rFonts w:ascii="Arial Narrow" w:hAnsi="Arial Narrow"/>
                <w:sz w:val="16"/>
              </w:rPr>
            </w:pPr>
            <w:r w:rsidRPr="0095212C">
              <w:rPr>
                <w:rFonts w:ascii="Arial Narrow" w:hAnsi="Arial Narrow"/>
                <w:sz w:val="16"/>
              </w:rPr>
              <w:t>2002</w:t>
            </w:r>
          </w:p>
        </w:tc>
        <w:tc>
          <w:tcPr>
            <w:tcW w:w="2500" w:type="pct"/>
            <w:noWrap/>
            <w:hideMark/>
          </w:tcPr>
          <w:p w:rsidR="00B04D6C" w:rsidRPr="0095212C" w:rsidRDefault="00B04D6C" w:rsidP="00FD125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Cs/>
                <w:sz w:val="16"/>
              </w:rPr>
            </w:pPr>
            <w:r w:rsidRPr="0095212C">
              <w:rPr>
                <w:rFonts w:ascii="Arial Narrow" w:hAnsi="Arial Narrow"/>
                <w:bCs/>
                <w:sz w:val="16"/>
              </w:rPr>
              <w:t>471.890.000</w:t>
            </w:r>
          </w:p>
        </w:tc>
      </w:tr>
      <w:tr w:rsidR="00B04D6C" w:rsidRPr="0095212C" w:rsidTr="00003BCC">
        <w:trPr>
          <w:trHeight w:val="102"/>
        </w:trPr>
        <w:tc>
          <w:tcPr>
            <w:cnfStyle w:val="001000000000" w:firstRow="0" w:lastRow="0" w:firstColumn="1" w:lastColumn="0" w:oddVBand="0" w:evenVBand="0" w:oddHBand="0" w:evenHBand="0" w:firstRowFirstColumn="0" w:firstRowLastColumn="0" w:lastRowFirstColumn="0" w:lastRowLastColumn="0"/>
            <w:tcW w:w="2500" w:type="pct"/>
            <w:noWrap/>
            <w:hideMark/>
          </w:tcPr>
          <w:p w:rsidR="00B04D6C" w:rsidRPr="0095212C" w:rsidRDefault="00B04D6C" w:rsidP="00FD1253">
            <w:pPr>
              <w:spacing w:after="0" w:line="240" w:lineRule="auto"/>
              <w:rPr>
                <w:rFonts w:ascii="Arial Narrow" w:hAnsi="Arial Narrow"/>
                <w:sz w:val="16"/>
              </w:rPr>
            </w:pPr>
            <w:r w:rsidRPr="0095212C">
              <w:rPr>
                <w:rFonts w:ascii="Arial Narrow" w:hAnsi="Arial Narrow"/>
                <w:sz w:val="16"/>
              </w:rPr>
              <w:t>2003</w:t>
            </w:r>
          </w:p>
        </w:tc>
        <w:tc>
          <w:tcPr>
            <w:tcW w:w="2500" w:type="pct"/>
            <w:noWrap/>
            <w:hideMark/>
          </w:tcPr>
          <w:p w:rsidR="00B04D6C" w:rsidRPr="0095212C" w:rsidRDefault="00B04D6C" w:rsidP="00FD125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Cs/>
                <w:sz w:val="16"/>
              </w:rPr>
            </w:pPr>
            <w:r w:rsidRPr="0095212C">
              <w:rPr>
                <w:rFonts w:ascii="Arial Narrow" w:hAnsi="Arial Narrow"/>
                <w:bCs/>
                <w:sz w:val="16"/>
              </w:rPr>
              <w:t>489.178.000</w:t>
            </w:r>
          </w:p>
        </w:tc>
      </w:tr>
      <w:tr w:rsidR="00B04D6C" w:rsidRPr="0095212C" w:rsidTr="00003BCC">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2500" w:type="pct"/>
            <w:noWrap/>
            <w:hideMark/>
          </w:tcPr>
          <w:p w:rsidR="00B04D6C" w:rsidRPr="0095212C" w:rsidRDefault="00B04D6C" w:rsidP="00FD1253">
            <w:pPr>
              <w:spacing w:after="0" w:line="240" w:lineRule="auto"/>
              <w:rPr>
                <w:rFonts w:ascii="Arial Narrow" w:hAnsi="Arial Narrow"/>
                <w:sz w:val="16"/>
              </w:rPr>
            </w:pPr>
            <w:r w:rsidRPr="0095212C">
              <w:rPr>
                <w:rFonts w:ascii="Arial Narrow" w:hAnsi="Arial Narrow"/>
                <w:sz w:val="16"/>
              </w:rPr>
              <w:t>2004</w:t>
            </w:r>
          </w:p>
        </w:tc>
        <w:tc>
          <w:tcPr>
            <w:tcW w:w="2500" w:type="pct"/>
            <w:noWrap/>
            <w:hideMark/>
          </w:tcPr>
          <w:p w:rsidR="00B04D6C" w:rsidRPr="0095212C" w:rsidRDefault="00B04D6C" w:rsidP="00FD125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Cs/>
                <w:sz w:val="16"/>
              </w:rPr>
            </w:pPr>
            <w:r w:rsidRPr="0095212C">
              <w:rPr>
                <w:rFonts w:ascii="Arial Narrow" w:hAnsi="Arial Narrow"/>
                <w:bCs/>
                <w:sz w:val="16"/>
              </w:rPr>
              <w:t>517.148.000</w:t>
            </w:r>
          </w:p>
        </w:tc>
      </w:tr>
      <w:tr w:rsidR="00B04D6C" w:rsidRPr="0095212C" w:rsidTr="00003BCC">
        <w:trPr>
          <w:trHeight w:val="102"/>
        </w:trPr>
        <w:tc>
          <w:tcPr>
            <w:cnfStyle w:val="001000000000" w:firstRow="0" w:lastRow="0" w:firstColumn="1" w:lastColumn="0" w:oddVBand="0" w:evenVBand="0" w:oddHBand="0" w:evenHBand="0" w:firstRowFirstColumn="0" w:firstRowLastColumn="0" w:lastRowFirstColumn="0" w:lastRowLastColumn="0"/>
            <w:tcW w:w="2500" w:type="pct"/>
            <w:noWrap/>
            <w:hideMark/>
          </w:tcPr>
          <w:p w:rsidR="00B04D6C" w:rsidRPr="0095212C" w:rsidRDefault="00B04D6C" w:rsidP="00FD1253">
            <w:pPr>
              <w:spacing w:after="0" w:line="240" w:lineRule="auto"/>
              <w:rPr>
                <w:rFonts w:ascii="Arial Narrow" w:hAnsi="Arial Narrow"/>
                <w:sz w:val="16"/>
              </w:rPr>
            </w:pPr>
            <w:r w:rsidRPr="0095212C">
              <w:rPr>
                <w:rFonts w:ascii="Arial Narrow" w:hAnsi="Arial Narrow"/>
                <w:sz w:val="16"/>
              </w:rPr>
              <w:t>2005</w:t>
            </w:r>
          </w:p>
        </w:tc>
        <w:tc>
          <w:tcPr>
            <w:tcW w:w="2500" w:type="pct"/>
            <w:noWrap/>
            <w:hideMark/>
          </w:tcPr>
          <w:p w:rsidR="00B04D6C" w:rsidRPr="0095212C" w:rsidRDefault="00B04D6C" w:rsidP="00FD125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Cs/>
                <w:sz w:val="16"/>
              </w:rPr>
            </w:pPr>
            <w:r w:rsidRPr="0095212C">
              <w:rPr>
                <w:rFonts w:ascii="Arial Narrow" w:hAnsi="Arial Narrow"/>
                <w:bCs/>
                <w:sz w:val="16"/>
              </w:rPr>
              <w:t>515.979.000</w:t>
            </w:r>
          </w:p>
        </w:tc>
      </w:tr>
      <w:tr w:rsidR="00B04D6C" w:rsidRPr="0095212C" w:rsidTr="00003BCC">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2500" w:type="pct"/>
            <w:noWrap/>
            <w:hideMark/>
          </w:tcPr>
          <w:p w:rsidR="00B04D6C" w:rsidRPr="0095212C" w:rsidRDefault="00B04D6C" w:rsidP="00FD1253">
            <w:pPr>
              <w:spacing w:after="0" w:line="240" w:lineRule="auto"/>
              <w:rPr>
                <w:rFonts w:ascii="Arial Narrow" w:hAnsi="Arial Narrow"/>
                <w:sz w:val="16"/>
              </w:rPr>
            </w:pPr>
            <w:r w:rsidRPr="0095212C">
              <w:rPr>
                <w:rFonts w:ascii="Arial Narrow" w:hAnsi="Arial Narrow"/>
                <w:sz w:val="16"/>
              </w:rPr>
              <w:t>2006</w:t>
            </w:r>
          </w:p>
        </w:tc>
        <w:tc>
          <w:tcPr>
            <w:tcW w:w="2500" w:type="pct"/>
            <w:noWrap/>
            <w:hideMark/>
          </w:tcPr>
          <w:p w:rsidR="00B04D6C" w:rsidRPr="0095212C" w:rsidRDefault="00B04D6C" w:rsidP="00FD125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Cs/>
                <w:sz w:val="16"/>
              </w:rPr>
            </w:pPr>
            <w:r w:rsidRPr="0095212C">
              <w:rPr>
                <w:rFonts w:ascii="Arial Narrow" w:hAnsi="Arial Narrow"/>
                <w:bCs/>
                <w:sz w:val="16"/>
              </w:rPr>
              <w:t>522.068.000</w:t>
            </w:r>
          </w:p>
        </w:tc>
      </w:tr>
      <w:tr w:rsidR="00B04D6C" w:rsidRPr="0095212C" w:rsidTr="00003BCC">
        <w:trPr>
          <w:trHeight w:val="102"/>
        </w:trPr>
        <w:tc>
          <w:tcPr>
            <w:cnfStyle w:val="001000000000" w:firstRow="0" w:lastRow="0" w:firstColumn="1" w:lastColumn="0" w:oddVBand="0" w:evenVBand="0" w:oddHBand="0" w:evenHBand="0" w:firstRowFirstColumn="0" w:firstRowLastColumn="0" w:lastRowFirstColumn="0" w:lastRowLastColumn="0"/>
            <w:tcW w:w="2500" w:type="pct"/>
            <w:noWrap/>
            <w:hideMark/>
          </w:tcPr>
          <w:p w:rsidR="00B04D6C" w:rsidRPr="0095212C" w:rsidRDefault="00B04D6C" w:rsidP="00FD1253">
            <w:pPr>
              <w:spacing w:after="0" w:line="240" w:lineRule="auto"/>
              <w:rPr>
                <w:rFonts w:ascii="Arial Narrow" w:hAnsi="Arial Narrow"/>
                <w:sz w:val="16"/>
              </w:rPr>
            </w:pPr>
            <w:r w:rsidRPr="0095212C">
              <w:rPr>
                <w:rFonts w:ascii="Arial Narrow" w:hAnsi="Arial Narrow"/>
                <w:sz w:val="16"/>
              </w:rPr>
              <w:t>2007</w:t>
            </w:r>
          </w:p>
        </w:tc>
        <w:tc>
          <w:tcPr>
            <w:tcW w:w="2500" w:type="pct"/>
            <w:noWrap/>
            <w:hideMark/>
          </w:tcPr>
          <w:p w:rsidR="00B04D6C" w:rsidRPr="0095212C" w:rsidRDefault="00B04D6C" w:rsidP="00FD125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Cs/>
                <w:sz w:val="16"/>
              </w:rPr>
            </w:pPr>
            <w:r w:rsidRPr="0095212C">
              <w:rPr>
                <w:rFonts w:ascii="Arial Narrow" w:hAnsi="Arial Narrow"/>
                <w:bCs/>
                <w:sz w:val="16"/>
              </w:rPr>
              <w:t>527.427.000</w:t>
            </w:r>
          </w:p>
        </w:tc>
      </w:tr>
      <w:tr w:rsidR="00B04D6C" w:rsidRPr="0095212C" w:rsidTr="00003BCC">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2500" w:type="pct"/>
            <w:noWrap/>
            <w:hideMark/>
          </w:tcPr>
          <w:p w:rsidR="00B04D6C" w:rsidRPr="0095212C" w:rsidRDefault="00B04D6C" w:rsidP="00FD1253">
            <w:pPr>
              <w:spacing w:after="0" w:line="240" w:lineRule="auto"/>
              <w:rPr>
                <w:rFonts w:ascii="Arial Narrow" w:hAnsi="Arial Narrow"/>
                <w:sz w:val="16"/>
              </w:rPr>
            </w:pPr>
            <w:r w:rsidRPr="0095212C">
              <w:rPr>
                <w:rFonts w:ascii="Arial Narrow" w:hAnsi="Arial Narrow"/>
                <w:sz w:val="16"/>
              </w:rPr>
              <w:t>2008</w:t>
            </w:r>
          </w:p>
        </w:tc>
        <w:tc>
          <w:tcPr>
            <w:tcW w:w="2500" w:type="pct"/>
            <w:noWrap/>
            <w:hideMark/>
          </w:tcPr>
          <w:p w:rsidR="00B04D6C" w:rsidRPr="0095212C" w:rsidRDefault="00B04D6C" w:rsidP="00FD125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Cs/>
                <w:sz w:val="16"/>
              </w:rPr>
            </w:pPr>
            <w:r w:rsidRPr="0095212C">
              <w:rPr>
                <w:rFonts w:ascii="Arial Narrow" w:hAnsi="Arial Narrow"/>
                <w:bCs/>
                <w:sz w:val="16"/>
              </w:rPr>
              <w:t>577.993.000</w:t>
            </w:r>
          </w:p>
        </w:tc>
      </w:tr>
      <w:tr w:rsidR="00B04D6C" w:rsidRPr="0095212C" w:rsidTr="00003BCC">
        <w:trPr>
          <w:trHeight w:val="102"/>
        </w:trPr>
        <w:tc>
          <w:tcPr>
            <w:cnfStyle w:val="001000000000" w:firstRow="0" w:lastRow="0" w:firstColumn="1" w:lastColumn="0" w:oddVBand="0" w:evenVBand="0" w:oddHBand="0" w:evenHBand="0" w:firstRowFirstColumn="0" w:firstRowLastColumn="0" w:lastRowFirstColumn="0" w:lastRowLastColumn="0"/>
            <w:tcW w:w="2500" w:type="pct"/>
            <w:noWrap/>
            <w:hideMark/>
          </w:tcPr>
          <w:p w:rsidR="00B04D6C" w:rsidRPr="0095212C" w:rsidRDefault="00B04D6C" w:rsidP="00FD1253">
            <w:pPr>
              <w:spacing w:after="0" w:line="240" w:lineRule="auto"/>
              <w:rPr>
                <w:rFonts w:ascii="Arial Narrow" w:hAnsi="Arial Narrow"/>
                <w:sz w:val="16"/>
              </w:rPr>
            </w:pPr>
            <w:r w:rsidRPr="0095212C">
              <w:rPr>
                <w:rFonts w:ascii="Arial Narrow" w:hAnsi="Arial Narrow"/>
                <w:sz w:val="16"/>
              </w:rPr>
              <w:t>2009</w:t>
            </w:r>
          </w:p>
        </w:tc>
        <w:tc>
          <w:tcPr>
            <w:tcW w:w="2500" w:type="pct"/>
            <w:noWrap/>
            <w:hideMark/>
          </w:tcPr>
          <w:p w:rsidR="00B04D6C" w:rsidRPr="0095212C" w:rsidRDefault="00B04D6C" w:rsidP="00FD125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Cs/>
                <w:sz w:val="16"/>
              </w:rPr>
            </w:pPr>
            <w:r w:rsidRPr="0095212C">
              <w:rPr>
                <w:rFonts w:ascii="Arial Narrow" w:hAnsi="Arial Narrow"/>
                <w:bCs/>
                <w:sz w:val="16"/>
              </w:rPr>
              <w:t>589.670.000</w:t>
            </w:r>
          </w:p>
        </w:tc>
      </w:tr>
      <w:tr w:rsidR="00B04D6C" w:rsidRPr="0095212C" w:rsidTr="00003BCC">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2500" w:type="pct"/>
            <w:noWrap/>
            <w:hideMark/>
          </w:tcPr>
          <w:p w:rsidR="00B04D6C" w:rsidRPr="0095212C" w:rsidRDefault="00B04D6C" w:rsidP="00FD1253">
            <w:pPr>
              <w:spacing w:after="0" w:line="240" w:lineRule="auto"/>
              <w:rPr>
                <w:rFonts w:ascii="Arial Narrow" w:hAnsi="Arial Narrow"/>
                <w:sz w:val="16"/>
              </w:rPr>
            </w:pPr>
            <w:r w:rsidRPr="0095212C">
              <w:rPr>
                <w:rFonts w:ascii="Arial Narrow" w:hAnsi="Arial Narrow"/>
                <w:sz w:val="16"/>
              </w:rPr>
              <w:t>2010</w:t>
            </w:r>
          </w:p>
        </w:tc>
        <w:tc>
          <w:tcPr>
            <w:tcW w:w="2500" w:type="pct"/>
            <w:noWrap/>
            <w:hideMark/>
          </w:tcPr>
          <w:p w:rsidR="00B04D6C" w:rsidRPr="0095212C" w:rsidRDefault="00B04D6C" w:rsidP="00FD125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Cs/>
                <w:sz w:val="16"/>
              </w:rPr>
            </w:pPr>
            <w:r w:rsidRPr="0095212C">
              <w:rPr>
                <w:rFonts w:ascii="Arial Narrow" w:hAnsi="Arial Narrow"/>
                <w:bCs/>
                <w:sz w:val="16"/>
              </w:rPr>
              <w:t>634.640.000</w:t>
            </w:r>
          </w:p>
        </w:tc>
      </w:tr>
      <w:tr w:rsidR="00B04D6C" w:rsidRPr="0095212C" w:rsidTr="00003BCC">
        <w:trPr>
          <w:trHeight w:val="102"/>
        </w:trPr>
        <w:tc>
          <w:tcPr>
            <w:cnfStyle w:val="001000000000" w:firstRow="0" w:lastRow="0" w:firstColumn="1" w:lastColumn="0" w:oddVBand="0" w:evenVBand="0" w:oddHBand="0" w:evenHBand="0" w:firstRowFirstColumn="0" w:firstRowLastColumn="0" w:lastRowFirstColumn="0" w:lastRowLastColumn="0"/>
            <w:tcW w:w="2500" w:type="pct"/>
            <w:noWrap/>
            <w:hideMark/>
          </w:tcPr>
          <w:p w:rsidR="00B04D6C" w:rsidRPr="0095212C" w:rsidRDefault="00B04D6C" w:rsidP="00FD1253">
            <w:pPr>
              <w:spacing w:after="0" w:line="240" w:lineRule="auto"/>
              <w:rPr>
                <w:rFonts w:ascii="Arial Narrow" w:hAnsi="Arial Narrow"/>
                <w:sz w:val="16"/>
              </w:rPr>
            </w:pPr>
            <w:r w:rsidRPr="0095212C">
              <w:rPr>
                <w:rFonts w:ascii="Arial Narrow" w:hAnsi="Arial Narrow"/>
                <w:sz w:val="16"/>
              </w:rPr>
              <w:t>2012</w:t>
            </w:r>
          </w:p>
        </w:tc>
        <w:tc>
          <w:tcPr>
            <w:tcW w:w="2500" w:type="pct"/>
            <w:noWrap/>
            <w:hideMark/>
          </w:tcPr>
          <w:p w:rsidR="00B04D6C" w:rsidRPr="0095212C" w:rsidRDefault="00B04D6C" w:rsidP="00FD125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Cs/>
                <w:sz w:val="16"/>
              </w:rPr>
            </w:pPr>
            <w:r w:rsidRPr="0095212C">
              <w:rPr>
                <w:rFonts w:ascii="Arial Narrow" w:hAnsi="Arial Narrow"/>
                <w:bCs/>
                <w:sz w:val="16"/>
              </w:rPr>
              <w:t>565.275.000</w:t>
            </w:r>
          </w:p>
        </w:tc>
      </w:tr>
      <w:tr w:rsidR="00B04D6C" w:rsidRPr="0095212C" w:rsidTr="00003BCC">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2500" w:type="pct"/>
            <w:noWrap/>
            <w:hideMark/>
          </w:tcPr>
          <w:p w:rsidR="00B04D6C" w:rsidRPr="0095212C" w:rsidRDefault="00B04D6C" w:rsidP="00FD1253">
            <w:pPr>
              <w:spacing w:after="0" w:line="240" w:lineRule="auto"/>
              <w:rPr>
                <w:rFonts w:ascii="Arial Narrow" w:hAnsi="Arial Narrow"/>
                <w:sz w:val="16"/>
              </w:rPr>
            </w:pPr>
            <w:r w:rsidRPr="0095212C">
              <w:rPr>
                <w:rFonts w:ascii="Arial Narrow" w:hAnsi="Arial Narrow"/>
                <w:sz w:val="16"/>
              </w:rPr>
              <w:t>2015</w:t>
            </w:r>
          </w:p>
        </w:tc>
        <w:tc>
          <w:tcPr>
            <w:tcW w:w="2500" w:type="pct"/>
            <w:noWrap/>
            <w:hideMark/>
          </w:tcPr>
          <w:p w:rsidR="00B04D6C" w:rsidRPr="0095212C" w:rsidRDefault="00B04D6C" w:rsidP="00FD125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Cs/>
                <w:sz w:val="16"/>
              </w:rPr>
            </w:pPr>
            <w:r w:rsidRPr="0095212C">
              <w:rPr>
                <w:rFonts w:ascii="Arial Narrow" w:hAnsi="Arial Narrow"/>
                <w:bCs/>
                <w:sz w:val="16"/>
              </w:rPr>
              <w:t>493.636.000</w:t>
            </w:r>
          </w:p>
        </w:tc>
      </w:tr>
    </w:tbl>
    <w:p w:rsidR="00B04D6C" w:rsidRDefault="00B04D6C" w:rsidP="00DE1E54">
      <w:pPr>
        <w:pStyle w:val="Podpispodtabeloaligrafom"/>
        <w:spacing w:after="0"/>
      </w:pPr>
      <w:r>
        <w:t>Vir: Statistični urad RS</w:t>
      </w:r>
      <w:r w:rsidR="009D69DE">
        <w:t>.</w:t>
      </w:r>
    </w:p>
    <w:p w:rsidR="00B04D6C" w:rsidRDefault="006A1288" w:rsidP="00B04D6C">
      <w:pPr>
        <w:pStyle w:val="Podpispodtabeloaligrafom"/>
      </w:pPr>
      <w:r w:rsidRPr="006A1288">
        <w:rPr>
          <w:vertAlign w:val="superscript"/>
        </w:rPr>
        <w:t>1</w:t>
      </w:r>
      <w:r w:rsidR="00B04D6C">
        <w:t xml:space="preserve">Izbrani izdatki so seštevek sledečih izdatkov iz raziskave </w:t>
      </w:r>
      <w:hyperlink r:id="rId25" w:history="1">
        <w:r w:rsidR="00B04D6C" w:rsidRPr="0095212C">
          <w:rPr>
            <w:rStyle w:val="Hiperpovezava"/>
          </w:rPr>
          <w:t>Poraba gospodinjstev</w:t>
        </w:r>
      </w:hyperlink>
      <w:r w:rsidR="00B04D6C">
        <w:t>: 0911 Oprema za sprejemanje, snemanje ter reprodukcijo zvoka in slike, 0912 Fotografska in kinematografska oprema ter optični instrumenti, 0913 Oprema za obdelavo podatkov, 0914 Snemalni mediji za sliko in zvok, 0915 Popravilo avdiovizualne, fotografske opreme ter opreme za obdelavo podatkov , 09221 Glasbeni instrumenti, 09421 Kinematografi, gledališča, koncerti , 09422 Muzeji, knjižnice, živalski vrtovi , 09423 Naročnine na televizijo in radio , 09424 Najem opreme in dodatkov za kulturo , 09425 Fotografske storitve , 09429 Druge kulturne storitve , 0951 Knjige , 0952 Časopisi in periodični tisk , 0953 Razne tiskovine , 0954 Pisalne potrebščine in pribor za risanje.</w:t>
      </w:r>
    </w:p>
    <w:p w:rsidR="00B04D6C" w:rsidRDefault="00B04D6C" w:rsidP="00B04D6C">
      <w:r>
        <w:t xml:space="preserve">V izdatkih, ki jih beleži anketa, </w:t>
      </w:r>
      <w:r w:rsidR="003921A3">
        <w:t>niso</w:t>
      </w:r>
      <w:r>
        <w:t xml:space="preserve"> vključeni tudi zneski donacij dohodnine, ki jih davčni zavezanci namenijo za financiranje kulturnih namenov v skladu s 142. členom Zakona o dohodnini. Ta znesek se je od začetka uvedbe ukrepa 2007 do leta 2015 povečal za skoraj dvakrat – iz slabih 90 tisoč evrov na slabih 170 tisoč evrov.</w:t>
      </w:r>
    </w:p>
    <w:p w:rsidR="00B04D6C" w:rsidRDefault="006D2D21" w:rsidP="00B04D6C">
      <w:pPr>
        <w:pStyle w:val="Naslovtabele"/>
      </w:pPr>
      <w:bookmarkStart w:id="181" w:name="_Toc490053366"/>
      <w:bookmarkStart w:id="182" w:name="_Toc490053737"/>
      <w:bookmarkStart w:id="183" w:name="_Toc490600009"/>
      <w:r>
        <w:t>Tabela 18</w:t>
      </w:r>
      <w:r w:rsidR="00B04D6C">
        <w:t>: Zneski, ki so jih davčni zavezanci iz dela svoje dohodnine namenili za donacije upravičencem do donacij s področja kulture (2007–2015)</w:t>
      </w:r>
      <w:bookmarkEnd w:id="181"/>
      <w:bookmarkEnd w:id="182"/>
      <w:bookmarkEnd w:id="183"/>
    </w:p>
    <w:tbl>
      <w:tblPr>
        <w:tblStyle w:val="Svetelseznampoudarek3"/>
        <w:tblW w:w="5000" w:type="pct"/>
        <w:tblLook w:val="04A0" w:firstRow="1" w:lastRow="0" w:firstColumn="1" w:lastColumn="0" w:noHBand="0" w:noVBand="1"/>
      </w:tblPr>
      <w:tblGrid>
        <w:gridCol w:w="4644"/>
        <w:gridCol w:w="4645"/>
      </w:tblGrid>
      <w:tr w:rsidR="00B04D6C" w:rsidRPr="00494A92" w:rsidTr="00EC3959">
        <w:trPr>
          <w:cnfStyle w:val="100000000000" w:firstRow="1" w:lastRow="0" w:firstColumn="0" w:lastColumn="0" w:oddVBand="0" w:evenVBand="0" w:oddHBand="0" w:evenHBand="0" w:firstRowFirstColumn="0" w:firstRowLastColumn="0" w:lastRowFirstColumn="0" w:lastRowLastColumn="0"/>
          <w:trHeight w:val="290"/>
          <w:tblHeader/>
        </w:trPr>
        <w:tc>
          <w:tcPr>
            <w:cnfStyle w:val="001000000000" w:firstRow="0" w:lastRow="0" w:firstColumn="1" w:lastColumn="0" w:oddVBand="0" w:evenVBand="0" w:oddHBand="0" w:evenHBand="0" w:firstRowFirstColumn="0" w:firstRowLastColumn="0" w:lastRowFirstColumn="0" w:lastRowLastColumn="0"/>
            <w:tcW w:w="2500" w:type="pct"/>
            <w:noWrap/>
            <w:hideMark/>
          </w:tcPr>
          <w:p w:rsidR="00B04D6C" w:rsidRPr="00E73F5D" w:rsidRDefault="00B04D6C" w:rsidP="00FD1253">
            <w:pPr>
              <w:rPr>
                <w:rFonts w:ascii="Arial Narrow" w:hAnsi="Arial Narrow"/>
                <w:sz w:val="16"/>
                <w:szCs w:val="16"/>
              </w:rPr>
            </w:pPr>
            <w:r w:rsidRPr="00E73F5D">
              <w:rPr>
                <w:rFonts w:ascii="Arial Narrow" w:hAnsi="Arial Narrow"/>
                <w:sz w:val="16"/>
                <w:szCs w:val="16"/>
              </w:rPr>
              <w:t xml:space="preserve">Odmerno leto </w:t>
            </w:r>
          </w:p>
        </w:tc>
        <w:tc>
          <w:tcPr>
            <w:tcW w:w="2500" w:type="pct"/>
            <w:noWrap/>
            <w:hideMark/>
          </w:tcPr>
          <w:p w:rsidR="00B04D6C" w:rsidRPr="00E73F5D" w:rsidRDefault="00B04D6C" w:rsidP="00FD1253">
            <w:pPr>
              <w:cnfStyle w:val="100000000000" w:firstRow="1" w:lastRow="0" w:firstColumn="0" w:lastColumn="0" w:oddVBand="0" w:evenVBand="0" w:oddHBand="0" w:evenHBand="0" w:firstRowFirstColumn="0" w:firstRowLastColumn="0" w:lastRowFirstColumn="0" w:lastRowLastColumn="0"/>
              <w:rPr>
                <w:rFonts w:ascii="Arial Narrow" w:hAnsi="Arial Narrow"/>
                <w:sz w:val="16"/>
                <w:szCs w:val="16"/>
              </w:rPr>
            </w:pPr>
            <w:r w:rsidRPr="00E73F5D">
              <w:rPr>
                <w:rFonts w:ascii="Arial Narrow" w:hAnsi="Arial Narrow"/>
                <w:sz w:val="16"/>
                <w:szCs w:val="16"/>
              </w:rPr>
              <w:t>EUR</w:t>
            </w:r>
          </w:p>
        </w:tc>
      </w:tr>
      <w:tr w:rsidR="00B04D6C" w:rsidRPr="00494A92" w:rsidTr="00003BCC">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2500" w:type="pct"/>
            <w:noWrap/>
            <w:hideMark/>
          </w:tcPr>
          <w:p w:rsidR="00B04D6C" w:rsidRPr="00E73F5D" w:rsidRDefault="00B04D6C" w:rsidP="00FD1253">
            <w:pPr>
              <w:spacing w:after="0" w:line="240" w:lineRule="auto"/>
              <w:rPr>
                <w:rFonts w:ascii="Arial Narrow" w:hAnsi="Arial Narrow"/>
                <w:sz w:val="16"/>
                <w:szCs w:val="16"/>
              </w:rPr>
            </w:pPr>
            <w:r w:rsidRPr="00E73F5D">
              <w:rPr>
                <w:rFonts w:ascii="Arial Narrow" w:hAnsi="Arial Narrow"/>
                <w:sz w:val="16"/>
                <w:szCs w:val="16"/>
              </w:rPr>
              <w:t>2007</w:t>
            </w:r>
          </w:p>
        </w:tc>
        <w:tc>
          <w:tcPr>
            <w:tcW w:w="2500" w:type="pct"/>
            <w:noWrap/>
            <w:hideMark/>
          </w:tcPr>
          <w:p w:rsidR="00B04D6C" w:rsidRPr="00E73F5D" w:rsidRDefault="00B04D6C" w:rsidP="00FD125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E73F5D">
              <w:rPr>
                <w:rFonts w:ascii="Arial Narrow" w:hAnsi="Arial Narrow"/>
                <w:sz w:val="16"/>
                <w:szCs w:val="16"/>
              </w:rPr>
              <w:t>88.998,21</w:t>
            </w:r>
          </w:p>
        </w:tc>
      </w:tr>
      <w:tr w:rsidR="00B04D6C" w:rsidRPr="00494A92" w:rsidTr="00003BCC">
        <w:trPr>
          <w:trHeight w:val="102"/>
        </w:trPr>
        <w:tc>
          <w:tcPr>
            <w:cnfStyle w:val="001000000000" w:firstRow="0" w:lastRow="0" w:firstColumn="1" w:lastColumn="0" w:oddVBand="0" w:evenVBand="0" w:oddHBand="0" w:evenHBand="0" w:firstRowFirstColumn="0" w:firstRowLastColumn="0" w:lastRowFirstColumn="0" w:lastRowLastColumn="0"/>
            <w:tcW w:w="2500" w:type="pct"/>
            <w:noWrap/>
            <w:hideMark/>
          </w:tcPr>
          <w:p w:rsidR="00B04D6C" w:rsidRPr="00E73F5D" w:rsidRDefault="00B04D6C" w:rsidP="00FD1253">
            <w:pPr>
              <w:spacing w:after="0" w:line="240" w:lineRule="auto"/>
              <w:rPr>
                <w:rFonts w:ascii="Arial Narrow" w:hAnsi="Arial Narrow"/>
                <w:sz w:val="16"/>
                <w:szCs w:val="16"/>
              </w:rPr>
            </w:pPr>
            <w:r w:rsidRPr="00E73F5D">
              <w:rPr>
                <w:rFonts w:ascii="Arial Narrow" w:hAnsi="Arial Narrow"/>
                <w:sz w:val="16"/>
                <w:szCs w:val="16"/>
              </w:rPr>
              <w:t>2008</w:t>
            </w:r>
          </w:p>
        </w:tc>
        <w:tc>
          <w:tcPr>
            <w:tcW w:w="2500" w:type="pct"/>
            <w:noWrap/>
            <w:hideMark/>
          </w:tcPr>
          <w:p w:rsidR="00B04D6C" w:rsidRPr="00E73F5D" w:rsidRDefault="00B04D6C" w:rsidP="00FD125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E73F5D">
              <w:rPr>
                <w:rFonts w:ascii="Arial Narrow" w:hAnsi="Arial Narrow"/>
                <w:sz w:val="16"/>
                <w:szCs w:val="16"/>
              </w:rPr>
              <w:t>96.428,66</w:t>
            </w:r>
          </w:p>
        </w:tc>
      </w:tr>
      <w:tr w:rsidR="00B04D6C" w:rsidRPr="00494A92" w:rsidTr="00003BCC">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2500" w:type="pct"/>
            <w:noWrap/>
            <w:hideMark/>
          </w:tcPr>
          <w:p w:rsidR="00B04D6C" w:rsidRPr="00E73F5D" w:rsidRDefault="00B04D6C" w:rsidP="00FD1253">
            <w:pPr>
              <w:spacing w:after="0" w:line="240" w:lineRule="auto"/>
              <w:rPr>
                <w:rFonts w:ascii="Arial Narrow" w:hAnsi="Arial Narrow"/>
                <w:sz w:val="16"/>
                <w:szCs w:val="16"/>
              </w:rPr>
            </w:pPr>
            <w:r w:rsidRPr="00E73F5D">
              <w:rPr>
                <w:rFonts w:ascii="Arial Narrow" w:hAnsi="Arial Narrow"/>
                <w:sz w:val="16"/>
                <w:szCs w:val="16"/>
              </w:rPr>
              <w:t>2009</w:t>
            </w:r>
          </w:p>
        </w:tc>
        <w:tc>
          <w:tcPr>
            <w:tcW w:w="2500" w:type="pct"/>
            <w:noWrap/>
            <w:hideMark/>
          </w:tcPr>
          <w:p w:rsidR="00B04D6C" w:rsidRPr="00E73F5D" w:rsidRDefault="00B04D6C" w:rsidP="00FD125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E73F5D">
              <w:rPr>
                <w:rFonts w:ascii="Arial Narrow" w:hAnsi="Arial Narrow"/>
                <w:sz w:val="16"/>
                <w:szCs w:val="16"/>
              </w:rPr>
              <w:t>103.230,42</w:t>
            </w:r>
          </w:p>
        </w:tc>
      </w:tr>
      <w:tr w:rsidR="00B04D6C" w:rsidRPr="00494A92" w:rsidTr="00003BCC">
        <w:trPr>
          <w:trHeight w:val="102"/>
        </w:trPr>
        <w:tc>
          <w:tcPr>
            <w:cnfStyle w:val="001000000000" w:firstRow="0" w:lastRow="0" w:firstColumn="1" w:lastColumn="0" w:oddVBand="0" w:evenVBand="0" w:oddHBand="0" w:evenHBand="0" w:firstRowFirstColumn="0" w:firstRowLastColumn="0" w:lastRowFirstColumn="0" w:lastRowLastColumn="0"/>
            <w:tcW w:w="2500" w:type="pct"/>
            <w:noWrap/>
            <w:hideMark/>
          </w:tcPr>
          <w:p w:rsidR="00B04D6C" w:rsidRPr="00E73F5D" w:rsidRDefault="00B04D6C" w:rsidP="00FD1253">
            <w:pPr>
              <w:spacing w:after="0" w:line="240" w:lineRule="auto"/>
              <w:rPr>
                <w:rFonts w:ascii="Arial Narrow" w:hAnsi="Arial Narrow"/>
                <w:sz w:val="16"/>
                <w:szCs w:val="16"/>
              </w:rPr>
            </w:pPr>
            <w:r w:rsidRPr="00E73F5D">
              <w:rPr>
                <w:rFonts w:ascii="Arial Narrow" w:hAnsi="Arial Narrow"/>
                <w:sz w:val="16"/>
                <w:szCs w:val="16"/>
              </w:rPr>
              <w:t>2010</w:t>
            </w:r>
          </w:p>
        </w:tc>
        <w:tc>
          <w:tcPr>
            <w:tcW w:w="2500" w:type="pct"/>
            <w:noWrap/>
            <w:hideMark/>
          </w:tcPr>
          <w:p w:rsidR="00B04D6C" w:rsidRPr="00E73F5D" w:rsidRDefault="00B04D6C" w:rsidP="00FD125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E73F5D">
              <w:rPr>
                <w:rFonts w:ascii="Arial Narrow" w:hAnsi="Arial Narrow"/>
                <w:sz w:val="16"/>
                <w:szCs w:val="16"/>
              </w:rPr>
              <w:t>107.685,56</w:t>
            </w:r>
          </w:p>
        </w:tc>
      </w:tr>
      <w:tr w:rsidR="00B04D6C" w:rsidRPr="00494A92" w:rsidTr="00003BCC">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2500" w:type="pct"/>
            <w:noWrap/>
            <w:hideMark/>
          </w:tcPr>
          <w:p w:rsidR="00B04D6C" w:rsidRPr="00E73F5D" w:rsidRDefault="00B04D6C" w:rsidP="00FD1253">
            <w:pPr>
              <w:spacing w:after="0" w:line="240" w:lineRule="auto"/>
              <w:rPr>
                <w:rFonts w:ascii="Arial Narrow" w:hAnsi="Arial Narrow"/>
                <w:sz w:val="16"/>
                <w:szCs w:val="16"/>
              </w:rPr>
            </w:pPr>
            <w:r w:rsidRPr="00E73F5D">
              <w:rPr>
                <w:rFonts w:ascii="Arial Narrow" w:hAnsi="Arial Narrow"/>
                <w:sz w:val="16"/>
                <w:szCs w:val="16"/>
              </w:rPr>
              <w:t>2011</w:t>
            </w:r>
          </w:p>
        </w:tc>
        <w:tc>
          <w:tcPr>
            <w:tcW w:w="2500" w:type="pct"/>
            <w:noWrap/>
            <w:hideMark/>
          </w:tcPr>
          <w:p w:rsidR="00B04D6C" w:rsidRPr="00E73F5D" w:rsidRDefault="00B04D6C" w:rsidP="00FD125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E73F5D">
              <w:rPr>
                <w:rFonts w:ascii="Arial Narrow" w:hAnsi="Arial Narrow"/>
                <w:sz w:val="16"/>
                <w:szCs w:val="16"/>
              </w:rPr>
              <w:t>136.698,00</w:t>
            </w:r>
          </w:p>
        </w:tc>
      </w:tr>
      <w:tr w:rsidR="00B04D6C" w:rsidRPr="00494A92" w:rsidTr="00003BCC">
        <w:trPr>
          <w:trHeight w:val="102"/>
        </w:trPr>
        <w:tc>
          <w:tcPr>
            <w:cnfStyle w:val="001000000000" w:firstRow="0" w:lastRow="0" w:firstColumn="1" w:lastColumn="0" w:oddVBand="0" w:evenVBand="0" w:oddHBand="0" w:evenHBand="0" w:firstRowFirstColumn="0" w:firstRowLastColumn="0" w:lastRowFirstColumn="0" w:lastRowLastColumn="0"/>
            <w:tcW w:w="2500" w:type="pct"/>
            <w:noWrap/>
            <w:hideMark/>
          </w:tcPr>
          <w:p w:rsidR="00B04D6C" w:rsidRPr="00E73F5D" w:rsidRDefault="00B04D6C" w:rsidP="00FD1253">
            <w:pPr>
              <w:spacing w:after="0" w:line="240" w:lineRule="auto"/>
              <w:rPr>
                <w:rFonts w:ascii="Arial Narrow" w:hAnsi="Arial Narrow"/>
                <w:sz w:val="16"/>
                <w:szCs w:val="16"/>
              </w:rPr>
            </w:pPr>
            <w:r w:rsidRPr="00E73F5D">
              <w:rPr>
                <w:rFonts w:ascii="Arial Narrow" w:hAnsi="Arial Narrow"/>
                <w:sz w:val="16"/>
                <w:szCs w:val="16"/>
              </w:rPr>
              <w:t>2012</w:t>
            </w:r>
          </w:p>
        </w:tc>
        <w:tc>
          <w:tcPr>
            <w:tcW w:w="2500" w:type="pct"/>
            <w:noWrap/>
            <w:hideMark/>
          </w:tcPr>
          <w:p w:rsidR="00B04D6C" w:rsidRPr="00E73F5D" w:rsidRDefault="00B04D6C" w:rsidP="00FD125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E73F5D">
              <w:rPr>
                <w:rFonts w:ascii="Arial Narrow" w:hAnsi="Arial Narrow"/>
                <w:sz w:val="16"/>
                <w:szCs w:val="16"/>
              </w:rPr>
              <w:t>150.833,86</w:t>
            </w:r>
          </w:p>
        </w:tc>
      </w:tr>
      <w:tr w:rsidR="00B04D6C" w:rsidRPr="00494A92" w:rsidTr="00003BCC">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2500" w:type="pct"/>
            <w:noWrap/>
            <w:hideMark/>
          </w:tcPr>
          <w:p w:rsidR="00B04D6C" w:rsidRPr="00E73F5D" w:rsidRDefault="00B04D6C" w:rsidP="00FD1253">
            <w:pPr>
              <w:spacing w:after="0" w:line="240" w:lineRule="auto"/>
              <w:rPr>
                <w:rFonts w:ascii="Arial Narrow" w:hAnsi="Arial Narrow"/>
                <w:sz w:val="16"/>
                <w:szCs w:val="16"/>
              </w:rPr>
            </w:pPr>
            <w:r w:rsidRPr="00E73F5D">
              <w:rPr>
                <w:rFonts w:ascii="Arial Narrow" w:hAnsi="Arial Narrow"/>
                <w:sz w:val="16"/>
                <w:szCs w:val="16"/>
              </w:rPr>
              <w:t>2013</w:t>
            </w:r>
          </w:p>
        </w:tc>
        <w:tc>
          <w:tcPr>
            <w:tcW w:w="2500" w:type="pct"/>
            <w:noWrap/>
            <w:hideMark/>
          </w:tcPr>
          <w:p w:rsidR="00B04D6C" w:rsidRPr="00E73F5D" w:rsidRDefault="00B04D6C" w:rsidP="00FD125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E73F5D">
              <w:rPr>
                <w:rFonts w:ascii="Arial Narrow" w:hAnsi="Arial Narrow"/>
                <w:sz w:val="16"/>
                <w:szCs w:val="16"/>
              </w:rPr>
              <w:t>134.014,01</w:t>
            </w:r>
          </w:p>
        </w:tc>
      </w:tr>
      <w:tr w:rsidR="00B04D6C" w:rsidRPr="00494A92" w:rsidTr="00003BCC">
        <w:trPr>
          <w:trHeight w:val="102"/>
        </w:trPr>
        <w:tc>
          <w:tcPr>
            <w:cnfStyle w:val="001000000000" w:firstRow="0" w:lastRow="0" w:firstColumn="1" w:lastColumn="0" w:oddVBand="0" w:evenVBand="0" w:oddHBand="0" w:evenHBand="0" w:firstRowFirstColumn="0" w:firstRowLastColumn="0" w:lastRowFirstColumn="0" w:lastRowLastColumn="0"/>
            <w:tcW w:w="2500" w:type="pct"/>
            <w:noWrap/>
            <w:hideMark/>
          </w:tcPr>
          <w:p w:rsidR="00B04D6C" w:rsidRPr="00E73F5D" w:rsidRDefault="00B04D6C" w:rsidP="00FD1253">
            <w:pPr>
              <w:spacing w:after="0" w:line="240" w:lineRule="auto"/>
              <w:rPr>
                <w:rFonts w:ascii="Arial Narrow" w:hAnsi="Arial Narrow"/>
                <w:sz w:val="16"/>
                <w:szCs w:val="16"/>
              </w:rPr>
            </w:pPr>
            <w:r w:rsidRPr="00E73F5D">
              <w:rPr>
                <w:rFonts w:ascii="Arial Narrow" w:hAnsi="Arial Narrow"/>
                <w:sz w:val="16"/>
                <w:szCs w:val="16"/>
              </w:rPr>
              <w:t>2014</w:t>
            </w:r>
          </w:p>
        </w:tc>
        <w:tc>
          <w:tcPr>
            <w:tcW w:w="2500" w:type="pct"/>
            <w:noWrap/>
            <w:hideMark/>
          </w:tcPr>
          <w:p w:rsidR="00B04D6C" w:rsidRPr="00E73F5D" w:rsidRDefault="00B04D6C" w:rsidP="00FD1253">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E73F5D">
              <w:rPr>
                <w:rFonts w:ascii="Arial Narrow" w:hAnsi="Arial Narrow"/>
                <w:sz w:val="16"/>
                <w:szCs w:val="16"/>
              </w:rPr>
              <w:t>158.724,25</w:t>
            </w:r>
          </w:p>
        </w:tc>
      </w:tr>
      <w:tr w:rsidR="00B04D6C" w:rsidRPr="00494A92" w:rsidTr="00003BCC">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2500" w:type="pct"/>
            <w:noWrap/>
            <w:hideMark/>
          </w:tcPr>
          <w:p w:rsidR="00B04D6C" w:rsidRPr="00E73F5D" w:rsidRDefault="00B04D6C" w:rsidP="00FD1253">
            <w:pPr>
              <w:spacing w:after="0" w:line="240" w:lineRule="auto"/>
              <w:rPr>
                <w:rFonts w:ascii="Arial Narrow" w:hAnsi="Arial Narrow"/>
                <w:sz w:val="16"/>
                <w:szCs w:val="16"/>
              </w:rPr>
            </w:pPr>
            <w:r w:rsidRPr="00E73F5D">
              <w:rPr>
                <w:rFonts w:ascii="Arial Narrow" w:hAnsi="Arial Narrow"/>
                <w:sz w:val="16"/>
                <w:szCs w:val="16"/>
              </w:rPr>
              <w:t>2015</w:t>
            </w:r>
          </w:p>
        </w:tc>
        <w:tc>
          <w:tcPr>
            <w:tcW w:w="2500" w:type="pct"/>
            <w:noWrap/>
            <w:hideMark/>
          </w:tcPr>
          <w:p w:rsidR="00B04D6C" w:rsidRPr="00E73F5D" w:rsidRDefault="00B04D6C" w:rsidP="00FD1253">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E73F5D">
              <w:rPr>
                <w:rFonts w:ascii="Arial Narrow" w:hAnsi="Arial Narrow"/>
                <w:sz w:val="16"/>
                <w:szCs w:val="16"/>
              </w:rPr>
              <w:t>166.562,52</w:t>
            </w:r>
          </w:p>
        </w:tc>
      </w:tr>
    </w:tbl>
    <w:p w:rsidR="00B04D6C" w:rsidRDefault="00B04D6C" w:rsidP="00B04D6C">
      <w:pPr>
        <w:pStyle w:val="Podpispodtabeloaligrafom"/>
      </w:pPr>
      <w:r>
        <w:t>Vir: Finančna uprava RS.</w:t>
      </w:r>
    </w:p>
    <w:p w:rsidR="00B04D6C" w:rsidRDefault="00B04D6C" w:rsidP="00B04D6C">
      <w:pPr>
        <w:pStyle w:val="Podpispodtabeloaligrafom"/>
      </w:pPr>
    </w:p>
    <w:p w:rsidR="00B04D6C" w:rsidRDefault="00B04D6C" w:rsidP="00094966">
      <w:pPr>
        <w:pStyle w:val="Podnaslov2"/>
      </w:pPr>
      <w:bookmarkStart w:id="184" w:name="_Toc489859822"/>
      <w:bookmarkStart w:id="185" w:name="_Toc490047585"/>
      <w:bookmarkStart w:id="186" w:name="_Toc490599950"/>
      <w:bookmarkStart w:id="187" w:name="_Toc506192079"/>
      <w:r>
        <w:t>Prispevki gospodarstva za kulturo</w:t>
      </w:r>
      <w:bookmarkEnd w:id="184"/>
      <w:bookmarkEnd w:id="185"/>
      <w:bookmarkEnd w:id="186"/>
      <w:bookmarkEnd w:id="187"/>
    </w:p>
    <w:p w:rsidR="00701189" w:rsidRDefault="00C96903" w:rsidP="0000335A">
      <w:r>
        <w:t xml:space="preserve">Uradnih podatkov o </w:t>
      </w:r>
      <w:r w:rsidR="00D048E0">
        <w:t>višini sredstev, ki jih podje</w:t>
      </w:r>
      <w:r>
        <w:t xml:space="preserve">tja namenijo za kulturne namene, ni. </w:t>
      </w:r>
      <w:r w:rsidR="00D048E0">
        <w:t xml:space="preserve">Zato smo do ocene o </w:t>
      </w:r>
      <w:r>
        <w:t>njej</w:t>
      </w:r>
      <w:r w:rsidR="00D048E0">
        <w:t xml:space="preserve"> poskusili priti </w:t>
      </w:r>
      <w:r>
        <w:t>z</w:t>
      </w:r>
      <w:r w:rsidR="00D048E0">
        <w:t xml:space="preserve"> anket</w:t>
      </w:r>
      <w:r>
        <w:t>o</w:t>
      </w:r>
      <w:r w:rsidR="00D048E0">
        <w:t xml:space="preserve">. </w:t>
      </w:r>
      <w:r>
        <w:t>75 podjetij v Sloveniji, ki so bila navedena med sponzorji večjih kulturnih dogodkov, smo p</w:t>
      </w:r>
      <w:r w:rsidRPr="00C96903">
        <w:t xml:space="preserve">rosili </w:t>
      </w:r>
      <w:r>
        <w:t>za</w:t>
      </w:r>
      <w:r w:rsidRPr="00C96903">
        <w:t xml:space="preserve"> informacijo o</w:t>
      </w:r>
      <w:r>
        <w:t xml:space="preserve"> znesku</w:t>
      </w:r>
      <w:r w:rsidRPr="00C96903">
        <w:t xml:space="preserve">, ki </w:t>
      </w:r>
      <w:r>
        <w:t xml:space="preserve">bi </w:t>
      </w:r>
      <w:r w:rsidRPr="00C96903">
        <w:t>obsega</w:t>
      </w:r>
      <w:r>
        <w:t>l</w:t>
      </w:r>
      <w:r w:rsidRPr="00C96903">
        <w:t xml:space="preserve"> sponzorska in donatorska sredstva, dana tako v denarju kot v naravi (v obliki proizvodov, storitev ipd.) kulturnim inštitucijam (zavodom, društvom ipd.) in ustvarjalcem, ki delujejo v Sloveniji.</w:t>
      </w:r>
      <w:r>
        <w:t xml:space="preserve"> Podatke je posredovalo </w:t>
      </w:r>
      <w:r w:rsidR="00ED718D">
        <w:t>1</w:t>
      </w:r>
      <w:r w:rsidR="0019437C">
        <w:t>5</w:t>
      </w:r>
      <w:r w:rsidR="00ED718D">
        <w:t xml:space="preserve"> podjetij, ki </w:t>
      </w:r>
      <w:r w:rsidR="00ED718D">
        <w:lastRenderedPageBreak/>
        <w:t xml:space="preserve">so leta 2015 kulturi skupaj namenila </w:t>
      </w:r>
      <w:r w:rsidR="0019437C">
        <w:t xml:space="preserve">2.145.094,11 </w:t>
      </w:r>
      <w:r w:rsidR="00ED718D">
        <w:t xml:space="preserve">evrov. Ta podatek, glede na majhen odziv, ne zadostuje niti za </w:t>
      </w:r>
      <w:r w:rsidR="00302386">
        <w:t>grobo oceno.</w:t>
      </w:r>
      <w:r w:rsidR="009161B5">
        <w:t xml:space="preserve"> </w:t>
      </w:r>
      <w:r w:rsidR="00302386" w:rsidRPr="009161B5">
        <w:t xml:space="preserve">Imamo pa podatek </w:t>
      </w:r>
      <w:r w:rsidR="005074D0" w:rsidRPr="009161B5">
        <w:t xml:space="preserve">o višini </w:t>
      </w:r>
      <w:r w:rsidR="007144D9" w:rsidRPr="009161B5">
        <w:t xml:space="preserve">donatorskih in sponzorskih </w:t>
      </w:r>
      <w:r w:rsidR="005074D0" w:rsidRPr="009161B5">
        <w:t>sredstev, ki jih leta 2015 prejel</w:t>
      </w:r>
      <w:r w:rsidR="007144D9" w:rsidRPr="009161B5">
        <w:t xml:space="preserve">o </w:t>
      </w:r>
      <w:r w:rsidR="00C533A7" w:rsidRPr="009161B5">
        <w:t>72</w:t>
      </w:r>
      <w:r w:rsidR="005074D0" w:rsidRPr="009161B5">
        <w:t xml:space="preserve"> javni</w:t>
      </w:r>
      <w:r w:rsidR="007144D9" w:rsidRPr="009161B5">
        <w:t>h zavodov</w:t>
      </w:r>
      <w:r w:rsidR="005074D0" w:rsidRPr="009161B5">
        <w:t xml:space="preserve">, ki jih Ministrstvo za kulturo </w:t>
      </w:r>
      <w:r w:rsidR="00C533A7" w:rsidRPr="009161B5">
        <w:t xml:space="preserve">redno </w:t>
      </w:r>
      <w:r w:rsidR="005074D0" w:rsidRPr="009161B5">
        <w:t>financira na podlagi nepos</w:t>
      </w:r>
      <w:r w:rsidR="00C9275A" w:rsidRPr="009161B5">
        <w:t>red</w:t>
      </w:r>
      <w:r w:rsidR="007144D9" w:rsidRPr="009161B5">
        <w:t>nega poziva</w:t>
      </w:r>
      <w:r w:rsidR="00C13ADD">
        <w:t xml:space="preserve"> – dober milijon evrov (tabela 19</w:t>
      </w:r>
      <w:r w:rsidR="0000335A" w:rsidRPr="009161B5">
        <w:t>)</w:t>
      </w:r>
      <w:r w:rsidR="00302386" w:rsidRPr="009161B5">
        <w:t>. A tudi</w:t>
      </w:r>
      <w:r w:rsidR="00302386">
        <w:t xml:space="preserve"> to ne zadošča za vsaj približno oceno o prispevku slovenskega gospodarstva, saj na področju kulture deluje mnogo več kot le 72 poslovnih subjektov, ki so potencialni prejemniki sponzorstev in donacij.</w:t>
      </w:r>
      <w:r w:rsidR="00302386">
        <w:rPr>
          <w:rStyle w:val="Sprotnaopomba-sklic"/>
        </w:rPr>
        <w:footnoteReference w:id="31"/>
      </w:r>
    </w:p>
    <w:p w:rsidR="00701189" w:rsidRDefault="00701189" w:rsidP="00701189">
      <w:pPr>
        <w:pStyle w:val="Naslovtabele"/>
      </w:pPr>
      <w:bookmarkStart w:id="188" w:name="_Toc490053367"/>
      <w:bookmarkStart w:id="189" w:name="_Toc490053738"/>
      <w:bookmarkStart w:id="190" w:name="_Toc490600010"/>
      <w:r>
        <w:t>Tabela</w:t>
      </w:r>
      <w:r w:rsidR="006D2D21">
        <w:t xml:space="preserve"> 19</w:t>
      </w:r>
      <w:r w:rsidR="00FB3A10">
        <w:t>:</w:t>
      </w:r>
      <w:r>
        <w:t xml:space="preserve"> </w:t>
      </w:r>
      <w:r w:rsidR="008971C4">
        <w:t>Sponzorska in donatorska sredstva</w:t>
      </w:r>
      <w:r w:rsidR="00FB3A10">
        <w:t xml:space="preserve"> javnih </w:t>
      </w:r>
      <w:r w:rsidR="000842A4">
        <w:t>zavodov</w:t>
      </w:r>
      <w:r w:rsidR="00FB3A10">
        <w:t xml:space="preserve"> (2015)</w:t>
      </w:r>
      <w:bookmarkEnd w:id="188"/>
      <w:bookmarkEnd w:id="189"/>
      <w:r w:rsidR="00F23BAA">
        <w:t>*</w:t>
      </w:r>
      <w:bookmarkEnd w:id="190"/>
    </w:p>
    <w:tbl>
      <w:tblPr>
        <w:tblStyle w:val="Svetelseznampoudarek3"/>
        <w:tblW w:w="5000" w:type="pct"/>
        <w:tblLook w:val="04A0" w:firstRow="1" w:lastRow="0" w:firstColumn="1" w:lastColumn="0" w:noHBand="0" w:noVBand="1"/>
      </w:tblPr>
      <w:tblGrid>
        <w:gridCol w:w="3496"/>
        <w:gridCol w:w="1858"/>
        <w:gridCol w:w="1858"/>
        <w:gridCol w:w="2077"/>
      </w:tblGrid>
      <w:tr w:rsidR="00701189" w:rsidRPr="00701189" w:rsidTr="00701189">
        <w:trPr>
          <w:cnfStyle w:val="100000000000" w:firstRow="1" w:lastRow="0" w:firstColumn="0" w:lastColumn="0" w:oddVBand="0" w:evenVBand="0" w:oddHBand="0" w:evenHBand="0" w:firstRowFirstColumn="0" w:firstRowLastColumn="0" w:lastRowFirstColumn="0" w:lastRowLastColumn="0"/>
          <w:trHeight w:val="310"/>
        </w:trPr>
        <w:tc>
          <w:tcPr>
            <w:cnfStyle w:val="001000000000" w:firstRow="0" w:lastRow="0" w:firstColumn="1" w:lastColumn="0" w:oddVBand="0" w:evenVBand="0" w:oddHBand="0" w:evenHBand="0" w:firstRowFirstColumn="0" w:firstRowLastColumn="0" w:lastRowFirstColumn="0" w:lastRowLastColumn="0"/>
            <w:tcW w:w="1882" w:type="pct"/>
            <w:noWrap/>
          </w:tcPr>
          <w:p w:rsidR="00701189" w:rsidRPr="00701189" w:rsidRDefault="00701189" w:rsidP="00701189">
            <w:pPr>
              <w:rPr>
                <w:rFonts w:ascii="Arial Narrow" w:hAnsi="Arial Narrow" w:cs="Arial"/>
                <w:sz w:val="16"/>
                <w:szCs w:val="16"/>
                <w:lang w:eastAsia="sl-SI"/>
              </w:rPr>
            </w:pPr>
          </w:p>
        </w:tc>
        <w:tc>
          <w:tcPr>
            <w:tcW w:w="1000" w:type="pct"/>
            <w:noWrap/>
          </w:tcPr>
          <w:p w:rsidR="00701189" w:rsidRPr="00701189" w:rsidRDefault="00701189" w:rsidP="00701189">
            <w:pPr>
              <w:cnfStyle w:val="100000000000" w:firstRow="1" w:lastRow="0" w:firstColumn="0" w:lastColumn="0" w:oddVBand="0" w:evenVBand="0" w:oddHBand="0" w:evenHBand="0" w:firstRowFirstColumn="0" w:firstRowLastColumn="0" w:lastRowFirstColumn="0" w:lastRowLastColumn="0"/>
              <w:rPr>
                <w:rFonts w:ascii="Arial Narrow" w:hAnsi="Arial Narrow" w:cs="Arial"/>
                <w:sz w:val="16"/>
                <w:szCs w:val="16"/>
                <w:lang w:eastAsia="sl-SI"/>
              </w:rPr>
            </w:pPr>
            <w:r w:rsidRPr="00701189">
              <w:rPr>
                <w:rFonts w:ascii="Arial Narrow" w:hAnsi="Arial Narrow" w:cs="Arial"/>
                <w:sz w:val="16"/>
                <w:szCs w:val="16"/>
                <w:lang w:eastAsia="sl-SI"/>
              </w:rPr>
              <w:t>Sponzorstva</w:t>
            </w:r>
            <w:r>
              <w:rPr>
                <w:rFonts w:ascii="Arial Narrow" w:hAnsi="Arial Narrow" w:cs="Arial"/>
                <w:sz w:val="16"/>
                <w:szCs w:val="16"/>
                <w:lang w:eastAsia="sl-SI"/>
              </w:rPr>
              <w:t xml:space="preserve"> (EUR)</w:t>
            </w:r>
          </w:p>
        </w:tc>
        <w:tc>
          <w:tcPr>
            <w:tcW w:w="1000" w:type="pct"/>
            <w:noWrap/>
            <w:hideMark/>
          </w:tcPr>
          <w:p w:rsidR="00701189" w:rsidRPr="00701189" w:rsidRDefault="00701189" w:rsidP="00701189">
            <w:pPr>
              <w:cnfStyle w:val="100000000000" w:firstRow="1" w:lastRow="0" w:firstColumn="0" w:lastColumn="0" w:oddVBand="0" w:evenVBand="0" w:oddHBand="0" w:evenHBand="0" w:firstRowFirstColumn="0" w:firstRowLastColumn="0" w:lastRowFirstColumn="0" w:lastRowLastColumn="0"/>
              <w:rPr>
                <w:rFonts w:ascii="Arial Narrow" w:hAnsi="Arial Narrow" w:cs="Arial"/>
                <w:sz w:val="16"/>
                <w:szCs w:val="16"/>
                <w:lang w:eastAsia="sl-SI"/>
              </w:rPr>
            </w:pPr>
            <w:r w:rsidRPr="00701189">
              <w:rPr>
                <w:rFonts w:ascii="Arial Narrow" w:hAnsi="Arial Narrow" w:cs="Arial"/>
                <w:sz w:val="16"/>
                <w:szCs w:val="16"/>
                <w:lang w:eastAsia="sl-SI"/>
              </w:rPr>
              <w:t>Donacije</w:t>
            </w:r>
            <w:r>
              <w:rPr>
                <w:rFonts w:ascii="Arial Narrow" w:hAnsi="Arial Narrow" w:cs="Arial"/>
                <w:sz w:val="16"/>
                <w:szCs w:val="16"/>
                <w:lang w:eastAsia="sl-SI"/>
              </w:rPr>
              <w:t xml:space="preserve"> (EUR)</w:t>
            </w:r>
          </w:p>
        </w:tc>
        <w:tc>
          <w:tcPr>
            <w:tcW w:w="1118" w:type="pct"/>
            <w:noWrap/>
            <w:hideMark/>
          </w:tcPr>
          <w:p w:rsidR="00701189" w:rsidRPr="00701189" w:rsidRDefault="00701189" w:rsidP="00701189">
            <w:pPr>
              <w:cnfStyle w:val="100000000000" w:firstRow="1" w:lastRow="0" w:firstColumn="0" w:lastColumn="0" w:oddVBand="0" w:evenVBand="0" w:oddHBand="0" w:evenHBand="0" w:firstRowFirstColumn="0" w:firstRowLastColumn="0" w:lastRowFirstColumn="0" w:lastRowLastColumn="0"/>
              <w:rPr>
                <w:rFonts w:ascii="Arial Narrow" w:hAnsi="Arial Narrow" w:cs="Arial"/>
                <w:sz w:val="16"/>
                <w:szCs w:val="16"/>
                <w:lang w:eastAsia="sl-SI"/>
              </w:rPr>
            </w:pPr>
            <w:r w:rsidRPr="00701189">
              <w:rPr>
                <w:rFonts w:ascii="Arial Narrow" w:hAnsi="Arial Narrow" w:cs="Arial"/>
                <w:sz w:val="16"/>
                <w:szCs w:val="16"/>
                <w:lang w:eastAsia="sl-SI"/>
              </w:rPr>
              <w:t>Skupaj</w:t>
            </w:r>
            <w:r>
              <w:rPr>
                <w:rFonts w:ascii="Arial Narrow" w:hAnsi="Arial Narrow" w:cs="Arial"/>
                <w:sz w:val="16"/>
                <w:szCs w:val="16"/>
                <w:lang w:eastAsia="sl-SI"/>
              </w:rPr>
              <w:t xml:space="preserve"> (EUR)</w:t>
            </w:r>
          </w:p>
        </w:tc>
      </w:tr>
      <w:tr w:rsidR="00701189" w:rsidRPr="00701189" w:rsidTr="00003BCC">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1882" w:type="pct"/>
            <w:hideMark/>
          </w:tcPr>
          <w:p w:rsidR="00701189" w:rsidRPr="00701189" w:rsidRDefault="00701189" w:rsidP="00701189">
            <w:pPr>
              <w:spacing w:after="0" w:line="240" w:lineRule="auto"/>
              <w:rPr>
                <w:rFonts w:ascii="Arial Narrow" w:hAnsi="Arial Narrow" w:cs="Arial"/>
                <w:sz w:val="16"/>
                <w:szCs w:val="16"/>
                <w:lang w:eastAsia="sl-SI"/>
              </w:rPr>
            </w:pPr>
            <w:r w:rsidRPr="00701189">
              <w:rPr>
                <w:rFonts w:ascii="Arial Narrow" w:hAnsi="Arial Narrow" w:cs="Arial"/>
                <w:sz w:val="16"/>
                <w:szCs w:val="16"/>
                <w:lang w:eastAsia="sl-SI"/>
              </w:rPr>
              <w:t>Nacionalni javni zavodi</w:t>
            </w:r>
            <w:r>
              <w:rPr>
                <w:rFonts w:ascii="Arial Narrow" w:hAnsi="Arial Narrow" w:cs="Arial"/>
                <w:sz w:val="16"/>
                <w:szCs w:val="16"/>
                <w:lang w:eastAsia="sl-SI"/>
              </w:rPr>
              <w:t xml:space="preserve"> (27</w:t>
            </w:r>
            <w:r w:rsidR="008971C4">
              <w:rPr>
                <w:rFonts w:ascii="Arial Narrow" w:hAnsi="Arial Narrow" w:cs="Arial"/>
                <w:sz w:val="16"/>
                <w:szCs w:val="16"/>
                <w:lang w:eastAsia="sl-SI"/>
              </w:rPr>
              <w:t xml:space="preserve"> JZ</w:t>
            </w:r>
            <w:r>
              <w:rPr>
                <w:rFonts w:ascii="Arial Narrow" w:hAnsi="Arial Narrow" w:cs="Arial"/>
                <w:sz w:val="16"/>
                <w:szCs w:val="16"/>
                <w:lang w:eastAsia="sl-SI"/>
              </w:rPr>
              <w:t>)</w:t>
            </w:r>
          </w:p>
        </w:tc>
        <w:tc>
          <w:tcPr>
            <w:tcW w:w="1000" w:type="pct"/>
            <w:noWrap/>
            <w:hideMark/>
          </w:tcPr>
          <w:p w:rsidR="00701189" w:rsidRPr="00701189" w:rsidRDefault="00701189" w:rsidP="00701189">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s="Arial"/>
                <w:sz w:val="16"/>
                <w:szCs w:val="16"/>
                <w:lang w:eastAsia="sl-SI"/>
              </w:rPr>
            </w:pPr>
            <w:r w:rsidRPr="00701189">
              <w:rPr>
                <w:rFonts w:ascii="Arial Narrow" w:hAnsi="Arial Narrow" w:cs="Arial"/>
                <w:sz w:val="16"/>
                <w:szCs w:val="16"/>
                <w:lang w:eastAsia="sl-SI"/>
              </w:rPr>
              <w:t>499.838,00</w:t>
            </w:r>
          </w:p>
        </w:tc>
        <w:tc>
          <w:tcPr>
            <w:tcW w:w="1000" w:type="pct"/>
            <w:noWrap/>
            <w:hideMark/>
          </w:tcPr>
          <w:p w:rsidR="00701189" w:rsidRPr="00701189" w:rsidRDefault="00701189" w:rsidP="00701189">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s="Arial"/>
                <w:sz w:val="16"/>
                <w:szCs w:val="16"/>
                <w:lang w:eastAsia="sl-SI"/>
              </w:rPr>
            </w:pPr>
            <w:r w:rsidRPr="00701189">
              <w:rPr>
                <w:rFonts w:ascii="Arial Narrow" w:hAnsi="Arial Narrow" w:cs="Arial"/>
                <w:sz w:val="16"/>
                <w:szCs w:val="16"/>
                <w:lang w:eastAsia="sl-SI"/>
              </w:rPr>
              <w:t>98.973,34</w:t>
            </w:r>
          </w:p>
        </w:tc>
        <w:tc>
          <w:tcPr>
            <w:tcW w:w="1118" w:type="pct"/>
            <w:noWrap/>
            <w:hideMark/>
          </w:tcPr>
          <w:p w:rsidR="00701189" w:rsidRPr="00701189" w:rsidRDefault="00701189" w:rsidP="00701189">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s="Arial"/>
                <w:sz w:val="16"/>
                <w:szCs w:val="16"/>
                <w:lang w:eastAsia="sl-SI"/>
              </w:rPr>
            </w:pPr>
            <w:r w:rsidRPr="00701189">
              <w:rPr>
                <w:rFonts w:ascii="Arial Narrow" w:hAnsi="Arial Narrow" w:cs="Arial"/>
                <w:sz w:val="16"/>
                <w:szCs w:val="16"/>
                <w:lang w:eastAsia="sl-SI"/>
              </w:rPr>
              <w:t xml:space="preserve">598.811,34 </w:t>
            </w:r>
          </w:p>
        </w:tc>
      </w:tr>
      <w:tr w:rsidR="00701189" w:rsidRPr="00701189" w:rsidTr="00003BCC">
        <w:trPr>
          <w:trHeight w:val="102"/>
        </w:trPr>
        <w:tc>
          <w:tcPr>
            <w:cnfStyle w:val="001000000000" w:firstRow="0" w:lastRow="0" w:firstColumn="1" w:lastColumn="0" w:oddVBand="0" w:evenVBand="0" w:oddHBand="0" w:evenHBand="0" w:firstRowFirstColumn="0" w:firstRowLastColumn="0" w:lastRowFirstColumn="0" w:lastRowLastColumn="0"/>
            <w:tcW w:w="1882" w:type="pct"/>
            <w:hideMark/>
          </w:tcPr>
          <w:p w:rsidR="00701189" w:rsidRPr="00701189" w:rsidRDefault="00701189" w:rsidP="00701189">
            <w:pPr>
              <w:spacing w:after="0" w:line="240" w:lineRule="auto"/>
              <w:rPr>
                <w:rFonts w:ascii="Arial Narrow" w:hAnsi="Arial Narrow" w:cs="Arial"/>
                <w:sz w:val="16"/>
                <w:szCs w:val="16"/>
                <w:lang w:eastAsia="sl-SI"/>
              </w:rPr>
            </w:pPr>
            <w:r w:rsidRPr="00701189">
              <w:rPr>
                <w:rFonts w:ascii="Arial Narrow" w:hAnsi="Arial Narrow" w:cs="Arial"/>
                <w:sz w:val="16"/>
                <w:szCs w:val="16"/>
                <w:lang w:eastAsia="sl-SI"/>
              </w:rPr>
              <w:t>Občinski javni zavodi</w:t>
            </w:r>
            <w:r>
              <w:rPr>
                <w:rFonts w:ascii="Arial Narrow" w:hAnsi="Arial Narrow" w:cs="Arial"/>
                <w:sz w:val="16"/>
                <w:szCs w:val="16"/>
                <w:lang w:eastAsia="sl-SI"/>
              </w:rPr>
              <w:t xml:space="preserve"> (45</w:t>
            </w:r>
            <w:r w:rsidR="008971C4">
              <w:rPr>
                <w:rFonts w:ascii="Arial Narrow" w:hAnsi="Arial Narrow" w:cs="Arial"/>
                <w:sz w:val="16"/>
                <w:szCs w:val="16"/>
                <w:lang w:eastAsia="sl-SI"/>
              </w:rPr>
              <w:t xml:space="preserve"> JZ</w:t>
            </w:r>
            <w:r>
              <w:rPr>
                <w:rFonts w:ascii="Arial Narrow" w:hAnsi="Arial Narrow" w:cs="Arial"/>
                <w:sz w:val="16"/>
                <w:szCs w:val="16"/>
                <w:lang w:eastAsia="sl-SI"/>
              </w:rPr>
              <w:t>)</w:t>
            </w:r>
          </w:p>
        </w:tc>
        <w:tc>
          <w:tcPr>
            <w:tcW w:w="1000" w:type="pct"/>
            <w:noWrap/>
            <w:hideMark/>
          </w:tcPr>
          <w:p w:rsidR="00701189" w:rsidRPr="00701189" w:rsidRDefault="00701189" w:rsidP="00701189">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s="Arial"/>
                <w:sz w:val="16"/>
                <w:szCs w:val="16"/>
                <w:lang w:eastAsia="sl-SI"/>
              </w:rPr>
            </w:pPr>
            <w:r w:rsidRPr="00701189">
              <w:rPr>
                <w:rFonts w:ascii="Arial Narrow" w:hAnsi="Arial Narrow" w:cs="Arial"/>
                <w:sz w:val="16"/>
                <w:szCs w:val="16"/>
                <w:lang w:eastAsia="sl-SI"/>
              </w:rPr>
              <w:t>361.225,00</w:t>
            </w:r>
          </w:p>
        </w:tc>
        <w:tc>
          <w:tcPr>
            <w:tcW w:w="1000" w:type="pct"/>
            <w:noWrap/>
            <w:hideMark/>
          </w:tcPr>
          <w:p w:rsidR="00701189" w:rsidRPr="00701189" w:rsidRDefault="00701189" w:rsidP="00701189">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s="Arial"/>
                <w:sz w:val="16"/>
                <w:szCs w:val="16"/>
                <w:lang w:eastAsia="sl-SI"/>
              </w:rPr>
            </w:pPr>
            <w:r w:rsidRPr="00701189">
              <w:rPr>
                <w:rFonts w:ascii="Arial Narrow" w:hAnsi="Arial Narrow" w:cs="Arial"/>
                <w:sz w:val="16"/>
                <w:szCs w:val="16"/>
                <w:lang w:eastAsia="sl-SI"/>
              </w:rPr>
              <w:t>137.701,00</w:t>
            </w:r>
          </w:p>
        </w:tc>
        <w:tc>
          <w:tcPr>
            <w:tcW w:w="1118" w:type="pct"/>
            <w:noWrap/>
            <w:hideMark/>
          </w:tcPr>
          <w:p w:rsidR="00701189" w:rsidRPr="00701189" w:rsidRDefault="00701189" w:rsidP="00701189">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s="Arial"/>
                <w:sz w:val="16"/>
                <w:szCs w:val="16"/>
                <w:lang w:eastAsia="sl-SI"/>
              </w:rPr>
            </w:pPr>
            <w:r w:rsidRPr="00701189">
              <w:rPr>
                <w:rFonts w:ascii="Arial Narrow" w:hAnsi="Arial Narrow" w:cs="Arial"/>
                <w:sz w:val="16"/>
                <w:szCs w:val="16"/>
                <w:lang w:eastAsia="sl-SI"/>
              </w:rPr>
              <w:t xml:space="preserve">498.926,00 </w:t>
            </w:r>
          </w:p>
        </w:tc>
      </w:tr>
      <w:tr w:rsidR="00701189" w:rsidRPr="00701189" w:rsidTr="00003BCC">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1882" w:type="pct"/>
            <w:noWrap/>
            <w:hideMark/>
          </w:tcPr>
          <w:p w:rsidR="00701189" w:rsidRPr="00701189" w:rsidRDefault="00701189" w:rsidP="00701189">
            <w:pPr>
              <w:spacing w:after="0" w:line="240" w:lineRule="auto"/>
              <w:rPr>
                <w:rFonts w:ascii="Arial Narrow" w:hAnsi="Arial Narrow" w:cs="Arial"/>
                <w:sz w:val="16"/>
                <w:szCs w:val="16"/>
                <w:lang w:eastAsia="sl-SI"/>
              </w:rPr>
            </w:pPr>
            <w:r w:rsidRPr="00701189">
              <w:rPr>
                <w:rFonts w:ascii="Arial Narrow" w:hAnsi="Arial Narrow" w:cs="Arial"/>
                <w:sz w:val="16"/>
                <w:szCs w:val="16"/>
                <w:lang w:eastAsia="sl-SI"/>
              </w:rPr>
              <w:t>Skupaj</w:t>
            </w:r>
          </w:p>
        </w:tc>
        <w:tc>
          <w:tcPr>
            <w:tcW w:w="1000" w:type="pct"/>
            <w:noWrap/>
            <w:hideMark/>
          </w:tcPr>
          <w:p w:rsidR="00701189" w:rsidRPr="00701189" w:rsidRDefault="00701189" w:rsidP="00701189">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s="Arial"/>
                <w:b/>
                <w:bCs/>
                <w:sz w:val="16"/>
                <w:szCs w:val="16"/>
                <w:lang w:eastAsia="sl-SI"/>
              </w:rPr>
            </w:pPr>
            <w:r w:rsidRPr="00701189">
              <w:rPr>
                <w:rFonts w:ascii="Arial Narrow" w:hAnsi="Arial Narrow" w:cs="Arial"/>
                <w:b/>
                <w:bCs/>
                <w:sz w:val="16"/>
                <w:szCs w:val="16"/>
                <w:lang w:eastAsia="sl-SI"/>
              </w:rPr>
              <w:t>861.063,00</w:t>
            </w:r>
          </w:p>
        </w:tc>
        <w:tc>
          <w:tcPr>
            <w:tcW w:w="1000" w:type="pct"/>
            <w:noWrap/>
            <w:hideMark/>
          </w:tcPr>
          <w:p w:rsidR="00701189" w:rsidRPr="00701189" w:rsidRDefault="00701189" w:rsidP="00701189">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s="Arial"/>
                <w:b/>
                <w:bCs/>
                <w:sz w:val="16"/>
                <w:szCs w:val="16"/>
                <w:lang w:eastAsia="sl-SI"/>
              </w:rPr>
            </w:pPr>
            <w:r w:rsidRPr="00701189">
              <w:rPr>
                <w:rFonts w:ascii="Arial Narrow" w:hAnsi="Arial Narrow" w:cs="Arial"/>
                <w:b/>
                <w:bCs/>
                <w:sz w:val="16"/>
                <w:szCs w:val="16"/>
                <w:lang w:eastAsia="sl-SI"/>
              </w:rPr>
              <w:t>236.674,34</w:t>
            </w:r>
          </w:p>
        </w:tc>
        <w:tc>
          <w:tcPr>
            <w:tcW w:w="1118" w:type="pct"/>
            <w:noWrap/>
            <w:hideMark/>
          </w:tcPr>
          <w:p w:rsidR="00701189" w:rsidRPr="00701189" w:rsidRDefault="00701189" w:rsidP="00701189">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s="Arial"/>
                <w:b/>
                <w:bCs/>
                <w:sz w:val="16"/>
                <w:szCs w:val="16"/>
                <w:lang w:eastAsia="sl-SI"/>
              </w:rPr>
            </w:pPr>
            <w:r w:rsidRPr="00701189">
              <w:rPr>
                <w:rFonts w:ascii="Arial Narrow" w:hAnsi="Arial Narrow" w:cs="Arial"/>
                <w:b/>
                <w:bCs/>
                <w:sz w:val="16"/>
                <w:szCs w:val="16"/>
                <w:lang w:eastAsia="sl-SI"/>
              </w:rPr>
              <w:t xml:space="preserve">1.097.737,34 </w:t>
            </w:r>
          </w:p>
        </w:tc>
      </w:tr>
    </w:tbl>
    <w:p w:rsidR="00701189" w:rsidRDefault="00701189" w:rsidP="00DE1E54">
      <w:pPr>
        <w:pStyle w:val="Podpispodtabeloaligrafom"/>
        <w:spacing w:after="0"/>
      </w:pPr>
      <w:r>
        <w:t>Vir: Ministrstvo za kulturo.</w:t>
      </w:r>
    </w:p>
    <w:p w:rsidR="00701189" w:rsidRDefault="009D69DE" w:rsidP="009D69DE">
      <w:pPr>
        <w:pStyle w:val="Podpispodtabeloaligrafom"/>
      </w:pPr>
      <w:r>
        <w:t>*Podatki se nanašajo samo na</w:t>
      </w:r>
      <w:r w:rsidR="00A47669">
        <w:t xml:space="preserve"> </w:t>
      </w:r>
      <w:proofErr w:type="spellStart"/>
      <w:r>
        <w:t>javnezavode</w:t>
      </w:r>
      <w:proofErr w:type="spellEnd"/>
      <w:r>
        <w:t xml:space="preserve">, ki jih Ministrstvo za kulturo financira na podlagi </w:t>
      </w:r>
      <w:r w:rsidR="00CE28A6">
        <w:t>neposrednega</w:t>
      </w:r>
      <w:r>
        <w:t xml:space="preserve"> poziva.</w:t>
      </w:r>
    </w:p>
    <w:p w:rsidR="00B04D6C" w:rsidRDefault="00B04D6C" w:rsidP="00B04D6C">
      <w:pPr>
        <w:pStyle w:val="Podpispodtabeloaligrafom"/>
      </w:pPr>
    </w:p>
    <w:p w:rsidR="00B04D6C" w:rsidRDefault="00B04D6C" w:rsidP="00D523AE">
      <w:pPr>
        <w:pStyle w:val="Podnaslov"/>
      </w:pPr>
      <w:bookmarkStart w:id="191" w:name="_Toc489859823"/>
      <w:bookmarkStart w:id="192" w:name="_Toc490047586"/>
      <w:bookmarkStart w:id="193" w:name="_Toc490599951"/>
      <w:bookmarkStart w:id="194" w:name="_Toc506192080"/>
      <w:r>
        <w:t>Ocena odstotka bruto domačega proizvoda, ki ga namenijo za kulturo država</w:t>
      </w:r>
      <w:r w:rsidR="001E7218">
        <w:t xml:space="preserve"> in prebivalci</w:t>
      </w:r>
      <w:bookmarkEnd w:id="191"/>
      <w:bookmarkEnd w:id="192"/>
      <w:bookmarkEnd w:id="193"/>
      <w:bookmarkEnd w:id="194"/>
    </w:p>
    <w:p w:rsidR="006918EB" w:rsidRPr="00003BCC" w:rsidRDefault="004722BB" w:rsidP="00512FBD">
      <w:r w:rsidRPr="00CA7F6D">
        <w:t xml:space="preserve">V </w:t>
      </w:r>
      <w:r w:rsidR="0019437C" w:rsidRPr="00CA7F6D">
        <w:t>kulturni</w:t>
      </w:r>
      <w:r w:rsidRPr="00CA7F6D">
        <w:t xml:space="preserve"> </w:t>
      </w:r>
      <w:r w:rsidR="00D04906">
        <w:t>javnosti</w:t>
      </w:r>
      <w:r w:rsidRPr="00CA7F6D">
        <w:t xml:space="preserve"> </w:t>
      </w:r>
      <w:r w:rsidR="0019437C" w:rsidRPr="00CA7F6D">
        <w:t xml:space="preserve">je </w:t>
      </w:r>
      <w:r w:rsidR="00657BB5" w:rsidRPr="00CA7F6D">
        <w:t xml:space="preserve">mogoče </w:t>
      </w:r>
      <w:r w:rsidR="0019437C" w:rsidRPr="00CA7F6D">
        <w:t>zaslediti</w:t>
      </w:r>
      <w:r w:rsidRPr="00CA7F6D">
        <w:t xml:space="preserve"> </w:t>
      </w:r>
      <w:r w:rsidR="002A4931" w:rsidRPr="00CA7F6D">
        <w:t xml:space="preserve">zahtevo po spoštovanju </w:t>
      </w:r>
      <w:r w:rsidR="00EA2433" w:rsidRPr="00CA7F6D">
        <w:t>standard</w:t>
      </w:r>
      <w:r w:rsidR="002A4931" w:rsidRPr="00CA7F6D">
        <w:t>a</w:t>
      </w:r>
      <w:r w:rsidR="00C45E06" w:rsidRPr="00CA7F6D">
        <w:t xml:space="preserve"> organizacije UNESCO</w:t>
      </w:r>
      <w:r w:rsidR="00EA2433" w:rsidRPr="00CA7F6D">
        <w:t xml:space="preserve">, </w:t>
      </w:r>
      <w:r w:rsidR="001E7218" w:rsidRPr="00CA7F6D">
        <w:t xml:space="preserve">po katerem </w:t>
      </w:r>
      <w:r w:rsidR="00EA2433" w:rsidRPr="00CA7F6D">
        <w:t>naj</w:t>
      </w:r>
      <w:r w:rsidRPr="00CA7F6D">
        <w:t xml:space="preserve"> izdatki za kulturo </w:t>
      </w:r>
      <w:r w:rsidR="00EA2433" w:rsidRPr="00CA7F6D">
        <w:t xml:space="preserve">v razvitih državah </w:t>
      </w:r>
      <w:r w:rsidRPr="00CA7F6D">
        <w:t xml:space="preserve">predstavljajo vsaj 2 % bruto družbenega proizvoda. A tovrstnega priporočila </w:t>
      </w:r>
      <w:r w:rsidR="002A4931" w:rsidRPr="00CA7F6D">
        <w:t xml:space="preserve">žal </w:t>
      </w:r>
      <w:r w:rsidRPr="00CA7F6D">
        <w:t>ni mogoče najti v nobenem</w:t>
      </w:r>
      <w:r w:rsidR="002A4931" w:rsidRPr="00CA7F6D">
        <w:t xml:space="preserve"> </w:t>
      </w:r>
      <w:r w:rsidRPr="00CA7F6D">
        <w:t>uradnem dokumentu,</w:t>
      </w:r>
      <w:r w:rsidRPr="00CA7F6D">
        <w:rPr>
          <w:rStyle w:val="Sprotnaopomba-sklic"/>
        </w:rPr>
        <w:footnoteReference w:id="32"/>
      </w:r>
      <w:r w:rsidRPr="00CA7F6D">
        <w:t xml:space="preserve"> v katerem </w:t>
      </w:r>
      <w:r w:rsidR="00C45E06" w:rsidRPr="00CA7F6D">
        <w:t xml:space="preserve">UNESCO </w:t>
      </w:r>
      <w:r w:rsidR="002A4931" w:rsidRPr="00CA7F6D">
        <w:t>postavlja</w:t>
      </w:r>
      <w:r w:rsidRPr="00CA7F6D">
        <w:t xml:space="preserve"> standard</w:t>
      </w:r>
      <w:r w:rsidR="005D0C69" w:rsidRPr="00CA7F6D">
        <w:t>e, ki naj jim sledijo države.</w:t>
      </w:r>
      <w:r w:rsidR="00780D83">
        <w:rPr>
          <w:rStyle w:val="Sprotnaopomba-sklic"/>
        </w:rPr>
        <w:footnoteReference w:id="33"/>
      </w:r>
      <w:r w:rsidR="005D0C69" w:rsidRPr="00CA7F6D">
        <w:t xml:space="preserve"> Je pa možno, da je bilo priporočilo o dveh odstotkih izrečeno na kateri od konferenc</w:t>
      </w:r>
      <w:r w:rsidR="00C45E06" w:rsidRPr="00CA7F6D">
        <w:t>, ki jih je UNESCO (so)organiziral</w:t>
      </w:r>
      <w:r w:rsidR="005D0C69" w:rsidRPr="00CA7F6D">
        <w:t>.</w:t>
      </w:r>
      <w:r w:rsidR="00A61500" w:rsidRPr="00CA7F6D">
        <w:t xml:space="preserve"> Ker originalni vir priporočila ni </w:t>
      </w:r>
      <w:r w:rsidR="00C45E06" w:rsidRPr="00CA7F6D">
        <w:t>dostopen</w:t>
      </w:r>
      <w:r w:rsidR="00A61500" w:rsidRPr="00CA7F6D">
        <w:t xml:space="preserve">, so tudi </w:t>
      </w:r>
      <w:r w:rsidR="00C45E06" w:rsidRPr="00CA7F6D">
        <w:t>njegove</w:t>
      </w:r>
      <w:r w:rsidR="00A61500" w:rsidRPr="00CA7F6D">
        <w:t xml:space="preserve"> </w:t>
      </w:r>
      <w:r w:rsidR="00C45E06" w:rsidRPr="00CA7F6D">
        <w:t xml:space="preserve">interpretacije </w:t>
      </w:r>
      <w:r w:rsidR="008919EC">
        <w:t>različne</w:t>
      </w:r>
      <w:r w:rsidR="00EA2433" w:rsidRPr="00CA7F6D">
        <w:t>:</w:t>
      </w:r>
      <w:r w:rsidR="00A61500" w:rsidRPr="00CA7F6D">
        <w:t xml:space="preserve"> nekateri menijo, da se priporočilo nanaša na sredstva za</w:t>
      </w:r>
      <w:r w:rsidR="00524836" w:rsidRPr="00CA7F6D">
        <w:t xml:space="preserve"> kulturo v državnem proračunu, drugi, da se nanaša na sredstva, ki jih za kulturo namenijo državni in občinski proračuni skupaj, tretji pa, da je treba obojim prišteti še sredstva </w:t>
      </w:r>
      <w:r w:rsidR="003921A3" w:rsidRPr="00CA7F6D">
        <w:t>prebivalstva</w:t>
      </w:r>
      <w:r w:rsidR="00524836" w:rsidRPr="00CA7F6D">
        <w:t xml:space="preserve"> ter sponzorska in donatorska sredstva gospodarstva.</w:t>
      </w:r>
      <w:r w:rsidR="00003BCC">
        <w:t xml:space="preserve"> </w:t>
      </w:r>
      <w:r w:rsidR="00EA2433">
        <w:rPr>
          <w:rFonts w:eastAsiaTheme="majorEastAsia"/>
        </w:rPr>
        <w:t xml:space="preserve">Bruto družbeni proizvod (izražen v tekočih cenah), je leta 2015 znašal 38,6 milijard evrov. 2 % </w:t>
      </w:r>
      <w:r w:rsidR="008259FB">
        <w:rPr>
          <w:rFonts w:eastAsiaTheme="majorEastAsia"/>
        </w:rPr>
        <w:t>bruto družbenega proizvoda</w:t>
      </w:r>
      <w:r w:rsidR="00EA2433">
        <w:rPr>
          <w:rFonts w:eastAsiaTheme="majorEastAsia"/>
        </w:rPr>
        <w:t xml:space="preserve"> bi </w:t>
      </w:r>
      <w:r w:rsidR="000F67E6">
        <w:rPr>
          <w:rFonts w:eastAsiaTheme="majorEastAsia"/>
        </w:rPr>
        <w:t xml:space="preserve">torej </w:t>
      </w:r>
      <w:r w:rsidR="00EA2433">
        <w:rPr>
          <w:rFonts w:eastAsiaTheme="majorEastAsia"/>
        </w:rPr>
        <w:t>pomenila izdatke</w:t>
      </w:r>
      <w:r w:rsidR="00C45E06">
        <w:rPr>
          <w:rFonts w:eastAsiaTheme="majorEastAsia"/>
        </w:rPr>
        <w:t xml:space="preserve"> za kulturo</w:t>
      </w:r>
      <w:r w:rsidR="00EA2433">
        <w:rPr>
          <w:rFonts w:eastAsiaTheme="majorEastAsia"/>
        </w:rPr>
        <w:t xml:space="preserve"> v višini 770</w:t>
      </w:r>
      <w:r w:rsidR="008259FB">
        <w:rPr>
          <w:rFonts w:eastAsiaTheme="majorEastAsia"/>
        </w:rPr>
        <w:t xml:space="preserve"> milijonov evrov. Ta znesek dosežemo, če seštejemo </w:t>
      </w:r>
      <w:r w:rsidR="00AA6CEC">
        <w:rPr>
          <w:rFonts w:eastAsiaTheme="majorEastAsia"/>
        </w:rPr>
        <w:t>javne</w:t>
      </w:r>
      <w:r w:rsidR="00220AD7">
        <w:rPr>
          <w:rFonts w:eastAsiaTheme="majorEastAsia"/>
        </w:rPr>
        <w:t xml:space="preserve"> izdatke za kulturne storitve</w:t>
      </w:r>
      <w:r w:rsidR="003921A3">
        <w:rPr>
          <w:rFonts w:eastAsiaTheme="majorEastAsia"/>
        </w:rPr>
        <w:t>,</w:t>
      </w:r>
      <w:r w:rsidR="00AA6CEC">
        <w:rPr>
          <w:rFonts w:eastAsiaTheme="majorEastAsia"/>
        </w:rPr>
        <w:t xml:space="preserve"> izdatke </w:t>
      </w:r>
      <w:r w:rsidR="00220AD7">
        <w:rPr>
          <w:rFonts w:eastAsiaTheme="majorEastAsia"/>
        </w:rPr>
        <w:t>gospodinjstev za kulturo</w:t>
      </w:r>
      <w:r w:rsidR="00A06766">
        <w:rPr>
          <w:rFonts w:eastAsiaTheme="majorEastAsia"/>
        </w:rPr>
        <w:t xml:space="preserve"> (</w:t>
      </w:r>
      <w:r w:rsidR="00096ABA">
        <w:rPr>
          <w:rFonts w:eastAsiaTheme="majorEastAsia"/>
        </w:rPr>
        <w:t xml:space="preserve">ki so </w:t>
      </w:r>
      <w:r w:rsidR="00DF0933">
        <w:rPr>
          <w:rFonts w:eastAsiaTheme="majorEastAsia"/>
        </w:rPr>
        <w:t>približno dvakrat večji kot prvi</w:t>
      </w:r>
      <w:r w:rsidR="00A06766">
        <w:rPr>
          <w:rFonts w:eastAsiaTheme="majorEastAsia"/>
        </w:rPr>
        <w:t>)</w:t>
      </w:r>
      <w:r w:rsidR="00220AD7">
        <w:rPr>
          <w:rFonts w:eastAsiaTheme="majorEastAsia"/>
        </w:rPr>
        <w:t xml:space="preserve"> </w:t>
      </w:r>
      <w:r w:rsidR="006918EB">
        <w:rPr>
          <w:rFonts w:eastAsiaTheme="majorEastAsia"/>
        </w:rPr>
        <w:t>ter donacije posameznikov iz dohodnine</w:t>
      </w:r>
      <w:r w:rsidR="00A06766">
        <w:rPr>
          <w:rFonts w:eastAsiaTheme="majorEastAsia"/>
        </w:rPr>
        <w:t>.</w:t>
      </w:r>
    </w:p>
    <w:p w:rsidR="00512FBD" w:rsidRDefault="00220AD7" w:rsidP="00512FBD">
      <w:pPr>
        <w:rPr>
          <w:rFonts w:eastAsiaTheme="majorEastAsia"/>
        </w:rPr>
      </w:pPr>
      <w:r>
        <w:rPr>
          <w:rFonts w:eastAsiaTheme="majorEastAsia"/>
        </w:rPr>
        <w:t xml:space="preserve">Javnih izdatkov za storitve radia, televizije ter založništva v seštevku ne </w:t>
      </w:r>
      <w:r w:rsidR="00D473A7">
        <w:rPr>
          <w:rFonts w:eastAsiaTheme="majorEastAsia"/>
        </w:rPr>
        <w:t>upoštevamo</w:t>
      </w:r>
      <w:r>
        <w:rPr>
          <w:rFonts w:eastAsiaTheme="majorEastAsia"/>
        </w:rPr>
        <w:t>, saj je po podatkih ankete Poraba v gospodinjstvih</w:t>
      </w:r>
      <w:r w:rsidR="00D737B5">
        <w:rPr>
          <w:rFonts w:eastAsiaTheme="majorEastAsia"/>
        </w:rPr>
        <w:t xml:space="preserve"> (katere podatke, kot rečen</w:t>
      </w:r>
      <w:r w:rsidR="00C45E06">
        <w:rPr>
          <w:rFonts w:eastAsiaTheme="majorEastAsia"/>
        </w:rPr>
        <w:t>o</w:t>
      </w:r>
      <w:r w:rsidR="00D737B5">
        <w:rPr>
          <w:rFonts w:eastAsiaTheme="majorEastAsia"/>
        </w:rPr>
        <w:t>,</w:t>
      </w:r>
      <w:r w:rsidR="00C45E06">
        <w:rPr>
          <w:rFonts w:eastAsiaTheme="majorEastAsia"/>
        </w:rPr>
        <w:t xml:space="preserve"> prištevamo)</w:t>
      </w:r>
      <w:r>
        <w:rPr>
          <w:rFonts w:eastAsiaTheme="majorEastAsia"/>
        </w:rPr>
        <w:t>, naročnina za RTV največji od vseh stroškov za kulturne namene</w:t>
      </w:r>
      <w:r w:rsidR="00C45E06">
        <w:rPr>
          <w:rFonts w:eastAsiaTheme="majorEastAsia"/>
        </w:rPr>
        <w:t>, kar bi pomenilo, da bi znesek RTV naročni</w:t>
      </w:r>
      <w:r w:rsidR="006918EB">
        <w:rPr>
          <w:rFonts w:eastAsiaTheme="majorEastAsia"/>
        </w:rPr>
        <w:t>ne</w:t>
      </w:r>
      <w:r w:rsidR="00C45E06">
        <w:rPr>
          <w:rFonts w:eastAsiaTheme="majorEastAsia"/>
        </w:rPr>
        <w:t xml:space="preserve"> šteli dvakrat. Slabost omenjenega računskega postopka je, da v tem primeru izpustimo izdatke za založništvo, </w:t>
      </w:r>
      <w:r w:rsidR="002A1306">
        <w:rPr>
          <w:rFonts w:eastAsiaTheme="majorEastAsia"/>
        </w:rPr>
        <w:t>ker</w:t>
      </w:r>
      <w:r w:rsidR="00C45E06">
        <w:rPr>
          <w:rFonts w:eastAsiaTheme="majorEastAsia"/>
        </w:rPr>
        <w:t xml:space="preserve"> so </w:t>
      </w:r>
      <w:r w:rsidR="006918EB">
        <w:rPr>
          <w:rFonts w:eastAsiaTheme="majorEastAsia"/>
        </w:rPr>
        <w:t xml:space="preserve">po metodologiji COFOG </w:t>
      </w:r>
      <w:r w:rsidR="00C45E06">
        <w:rPr>
          <w:rFonts w:eastAsiaTheme="majorEastAsia"/>
        </w:rPr>
        <w:t>enovita skupina skupaj z izdatki za RTV.</w:t>
      </w:r>
      <w:r w:rsidR="005759EB">
        <w:rPr>
          <w:rStyle w:val="Sprotnaopomba-sklic"/>
          <w:rFonts w:eastAsiaTheme="majorEastAsia"/>
        </w:rPr>
        <w:footnoteReference w:id="34"/>
      </w:r>
      <w:r w:rsidR="006918EB">
        <w:rPr>
          <w:rFonts w:eastAsiaTheme="majorEastAsia"/>
        </w:rPr>
        <w:t xml:space="preserve"> </w:t>
      </w:r>
      <w:r w:rsidR="001E7218">
        <w:rPr>
          <w:rFonts w:eastAsiaTheme="majorEastAsia"/>
        </w:rPr>
        <w:t xml:space="preserve">V seštevku ne upoštevamo tudi donatorskih in sponzorskih sredstev gospodarstva, saj </w:t>
      </w:r>
      <w:r w:rsidR="00DF0933">
        <w:rPr>
          <w:rFonts w:eastAsiaTheme="majorEastAsia"/>
        </w:rPr>
        <w:t xml:space="preserve">zanesljivega </w:t>
      </w:r>
      <w:r w:rsidR="001E7218">
        <w:rPr>
          <w:rFonts w:eastAsiaTheme="majorEastAsia"/>
        </w:rPr>
        <w:t>podat</w:t>
      </w:r>
      <w:r w:rsidR="00D473A7">
        <w:rPr>
          <w:rFonts w:eastAsiaTheme="majorEastAsia"/>
        </w:rPr>
        <w:t>ka</w:t>
      </w:r>
      <w:r w:rsidR="001E7218">
        <w:rPr>
          <w:rFonts w:eastAsiaTheme="majorEastAsia"/>
        </w:rPr>
        <w:t xml:space="preserve"> o njih </w:t>
      </w:r>
      <w:r w:rsidR="00D473A7">
        <w:rPr>
          <w:rFonts w:eastAsiaTheme="majorEastAsia"/>
        </w:rPr>
        <w:t>ni</w:t>
      </w:r>
      <w:r w:rsidR="001E7218">
        <w:rPr>
          <w:rFonts w:eastAsiaTheme="majorEastAsia"/>
        </w:rPr>
        <w:t>.</w:t>
      </w:r>
    </w:p>
    <w:p w:rsidR="00172017" w:rsidRDefault="00172017" w:rsidP="001E7218">
      <w:pPr>
        <w:pStyle w:val="Naslovtabele"/>
        <w:rPr>
          <w:rFonts w:eastAsiaTheme="majorEastAsia"/>
        </w:rPr>
      </w:pPr>
      <w:bookmarkStart w:id="195" w:name="_Toc490053368"/>
      <w:bookmarkStart w:id="196" w:name="_Toc490053739"/>
      <w:bookmarkStart w:id="197" w:name="_Toc490600011"/>
      <w:r>
        <w:rPr>
          <w:rFonts w:eastAsiaTheme="majorEastAsia"/>
        </w:rPr>
        <w:t>Tabela</w:t>
      </w:r>
      <w:r w:rsidR="006D2D21">
        <w:rPr>
          <w:rFonts w:eastAsiaTheme="majorEastAsia"/>
        </w:rPr>
        <w:t xml:space="preserve"> 20</w:t>
      </w:r>
      <w:r w:rsidR="00AA6CEC">
        <w:rPr>
          <w:rFonts w:eastAsiaTheme="majorEastAsia"/>
        </w:rPr>
        <w:t xml:space="preserve">: </w:t>
      </w:r>
      <w:r w:rsidR="00141C9B">
        <w:rPr>
          <w:rFonts w:eastAsiaTheme="majorEastAsia"/>
        </w:rPr>
        <w:t>Javni izdatki</w:t>
      </w:r>
      <w:r w:rsidR="00BB7241">
        <w:rPr>
          <w:rFonts w:eastAsiaTheme="majorEastAsia"/>
        </w:rPr>
        <w:t xml:space="preserve"> ter</w:t>
      </w:r>
      <w:r w:rsidR="00AA6CEC">
        <w:rPr>
          <w:rFonts w:eastAsiaTheme="majorEastAsia"/>
        </w:rPr>
        <w:t xml:space="preserve"> izdatki gospodinjstev za kulturo</w:t>
      </w:r>
      <w:r w:rsidR="002A4931">
        <w:rPr>
          <w:rFonts w:eastAsiaTheme="majorEastAsia"/>
        </w:rPr>
        <w:t xml:space="preserve"> (Slovenija, 2015)</w:t>
      </w:r>
      <w:bookmarkEnd w:id="195"/>
      <w:bookmarkEnd w:id="196"/>
      <w:bookmarkEnd w:id="197"/>
    </w:p>
    <w:tbl>
      <w:tblPr>
        <w:tblStyle w:val="Svetelseznampoudarek3"/>
        <w:tblW w:w="9039" w:type="dxa"/>
        <w:tblLayout w:type="fixed"/>
        <w:tblLook w:val="04A0" w:firstRow="1" w:lastRow="0" w:firstColumn="1" w:lastColumn="0" w:noHBand="0" w:noVBand="1"/>
      </w:tblPr>
      <w:tblGrid>
        <w:gridCol w:w="3013"/>
        <w:gridCol w:w="3013"/>
        <w:gridCol w:w="3013"/>
      </w:tblGrid>
      <w:tr w:rsidR="00EC3959" w:rsidRPr="00EC3959" w:rsidTr="00003BCC">
        <w:trPr>
          <w:cnfStyle w:val="100000000000" w:firstRow="1" w:lastRow="0" w:firstColumn="0" w:lastColumn="0" w:oddVBand="0" w:evenVBand="0" w:oddHBand="0"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3013" w:type="dxa"/>
          </w:tcPr>
          <w:p w:rsidR="00EC3959" w:rsidRPr="003921A3" w:rsidRDefault="00EC3959" w:rsidP="00EC3959">
            <w:pPr>
              <w:rPr>
                <w:rFonts w:ascii="Arial Narrow" w:hAnsi="Arial Narrow"/>
                <w:sz w:val="16"/>
                <w:szCs w:val="16"/>
                <w:lang w:eastAsia="sl-SI"/>
              </w:rPr>
            </w:pPr>
            <w:r w:rsidRPr="003921A3">
              <w:rPr>
                <w:rFonts w:ascii="Arial Narrow" w:hAnsi="Arial Narrow"/>
                <w:sz w:val="16"/>
                <w:szCs w:val="16"/>
                <w:lang w:eastAsia="sl-SI"/>
              </w:rPr>
              <w:t>Vrsta sredstev</w:t>
            </w:r>
          </w:p>
        </w:tc>
        <w:tc>
          <w:tcPr>
            <w:tcW w:w="3013" w:type="dxa"/>
            <w:noWrap/>
          </w:tcPr>
          <w:p w:rsidR="00EC3959" w:rsidRPr="003921A3" w:rsidRDefault="00EC3959" w:rsidP="00EC3959">
            <w:pPr>
              <w:cnfStyle w:val="100000000000" w:firstRow="1"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3921A3">
              <w:rPr>
                <w:rFonts w:ascii="Arial Narrow" w:hAnsi="Arial Narrow"/>
                <w:sz w:val="16"/>
                <w:szCs w:val="16"/>
                <w:lang w:eastAsia="sl-SI"/>
              </w:rPr>
              <w:t>EUR</w:t>
            </w:r>
          </w:p>
        </w:tc>
        <w:tc>
          <w:tcPr>
            <w:tcW w:w="3013" w:type="dxa"/>
            <w:noWrap/>
          </w:tcPr>
          <w:p w:rsidR="00EC3959" w:rsidRPr="003921A3" w:rsidRDefault="00EC3959" w:rsidP="00EC3959">
            <w:pPr>
              <w:cnfStyle w:val="100000000000" w:firstRow="1"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3921A3">
              <w:rPr>
                <w:rFonts w:ascii="Arial Narrow" w:hAnsi="Arial Narrow"/>
                <w:sz w:val="16"/>
                <w:szCs w:val="16"/>
                <w:lang w:eastAsia="sl-SI"/>
              </w:rPr>
              <w:t>%</w:t>
            </w:r>
          </w:p>
        </w:tc>
      </w:tr>
      <w:tr w:rsidR="003921A3" w:rsidRPr="00EC3959" w:rsidTr="00003BCC">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3013" w:type="dxa"/>
            <w:hideMark/>
          </w:tcPr>
          <w:p w:rsidR="003921A3" w:rsidRPr="003921A3" w:rsidRDefault="003921A3" w:rsidP="00EC3959">
            <w:pPr>
              <w:spacing w:after="0" w:line="240" w:lineRule="auto"/>
              <w:rPr>
                <w:rFonts w:ascii="Arial Narrow" w:hAnsi="Arial Narrow"/>
                <w:sz w:val="16"/>
                <w:szCs w:val="16"/>
                <w:lang w:eastAsia="sl-SI"/>
              </w:rPr>
            </w:pPr>
            <w:r w:rsidRPr="003921A3">
              <w:rPr>
                <w:rFonts w:ascii="Arial Narrow" w:hAnsi="Arial Narrow"/>
                <w:sz w:val="16"/>
                <w:szCs w:val="16"/>
                <w:lang w:eastAsia="sl-SI"/>
              </w:rPr>
              <w:t>Povpre</w:t>
            </w:r>
            <w:r w:rsidRPr="003921A3">
              <w:rPr>
                <w:rFonts w:ascii="Arial Narrow" w:hAnsi="Arial Narrow" w:cs="Arial"/>
                <w:sz w:val="16"/>
                <w:szCs w:val="16"/>
                <w:lang w:eastAsia="sl-SI"/>
              </w:rPr>
              <w:t>č</w:t>
            </w:r>
            <w:r w:rsidRPr="003921A3">
              <w:rPr>
                <w:rFonts w:ascii="Arial Narrow" w:hAnsi="Arial Narrow"/>
                <w:sz w:val="16"/>
                <w:szCs w:val="16"/>
                <w:lang w:eastAsia="sl-SI"/>
              </w:rPr>
              <w:t>na porabljena denarna sredstva gospodinjstev za kulturo</w:t>
            </w:r>
          </w:p>
        </w:tc>
        <w:tc>
          <w:tcPr>
            <w:tcW w:w="3013" w:type="dxa"/>
            <w:noWrap/>
            <w:hideMark/>
          </w:tcPr>
          <w:p w:rsidR="003921A3" w:rsidRPr="003921A3" w:rsidRDefault="003921A3" w:rsidP="00EC3959">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3921A3">
              <w:rPr>
                <w:rFonts w:ascii="Arial Narrow" w:hAnsi="Arial Narrow"/>
                <w:sz w:val="16"/>
                <w:szCs w:val="16"/>
                <w:lang w:eastAsia="sl-SI"/>
              </w:rPr>
              <w:t>493.636.000,00 €</w:t>
            </w:r>
          </w:p>
        </w:tc>
        <w:tc>
          <w:tcPr>
            <w:tcW w:w="3013" w:type="dxa"/>
            <w:noWrap/>
            <w:hideMark/>
          </w:tcPr>
          <w:p w:rsidR="003921A3" w:rsidRPr="003921A3" w:rsidRDefault="003921A3" w:rsidP="00EC3959">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3921A3">
              <w:rPr>
                <w:rFonts w:ascii="Arial Narrow" w:hAnsi="Arial Narrow"/>
                <w:sz w:val="16"/>
                <w:szCs w:val="16"/>
              </w:rPr>
              <w:t>64,18</w:t>
            </w:r>
          </w:p>
        </w:tc>
      </w:tr>
      <w:tr w:rsidR="003921A3" w:rsidRPr="00EC3959" w:rsidTr="00003BCC">
        <w:trPr>
          <w:trHeight w:val="102"/>
        </w:trPr>
        <w:tc>
          <w:tcPr>
            <w:cnfStyle w:val="001000000000" w:firstRow="0" w:lastRow="0" w:firstColumn="1" w:lastColumn="0" w:oddVBand="0" w:evenVBand="0" w:oddHBand="0" w:evenHBand="0" w:firstRowFirstColumn="0" w:firstRowLastColumn="0" w:lastRowFirstColumn="0" w:lastRowLastColumn="0"/>
            <w:tcW w:w="3013" w:type="dxa"/>
            <w:hideMark/>
          </w:tcPr>
          <w:p w:rsidR="003921A3" w:rsidRPr="003921A3" w:rsidRDefault="003921A3" w:rsidP="00EC3959">
            <w:pPr>
              <w:spacing w:after="0" w:line="240" w:lineRule="auto"/>
              <w:rPr>
                <w:rFonts w:ascii="Arial Narrow" w:hAnsi="Arial Narrow"/>
                <w:sz w:val="16"/>
                <w:szCs w:val="16"/>
                <w:lang w:eastAsia="sl-SI"/>
              </w:rPr>
            </w:pPr>
            <w:r w:rsidRPr="003921A3">
              <w:rPr>
                <w:rFonts w:ascii="Arial Narrow" w:hAnsi="Arial Narrow"/>
                <w:sz w:val="16"/>
                <w:szCs w:val="16"/>
                <w:lang w:eastAsia="sl-SI"/>
              </w:rPr>
              <w:t>Javni izdatki (državni in ob</w:t>
            </w:r>
            <w:r w:rsidRPr="003921A3">
              <w:rPr>
                <w:rFonts w:ascii="Arial Narrow" w:hAnsi="Arial Narrow" w:cs="Arial"/>
                <w:sz w:val="16"/>
                <w:szCs w:val="16"/>
                <w:lang w:eastAsia="sl-SI"/>
              </w:rPr>
              <w:t>č</w:t>
            </w:r>
            <w:r w:rsidRPr="003921A3">
              <w:rPr>
                <w:rFonts w:ascii="Arial Narrow" w:hAnsi="Arial Narrow"/>
                <w:sz w:val="16"/>
                <w:szCs w:val="16"/>
                <w:lang w:eastAsia="sl-SI"/>
              </w:rPr>
              <w:t>inski prora</w:t>
            </w:r>
            <w:r w:rsidRPr="003921A3">
              <w:rPr>
                <w:rFonts w:ascii="Arial Narrow" w:hAnsi="Arial Narrow" w:cs="Arial"/>
                <w:sz w:val="16"/>
                <w:szCs w:val="16"/>
                <w:lang w:eastAsia="sl-SI"/>
              </w:rPr>
              <w:t>č</w:t>
            </w:r>
            <w:r w:rsidRPr="003921A3">
              <w:rPr>
                <w:rFonts w:ascii="Arial Narrow" w:hAnsi="Arial Narrow"/>
                <w:sz w:val="16"/>
                <w:szCs w:val="16"/>
                <w:lang w:eastAsia="sl-SI"/>
              </w:rPr>
              <w:t>uni) za kulturne storitve</w:t>
            </w:r>
          </w:p>
        </w:tc>
        <w:tc>
          <w:tcPr>
            <w:tcW w:w="3013" w:type="dxa"/>
            <w:noWrap/>
            <w:hideMark/>
          </w:tcPr>
          <w:p w:rsidR="003921A3" w:rsidRPr="003921A3" w:rsidRDefault="003921A3" w:rsidP="00EC3959">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3921A3">
              <w:rPr>
                <w:rFonts w:ascii="Arial Narrow" w:hAnsi="Arial Narrow"/>
                <w:sz w:val="16"/>
                <w:szCs w:val="16"/>
                <w:lang w:eastAsia="sl-SI"/>
              </w:rPr>
              <w:t>275.300.000,00 €</w:t>
            </w:r>
          </w:p>
        </w:tc>
        <w:tc>
          <w:tcPr>
            <w:tcW w:w="3013" w:type="dxa"/>
            <w:noWrap/>
            <w:hideMark/>
          </w:tcPr>
          <w:p w:rsidR="003921A3" w:rsidRPr="003921A3" w:rsidRDefault="003921A3" w:rsidP="00EC3959">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3921A3">
              <w:rPr>
                <w:rFonts w:ascii="Arial Narrow" w:hAnsi="Arial Narrow"/>
                <w:sz w:val="16"/>
                <w:szCs w:val="16"/>
              </w:rPr>
              <w:t>35,79</w:t>
            </w:r>
          </w:p>
        </w:tc>
      </w:tr>
      <w:tr w:rsidR="003921A3" w:rsidRPr="00EC3959" w:rsidTr="00003BCC">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3013" w:type="dxa"/>
          </w:tcPr>
          <w:p w:rsidR="003921A3" w:rsidRPr="003921A3" w:rsidRDefault="003921A3" w:rsidP="00EC3959">
            <w:pPr>
              <w:spacing w:after="0" w:line="240" w:lineRule="auto"/>
              <w:rPr>
                <w:rFonts w:ascii="Arial Narrow" w:hAnsi="Arial Narrow"/>
                <w:sz w:val="16"/>
                <w:szCs w:val="16"/>
                <w:lang w:eastAsia="sl-SI"/>
              </w:rPr>
            </w:pPr>
            <w:r w:rsidRPr="003921A3">
              <w:rPr>
                <w:rFonts w:ascii="Arial Narrow" w:hAnsi="Arial Narrow"/>
                <w:sz w:val="16"/>
                <w:szCs w:val="16"/>
                <w:lang w:eastAsia="sl-SI"/>
              </w:rPr>
              <w:t>Zneski, ki so jih davčni zavezanci iz dela svoje dohodnine namenili za donacije upravičencem do donacij s področja kulture</w:t>
            </w:r>
          </w:p>
        </w:tc>
        <w:tc>
          <w:tcPr>
            <w:tcW w:w="3013" w:type="dxa"/>
            <w:noWrap/>
          </w:tcPr>
          <w:p w:rsidR="003921A3" w:rsidRPr="003921A3" w:rsidRDefault="003921A3" w:rsidP="00EC3959">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3921A3">
              <w:rPr>
                <w:rFonts w:ascii="Arial Narrow" w:hAnsi="Arial Narrow"/>
                <w:sz w:val="16"/>
                <w:szCs w:val="16"/>
                <w:lang w:eastAsia="sl-SI"/>
              </w:rPr>
              <w:t>166.562,52 €</w:t>
            </w:r>
          </w:p>
        </w:tc>
        <w:tc>
          <w:tcPr>
            <w:tcW w:w="3013" w:type="dxa"/>
            <w:noWrap/>
          </w:tcPr>
          <w:p w:rsidR="003921A3" w:rsidRPr="003921A3" w:rsidRDefault="003921A3" w:rsidP="00EC3959">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3921A3">
              <w:rPr>
                <w:rFonts w:ascii="Arial Narrow" w:hAnsi="Arial Narrow"/>
                <w:sz w:val="16"/>
                <w:szCs w:val="16"/>
              </w:rPr>
              <w:t>0,02</w:t>
            </w:r>
          </w:p>
        </w:tc>
      </w:tr>
      <w:tr w:rsidR="00EC3959" w:rsidRPr="00EC3959" w:rsidTr="00003BCC">
        <w:trPr>
          <w:trHeight w:val="102"/>
        </w:trPr>
        <w:tc>
          <w:tcPr>
            <w:cnfStyle w:val="001000000000" w:firstRow="0" w:lastRow="0" w:firstColumn="1" w:lastColumn="0" w:oddVBand="0" w:evenVBand="0" w:oddHBand="0" w:evenHBand="0" w:firstRowFirstColumn="0" w:firstRowLastColumn="0" w:lastRowFirstColumn="0" w:lastRowLastColumn="0"/>
            <w:tcW w:w="3013" w:type="dxa"/>
            <w:hideMark/>
          </w:tcPr>
          <w:p w:rsidR="00EC3959" w:rsidRPr="003921A3" w:rsidRDefault="00EC3959" w:rsidP="00EC3959">
            <w:pPr>
              <w:spacing w:after="0" w:line="240" w:lineRule="auto"/>
              <w:rPr>
                <w:rFonts w:ascii="Arial Narrow" w:hAnsi="Arial Narrow"/>
                <w:sz w:val="16"/>
                <w:szCs w:val="16"/>
                <w:lang w:eastAsia="sl-SI"/>
              </w:rPr>
            </w:pPr>
            <w:r w:rsidRPr="003921A3">
              <w:rPr>
                <w:rFonts w:ascii="Arial Narrow" w:hAnsi="Arial Narrow"/>
                <w:sz w:val="16"/>
                <w:szCs w:val="16"/>
                <w:lang w:eastAsia="sl-SI"/>
              </w:rPr>
              <w:t>Skupaj</w:t>
            </w:r>
          </w:p>
        </w:tc>
        <w:tc>
          <w:tcPr>
            <w:tcW w:w="3013" w:type="dxa"/>
            <w:noWrap/>
            <w:hideMark/>
          </w:tcPr>
          <w:p w:rsidR="00EC3959" w:rsidRPr="003921A3" w:rsidRDefault="003921A3" w:rsidP="00EC3959">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3921A3">
              <w:rPr>
                <w:rFonts w:ascii="Arial Narrow" w:hAnsi="Arial Narrow"/>
                <w:sz w:val="16"/>
                <w:szCs w:val="16"/>
                <w:lang w:eastAsia="sl-SI"/>
              </w:rPr>
              <w:t xml:space="preserve">769.102.562,52 </w:t>
            </w:r>
            <w:r w:rsidR="00EC3959" w:rsidRPr="003921A3">
              <w:rPr>
                <w:rFonts w:ascii="Arial Narrow" w:hAnsi="Arial Narrow"/>
                <w:sz w:val="16"/>
                <w:szCs w:val="16"/>
                <w:lang w:eastAsia="sl-SI"/>
              </w:rPr>
              <w:t>€</w:t>
            </w:r>
          </w:p>
        </w:tc>
        <w:tc>
          <w:tcPr>
            <w:tcW w:w="3013" w:type="dxa"/>
            <w:noWrap/>
            <w:hideMark/>
          </w:tcPr>
          <w:p w:rsidR="00EC3959" w:rsidRPr="003921A3" w:rsidRDefault="00EC3959" w:rsidP="00EC3959">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3921A3">
              <w:rPr>
                <w:rFonts w:ascii="Arial Narrow" w:hAnsi="Arial Narrow"/>
                <w:sz w:val="16"/>
                <w:szCs w:val="16"/>
                <w:lang w:eastAsia="sl-SI"/>
              </w:rPr>
              <w:t>100,0</w:t>
            </w:r>
          </w:p>
        </w:tc>
      </w:tr>
      <w:tr w:rsidR="002A1306" w:rsidRPr="00EC3959" w:rsidTr="00003BCC">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3013" w:type="dxa"/>
          </w:tcPr>
          <w:p w:rsidR="002A1306" w:rsidRPr="002A1306" w:rsidRDefault="002A1306" w:rsidP="00EC3959">
            <w:pPr>
              <w:spacing w:after="0" w:line="240" w:lineRule="auto"/>
              <w:rPr>
                <w:rFonts w:ascii="Arial Narrow" w:hAnsi="Arial Narrow"/>
                <w:color w:val="9BBB59" w:themeColor="accent3"/>
                <w:sz w:val="16"/>
                <w:szCs w:val="16"/>
                <w:lang w:eastAsia="sl-SI"/>
              </w:rPr>
            </w:pPr>
          </w:p>
        </w:tc>
        <w:tc>
          <w:tcPr>
            <w:tcW w:w="3013" w:type="dxa"/>
            <w:noWrap/>
          </w:tcPr>
          <w:p w:rsidR="002A1306" w:rsidRPr="002A1306" w:rsidRDefault="002A1306" w:rsidP="00EC3959">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color w:val="9BBB59" w:themeColor="accent3"/>
                <w:sz w:val="16"/>
                <w:szCs w:val="16"/>
                <w:lang w:eastAsia="sl-SI"/>
              </w:rPr>
            </w:pPr>
            <w:r w:rsidRPr="002A1306">
              <w:rPr>
                <w:rFonts w:ascii="Arial Narrow" w:hAnsi="Arial Narrow"/>
                <w:b/>
                <w:color w:val="9BBB59" w:themeColor="accent3"/>
                <w:sz w:val="16"/>
                <w:szCs w:val="16"/>
                <w:lang w:eastAsia="sl-SI"/>
              </w:rPr>
              <w:t>Odstotek BDP za kulturo</w:t>
            </w:r>
          </w:p>
        </w:tc>
        <w:tc>
          <w:tcPr>
            <w:tcW w:w="3013" w:type="dxa"/>
            <w:noWrap/>
          </w:tcPr>
          <w:p w:rsidR="002A1306" w:rsidRPr="002A1306" w:rsidRDefault="002A1306" w:rsidP="00EC3959">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sz w:val="16"/>
                <w:szCs w:val="16"/>
                <w:lang w:eastAsia="sl-SI"/>
              </w:rPr>
            </w:pPr>
            <w:r w:rsidRPr="002A1306">
              <w:rPr>
                <w:rFonts w:ascii="Arial Narrow" w:hAnsi="Arial Narrow"/>
                <w:b/>
                <w:color w:val="9BBB59" w:themeColor="accent3"/>
                <w:sz w:val="16"/>
                <w:szCs w:val="16"/>
                <w:lang w:eastAsia="sl-SI"/>
              </w:rPr>
              <w:t>1,99</w:t>
            </w:r>
          </w:p>
        </w:tc>
      </w:tr>
    </w:tbl>
    <w:p w:rsidR="006F76AB" w:rsidRPr="00003BCC" w:rsidRDefault="00EC3959" w:rsidP="00003BCC">
      <w:pPr>
        <w:pStyle w:val="Podpispodtabeloaligrafom"/>
        <w:rPr>
          <w:rFonts w:eastAsiaTheme="majorEastAsia"/>
        </w:rPr>
      </w:pPr>
      <w:r>
        <w:rPr>
          <w:rFonts w:eastAsiaTheme="majorEastAsia"/>
        </w:rPr>
        <w:t>Vir: Statistični urad RS</w:t>
      </w:r>
      <w:r w:rsidR="00576683">
        <w:rPr>
          <w:rFonts w:eastAsiaTheme="majorEastAsia"/>
        </w:rPr>
        <w:t xml:space="preserve"> in Finančna uprava RS. Izračuni: </w:t>
      </w:r>
      <w:r w:rsidR="00553348">
        <w:rPr>
          <w:rFonts w:eastAsiaTheme="majorEastAsia"/>
        </w:rPr>
        <w:t>Ministrstvo za kulturo</w:t>
      </w:r>
      <w:r w:rsidR="00D04906">
        <w:rPr>
          <w:rFonts w:eastAsiaTheme="majorEastAsia"/>
        </w:rPr>
        <w:t>.</w:t>
      </w:r>
      <w:bookmarkStart w:id="198" w:name="_Toc477339482"/>
      <w:bookmarkStart w:id="199" w:name="_Toc477339738"/>
      <w:bookmarkStart w:id="200" w:name="_Toc477339906"/>
      <w:bookmarkStart w:id="201" w:name="_Toc477339483"/>
      <w:bookmarkStart w:id="202" w:name="_Toc477339739"/>
      <w:bookmarkStart w:id="203" w:name="_Toc477339907"/>
    </w:p>
    <w:p w:rsidR="00457D20" w:rsidRDefault="00457D20" w:rsidP="00457D20">
      <w:pPr>
        <w:pStyle w:val="Podnaslov"/>
      </w:pPr>
      <w:bookmarkStart w:id="204" w:name="_Toc506192081"/>
      <w:bookmarkStart w:id="205" w:name="_Toc489859825"/>
      <w:bookmarkStart w:id="206" w:name="_Toc490047588"/>
      <w:bookmarkStart w:id="207" w:name="_Toc490599952"/>
      <w:bookmarkEnd w:id="198"/>
      <w:bookmarkEnd w:id="199"/>
      <w:bookmarkEnd w:id="200"/>
      <w:r>
        <w:lastRenderedPageBreak/>
        <w:t>Kulturna produkcija</w:t>
      </w:r>
      <w:bookmarkEnd w:id="204"/>
    </w:p>
    <w:p w:rsidR="00C71FCE" w:rsidRDefault="00C71FCE" w:rsidP="00DE703C">
      <w:pPr>
        <w:pStyle w:val="Podnaslov2"/>
      </w:pPr>
      <w:bookmarkStart w:id="208" w:name="_Toc506192082"/>
      <w:r w:rsidRPr="009364BF">
        <w:t>Knjige</w:t>
      </w:r>
      <w:r>
        <w:t>, brošure in serijske publikacije</w:t>
      </w:r>
      <w:bookmarkEnd w:id="205"/>
      <w:bookmarkEnd w:id="206"/>
      <w:bookmarkEnd w:id="207"/>
      <w:bookmarkEnd w:id="208"/>
    </w:p>
    <w:p w:rsidR="00C71FCE" w:rsidRDefault="00C71FCE" w:rsidP="00DE703C">
      <w:r>
        <w:t>Najdaljša časovna vrsta podatkov o kulturni produkciji je na razpolago za izdane naslove knjig in brošur ter se</w:t>
      </w:r>
      <w:r w:rsidR="005329CC">
        <w:t>rijske publikacije. Iz grafa 14</w:t>
      </w:r>
      <w:r>
        <w:t xml:space="preserve"> (ki prikazuje izdane naslove od leta 1992 do leta 2007 po petletnih časovnih intervalih, od leta 2007 naprej pa letno) je jasno razviden trend naraščanja izidov knjig in brošur do leta 2009, ko se je začela letna produkcija naslovov postopno zniževati (z izjemo v letu 2011). Leta 2015 je izšlo 22 % naslovov manj kot leta 2009. Produkcija serijskih publikacij je začela upadati dve leti kasneje – od leta 2011 do leta 2015 se</w:t>
      </w:r>
      <w:r w:rsidR="00B41D95">
        <w:t xml:space="preserve"> je zmanjšala za približno 2 %. Od leta 2009 (ki je prvo leto od katerega dalje imamo podatke, zbrane z enako metodo)</w:t>
      </w:r>
      <w:r w:rsidR="000A7317">
        <w:t xml:space="preserve"> naprej pada (z izjemo rasti iz leta 2011 </w:t>
      </w:r>
      <w:r w:rsidR="0070181F">
        <w:t>v 2012) tudi število zal</w:t>
      </w:r>
      <w:r w:rsidR="00363EE3">
        <w:t xml:space="preserve">ožnikov. Leta 2015 jih je bilo </w:t>
      </w:r>
      <w:r w:rsidR="00592921">
        <w:t xml:space="preserve">skoraj za četrtino manj kot leta 2009 </w:t>
      </w:r>
      <w:r w:rsidR="005329CC">
        <w:t>(graf 15</w:t>
      </w:r>
      <w:r w:rsidR="0070181F">
        <w:t>).</w:t>
      </w:r>
    </w:p>
    <w:p w:rsidR="00C71FCE" w:rsidRDefault="00656F44" w:rsidP="00DE703C">
      <w:pPr>
        <w:pStyle w:val="Naslovtabele"/>
      </w:pPr>
      <w:bookmarkStart w:id="209" w:name="_Toc490053369"/>
      <w:bookmarkStart w:id="210" w:name="_Toc490053740"/>
      <w:bookmarkStart w:id="211" w:name="_Toc490600012"/>
      <w:r>
        <w:t>Graf 14</w:t>
      </w:r>
      <w:r w:rsidR="00C71FCE">
        <w:t>: Izdaja knjig in brošur ter serijskih pub</w:t>
      </w:r>
      <w:r w:rsidR="0070181F">
        <w:t xml:space="preserve">likacij </w:t>
      </w:r>
      <w:r w:rsidR="00C71FCE">
        <w:t>(</w:t>
      </w:r>
      <w:r w:rsidR="0070181F">
        <w:t xml:space="preserve">Slovenija, </w:t>
      </w:r>
      <w:r w:rsidR="00C71FCE">
        <w:t>1992, 1997, 2002, 2007–2015)</w:t>
      </w:r>
      <w:bookmarkEnd w:id="209"/>
      <w:bookmarkEnd w:id="210"/>
      <w:bookmarkEnd w:id="211"/>
    </w:p>
    <w:p w:rsidR="00C71FCE" w:rsidRDefault="0038675B" w:rsidP="00DE703C">
      <w:r>
        <w:rPr>
          <w:noProof/>
          <w:lang w:eastAsia="sl-SI"/>
        </w:rPr>
        <w:drawing>
          <wp:inline distT="0" distB="0" distL="0" distR="0" wp14:anchorId="1F4810ED" wp14:editId="2ABE1C55">
            <wp:extent cx="5761355" cy="2194044"/>
            <wp:effectExtent l="0" t="0" r="4445" b="0"/>
            <wp:docPr id="4" name="Grafikon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C71FCE" w:rsidRDefault="00C71FCE" w:rsidP="00DE703C">
      <w:pPr>
        <w:pStyle w:val="Podpispodtabeloaligrafom"/>
      </w:pPr>
      <w:r>
        <w:t>Vir: Narodna in univerzitetna knjižnica in Statistični urad RS.</w:t>
      </w:r>
    </w:p>
    <w:p w:rsidR="00B41D95" w:rsidRDefault="00656F44" w:rsidP="000A7317">
      <w:pPr>
        <w:pStyle w:val="Naslovtabele"/>
      </w:pPr>
      <w:bookmarkStart w:id="212" w:name="_Toc490053370"/>
      <w:bookmarkStart w:id="213" w:name="_Toc490053741"/>
      <w:bookmarkStart w:id="214" w:name="_Toc490600013"/>
      <w:r>
        <w:t>Graf 15</w:t>
      </w:r>
      <w:r w:rsidR="000A7317">
        <w:t>:</w:t>
      </w:r>
      <w:r w:rsidR="00B41D95">
        <w:t xml:space="preserve"> </w:t>
      </w:r>
      <w:r w:rsidR="00A00571">
        <w:t>Gibanje števila z</w:t>
      </w:r>
      <w:r w:rsidR="00B41D95">
        <w:t>aložnik</w:t>
      </w:r>
      <w:r w:rsidR="00A00571">
        <w:t>ov (2009–2015</w:t>
      </w:r>
      <w:r w:rsidR="00B41D95">
        <w:t>)</w:t>
      </w:r>
      <w:bookmarkEnd w:id="212"/>
      <w:bookmarkEnd w:id="213"/>
      <w:bookmarkEnd w:id="214"/>
    </w:p>
    <w:p w:rsidR="00B41D95" w:rsidRDefault="00F32D55" w:rsidP="00DE703C">
      <w:r>
        <w:rPr>
          <w:noProof/>
          <w:lang w:eastAsia="sl-SI"/>
        </w:rPr>
        <w:drawing>
          <wp:inline distT="0" distB="0" distL="0" distR="0" wp14:anchorId="5A51A040" wp14:editId="087D9A02">
            <wp:extent cx="5800953" cy="2904134"/>
            <wp:effectExtent l="0" t="0" r="0" b="0"/>
            <wp:docPr id="9" name="Grafikon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5759EB" w:rsidRDefault="00B02AA2" w:rsidP="00D737B5">
      <w:pPr>
        <w:pStyle w:val="Podpispodtabeloaligrafom"/>
      </w:pPr>
      <w:r>
        <w:t>Vir: Narodna in univerzitetna knjižnica.</w:t>
      </w:r>
    </w:p>
    <w:p w:rsidR="00C71FCE" w:rsidRDefault="00C71FCE" w:rsidP="00DE703C">
      <w:r>
        <w:t xml:space="preserve">Izposoja </w:t>
      </w:r>
      <w:r w:rsidR="00CA12DC">
        <w:t xml:space="preserve">v splošnih </w:t>
      </w:r>
      <w:r>
        <w:t xml:space="preserve">knjižnicah v obdobju </w:t>
      </w:r>
      <w:r w:rsidRPr="006D5CD5">
        <w:t>200</w:t>
      </w:r>
      <w:r w:rsidR="008F0384">
        <w:t>0</w:t>
      </w:r>
      <w:r>
        <w:t>–2015 (</w:t>
      </w:r>
      <w:r w:rsidR="005329CC">
        <w:t xml:space="preserve">tabela 21) </w:t>
      </w:r>
      <w:r>
        <w:t xml:space="preserve">kaže pozitiven trend do leta 2013, ko je bilo izposojenih 26,4 milijone naslovov, v letih 2014 in 2015 </w:t>
      </w:r>
      <w:r w:rsidR="00CA12DC">
        <w:t xml:space="preserve">pa se je zmanjšala na </w:t>
      </w:r>
      <w:r>
        <w:t xml:space="preserve">približno 25,9 </w:t>
      </w:r>
      <w:r>
        <w:lastRenderedPageBreak/>
        <w:t xml:space="preserve">milijonov. Na podlagi podatkov za dve leti je težko reči, ali se je trend obrnil ali gre le za nihaj, saj se </w:t>
      </w:r>
      <w:r w:rsidR="006D7E9F">
        <w:t>slednje</w:t>
      </w:r>
      <w:r>
        <w:t xml:space="preserve"> ne bi zgodilo prvič. Namreč, zmanjšanju izposoje v obdobju 2009–2010 je sledi</w:t>
      </w:r>
      <w:r w:rsidR="008F0384">
        <w:t xml:space="preserve">la rast v naslednjih treh letih. Na drugi strani pa vse večja dostopnost gradiva prek spleta – v digitalnih knjižnicah in bazah z odprtim dostopom, ki omogočajo brezplačen ogled in pretok gradiva celo brez registracije uporabnika (npr. </w:t>
      </w:r>
      <w:hyperlink r:id="rId28" w:history="1">
        <w:r w:rsidR="008F0384" w:rsidRPr="00CA12DC">
          <w:rPr>
            <w:rStyle w:val="Hiperpovezava"/>
          </w:rPr>
          <w:t>Digitalna knjižnica Slovenije</w:t>
        </w:r>
      </w:hyperlink>
      <w:r w:rsidR="008F0384">
        <w:t xml:space="preserve">, </w:t>
      </w:r>
      <w:hyperlink r:id="rId29" w:history="1">
        <w:r w:rsidR="008F0384" w:rsidRPr="00CA12DC">
          <w:rPr>
            <w:rStyle w:val="Hiperpovezava"/>
          </w:rPr>
          <w:t xml:space="preserve">Zgodovina Slovenije – </w:t>
        </w:r>
        <w:proofErr w:type="spellStart"/>
        <w:r w:rsidR="008F0384" w:rsidRPr="00CA12DC">
          <w:rPr>
            <w:rStyle w:val="Hiperpovezava"/>
          </w:rPr>
          <w:t>SIstory</w:t>
        </w:r>
        <w:proofErr w:type="spellEnd"/>
      </w:hyperlink>
      <w:r w:rsidR="008F0384">
        <w:t xml:space="preserve">, </w:t>
      </w:r>
      <w:hyperlink r:id="rId30" w:history="1">
        <w:r w:rsidR="008F0384" w:rsidRPr="00CA12DC">
          <w:rPr>
            <w:rStyle w:val="Hiperpovezava"/>
          </w:rPr>
          <w:t xml:space="preserve">Evropska digitalna Knjižnica </w:t>
        </w:r>
        <w:proofErr w:type="spellStart"/>
        <w:r w:rsidR="008F0384" w:rsidRPr="00CA12DC">
          <w:rPr>
            <w:rStyle w:val="Hiperpovezava"/>
          </w:rPr>
          <w:t>Europeana</w:t>
        </w:r>
        <w:proofErr w:type="spellEnd"/>
      </w:hyperlink>
      <w:r w:rsidR="00CA12DC">
        <w:t xml:space="preserve">, </w:t>
      </w:r>
      <w:hyperlink r:id="rId31" w:history="1">
        <w:r w:rsidR="00CA12DC" w:rsidRPr="00CA12DC">
          <w:rPr>
            <w:rStyle w:val="Hiperpovezava"/>
          </w:rPr>
          <w:t xml:space="preserve">Open </w:t>
        </w:r>
        <w:proofErr w:type="spellStart"/>
        <w:r w:rsidR="00CA12DC" w:rsidRPr="00CA12DC">
          <w:rPr>
            <w:rStyle w:val="Hiperpovezava"/>
          </w:rPr>
          <w:t>Culture</w:t>
        </w:r>
        <w:proofErr w:type="spellEnd"/>
      </w:hyperlink>
      <w:r w:rsidR="008F0384">
        <w:t xml:space="preserve">) </w:t>
      </w:r>
      <w:r w:rsidR="00B81EB8">
        <w:t xml:space="preserve">pri bralcu </w:t>
      </w:r>
      <w:r w:rsidR="008F0384">
        <w:t>zmanjšujejo potrebo po (registrirani) izposoji</w:t>
      </w:r>
      <w:r w:rsidR="00CA12DC">
        <w:t xml:space="preserve"> iz knjižnice.</w:t>
      </w:r>
    </w:p>
    <w:p w:rsidR="00CA12DC" w:rsidRDefault="006D2D21" w:rsidP="00A321E2">
      <w:pPr>
        <w:pStyle w:val="Naslovtabele"/>
      </w:pPr>
      <w:bookmarkStart w:id="215" w:name="_Toc490053371"/>
      <w:bookmarkStart w:id="216" w:name="_Toc490053742"/>
      <w:bookmarkStart w:id="217" w:name="_Toc490600014"/>
      <w:r>
        <w:t>Tabela 21</w:t>
      </w:r>
      <w:r w:rsidR="002907A0">
        <w:t>: Izposojeni naslovi</w:t>
      </w:r>
      <w:r>
        <w:t xml:space="preserve"> </w:t>
      </w:r>
      <w:r w:rsidR="00CA12DC">
        <w:t>v splošnih knjižnicah (1990–2015)</w:t>
      </w:r>
      <w:r w:rsidR="006A1288">
        <w:t>*</w:t>
      </w:r>
      <w:bookmarkEnd w:id="215"/>
      <w:bookmarkEnd w:id="216"/>
      <w:bookmarkEnd w:id="217"/>
    </w:p>
    <w:tbl>
      <w:tblPr>
        <w:tblStyle w:val="Svetelseznampoudarek3"/>
        <w:tblW w:w="0" w:type="auto"/>
        <w:tblLook w:val="04A0" w:firstRow="1" w:lastRow="0" w:firstColumn="1" w:lastColumn="0" w:noHBand="0" w:noVBand="1"/>
      </w:tblPr>
      <w:tblGrid>
        <w:gridCol w:w="1286"/>
        <w:gridCol w:w="2235"/>
        <w:gridCol w:w="2816"/>
        <w:gridCol w:w="2952"/>
      </w:tblGrid>
      <w:tr w:rsidR="00CA12DC" w:rsidRPr="00A321E2" w:rsidTr="00D737B5">
        <w:trPr>
          <w:cnfStyle w:val="100000000000" w:firstRow="1" w:lastRow="0" w:firstColumn="0" w:lastColumn="0" w:oddVBand="0" w:evenVBand="0" w:oddHBand="0" w:evenHBand="0" w:firstRowFirstColumn="0" w:firstRowLastColumn="0" w:lastRowFirstColumn="0" w:lastRowLastColumn="0"/>
          <w:trHeight w:val="102"/>
          <w:tblHeader/>
        </w:trPr>
        <w:tc>
          <w:tcPr>
            <w:cnfStyle w:val="001000000000" w:firstRow="0" w:lastRow="0" w:firstColumn="1" w:lastColumn="0" w:oddVBand="0" w:evenVBand="0" w:oddHBand="0" w:evenHBand="0" w:firstRowFirstColumn="0" w:firstRowLastColumn="0" w:lastRowFirstColumn="0" w:lastRowLastColumn="0"/>
            <w:tcW w:w="1286" w:type="dxa"/>
            <w:hideMark/>
          </w:tcPr>
          <w:p w:rsidR="00CA12DC" w:rsidRPr="00C64CC4" w:rsidRDefault="00CA12DC" w:rsidP="00A321E2">
            <w:pPr>
              <w:rPr>
                <w:rFonts w:ascii="Arial Narrow" w:hAnsi="Arial Narrow"/>
                <w:sz w:val="16"/>
                <w:szCs w:val="16"/>
              </w:rPr>
            </w:pPr>
            <w:r w:rsidRPr="00C64CC4">
              <w:rPr>
                <w:rFonts w:ascii="Arial Narrow" w:hAnsi="Arial Narrow"/>
                <w:sz w:val="16"/>
                <w:szCs w:val="16"/>
              </w:rPr>
              <w:t>Leto</w:t>
            </w:r>
          </w:p>
        </w:tc>
        <w:tc>
          <w:tcPr>
            <w:tcW w:w="2235" w:type="dxa"/>
            <w:hideMark/>
          </w:tcPr>
          <w:p w:rsidR="00CA12DC" w:rsidRPr="00C64CC4" w:rsidRDefault="00CA12DC" w:rsidP="00A321E2">
            <w:pPr>
              <w:cnfStyle w:val="100000000000" w:firstRow="1" w:lastRow="0" w:firstColumn="0" w:lastColumn="0" w:oddVBand="0" w:evenVBand="0" w:oddHBand="0" w:evenHBand="0" w:firstRowFirstColumn="0" w:firstRowLastColumn="0" w:lastRowFirstColumn="0" w:lastRowLastColumn="0"/>
              <w:rPr>
                <w:rFonts w:ascii="Arial Narrow" w:hAnsi="Arial Narrow"/>
                <w:sz w:val="16"/>
                <w:szCs w:val="16"/>
              </w:rPr>
            </w:pPr>
            <w:r w:rsidRPr="00C64CC4">
              <w:rPr>
                <w:rFonts w:ascii="Arial Narrow" w:hAnsi="Arial Narrow"/>
                <w:sz w:val="16"/>
                <w:szCs w:val="16"/>
              </w:rPr>
              <w:t>Izposojeni naslovi (abs. št.)</w:t>
            </w:r>
          </w:p>
        </w:tc>
        <w:tc>
          <w:tcPr>
            <w:tcW w:w="2816" w:type="dxa"/>
            <w:hideMark/>
          </w:tcPr>
          <w:p w:rsidR="00CA12DC" w:rsidRPr="00C64CC4" w:rsidRDefault="00CA12DC" w:rsidP="00A321E2">
            <w:pPr>
              <w:cnfStyle w:val="100000000000" w:firstRow="1" w:lastRow="0" w:firstColumn="0" w:lastColumn="0" w:oddVBand="0" w:evenVBand="0" w:oddHBand="0" w:evenHBand="0" w:firstRowFirstColumn="0" w:firstRowLastColumn="0" w:lastRowFirstColumn="0" w:lastRowLastColumn="0"/>
              <w:rPr>
                <w:rFonts w:ascii="Arial Narrow" w:hAnsi="Arial Narrow"/>
                <w:sz w:val="16"/>
                <w:szCs w:val="16"/>
              </w:rPr>
            </w:pPr>
            <w:r w:rsidRPr="00C64CC4">
              <w:rPr>
                <w:rFonts w:ascii="Arial Narrow" w:hAnsi="Arial Narrow"/>
                <w:sz w:val="16"/>
                <w:szCs w:val="16"/>
              </w:rPr>
              <w:t>Indeks s stalno osnovo v letu 1990</w:t>
            </w:r>
          </w:p>
        </w:tc>
        <w:tc>
          <w:tcPr>
            <w:tcW w:w="2952" w:type="dxa"/>
            <w:hideMark/>
          </w:tcPr>
          <w:p w:rsidR="00CA12DC" w:rsidRPr="00C64CC4" w:rsidRDefault="00CA12DC" w:rsidP="00A321E2">
            <w:pPr>
              <w:cnfStyle w:val="100000000000" w:firstRow="1" w:lastRow="0" w:firstColumn="0" w:lastColumn="0" w:oddVBand="0" w:evenVBand="0" w:oddHBand="0" w:evenHBand="0" w:firstRowFirstColumn="0" w:firstRowLastColumn="0" w:lastRowFirstColumn="0" w:lastRowLastColumn="0"/>
              <w:rPr>
                <w:rFonts w:ascii="Arial Narrow" w:hAnsi="Arial Narrow"/>
                <w:sz w:val="16"/>
                <w:szCs w:val="16"/>
              </w:rPr>
            </w:pPr>
            <w:r w:rsidRPr="00C64CC4">
              <w:rPr>
                <w:rFonts w:ascii="Arial Narrow" w:hAnsi="Arial Narrow"/>
                <w:sz w:val="16"/>
                <w:szCs w:val="16"/>
              </w:rPr>
              <w:t>Indeks z verižno osnovo</w:t>
            </w:r>
          </w:p>
        </w:tc>
      </w:tr>
      <w:tr w:rsidR="00CA12DC" w:rsidRPr="00CA12DC" w:rsidTr="00D737B5">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1286" w:type="dxa"/>
            <w:noWrap/>
            <w:hideMark/>
          </w:tcPr>
          <w:p w:rsidR="00CA12DC" w:rsidRPr="00A321E2" w:rsidRDefault="00CA12DC" w:rsidP="00A321E2">
            <w:pPr>
              <w:spacing w:after="0" w:line="240" w:lineRule="auto"/>
              <w:rPr>
                <w:rFonts w:ascii="Arial Narrow" w:hAnsi="Arial Narrow"/>
                <w:sz w:val="16"/>
                <w:szCs w:val="16"/>
              </w:rPr>
            </w:pPr>
            <w:r w:rsidRPr="00A321E2">
              <w:rPr>
                <w:rFonts w:ascii="Arial Narrow" w:hAnsi="Arial Narrow"/>
                <w:sz w:val="16"/>
                <w:szCs w:val="16"/>
              </w:rPr>
              <w:t>1990</w:t>
            </w:r>
          </w:p>
        </w:tc>
        <w:tc>
          <w:tcPr>
            <w:tcW w:w="2235" w:type="dxa"/>
            <w:noWrap/>
            <w:hideMark/>
          </w:tcPr>
          <w:p w:rsidR="00CA12DC" w:rsidRPr="00A321E2" w:rsidRDefault="00CA12DC" w:rsidP="00A321E2">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7.935.763</w:t>
            </w:r>
          </w:p>
        </w:tc>
        <w:tc>
          <w:tcPr>
            <w:tcW w:w="2816" w:type="dxa"/>
            <w:noWrap/>
            <w:hideMark/>
          </w:tcPr>
          <w:p w:rsidR="00CA12DC" w:rsidRPr="00A321E2" w:rsidRDefault="00CA12DC" w:rsidP="00A321E2">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100</w:t>
            </w:r>
          </w:p>
        </w:tc>
        <w:tc>
          <w:tcPr>
            <w:tcW w:w="2952" w:type="dxa"/>
            <w:noWrap/>
            <w:hideMark/>
          </w:tcPr>
          <w:p w:rsidR="00CA12DC" w:rsidRPr="00A321E2" w:rsidRDefault="00CA12DC" w:rsidP="00A321E2">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 </w:t>
            </w:r>
          </w:p>
        </w:tc>
      </w:tr>
      <w:tr w:rsidR="00CA12DC" w:rsidRPr="00CA12DC" w:rsidTr="00D737B5">
        <w:trPr>
          <w:trHeight w:val="102"/>
        </w:trPr>
        <w:tc>
          <w:tcPr>
            <w:cnfStyle w:val="001000000000" w:firstRow="0" w:lastRow="0" w:firstColumn="1" w:lastColumn="0" w:oddVBand="0" w:evenVBand="0" w:oddHBand="0" w:evenHBand="0" w:firstRowFirstColumn="0" w:firstRowLastColumn="0" w:lastRowFirstColumn="0" w:lastRowLastColumn="0"/>
            <w:tcW w:w="1286" w:type="dxa"/>
            <w:noWrap/>
            <w:hideMark/>
          </w:tcPr>
          <w:p w:rsidR="00CA12DC" w:rsidRPr="00A321E2" w:rsidRDefault="00CA12DC" w:rsidP="00A321E2">
            <w:pPr>
              <w:spacing w:after="0" w:line="240" w:lineRule="auto"/>
              <w:rPr>
                <w:rFonts w:ascii="Arial Narrow" w:hAnsi="Arial Narrow"/>
                <w:sz w:val="16"/>
                <w:szCs w:val="16"/>
              </w:rPr>
            </w:pPr>
            <w:r w:rsidRPr="00A321E2">
              <w:rPr>
                <w:rFonts w:ascii="Arial Narrow" w:hAnsi="Arial Narrow"/>
                <w:sz w:val="16"/>
                <w:szCs w:val="16"/>
              </w:rPr>
              <w:t>1991</w:t>
            </w:r>
          </w:p>
        </w:tc>
        <w:tc>
          <w:tcPr>
            <w:tcW w:w="2235" w:type="dxa"/>
            <w:noWrap/>
            <w:hideMark/>
          </w:tcPr>
          <w:p w:rsidR="00CA12DC" w:rsidRPr="00A321E2" w:rsidRDefault="00CA12DC" w:rsidP="00A321E2">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 xml:space="preserve">9.248.381 </w:t>
            </w:r>
          </w:p>
        </w:tc>
        <w:tc>
          <w:tcPr>
            <w:tcW w:w="2816" w:type="dxa"/>
            <w:noWrap/>
            <w:hideMark/>
          </w:tcPr>
          <w:p w:rsidR="00CA12DC" w:rsidRPr="00A321E2" w:rsidRDefault="00CA12DC" w:rsidP="00A321E2">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117</w:t>
            </w:r>
          </w:p>
        </w:tc>
        <w:tc>
          <w:tcPr>
            <w:tcW w:w="2952" w:type="dxa"/>
            <w:noWrap/>
            <w:hideMark/>
          </w:tcPr>
          <w:p w:rsidR="00CA12DC" w:rsidRPr="00A321E2" w:rsidRDefault="00CA12DC" w:rsidP="00A321E2">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117</w:t>
            </w:r>
          </w:p>
        </w:tc>
      </w:tr>
      <w:tr w:rsidR="00CA12DC" w:rsidRPr="00CA12DC" w:rsidTr="00D737B5">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1286" w:type="dxa"/>
            <w:noWrap/>
            <w:hideMark/>
          </w:tcPr>
          <w:p w:rsidR="00CA12DC" w:rsidRPr="00A321E2" w:rsidRDefault="00CA12DC" w:rsidP="00A321E2">
            <w:pPr>
              <w:spacing w:after="0" w:line="240" w:lineRule="auto"/>
              <w:rPr>
                <w:rFonts w:ascii="Arial Narrow" w:hAnsi="Arial Narrow"/>
                <w:sz w:val="16"/>
                <w:szCs w:val="16"/>
              </w:rPr>
            </w:pPr>
            <w:r w:rsidRPr="00A321E2">
              <w:rPr>
                <w:rFonts w:ascii="Arial Narrow" w:hAnsi="Arial Narrow"/>
                <w:sz w:val="16"/>
                <w:szCs w:val="16"/>
              </w:rPr>
              <w:t>1992</w:t>
            </w:r>
          </w:p>
        </w:tc>
        <w:tc>
          <w:tcPr>
            <w:tcW w:w="2235" w:type="dxa"/>
            <w:noWrap/>
            <w:hideMark/>
          </w:tcPr>
          <w:p w:rsidR="00CA12DC" w:rsidRPr="00A321E2" w:rsidRDefault="00CA12DC" w:rsidP="00A321E2">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11.273.888</w:t>
            </w:r>
          </w:p>
        </w:tc>
        <w:tc>
          <w:tcPr>
            <w:tcW w:w="2816" w:type="dxa"/>
            <w:noWrap/>
            <w:hideMark/>
          </w:tcPr>
          <w:p w:rsidR="00CA12DC" w:rsidRPr="00A321E2" w:rsidRDefault="00CA12DC" w:rsidP="00A321E2">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142</w:t>
            </w:r>
          </w:p>
        </w:tc>
        <w:tc>
          <w:tcPr>
            <w:tcW w:w="2952" w:type="dxa"/>
            <w:noWrap/>
            <w:hideMark/>
          </w:tcPr>
          <w:p w:rsidR="00CA12DC" w:rsidRPr="00A321E2" w:rsidRDefault="00CA12DC" w:rsidP="00A321E2">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122</w:t>
            </w:r>
          </w:p>
        </w:tc>
      </w:tr>
      <w:tr w:rsidR="00CA12DC" w:rsidRPr="00CA12DC" w:rsidTr="00D737B5">
        <w:trPr>
          <w:trHeight w:val="102"/>
        </w:trPr>
        <w:tc>
          <w:tcPr>
            <w:cnfStyle w:val="001000000000" w:firstRow="0" w:lastRow="0" w:firstColumn="1" w:lastColumn="0" w:oddVBand="0" w:evenVBand="0" w:oddHBand="0" w:evenHBand="0" w:firstRowFirstColumn="0" w:firstRowLastColumn="0" w:lastRowFirstColumn="0" w:lastRowLastColumn="0"/>
            <w:tcW w:w="1286" w:type="dxa"/>
            <w:noWrap/>
            <w:hideMark/>
          </w:tcPr>
          <w:p w:rsidR="00CA12DC" w:rsidRPr="00A321E2" w:rsidRDefault="00CA12DC" w:rsidP="00A321E2">
            <w:pPr>
              <w:spacing w:after="0" w:line="240" w:lineRule="auto"/>
              <w:rPr>
                <w:rFonts w:ascii="Arial Narrow" w:hAnsi="Arial Narrow"/>
                <w:sz w:val="16"/>
                <w:szCs w:val="16"/>
              </w:rPr>
            </w:pPr>
            <w:r w:rsidRPr="00A321E2">
              <w:rPr>
                <w:rFonts w:ascii="Arial Narrow" w:hAnsi="Arial Narrow"/>
                <w:sz w:val="16"/>
                <w:szCs w:val="16"/>
              </w:rPr>
              <w:t>1993</w:t>
            </w:r>
          </w:p>
        </w:tc>
        <w:tc>
          <w:tcPr>
            <w:tcW w:w="2235" w:type="dxa"/>
            <w:noWrap/>
            <w:hideMark/>
          </w:tcPr>
          <w:p w:rsidR="00CA12DC" w:rsidRPr="00A321E2" w:rsidRDefault="00CA12DC" w:rsidP="00A321E2">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11.674.656</w:t>
            </w:r>
          </w:p>
        </w:tc>
        <w:tc>
          <w:tcPr>
            <w:tcW w:w="2816" w:type="dxa"/>
            <w:noWrap/>
            <w:hideMark/>
          </w:tcPr>
          <w:p w:rsidR="00CA12DC" w:rsidRPr="00A321E2" w:rsidRDefault="00CA12DC" w:rsidP="00A321E2">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147</w:t>
            </w:r>
          </w:p>
        </w:tc>
        <w:tc>
          <w:tcPr>
            <w:tcW w:w="2952" w:type="dxa"/>
            <w:noWrap/>
            <w:hideMark/>
          </w:tcPr>
          <w:p w:rsidR="00CA12DC" w:rsidRPr="00A321E2" w:rsidRDefault="00CA12DC" w:rsidP="00A321E2">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104</w:t>
            </w:r>
          </w:p>
        </w:tc>
      </w:tr>
      <w:tr w:rsidR="00CA12DC" w:rsidRPr="00CA12DC" w:rsidTr="00D737B5">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1286" w:type="dxa"/>
            <w:noWrap/>
            <w:hideMark/>
          </w:tcPr>
          <w:p w:rsidR="00CA12DC" w:rsidRPr="00A321E2" w:rsidRDefault="00CA12DC" w:rsidP="00A321E2">
            <w:pPr>
              <w:spacing w:after="0" w:line="240" w:lineRule="auto"/>
              <w:rPr>
                <w:rFonts w:ascii="Arial Narrow" w:hAnsi="Arial Narrow"/>
                <w:sz w:val="16"/>
                <w:szCs w:val="16"/>
              </w:rPr>
            </w:pPr>
            <w:r w:rsidRPr="00A321E2">
              <w:rPr>
                <w:rFonts w:ascii="Arial Narrow" w:hAnsi="Arial Narrow"/>
                <w:sz w:val="16"/>
                <w:szCs w:val="16"/>
              </w:rPr>
              <w:t>1994</w:t>
            </w:r>
          </w:p>
        </w:tc>
        <w:tc>
          <w:tcPr>
            <w:tcW w:w="2235" w:type="dxa"/>
            <w:noWrap/>
            <w:hideMark/>
          </w:tcPr>
          <w:p w:rsidR="00CA12DC" w:rsidRPr="00A321E2" w:rsidRDefault="00CA12DC" w:rsidP="00A321E2">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11.979.754</w:t>
            </w:r>
          </w:p>
        </w:tc>
        <w:tc>
          <w:tcPr>
            <w:tcW w:w="2816" w:type="dxa"/>
            <w:noWrap/>
            <w:hideMark/>
          </w:tcPr>
          <w:p w:rsidR="00CA12DC" w:rsidRPr="00A321E2" w:rsidRDefault="00CA12DC" w:rsidP="00A321E2">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151</w:t>
            </w:r>
          </w:p>
        </w:tc>
        <w:tc>
          <w:tcPr>
            <w:tcW w:w="2952" w:type="dxa"/>
            <w:noWrap/>
            <w:hideMark/>
          </w:tcPr>
          <w:p w:rsidR="00CA12DC" w:rsidRPr="00A321E2" w:rsidRDefault="00CA12DC" w:rsidP="00A321E2">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103</w:t>
            </w:r>
          </w:p>
        </w:tc>
      </w:tr>
      <w:tr w:rsidR="00CA12DC" w:rsidRPr="00CA12DC" w:rsidTr="00D737B5">
        <w:trPr>
          <w:trHeight w:val="102"/>
        </w:trPr>
        <w:tc>
          <w:tcPr>
            <w:cnfStyle w:val="001000000000" w:firstRow="0" w:lastRow="0" w:firstColumn="1" w:lastColumn="0" w:oddVBand="0" w:evenVBand="0" w:oddHBand="0" w:evenHBand="0" w:firstRowFirstColumn="0" w:firstRowLastColumn="0" w:lastRowFirstColumn="0" w:lastRowLastColumn="0"/>
            <w:tcW w:w="1286" w:type="dxa"/>
            <w:noWrap/>
            <w:hideMark/>
          </w:tcPr>
          <w:p w:rsidR="00CA12DC" w:rsidRPr="00A321E2" w:rsidRDefault="00CA12DC" w:rsidP="00A321E2">
            <w:pPr>
              <w:spacing w:after="0" w:line="240" w:lineRule="auto"/>
              <w:rPr>
                <w:rFonts w:ascii="Arial Narrow" w:hAnsi="Arial Narrow"/>
                <w:sz w:val="16"/>
                <w:szCs w:val="16"/>
              </w:rPr>
            </w:pPr>
            <w:r w:rsidRPr="00A321E2">
              <w:rPr>
                <w:rFonts w:ascii="Arial Narrow" w:hAnsi="Arial Narrow"/>
                <w:sz w:val="16"/>
                <w:szCs w:val="16"/>
              </w:rPr>
              <w:t>1995</w:t>
            </w:r>
          </w:p>
        </w:tc>
        <w:tc>
          <w:tcPr>
            <w:tcW w:w="2235" w:type="dxa"/>
            <w:noWrap/>
            <w:hideMark/>
          </w:tcPr>
          <w:p w:rsidR="00CA12DC" w:rsidRPr="00A321E2" w:rsidRDefault="00CA12DC" w:rsidP="00A321E2">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12.819.394</w:t>
            </w:r>
          </w:p>
        </w:tc>
        <w:tc>
          <w:tcPr>
            <w:tcW w:w="2816" w:type="dxa"/>
            <w:noWrap/>
            <w:hideMark/>
          </w:tcPr>
          <w:p w:rsidR="00CA12DC" w:rsidRPr="00A321E2" w:rsidRDefault="00CA12DC" w:rsidP="00A321E2">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162</w:t>
            </w:r>
          </w:p>
        </w:tc>
        <w:tc>
          <w:tcPr>
            <w:tcW w:w="2952" w:type="dxa"/>
            <w:noWrap/>
            <w:hideMark/>
          </w:tcPr>
          <w:p w:rsidR="00CA12DC" w:rsidRPr="00A321E2" w:rsidRDefault="00CA12DC" w:rsidP="00A321E2">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107</w:t>
            </w:r>
          </w:p>
        </w:tc>
      </w:tr>
      <w:tr w:rsidR="00CA12DC" w:rsidRPr="00CA12DC" w:rsidTr="00D737B5">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1286" w:type="dxa"/>
            <w:noWrap/>
            <w:hideMark/>
          </w:tcPr>
          <w:p w:rsidR="00CA12DC" w:rsidRPr="00A321E2" w:rsidRDefault="00CA12DC" w:rsidP="00A321E2">
            <w:pPr>
              <w:spacing w:after="0" w:line="240" w:lineRule="auto"/>
              <w:rPr>
                <w:rFonts w:ascii="Arial Narrow" w:hAnsi="Arial Narrow"/>
                <w:sz w:val="16"/>
                <w:szCs w:val="16"/>
              </w:rPr>
            </w:pPr>
            <w:r w:rsidRPr="00A321E2">
              <w:rPr>
                <w:rFonts w:ascii="Arial Narrow" w:hAnsi="Arial Narrow"/>
                <w:sz w:val="16"/>
                <w:szCs w:val="16"/>
              </w:rPr>
              <w:t>1996</w:t>
            </w:r>
          </w:p>
        </w:tc>
        <w:tc>
          <w:tcPr>
            <w:tcW w:w="2235" w:type="dxa"/>
            <w:noWrap/>
            <w:hideMark/>
          </w:tcPr>
          <w:p w:rsidR="00CA12DC" w:rsidRPr="00A321E2" w:rsidRDefault="00CA12DC" w:rsidP="00A321E2">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13.439.257</w:t>
            </w:r>
          </w:p>
        </w:tc>
        <w:tc>
          <w:tcPr>
            <w:tcW w:w="2816" w:type="dxa"/>
            <w:noWrap/>
            <w:hideMark/>
          </w:tcPr>
          <w:p w:rsidR="00CA12DC" w:rsidRPr="00A321E2" w:rsidRDefault="00CA12DC" w:rsidP="00A321E2">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169</w:t>
            </w:r>
          </w:p>
        </w:tc>
        <w:tc>
          <w:tcPr>
            <w:tcW w:w="2952" w:type="dxa"/>
            <w:noWrap/>
            <w:hideMark/>
          </w:tcPr>
          <w:p w:rsidR="00CA12DC" w:rsidRPr="00A321E2" w:rsidRDefault="00CA12DC" w:rsidP="00A321E2">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105</w:t>
            </w:r>
          </w:p>
        </w:tc>
      </w:tr>
      <w:tr w:rsidR="00CA12DC" w:rsidRPr="00CA12DC" w:rsidTr="00D737B5">
        <w:trPr>
          <w:trHeight w:val="102"/>
        </w:trPr>
        <w:tc>
          <w:tcPr>
            <w:cnfStyle w:val="001000000000" w:firstRow="0" w:lastRow="0" w:firstColumn="1" w:lastColumn="0" w:oddVBand="0" w:evenVBand="0" w:oddHBand="0" w:evenHBand="0" w:firstRowFirstColumn="0" w:firstRowLastColumn="0" w:lastRowFirstColumn="0" w:lastRowLastColumn="0"/>
            <w:tcW w:w="1286" w:type="dxa"/>
            <w:noWrap/>
            <w:hideMark/>
          </w:tcPr>
          <w:p w:rsidR="00CA12DC" w:rsidRPr="00A321E2" w:rsidRDefault="00CA12DC" w:rsidP="00A321E2">
            <w:pPr>
              <w:spacing w:after="0" w:line="240" w:lineRule="auto"/>
              <w:rPr>
                <w:rFonts w:ascii="Arial Narrow" w:hAnsi="Arial Narrow"/>
                <w:sz w:val="16"/>
                <w:szCs w:val="16"/>
              </w:rPr>
            </w:pPr>
            <w:r w:rsidRPr="00A321E2">
              <w:rPr>
                <w:rFonts w:ascii="Arial Narrow" w:hAnsi="Arial Narrow"/>
                <w:sz w:val="16"/>
                <w:szCs w:val="16"/>
              </w:rPr>
              <w:t>1997</w:t>
            </w:r>
          </w:p>
        </w:tc>
        <w:tc>
          <w:tcPr>
            <w:tcW w:w="2235" w:type="dxa"/>
            <w:noWrap/>
            <w:hideMark/>
          </w:tcPr>
          <w:p w:rsidR="00CA12DC" w:rsidRPr="00A321E2" w:rsidRDefault="00CA12DC" w:rsidP="00A321E2">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14.379.834</w:t>
            </w:r>
          </w:p>
        </w:tc>
        <w:tc>
          <w:tcPr>
            <w:tcW w:w="2816" w:type="dxa"/>
            <w:noWrap/>
            <w:hideMark/>
          </w:tcPr>
          <w:p w:rsidR="00CA12DC" w:rsidRPr="00A321E2" w:rsidRDefault="00CA12DC" w:rsidP="00A321E2">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181</w:t>
            </w:r>
          </w:p>
        </w:tc>
        <w:tc>
          <w:tcPr>
            <w:tcW w:w="2952" w:type="dxa"/>
            <w:noWrap/>
            <w:hideMark/>
          </w:tcPr>
          <w:p w:rsidR="00CA12DC" w:rsidRPr="00A321E2" w:rsidRDefault="00CA12DC" w:rsidP="00A321E2">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107</w:t>
            </w:r>
          </w:p>
        </w:tc>
      </w:tr>
      <w:tr w:rsidR="00CA12DC" w:rsidRPr="00CA12DC" w:rsidTr="00D737B5">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1286" w:type="dxa"/>
            <w:noWrap/>
            <w:hideMark/>
          </w:tcPr>
          <w:p w:rsidR="00CA12DC" w:rsidRPr="00A321E2" w:rsidRDefault="00CA12DC" w:rsidP="00A321E2">
            <w:pPr>
              <w:spacing w:after="0" w:line="240" w:lineRule="auto"/>
              <w:rPr>
                <w:rFonts w:ascii="Arial Narrow" w:hAnsi="Arial Narrow"/>
                <w:sz w:val="16"/>
                <w:szCs w:val="16"/>
              </w:rPr>
            </w:pPr>
            <w:r w:rsidRPr="00A321E2">
              <w:rPr>
                <w:rFonts w:ascii="Arial Narrow" w:hAnsi="Arial Narrow"/>
                <w:sz w:val="16"/>
                <w:szCs w:val="16"/>
              </w:rPr>
              <w:t>1998</w:t>
            </w:r>
          </w:p>
        </w:tc>
        <w:tc>
          <w:tcPr>
            <w:tcW w:w="2235" w:type="dxa"/>
            <w:noWrap/>
            <w:hideMark/>
          </w:tcPr>
          <w:p w:rsidR="00CA12DC" w:rsidRPr="00A321E2" w:rsidRDefault="00CA12DC" w:rsidP="00A321E2">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15.600.436</w:t>
            </w:r>
          </w:p>
        </w:tc>
        <w:tc>
          <w:tcPr>
            <w:tcW w:w="2816" w:type="dxa"/>
            <w:noWrap/>
            <w:hideMark/>
          </w:tcPr>
          <w:p w:rsidR="00CA12DC" w:rsidRPr="00A321E2" w:rsidRDefault="00CA12DC" w:rsidP="00A321E2">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197</w:t>
            </w:r>
          </w:p>
        </w:tc>
        <w:tc>
          <w:tcPr>
            <w:tcW w:w="2952" w:type="dxa"/>
            <w:noWrap/>
            <w:hideMark/>
          </w:tcPr>
          <w:p w:rsidR="00CA12DC" w:rsidRPr="00A321E2" w:rsidRDefault="00CA12DC" w:rsidP="00A321E2">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108</w:t>
            </w:r>
          </w:p>
        </w:tc>
      </w:tr>
      <w:tr w:rsidR="00CA12DC" w:rsidRPr="00CA12DC" w:rsidTr="00D737B5">
        <w:trPr>
          <w:trHeight w:val="102"/>
        </w:trPr>
        <w:tc>
          <w:tcPr>
            <w:cnfStyle w:val="001000000000" w:firstRow="0" w:lastRow="0" w:firstColumn="1" w:lastColumn="0" w:oddVBand="0" w:evenVBand="0" w:oddHBand="0" w:evenHBand="0" w:firstRowFirstColumn="0" w:firstRowLastColumn="0" w:lastRowFirstColumn="0" w:lastRowLastColumn="0"/>
            <w:tcW w:w="1286" w:type="dxa"/>
            <w:noWrap/>
            <w:hideMark/>
          </w:tcPr>
          <w:p w:rsidR="00CA12DC" w:rsidRPr="00A321E2" w:rsidRDefault="00CA12DC" w:rsidP="00A321E2">
            <w:pPr>
              <w:spacing w:after="0" w:line="240" w:lineRule="auto"/>
              <w:rPr>
                <w:rFonts w:ascii="Arial Narrow" w:hAnsi="Arial Narrow"/>
                <w:sz w:val="16"/>
                <w:szCs w:val="16"/>
              </w:rPr>
            </w:pPr>
            <w:r w:rsidRPr="00A321E2">
              <w:rPr>
                <w:rFonts w:ascii="Arial Narrow" w:hAnsi="Arial Narrow"/>
                <w:sz w:val="16"/>
                <w:szCs w:val="16"/>
              </w:rPr>
              <w:t>1999</w:t>
            </w:r>
          </w:p>
        </w:tc>
        <w:tc>
          <w:tcPr>
            <w:tcW w:w="2235" w:type="dxa"/>
            <w:noWrap/>
            <w:hideMark/>
          </w:tcPr>
          <w:p w:rsidR="00CA12DC" w:rsidRPr="00A321E2" w:rsidRDefault="00CA12DC" w:rsidP="00A321E2">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16.725.867</w:t>
            </w:r>
          </w:p>
        </w:tc>
        <w:tc>
          <w:tcPr>
            <w:tcW w:w="2816" w:type="dxa"/>
            <w:noWrap/>
            <w:hideMark/>
          </w:tcPr>
          <w:p w:rsidR="00CA12DC" w:rsidRPr="00A321E2" w:rsidRDefault="00CA12DC" w:rsidP="00A321E2">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211</w:t>
            </w:r>
          </w:p>
        </w:tc>
        <w:tc>
          <w:tcPr>
            <w:tcW w:w="2952" w:type="dxa"/>
            <w:noWrap/>
            <w:hideMark/>
          </w:tcPr>
          <w:p w:rsidR="00CA12DC" w:rsidRPr="00A321E2" w:rsidRDefault="00CA12DC" w:rsidP="00A321E2">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107</w:t>
            </w:r>
          </w:p>
        </w:tc>
      </w:tr>
      <w:tr w:rsidR="00CA12DC" w:rsidRPr="00CA12DC" w:rsidTr="00D737B5">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1286" w:type="dxa"/>
            <w:noWrap/>
            <w:hideMark/>
          </w:tcPr>
          <w:p w:rsidR="00CA12DC" w:rsidRPr="00A321E2" w:rsidRDefault="00CA12DC" w:rsidP="00A321E2">
            <w:pPr>
              <w:spacing w:after="0" w:line="240" w:lineRule="auto"/>
              <w:rPr>
                <w:rFonts w:ascii="Arial Narrow" w:hAnsi="Arial Narrow"/>
                <w:sz w:val="16"/>
                <w:szCs w:val="16"/>
              </w:rPr>
            </w:pPr>
            <w:r w:rsidRPr="00A321E2">
              <w:rPr>
                <w:rFonts w:ascii="Arial Narrow" w:hAnsi="Arial Narrow"/>
                <w:sz w:val="16"/>
                <w:szCs w:val="16"/>
              </w:rPr>
              <w:t>2000</w:t>
            </w:r>
          </w:p>
        </w:tc>
        <w:tc>
          <w:tcPr>
            <w:tcW w:w="2235" w:type="dxa"/>
            <w:noWrap/>
            <w:hideMark/>
          </w:tcPr>
          <w:p w:rsidR="00CA12DC" w:rsidRPr="00A321E2" w:rsidRDefault="00CA12DC" w:rsidP="00A321E2">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19.351.425</w:t>
            </w:r>
          </w:p>
        </w:tc>
        <w:tc>
          <w:tcPr>
            <w:tcW w:w="2816" w:type="dxa"/>
            <w:noWrap/>
            <w:hideMark/>
          </w:tcPr>
          <w:p w:rsidR="00CA12DC" w:rsidRPr="00A321E2" w:rsidRDefault="00CA12DC" w:rsidP="00A321E2">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244</w:t>
            </w:r>
          </w:p>
        </w:tc>
        <w:tc>
          <w:tcPr>
            <w:tcW w:w="2952" w:type="dxa"/>
            <w:noWrap/>
            <w:hideMark/>
          </w:tcPr>
          <w:p w:rsidR="00CA12DC" w:rsidRPr="00A321E2" w:rsidRDefault="00CA12DC" w:rsidP="00A321E2">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116</w:t>
            </w:r>
          </w:p>
        </w:tc>
      </w:tr>
      <w:tr w:rsidR="00CA12DC" w:rsidRPr="00CA12DC" w:rsidTr="00D737B5">
        <w:trPr>
          <w:trHeight w:val="102"/>
        </w:trPr>
        <w:tc>
          <w:tcPr>
            <w:cnfStyle w:val="001000000000" w:firstRow="0" w:lastRow="0" w:firstColumn="1" w:lastColumn="0" w:oddVBand="0" w:evenVBand="0" w:oddHBand="0" w:evenHBand="0" w:firstRowFirstColumn="0" w:firstRowLastColumn="0" w:lastRowFirstColumn="0" w:lastRowLastColumn="0"/>
            <w:tcW w:w="1286" w:type="dxa"/>
            <w:noWrap/>
            <w:hideMark/>
          </w:tcPr>
          <w:p w:rsidR="00CA12DC" w:rsidRPr="00A321E2" w:rsidRDefault="00CA12DC" w:rsidP="00A321E2">
            <w:pPr>
              <w:spacing w:after="0" w:line="240" w:lineRule="auto"/>
              <w:rPr>
                <w:rFonts w:ascii="Arial Narrow" w:hAnsi="Arial Narrow"/>
                <w:sz w:val="16"/>
                <w:szCs w:val="16"/>
              </w:rPr>
            </w:pPr>
            <w:r w:rsidRPr="00A321E2">
              <w:rPr>
                <w:rFonts w:ascii="Arial Narrow" w:hAnsi="Arial Narrow"/>
                <w:sz w:val="16"/>
                <w:szCs w:val="16"/>
              </w:rPr>
              <w:t>2001</w:t>
            </w:r>
          </w:p>
        </w:tc>
        <w:tc>
          <w:tcPr>
            <w:tcW w:w="2235" w:type="dxa"/>
            <w:noWrap/>
            <w:hideMark/>
          </w:tcPr>
          <w:p w:rsidR="00CA12DC" w:rsidRPr="00A321E2" w:rsidRDefault="00CA12DC" w:rsidP="00A321E2">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21.883.936</w:t>
            </w:r>
          </w:p>
        </w:tc>
        <w:tc>
          <w:tcPr>
            <w:tcW w:w="2816" w:type="dxa"/>
            <w:noWrap/>
            <w:hideMark/>
          </w:tcPr>
          <w:p w:rsidR="00CA12DC" w:rsidRPr="00A321E2" w:rsidRDefault="00CA12DC" w:rsidP="00A321E2">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276</w:t>
            </w:r>
          </w:p>
        </w:tc>
        <w:tc>
          <w:tcPr>
            <w:tcW w:w="2952" w:type="dxa"/>
            <w:noWrap/>
            <w:hideMark/>
          </w:tcPr>
          <w:p w:rsidR="00CA12DC" w:rsidRPr="00A321E2" w:rsidRDefault="00CA12DC" w:rsidP="00A321E2">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113</w:t>
            </w:r>
          </w:p>
        </w:tc>
      </w:tr>
      <w:tr w:rsidR="00CA12DC" w:rsidRPr="00CA12DC" w:rsidTr="00D737B5">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1286" w:type="dxa"/>
            <w:noWrap/>
            <w:hideMark/>
          </w:tcPr>
          <w:p w:rsidR="00CA12DC" w:rsidRPr="00A321E2" w:rsidRDefault="00CA12DC" w:rsidP="00A321E2">
            <w:pPr>
              <w:spacing w:after="0" w:line="240" w:lineRule="auto"/>
              <w:rPr>
                <w:rFonts w:ascii="Arial Narrow" w:hAnsi="Arial Narrow"/>
                <w:sz w:val="16"/>
                <w:szCs w:val="16"/>
              </w:rPr>
            </w:pPr>
            <w:r w:rsidRPr="00A321E2">
              <w:rPr>
                <w:rFonts w:ascii="Arial Narrow" w:hAnsi="Arial Narrow"/>
                <w:sz w:val="16"/>
                <w:szCs w:val="16"/>
              </w:rPr>
              <w:t>2002</w:t>
            </w:r>
          </w:p>
        </w:tc>
        <w:tc>
          <w:tcPr>
            <w:tcW w:w="2235" w:type="dxa"/>
            <w:noWrap/>
            <w:hideMark/>
          </w:tcPr>
          <w:p w:rsidR="00CA12DC" w:rsidRPr="00A321E2" w:rsidRDefault="00CA12DC" w:rsidP="00A321E2">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21.483.595</w:t>
            </w:r>
          </w:p>
        </w:tc>
        <w:tc>
          <w:tcPr>
            <w:tcW w:w="2816" w:type="dxa"/>
            <w:noWrap/>
            <w:hideMark/>
          </w:tcPr>
          <w:p w:rsidR="00CA12DC" w:rsidRPr="00A321E2" w:rsidRDefault="00CA12DC" w:rsidP="00A321E2">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271</w:t>
            </w:r>
          </w:p>
        </w:tc>
        <w:tc>
          <w:tcPr>
            <w:tcW w:w="2952" w:type="dxa"/>
            <w:noWrap/>
            <w:hideMark/>
          </w:tcPr>
          <w:p w:rsidR="00CA12DC" w:rsidRPr="00A321E2" w:rsidRDefault="00CA12DC" w:rsidP="00A321E2">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98</w:t>
            </w:r>
          </w:p>
        </w:tc>
      </w:tr>
      <w:tr w:rsidR="00CA12DC" w:rsidRPr="00CA12DC" w:rsidTr="00D737B5">
        <w:trPr>
          <w:trHeight w:val="102"/>
        </w:trPr>
        <w:tc>
          <w:tcPr>
            <w:cnfStyle w:val="001000000000" w:firstRow="0" w:lastRow="0" w:firstColumn="1" w:lastColumn="0" w:oddVBand="0" w:evenVBand="0" w:oddHBand="0" w:evenHBand="0" w:firstRowFirstColumn="0" w:firstRowLastColumn="0" w:lastRowFirstColumn="0" w:lastRowLastColumn="0"/>
            <w:tcW w:w="1286" w:type="dxa"/>
            <w:noWrap/>
            <w:hideMark/>
          </w:tcPr>
          <w:p w:rsidR="00CA12DC" w:rsidRPr="00A321E2" w:rsidRDefault="00CA12DC" w:rsidP="00A321E2">
            <w:pPr>
              <w:spacing w:after="0" w:line="240" w:lineRule="auto"/>
              <w:rPr>
                <w:rFonts w:ascii="Arial Narrow" w:hAnsi="Arial Narrow"/>
                <w:sz w:val="16"/>
                <w:szCs w:val="16"/>
              </w:rPr>
            </w:pPr>
            <w:r w:rsidRPr="00A321E2">
              <w:rPr>
                <w:rFonts w:ascii="Arial Narrow" w:hAnsi="Arial Narrow"/>
                <w:sz w:val="16"/>
                <w:szCs w:val="16"/>
              </w:rPr>
              <w:t>2003</w:t>
            </w:r>
          </w:p>
        </w:tc>
        <w:tc>
          <w:tcPr>
            <w:tcW w:w="2235" w:type="dxa"/>
            <w:noWrap/>
            <w:hideMark/>
          </w:tcPr>
          <w:p w:rsidR="00CA12DC" w:rsidRPr="00A321E2" w:rsidRDefault="00CA12DC" w:rsidP="00A321E2">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21.647.570</w:t>
            </w:r>
          </w:p>
        </w:tc>
        <w:tc>
          <w:tcPr>
            <w:tcW w:w="2816" w:type="dxa"/>
            <w:noWrap/>
            <w:hideMark/>
          </w:tcPr>
          <w:p w:rsidR="00CA12DC" w:rsidRPr="00A321E2" w:rsidRDefault="00CA12DC" w:rsidP="00A321E2">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273</w:t>
            </w:r>
          </w:p>
        </w:tc>
        <w:tc>
          <w:tcPr>
            <w:tcW w:w="2952" w:type="dxa"/>
            <w:noWrap/>
            <w:hideMark/>
          </w:tcPr>
          <w:p w:rsidR="00CA12DC" w:rsidRPr="00A321E2" w:rsidRDefault="00CA12DC" w:rsidP="00A321E2">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101</w:t>
            </w:r>
          </w:p>
        </w:tc>
      </w:tr>
      <w:tr w:rsidR="00CA12DC" w:rsidRPr="00CA12DC" w:rsidTr="00D737B5">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1286" w:type="dxa"/>
            <w:noWrap/>
            <w:hideMark/>
          </w:tcPr>
          <w:p w:rsidR="00CA12DC" w:rsidRPr="00A321E2" w:rsidRDefault="00CA12DC" w:rsidP="00A321E2">
            <w:pPr>
              <w:spacing w:after="0" w:line="240" w:lineRule="auto"/>
              <w:rPr>
                <w:rFonts w:ascii="Arial Narrow" w:hAnsi="Arial Narrow"/>
                <w:sz w:val="16"/>
                <w:szCs w:val="16"/>
              </w:rPr>
            </w:pPr>
            <w:r w:rsidRPr="00A321E2">
              <w:rPr>
                <w:rFonts w:ascii="Arial Narrow" w:hAnsi="Arial Narrow"/>
                <w:sz w:val="16"/>
                <w:szCs w:val="16"/>
              </w:rPr>
              <w:t>2004</w:t>
            </w:r>
          </w:p>
        </w:tc>
        <w:tc>
          <w:tcPr>
            <w:tcW w:w="2235" w:type="dxa"/>
            <w:noWrap/>
            <w:hideMark/>
          </w:tcPr>
          <w:p w:rsidR="00CA12DC" w:rsidRPr="00A321E2" w:rsidRDefault="00CA12DC" w:rsidP="00A321E2">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23.838.212</w:t>
            </w:r>
          </w:p>
        </w:tc>
        <w:tc>
          <w:tcPr>
            <w:tcW w:w="2816" w:type="dxa"/>
            <w:noWrap/>
            <w:hideMark/>
          </w:tcPr>
          <w:p w:rsidR="00CA12DC" w:rsidRPr="00A321E2" w:rsidRDefault="00CA12DC" w:rsidP="00A321E2">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300</w:t>
            </w:r>
          </w:p>
        </w:tc>
        <w:tc>
          <w:tcPr>
            <w:tcW w:w="2952" w:type="dxa"/>
            <w:noWrap/>
            <w:hideMark/>
          </w:tcPr>
          <w:p w:rsidR="00CA12DC" w:rsidRPr="00A321E2" w:rsidRDefault="00CA12DC" w:rsidP="00A321E2">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110</w:t>
            </w:r>
          </w:p>
        </w:tc>
      </w:tr>
      <w:tr w:rsidR="00CA12DC" w:rsidRPr="00CA12DC" w:rsidTr="00D737B5">
        <w:trPr>
          <w:trHeight w:val="102"/>
        </w:trPr>
        <w:tc>
          <w:tcPr>
            <w:cnfStyle w:val="001000000000" w:firstRow="0" w:lastRow="0" w:firstColumn="1" w:lastColumn="0" w:oddVBand="0" w:evenVBand="0" w:oddHBand="0" w:evenHBand="0" w:firstRowFirstColumn="0" w:firstRowLastColumn="0" w:lastRowFirstColumn="0" w:lastRowLastColumn="0"/>
            <w:tcW w:w="1286" w:type="dxa"/>
            <w:noWrap/>
            <w:hideMark/>
          </w:tcPr>
          <w:p w:rsidR="00CA12DC" w:rsidRPr="00A321E2" w:rsidRDefault="00CA12DC" w:rsidP="00A321E2">
            <w:pPr>
              <w:spacing w:after="0" w:line="240" w:lineRule="auto"/>
              <w:rPr>
                <w:rFonts w:ascii="Arial Narrow" w:hAnsi="Arial Narrow"/>
                <w:sz w:val="16"/>
                <w:szCs w:val="16"/>
              </w:rPr>
            </w:pPr>
            <w:r w:rsidRPr="00A321E2">
              <w:rPr>
                <w:rFonts w:ascii="Arial Narrow" w:hAnsi="Arial Narrow"/>
                <w:sz w:val="16"/>
                <w:szCs w:val="16"/>
              </w:rPr>
              <w:t>2005</w:t>
            </w:r>
          </w:p>
        </w:tc>
        <w:tc>
          <w:tcPr>
            <w:tcW w:w="2235" w:type="dxa"/>
            <w:noWrap/>
            <w:hideMark/>
          </w:tcPr>
          <w:p w:rsidR="00CA12DC" w:rsidRPr="00A321E2" w:rsidRDefault="00CA12DC" w:rsidP="00A321E2">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23.955.706</w:t>
            </w:r>
          </w:p>
        </w:tc>
        <w:tc>
          <w:tcPr>
            <w:tcW w:w="2816" w:type="dxa"/>
            <w:noWrap/>
            <w:hideMark/>
          </w:tcPr>
          <w:p w:rsidR="00CA12DC" w:rsidRPr="00A321E2" w:rsidRDefault="00CA12DC" w:rsidP="00A321E2">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302</w:t>
            </w:r>
          </w:p>
        </w:tc>
        <w:tc>
          <w:tcPr>
            <w:tcW w:w="2952" w:type="dxa"/>
            <w:noWrap/>
            <w:hideMark/>
          </w:tcPr>
          <w:p w:rsidR="00CA12DC" w:rsidRPr="00A321E2" w:rsidRDefault="00CA12DC" w:rsidP="00A321E2">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100</w:t>
            </w:r>
          </w:p>
        </w:tc>
      </w:tr>
      <w:tr w:rsidR="00CA12DC" w:rsidRPr="00CA12DC" w:rsidTr="00D737B5">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1286" w:type="dxa"/>
            <w:noWrap/>
            <w:hideMark/>
          </w:tcPr>
          <w:p w:rsidR="00CA12DC" w:rsidRPr="00A321E2" w:rsidRDefault="00CA12DC" w:rsidP="00A321E2">
            <w:pPr>
              <w:spacing w:after="0" w:line="240" w:lineRule="auto"/>
              <w:rPr>
                <w:rFonts w:ascii="Arial Narrow" w:hAnsi="Arial Narrow"/>
                <w:sz w:val="16"/>
                <w:szCs w:val="16"/>
              </w:rPr>
            </w:pPr>
            <w:r w:rsidRPr="00A321E2">
              <w:rPr>
                <w:rFonts w:ascii="Arial Narrow" w:hAnsi="Arial Narrow"/>
                <w:sz w:val="16"/>
                <w:szCs w:val="16"/>
              </w:rPr>
              <w:t>2006</w:t>
            </w:r>
          </w:p>
        </w:tc>
        <w:tc>
          <w:tcPr>
            <w:tcW w:w="2235" w:type="dxa"/>
            <w:noWrap/>
            <w:hideMark/>
          </w:tcPr>
          <w:p w:rsidR="00CA12DC" w:rsidRPr="00A321E2" w:rsidRDefault="00CA12DC" w:rsidP="00A321E2">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24.880.167</w:t>
            </w:r>
          </w:p>
        </w:tc>
        <w:tc>
          <w:tcPr>
            <w:tcW w:w="2816" w:type="dxa"/>
            <w:noWrap/>
            <w:hideMark/>
          </w:tcPr>
          <w:p w:rsidR="00CA12DC" w:rsidRPr="00A321E2" w:rsidRDefault="00CA12DC" w:rsidP="00A321E2">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314</w:t>
            </w:r>
          </w:p>
        </w:tc>
        <w:tc>
          <w:tcPr>
            <w:tcW w:w="2952" w:type="dxa"/>
            <w:noWrap/>
            <w:hideMark/>
          </w:tcPr>
          <w:p w:rsidR="00CA12DC" w:rsidRPr="00A321E2" w:rsidRDefault="00CA12DC" w:rsidP="00A321E2">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104</w:t>
            </w:r>
          </w:p>
        </w:tc>
      </w:tr>
      <w:tr w:rsidR="00CA12DC" w:rsidRPr="00CA12DC" w:rsidTr="00D737B5">
        <w:trPr>
          <w:trHeight w:val="102"/>
        </w:trPr>
        <w:tc>
          <w:tcPr>
            <w:cnfStyle w:val="001000000000" w:firstRow="0" w:lastRow="0" w:firstColumn="1" w:lastColumn="0" w:oddVBand="0" w:evenVBand="0" w:oddHBand="0" w:evenHBand="0" w:firstRowFirstColumn="0" w:firstRowLastColumn="0" w:lastRowFirstColumn="0" w:lastRowLastColumn="0"/>
            <w:tcW w:w="1286" w:type="dxa"/>
            <w:noWrap/>
            <w:hideMark/>
          </w:tcPr>
          <w:p w:rsidR="00CA12DC" w:rsidRPr="00A321E2" w:rsidRDefault="00CA12DC" w:rsidP="00A321E2">
            <w:pPr>
              <w:spacing w:after="0" w:line="240" w:lineRule="auto"/>
              <w:rPr>
                <w:rFonts w:ascii="Arial Narrow" w:hAnsi="Arial Narrow"/>
                <w:sz w:val="16"/>
                <w:szCs w:val="16"/>
              </w:rPr>
            </w:pPr>
            <w:r w:rsidRPr="00A321E2">
              <w:rPr>
                <w:rFonts w:ascii="Arial Narrow" w:hAnsi="Arial Narrow"/>
                <w:sz w:val="16"/>
                <w:szCs w:val="16"/>
              </w:rPr>
              <w:t>2007</w:t>
            </w:r>
          </w:p>
        </w:tc>
        <w:tc>
          <w:tcPr>
            <w:tcW w:w="2235" w:type="dxa"/>
            <w:noWrap/>
            <w:hideMark/>
          </w:tcPr>
          <w:p w:rsidR="00CA12DC" w:rsidRPr="00A321E2" w:rsidRDefault="00CA12DC" w:rsidP="00A321E2">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25.643.762</w:t>
            </w:r>
          </w:p>
        </w:tc>
        <w:tc>
          <w:tcPr>
            <w:tcW w:w="2816" w:type="dxa"/>
            <w:noWrap/>
            <w:hideMark/>
          </w:tcPr>
          <w:p w:rsidR="00CA12DC" w:rsidRPr="00A321E2" w:rsidRDefault="00CA12DC" w:rsidP="00A321E2">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323</w:t>
            </w:r>
          </w:p>
        </w:tc>
        <w:tc>
          <w:tcPr>
            <w:tcW w:w="2952" w:type="dxa"/>
            <w:noWrap/>
            <w:hideMark/>
          </w:tcPr>
          <w:p w:rsidR="00CA12DC" w:rsidRPr="00A321E2" w:rsidRDefault="00CA12DC" w:rsidP="00A321E2">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103</w:t>
            </w:r>
          </w:p>
        </w:tc>
      </w:tr>
      <w:tr w:rsidR="00CA12DC" w:rsidRPr="00CA12DC" w:rsidTr="00D737B5">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1286" w:type="dxa"/>
            <w:noWrap/>
            <w:hideMark/>
          </w:tcPr>
          <w:p w:rsidR="00CA12DC" w:rsidRPr="00A321E2" w:rsidRDefault="00CA12DC" w:rsidP="00A321E2">
            <w:pPr>
              <w:spacing w:after="0" w:line="240" w:lineRule="auto"/>
              <w:rPr>
                <w:rFonts w:ascii="Arial Narrow" w:hAnsi="Arial Narrow"/>
                <w:sz w:val="16"/>
                <w:szCs w:val="16"/>
              </w:rPr>
            </w:pPr>
            <w:r w:rsidRPr="00A321E2">
              <w:rPr>
                <w:rFonts w:ascii="Arial Narrow" w:hAnsi="Arial Narrow"/>
                <w:sz w:val="16"/>
                <w:szCs w:val="16"/>
              </w:rPr>
              <w:t>2008</w:t>
            </w:r>
          </w:p>
        </w:tc>
        <w:tc>
          <w:tcPr>
            <w:tcW w:w="2235" w:type="dxa"/>
            <w:noWrap/>
            <w:hideMark/>
          </w:tcPr>
          <w:p w:rsidR="00CA12DC" w:rsidRPr="00A321E2" w:rsidRDefault="00CA12DC" w:rsidP="00A321E2">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25.547.328</w:t>
            </w:r>
          </w:p>
        </w:tc>
        <w:tc>
          <w:tcPr>
            <w:tcW w:w="2816" w:type="dxa"/>
            <w:noWrap/>
            <w:hideMark/>
          </w:tcPr>
          <w:p w:rsidR="00CA12DC" w:rsidRPr="00A321E2" w:rsidRDefault="00CA12DC" w:rsidP="00A321E2">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322</w:t>
            </w:r>
          </w:p>
        </w:tc>
        <w:tc>
          <w:tcPr>
            <w:tcW w:w="2952" w:type="dxa"/>
            <w:noWrap/>
            <w:hideMark/>
          </w:tcPr>
          <w:p w:rsidR="00CA12DC" w:rsidRPr="00A321E2" w:rsidRDefault="00CA12DC" w:rsidP="00A321E2">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100</w:t>
            </w:r>
          </w:p>
        </w:tc>
      </w:tr>
      <w:tr w:rsidR="00CA12DC" w:rsidRPr="00CA12DC" w:rsidTr="00D737B5">
        <w:trPr>
          <w:trHeight w:val="102"/>
        </w:trPr>
        <w:tc>
          <w:tcPr>
            <w:cnfStyle w:val="001000000000" w:firstRow="0" w:lastRow="0" w:firstColumn="1" w:lastColumn="0" w:oddVBand="0" w:evenVBand="0" w:oddHBand="0" w:evenHBand="0" w:firstRowFirstColumn="0" w:firstRowLastColumn="0" w:lastRowFirstColumn="0" w:lastRowLastColumn="0"/>
            <w:tcW w:w="1286" w:type="dxa"/>
            <w:noWrap/>
            <w:hideMark/>
          </w:tcPr>
          <w:p w:rsidR="00CA12DC" w:rsidRPr="00A321E2" w:rsidRDefault="00CA12DC" w:rsidP="00A321E2">
            <w:pPr>
              <w:spacing w:after="0" w:line="240" w:lineRule="auto"/>
              <w:rPr>
                <w:rFonts w:ascii="Arial Narrow" w:hAnsi="Arial Narrow"/>
                <w:sz w:val="16"/>
                <w:szCs w:val="16"/>
              </w:rPr>
            </w:pPr>
            <w:r w:rsidRPr="00A321E2">
              <w:rPr>
                <w:rFonts w:ascii="Arial Narrow" w:hAnsi="Arial Narrow"/>
                <w:sz w:val="16"/>
                <w:szCs w:val="16"/>
              </w:rPr>
              <w:t>2009</w:t>
            </w:r>
          </w:p>
        </w:tc>
        <w:tc>
          <w:tcPr>
            <w:tcW w:w="2235" w:type="dxa"/>
            <w:noWrap/>
            <w:hideMark/>
          </w:tcPr>
          <w:p w:rsidR="00CA12DC" w:rsidRPr="00A321E2" w:rsidRDefault="00CA12DC" w:rsidP="00A321E2">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23.958.653</w:t>
            </w:r>
          </w:p>
        </w:tc>
        <w:tc>
          <w:tcPr>
            <w:tcW w:w="2816" w:type="dxa"/>
            <w:noWrap/>
            <w:hideMark/>
          </w:tcPr>
          <w:p w:rsidR="00CA12DC" w:rsidRPr="00A321E2" w:rsidRDefault="00CA12DC" w:rsidP="00A321E2">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302</w:t>
            </w:r>
          </w:p>
        </w:tc>
        <w:tc>
          <w:tcPr>
            <w:tcW w:w="2952" w:type="dxa"/>
            <w:noWrap/>
            <w:hideMark/>
          </w:tcPr>
          <w:p w:rsidR="00CA12DC" w:rsidRPr="00A321E2" w:rsidRDefault="00CA12DC" w:rsidP="00A321E2">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94</w:t>
            </w:r>
          </w:p>
        </w:tc>
      </w:tr>
      <w:tr w:rsidR="00CA12DC" w:rsidRPr="00CA12DC" w:rsidTr="00D737B5">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1286" w:type="dxa"/>
            <w:noWrap/>
            <w:hideMark/>
          </w:tcPr>
          <w:p w:rsidR="00CA12DC" w:rsidRPr="00A321E2" w:rsidRDefault="00CA12DC" w:rsidP="00A321E2">
            <w:pPr>
              <w:spacing w:after="0" w:line="240" w:lineRule="auto"/>
              <w:rPr>
                <w:rFonts w:ascii="Arial Narrow" w:hAnsi="Arial Narrow"/>
                <w:sz w:val="16"/>
                <w:szCs w:val="16"/>
              </w:rPr>
            </w:pPr>
            <w:r w:rsidRPr="00A321E2">
              <w:rPr>
                <w:rFonts w:ascii="Arial Narrow" w:hAnsi="Arial Narrow"/>
                <w:sz w:val="16"/>
                <w:szCs w:val="16"/>
              </w:rPr>
              <w:t>2010</w:t>
            </w:r>
          </w:p>
        </w:tc>
        <w:tc>
          <w:tcPr>
            <w:tcW w:w="2235" w:type="dxa"/>
            <w:noWrap/>
            <w:hideMark/>
          </w:tcPr>
          <w:p w:rsidR="00CA12DC" w:rsidRPr="00A321E2" w:rsidRDefault="00CA12DC" w:rsidP="00A321E2">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24.477.097</w:t>
            </w:r>
          </w:p>
        </w:tc>
        <w:tc>
          <w:tcPr>
            <w:tcW w:w="2816" w:type="dxa"/>
            <w:noWrap/>
            <w:hideMark/>
          </w:tcPr>
          <w:p w:rsidR="00CA12DC" w:rsidRPr="00A321E2" w:rsidRDefault="00CA12DC" w:rsidP="00A321E2">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308</w:t>
            </w:r>
          </w:p>
        </w:tc>
        <w:tc>
          <w:tcPr>
            <w:tcW w:w="2952" w:type="dxa"/>
            <w:noWrap/>
            <w:hideMark/>
          </w:tcPr>
          <w:p w:rsidR="00CA12DC" w:rsidRPr="00A321E2" w:rsidRDefault="00CA12DC" w:rsidP="00A321E2">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102</w:t>
            </w:r>
          </w:p>
        </w:tc>
      </w:tr>
      <w:tr w:rsidR="00CA12DC" w:rsidRPr="00CA12DC" w:rsidTr="00D737B5">
        <w:trPr>
          <w:trHeight w:val="102"/>
        </w:trPr>
        <w:tc>
          <w:tcPr>
            <w:cnfStyle w:val="001000000000" w:firstRow="0" w:lastRow="0" w:firstColumn="1" w:lastColumn="0" w:oddVBand="0" w:evenVBand="0" w:oddHBand="0" w:evenHBand="0" w:firstRowFirstColumn="0" w:firstRowLastColumn="0" w:lastRowFirstColumn="0" w:lastRowLastColumn="0"/>
            <w:tcW w:w="1286" w:type="dxa"/>
            <w:noWrap/>
            <w:hideMark/>
          </w:tcPr>
          <w:p w:rsidR="00CA12DC" w:rsidRPr="00A321E2" w:rsidRDefault="00CA12DC" w:rsidP="00A321E2">
            <w:pPr>
              <w:spacing w:after="0" w:line="240" w:lineRule="auto"/>
              <w:rPr>
                <w:rFonts w:ascii="Arial Narrow" w:hAnsi="Arial Narrow"/>
                <w:sz w:val="16"/>
                <w:szCs w:val="16"/>
              </w:rPr>
            </w:pPr>
            <w:r w:rsidRPr="00A321E2">
              <w:rPr>
                <w:rFonts w:ascii="Arial Narrow" w:hAnsi="Arial Narrow"/>
                <w:sz w:val="16"/>
                <w:szCs w:val="16"/>
              </w:rPr>
              <w:t>2011</w:t>
            </w:r>
          </w:p>
        </w:tc>
        <w:tc>
          <w:tcPr>
            <w:tcW w:w="2235" w:type="dxa"/>
            <w:noWrap/>
            <w:hideMark/>
          </w:tcPr>
          <w:p w:rsidR="00CA12DC" w:rsidRPr="00A321E2" w:rsidRDefault="00CA12DC" w:rsidP="00A321E2">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25.537.098</w:t>
            </w:r>
          </w:p>
        </w:tc>
        <w:tc>
          <w:tcPr>
            <w:tcW w:w="2816" w:type="dxa"/>
            <w:noWrap/>
            <w:hideMark/>
          </w:tcPr>
          <w:p w:rsidR="00CA12DC" w:rsidRPr="00A321E2" w:rsidRDefault="00CA12DC" w:rsidP="00A321E2">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322</w:t>
            </w:r>
          </w:p>
        </w:tc>
        <w:tc>
          <w:tcPr>
            <w:tcW w:w="2952" w:type="dxa"/>
            <w:noWrap/>
            <w:hideMark/>
          </w:tcPr>
          <w:p w:rsidR="00CA12DC" w:rsidRPr="00A321E2" w:rsidRDefault="00CA12DC" w:rsidP="00A321E2">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104</w:t>
            </w:r>
          </w:p>
        </w:tc>
      </w:tr>
      <w:tr w:rsidR="00CA12DC" w:rsidRPr="00CA12DC" w:rsidTr="00D737B5">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1286" w:type="dxa"/>
            <w:noWrap/>
            <w:hideMark/>
          </w:tcPr>
          <w:p w:rsidR="00CA12DC" w:rsidRPr="00A321E2" w:rsidRDefault="00CA12DC" w:rsidP="00A321E2">
            <w:pPr>
              <w:spacing w:after="0" w:line="240" w:lineRule="auto"/>
              <w:rPr>
                <w:rFonts w:ascii="Arial Narrow" w:hAnsi="Arial Narrow"/>
                <w:sz w:val="16"/>
                <w:szCs w:val="16"/>
              </w:rPr>
            </w:pPr>
            <w:r w:rsidRPr="00A321E2">
              <w:rPr>
                <w:rFonts w:ascii="Arial Narrow" w:hAnsi="Arial Narrow"/>
                <w:sz w:val="16"/>
                <w:szCs w:val="16"/>
              </w:rPr>
              <w:t>2012</w:t>
            </w:r>
          </w:p>
        </w:tc>
        <w:tc>
          <w:tcPr>
            <w:tcW w:w="2235" w:type="dxa"/>
            <w:noWrap/>
            <w:hideMark/>
          </w:tcPr>
          <w:p w:rsidR="00CA12DC" w:rsidRPr="00A321E2" w:rsidRDefault="00CA12DC" w:rsidP="00A321E2">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26.244.452</w:t>
            </w:r>
          </w:p>
        </w:tc>
        <w:tc>
          <w:tcPr>
            <w:tcW w:w="2816" w:type="dxa"/>
            <w:noWrap/>
            <w:hideMark/>
          </w:tcPr>
          <w:p w:rsidR="00CA12DC" w:rsidRPr="00A321E2" w:rsidRDefault="00CA12DC" w:rsidP="00A321E2">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331</w:t>
            </w:r>
          </w:p>
        </w:tc>
        <w:tc>
          <w:tcPr>
            <w:tcW w:w="2952" w:type="dxa"/>
            <w:noWrap/>
            <w:hideMark/>
          </w:tcPr>
          <w:p w:rsidR="00CA12DC" w:rsidRPr="00A321E2" w:rsidRDefault="00CA12DC" w:rsidP="00A321E2">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103</w:t>
            </w:r>
          </w:p>
        </w:tc>
      </w:tr>
      <w:tr w:rsidR="00CA12DC" w:rsidRPr="00CA12DC" w:rsidTr="00D737B5">
        <w:trPr>
          <w:trHeight w:val="102"/>
        </w:trPr>
        <w:tc>
          <w:tcPr>
            <w:cnfStyle w:val="001000000000" w:firstRow="0" w:lastRow="0" w:firstColumn="1" w:lastColumn="0" w:oddVBand="0" w:evenVBand="0" w:oddHBand="0" w:evenHBand="0" w:firstRowFirstColumn="0" w:firstRowLastColumn="0" w:lastRowFirstColumn="0" w:lastRowLastColumn="0"/>
            <w:tcW w:w="1286" w:type="dxa"/>
            <w:noWrap/>
            <w:hideMark/>
          </w:tcPr>
          <w:p w:rsidR="00CA12DC" w:rsidRPr="00A321E2" w:rsidRDefault="00CA12DC" w:rsidP="00A321E2">
            <w:pPr>
              <w:spacing w:after="0" w:line="240" w:lineRule="auto"/>
              <w:rPr>
                <w:rFonts w:ascii="Arial Narrow" w:hAnsi="Arial Narrow"/>
                <w:sz w:val="16"/>
                <w:szCs w:val="16"/>
              </w:rPr>
            </w:pPr>
            <w:r w:rsidRPr="00A321E2">
              <w:rPr>
                <w:rFonts w:ascii="Arial Narrow" w:hAnsi="Arial Narrow"/>
                <w:sz w:val="16"/>
                <w:szCs w:val="16"/>
              </w:rPr>
              <w:t>2013</w:t>
            </w:r>
          </w:p>
        </w:tc>
        <w:tc>
          <w:tcPr>
            <w:tcW w:w="2235" w:type="dxa"/>
            <w:noWrap/>
            <w:hideMark/>
          </w:tcPr>
          <w:p w:rsidR="00CA12DC" w:rsidRPr="00A321E2" w:rsidRDefault="00CA12DC" w:rsidP="00A321E2">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26.332.506</w:t>
            </w:r>
          </w:p>
        </w:tc>
        <w:tc>
          <w:tcPr>
            <w:tcW w:w="2816" w:type="dxa"/>
            <w:noWrap/>
            <w:hideMark/>
          </w:tcPr>
          <w:p w:rsidR="00CA12DC" w:rsidRPr="00A321E2" w:rsidRDefault="00CA12DC" w:rsidP="00A321E2">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332</w:t>
            </w:r>
          </w:p>
        </w:tc>
        <w:tc>
          <w:tcPr>
            <w:tcW w:w="2952" w:type="dxa"/>
            <w:noWrap/>
            <w:hideMark/>
          </w:tcPr>
          <w:p w:rsidR="00CA12DC" w:rsidRPr="00A321E2" w:rsidRDefault="00CA12DC" w:rsidP="00A321E2">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100</w:t>
            </w:r>
          </w:p>
        </w:tc>
      </w:tr>
      <w:tr w:rsidR="00CA12DC" w:rsidRPr="00CA12DC" w:rsidTr="00D737B5">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1286" w:type="dxa"/>
            <w:noWrap/>
            <w:hideMark/>
          </w:tcPr>
          <w:p w:rsidR="00CA12DC" w:rsidRPr="00A321E2" w:rsidRDefault="00CA12DC" w:rsidP="00A321E2">
            <w:pPr>
              <w:spacing w:after="0" w:line="240" w:lineRule="auto"/>
              <w:rPr>
                <w:rFonts w:ascii="Arial Narrow" w:hAnsi="Arial Narrow"/>
                <w:sz w:val="16"/>
                <w:szCs w:val="16"/>
              </w:rPr>
            </w:pPr>
            <w:r w:rsidRPr="00A321E2">
              <w:rPr>
                <w:rFonts w:ascii="Arial Narrow" w:hAnsi="Arial Narrow"/>
                <w:sz w:val="16"/>
                <w:szCs w:val="16"/>
              </w:rPr>
              <w:t>2014</w:t>
            </w:r>
          </w:p>
        </w:tc>
        <w:tc>
          <w:tcPr>
            <w:tcW w:w="2235" w:type="dxa"/>
            <w:noWrap/>
            <w:hideMark/>
          </w:tcPr>
          <w:p w:rsidR="00CA12DC" w:rsidRPr="00A321E2" w:rsidRDefault="00CA12DC" w:rsidP="00A321E2">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25.755.260</w:t>
            </w:r>
          </w:p>
        </w:tc>
        <w:tc>
          <w:tcPr>
            <w:tcW w:w="2816" w:type="dxa"/>
            <w:noWrap/>
            <w:hideMark/>
          </w:tcPr>
          <w:p w:rsidR="00CA12DC" w:rsidRPr="00A321E2" w:rsidRDefault="00CA12DC" w:rsidP="00A321E2">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325</w:t>
            </w:r>
          </w:p>
        </w:tc>
        <w:tc>
          <w:tcPr>
            <w:tcW w:w="2952" w:type="dxa"/>
            <w:noWrap/>
            <w:hideMark/>
          </w:tcPr>
          <w:p w:rsidR="00CA12DC" w:rsidRPr="00A321E2" w:rsidRDefault="00CA12DC" w:rsidP="00A321E2">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98</w:t>
            </w:r>
          </w:p>
        </w:tc>
      </w:tr>
      <w:tr w:rsidR="00CA12DC" w:rsidRPr="00CA12DC" w:rsidTr="00D737B5">
        <w:trPr>
          <w:trHeight w:val="102"/>
        </w:trPr>
        <w:tc>
          <w:tcPr>
            <w:cnfStyle w:val="001000000000" w:firstRow="0" w:lastRow="0" w:firstColumn="1" w:lastColumn="0" w:oddVBand="0" w:evenVBand="0" w:oddHBand="0" w:evenHBand="0" w:firstRowFirstColumn="0" w:firstRowLastColumn="0" w:lastRowFirstColumn="0" w:lastRowLastColumn="0"/>
            <w:tcW w:w="1286" w:type="dxa"/>
            <w:noWrap/>
            <w:hideMark/>
          </w:tcPr>
          <w:p w:rsidR="00CA12DC" w:rsidRPr="00A321E2" w:rsidRDefault="00CA12DC" w:rsidP="00A321E2">
            <w:pPr>
              <w:spacing w:after="0" w:line="240" w:lineRule="auto"/>
              <w:rPr>
                <w:rFonts w:ascii="Arial Narrow" w:hAnsi="Arial Narrow"/>
                <w:sz w:val="16"/>
                <w:szCs w:val="16"/>
              </w:rPr>
            </w:pPr>
            <w:r w:rsidRPr="00A321E2">
              <w:rPr>
                <w:rFonts w:ascii="Arial Narrow" w:hAnsi="Arial Narrow"/>
                <w:sz w:val="16"/>
                <w:szCs w:val="16"/>
              </w:rPr>
              <w:t>2015</w:t>
            </w:r>
          </w:p>
        </w:tc>
        <w:tc>
          <w:tcPr>
            <w:tcW w:w="2235" w:type="dxa"/>
            <w:noWrap/>
            <w:hideMark/>
          </w:tcPr>
          <w:p w:rsidR="00CA12DC" w:rsidRPr="00A321E2" w:rsidRDefault="00CA12DC" w:rsidP="00A321E2">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25.796.762</w:t>
            </w:r>
          </w:p>
        </w:tc>
        <w:tc>
          <w:tcPr>
            <w:tcW w:w="2816" w:type="dxa"/>
            <w:noWrap/>
            <w:hideMark/>
          </w:tcPr>
          <w:p w:rsidR="00CA12DC" w:rsidRPr="00A321E2" w:rsidRDefault="00CA12DC" w:rsidP="00A321E2">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325</w:t>
            </w:r>
          </w:p>
        </w:tc>
        <w:tc>
          <w:tcPr>
            <w:tcW w:w="2952" w:type="dxa"/>
            <w:noWrap/>
            <w:hideMark/>
          </w:tcPr>
          <w:p w:rsidR="00CA12DC" w:rsidRPr="00A321E2" w:rsidRDefault="00CA12DC" w:rsidP="00A321E2">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A321E2">
              <w:rPr>
                <w:rFonts w:ascii="Arial Narrow" w:hAnsi="Arial Narrow"/>
                <w:sz w:val="16"/>
                <w:szCs w:val="16"/>
              </w:rPr>
              <w:t>100</w:t>
            </w:r>
          </w:p>
        </w:tc>
      </w:tr>
    </w:tbl>
    <w:p w:rsidR="00CA12DC" w:rsidRDefault="00CA12DC" w:rsidP="00DE1E54">
      <w:pPr>
        <w:pStyle w:val="Podpispodtabeloaligrafom"/>
        <w:spacing w:after="0"/>
      </w:pPr>
      <w:r>
        <w:t>Vir: Narodna in univerzitetna knjižnica.</w:t>
      </w:r>
    </w:p>
    <w:p w:rsidR="00CA12DC" w:rsidRPr="00CA12DC" w:rsidRDefault="004925CE" w:rsidP="00A321E2">
      <w:pPr>
        <w:pStyle w:val="Podpispodtabeloaligrafom"/>
      </w:pPr>
      <w:r>
        <w:t>* Upoštevane so vse vrste izposoje razen medknjižnične, ker zanjo ni podatka za leto 1998.</w:t>
      </w:r>
      <w:r w:rsidR="00BB1CD1">
        <w:t xml:space="preserve"> </w:t>
      </w:r>
    </w:p>
    <w:p w:rsidR="00C71FCE" w:rsidRDefault="00C71FCE" w:rsidP="00A321E2"/>
    <w:p w:rsidR="00C71FCE" w:rsidRDefault="00C71FCE" w:rsidP="00DE703C">
      <w:r>
        <w:t>Za ostala področja kulture je longitudinalnih podatkov manj – na razpolago so za obdobje 2004–2015 ali krajše. Glavni vir podatkov, ki jih predstavljamo v nadaljevanju, je Statistični urad RS, ki podatke zbira s pomočjo vprašalnikov,</w:t>
      </w:r>
      <w:r>
        <w:rPr>
          <w:rStyle w:val="Sprotnaopomba-sklic"/>
        </w:rPr>
        <w:footnoteReference w:id="35"/>
      </w:r>
      <w:r>
        <w:t xml:space="preserve"> ki jih izpolnjujejo kulturne inštitucije. </w:t>
      </w:r>
    </w:p>
    <w:p w:rsidR="00C71FCE" w:rsidRDefault="00C71FCE" w:rsidP="00DE703C">
      <w:pPr>
        <w:pStyle w:val="Podnaslov2"/>
      </w:pPr>
    </w:p>
    <w:p w:rsidR="00C71FCE" w:rsidRDefault="00C71FCE" w:rsidP="00DE703C">
      <w:pPr>
        <w:pStyle w:val="Podnaslov2"/>
      </w:pPr>
      <w:bookmarkStart w:id="218" w:name="_Toc489859826"/>
      <w:bookmarkStart w:id="219" w:name="_Toc490047589"/>
      <w:bookmarkStart w:id="220" w:name="_Toc490599953"/>
      <w:bookmarkStart w:id="221" w:name="_Toc506192083"/>
      <w:r w:rsidRPr="007F1E49">
        <w:t>Radijski in televizijski programi</w:t>
      </w:r>
      <w:bookmarkEnd w:id="218"/>
      <w:bookmarkEnd w:id="219"/>
      <w:bookmarkEnd w:id="220"/>
      <w:bookmarkEnd w:id="221"/>
    </w:p>
    <w:p w:rsidR="00C71FCE" w:rsidRDefault="00C71FCE" w:rsidP="00DE703C">
      <w:r>
        <w:t xml:space="preserve">Leta 2015 je </w:t>
      </w:r>
      <w:r w:rsidRPr="00251218">
        <w:t xml:space="preserve">je v Sloveniji delovalo 86 radijskih </w:t>
      </w:r>
      <w:r>
        <w:t xml:space="preserve">in 61 televizijskih programov. Število obojih se je v obdobju 2004–2015 povečalo za 30 (TV) oz. 40 % (RA). Naraslo je tudi število ur programa, a pri radijskem programu le v absolutnem smislu, saj se povprečno število ur na radijski program zmanjšuje od leta 2010 naprej </w:t>
      </w:r>
      <w:r w:rsidR="005329CC">
        <w:t>(grafa 16 in 17).</w:t>
      </w:r>
    </w:p>
    <w:p w:rsidR="004D4C53" w:rsidRDefault="004D4C53">
      <w:pPr>
        <w:rPr>
          <w:b/>
        </w:rPr>
      </w:pPr>
      <w:bookmarkStart w:id="222" w:name="_Toc490053372"/>
      <w:bookmarkStart w:id="223" w:name="_Toc490053743"/>
      <w:r>
        <w:br w:type="page"/>
      </w:r>
    </w:p>
    <w:p w:rsidR="00C71FCE" w:rsidRDefault="00656F44" w:rsidP="00DE703C">
      <w:pPr>
        <w:pStyle w:val="Naslovtabele"/>
      </w:pPr>
      <w:bookmarkStart w:id="224" w:name="_Toc490600015"/>
      <w:r>
        <w:lastRenderedPageBreak/>
        <w:t>Graf 16</w:t>
      </w:r>
      <w:r w:rsidR="00C71FCE">
        <w:t>: Število radijskih programov in njihovih ur (2004–2015)</w:t>
      </w:r>
      <w:r w:rsidR="006A1288">
        <w:t>*</w:t>
      </w:r>
      <w:bookmarkEnd w:id="222"/>
      <w:bookmarkEnd w:id="223"/>
      <w:bookmarkEnd w:id="224"/>
    </w:p>
    <w:p w:rsidR="00C71FCE" w:rsidRDefault="00C71FCE" w:rsidP="00DE703C">
      <w:r>
        <w:rPr>
          <w:noProof/>
          <w:lang w:eastAsia="sl-SI"/>
        </w:rPr>
        <w:drawing>
          <wp:inline distT="0" distB="0" distL="0" distR="0" wp14:anchorId="558A01A3" wp14:editId="2A6DABEC">
            <wp:extent cx="5880735" cy="2473960"/>
            <wp:effectExtent l="0" t="0" r="12065" b="0"/>
            <wp:docPr id="21"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C71FCE" w:rsidRDefault="00C71FCE" w:rsidP="00DE1E54">
      <w:pPr>
        <w:pStyle w:val="Podpispodtabeloaligrafom"/>
        <w:spacing w:after="0"/>
      </w:pPr>
      <w:bookmarkStart w:id="225" w:name="OLE_LINK2"/>
      <w:r>
        <w:t>Vir: Statistični urad RS.</w:t>
      </w:r>
    </w:p>
    <w:p w:rsidR="00C71FCE" w:rsidRDefault="00C71FCE" w:rsidP="00DE703C">
      <w:pPr>
        <w:pStyle w:val="Podpispodtabeloaligrafom"/>
      </w:pPr>
      <w:r>
        <w:t>*</w:t>
      </w:r>
      <w:r w:rsidRPr="000447C3">
        <w:t xml:space="preserve"> Število radijskih programov se je v letu 2010 v primerjavi z letom 2009 zmanjšalo zaradi zmanjšanega obsega internetne distribucije radijskih programov.</w:t>
      </w:r>
      <w:bookmarkEnd w:id="225"/>
    </w:p>
    <w:p w:rsidR="00C71FCE" w:rsidRDefault="00C71FCE" w:rsidP="00DE703C">
      <w:pPr>
        <w:pStyle w:val="Podpispodtabeloaligrafom"/>
      </w:pPr>
    </w:p>
    <w:p w:rsidR="00C71FCE" w:rsidRDefault="00656F44" w:rsidP="00DE703C">
      <w:pPr>
        <w:pStyle w:val="Naslovtabele"/>
      </w:pPr>
      <w:bookmarkStart w:id="226" w:name="_Toc490053373"/>
      <w:bookmarkStart w:id="227" w:name="_Toc490053744"/>
      <w:bookmarkStart w:id="228" w:name="_Toc490600016"/>
      <w:r>
        <w:t>Graf 17</w:t>
      </w:r>
      <w:r w:rsidR="00C71FCE">
        <w:t>: Število televizijskih programov in njihovih ur (2004–2015)</w:t>
      </w:r>
      <w:bookmarkEnd w:id="226"/>
      <w:bookmarkEnd w:id="227"/>
      <w:bookmarkEnd w:id="228"/>
    </w:p>
    <w:p w:rsidR="00C71FCE" w:rsidRPr="00D0657A" w:rsidRDefault="00C71FCE" w:rsidP="00DE703C">
      <w:pPr>
        <w:rPr>
          <w:b/>
        </w:rPr>
      </w:pPr>
      <w:r w:rsidRPr="00D0657A">
        <w:rPr>
          <w:b/>
          <w:noProof/>
          <w:lang w:eastAsia="sl-SI"/>
        </w:rPr>
        <w:drawing>
          <wp:inline distT="0" distB="0" distL="0" distR="0" wp14:anchorId="4C69512E" wp14:editId="7F5C2062">
            <wp:extent cx="5944235" cy="2448560"/>
            <wp:effectExtent l="0" t="0" r="0" b="0"/>
            <wp:docPr id="25"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C71FCE" w:rsidRDefault="00C71FCE" w:rsidP="00DE703C">
      <w:pPr>
        <w:pStyle w:val="Podpispodtabeloaligrafom"/>
      </w:pPr>
      <w:r>
        <w:t>Vir: Statistični urad RS.</w:t>
      </w:r>
    </w:p>
    <w:p w:rsidR="004D4C53" w:rsidRDefault="004D4C53" w:rsidP="00DE703C"/>
    <w:p w:rsidR="00C71FCE" w:rsidRDefault="00C71FCE" w:rsidP="00DE703C">
      <w:r>
        <w:t xml:space="preserve">Oglejmo si še glavne trende v </w:t>
      </w:r>
      <w:r w:rsidRPr="00900D4D">
        <w:t>zvrsteh</w:t>
      </w:r>
      <w:r>
        <w:t xml:space="preserve"> r</w:t>
      </w:r>
      <w:r w:rsidR="00C13ADD">
        <w:t>adijskega programa. V tabeli 22</w:t>
      </w:r>
      <w:r>
        <w:t xml:space="preserve"> vidimo, da se je v obdobju 2004–2015 spremenila osnovna struktura predvajanih vsebin: »vsebinski« del radijskega programa se je skrčil na račun oglasov in promocijskih programov. Struktura vsebinskega dela radijskega programa pa se ni spremenila bistveno – malo se je povečal odstotek glasbe (ki sicer zaseda 68 % vsebinskega programskega časa) in nekaj zmanjšal </w:t>
      </w:r>
      <w:proofErr w:type="spellStart"/>
      <w:r>
        <w:t>odsotek</w:t>
      </w:r>
      <w:proofErr w:type="spellEnd"/>
      <w:r>
        <w:t xml:space="preserve"> govornega programa (ki sicer obsega 18 % vsebinskega programa), ostalo pa je bolj ali manj enako kot pred leti. </w:t>
      </w:r>
    </w:p>
    <w:p w:rsidR="00C71FCE" w:rsidRDefault="00C71FCE" w:rsidP="00DE703C"/>
    <w:p w:rsidR="00C71FCE" w:rsidRDefault="00C71FCE" w:rsidP="00DE703C">
      <w:pPr>
        <w:sectPr w:rsidR="00C71FCE" w:rsidSect="00DE703C">
          <w:pgSz w:w="11907" w:h="16839" w:code="9"/>
          <w:pgMar w:top="1417" w:right="1417" w:bottom="1417" w:left="1417" w:header="708" w:footer="708" w:gutter="0"/>
          <w:cols w:space="708"/>
          <w:docGrid w:linePitch="360"/>
        </w:sectPr>
      </w:pPr>
    </w:p>
    <w:p w:rsidR="00C71FCE" w:rsidRDefault="006D2D21" w:rsidP="00DE703C">
      <w:pPr>
        <w:pStyle w:val="Naslovtabele"/>
      </w:pPr>
      <w:bookmarkStart w:id="229" w:name="_Toc490053374"/>
      <w:bookmarkStart w:id="230" w:name="_Toc490053745"/>
      <w:bookmarkStart w:id="231" w:name="_Toc490600017"/>
      <w:r>
        <w:lastRenderedPageBreak/>
        <w:t>Tabela 22</w:t>
      </w:r>
      <w:r w:rsidR="00C71FCE">
        <w:t>: Ure radijskega programa</w:t>
      </w:r>
      <w:r w:rsidR="00B053EF">
        <w:t xml:space="preserve"> (2004–2015)</w:t>
      </w:r>
      <w:r w:rsidR="00E57FD5">
        <w:t>*</w:t>
      </w:r>
      <w:bookmarkEnd w:id="229"/>
      <w:bookmarkEnd w:id="230"/>
      <w:bookmarkEnd w:id="231"/>
    </w:p>
    <w:tbl>
      <w:tblPr>
        <w:tblW w:w="5004" w:type="pct"/>
        <w:tblInd w:w="-5" w:type="dxa"/>
        <w:tblLook w:val="04A0" w:firstRow="1" w:lastRow="0" w:firstColumn="1" w:lastColumn="0" w:noHBand="0" w:noVBand="1"/>
      </w:tblPr>
      <w:tblGrid>
        <w:gridCol w:w="4627"/>
        <w:gridCol w:w="1065"/>
        <w:gridCol w:w="906"/>
        <w:gridCol w:w="906"/>
        <w:gridCol w:w="905"/>
        <w:gridCol w:w="905"/>
        <w:gridCol w:w="908"/>
        <w:gridCol w:w="908"/>
        <w:gridCol w:w="908"/>
        <w:gridCol w:w="908"/>
        <w:gridCol w:w="908"/>
        <w:gridCol w:w="908"/>
        <w:gridCol w:w="846"/>
      </w:tblGrid>
      <w:tr w:rsidR="00C71FCE" w:rsidRPr="008A7003" w:rsidTr="009C59DA">
        <w:trPr>
          <w:trHeight w:hRule="exact" w:val="340"/>
          <w:tblHeader/>
        </w:trPr>
        <w:tc>
          <w:tcPr>
            <w:tcW w:w="1482" w:type="pct"/>
            <w:tcBorders>
              <w:top w:val="single" w:sz="4" w:space="0" w:color="4472C4"/>
              <w:left w:val="single" w:sz="4" w:space="0" w:color="4472C4"/>
              <w:bottom w:val="nil"/>
              <w:right w:val="nil"/>
            </w:tcBorders>
            <w:shd w:val="clear" w:color="auto" w:fill="9BBB59" w:themeFill="accent3"/>
            <w:hideMark/>
          </w:tcPr>
          <w:p w:rsidR="00C71FCE" w:rsidRPr="009C59DA" w:rsidRDefault="00C71FCE" w:rsidP="00DE703C">
            <w:pPr>
              <w:rPr>
                <w:rFonts w:ascii="Arial Narrow" w:hAnsi="Arial Narrow" w:cs="ArialMT"/>
                <w:b/>
                <w:bCs/>
                <w:color w:val="FFFFFF" w:themeColor="background1"/>
                <w:sz w:val="16"/>
                <w:szCs w:val="16"/>
                <w:lang w:val="en-GB" w:eastAsia="en-GB"/>
              </w:rPr>
            </w:pPr>
            <w:r w:rsidRPr="009C59DA">
              <w:rPr>
                <w:rFonts w:ascii="Arial Narrow" w:hAnsi="Arial Narrow" w:cs="ArialMT"/>
                <w:b/>
                <w:bCs/>
                <w:color w:val="FFFFFF" w:themeColor="background1"/>
                <w:sz w:val="16"/>
                <w:szCs w:val="16"/>
                <w:lang w:val="en-GB" w:eastAsia="en-GB"/>
              </w:rPr>
              <w:t>PROGRAM</w:t>
            </w:r>
          </w:p>
        </w:tc>
        <w:tc>
          <w:tcPr>
            <w:tcW w:w="341" w:type="pct"/>
            <w:tcBorders>
              <w:top w:val="single" w:sz="4" w:space="0" w:color="4472C4"/>
              <w:left w:val="nil"/>
              <w:bottom w:val="nil"/>
              <w:right w:val="nil"/>
            </w:tcBorders>
            <w:shd w:val="clear" w:color="auto" w:fill="9BBB59" w:themeFill="accent3"/>
            <w:hideMark/>
          </w:tcPr>
          <w:p w:rsidR="00C71FCE" w:rsidRPr="009C59DA" w:rsidRDefault="00C71FCE" w:rsidP="00DE703C">
            <w:pPr>
              <w:rPr>
                <w:rFonts w:ascii="Arial Narrow" w:hAnsi="Arial Narrow" w:cs="ArialMT"/>
                <w:b/>
                <w:bCs/>
                <w:color w:val="FFFFFF" w:themeColor="background1"/>
                <w:sz w:val="16"/>
                <w:szCs w:val="16"/>
                <w:lang w:val="en-GB" w:eastAsia="en-GB"/>
              </w:rPr>
            </w:pPr>
            <w:r w:rsidRPr="009C59DA">
              <w:rPr>
                <w:rFonts w:ascii="Arial Narrow" w:hAnsi="Arial Narrow" w:cs="ArialMT"/>
                <w:b/>
                <w:bCs/>
                <w:color w:val="FFFFFF" w:themeColor="background1"/>
                <w:sz w:val="16"/>
                <w:szCs w:val="16"/>
                <w:lang w:val="en-GB" w:eastAsia="en-GB"/>
              </w:rPr>
              <w:t>2004</w:t>
            </w:r>
          </w:p>
        </w:tc>
        <w:tc>
          <w:tcPr>
            <w:tcW w:w="290" w:type="pct"/>
            <w:tcBorders>
              <w:top w:val="single" w:sz="4" w:space="0" w:color="4472C4"/>
              <w:left w:val="nil"/>
              <w:bottom w:val="nil"/>
              <w:right w:val="nil"/>
            </w:tcBorders>
            <w:shd w:val="clear" w:color="auto" w:fill="9BBB59" w:themeFill="accent3"/>
            <w:hideMark/>
          </w:tcPr>
          <w:p w:rsidR="00C71FCE" w:rsidRPr="009C59DA" w:rsidRDefault="00C71FCE" w:rsidP="00DE703C">
            <w:pPr>
              <w:rPr>
                <w:rFonts w:ascii="Arial Narrow" w:hAnsi="Arial Narrow" w:cs="ArialMT"/>
                <w:b/>
                <w:bCs/>
                <w:color w:val="FFFFFF" w:themeColor="background1"/>
                <w:sz w:val="16"/>
                <w:szCs w:val="16"/>
                <w:lang w:val="en-GB" w:eastAsia="en-GB"/>
              </w:rPr>
            </w:pPr>
            <w:r w:rsidRPr="009C59DA">
              <w:rPr>
                <w:rFonts w:ascii="Arial Narrow" w:hAnsi="Arial Narrow" w:cs="ArialMT"/>
                <w:b/>
                <w:bCs/>
                <w:color w:val="FFFFFF" w:themeColor="background1"/>
                <w:sz w:val="16"/>
                <w:szCs w:val="16"/>
                <w:lang w:val="en-GB" w:eastAsia="en-GB"/>
              </w:rPr>
              <w:t>2005</w:t>
            </w:r>
          </w:p>
        </w:tc>
        <w:tc>
          <w:tcPr>
            <w:tcW w:w="290" w:type="pct"/>
            <w:tcBorders>
              <w:top w:val="single" w:sz="4" w:space="0" w:color="4472C4"/>
              <w:left w:val="nil"/>
              <w:bottom w:val="nil"/>
              <w:right w:val="nil"/>
            </w:tcBorders>
            <w:shd w:val="clear" w:color="auto" w:fill="9BBB59" w:themeFill="accent3"/>
            <w:hideMark/>
          </w:tcPr>
          <w:p w:rsidR="00C71FCE" w:rsidRPr="009C59DA" w:rsidRDefault="00C71FCE" w:rsidP="00DE703C">
            <w:pPr>
              <w:rPr>
                <w:rFonts w:ascii="Arial Narrow" w:hAnsi="Arial Narrow" w:cs="ArialMT"/>
                <w:b/>
                <w:bCs/>
                <w:color w:val="FFFFFF" w:themeColor="background1"/>
                <w:sz w:val="16"/>
                <w:szCs w:val="16"/>
                <w:lang w:val="en-GB" w:eastAsia="en-GB"/>
              </w:rPr>
            </w:pPr>
            <w:r w:rsidRPr="009C59DA">
              <w:rPr>
                <w:rFonts w:ascii="Arial Narrow" w:hAnsi="Arial Narrow" w:cs="ArialMT"/>
                <w:b/>
                <w:bCs/>
                <w:color w:val="FFFFFF" w:themeColor="background1"/>
                <w:sz w:val="16"/>
                <w:szCs w:val="16"/>
                <w:lang w:val="en-GB" w:eastAsia="en-GB"/>
              </w:rPr>
              <w:t>2006</w:t>
            </w:r>
          </w:p>
        </w:tc>
        <w:tc>
          <w:tcPr>
            <w:tcW w:w="290" w:type="pct"/>
            <w:tcBorders>
              <w:top w:val="single" w:sz="4" w:space="0" w:color="4472C4"/>
              <w:left w:val="nil"/>
              <w:bottom w:val="nil"/>
              <w:right w:val="nil"/>
            </w:tcBorders>
            <w:shd w:val="clear" w:color="auto" w:fill="9BBB59" w:themeFill="accent3"/>
            <w:hideMark/>
          </w:tcPr>
          <w:p w:rsidR="00C71FCE" w:rsidRPr="009C59DA" w:rsidRDefault="00C71FCE" w:rsidP="00DE703C">
            <w:pPr>
              <w:rPr>
                <w:rFonts w:ascii="Arial Narrow" w:hAnsi="Arial Narrow" w:cs="ArialMT"/>
                <w:b/>
                <w:bCs/>
                <w:color w:val="FFFFFF" w:themeColor="background1"/>
                <w:sz w:val="16"/>
                <w:szCs w:val="16"/>
                <w:lang w:val="en-GB" w:eastAsia="en-GB"/>
              </w:rPr>
            </w:pPr>
            <w:r w:rsidRPr="009C59DA">
              <w:rPr>
                <w:rFonts w:ascii="Arial Narrow" w:hAnsi="Arial Narrow" w:cs="ArialMT"/>
                <w:b/>
                <w:bCs/>
                <w:color w:val="FFFFFF" w:themeColor="background1"/>
                <w:sz w:val="16"/>
                <w:szCs w:val="16"/>
                <w:lang w:val="en-GB" w:eastAsia="en-GB"/>
              </w:rPr>
              <w:t>2007</w:t>
            </w:r>
          </w:p>
        </w:tc>
        <w:tc>
          <w:tcPr>
            <w:tcW w:w="290" w:type="pct"/>
            <w:tcBorders>
              <w:top w:val="single" w:sz="4" w:space="0" w:color="4472C4"/>
              <w:left w:val="nil"/>
              <w:bottom w:val="nil"/>
              <w:right w:val="nil"/>
            </w:tcBorders>
            <w:shd w:val="clear" w:color="auto" w:fill="9BBB59" w:themeFill="accent3"/>
            <w:hideMark/>
          </w:tcPr>
          <w:p w:rsidR="00C71FCE" w:rsidRPr="009C59DA" w:rsidRDefault="00C71FCE" w:rsidP="00DE703C">
            <w:pPr>
              <w:rPr>
                <w:rFonts w:ascii="Arial Narrow" w:hAnsi="Arial Narrow" w:cs="ArialMT"/>
                <w:b/>
                <w:bCs/>
                <w:color w:val="FFFFFF" w:themeColor="background1"/>
                <w:sz w:val="16"/>
                <w:szCs w:val="16"/>
                <w:lang w:val="en-GB" w:eastAsia="en-GB"/>
              </w:rPr>
            </w:pPr>
            <w:r w:rsidRPr="009C59DA">
              <w:rPr>
                <w:rFonts w:ascii="Arial Narrow" w:hAnsi="Arial Narrow" w:cs="ArialMT"/>
                <w:b/>
                <w:bCs/>
                <w:color w:val="FFFFFF" w:themeColor="background1"/>
                <w:sz w:val="16"/>
                <w:szCs w:val="16"/>
                <w:lang w:val="en-GB" w:eastAsia="en-GB"/>
              </w:rPr>
              <w:t>2008</w:t>
            </w:r>
          </w:p>
        </w:tc>
        <w:tc>
          <w:tcPr>
            <w:tcW w:w="291" w:type="pct"/>
            <w:tcBorders>
              <w:top w:val="single" w:sz="4" w:space="0" w:color="4472C4"/>
              <w:left w:val="nil"/>
              <w:bottom w:val="nil"/>
              <w:right w:val="nil"/>
            </w:tcBorders>
            <w:shd w:val="clear" w:color="auto" w:fill="9BBB59" w:themeFill="accent3"/>
            <w:hideMark/>
          </w:tcPr>
          <w:p w:rsidR="00C71FCE" w:rsidRPr="009C59DA" w:rsidRDefault="00C71FCE" w:rsidP="00DE703C">
            <w:pPr>
              <w:rPr>
                <w:rFonts w:ascii="Arial Narrow" w:hAnsi="Arial Narrow" w:cs="ArialMT"/>
                <w:b/>
                <w:bCs/>
                <w:color w:val="FFFFFF" w:themeColor="background1"/>
                <w:sz w:val="16"/>
                <w:szCs w:val="16"/>
                <w:lang w:val="en-GB" w:eastAsia="en-GB"/>
              </w:rPr>
            </w:pPr>
            <w:r w:rsidRPr="009C59DA">
              <w:rPr>
                <w:rFonts w:ascii="Arial Narrow" w:hAnsi="Arial Narrow" w:cs="ArialMT"/>
                <w:b/>
                <w:bCs/>
                <w:color w:val="FFFFFF" w:themeColor="background1"/>
                <w:sz w:val="16"/>
                <w:szCs w:val="16"/>
                <w:lang w:val="en-GB" w:eastAsia="en-GB"/>
              </w:rPr>
              <w:t>2009</w:t>
            </w:r>
          </w:p>
        </w:tc>
        <w:tc>
          <w:tcPr>
            <w:tcW w:w="291" w:type="pct"/>
            <w:tcBorders>
              <w:top w:val="single" w:sz="4" w:space="0" w:color="4472C4"/>
              <w:left w:val="nil"/>
              <w:bottom w:val="nil"/>
              <w:right w:val="nil"/>
            </w:tcBorders>
            <w:shd w:val="clear" w:color="auto" w:fill="9BBB59" w:themeFill="accent3"/>
            <w:hideMark/>
          </w:tcPr>
          <w:p w:rsidR="00C71FCE" w:rsidRPr="009C59DA" w:rsidRDefault="00C71FCE" w:rsidP="00DE703C">
            <w:pPr>
              <w:rPr>
                <w:rFonts w:ascii="Arial Narrow" w:hAnsi="Arial Narrow" w:cs="ArialMT"/>
                <w:b/>
                <w:bCs/>
                <w:color w:val="FFFFFF" w:themeColor="background1"/>
                <w:sz w:val="16"/>
                <w:szCs w:val="16"/>
                <w:lang w:val="en-GB" w:eastAsia="en-GB"/>
              </w:rPr>
            </w:pPr>
            <w:r w:rsidRPr="009C59DA">
              <w:rPr>
                <w:rFonts w:ascii="Arial Narrow" w:hAnsi="Arial Narrow" w:cs="ArialMT"/>
                <w:b/>
                <w:bCs/>
                <w:color w:val="FFFFFF" w:themeColor="background1"/>
                <w:sz w:val="16"/>
                <w:szCs w:val="16"/>
                <w:lang w:val="en-GB" w:eastAsia="en-GB"/>
              </w:rPr>
              <w:t>2010</w:t>
            </w:r>
          </w:p>
        </w:tc>
        <w:tc>
          <w:tcPr>
            <w:tcW w:w="291" w:type="pct"/>
            <w:tcBorders>
              <w:top w:val="single" w:sz="4" w:space="0" w:color="4472C4"/>
              <w:left w:val="nil"/>
              <w:bottom w:val="nil"/>
              <w:right w:val="nil"/>
            </w:tcBorders>
            <w:shd w:val="clear" w:color="auto" w:fill="9BBB59" w:themeFill="accent3"/>
            <w:hideMark/>
          </w:tcPr>
          <w:p w:rsidR="00C71FCE" w:rsidRPr="009C59DA" w:rsidRDefault="00C71FCE" w:rsidP="00DE703C">
            <w:pPr>
              <w:rPr>
                <w:rFonts w:ascii="Arial Narrow" w:hAnsi="Arial Narrow" w:cs="ArialMT"/>
                <w:b/>
                <w:bCs/>
                <w:color w:val="FFFFFF" w:themeColor="background1"/>
                <w:sz w:val="16"/>
                <w:szCs w:val="16"/>
                <w:lang w:val="en-GB" w:eastAsia="en-GB"/>
              </w:rPr>
            </w:pPr>
            <w:r w:rsidRPr="009C59DA">
              <w:rPr>
                <w:rFonts w:ascii="Arial Narrow" w:hAnsi="Arial Narrow" w:cs="ArialMT"/>
                <w:b/>
                <w:bCs/>
                <w:color w:val="FFFFFF" w:themeColor="background1"/>
                <w:sz w:val="16"/>
                <w:szCs w:val="16"/>
                <w:lang w:val="en-GB" w:eastAsia="en-GB"/>
              </w:rPr>
              <w:t>2011</w:t>
            </w:r>
          </w:p>
        </w:tc>
        <w:tc>
          <w:tcPr>
            <w:tcW w:w="291" w:type="pct"/>
            <w:tcBorders>
              <w:top w:val="single" w:sz="4" w:space="0" w:color="4472C4"/>
              <w:left w:val="nil"/>
              <w:bottom w:val="nil"/>
              <w:right w:val="nil"/>
            </w:tcBorders>
            <w:shd w:val="clear" w:color="auto" w:fill="9BBB59" w:themeFill="accent3"/>
            <w:hideMark/>
          </w:tcPr>
          <w:p w:rsidR="00C71FCE" w:rsidRPr="009C59DA" w:rsidRDefault="00C71FCE" w:rsidP="00DE703C">
            <w:pPr>
              <w:rPr>
                <w:rFonts w:ascii="Arial Narrow" w:hAnsi="Arial Narrow" w:cs="ArialMT"/>
                <w:b/>
                <w:bCs/>
                <w:color w:val="FFFFFF" w:themeColor="background1"/>
                <w:sz w:val="16"/>
                <w:szCs w:val="16"/>
                <w:lang w:val="en-GB" w:eastAsia="en-GB"/>
              </w:rPr>
            </w:pPr>
            <w:r w:rsidRPr="009C59DA">
              <w:rPr>
                <w:rFonts w:ascii="Arial Narrow" w:hAnsi="Arial Narrow" w:cs="ArialMT"/>
                <w:b/>
                <w:bCs/>
                <w:color w:val="FFFFFF" w:themeColor="background1"/>
                <w:sz w:val="16"/>
                <w:szCs w:val="16"/>
                <w:lang w:val="en-GB" w:eastAsia="en-GB"/>
              </w:rPr>
              <w:t>2012</w:t>
            </w:r>
          </w:p>
        </w:tc>
        <w:tc>
          <w:tcPr>
            <w:tcW w:w="291" w:type="pct"/>
            <w:tcBorders>
              <w:top w:val="single" w:sz="4" w:space="0" w:color="4472C4"/>
              <w:left w:val="nil"/>
              <w:bottom w:val="nil"/>
              <w:right w:val="nil"/>
            </w:tcBorders>
            <w:shd w:val="clear" w:color="auto" w:fill="9BBB59" w:themeFill="accent3"/>
            <w:hideMark/>
          </w:tcPr>
          <w:p w:rsidR="00C71FCE" w:rsidRPr="009C59DA" w:rsidRDefault="00C71FCE" w:rsidP="00DE703C">
            <w:pPr>
              <w:rPr>
                <w:rFonts w:ascii="Arial Narrow" w:hAnsi="Arial Narrow" w:cs="ArialMT"/>
                <w:b/>
                <w:bCs/>
                <w:color w:val="FFFFFF" w:themeColor="background1"/>
                <w:sz w:val="16"/>
                <w:szCs w:val="16"/>
                <w:lang w:val="en-GB" w:eastAsia="en-GB"/>
              </w:rPr>
            </w:pPr>
            <w:r w:rsidRPr="009C59DA">
              <w:rPr>
                <w:rFonts w:ascii="Arial Narrow" w:hAnsi="Arial Narrow" w:cs="ArialMT"/>
                <w:b/>
                <w:bCs/>
                <w:color w:val="FFFFFF" w:themeColor="background1"/>
                <w:sz w:val="16"/>
                <w:szCs w:val="16"/>
                <w:lang w:val="en-GB" w:eastAsia="en-GB"/>
              </w:rPr>
              <w:t>2013</w:t>
            </w:r>
          </w:p>
        </w:tc>
        <w:tc>
          <w:tcPr>
            <w:tcW w:w="291" w:type="pct"/>
            <w:tcBorders>
              <w:top w:val="single" w:sz="4" w:space="0" w:color="4472C4"/>
              <w:left w:val="nil"/>
              <w:bottom w:val="nil"/>
              <w:right w:val="nil"/>
            </w:tcBorders>
            <w:shd w:val="clear" w:color="auto" w:fill="9BBB59" w:themeFill="accent3"/>
            <w:hideMark/>
          </w:tcPr>
          <w:p w:rsidR="00C71FCE" w:rsidRPr="009C59DA" w:rsidRDefault="00C71FCE" w:rsidP="00DE703C">
            <w:pPr>
              <w:rPr>
                <w:rFonts w:ascii="Arial Narrow" w:hAnsi="Arial Narrow" w:cs="ArialMT"/>
                <w:b/>
                <w:bCs/>
                <w:color w:val="FFFFFF" w:themeColor="background1"/>
                <w:sz w:val="16"/>
                <w:szCs w:val="16"/>
                <w:lang w:val="en-GB" w:eastAsia="en-GB"/>
              </w:rPr>
            </w:pPr>
            <w:r w:rsidRPr="009C59DA">
              <w:rPr>
                <w:rFonts w:ascii="Arial Narrow" w:hAnsi="Arial Narrow" w:cs="ArialMT"/>
                <w:b/>
                <w:bCs/>
                <w:color w:val="FFFFFF" w:themeColor="background1"/>
                <w:sz w:val="16"/>
                <w:szCs w:val="16"/>
                <w:lang w:val="en-GB" w:eastAsia="en-GB"/>
              </w:rPr>
              <w:t>2014</w:t>
            </w:r>
          </w:p>
        </w:tc>
        <w:tc>
          <w:tcPr>
            <w:tcW w:w="271" w:type="pct"/>
            <w:tcBorders>
              <w:top w:val="single" w:sz="4" w:space="0" w:color="4472C4"/>
              <w:left w:val="nil"/>
              <w:bottom w:val="nil"/>
              <w:right w:val="single" w:sz="4" w:space="0" w:color="4472C4"/>
            </w:tcBorders>
            <w:shd w:val="clear" w:color="auto" w:fill="9BBB59" w:themeFill="accent3"/>
            <w:hideMark/>
          </w:tcPr>
          <w:p w:rsidR="00C71FCE" w:rsidRPr="009C59DA" w:rsidRDefault="00C71FCE" w:rsidP="00DE703C">
            <w:pPr>
              <w:rPr>
                <w:rFonts w:ascii="Arial Narrow" w:hAnsi="Arial Narrow" w:cs="ArialMT"/>
                <w:b/>
                <w:bCs/>
                <w:color w:val="FFFFFF" w:themeColor="background1"/>
                <w:sz w:val="16"/>
                <w:szCs w:val="16"/>
                <w:lang w:val="en-GB" w:eastAsia="en-GB"/>
              </w:rPr>
            </w:pPr>
            <w:r w:rsidRPr="009C59DA">
              <w:rPr>
                <w:rFonts w:ascii="Arial Narrow" w:hAnsi="Arial Narrow" w:cs="ArialMT"/>
                <w:b/>
                <w:bCs/>
                <w:color w:val="FFFFFF" w:themeColor="background1"/>
                <w:sz w:val="16"/>
                <w:szCs w:val="16"/>
                <w:lang w:val="en-GB" w:eastAsia="en-GB"/>
              </w:rPr>
              <w:t>2015</w:t>
            </w:r>
          </w:p>
        </w:tc>
      </w:tr>
      <w:tr w:rsidR="009C59DA" w:rsidRPr="008A7003" w:rsidTr="009C59DA">
        <w:trPr>
          <w:trHeight w:hRule="exact" w:val="340"/>
          <w:tblHeader/>
        </w:trPr>
        <w:tc>
          <w:tcPr>
            <w:tcW w:w="1482" w:type="pct"/>
            <w:tcBorders>
              <w:top w:val="single" w:sz="4" w:space="0" w:color="000000"/>
              <w:left w:val="single" w:sz="4" w:space="0" w:color="000000"/>
              <w:bottom w:val="nil"/>
              <w:right w:val="nil"/>
            </w:tcBorders>
            <w:shd w:val="clear" w:color="auto" w:fill="9BBB59" w:themeFill="accent3"/>
          </w:tcPr>
          <w:p w:rsidR="009C59DA" w:rsidRPr="009C59DA" w:rsidRDefault="009C59DA" w:rsidP="00DE703C">
            <w:pPr>
              <w:rPr>
                <w:rFonts w:ascii="Arial Narrow" w:hAnsi="Arial Narrow" w:cs="ArialMT"/>
                <w:b/>
                <w:bCs/>
                <w:color w:val="FFFFFF" w:themeColor="background1"/>
                <w:sz w:val="16"/>
                <w:szCs w:val="16"/>
                <w:u w:val="single"/>
                <w:lang w:val="en-GB" w:eastAsia="en-GB"/>
              </w:rPr>
            </w:pPr>
          </w:p>
        </w:tc>
        <w:tc>
          <w:tcPr>
            <w:tcW w:w="341" w:type="pct"/>
            <w:tcBorders>
              <w:top w:val="single" w:sz="4" w:space="0" w:color="000000"/>
              <w:left w:val="single" w:sz="4" w:space="0" w:color="000000"/>
              <w:bottom w:val="nil"/>
              <w:right w:val="nil"/>
            </w:tcBorders>
            <w:shd w:val="clear" w:color="auto" w:fill="9BBB59" w:themeFill="accent3"/>
          </w:tcPr>
          <w:p w:rsidR="009C59DA" w:rsidRPr="009C59DA" w:rsidRDefault="009C59DA" w:rsidP="00DE703C">
            <w:pPr>
              <w:rPr>
                <w:rFonts w:ascii="Arial Narrow" w:hAnsi="Arial Narrow" w:cs="ArialMT"/>
                <w:b/>
                <w:bCs/>
                <w:color w:val="FFFFFF" w:themeColor="background1"/>
                <w:sz w:val="16"/>
                <w:szCs w:val="16"/>
                <w:lang w:val="en-GB" w:eastAsia="en-GB"/>
              </w:rPr>
            </w:pPr>
            <w:proofErr w:type="spellStart"/>
            <w:r w:rsidRPr="009C59DA">
              <w:rPr>
                <w:rFonts w:ascii="Arial Narrow" w:hAnsi="Arial Narrow" w:cs="ArialMT"/>
                <w:b/>
                <w:bCs/>
                <w:color w:val="FFFFFF" w:themeColor="background1"/>
                <w:sz w:val="16"/>
                <w:szCs w:val="16"/>
                <w:lang w:val="en-GB" w:eastAsia="en-GB"/>
              </w:rPr>
              <w:t>Ure</w:t>
            </w:r>
            <w:proofErr w:type="spellEnd"/>
          </w:p>
        </w:tc>
        <w:tc>
          <w:tcPr>
            <w:tcW w:w="290" w:type="pct"/>
            <w:tcBorders>
              <w:top w:val="single" w:sz="4" w:space="0" w:color="000000"/>
              <w:left w:val="single" w:sz="4" w:space="0" w:color="000000"/>
              <w:bottom w:val="nil"/>
              <w:right w:val="nil"/>
            </w:tcBorders>
            <w:shd w:val="clear" w:color="auto" w:fill="9BBB59" w:themeFill="accent3"/>
          </w:tcPr>
          <w:p w:rsidR="009C59DA" w:rsidRPr="009C59DA" w:rsidRDefault="009C59DA" w:rsidP="00DE703C">
            <w:pPr>
              <w:rPr>
                <w:rFonts w:ascii="Arial Narrow" w:hAnsi="Arial Narrow" w:cs="ArialMT"/>
                <w:b/>
                <w:bCs/>
                <w:color w:val="FFFFFF" w:themeColor="background1"/>
                <w:sz w:val="16"/>
                <w:szCs w:val="16"/>
                <w:lang w:val="en-GB" w:eastAsia="en-GB"/>
              </w:rPr>
            </w:pPr>
            <w:proofErr w:type="spellStart"/>
            <w:r w:rsidRPr="009C59DA">
              <w:rPr>
                <w:rFonts w:ascii="Arial Narrow" w:hAnsi="Arial Narrow" w:cs="ArialMT"/>
                <w:b/>
                <w:bCs/>
                <w:color w:val="FFFFFF" w:themeColor="background1"/>
                <w:sz w:val="16"/>
                <w:szCs w:val="16"/>
                <w:lang w:val="en-GB" w:eastAsia="en-GB"/>
              </w:rPr>
              <w:t>Ure</w:t>
            </w:r>
            <w:proofErr w:type="spellEnd"/>
          </w:p>
        </w:tc>
        <w:tc>
          <w:tcPr>
            <w:tcW w:w="290" w:type="pct"/>
            <w:tcBorders>
              <w:top w:val="single" w:sz="4" w:space="0" w:color="000000"/>
              <w:left w:val="single" w:sz="4" w:space="0" w:color="000000"/>
              <w:bottom w:val="nil"/>
              <w:right w:val="nil"/>
            </w:tcBorders>
            <w:shd w:val="clear" w:color="auto" w:fill="9BBB59" w:themeFill="accent3"/>
          </w:tcPr>
          <w:p w:rsidR="009C59DA" w:rsidRPr="009C59DA" w:rsidRDefault="009C59DA" w:rsidP="00DE703C">
            <w:pPr>
              <w:rPr>
                <w:rFonts w:ascii="Arial Narrow" w:hAnsi="Arial Narrow" w:cs="ArialMT"/>
                <w:b/>
                <w:bCs/>
                <w:color w:val="FFFFFF" w:themeColor="background1"/>
                <w:sz w:val="16"/>
                <w:szCs w:val="16"/>
                <w:lang w:val="en-GB" w:eastAsia="en-GB"/>
              </w:rPr>
            </w:pPr>
            <w:proofErr w:type="spellStart"/>
            <w:r w:rsidRPr="009C59DA">
              <w:rPr>
                <w:rFonts w:ascii="Arial Narrow" w:hAnsi="Arial Narrow" w:cs="ArialMT"/>
                <w:b/>
                <w:bCs/>
                <w:color w:val="FFFFFF" w:themeColor="background1"/>
                <w:sz w:val="16"/>
                <w:szCs w:val="16"/>
                <w:lang w:val="en-GB" w:eastAsia="en-GB"/>
              </w:rPr>
              <w:t>Ure</w:t>
            </w:r>
            <w:proofErr w:type="spellEnd"/>
          </w:p>
        </w:tc>
        <w:tc>
          <w:tcPr>
            <w:tcW w:w="290" w:type="pct"/>
            <w:tcBorders>
              <w:top w:val="single" w:sz="4" w:space="0" w:color="000000"/>
              <w:left w:val="single" w:sz="4" w:space="0" w:color="000000"/>
              <w:bottom w:val="nil"/>
              <w:right w:val="nil"/>
            </w:tcBorders>
            <w:shd w:val="clear" w:color="auto" w:fill="9BBB59" w:themeFill="accent3"/>
          </w:tcPr>
          <w:p w:rsidR="009C59DA" w:rsidRPr="009C59DA" w:rsidRDefault="009C59DA" w:rsidP="00DE703C">
            <w:pPr>
              <w:rPr>
                <w:rFonts w:ascii="Arial Narrow" w:hAnsi="Arial Narrow" w:cs="ArialMT"/>
                <w:b/>
                <w:bCs/>
                <w:color w:val="FFFFFF" w:themeColor="background1"/>
                <w:sz w:val="16"/>
                <w:szCs w:val="16"/>
                <w:lang w:val="en-GB" w:eastAsia="en-GB"/>
              </w:rPr>
            </w:pPr>
            <w:proofErr w:type="spellStart"/>
            <w:r w:rsidRPr="009C59DA">
              <w:rPr>
                <w:rFonts w:ascii="Arial Narrow" w:hAnsi="Arial Narrow" w:cs="ArialMT"/>
                <w:b/>
                <w:bCs/>
                <w:color w:val="FFFFFF" w:themeColor="background1"/>
                <w:sz w:val="16"/>
                <w:szCs w:val="16"/>
                <w:lang w:val="en-GB" w:eastAsia="en-GB"/>
              </w:rPr>
              <w:t>Ure</w:t>
            </w:r>
            <w:proofErr w:type="spellEnd"/>
          </w:p>
        </w:tc>
        <w:tc>
          <w:tcPr>
            <w:tcW w:w="290" w:type="pct"/>
            <w:tcBorders>
              <w:top w:val="single" w:sz="4" w:space="0" w:color="000000"/>
              <w:left w:val="single" w:sz="4" w:space="0" w:color="000000"/>
              <w:bottom w:val="nil"/>
              <w:right w:val="nil"/>
            </w:tcBorders>
            <w:shd w:val="clear" w:color="auto" w:fill="9BBB59" w:themeFill="accent3"/>
          </w:tcPr>
          <w:p w:rsidR="009C59DA" w:rsidRPr="009C59DA" w:rsidRDefault="009C59DA" w:rsidP="00DE703C">
            <w:pPr>
              <w:rPr>
                <w:rFonts w:ascii="Arial Narrow" w:hAnsi="Arial Narrow" w:cs="ArialMT"/>
                <w:b/>
                <w:bCs/>
                <w:color w:val="FFFFFF" w:themeColor="background1"/>
                <w:sz w:val="16"/>
                <w:szCs w:val="16"/>
                <w:lang w:val="en-GB" w:eastAsia="en-GB"/>
              </w:rPr>
            </w:pPr>
            <w:proofErr w:type="spellStart"/>
            <w:r w:rsidRPr="009C59DA">
              <w:rPr>
                <w:rFonts w:ascii="Arial Narrow" w:hAnsi="Arial Narrow" w:cs="ArialMT"/>
                <w:b/>
                <w:bCs/>
                <w:color w:val="FFFFFF" w:themeColor="background1"/>
                <w:sz w:val="16"/>
                <w:szCs w:val="16"/>
                <w:lang w:val="en-GB" w:eastAsia="en-GB"/>
              </w:rPr>
              <w:t>Ure</w:t>
            </w:r>
            <w:proofErr w:type="spellEnd"/>
          </w:p>
        </w:tc>
        <w:tc>
          <w:tcPr>
            <w:tcW w:w="291" w:type="pct"/>
            <w:tcBorders>
              <w:top w:val="single" w:sz="4" w:space="0" w:color="000000"/>
              <w:left w:val="single" w:sz="4" w:space="0" w:color="000000"/>
              <w:bottom w:val="nil"/>
              <w:right w:val="nil"/>
            </w:tcBorders>
            <w:shd w:val="clear" w:color="auto" w:fill="9BBB59" w:themeFill="accent3"/>
          </w:tcPr>
          <w:p w:rsidR="009C59DA" w:rsidRPr="009C59DA" w:rsidRDefault="009C59DA" w:rsidP="00DE703C">
            <w:pPr>
              <w:rPr>
                <w:rFonts w:ascii="Arial Narrow" w:hAnsi="Arial Narrow" w:cs="ArialMT"/>
                <w:b/>
                <w:bCs/>
                <w:color w:val="FFFFFF" w:themeColor="background1"/>
                <w:sz w:val="16"/>
                <w:szCs w:val="16"/>
                <w:lang w:val="en-GB" w:eastAsia="en-GB"/>
              </w:rPr>
            </w:pPr>
            <w:proofErr w:type="spellStart"/>
            <w:r w:rsidRPr="009C59DA">
              <w:rPr>
                <w:rFonts w:ascii="Arial Narrow" w:hAnsi="Arial Narrow" w:cs="ArialMT"/>
                <w:b/>
                <w:bCs/>
                <w:color w:val="FFFFFF" w:themeColor="background1"/>
                <w:sz w:val="16"/>
                <w:szCs w:val="16"/>
                <w:lang w:val="en-GB" w:eastAsia="en-GB"/>
              </w:rPr>
              <w:t>Ure</w:t>
            </w:r>
            <w:proofErr w:type="spellEnd"/>
          </w:p>
        </w:tc>
        <w:tc>
          <w:tcPr>
            <w:tcW w:w="291" w:type="pct"/>
            <w:tcBorders>
              <w:top w:val="single" w:sz="4" w:space="0" w:color="000000"/>
              <w:left w:val="single" w:sz="4" w:space="0" w:color="000000"/>
              <w:bottom w:val="nil"/>
              <w:right w:val="nil"/>
            </w:tcBorders>
            <w:shd w:val="clear" w:color="auto" w:fill="9BBB59" w:themeFill="accent3"/>
          </w:tcPr>
          <w:p w:rsidR="009C59DA" w:rsidRPr="009C59DA" w:rsidRDefault="009C59DA" w:rsidP="00DE703C">
            <w:pPr>
              <w:rPr>
                <w:rFonts w:ascii="Arial Narrow" w:hAnsi="Arial Narrow" w:cs="ArialMT"/>
                <w:b/>
                <w:bCs/>
                <w:color w:val="FFFFFF" w:themeColor="background1"/>
                <w:sz w:val="16"/>
                <w:szCs w:val="16"/>
                <w:lang w:val="en-GB" w:eastAsia="en-GB"/>
              </w:rPr>
            </w:pPr>
            <w:proofErr w:type="spellStart"/>
            <w:r w:rsidRPr="009C59DA">
              <w:rPr>
                <w:rFonts w:ascii="Arial Narrow" w:hAnsi="Arial Narrow" w:cs="ArialMT"/>
                <w:b/>
                <w:bCs/>
                <w:color w:val="FFFFFF" w:themeColor="background1"/>
                <w:sz w:val="16"/>
                <w:szCs w:val="16"/>
                <w:lang w:val="en-GB" w:eastAsia="en-GB"/>
              </w:rPr>
              <w:t>Ure</w:t>
            </w:r>
            <w:proofErr w:type="spellEnd"/>
          </w:p>
        </w:tc>
        <w:tc>
          <w:tcPr>
            <w:tcW w:w="291" w:type="pct"/>
            <w:tcBorders>
              <w:top w:val="single" w:sz="4" w:space="0" w:color="000000"/>
              <w:left w:val="single" w:sz="4" w:space="0" w:color="000000"/>
              <w:bottom w:val="nil"/>
              <w:right w:val="nil"/>
            </w:tcBorders>
            <w:shd w:val="clear" w:color="auto" w:fill="9BBB59" w:themeFill="accent3"/>
          </w:tcPr>
          <w:p w:rsidR="009C59DA" w:rsidRPr="009C59DA" w:rsidRDefault="009C59DA" w:rsidP="00DE703C">
            <w:pPr>
              <w:rPr>
                <w:rFonts w:ascii="Arial Narrow" w:hAnsi="Arial Narrow" w:cs="ArialMT"/>
                <w:b/>
                <w:bCs/>
                <w:color w:val="FFFFFF" w:themeColor="background1"/>
                <w:sz w:val="16"/>
                <w:szCs w:val="16"/>
                <w:lang w:val="en-GB" w:eastAsia="en-GB"/>
              </w:rPr>
            </w:pPr>
            <w:proofErr w:type="spellStart"/>
            <w:r w:rsidRPr="009C59DA">
              <w:rPr>
                <w:rFonts w:ascii="Arial Narrow" w:hAnsi="Arial Narrow" w:cs="ArialMT"/>
                <w:b/>
                <w:bCs/>
                <w:color w:val="FFFFFF" w:themeColor="background1"/>
                <w:sz w:val="16"/>
                <w:szCs w:val="16"/>
                <w:lang w:val="en-GB" w:eastAsia="en-GB"/>
              </w:rPr>
              <w:t>Ure</w:t>
            </w:r>
            <w:proofErr w:type="spellEnd"/>
          </w:p>
        </w:tc>
        <w:tc>
          <w:tcPr>
            <w:tcW w:w="291" w:type="pct"/>
            <w:tcBorders>
              <w:top w:val="single" w:sz="4" w:space="0" w:color="000000"/>
              <w:left w:val="single" w:sz="4" w:space="0" w:color="000000"/>
              <w:bottom w:val="nil"/>
              <w:right w:val="nil"/>
            </w:tcBorders>
            <w:shd w:val="clear" w:color="auto" w:fill="9BBB59" w:themeFill="accent3"/>
          </w:tcPr>
          <w:p w:rsidR="009C59DA" w:rsidRPr="009C59DA" w:rsidRDefault="009C59DA" w:rsidP="00DE703C">
            <w:pPr>
              <w:rPr>
                <w:rFonts w:ascii="Arial Narrow" w:hAnsi="Arial Narrow" w:cs="ArialMT"/>
                <w:b/>
                <w:bCs/>
                <w:color w:val="FFFFFF" w:themeColor="background1"/>
                <w:sz w:val="16"/>
                <w:szCs w:val="16"/>
                <w:lang w:val="en-GB" w:eastAsia="en-GB"/>
              </w:rPr>
            </w:pPr>
            <w:proofErr w:type="spellStart"/>
            <w:r w:rsidRPr="009C59DA">
              <w:rPr>
                <w:rFonts w:ascii="Arial Narrow" w:hAnsi="Arial Narrow" w:cs="ArialMT"/>
                <w:b/>
                <w:bCs/>
                <w:color w:val="FFFFFF" w:themeColor="background1"/>
                <w:sz w:val="16"/>
                <w:szCs w:val="16"/>
                <w:lang w:val="en-GB" w:eastAsia="en-GB"/>
              </w:rPr>
              <w:t>Ure</w:t>
            </w:r>
            <w:proofErr w:type="spellEnd"/>
          </w:p>
        </w:tc>
        <w:tc>
          <w:tcPr>
            <w:tcW w:w="291" w:type="pct"/>
            <w:tcBorders>
              <w:top w:val="single" w:sz="4" w:space="0" w:color="000000"/>
              <w:left w:val="single" w:sz="4" w:space="0" w:color="000000"/>
              <w:bottom w:val="nil"/>
              <w:right w:val="nil"/>
            </w:tcBorders>
            <w:shd w:val="clear" w:color="auto" w:fill="9BBB59" w:themeFill="accent3"/>
          </w:tcPr>
          <w:p w:rsidR="009C59DA" w:rsidRPr="009C59DA" w:rsidRDefault="009C59DA" w:rsidP="00DE703C">
            <w:pPr>
              <w:rPr>
                <w:rFonts w:ascii="Arial Narrow" w:hAnsi="Arial Narrow" w:cs="ArialMT"/>
                <w:b/>
                <w:bCs/>
                <w:color w:val="FFFFFF" w:themeColor="background1"/>
                <w:sz w:val="16"/>
                <w:szCs w:val="16"/>
                <w:lang w:val="en-GB" w:eastAsia="en-GB"/>
              </w:rPr>
            </w:pPr>
            <w:proofErr w:type="spellStart"/>
            <w:r w:rsidRPr="009C59DA">
              <w:rPr>
                <w:rFonts w:ascii="Arial Narrow" w:hAnsi="Arial Narrow" w:cs="ArialMT"/>
                <w:b/>
                <w:bCs/>
                <w:color w:val="FFFFFF" w:themeColor="background1"/>
                <w:sz w:val="16"/>
                <w:szCs w:val="16"/>
                <w:lang w:val="en-GB" w:eastAsia="en-GB"/>
              </w:rPr>
              <w:t>Ure</w:t>
            </w:r>
            <w:proofErr w:type="spellEnd"/>
          </w:p>
        </w:tc>
        <w:tc>
          <w:tcPr>
            <w:tcW w:w="291" w:type="pct"/>
            <w:tcBorders>
              <w:top w:val="single" w:sz="4" w:space="0" w:color="000000"/>
              <w:left w:val="single" w:sz="4" w:space="0" w:color="000000"/>
              <w:bottom w:val="nil"/>
              <w:right w:val="nil"/>
            </w:tcBorders>
            <w:shd w:val="clear" w:color="auto" w:fill="9BBB59" w:themeFill="accent3"/>
          </w:tcPr>
          <w:p w:rsidR="009C59DA" w:rsidRPr="009C59DA" w:rsidRDefault="009C59DA" w:rsidP="00DE703C">
            <w:pPr>
              <w:rPr>
                <w:rFonts w:ascii="Arial Narrow" w:hAnsi="Arial Narrow" w:cs="ArialMT"/>
                <w:b/>
                <w:bCs/>
                <w:color w:val="FFFFFF" w:themeColor="background1"/>
                <w:sz w:val="16"/>
                <w:szCs w:val="16"/>
                <w:lang w:val="en-GB" w:eastAsia="en-GB"/>
              </w:rPr>
            </w:pPr>
            <w:proofErr w:type="spellStart"/>
            <w:r w:rsidRPr="009C59DA">
              <w:rPr>
                <w:rFonts w:ascii="Arial Narrow" w:hAnsi="Arial Narrow" w:cs="ArialMT"/>
                <w:b/>
                <w:bCs/>
                <w:color w:val="FFFFFF" w:themeColor="background1"/>
                <w:sz w:val="16"/>
                <w:szCs w:val="16"/>
                <w:lang w:val="en-GB" w:eastAsia="en-GB"/>
              </w:rPr>
              <w:t>Ure</w:t>
            </w:r>
            <w:proofErr w:type="spellEnd"/>
          </w:p>
        </w:tc>
        <w:tc>
          <w:tcPr>
            <w:tcW w:w="271" w:type="pct"/>
            <w:tcBorders>
              <w:top w:val="single" w:sz="4" w:space="0" w:color="000000"/>
              <w:left w:val="single" w:sz="4" w:space="0" w:color="000000"/>
              <w:bottom w:val="nil"/>
              <w:right w:val="single" w:sz="4" w:space="0" w:color="000000"/>
            </w:tcBorders>
            <w:shd w:val="clear" w:color="auto" w:fill="9BBB59" w:themeFill="accent3"/>
          </w:tcPr>
          <w:p w:rsidR="009C59DA" w:rsidRPr="009C59DA" w:rsidRDefault="009C59DA" w:rsidP="00DE703C">
            <w:pPr>
              <w:rPr>
                <w:rFonts w:ascii="Arial Narrow" w:hAnsi="Arial Narrow" w:cs="ArialMT"/>
                <w:b/>
                <w:bCs/>
                <w:color w:val="FFFFFF" w:themeColor="background1"/>
                <w:sz w:val="16"/>
                <w:szCs w:val="16"/>
                <w:lang w:val="en-GB" w:eastAsia="en-GB"/>
              </w:rPr>
            </w:pPr>
            <w:proofErr w:type="spellStart"/>
            <w:r w:rsidRPr="009C59DA">
              <w:rPr>
                <w:rFonts w:ascii="Arial Narrow" w:hAnsi="Arial Narrow" w:cs="ArialMT"/>
                <w:b/>
                <w:bCs/>
                <w:color w:val="FFFFFF" w:themeColor="background1"/>
                <w:sz w:val="16"/>
                <w:szCs w:val="16"/>
                <w:lang w:val="en-GB" w:eastAsia="en-GB"/>
              </w:rPr>
              <w:t>Ure</w:t>
            </w:r>
            <w:proofErr w:type="spellEnd"/>
          </w:p>
        </w:tc>
      </w:tr>
      <w:tr w:rsidR="00C71FCE" w:rsidRPr="008A7003" w:rsidTr="00DE703C">
        <w:trPr>
          <w:trHeight w:hRule="exact" w:val="340"/>
          <w:tblHeader/>
        </w:trPr>
        <w:tc>
          <w:tcPr>
            <w:tcW w:w="1482" w:type="pct"/>
            <w:tcBorders>
              <w:top w:val="single" w:sz="4" w:space="0" w:color="000000"/>
              <w:left w:val="single" w:sz="4" w:space="0" w:color="000000"/>
              <w:bottom w:val="nil"/>
              <w:right w:val="nil"/>
            </w:tcBorders>
            <w:shd w:val="clear" w:color="auto" w:fill="auto"/>
            <w:hideMark/>
          </w:tcPr>
          <w:p w:rsidR="00C71FCE" w:rsidRPr="008A7003" w:rsidRDefault="00C71FCE" w:rsidP="00DE703C">
            <w:pPr>
              <w:rPr>
                <w:rFonts w:ascii="Arial Narrow" w:hAnsi="Arial Narrow" w:cs="ArialMT"/>
                <w:b/>
                <w:bCs/>
                <w:color w:val="000000"/>
                <w:sz w:val="16"/>
                <w:szCs w:val="16"/>
                <w:u w:val="single"/>
                <w:lang w:val="en-GB" w:eastAsia="en-GB"/>
              </w:rPr>
            </w:pPr>
            <w:r w:rsidRPr="008A7003">
              <w:rPr>
                <w:rFonts w:ascii="Arial Narrow" w:hAnsi="Arial Narrow" w:cs="ArialMT"/>
                <w:b/>
                <w:bCs/>
                <w:color w:val="000000"/>
                <w:sz w:val="16"/>
                <w:szCs w:val="16"/>
                <w:u w:val="single"/>
                <w:lang w:val="en-GB" w:eastAsia="en-GB"/>
              </w:rPr>
              <w:t>PREDVAJANO SKUPAJ (1.+2.+3.+4.)</w:t>
            </w:r>
          </w:p>
        </w:tc>
        <w:tc>
          <w:tcPr>
            <w:tcW w:w="341" w:type="pct"/>
            <w:tcBorders>
              <w:top w:val="single" w:sz="4" w:space="0" w:color="000000"/>
              <w:left w:val="single" w:sz="4" w:space="0" w:color="000000"/>
              <w:bottom w:val="nil"/>
              <w:right w:val="nil"/>
            </w:tcBorders>
            <w:shd w:val="clear" w:color="auto" w:fill="auto"/>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454.440</w:t>
            </w:r>
          </w:p>
        </w:tc>
        <w:tc>
          <w:tcPr>
            <w:tcW w:w="290" w:type="pct"/>
            <w:tcBorders>
              <w:top w:val="single" w:sz="4" w:space="0" w:color="000000"/>
              <w:left w:val="single" w:sz="4" w:space="0" w:color="000000"/>
              <w:bottom w:val="nil"/>
              <w:right w:val="nil"/>
            </w:tcBorders>
            <w:shd w:val="clear" w:color="auto" w:fill="auto"/>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468.110</w:t>
            </w:r>
          </w:p>
        </w:tc>
        <w:tc>
          <w:tcPr>
            <w:tcW w:w="290" w:type="pct"/>
            <w:tcBorders>
              <w:top w:val="single" w:sz="4" w:space="0" w:color="000000"/>
              <w:left w:val="single" w:sz="4" w:space="0" w:color="000000"/>
              <w:bottom w:val="nil"/>
              <w:right w:val="nil"/>
            </w:tcBorders>
            <w:shd w:val="clear" w:color="auto" w:fill="auto"/>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492.620</w:t>
            </w:r>
          </w:p>
        </w:tc>
        <w:tc>
          <w:tcPr>
            <w:tcW w:w="290" w:type="pct"/>
            <w:tcBorders>
              <w:top w:val="single" w:sz="4" w:space="0" w:color="000000"/>
              <w:left w:val="single" w:sz="4" w:space="0" w:color="000000"/>
              <w:bottom w:val="nil"/>
              <w:right w:val="nil"/>
            </w:tcBorders>
            <w:shd w:val="clear" w:color="auto" w:fill="auto"/>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556.111</w:t>
            </w:r>
          </w:p>
        </w:tc>
        <w:tc>
          <w:tcPr>
            <w:tcW w:w="290" w:type="pct"/>
            <w:tcBorders>
              <w:top w:val="single" w:sz="4" w:space="0" w:color="000000"/>
              <w:left w:val="single" w:sz="4" w:space="0" w:color="000000"/>
              <w:bottom w:val="nil"/>
              <w:right w:val="nil"/>
            </w:tcBorders>
            <w:shd w:val="clear" w:color="auto" w:fill="auto"/>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616.959</w:t>
            </w:r>
          </w:p>
        </w:tc>
        <w:tc>
          <w:tcPr>
            <w:tcW w:w="291" w:type="pct"/>
            <w:tcBorders>
              <w:top w:val="single" w:sz="4" w:space="0" w:color="000000"/>
              <w:left w:val="single" w:sz="4" w:space="0" w:color="000000"/>
              <w:bottom w:val="nil"/>
              <w:right w:val="nil"/>
            </w:tcBorders>
            <w:shd w:val="clear" w:color="auto" w:fill="auto"/>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580.232</w:t>
            </w:r>
          </w:p>
        </w:tc>
        <w:tc>
          <w:tcPr>
            <w:tcW w:w="291" w:type="pct"/>
            <w:tcBorders>
              <w:top w:val="single" w:sz="4" w:space="0" w:color="000000"/>
              <w:left w:val="single" w:sz="4" w:space="0" w:color="000000"/>
              <w:bottom w:val="nil"/>
              <w:right w:val="nil"/>
            </w:tcBorders>
            <w:shd w:val="clear" w:color="auto" w:fill="auto"/>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612.627</w:t>
            </w:r>
          </w:p>
        </w:tc>
        <w:tc>
          <w:tcPr>
            <w:tcW w:w="291" w:type="pct"/>
            <w:tcBorders>
              <w:top w:val="single" w:sz="4" w:space="0" w:color="000000"/>
              <w:left w:val="single" w:sz="4" w:space="0" w:color="000000"/>
              <w:bottom w:val="nil"/>
              <w:right w:val="nil"/>
            </w:tcBorders>
            <w:shd w:val="clear" w:color="auto" w:fill="auto"/>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743.673</w:t>
            </w:r>
          </w:p>
        </w:tc>
        <w:tc>
          <w:tcPr>
            <w:tcW w:w="291" w:type="pct"/>
            <w:tcBorders>
              <w:top w:val="single" w:sz="4" w:space="0" w:color="000000"/>
              <w:left w:val="single" w:sz="4" w:space="0" w:color="000000"/>
              <w:bottom w:val="nil"/>
              <w:right w:val="nil"/>
            </w:tcBorders>
            <w:shd w:val="clear" w:color="auto" w:fill="auto"/>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713.280</w:t>
            </w:r>
          </w:p>
        </w:tc>
        <w:tc>
          <w:tcPr>
            <w:tcW w:w="291" w:type="pct"/>
            <w:tcBorders>
              <w:top w:val="single" w:sz="4" w:space="0" w:color="000000"/>
              <w:left w:val="single" w:sz="4" w:space="0" w:color="000000"/>
              <w:bottom w:val="nil"/>
              <w:right w:val="nil"/>
            </w:tcBorders>
            <w:shd w:val="clear" w:color="auto" w:fill="auto"/>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623.040</w:t>
            </w:r>
          </w:p>
        </w:tc>
        <w:tc>
          <w:tcPr>
            <w:tcW w:w="291" w:type="pct"/>
            <w:tcBorders>
              <w:top w:val="single" w:sz="4" w:space="0" w:color="000000"/>
              <w:left w:val="single" w:sz="4" w:space="0" w:color="000000"/>
              <w:bottom w:val="nil"/>
              <w:right w:val="nil"/>
            </w:tcBorders>
            <w:shd w:val="clear" w:color="auto" w:fill="auto"/>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540.536</w:t>
            </w:r>
          </w:p>
        </w:tc>
        <w:tc>
          <w:tcPr>
            <w:tcW w:w="271" w:type="pct"/>
            <w:tcBorders>
              <w:top w:val="single" w:sz="4" w:space="0" w:color="000000"/>
              <w:left w:val="single" w:sz="4" w:space="0" w:color="000000"/>
              <w:bottom w:val="nil"/>
              <w:right w:val="single" w:sz="4" w:space="0" w:color="000000"/>
            </w:tcBorders>
            <w:shd w:val="clear" w:color="auto" w:fill="auto"/>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539.214</w:t>
            </w:r>
          </w:p>
        </w:tc>
      </w:tr>
      <w:tr w:rsidR="00C71FCE" w:rsidRPr="008A7003" w:rsidTr="009C59DA">
        <w:trPr>
          <w:trHeight w:hRule="exact" w:val="340"/>
          <w:tblHeader/>
        </w:trPr>
        <w:tc>
          <w:tcPr>
            <w:tcW w:w="1482" w:type="pct"/>
            <w:tcBorders>
              <w:top w:val="single" w:sz="4" w:space="0" w:color="000000"/>
              <w:left w:val="single" w:sz="4" w:space="0" w:color="000000"/>
              <w:bottom w:val="nil"/>
              <w:right w:val="nil"/>
            </w:tcBorders>
            <w:shd w:val="clear" w:color="auto" w:fill="9BBB59" w:themeFill="accent3"/>
            <w:hideMark/>
          </w:tcPr>
          <w:p w:rsidR="00C71FCE" w:rsidRPr="008A7003" w:rsidRDefault="00C71FCE" w:rsidP="00DE703C">
            <w:pPr>
              <w:rPr>
                <w:rFonts w:ascii="Arial Narrow" w:hAnsi="Arial Narrow" w:cs="ArialMT"/>
                <w:b/>
                <w:bCs/>
                <w:i/>
                <w:iCs/>
                <w:color w:val="000000"/>
                <w:sz w:val="16"/>
                <w:szCs w:val="16"/>
                <w:lang w:val="en-GB" w:eastAsia="en-GB"/>
              </w:rPr>
            </w:pPr>
            <w:r w:rsidRPr="008A7003">
              <w:rPr>
                <w:rFonts w:ascii="Arial Narrow" w:hAnsi="Arial Narrow" w:cs="ArialMT"/>
                <w:b/>
                <w:bCs/>
                <w:i/>
                <w:iCs/>
                <w:color w:val="000000"/>
                <w:sz w:val="16"/>
                <w:szCs w:val="16"/>
                <w:lang w:val="en-GB" w:eastAsia="en-GB"/>
              </w:rPr>
              <w:t>1. VSEBINSKI DEL RADIJSKEGA PROGRAMA</w:t>
            </w:r>
          </w:p>
        </w:tc>
        <w:tc>
          <w:tcPr>
            <w:tcW w:w="341" w:type="pct"/>
            <w:tcBorders>
              <w:top w:val="single" w:sz="4" w:space="0" w:color="000000"/>
              <w:left w:val="single" w:sz="4" w:space="0" w:color="000000"/>
              <w:bottom w:val="nil"/>
              <w:right w:val="nil"/>
            </w:tcBorders>
            <w:shd w:val="clear" w:color="auto" w:fill="9BBB59" w:themeFill="accent3"/>
            <w:hideMark/>
          </w:tcPr>
          <w:p w:rsidR="00C71FCE" w:rsidRPr="008A7003" w:rsidRDefault="00C71FCE" w:rsidP="00DE703C">
            <w:pPr>
              <w:rPr>
                <w:rFonts w:ascii="Arial Narrow" w:hAnsi="Arial Narrow" w:cs="ArialMT"/>
                <w:b/>
                <w:bCs/>
                <w:i/>
                <w:iCs/>
                <w:color w:val="000000"/>
                <w:sz w:val="16"/>
                <w:szCs w:val="16"/>
                <w:lang w:val="en-GB" w:eastAsia="en-GB"/>
              </w:rPr>
            </w:pPr>
            <w:r w:rsidRPr="008A7003">
              <w:rPr>
                <w:rFonts w:ascii="Arial Narrow" w:hAnsi="Arial Narrow" w:cs="ArialMT"/>
                <w:b/>
                <w:bCs/>
                <w:i/>
                <w:iCs/>
                <w:color w:val="000000"/>
                <w:sz w:val="16"/>
                <w:szCs w:val="16"/>
                <w:lang w:val="en-GB" w:eastAsia="en-GB"/>
              </w:rPr>
              <w:t>428.920</w:t>
            </w:r>
          </w:p>
        </w:tc>
        <w:tc>
          <w:tcPr>
            <w:tcW w:w="290" w:type="pct"/>
            <w:tcBorders>
              <w:top w:val="single" w:sz="4" w:space="0" w:color="000000"/>
              <w:left w:val="single" w:sz="4" w:space="0" w:color="000000"/>
              <w:bottom w:val="nil"/>
              <w:right w:val="nil"/>
            </w:tcBorders>
            <w:shd w:val="clear" w:color="auto" w:fill="9BBB59" w:themeFill="accent3"/>
            <w:hideMark/>
          </w:tcPr>
          <w:p w:rsidR="00C71FCE" w:rsidRPr="008A7003" w:rsidRDefault="00C71FCE" w:rsidP="00DE703C">
            <w:pPr>
              <w:rPr>
                <w:rFonts w:ascii="Arial Narrow" w:hAnsi="Arial Narrow" w:cs="ArialMT"/>
                <w:b/>
                <w:bCs/>
                <w:i/>
                <w:iCs/>
                <w:color w:val="000000"/>
                <w:sz w:val="16"/>
                <w:szCs w:val="16"/>
                <w:lang w:val="en-GB" w:eastAsia="en-GB"/>
              </w:rPr>
            </w:pPr>
            <w:r w:rsidRPr="008A7003">
              <w:rPr>
                <w:rFonts w:ascii="Arial Narrow" w:hAnsi="Arial Narrow" w:cs="ArialMT"/>
                <w:b/>
                <w:bCs/>
                <w:i/>
                <w:iCs/>
                <w:color w:val="000000"/>
                <w:sz w:val="16"/>
                <w:szCs w:val="16"/>
                <w:lang w:val="en-GB" w:eastAsia="en-GB"/>
              </w:rPr>
              <w:t>442.284</w:t>
            </w:r>
          </w:p>
        </w:tc>
        <w:tc>
          <w:tcPr>
            <w:tcW w:w="290" w:type="pct"/>
            <w:tcBorders>
              <w:top w:val="single" w:sz="4" w:space="0" w:color="000000"/>
              <w:left w:val="single" w:sz="4" w:space="0" w:color="000000"/>
              <w:bottom w:val="nil"/>
              <w:right w:val="nil"/>
            </w:tcBorders>
            <w:shd w:val="clear" w:color="auto" w:fill="9BBB59" w:themeFill="accent3"/>
            <w:hideMark/>
          </w:tcPr>
          <w:p w:rsidR="00C71FCE" w:rsidRPr="008A7003" w:rsidRDefault="00C71FCE" w:rsidP="00DE703C">
            <w:pPr>
              <w:rPr>
                <w:rFonts w:ascii="Arial Narrow" w:hAnsi="Arial Narrow" w:cs="ArialMT"/>
                <w:b/>
                <w:bCs/>
                <w:i/>
                <w:iCs/>
                <w:color w:val="000000"/>
                <w:sz w:val="16"/>
                <w:szCs w:val="16"/>
                <w:lang w:val="en-GB" w:eastAsia="en-GB"/>
              </w:rPr>
            </w:pPr>
            <w:r w:rsidRPr="008A7003">
              <w:rPr>
                <w:rFonts w:ascii="Arial Narrow" w:hAnsi="Arial Narrow" w:cs="ArialMT"/>
                <w:b/>
                <w:bCs/>
                <w:i/>
                <w:iCs/>
                <w:color w:val="000000"/>
                <w:sz w:val="16"/>
                <w:szCs w:val="16"/>
                <w:lang w:val="en-GB" w:eastAsia="en-GB"/>
              </w:rPr>
              <w:t>461.982</w:t>
            </w:r>
          </w:p>
        </w:tc>
        <w:tc>
          <w:tcPr>
            <w:tcW w:w="290" w:type="pct"/>
            <w:tcBorders>
              <w:top w:val="single" w:sz="4" w:space="0" w:color="000000"/>
              <w:left w:val="single" w:sz="4" w:space="0" w:color="000000"/>
              <w:bottom w:val="nil"/>
              <w:right w:val="nil"/>
            </w:tcBorders>
            <w:shd w:val="clear" w:color="auto" w:fill="9BBB59" w:themeFill="accent3"/>
            <w:hideMark/>
          </w:tcPr>
          <w:p w:rsidR="00C71FCE" w:rsidRPr="008A7003" w:rsidRDefault="00C71FCE" w:rsidP="00DE703C">
            <w:pPr>
              <w:rPr>
                <w:rFonts w:ascii="Arial Narrow" w:hAnsi="Arial Narrow" w:cs="ArialMT"/>
                <w:b/>
                <w:bCs/>
                <w:i/>
                <w:iCs/>
                <w:color w:val="000000"/>
                <w:sz w:val="16"/>
                <w:szCs w:val="16"/>
                <w:lang w:val="en-GB" w:eastAsia="en-GB"/>
              </w:rPr>
            </w:pPr>
            <w:r w:rsidRPr="008A7003">
              <w:rPr>
                <w:rFonts w:ascii="Arial Narrow" w:hAnsi="Arial Narrow" w:cs="ArialMT"/>
                <w:b/>
                <w:bCs/>
                <w:i/>
                <w:iCs/>
                <w:color w:val="000000"/>
                <w:sz w:val="16"/>
                <w:szCs w:val="16"/>
                <w:lang w:val="en-GB" w:eastAsia="en-GB"/>
              </w:rPr>
              <w:t>514.503</w:t>
            </w:r>
          </w:p>
        </w:tc>
        <w:tc>
          <w:tcPr>
            <w:tcW w:w="290" w:type="pct"/>
            <w:tcBorders>
              <w:top w:val="single" w:sz="4" w:space="0" w:color="000000"/>
              <w:left w:val="single" w:sz="4" w:space="0" w:color="000000"/>
              <w:bottom w:val="nil"/>
              <w:right w:val="nil"/>
            </w:tcBorders>
            <w:shd w:val="clear" w:color="auto" w:fill="9BBB59" w:themeFill="accent3"/>
            <w:hideMark/>
          </w:tcPr>
          <w:p w:rsidR="00C71FCE" w:rsidRPr="008A7003" w:rsidRDefault="00C71FCE" w:rsidP="00DE703C">
            <w:pPr>
              <w:rPr>
                <w:rFonts w:ascii="Arial Narrow" w:hAnsi="Arial Narrow" w:cs="ArialMT"/>
                <w:b/>
                <w:bCs/>
                <w:i/>
                <w:iCs/>
                <w:color w:val="000000"/>
                <w:sz w:val="16"/>
                <w:szCs w:val="16"/>
                <w:lang w:val="en-GB" w:eastAsia="en-GB"/>
              </w:rPr>
            </w:pPr>
            <w:r w:rsidRPr="008A7003">
              <w:rPr>
                <w:rFonts w:ascii="Arial Narrow" w:hAnsi="Arial Narrow" w:cs="ArialMT"/>
                <w:b/>
                <w:bCs/>
                <w:i/>
                <w:iCs/>
                <w:color w:val="000000"/>
                <w:sz w:val="16"/>
                <w:szCs w:val="16"/>
                <w:lang w:val="en-GB" w:eastAsia="en-GB"/>
              </w:rPr>
              <w:t>575.310</w:t>
            </w:r>
          </w:p>
        </w:tc>
        <w:tc>
          <w:tcPr>
            <w:tcW w:w="291" w:type="pct"/>
            <w:tcBorders>
              <w:top w:val="single" w:sz="4" w:space="0" w:color="000000"/>
              <w:left w:val="single" w:sz="4" w:space="0" w:color="000000"/>
              <w:bottom w:val="nil"/>
              <w:right w:val="nil"/>
            </w:tcBorders>
            <w:shd w:val="clear" w:color="auto" w:fill="9BBB59" w:themeFill="accent3"/>
            <w:hideMark/>
          </w:tcPr>
          <w:p w:rsidR="00C71FCE" w:rsidRPr="008A7003" w:rsidRDefault="00C71FCE" w:rsidP="00DE703C">
            <w:pPr>
              <w:rPr>
                <w:rFonts w:ascii="Arial Narrow" w:hAnsi="Arial Narrow" w:cs="ArialMT"/>
                <w:b/>
                <w:bCs/>
                <w:i/>
                <w:iCs/>
                <w:color w:val="000000"/>
                <w:sz w:val="16"/>
                <w:szCs w:val="16"/>
                <w:lang w:val="en-GB" w:eastAsia="en-GB"/>
              </w:rPr>
            </w:pPr>
            <w:r w:rsidRPr="008A7003">
              <w:rPr>
                <w:rFonts w:ascii="Arial Narrow" w:hAnsi="Arial Narrow" w:cs="ArialMT"/>
                <w:b/>
                <w:bCs/>
                <w:i/>
                <w:iCs/>
                <w:color w:val="000000"/>
                <w:sz w:val="16"/>
                <w:szCs w:val="16"/>
                <w:lang w:val="en-GB" w:eastAsia="en-GB"/>
              </w:rPr>
              <w:t>536.888</w:t>
            </w:r>
          </w:p>
        </w:tc>
        <w:tc>
          <w:tcPr>
            <w:tcW w:w="291" w:type="pct"/>
            <w:tcBorders>
              <w:top w:val="single" w:sz="4" w:space="0" w:color="000000"/>
              <w:left w:val="single" w:sz="4" w:space="0" w:color="000000"/>
              <w:bottom w:val="nil"/>
              <w:right w:val="nil"/>
            </w:tcBorders>
            <w:shd w:val="clear" w:color="auto" w:fill="9BBB59" w:themeFill="accent3"/>
            <w:hideMark/>
          </w:tcPr>
          <w:p w:rsidR="00C71FCE" w:rsidRPr="008A7003" w:rsidRDefault="00C71FCE" w:rsidP="00DE703C">
            <w:pPr>
              <w:rPr>
                <w:rFonts w:ascii="Arial Narrow" w:hAnsi="Arial Narrow" w:cs="ArialMT"/>
                <w:b/>
                <w:bCs/>
                <w:i/>
                <w:iCs/>
                <w:color w:val="000000"/>
                <w:sz w:val="16"/>
                <w:szCs w:val="16"/>
                <w:lang w:val="en-GB" w:eastAsia="en-GB"/>
              </w:rPr>
            </w:pPr>
            <w:r w:rsidRPr="008A7003">
              <w:rPr>
                <w:rFonts w:ascii="Arial Narrow" w:hAnsi="Arial Narrow" w:cs="ArialMT"/>
                <w:b/>
                <w:bCs/>
                <w:i/>
                <w:iCs/>
                <w:color w:val="000000"/>
                <w:sz w:val="16"/>
                <w:szCs w:val="16"/>
                <w:lang w:val="en-GB" w:eastAsia="en-GB"/>
              </w:rPr>
              <w:t>563.763</w:t>
            </w:r>
          </w:p>
        </w:tc>
        <w:tc>
          <w:tcPr>
            <w:tcW w:w="291" w:type="pct"/>
            <w:tcBorders>
              <w:top w:val="single" w:sz="4" w:space="0" w:color="000000"/>
              <w:left w:val="single" w:sz="4" w:space="0" w:color="000000"/>
              <w:bottom w:val="nil"/>
              <w:right w:val="nil"/>
            </w:tcBorders>
            <w:shd w:val="clear" w:color="auto" w:fill="9BBB59" w:themeFill="accent3"/>
            <w:hideMark/>
          </w:tcPr>
          <w:p w:rsidR="00C71FCE" w:rsidRPr="008A7003" w:rsidRDefault="00C71FCE" w:rsidP="00DE703C">
            <w:pPr>
              <w:rPr>
                <w:rFonts w:ascii="Arial Narrow" w:hAnsi="Arial Narrow" w:cs="ArialMT"/>
                <w:b/>
                <w:bCs/>
                <w:i/>
                <w:iCs/>
                <w:color w:val="000000"/>
                <w:sz w:val="16"/>
                <w:szCs w:val="16"/>
                <w:lang w:val="en-GB" w:eastAsia="en-GB"/>
              </w:rPr>
            </w:pPr>
            <w:r w:rsidRPr="008A7003">
              <w:rPr>
                <w:rFonts w:ascii="Arial Narrow" w:hAnsi="Arial Narrow" w:cs="ArialMT"/>
                <w:b/>
                <w:bCs/>
                <w:i/>
                <w:iCs/>
                <w:color w:val="000000"/>
                <w:sz w:val="16"/>
                <w:szCs w:val="16"/>
                <w:lang w:val="en-GB" w:eastAsia="en-GB"/>
              </w:rPr>
              <w:t>686.544</w:t>
            </w:r>
          </w:p>
        </w:tc>
        <w:tc>
          <w:tcPr>
            <w:tcW w:w="291" w:type="pct"/>
            <w:tcBorders>
              <w:top w:val="single" w:sz="4" w:space="0" w:color="000000"/>
              <w:left w:val="single" w:sz="4" w:space="0" w:color="000000"/>
              <w:bottom w:val="nil"/>
              <w:right w:val="nil"/>
            </w:tcBorders>
            <w:shd w:val="clear" w:color="auto" w:fill="9BBB59" w:themeFill="accent3"/>
            <w:hideMark/>
          </w:tcPr>
          <w:p w:rsidR="00C71FCE" w:rsidRPr="008A7003" w:rsidRDefault="00C71FCE" w:rsidP="00DE703C">
            <w:pPr>
              <w:rPr>
                <w:rFonts w:ascii="Arial Narrow" w:hAnsi="Arial Narrow" w:cs="ArialMT"/>
                <w:b/>
                <w:bCs/>
                <w:i/>
                <w:iCs/>
                <w:color w:val="000000"/>
                <w:sz w:val="16"/>
                <w:szCs w:val="16"/>
                <w:lang w:val="en-GB" w:eastAsia="en-GB"/>
              </w:rPr>
            </w:pPr>
            <w:r w:rsidRPr="008A7003">
              <w:rPr>
                <w:rFonts w:ascii="Arial Narrow" w:hAnsi="Arial Narrow" w:cs="ArialMT"/>
                <w:b/>
                <w:bCs/>
                <w:i/>
                <w:iCs/>
                <w:color w:val="000000"/>
                <w:sz w:val="16"/>
                <w:szCs w:val="16"/>
                <w:lang w:val="en-GB" w:eastAsia="en-GB"/>
              </w:rPr>
              <w:t>657.340</w:t>
            </w:r>
          </w:p>
        </w:tc>
        <w:tc>
          <w:tcPr>
            <w:tcW w:w="291" w:type="pct"/>
            <w:tcBorders>
              <w:top w:val="single" w:sz="4" w:space="0" w:color="000000"/>
              <w:left w:val="single" w:sz="4" w:space="0" w:color="000000"/>
              <w:bottom w:val="nil"/>
              <w:right w:val="nil"/>
            </w:tcBorders>
            <w:shd w:val="clear" w:color="auto" w:fill="9BBB59" w:themeFill="accent3"/>
            <w:hideMark/>
          </w:tcPr>
          <w:p w:rsidR="00C71FCE" w:rsidRPr="008A7003" w:rsidRDefault="00C71FCE" w:rsidP="00DE703C">
            <w:pPr>
              <w:rPr>
                <w:rFonts w:ascii="Arial Narrow" w:hAnsi="Arial Narrow" w:cs="ArialMT"/>
                <w:b/>
                <w:bCs/>
                <w:i/>
                <w:iCs/>
                <w:color w:val="000000"/>
                <w:sz w:val="16"/>
                <w:szCs w:val="16"/>
                <w:lang w:val="en-GB" w:eastAsia="en-GB"/>
              </w:rPr>
            </w:pPr>
            <w:r w:rsidRPr="008A7003">
              <w:rPr>
                <w:rFonts w:ascii="Arial Narrow" w:hAnsi="Arial Narrow" w:cs="ArialMT"/>
                <w:b/>
                <w:bCs/>
                <w:i/>
                <w:iCs/>
                <w:color w:val="000000"/>
                <w:sz w:val="16"/>
                <w:szCs w:val="16"/>
                <w:lang w:val="en-GB" w:eastAsia="en-GB"/>
              </w:rPr>
              <w:t>567.680</w:t>
            </w:r>
          </w:p>
        </w:tc>
        <w:tc>
          <w:tcPr>
            <w:tcW w:w="291" w:type="pct"/>
            <w:tcBorders>
              <w:top w:val="single" w:sz="4" w:space="0" w:color="000000"/>
              <w:left w:val="single" w:sz="4" w:space="0" w:color="000000"/>
              <w:bottom w:val="nil"/>
              <w:right w:val="nil"/>
            </w:tcBorders>
            <w:shd w:val="clear" w:color="auto" w:fill="9BBB59" w:themeFill="accent3"/>
            <w:hideMark/>
          </w:tcPr>
          <w:p w:rsidR="00C71FCE" w:rsidRPr="008A7003" w:rsidRDefault="00C71FCE" w:rsidP="00DE703C">
            <w:pPr>
              <w:rPr>
                <w:rFonts w:ascii="Arial Narrow" w:hAnsi="Arial Narrow" w:cs="ArialMT"/>
                <w:b/>
                <w:bCs/>
                <w:i/>
                <w:iCs/>
                <w:color w:val="000000"/>
                <w:sz w:val="16"/>
                <w:szCs w:val="16"/>
                <w:lang w:val="en-GB" w:eastAsia="en-GB"/>
              </w:rPr>
            </w:pPr>
            <w:r w:rsidRPr="008A7003">
              <w:rPr>
                <w:rFonts w:ascii="Arial Narrow" w:hAnsi="Arial Narrow" w:cs="ArialMT"/>
                <w:b/>
                <w:bCs/>
                <w:i/>
                <w:iCs/>
                <w:color w:val="000000"/>
                <w:sz w:val="16"/>
                <w:szCs w:val="16"/>
                <w:lang w:val="en-GB" w:eastAsia="en-GB"/>
              </w:rPr>
              <w:t>496.762</w:t>
            </w:r>
          </w:p>
        </w:tc>
        <w:tc>
          <w:tcPr>
            <w:tcW w:w="271" w:type="pct"/>
            <w:tcBorders>
              <w:top w:val="single" w:sz="4" w:space="0" w:color="000000"/>
              <w:left w:val="single" w:sz="4" w:space="0" w:color="000000"/>
              <w:bottom w:val="nil"/>
              <w:right w:val="single" w:sz="4" w:space="0" w:color="000000"/>
            </w:tcBorders>
            <w:shd w:val="clear" w:color="auto" w:fill="9BBB59" w:themeFill="accent3"/>
            <w:hideMark/>
          </w:tcPr>
          <w:p w:rsidR="00C71FCE" w:rsidRPr="008A7003" w:rsidRDefault="00C71FCE" w:rsidP="00DE703C">
            <w:pPr>
              <w:rPr>
                <w:rFonts w:ascii="Arial Narrow" w:hAnsi="Arial Narrow" w:cs="ArialMT"/>
                <w:b/>
                <w:bCs/>
                <w:i/>
                <w:iCs/>
                <w:color w:val="000000"/>
                <w:sz w:val="16"/>
                <w:szCs w:val="16"/>
                <w:lang w:val="en-GB" w:eastAsia="en-GB"/>
              </w:rPr>
            </w:pPr>
            <w:r w:rsidRPr="008A7003">
              <w:rPr>
                <w:rFonts w:ascii="Arial Narrow" w:hAnsi="Arial Narrow" w:cs="ArialMT"/>
                <w:b/>
                <w:bCs/>
                <w:i/>
                <w:iCs/>
                <w:color w:val="000000"/>
                <w:sz w:val="16"/>
                <w:szCs w:val="16"/>
                <w:lang w:val="en-GB" w:eastAsia="en-GB"/>
              </w:rPr>
              <w:t>493.450</w:t>
            </w:r>
          </w:p>
        </w:tc>
      </w:tr>
      <w:tr w:rsidR="00C71FCE" w:rsidRPr="008A7003" w:rsidTr="009C59DA">
        <w:trPr>
          <w:trHeight w:hRule="exact" w:val="340"/>
          <w:tblHeader/>
        </w:trPr>
        <w:tc>
          <w:tcPr>
            <w:tcW w:w="1482" w:type="pct"/>
            <w:tcBorders>
              <w:top w:val="single" w:sz="4" w:space="0" w:color="000000"/>
              <w:left w:val="single" w:sz="4" w:space="0" w:color="000000"/>
              <w:bottom w:val="nil"/>
              <w:right w:val="nil"/>
            </w:tcBorders>
            <w:shd w:val="clear" w:color="auto" w:fill="C2D69B" w:themeFill="accent3" w:themeFillTint="99"/>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 xml:space="preserve">1.1 </w:t>
            </w:r>
            <w:proofErr w:type="spellStart"/>
            <w:r w:rsidRPr="008A7003">
              <w:rPr>
                <w:rFonts w:ascii="Arial Narrow" w:hAnsi="Arial Narrow" w:cs="ArialMT"/>
                <w:b/>
                <w:bCs/>
                <w:color w:val="000000"/>
                <w:sz w:val="16"/>
                <w:szCs w:val="16"/>
                <w:lang w:val="en-GB" w:eastAsia="en-GB"/>
              </w:rPr>
              <w:t>Glasba</w:t>
            </w:r>
            <w:proofErr w:type="spellEnd"/>
          </w:p>
        </w:tc>
        <w:tc>
          <w:tcPr>
            <w:tcW w:w="341" w:type="pct"/>
            <w:tcBorders>
              <w:top w:val="single" w:sz="4" w:space="0" w:color="000000"/>
              <w:left w:val="single" w:sz="4" w:space="0" w:color="000000"/>
              <w:bottom w:val="nil"/>
              <w:right w:val="nil"/>
            </w:tcBorders>
            <w:shd w:val="clear" w:color="auto" w:fill="C2D69B" w:themeFill="accent3" w:themeFillTint="99"/>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287.054</w:t>
            </w:r>
          </w:p>
        </w:tc>
        <w:tc>
          <w:tcPr>
            <w:tcW w:w="290" w:type="pct"/>
            <w:tcBorders>
              <w:top w:val="single" w:sz="4" w:space="0" w:color="000000"/>
              <w:left w:val="single" w:sz="4" w:space="0" w:color="000000"/>
              <w:bottom w:val="nil"/>
              <w:right w:val="nil"/>
            </w:tcBorders>
            <w:shd w:val="clear" w:color="auto" w:fill="C2D69B" w:themeFill="accent3" w:themeFillTint="99"/>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296.364</w:t>
            </w:r>
          </w:p>
        </w:tc>
        <w:tc>
          <w:tcPr>
            <w:tcW w:w="290" w:type="pct"/>
            <w:tcBorders>
              <w:top w:val="single" w:sz="4" w:space="0" w:color="000000"/>
              <w:left w:val="single" w:sz="4" w:space="0" w:color="000000"/>
              <w:bottom w:val="nil"/>
              <w:right w:val="nil"/>
            </w:tcBorders>
            <w:shd w:val="clear" w:color="auto" w:fill="C2D69B" w:themeFill="accent3" w:themeFillTint="99"/>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319.088</w:t>
            </w:r>
          </w:p>
        </w:tc>
        <w:tc>
          <w:tcPr>
            <w:tcW w:w="290" w:type="pct"/>
            <w:tcBorders>
              <w:top w:val="single" w:sz="4" w:space="0" w:color="000000"/>
              <w:left w:val="single" w:sz="4" w:space="0" w:color="000000"/>
              <w:bottom w:val="nil"/>
              <w:right w:val="nil"/>
            </w:tcBorders>
            <w:shd w:val="clear" w:color="auto" w:fill="C2D69B" w:themeFill="accent3" w:themeFillTint="99"/>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344.158</w:t>
            </w:r>
          </w:p>
        </w:tc>
        <w:tc>
          <w:tcPr>
            <w:tcW w:w="290" w:type="pct"/>
            <w:tcBorders>
              <w:top w:val="single" w:sz="4" w:space="0" w:color="000000"/>
              <w:left w:val="single" w:sz="4" w:space="0" w:color="000000"/>
              <w:bottom w:val="nil"/>
              <w:right w:val="nil"/>
            </w:tcBorders>
            <w:shd w:val="clear" w:color="auto" w:fill="C2D69B" w:themeFill="accent3" w:themeFillTint="99"/>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404.319</w:t>
            </w:r>
          </w:p>
        </w:tc>
        <w:tc>
          <w:tcPr>
            <w:tcW w:w="291" w:type="pct"/>
            <w:tcBorders>
              <w:top w:val="single" w:sz="4" w:space="0" w:color="000000"/>
              <w:left w:val="single" w:sz="4" w:space="0" w:color="000000"/>
              <w:bottom w:val="nil"/>
              <w:right w:val="nil"/>
            </w:tcBorders>
            <w:shd w:val="clear" w:color="auto" w:fill="C2D69B" w:themeFill="accent3" w:themeFillTint="99"/>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358.957</w:t>
            </w:r>
          </w:p>
        </w:tc>
        <w:tc>
          <w:tcPr>
            <w:tcW w:w="291" w:type="pct"/>
            <w:tcBorders>
              <w:top w:val="single" w:sz="4" w:space="0" w:color="000000"/>
              <w:left w:val="single" w:sz="4" w:space="0" w:color="000000"/>
              <w:bottom w:val="nil"/>
              <w:right w:val="nil"/>
            </w:tcBorders>
            <w:shd w:val="clear" w:color="auto" w:fill="C2D69B" w:themeFill="accent3" w:themeFillTint="99"/>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373.182</w:t>
            </w:r>
          </w:p>
        </w:tc>
        <w:tc>
          <w:tcPr>
            <w:tcW w:w="291" w:type="pct"/>
            <w:tcBorders>
              <w:top w:val="single" w:sz="4" w:space="0" w:color="000000"/>
              <w:left w:val="single" w:sz="4" w:space="0" w:color="000000"/>
              <w:bottom w:val="nil"/>
              <w:right w:val="nil"/>
            </w:tcBorders>
            <w:shd w:val="clear" w:color="auto" w:fill="C2D69B" w:themeFill="accent3" w:themeFillTint="99"/>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457.580</w:t>
            </w:r>
          </w:p>
        </w:tc>
        <w:tc>
          <w:tcPr>
            <w:tcW w:w="291" w:type="pct"/>
            <w:tcBorders>
              <w:top w:val="single" w:sz="4" w:space="0" w:color="000000"/>
              <w:left w:val="single" w:sz="4" w:space="0" w:color="000000"/>
              <w:bottom w:val="nil"/>
              <w:right w:val="nil"/>
            </w:tcBorders>
            <w:shd w:val="clear" w:color="auto" w:fill="C2D69B" w:themeFill="accent3" w:themeFillTint="99"/>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429.721</w:t>
            </w:r>
          </w:p>
        </w:tc>
        <w:tc>
          <w:tcPr>
            <w:tcW w:w="291" w:type="pct"/>
            <w:tcBorders>
              <w:top w:val="single" w:sz="4" w:space="0" w:color="000000"/>
              <w:left w:val="single" w:sz="4" w:space="0" w:color="000000"/>
              <w:bottom w:val="nil"/>
              <w:right w:val="nil"/>
            </w:tcBorders>
            <w:shd w:val="clear" w:color="auto" w:fill="C2D69B" w:themeFill="accent3" w:themeFillTint="99"/>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383.533</w:t>
            </w:r>
          </w:p>
        </w:tc>
        <w:tc>
          <w:tcPr>
            <w:tcW w:w="291" w:type="pct"/>
            <w:tcBorders>
              <w:top w:val="single" w:sz="4" w:space="0" w:color="000000"/>
              <w:left w:val="single" w:sz="4" w:space="0" w:color="000000"/>
              <w:bottom w:val="nil"/>
              <w:right w:val="nil"/>
            </w:tcBorders>
            <w:shd w:val="clear" w:color="auto" w:fill="C2D69B" w:themeFill="accent3" w:themeFillTint="99"/>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336.837</w:t>
            </w:r>
          </w:p>
        </w:tc>
        <w:tc>
          <w:tcPr>
            <w:tcW w:w="271" w:type="pct"/>
            <w:tcBorders>
              <w:top w:val="single" w:sz="4" w:space="0" w:color="000000"/>
              <w:left w:val="single" w:sz="4" w:space="0" w:color="000000"/>
              <w:bottom w:val="nil"/>
              <w:right w:val="single" w:sz="4" w:space="0" w:color="000000"/>
            </w:tcBorders>
            <w:shd w:val="clear" w:color="auto" w:fill="C2D69B" w:themeFill="accent3" w:themeFillTint="99"/>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337.876</w:t>
            </w:r>
          </w:p>
        </w:tc>
      </w:tr>
      <w:tr w:rsidR="00C71FCE" w:rsidRPr="008A7003" w:rsidTr="009C59DA">
        <w:trPr>
          <w:trHeight w:hRule="exact" w:val="340"/>
          <w:tblHeader/>
        </w:trPr>
        <w:tc>
          <w:tcPr>
            <w:tcW w:w="1482"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proofErr w:type="spellStart"/>
            <w:r w:rsidRPr="008A7003">
              <w:rPr>
                <w:rFonts w:ascii="Arial Narrow" w:hAnsi="Arial Narrow" w:cs="ArialMT"/>
                <w:color w:val="000000"/>
                <w:sz w:val="16"/>
                <w:szCs w:val="16"/>
                <w:lang w:val="en-GB" w:eastAsia="en-GB"/>
              </w:rPr>
              <w:t>Resna</w:t>
            </w:r>
            <w:proofErr w:type="spellEnd"/>
            <w:r w:rsidRPr="008A7003">
              <w:rPr>
                <w:rFonts w:ascii="Arial Narrow" w:hAnsi="Arial Narrow" w:cs="ArialMT"/>
                <w:color w:val="000000"/>
                <w:sz w:val="16"/>
                <w:szCs w:val="16"/>
                <w:lang w:val="en-GB" w:eastAsia="en-GB"/>
              </w:rPr>
              <w:t xml:space="preserve"> </w:t>
            </w:r>
            <w:proofErr w:type="spellStart"/>
            <w:r w:rsidRPr="008A7003">
              <w:rPr>
                <w:rFonts w:ascii="Arial Narrow" w:hAnsi="Arial Narrow" w:cs="ArialMT"/>
                <w:color w:val="000000"/>
                <w:sz w:val="16"/>
                <w:szCs w:val="16"/>
                <w:lang w:val="en-GB" w:eastAsia="en-GB"/>
              </w:rPr>
              <w:t>glasba</w:t>
            </w:r>
            <w:proofErr w:type="spellEnd"/>
          </w:p>
        </w:tc>
        <w:tc>
          <w:tcPr>
            <w:tcW w:w="341"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15.025</w:t>
            </w:r>
          </w:p>
        </w:tc>
        <w:tc>
          <w:tcPr>
            <w:tcW w:w="290"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14.313</w:t>
            </w:r>
          </w:p>
        </w:tc>
        <w:tc>
          <w:tcPr>
            <w:tcW w:w="290"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14.050</w:t>
            </w:r>
          </w:p>
        </w:tc>
        <w:tc>
          <w:tcPr>
            <w:tcW w:w="290"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7.578</w:t>
            </w:r>
          </w:p>
        </w:tc>
        <w:tc>
          <w:tcPr>
            <w:tcW w:w="290"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7.250</w:t>
            </w:r>
          </w:p>
        </w:tc>
        <w:tc>
          <w:tcPr>
            <w:tcW w:w="291"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1.943</w:t>
            </w:r>
          </w:p>
        </w:tc>
        <w:tc>
          <w:tcPr>
            <w:tcW w:w="291"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8.911</w:t>
            </w:r>
          </w:p>
        </w:tc>
        <w:tc>
          <w:tcPr>
            <w:tcW w:w="291"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10.557</w:t>
            </w:r>
          </w:p>
        </w:tc>
        <w:tc>
          <w:tcPr>
            <w:tcW w:w="291"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9.867</w:t>
            </w:r>
          </w:p>
        </w:tc>
        <w:tc>
          <w:tcPr>
            <w:tcW w:w="291"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8.827</w:t>
            </w:r>
          </w:p>
        </w:tc>
        <w:tc>
          <w:tcPr>
            <w:tcW w:w="291"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8.387</w:t>
            </w:r>
          </w:p>
        </w:tc>
        <w:tc>
          <w:tcPr>
            <w:tcW w:w="271" w:type="pct"/>
            <w:tcBorders>
              <w:top w:val="single" w:sz="4" w:space="0" w:color="000000"/>
              <w:left w:val="single" w:sz="4" w:space="0" w:color="000000"/>
              <w:bottom w:val="nil"/>
              <w:right w:val="single" w:sz="4" w:space="0" w:color="000000"/>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7.253</w:t>
            </w:r>
          </w:p>
        </w:tc>
      </w:tr>
      <w:tr w:rsidR="00C71FCE" w:rsidRPr="008A7003" w:rsidTr="009C59DA">
        <w:trPr>
          <w:trHeight w:hRule="exact" w:val="340"/>
          <w:tblHeader/>
        </w:trPr>
        <w:tc>
          <w:tcPr>
            <w:tcW w:w="1482"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proofErr w:type="spellStart"/>
            <w:r w:rsidRPr="008A7003">
              <w:rPr>
                <w:rFonts w:ascii="Arial Narrow" w:hAnsi="Arial Narrow" w:cs="ArialMT"/>
                <w:color w:val="000000"/>
                <w:sz w:val="16"/>
                <w:szCs w:val="16"/>
                <w:lang w:val="en-GB" w:eastAsia="en-GB"/>
              </w:rPr>
              <w:t>Zabavna</w:t>
            </w:r>
            <w:proofErr w:type="spellEnd"/>
            <w:r w:rsidRPr="008A7003">
              <w:rPr>
                <w:rFonts w:ascii="Arial Narrow" w:hAnsi="Arial Narrow" w:cs="ArialMT"/>
                <w:color w:val="000000"/>
                <w:sz w:val="16"/>
                <w:szCs w:val="16"/>
                <w:lang w:val="en-GB" w:eastAsia="en-GB"/>
              </w:rPr>
              <w:t xml:space="preserve"> in </w:t>
            </w:r>
            <w:proofErr w:type="spellStart"/>
            <w:r w:rsidRPr="008A7003">
              <w:rPr>
                <w:rFonts w:ascii="Arial Narrow" w:hAnsi="Arial Narrow" w:cs="ArialMT"/>
                <w:color w:val="000000"/>
                <w:sz w:val="16"/>
                <w:szCs w:val="16"/>
                <w:lang w:val="en-GB" w:eastAsia="en-GB"/>
              </w:rPr>
              <w:t>popularna</w:t>
            </w:r>
            <w:proofErr w:type="spellEnd"/>
            <w:r w:rsidRPr="008A7003">
              <w:rPr>
                <w:rFonts w:ascii="Arial Narrow" w:hAnsi="Arial Narrow" w:cs="ArialMT"/>
                <w:color w:val="000000"/>
                <w:sz w:val="16"/>
                <w:szCs w:val="16"/>
                <w:lang w:val="en-GB" w:eastAsia="en-GB"/>
              </w:rPr>
              <w:t xml:space="preserve"> </w:t>
            </w:r>
            <w:proofErr w:type="spellStart"/>
            <w:r w:rsidRPr="008A7003">
              <w:rPr>
                <w:rFonts w:ascii="Arial Narrow" w:hAnsi="Arial Narrow" w:cs="ArialMT"/>
                <w:color w:val="000000"/>
                <w:sz w:val="16"/>
                <w:szCs w:val="16"/>
                <w:lang w:val="en-GB" w:eastAsia="en-GB"/>
              </w:rPr>
              <w:t>glasba</w:t>
            </w:r>
            <w:proofErr w:type="spellEnd"/>
          </w:p>
        </w:tc>
        <w:tc>
          <w:tcPr>
            <w:tcW w:w="341"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253.560</w:t>
            </w:r>
          </w:p>
        </w:tc>
        <w:tc>
          <w:tcPr>
            <w:tcW w:w="290"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262.979</w:t>
            </w:r>
          </w:p>
        </w:tc>
        <w:tc>
          <w:tcPr>
            <w:tcW w:w="290"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288.710</w:t>
            </w:r>
          </w:p>
        </w:tc>
        <w:tc>
          <w:tcPr>
            <w:tcW w:w="290"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320.049</w:t>
            </w:r>
          </w:p>
        </w:tc>
        <w:tc>
          <w:tcPr>
            <w:tcW w:w="290"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371.324</w:t>
            </w:r>
          </w:p>
        </w:tc>
        <w:tc>
          <w:tcPr>
            <w:tcW w:w="291"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326.423</w:t>
            </w:r>
          </w:p>
        </w:tc>
        <w:tc>
          <w:tcPr>
            <w:tcW w:w="291"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327.874</w:t>
            </w:r>
          </w:p>
        </w:tc>
        <w:tc>
          <w:tcPr>
            <w:tcW w:w="291"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407.642</w:t>
            </w:r>
          </w:p>
        </w:tc>
        <w:tc>
          <w:tcPr>
            <w:tcW w:w="291"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382.338</w:t>
            </w:r>
          </w:p>
        </w:tc>
        <w:tc>
          <w:tcPr>
            <w:tcW w:w="291"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339.388</w:t>
            </w:r>
          </w:p>
        </w:tc>
        <w:tc>
          <w:tcPr>
            <w:tcW w:w="291"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297.258</w:t>
            </w:r>
          </w:p>
        </w:tc>
        <w:tc>
          <w:tcPr>
            <w:tcW w:w="271" w:type="pct"/>
            <w:tcBorders>
              <w:top w:val="single" w:sz="4" w:space="0" w:color="000000"/>
              <w:left w:val="single" w:sz="4" w:space="0" w:color="000000"/>
              <w:bottom w:val="nil"/>
              <w:right w:val="single" w:sz="4" w:space="0" w:color="000000"/>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301.007</w:t>
            </w:r>
          </w:p>
        </w:tc>
      </w:tr>
      <w:tr w:rsidR="00C71FCE" w:rsidRPr="008A7003" w:rsidTr="009C59DA">
        <w:trPr>
          <w:trHeight w:hRule="exact" w:val="340"/>
          <w:tblHeader/>
        </w:trPr>
        <w:tc>
          <w:tcPr>
            <w:tcW w:w="1482"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proofErr w:type="spellStart"/>
            <w:r w:rsidRPr="008A7003">
              <w:rPr>
                <w:rFonts w:ascii="Arial Narrow" w:hAnsi="Arial Narrow" w:cs="ArialMT"/>
                <w:color w:val="000000"/>
                <w:sz w:val="16"/>
                <w:szCs w:val="16"/>
                <w:lang w:val="en-GB" w:eastAsia="en-GB"/>
              </w:rPr>
              <w:t>Druga</w:t>
            </w:r>
            <w:proofErr w:type="spellEnd"/>
            <w:r w:rsidRPr="008A7003">
              <w:rPr>
                <w:rFonts w:ascii="Arial Narrow" w:hAnsi="Arial Narrow" w:cs="ArialMT"/>
                <w:color w:val="000000"/>
                <w:sz w:val="16"/>
                <w:szCs w:val="16"/>
                <w:lang w:val="en-GB" w:eastAsia="en-GB"/>
              </w:rPr>
              <w:t xml:space="preserve"> </w:t>
            </w:r>
            <w:proofErr w:type="spellStart"/>
            <w:r w:rsidRPr="008A7003">
              <w:rPr>
                <w:rFonts w:ascii="Arial Narrow" w:hAnsi="Arial Narrow" w:cs="ArialMT"/>
                <w:color w:val="000000"/>
                <w:sz w:val="16"/>
                <w:szCs w:val="16"/>
                <w:lang w:val="en-GB" w:eastAsia="en-GB"/>
              </w:rPr>
              <w:t>glasba</w:t>
            </w:r>
            <w:proofErr w:type="spellEnd"/>
          </w:p>
        </w:tc>
        <w:tc>
          <w:tcPr>
            <w:tcW w:w="341"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18.469</w:t>
            </w:r>
          </w:p>
        </w:tc>
        <w:tc>
          <w:tcPr>
            <w:tcW w:w="290"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19.072</w:t>
            </w:r>
          </w:p>
        </w:tc>
        <w:tc>
          <w:tcPr>
            <w:tcW w:w="290"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16.328</w:t>
            </w:r>
          </w:p>
        </w:tc>
        <w:tc>
          <w:tcPr>
            <w:tcW w:w="290"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16.531</w:t>
            </w:r>
          </w:p>
        </w:tc>
        <w:tc>
          <w:tcPr>
            <w:tcW w:w="290"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25.745</w:t>
            </w:r>
          </w:p>
        </w:tc>
        <w:tc>
          <w:tcPr>
            <w:tcW w:w="291"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30.591</w:t>
            </w:r>
          </w:p>
        </w:tc>
        <w:tc>
          <w:tcPr>
            <w:tcW w:w="291"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36.397</w:t>
            </w:r>
          </w:p>
        </w:tc>
        <w:tc>
          <w:tcPr>
            <w:tcW w:w="291"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39.381</w:t>
            </w:r>
          </w:p>
        </w:tc>
        <w:tc>
          <w:tcPr>
            <w:tcW w:w="291"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37.516</w:t>
            </w:r>
          </w:p>
        </w:tc>
        <w:tc>
          <w:tcPr>
            <w:tcW w:w="291"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35.318</w:t>
            </w:r>
          </w:p>
        </w:tc>
        <w:tc>
          <w:tcPr>
            <w:tcW w:w="291"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31.192</w:t>
            </w:r>
          </w:p>
        </w:tc>
        <w:tc>
          <w:tcPr>
            <w:tcW w:w="271" w:type="pct"/>
            <w:tcBorders>
              <w:top w:val="single" w:sz="4" w:space="0" w:color="000000"/>
              <w:left w:val="single" w:sz="4" w:space="0" w:color="000000"/>
              <w:bottom w:val="nil"/>
              <w:right w:val="single" w:sz="4" w:space="0" w:color="000000"/>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29.616</w:t>
            </w:r>
          </w:p>
        </w:tc>
      </w:tr>
      <w:tr w:rsidR="00C71FCE" w:rsidRPr="008A7003" w:rsidTr="009C59DA">
        <w:trPr>
          <w:trHeight w:hRule="exact" w:val="340"/>
          <w:tblHeader/>
        </w:trPr>
        <w:tc>
          <w:tcPr>
            <w:tcW w:w="1482" w:type="pct"/>
            <w:tcBorders>
              <w:top w:val="single" w:sz="4" w:space="0" w:color="000000"/>
              <w:left w:val="single" w:sz="4" w:space="0" w:color="000000"/>
              <w:bottom w:val="nil"/>
              <w:right w:val="nil"/>
            </w:tcBorders>
            <w:shd w:val="clear" w:color="auto" w:fill="C2D69B" w:themeFill="accent3" w:themeFillTint="99"/>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 xml:space="preserve">1.2 </w:t>
            </w:r>
            <w:proofErr w:type="spellStart"/>
            <w:r w:rsidRPr="008A7003">
              <w:rPr>
                <w:rFonts w:ascii="Arial Narrow" w:hAnsi="Arial Narrow" w:cs="ArialMT"/>
                <w:b/>
                <w:bCs/>
                <w:color w:val="000000"/>
                <w:sz w:val="16"/>
                <w:szCs w:val="16"/>
                <w:lang w:val="en-GB" w:eastAsia="en-GB"/>
              </w:rPr>
              <w:t>Govorni</w:t>
            </w:r>
            <w:proofErr w:type="spellEnd"/>
            <w:r w:rsidRPr="008A7003">
              <w:rPr>
                <w:rFonts w:ascii="Arial Narrow" w:hAnsi="Arial Narrow" w:cs="ArialMT"/>
                <w:b/>
                <w:bCs/>
                <w:color w:val="000000"/>
                <w:sz w:val="16"/>
                <w:szCs w:val="16"/>
                <w:lang w:val="en-GB" w:eastAsia="en-GB"/>
              </w:rPr>
              <w:t xml:space="preserve"> program</w:t>
            </w:r>
          </w:p>
        </w:tc>
        <w:tc>
          <w:tcPr>
            <w:tcW w:w="341" w:type="pct"/>
            <w:tcBorders>
              <w:top w:val="single" w:sz="4" w:space="0" w:color="000000"/>
              <w:left w:val="single" w:sz="4" w:space="0" w:color="000000"/>
              <w:bottom w:val="nil"/>
              <w:right w:val="nil"/>
            </w:tcBorders>
            <w:shd w:val="clear" w:color="auto" w:fill="C2D69B" w:themeFill="accent3" w:themeFillTint="99"/>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90.215</w:t>
            </w:r>
          </w:p>
        </w:tc>
        <w:tc>
          <w:tcPr>
            <w:tcW w:w="290" w:type="pct"/>
            <w:tcBorders>
              <w:top w:val="single" w:sz="4" w:space="0" w:color="000000"/>
              <w:left w:val="single" w:sz="4" w:space="0" w:color="000000"/>
              <w:bottom w:val="nil"/>
              <w:right w:val="nil"/>
            </w:tcBorders>
            <w:shd w:val="clear" w:color="auto" w:fill="C2D69B" w:themeFill="accent3" w:themeFillTint="99"/>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94.369</w:t>
            </w:r>
          </w:p>
        </w:tc>
        <w:tc>
          <w:tcPr>
            <w:tcW w:w="290" w:type="pct"/>
            <w:tcBorders>
              <w:top w:val="single" w:sz="4" w:space="0" w:color="000000"/>
              <w:left w:val="single" w:sz="4" w:space="0" w:color="000000"/>
              <w:bottom w:val="nil"/>
              <w:right w:val="nil"/>
            </w:tcBorders>
            <w:shd w:val="clear" w:color="auto" w:fill="C2D69B" w:themeFill="accent3" w:themeFillTint="99"/>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92.615</w:t>
            </w:r>
          </w:p>
        </w:tc>
        <w:tc>
          <w:tcPr>
            <w:tcW w:w="290" w:type="pct"/>
            <w:tcBorders>
              <w:top w:val="single" w:sz="4" w:space="0" w:color="000000"/>
              <w:left w:val="single" w:sz="4" w:space="0" w:color="000000"/>
              <w:bottom w:val="nil"/>
              <w:right w:val="nil"/>
            </w:tcBorders>
            <w:shd w:val="clear" w:color="auto" w:fill="C2D69B" w:themeFill="accent3" w:themeFillTint="99"/>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95.971</w:t>
            </w:r>
          </w:p>
        </w:tc>
        <w:tc>
          <w:tcPr>
            <w:tcW w:w="290" w:type="pct"/>
            <w:tcBorders>
              <w:top w:val="single" w:sz="4" w:space="0" w:color="000000"/>
              <w:left w:val="single" w:sz="4" w:space="0" w:color="000000"/>
              <w:bottom w:val="nil"/>
              <w:right w:val="nil"/>
            </w:tcBorders>
            <w:shd w:val="clear" w:color="auto" w:fill="C2D69B" w:themeFill="accent3" w:themeFillTint="99"/>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97.266</w:t>
            </w:r>
          </w:p>
        </w:tc>
        <w:tc>
          <w:tcPr>
            <w:tcW w:w="291" w:type="pct"/>
            <w:tcBorders>
              <w:top w:val="single" w:sz="4" w:space="0" w:color="000000"/>
              <w:left w:val="single" w:sz="4" w:space="0" w:color="000000"/>
              <w:bottom w:val="nil"/>
              <w:right w:val="nil"/>
            </w:tcBorders>
            <w:shd w:val="clear" w:color="auto" w:fill="C2D69B" w:themeFill="accent3" w:themeFillTint="99"/>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95.352</w:t>
            </w:r>
          </w:p>
        </w:tc>
        <w:tc>
          <w:tcPr>
            <w:tcW w:w="291" w:type="pct"/>
            <w:tcBorders>
              <w:top w:val="single" w:sz="4" w:space="0" w:color="000000"/>
              <w:left w:val="single" w:sz="4" w:space="0" w:color="000000"/>
              <w:bottom w:val="nil"/>
              <w:right w:val="nil"/>
            </w:tcBorders>
            <w:shd w:val="clear" w:color="auto" w:fill="C2D69B" w:themeFill="accent3" w:themeFillTint="99"/>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106.877</w:t>
            </w:r>
          </w:p>
        </w:tc>
        <w:tc>
          <w:tcPr>
            <w:tcW w:w="291" w:type="pct"/>
            <w:tcBorders>
              <w:top w:val="single" w:sz="4" w:space="0" w:color="000000"/>
              <w:left w:val="single" w:sz="4" w:space="0" w:color="000000"/>
              <w:bottom w:val="nil"/>
              <w:right w:val="nil"/>
            </w:tcBorders>
            <w:shd w:val="clear" w:color="auto" w:fill="C2D69B" w:themeFill="accent3" w:themeFillTint="99"/>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126.547</w:t>
            </w:r>
          </w:p>
        </w:tc>
        <w:tc>
          <w:tcPr>
            <w:tcW w:w="291" w:type="pct"/>
            <w:tcBorders>
              <w:top w:val="single" w:sz="4" w:space="0" w:color="000000"/>
              <w:left w:val="single" w:sz="4" w:space="0" w:color="000000"/>
              <w:bottom w:val="nil"/>
              <w:right w:val="nil"/>
            </w:tcBorders>
            <w:shd w:val="clear" w:color="auto" w:fill="C2D69B" w:themeFill="accent3" w:themeFillTint="99"/>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124.351</w:t>
            </w:r>
          </w:p>
        </w:tc>
        <w:tc>
          <w:tcPr>
            <w:tcW w:w="291" w:type="pct"/>
            <w:tcBorders>
              <w:top w:val="single" w:sz="4" w:space="0" w:color="000000"/>
              <w:left w:val="single" w:sz="4" w:space="0" w:color="000000"/>
              <w:bottom w:val="nil"/>
              <w:right w:val="nil"/>
            </w:tcBorders>
            <w:shd w:val="clear" w:color="auto" w:fill="C2D69B" w:themeFill="accent3" w:themeFillTint="99"/>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103.586</w:t>
            </w:r>
          </w:p>
        </w:tc>
        <w:tc>
          <w:tcPr>
            <w:tcW w:w="291" w:type="pct"/>
            <w:tcBorders>
              <w:top w:val="single" w:sz="4" w:space="0" w:color="000000"/>
              <w:left w:val="single" w:sz="4" w:space="0" w:color="000000"/>
              <w:bottom w:val="nil"/>
              <w:right w:val="nil"/>
            </w:tcBorders>
            <w:shd w:val="clear" w:color="auto" w:fill="C2D69B" w:themeFill="accent3" w:themeFillTint="99"/>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88.653</w:t>
            </w:r>
          </w:p>
        </w:tc>
        <w:tc>
          <w:tcPr>
            <w:tcW w:w="271" w:type="pct"/>
            <w:tcBorders>
              <w:top w:val="single" w:sz="4" w:space="0" w:color="000000"/>
              <w:left w:val="single" w:sz="4" w:space="0" w:color="000000"/>
              <w:bottom w:val="nil"/>
              <w:right w:val="single" w:sz="4" w:space="0" w:color="000000"/>
            </w:tcBorders>
            <w:shd w:val="clear" w:color="auto" w:fill="C2D69B" w:themeFill="accent3" w:themeFillTint="99"/>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87.990</w:t>
            </w:r>
          </w:p>
        </w:tc>
      </w:tr>
      <w:tr w:rsidR="00C71FCE" w:rsidRPr="008A7003" w:rsidTr="009C59DA">
        <w:trPr>
          <w:trHeight w:hRule="exact" w:val="340"/>
          <w:tblHeader/>
        </w:trPr>
        <w:tc>
          <w:tcPr>
            <w:tcW w:w="1482"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proofErr w:type="spellStart"/>
            <w:r w:rsidRPr="008A7003">
              <w:rPr>
                <w:rFonts w:ascii="Arial Narrow" w:hAnsi="Arial Narrow" w:cs="ArialMT"/>
                <w:color w:val="000000"/>
                <w:sz w:val="16"/>
                <w:szCs w:val="16"/>
                <w:lang w:val="en-GB" w:eastAsia="en-GB"/>
              </w:rPr>
              <w:t>Dnevnoinformativni</w:t>
            </w:r>
            <w:proofErr w:type="spellEnd"/>
            <w:r w:rsidRPr="008A7003">
              <w:rPr>
                <w:rFonts w:ascii="Arial Narrow" w:hAnsi="Arial Narrow" w:cs="ArialMT"/>
                <w:color w:val="000000"/>
                <w:sz w:val="16"/>
                <w:szCs w:val="16"/>
                <w:lang w:val="en-GB" w:eastAsia="en-GB"/>
              </w:rPr>
              <w:t xml:space="preserve"> program</w:t>
            </w:r>
          </w:p>
        </w:tc>
        <w:tc>
          <w:tcPr>
            <w:tcW w:w="341"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30.032</w:t>
            </w:r>
          </w:p>
        </w:tc>
        <w:tc>
          <w:tcPr>
            <w:tcW w:w="290"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31.868</w:t>
            </w:r>
          </w:p>
        </w:tc>
        <w:tc>
          <w:tcPr>
            <w:tcW w:w="290"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32.700</w:t>
            </w:r>
          </w:p>
        </w:tc>
        <w:tc>
          <w:tcPr>
            <w:tcW w:w="290"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32.514</w:t>
            </w:r>
          </w:p>
        </w:tc>
        <w:tc>
          <w:tcPr>
            <w:tcW w:w="290"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34.238</w:t>
            </w:r>
          </w:p>
        </w:tc>
        <w:tc>
          <w:tcPr>
            <w:tcW w:w="291"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37.311</w:t>
            </w:r>
          </w:p>
        </w:tc>
        <w:tc>
          <w:tcPr>
            <w:tcW w:w="291"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43.670</w:t>
            </w:r>
          </w:p>
        </w:tc>
        <w:tc>
          <w:tcPr>
            <w:tcW w:w="291"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50.287</w:t>
            </w:r>
          </w:p>
        </w:tc>
        <w:tc>
          <w:tcPr>
            <w:tcW w:w="291"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48.856</w:t>
            </w:r>
          </w:p>
        </w:tc>
        <w:tc>
          <w:tcPr>
            <w:tcW w:w="291"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39.003</w:t>
            </w:r>
          </w:p>
        </w:tc>
        <w:tc>
          <w:tcPr>
            <w:tcW w:w="291"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35.175</w:t>
            </w:r>
          </w:p>
        </w:tc>
        <w:tc>
          <w:tcPr>
            <w:tcW w:w="271" w:type="pct"/>
            <w:tcBorders>
              <w:top w:val="single" w:sz="4" w:space="0" w:color="000000"/>
              <w:left w:val="single" w:sz="4" w:space="0" w:color="000000"/>
              <w:bottom w:val="nil"/>
              <w:right w:val="single" w:sz="4" w:space="0" w:color="000000"/>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39.240</w:t>
            </w:r>
          </w:p>
        </w:tc>
      </w:tr>
      <w:tr w:rsidR="00C71FCE" w:rsidRPr="008A7003" w:rsidTr="009C59DA">
        <w:trPr>
          <w:trHeight w:hRule="exact" w:val="340"/>
          <w:tblHeader/>
        </w:trPr>
        <w:tc>
          <w:tcPr>
            <w:tcW w:w="1482"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proofErr w:type="spellStart"/>
            <w:r w:rsidRPr="008A7003">
              <w:rPr>
                <w:rFonts w:ascii="Arial Narrow" w:hAnsi="Arial Narrow" w:cs="ArialMT"/>
                <w:color w:val="000000"/>
                <w:sz w:val="16"/>
                <w:szCs w:val="16"/>
                <w:lang w:val="en-GB" w:eastAsia="en-GB"/>
              </w:rPr>
              <w:t>Informativni</w:t>
            </w:r>
            <w:proofErr w:type="spellEnd"/>
            <w:r w:rsidRPr="008A7003">
              <w:rPr>
                <w:rFonts w:ascii="Arial Narrow" w:hAnsi="Arial Narrow" w:cs="ArialMT"/>
                <w:color w:val="000000"/>
                <w:sz w:val="16"/>
                <w:szCs w:val="16"/>
                <w:lang w:val="en-GB" w:eastAsia="en-GB"/>
              </w:rPr>
              <w:t xml:space="preserve"> program</w:t>
            </w:r>
          </w:p>
        </w:tc>
        <w:tc>
          <w:tcPr>
            <w:tcW w:w="341"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27.469</w:t>
            </w:r>
          </w:p>
        </w:tc>
        <w:tc>
          <w:tcPr>
            <w:tcW w:w="290"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28.053</w:t>
            </w:r>
          </w:p>
        </w:tc>
        <w:tc>
          <w:tcPr>
            <w:tcW w:w="290"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25.852</w:t>
            </w:r>
          </w:p>
        </w:tc>
        <w:tc>
          <w:tcPr>
            <w:tcW w:w="290"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26.706</w:t>
            </w:r>
          </w:p>
        </w:tc>
        <w:tc>
          <w:tcPr>
            <w:tcW w:w="290"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27.845</w:t>
            </w:r>
          </w:p>
        </w:tc>
        <w:tc>
          <w:tcPr>
            <w:tcW w:w="291"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25.165</w:t>
            </w:r>
          </w:p>
        </w:tc>
        <w:tc>
          <w:tcPr>
            <w:tcW w:w="291"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30.708</w:t>
            </w:r>
          </w:p>
        </w:tc>
        <w:tc>
          <w:tcPr>
            <w:tcW w:w="291"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35.587</w:t>
            </w:r>
          </w:p>
        </w:tc>
        <w:tc>
          <w:tcPr>
            <w:tcW w:w="291"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34.596</w:t>
            </w:r>
          </w:p>
        </w:tc>
        <w:tc>
          <w:tcPr>
            <w:tcW w:w="291"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27.949</w:t>
            </w:r>
          </w:p>
        </w:tc>
        <w:tc>
          <w:tcPr>
            <w:tcW w:w="291"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24.756</w:t>
            </w:r>
          </w:p>
        </w:tc>
        <w:tc>
          <w:tcPr>
            <w:tcW w:w="271" w:type="pct"/>
            <w:tcBorders>
              <w:top w:val="single" w:sz="4" w:space="0" w:color="000000"/>
              <w:left w:val="single" w:sz="4" w:space="0" w:color="000000"/>
              <w:bottom w:val="nil"/>
              <w:right w:val="single" w:sz="4" w:space="0" w:color="000000"/>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20.479</w:t>
            </w:r>
          </w:p>
        </w:tc>
      </w:tr>
      <w:tr w:rsidR="00C71FCE" w:rsidRPr="008A7003" w:rsidTr="009C59DA">
        <w:trPr>
          <w:trHeight w:hRule="exact" w:val="340"/>
          <w:tblHeader/>
        </w:trPr>
        <w:tc>
          <w:tcPr>
            <w:tcW w:w="1482"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proofErr w:type="spellStart"/>
            <w:r w:rsidRPr="008A7003">
              <w:rPr>
                <w:rFonts w:ascii="Arial Narrow" w:hAnsi="Arial Narrow" w:cs="ArialMT"/>
                <w:color w:val="000000"/>
                <w:sz w:val="16"/>
                <w:szCs w:val="16"/>
                <w:lang w:val="en-GB" w:eastAsia="en-GB"/>
              </w:rPr>
              <w:t>Igrani</w:t>
            </w:r>
            <w:proofErr w:type="spellEnd"/>
            <w:r w:rsidRPr="008A7003">
              <w:rPr>
                <w:rFonts w:ascii="Arial Narrow" w:hAnsi="Arial Narrow" w:cs="ArialMT"/>
                <w:color w:val="000000"/>
                <w:sz w:val="16"/>
                <w:szCs w:val="16"/>
                <w:lang w:val="en-GB" w:eastAsia="en-GB"/>
              </w:rPr>
              <w:t xml:space="preserve"> program / </w:t>
            </w:r>
            <w:proofErr w:type="spellStart"/>
            <w:r w:rsidRPr="008A7003">
              <w:rPr>
                <w:rFonts w:ascii="Arial Narrow" w:hAnsi="Arial Narrow" w:cs="ArialMT"/>
                <w:color w:val="000000"/>
                <w:sz w:val="16"/>
                <w:szCs w:val="16"/>
                <w:lang w:val="en-GB" w:eastAsia="en-GB"/>
              </w:rPr>
              <w:t>radijska</w:t>
            </w:r>
            <w:proofErr w:type="spellEnd"/>
            <w:r w:rsidRPr="008A7003">
              <w:rPr>
                <w:rFonts w:ascii="Arial Narrow" w:hAnsi="Arial Narrow" w:cs="ArialMT"/>
                <w:color w:val="000000"/>
                <w:sz w:val="16"/>
                <w:szCs w:val="16"/>
                <w:lang w:val="en-GB" w:eastAsia="en-GB"/>
              </w:rPr>
              <w:t xml:space="preserve"> drama</w:t>
            </w:r>
          </w:p>
        </w:tc>
        <w:tc>
          <w:tcPr>
            <w:tcW w:w="341"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717</w:t>
            </w:r>
          </w:p>
        </w:tc>
        <w:tc>
          <w:tcPr>
            <w:tcW w:w="290"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597</w:t>
            </w:r>
          </w:p>
        </w:tc>
        <w:tc>
          <w:tcPr>
            <w:tcW w:w="290"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577</w:t>
            </w:r>
          </w:p>
        </w:tc>
        <w:tc>
          <w:tcPr>
            <w:tcW w:w="290"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733</w:t>
            </w:r>
          </w:p>
        </w:tc>
        <w:tc>
          <w:tcPr>
            <w:tcW w:w="290"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1.101</w:t>
            </w:r>
          </w:p>
        </w:tc>
        <w:tc>
          <w:tcPr>
            <w:tcW w:w="291"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921</w:t>
            </w:r>
          </w:p>
        </w:tc>
        <w:tc>
          <w:tcPr>
            <w:tcW w:w="291"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681</w:t>
            </w:r>
          </w:p>
        </w:tc>
        <w:tc>
          <w:tcPr>
            <w:tcW w:w="291"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958</w:t>
            </w:r>
          </w:p>
        </w:tc>
        <w:tc>
          <w:tcPr>
            <w:tcW w:w="291"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544</w:t>
            </w:r>
          </w:p>
        </w:tc>
        <w:tc>
          <w:tcPr>
            <w:tcW w:w="291"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332</w:t>
            </w:r>
          </w:p>
        </w:tc>
        <w:tc>
          <w:tcPr>
            <w:tcW w:w="291"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379</w:t>
            </w:r>
          </w:p>
        </w:tc>
        <w:tc>
          <w:tcPr>
            <w:tcW w:w="271" w:type="pct"/>
            <w:tcBorders>
              <w:top w:val="single" w:sz="4" w:space="0" w:color="000000"/>
              <w:left w:val="single" w:sz="4" w:space="0" w:color="000000"/>
              <w:bottom w:val="nil"/>
              <w:right w:val="single" w:sz="4" w:space="0" w:color="000000"/>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378</w:t>
            </w:r>
          </w:p>
        </w:tc>
      </w:tr>
      <w:tr w:rsidR="00C71FCE" w:rsidRPr="008A7003" w:rsidTr="009C59DA">
        <w:trPr>
          <w:trHeight w:hRule="exact" w:val="340"/>
          <w:tblHeader/>
        </w:trPr>
        <w:tc>
          <w:tcPr>
            <w:tcW w:w="1482"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proofErr w:type="spellStart"/>
            <w:r w:rsidRPr="008A7003">
              <w:rPr>
                <w:rFonts w:ascii="Arial Narrow" w:hAnsi="Arial Narrow" w:cs="ArialMT"/>
                <w:color w:val="000000"/>
                <w:sz w:val="16"/>
                <w:szCs w:val="16"/>
                <w:lang w:val="en-GB" w:eastAsia="en-GB"/>
              </w:rPr>
              <w:t>Izobraževalni</w:t>
            </w:r>
            <w:proofErr w:type="spellEnd"/>
            <w:r w:rsidRPr="008A7003">
              <w:rPr>
                <w:rFonts w:ascii="Arial Narrow" w:hAnsi="Arial Narrow" w:cs="ArialMT"/>
                <w:color w:val="000000"/>
                <w:sz w:val="16"/>
                <w:szCs w:val="16"/>
                <w:lang w:val="en-GB" w:eastAsia="en-GB"/>
              </w:rPr>
              <w:t xml:space="preserve"> program</w:t>
            </w:r>
          </w:p>
        </w:tc>
        <w:tc>
          <w:tcPr>
            <w:tcW w:w="341"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9.090</w:t>
            </w:r>
          </w:p>
        </w:tc>
        <w:tc>
          <w:tcPr>
            <w:tcW w:w="290"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9.010</w:t>
            </w:r>
          </w:p>
        </w:tc>
        <w:tc>
          <w:tcPr>
            <w:tcW w:w="290"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9.621</w:t>
            </w:r>
          </w:p>
        </w:tc>
        <w:tc>
          <w:tcPr>
            <w:tcW w:w="290"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10.076</w:t>
            </w:r>
          </w:p>
        </w:tc>
        <w:tc>
          <w:tcPr>
            <w:tcW w:w="290"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10.242</w:t>
            </w:r>
          </w:p>
        </w:tc>
        <w:tc>
          <w:tcPr>
            <w:tcW w:w="291"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9.806</w:t>
            </w:r>
          </w:p>
        </w:tc>
        <w:tc>
          <w:tcPr>
            <w:tcW w:w="291"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9.814</w:t>
            </w:r>
          </w:p>
        </w:tc>
        <w:tc>
          <w:tcPr>
            <w:tcW w:w="291"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12.064</w:t>
            </w:r>
          </w:p>
        </w:tc>
        <w:tc>
          <w:tcPr>
            <w:tcW w:w="291"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15.014</w:t>
            </w:r>
          </w:p>
        </w:tc>
        <w:tc>
          <w:tcPr>
            <w:tcW w:w="291"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14.442</w:t>
            </w:r>
          </w:p>
        </w:tc>
        <w:tc>
          <w:tcPr>
            <w:tcW w:w="291"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8.557</w:t>
            </w:r>
          </w:p>
        </w:tc>
        <w:tc>
          <w:tcPr>
            <w:tcW w:w="271" w:type="pct"/>
            <w:tcBorders>
              <w:top w:val="single" w:sz="4" w:space="0" w:color="000000"/>
              <w:left w:val="single" w:sz="4" w:space="0" w:color="000000"/>
              <w:bottom w:val="nil"/>
              <w:right w:val="single" w:sz="4" w:space="0" w:color="000000"/>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8.060</w:t>
            </w:r>
          </w:p>
        </w:tc>
      </w:tr>
      <w:tr w:rsidR="00C71FCE" w:rsidRPr="008A7003" w:rsidTr="009C59DA">
        <w:trPr>
          <w:trHeight w:hRule="exact" w:val="340"/>
          <w:tblHeader/>
        </w:trPr>
        <w:tc>
          <w:tcPr>
            <w:tcW w:w="1482"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proofErr w:type="spellStart"/>
            <w:r w:rsidRPr="008A7003">
              <w:rPr>
                <w:rFonts w:ascii="Arial Narrow" w:hAnsi="Arial Narrow" w:cs="ArialMT"/>
                <w:color w:val="000000"/>
                <w:sz w:val="16"/>
                <w:szCs w:val="16"/>
                <w:lang w:val="en-GB" w:eastAsia="en-GB"/>
              </w:rPr>
              <w:t>Umetnost</w:t>
            </w:r>
            <w:proofErr w:type="spellEnd"/>
            <w:r w:rsidRPr="008A7003">
              <w:rPr>
                <w:rFonts w:ascii="Arial Narrow" w:hAnsi="Arial Narrow" w:cs="ArialMT"/>
                <w:color w:val="000000"/>
                <w:sz w:val="16"/>
                <w:szCs w:val="16"/>
                <w:lang w:val="en-GB" w:eastAsia="en-GB"/>
              </w:rPr>
              <w:t xml:space="preserve"> in </w:t>
            </w:r>
            <w:proofErr w:type="spellStart"/>
            <w:r w:rsidRPr="008A7003">
              <w:rPr>
                <w:rFonts w:ascii="Arial Narrow" w:hAnsi="Arial Narrow" w:cs="ArialMT"/>
                <w:color w:val="000000"/>
                <w:sz w:val="16"/>
                <w:szCs w:val="16"/>
                <w:lang w:val="en-GB" w:eastAsia="en-GB"/>
              </w:rPr>
              <w:t>kultura</w:t>
            </w:r>
            <w:proofErr w:type="spellEnd"/>
          </w:p>
        </w:tc>
        <w:tc>
          <w:tcPr>
            <w:tcW w:w="341"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5.754</w:t>
            </w:r>
          </w:p>
        </w:tc>
        <w:tc>
          <w:tcPr>
            <w:tcW w:w="290"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6.445</w:t>
            </w:r>
          </w:p>
        </w:tc>
        <w:tc>
          <w:tcPr>
            <w:tcW w:w="290"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7.408</w:t>
            </w:r>
          </w:p>
        </w:tc>
        <w:tc>
          <w:tcPr>
            <w:tcW w:w="290"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6.858</w:t>
            </w:r>
          </w:p>
        </w:tc>
        <w:tc>
          <w:tcPr>
            <w:tcW w:w="290"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6.534</w:t>
            </w:r>
          </w:p>
        </w:tc>
        <w:tc>
          <w:tcPr>
            <w:tcW w:w="291"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7.776</w:t>
            </w:r>
          </w:p>
        </w:tc>
        <w:tc>
          <w:tcPr>
            <w:tcW w:w="291"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8.180</w:t>
            </w:r>
          </w:p>
        </w:tc>
        <w:tc>
          <w:tcPr>
            <w:tcW w:w="291"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8.529</w:t>
            </w:r>
          </w:p>
        </w:tc>
        <w:tc>
          <w:tcPr>
            <w:tcW w:w="291"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9.253</w:t>
            </w:r>
          </w:p>
        </w:tc>
        <w:tc>
          <w:tcPr>
            <w:tcW w:w="291"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8.370</w:t>
            </w:r>
          </w:p>
        </w:tc>
        <w:tc>
          <w:tcPr>
            <w:tcW w:w="291"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8.134</w:t>
            </w:r>
          </w:p>
        </w:tc>
        <w:tc>
          <w:tcPr>
            <w:tcW w:w="271" w:type="pct"/>
            <w:tcBorders>
              <w:top w:val="single" w:sz="4" w:space="0" w:color="000000"/>
              <w:left w:val="single" w:sz="4" w:space="0" w:color="000000"/>
              <w:bottom w:val="nil"/>
              <w:right w:val="single" w:sz="4" w:space="0" w:color="000000"/>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7.256</w:t>
            </w:r>
          </w:p>
        </w:tc>
      </w:tr>
      <w:tr w:rsidR="00C71FCE" w:rsidRPr="008A7003" w:rsidTr="009C59DA">
        <w:trPr>
          <w:trHeight w:hRule="exact" w:val="340"/>
          <w:tblHeader/>
        </w:trPr>
        <w:tc>
          <w:tcPr>
            <w:tcW w:w="1482"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proofErr w:type="spellStart"/>
            <w:r w:rsidRPr="008A7003">
              <w:rPr>
                <w:rFonts w:ascii="Arial Narrow" w:hAnsi="Arial Narrow" w:cs="ArialMT"/>
                <w:color w:val="000000"/>
                <w:sz w:val="16"/>
                <w:szCs w:val="16"/>
                <w:lang w:val="en-GB" w:eastAsia="en-GB"/>
              </w:rPr>
              <w:t>Znanost</w:t>
            </w:r>
            <w:proofErr w:type="spellEnd"/>
          </w:p>
        </w:tc>
        <w:tc>
          <w:tcPr>
            <w:tcW w:w="341"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737</w:t>
            </w:r>
          </w:p>
        </w:tc>
        <w:tc>
          <w:tcPr>
            <w:tcW w:w="290"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795</w:t>
            </w:r>
          </w:p>
        </w:tc>
        <w:tc>
          <w:tcPr>
            <w:tcW w:w="290"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917</w:t>
            </w:r>
          </w:p>
        </w:tc>
        <w:tc>
          <w:tcPr>
            <w:tcW w:w="290"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1.166</w:t>
            </w:r>
          </w:p>
        </w:tc>
        <w:tc>
          <w:tcPr>
            <w:tcW w:w="290"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867</w:t>
            </w:r>
          </w:p>
        </w:tc>
        <w:tc>
          <w:tcPr>
            <w:tcW w:w="291"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2.283</w:t>
            </w:r>
          </w:p>
        </w:tc>
        <w:tc>
          <w:tcPr>
            <w:tcW w:w="291"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2.405</w:t>
            </w:r>
          </w:p>
        </w:tc>
        <w:tc>
          <w:tcPr>
            <w:tcW w:w="291"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3.325</w:t>
            </w:r>
          </w:p>
        </w:tc>
        <w:tc>
          <w:tcPr>
            <w:tcW w:w="291"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3.261</w:t>
            </w:r>
          </w:p>
        </w:tc>
        <w:tc>
          <w:tcPr>
            <w:tcW w:w="291"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4.021</w:t>
            </w:r>
          </w:p>
        </w:tc>
        <w:tc>
          <w:tcPr>
            <w:tcW w:w="291"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3.361</w:t>
            </w:r>
          </w:p>
        </w:tc>
        <w:tc>
          <w:tcPr>
            <w:tcW w:w="271" w:type="pct"/>
            <w:tcBorders>
              <w:top w:val="single" w:sz="4" w:space="0" w:color="000000"/>
              <w:left w:val="single" w:sz="4" w:space="0" w:color="000000"/>
              <w:bottom w:val="nil"/>
              <w:right w:val="single" w:sz="4" w:space="0" w:color="000000"/>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3.558</w:t>
            </w:r>
          </w:p>
        </w:tc>
      </w:tr>
      <w:tr w:rsidR="00C71FCE" w:rsidRPr="008A7003" w:rsidTr="009C59DA">
        <w:trPr>
          <w:trHeight w:hRule="exact" w:val="340"/>
          <w:tblHeader/>
        </w:trPr>
        <w:tc>
          <w:tcPr>
            <w:tcW w:w="1482"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proofErr w:type="spellStart"/>
            <w:r w:rsidRPr="008A7003">
              <w:rPr>
                <w:rFonts w:ascii="Arial Narrow" w:hAnsi="Arial Narrow" w:cs="ArialMT"/>
                <w:color w:val="000000"/>
                <w:sz w:val="16"/>
                <w:szCs w:val="16"/>
                <w:lang w:val="en-GB" w:eastAsia="en-GB"/>
              </w:rPr>
              <w:t>Ostale</w:t>
            </w:r>
            <w:proofErr w:type="spellEnd"/>
            <w:r w:rsidRPr="008A7003">
              <w:rPr>
                <w:rFonts w:ascii="Arial Narrow" w:hAnsi="Arial Narrow" w:cs="ArialMT"/>
                <w:color w:val="000000"/>
                <w:sz w:val="16"/>
                <w:szCs w:val="16"/>
                <w:lang w:val="en-GB" w:eastAsia="en-GB"/>
              </w:rPr>
              <w:t xml:space="preserve"> </w:t>
            </w:r>
            <w:proofErr w:type="spellStart"/>
            <w:r w:rsidRPr="008A7003">
              <w:rPr>
                <w:rFonts w:ascii="Arial Narrow" w:hAnsi="Arial Narrow" w:cs="ArialMT"/>
                <w:color w:val="000000"/>
                <w:sz w:val="16"/>
                <w:szCs w:val="16"/>
                <w:lang w:val="en-GB" w:eastAsia="en-GB"/>
              </w:rPr>
              <w:t>pogovorne</w:t>
            </w:r>
            <w:proofErr w:type="spellEnd"/>
            <w:r w:rsidRPr="008A7003">
              <w:rPr>
                <w:rFonts w:ascii="Arial Narrow" w:hAnsi="Arial Narrow" w:cs="ArialMT"/>
                <w:color w:val="000000"/>
                <w:sz w:val="16"/>
                <w:szCs w:val="16"/>
                <w:lang w:val="en-GB" w:eastAsia="en-GB"/>
              </w:rPr>
              <w:t xml:space="preserve"> </w:t>
            </w:r>
            <w:proofErr w:type="spellStart"/>
            <w:r w:rsidRPr="008A7003">
              <w:rPr>
                <w:rFonts w:ascii="Arial Narrow" w:hAnsi="Arial Narrow" w:cs="ArialMT"/>
                <w:color w:val="000000"/>
                <w:sz w:val="16"/>
                <w:szCs w:val="16"/>
                <w:lang w:val="en-GB" w:eastAsia="en-GB"/>
              </w:rPr>
              <w:t>oddaje</w:t>
            </w:r>
            <w:proofErr w:type="spellEnd"/>
          </w:p>
        </w:tc>
        <w:tc>
          <w:tcPr>
            <w:tcW w:w="341"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16.416</w:t>
            </w:r>
          </w:p>
        </w:tc>
        <w:tc>
          <w:tcPr>
            <w:tcW w:w="290"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17.601</w:t>
            </w:r>
          </w:p>
        </w:tc>
        <w:tc>
          <w:tcPr>
            <w:tcW w:w="290"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15.540</w:t>
            </w:r>
          </w:p>
        </w:tc>
        <w:tc>
          <w:tcPr>
            <w:tcW w:w="290"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17.918</w:t>
            </w:r>
          </w:p>
        </w:tc>
        <w:tc>
          <w:tcPr>
            <w:tcW w:w="290"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16.439</w:t>
            </w:r>
          </w:p>
        </w:tc>
        <w:tc>
          <w:tcPr>
            <w:tcW w:w="291"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12.090</w:t>
            </w:r>
          </w:p>
        </w:tc>
        <w:tc>
          <w:tcPr>
            <w:tcW w:w="291"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11.419</w:t>
            </w:r>
          </w:p>
        </w:tc>
        <w:tc>
          <w:tcPr>
            <w:tcW w:w="291"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15.796</w:t>
            </w:r>
          </w:p>
        </w:tc>
        <w:tc>
          <w:tcPr>
            <w:tcW w:w="291"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12.828</w:t>
            </w:r>
          </w:p>
        </w:tc>
        <w:tc>
          <w:tcPr>
            <w:tcW w:w="291"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9.470</w:t>
            </w:r>
          </w:p>
        </w:tc>
        <w:tc>
          <w:tcPr>
            <w:tcW w:w="291" w:type="pct"/>
            <w:tcBorders>
              <w:top w:val="single" w:sz="4" w:space="0" w:color="000000"/>
              <w:left w:val="single" w:sz="4" w:space="0" w:color="000000"/>
              <w:bottom w:val="nil"/>
              <w:right w:val="nil"/>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8.292</w:t>
            </w:r>
          </w:p>
        </w:tc>
        <w:tc>
          <w:tcPr>
            <w:tcW w:w="271" w:type="pct"/>
            <w:tcBorders>
              <w:top w:val="single" w:sz="4" w:space="0" w:color="000000"/>
              <w:left w:val="single" w:sz="4" w:space="0" w:color="000000"/>
              <w:bottom w:val="nil"/>
              <w:right w:val="single" w:sz="4" w:space="0" w:color="000000"/>
            </w:tcBorders>
            <w:shd w:val="clear" w:color="auto" w:fill="EAF1DD" w:themeFill="accent3" w:themeFillTint="33"/>
            <w:hideMark/>
          </w:tcPr>
          <w:p w:rsidR="00C71FCE" w:rsidRPr="008A7003" w:rsidRDefault="00C71FCE" w:rsidP="00DE703C">
            <w:pPr>
              <w:rPr>
                <w:rFonts w:ascii="Arial Narrow" w:hAnsi="Arial Narrow" w:cs="ArialMT"/>
                <w:color w:val="000000"/>
                <w:sz w:val="16"/>
                <w:szCs w:val="16"/>
                <w:lang w:val="en-GB" w:eastAsia="en-GB"/>
              </w:rPr>
            </w:pPr>
            <w:r w:rsidRPr="008A7003">
              <w:rPr>
                <w:rFonts w:ascii="Arial Narrow" w:hAnsi="Arial Narrow" w:cs="ArialMT"/>
                <w:color w:val="000000"/>
                <w:sz w:val="16"/>
                <w:szCs w:val="16"/>
                <w:lang w:val="en-GB" w:eastAsia="en-GB"/>
              </w:rPr>
              <w:t>9.020</w:t>
            </w:r>
          </w:p>
        </w:tc>
      </w:tr>
      <w:tr w:rsidR="00C71FCE" w:rsidRPr="008A7003" w:rsidTr="009C59DA">
        <w:trPr>
          <w:trHeight w:hRule="exact" w:val="340"/>
          <w:tblHeader/>
        </w:trPr>
        <w:tc>
          <w:tcPr>
            <w:tcW w:w="1482" w:type="pct"/>
            <w:tcBorders>
              <w:top w:val="single" w:sz="4" w:space="0" w:color="000000"/>
              <w:left w:val="single" w:sz="4" w:space="0" w:color="000000"/>
              <w:bottom w:val="nil"/>
              <w:right w:val="nil"/>
            </w:tcBorders>
            <w:shd w:val="clear" w:color="auto" w:fill="C2D69B" w:themeFill="accent3" w:themeFillTint="99"/>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 xml:space="preserve">1.3 </w:t>
            </w:r>
            <w:proofErr w:type="spellStart"/>
            <w:r w:rsidRPr="008A7003">
              <w:rPr>
                <w:rFonts w:ascii="Arial Narrow" w:hAnsi="Arial Narrow" w:cs="ArialMT"/>
                <w:b/>
                <w:bCs/>
                <w:color w:val="000000"/>
                <w:sz w:val="16"/>
                <w:szCs w:val="16"/>
                <w:lang w:val="en-GB" w:eastAsia="en-GB"/>
              </w:rPr>
              <w:t>Razvedrilni</w:t>
            </w:r>
            <w:proofErr w:type="spellEnd"/>
            <w:r w:rsidRPr="008A7003">
              <w:rPr>
                <w:rFonts w:ascii="Arial Narrow" w:hAnsi="Arial Narrow" w:cs="ArialMT"/>
                <w:b/>
                <w:bCs/>
                <w:color w:val="000000"/>
                <w:sz w:val="16"/>
                <w:szCs w:val="16"/>
                <w:lang w:val="en-GB" w:eastAsia="en-GB"/>
              </w:rPr>
              <w:t xml:space="preserve"> program</w:t>
            </w:r>
          </w:p>
        </w:tc>
        <w:tc>
          <w:tcPr>
            <w:tcW w:w="341" w:type="pct"/>
            <w:tcBorders>
              <w:top w:val="single" w:sz="4" w:space="0" w:color="000000"/>
              <w:left w:val="single" w:sz="4" w:space="0" w:color="000000"/>
              <w:bottom w:val="nil"/>
              <w:right w:val="nil"/>
            </w:tcBorders>
            <w:shd w:val="clear" w:color="auto" w:fill="C2D69B" w:themeFill="accent3" w:themeFillTint="99"/>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35.650</w:t>
            </w:r>
          </w:p>
        </w:tc>
        <w:tc>
          <w:tcPr>
            <w:tcW w:w="290" w:type="pct"/>
            <w:tcBorders>
              <w:top w:val="single" w:sz="4" w:space="0" w:color="000000"/>
              <w:left w:val="single" w:sz="4" w:space="0" w:color="000000"/>
              <w:bottom w:val="nil"/>
              <w:right w:val="nil"/>
            </w:tcBorders>
            <w:shd w:val="clear" w:color="auto" w:fill="C2D69B" w:themeFill="accent3" w:themeFillTint="99"/>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35.345</w:t>
            </w:r>
          </w:p>
        </w:tc>
        <w:tc>
          <w:tcPr>
            <w:tcW w:w="290" w:type="pct"/>
            <w:tcBorders>
              <w:top w:val="single" w:sz="4" w:space="0" w:color="000000"/>
              <w:left w:val="single" w:sz="4" w:space="0" w:color="000000"/>
              <w:bottom w:val="nil"/>
              <w:right w:val="nil"/>
            </w:tcBorders>
            <w:shd w:val="clear" w:color="auto" w:fill="C2D69B" w:themeFill="accent3" w:themeFillTint="99"/>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38.346</w:t>
            </w:r>
          </w:p>
        </w:tc>
        <w:tc>
          <w:tcPr>
            <w:tcW w:w="290" w:type="pct"/>
            <w:tcBorders>
              <w:top w:val="single" w:sz="4" w:space="0" w:color="000000"/>
              <w:left w:val="single" w:sz="4" w:space="0" w:color="000000"/>
              <w:bottom w:val="nil"/>
              <w:right w:val="nil"/>
            </w:tcBorders>
            <w:shd w:val="clear" w:color="auto" w:fill="C2D69B" w:themeFill="accent3" w:themeFillTint="99"/>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53.695</w:t>
            </w:r>
          </w:p>
        </w:tc>
        <w:tc>
          <w:tcPr>
            <w:tcW w:w="290" w:type="pct"/>
            <w:tcBorders>
              <w:top w:val="single" w:sz="4" w:space="0" w:color="000000"/>
              <w:left w:val="single" w:sz="4" w:space="0" w:color="000000"/>
              <w:bottom w:val="nil"/>
              <w:right w:val="nil"/>
            </w:tcBorders>
            <w:shd w:val="clear" w:color="auto" w:fill="C2D69B" w:themeFill="accent3" w:themeFillTint="99"/>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58.544</w:t>
            </w:r>
          </w:p>
        </w:tc>
        <w:tc>
          <w:tcPr>
            <w:tcW w:w="291" w:type="pct"/>
            <w:tcBorders>
              <w:top w:val="single" w:sz="4" w:space="0" w:color="000000"/>
              <w:left w:val="single" w:sz="4" w:space="0" w:color="000000"/>
              <w:bottom w:val="nil"/>
              <w:right w:val="nil"/>
            </w:tcBorders>
            <w:shd w:val="clear" w:color="auto" w:fill="C2D69B" w:themeFill="accent3" w:themeFillTint="99"/>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69.355</w:t>
            </w:r>
          </w:p>
        </w:tc>
        <w:tc>
          <w:tcPr>
            <w:tcW w:w="291" w:type="pct"/>
            <w:tcBorders>
              <w:top w:val="single" w:sz="4" w:space="0" w:color="000000"/>
              <w:left w:val="single" w:sz="4" w:space="0" w:color="000000"/>
              <w:bottom w:val="nil"/>
              <w:right w:val="nil"/>
            </w:tcBorders>
            <w:shd w:val="clear" w:color="auto" w:fill="C2D69B" w:themeFill="accent3" w:themeFillTint="99"/>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68.980</w:t>
            </w:r>
          </w:p>
        </w:tc>
        <w:tc>
          <w:tcPr>
            <w:tcW w:w="291" w:type="pct"/>
            <w:tcBorders>
              <w:top w:val="single" w:sz="4" w:space="0" w:color="000000"/>
              <w:left w:val="single" w:sz="4" w:space="0" w:color="000000"/>
              <w:bottom w:val="nil"/>
              <w:right w:val="nil"/>
            </w:tcBorders>
            <w:shd w:val="clear" w:color="auto" w:fill="C2D69B" w:themeFill="accent3" w:themeFillTint="99"/>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83.852</w:t>
            </w:r>
          </w:p>
        </w:tc>
        <w:tc>
          <w:tcPr>
            <w:tcW w:w="291" w:type="pct"/>
            <w:tcBorders>
              <w:top w:val="single" w:sz="4" w:space="0" w:color="000000"/>
              <w:left w:val="single" w:sz="4" w:space="0" w:color="000000"/>
              <w:bottom w:val="nil"/>
              <w:right w:val="nil"/>
            </w:tcBorders>
            <w:shd w:val="clear" w:color="auto" w:fill="C2D69B" w:themeFill="accent3" w:themeFillTint="99"/>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83.629</w:t>
            </w:r>
          </w:p>
        </w:tc>
        <w:tc>
          <w:tcPr>
            <w:tcW w:w="291" w:type="pct"/>
            <w:tcBorders>
              <w:top w:val="single" w:sz="4" w:space="0" w:color="000000"/>
              <w:left w:val="single" w:sz="4" w:space="0" w:color="000000"/>
              <w:bottom w:val="nil"/>
              <w:right w:val="nil"/>
            </w:tcBorders>
            <w:shd w:val="clear" w:color="auto" w:fill="C2D69B" w:themeFill="accent3" w:themeFillTint="99"/>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64.360</w:t>
            </w:r>
          </w:p>
        </w:tc>
        <w:tc>
          <w:tcPr>
            <w:tcW w:w="291" w:type="pct"/>
            <w:tcBorders>
              <w:top w:val="single" w:sz="4" w:space="0" w:color="000000"/>
              <w:left w:val="single" w:sz="4" w:space="0" w:color="000000"/>
              <w:bottom w:val="nil"/>
              <w:right w:val="nil"/>
            </w:tcBorders>
            <w:shd w:val="clear" w:color="auto" w:fill="C2D69B" w:themeFill="accent3" w:themeFillTint="99"/>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57.581</w:t>
            </w:r>
          </w:p>
        </w:tc>
        <w:tc>
          <w:tcPr>
            <w:tcW w:w="271" w:type="pct"/>
            <w:tcBorders>
              <w:top w:val="single" w:sz="4" w:space="0" w:color="000000"/>
              <w:left w:val="single" w:sz="4" w:space="0" w:color="000000"/>
              <w:bottom w:val="nil"/>
              <w:right w:val="single" w:sz="4" w:space="0" w:color="000000"/>
            </w:tcBorders>
            <w:shd w:val="clear" w:color="auto" w:fill="C2D69B" w:themeFill="accent3" w:themeFillTint="99"/>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55.061</w:t>
            </w:r>
          </w:p>
        </w:tc>
      </w:tr>
      <w:tr w:rsidR="00C71FCE" w:rsidRPr="008A7003" w:rsidTr="009C59DA">
        <w:trPr>
          <w:trHeight w:hRule="exact" w:val="340"/>
          <w:tblHeader/>
        </w:trPr>
        <w:tc>
          <w:tcPr>
            <w:tcW w:w="1482" w:type="pct"/>
            <w:tcBorders>
              <w:top w:val="single" w:sz="4" w:space="0" w:color="000000"/>
              <w:left w:val="single" w:sz="4" w:space="0" w:color="000000"/>
              <w:bottom w:val="nil"/>
              <w:right w:val="nil"/>
            </w:tcBorders>
            <w:shd w:val="clear" w:color="auto" w:fill="C2D69B" w:themeFill="accent3" w:themeFillTint="99"/>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 xml:space="preserve">1.4 </w:t>
            </w:r>
            <w:proofErr w:type="spellStart"/>
            <w:r w:rsidRPr="008A7003">
              <w:rPr>
                <w:rFonts w:ascii="Arial Narrow" w:hAnsi="Arial Narrow" w:cs="ArialMT"/>
                <w:b/>
                <w:bCs/>
                <w:color w:val="000000"/>
                <w:sz w:val="16"/>
                <w:szCs w:val="16"/>
                <w:lang w:val="en-GB" w:eastAsia="en-GB"/>
              </w:rPr>
              <w:t>Šport</w:t>
            </w:r>
            <w:proofErr w:type="spellEnd"/>
          </w:p>
        </w:tc>
        <w:tc>
          <w:tcPr>
            <w:tcW w:w="341" w:type="pct"/>
            <w:tcBorders>
              <w:top w:val="single" w:sz="4" w:space="0" w:color="000000"/>
              <w:left w:val="single" w:sz="4" w:space="0" w:color="000000"/>
              <w:bottom w:val="nil"/>
              <w:right w:val="nil"/>
            </w:tcBorders>
            <w:shd w:val="clear" w:color="auto" w:fill="C2D69B" w:themeFill="accent3" w:themeFillTint="99"/>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8.397</w:t>
            </w:r>
          </w:p>
        </w:tc>
        <w:tc>
          <w:tcPr>
            <w:tcW w:w="290" w:type="pct"/>
            <w:tcBorders>
              <w:top w:val="single" w:sz="4" w:space="0" w:color="000000"/>
              <w:left w:val="single" w:sz="4" w:space="0" w:color="000000"/>
              <w:bottom w:val="nil"/>
              <w:right w:val="nil"/>
            </w:tcBorders>
            <w:shd w:val="clear" w:color="auto" w:fill="C2D69B" w:themeFill="accent3" w:themeFillTint="99"/>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8.235</w:t>
            </w:r>
          </w:p>
        </w:tc>
        <w:tc>
          <w:tcPr>
            <w:tcW w:w="290" w:type="pct"/>
            <w:tcBorders>
              <w:top w:val="single" w:sz="4" w:space="0" w:color="000000"/>
              <w:left w:val="single" w:sz="4" w:space="0" w:color="000000"/>
              <w:bottom w:val="nil"/>
              <w:right w:val="nil"/>
            </w:tcBorders>
            <w:shd w:val="clear" w:color="auto" w:fill="C2D69B" w:themeFill="accent3" w:themeFillTint="99"/>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8.230</w:t>
            </w:r>
          </w:p>
        </w:tc>
        <w:tc>
          <w:tcPr>
            <w:tcW w:w="290" w:type="pct"/>
            <w:tcBorders>
              <w:top w:val="single" w:sz="4" w:space="0" w:color="000000"/>
              <w:left w:val="single" w:sz="4" w:space="0" w:color="000000"/>
              <w:bottom w:val="nil"/>
              <w:right w:val="nil"/>
            </w:tcBorders>
            <w:shd w:val="clear" w:color="auto" w:fill="C2D69B" w:themeFill="accent3" w:themeFillTint="99"/>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11.796</w:t>
            </w:r>
          </w:p>
        </w:tc>
        <w:tc>
          <w:tcPr>
            <w:tcW w:w="290" w:type="pct"/>
            <w:tcBorders>
              <w:top w:val="single" w:sz="4" w:space="0" w:color="000000"/>
              <w:left w:val="single" w:sz="4" w:space="0" w:color="000000"/>
              <w:bottom w:val="nil"/>
              <w:right w:val="nil"/>
            </w:tcBorders>
            <w:shd w:val="clear" w:color="auto" w:fill="C2D69B" w:themeFill="accent3" w:themeFillTint="99"/>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6.930</w:t>
            </w:r>
          </w:p>
        </w:tc>
        <w:tc>
          <w:tcPr>
            <w:tcW w:w="291" w:type="pct"/>
            <w:tcBorders>
              <w:top w:val="single" w:sz="4" w:space="0" w:color="000000"/>
              <w:left w:val="single" w:sz="4" w:space="0" w:color="000000"/>
              <w:bottom w:val="nil"/>
              <w:right w:val="nil"/>
            </w:tcBorders>
            <w:shd w:val="clear" w:color="auto" w:fill="C2D69B" w:themeFill="accent3" w:themeFillTint="99"/>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6.633</w:t>
            </w:r>
          </w:p>
        </w:tc>
        <w:tc>
          <w:tcPr>
            <w:tcW w:w="291" w:type="pct"/>
            <w:tcBorders>
              <w:top w:val="single" w:sz="4" w:space="0" w:color="000000"/>
              <w:left w:val="single" w:sz="4" w:space="0" w:color="000000"/>
              <w:bottom w:val="nil"/>
              <w:right w:val="nil"/>
            </w:tcBorders>
            <w:shd w:val="clear" w:color="auto" w:fill="C2D69B" w:themeFill="accent3" w:themeFillTint="99"/>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7.344</w:t>
            </w:r>
          </w:p>
        </w:tc>
        <w:tc>
          <w:tcPr>
            <w:tcW w:w="291" w:type="pct"/>
            <w:tcBorders>
              <w:top w:val="single" w:sz="4" w:space="0" w:color="000000"/>
              <w:left w:val="single" w:sz="4" w:space="0" w:color="000000"/>
              <w:bottom w:val="nil"/>
              <w:right w:val="nil"/>
            </w:tcBorders>
            <w:shd w:val="clear" w:color="auto" w:fill="C2D69B" w:themeFill="accent3" w:themeFillTint="99"/>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9.677</w:t>
            </w:r>
          </w:p>
        </w:tc>
        <w:tc>
          <w:tcPr>
            <w:tcW w:w="291" w:type="pct"/>
            <w:tcBorders>
              <w:top w:val="single" w:sz="4" w:space="0" w:color="000000"/>
              <w:left w:val="single" w:sz="4" w:space="0" w:color="000000"/>
              <w:bottom w:val="nil"/>
              <w:right w:val="nil"/>
            </w:tcBorders>
            <w:shd w:val="clear" w:color="auto" w:fill="C2D69B" w:themeFill="accent3" w:themeFillTint="99"/>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8.899</w:t>
            </w:r>
          </w:p>
        </w:tc>
        <w:tc>
          <w:tcPr>
            <w:tcW w:w="291" w:type="pct"/>
            <w:tcBorders>
              <w:top w:val="single" w:sz="4" w:space="0" w:color="000000"/>
              <w:left w:val="single" w:sz="4" w:space="0" w:color="000000"/>
              <w:bottom w:val="nil"/>
              <w:right w:val="nil"/>
            </w:tcBorders>
            <w:shd w:val="clear" w:color="auto" w:fill="C2D69B" w:themeFill="accent3" w:themeFillTint="99"/>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7.180</w:t>
            </w:r>
          </w:p>
        </w:tc>
        <w:tc>
          <w:tcPr>
            <w:tcW w:w="291" w:type="pct"/>
            <w:tcBorders>
              <w:top w:val="single" w:sz="4" w:space="0" w:color="000000"/>
              <w:left w:val="single" w:sz="4" w:space="0" w:color="000000"/>
              <w:bottom w:val="nil"/>
              <w:right w:val="nil"/>
            </w:tcBorders>
            <w:shd w:val="clear" w:color="auto" w:fill="C2D69B" w:themeFill="accent3" w:themeFillTint="99"/>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6.098</w:t>
            </w:r>
          </w:p>
        </w:tc>
        <w:tc>
          <w:tcPr>
            <w:tcW w:w="271" w:type="pct"/>
            <w:tcBorders>
              <w:top w:val="single" w:sz="4" w:space="0" w:color="000000"/>
              <w:left w:val="single" w:sz="4" w:space="0" w:color="000000"/>
              <w:bottom w:val="nil"/>
              <w:right w:val="single" w:sz="4" w:space="0" w:color="000000"/>
            </w:tcBorders>
            <w:shd w:val="clear" w:color="auto" w:fill="C2D69B" w:themeFill="accent3" w:themeFillTint="99"/>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6.576</w:t>
            </w:r>
          </w:p>
        </w:tc>
      </w:tr>
      <w:tr w:rsidR="00C71FCE" w:rsidRPr="008A7003" w:rsidTr="009C59DA">
        <w:trPr>
          <w:trHeight w:hRule="exact" w:val="340"/>
          <w:tblHeader/>
        </w:trPr>
        <w:tc>
          <w:tcPr>
            <w:tcW w:w="1482" w:type="pct"/>
            <w:tcBorders>
              <w:top w:val="single" w:sz="4" w:space="0" w:color="000000"/>
              <w:left w:val="single" w:sz="4" w:space="0" w:color="000000"/>
              <w:bottom w:val="nil"/>
              <w:right w:val="nil"/>
            </w:tcBorders>
            <w:shd w:val="clear" w:color="auto" w:fill="C2D69B" w:themeFill="accent3" w:themeFillTint="99"/>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 xml:space="preserve">1.5 </w:t>
            </w:r>
            <w:proofErr w:type="spellStart"/>
            <w:r w:rsidRPr="008A7003">
              <w:rPr>
                <w:rFonts w:ascii="Arial Narrow" w:hAnsi="Arial Narrow" w:cs="ArialMT"/>
                <w:b/>
                <w:bCs/>
                <w:color w:val="000000"/>
                <w:sz w:val="16"/>
                <w:szCs w:val="16"/>
                <w:lang w:val="en-GB" w:eastAsia="en-GB"/>
              </w:rPr>
              <w:t>Verski</w:t>
            </w:r>
            <w:proofErr w:type="spellEnd"/>
            <w:r w:rsidRPr="008A7003">
              <w:rPr>
                <w:rFonts w:ascii="Arial Narrow" w:hAnsi="Arial Narrow" w:cs="ArialMT"/>
                <w:b/>
                <w:bCs/>
                <w:color w:val="000000"/>
                <w:sz w:val="16"/>
                <w:szCs w:val="16"/>
                <w:lang w:val="en-GB" w:eastAsia="en-GB"/>
              </w:rPr>
              <w:t xml:space="preserve"> program</w:t>
            </w:r>
          </w:p>
        </w:tc>
        <w:tc>
          <w:tcPr>
            <w:tcW w:w="341" w:type="pct"/>
            <w:tcBorders>
              <w:top w:val="single" w:sz="4" w:space="0" w:color="000000"/>
              <w:left w:val="single" w:sz="4" w:space="0" w:color="000000"/>
              <w:bottom w:val="nil"/>
              <w:right w:val="nil"/>
            </w:tcBorders>
            <w:shd w:val="clear" w:color="auto" w:fill="C2D69B" w:themeFill="accent3" w:themeFillTint="99"/>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1.557</w:t>
            </w:r>
          </w:p>
        </w:tc>
        <w:tc>
          <w:tcPr>
            <w:tcW w:w="290" w:type="pct"/>
            <w:tcBorders>
              <w:top w:val="single" w:sz="4" w:space="0" w:color="000000"/>
              <w:left w:val="single" w:sz="4" w:space="0" w:color="000000"/>
              <w:bottom w:val="nil"/>
              <w:right w:val="nil"/>
            </w:tcBorders>
            <w:shd w:val="clear" w:color="auto" w:fill="C2D69B" w:themeFill="accent3" w:themeFillTint="99"/>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1.640</w:t>
            </w:r>
          </w:p>
        </w:tc>
        <w:tc>
          <w:tcPr>
            <w:tcW w:w="290" w:type="pct"/>
            <w:tcBorders>
              <w:top w:val="single" w:sz="4" w:space="0" w:color="000000"/>
              <w:left w:val="single" w:sz="4" w:space="0" w:color="000000"/>
              <w:bottom w:val="nil"/>
              <w:right w:val="nil"/>
            </w:tcBorders>
            <w:shd w:val="clear" w:color="auto" w:fill="C2D69B" w:themeFill="accent3" w:themeFillTint="99"/>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1.891</w:t>
            </w:r>
          </w:p>
        </w:tc>
        <w:tc>
          <w:tcPr>
            <w:tcW w:w="290" w:type="pct"/>
            <w:tcBorders>
              <w:top w:val="single" w:sz="4" w:space="0" w:color="000000"/>
              <w:left w:val="single" w:sz="4" w:space="0" w:color="000000"/>
              <w:bottom w:val="nil"/>
              <w:right w:val="nil"/>
            </w:tcBorders>
            <w:shd w:val="clear" w:color="auto" w:fill="C2D69B" w:themeFill="accent3" w:themeFillTint="99"/>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3.016</w:t>
            </w:r>
          </w:p>
        </w:tc>
        <w:tc>
          <w:tcPr>
            <w:tcW w:w="290" w:type="pct"/>
            <w:tcBorders>
              <w:top w:val="single" w:sz="4" w:space="0" w:color="000000"/>
              <w:left w:val="single" w:sz="4" w:space="0" w:color="000000"/>
              <w:bottom w:val="nil"/>
              <w:right w:val="nil"/>
            </w:tcBorders>
            <w:shd w:val="clear" w:color="auto" w:fill="C2D69B" w:themeFill="accent3" w:themeFillTint="99"/>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2.186</w:t>
            </w:r>
          </w:p>
        </w:tc>
        <w:tc>
          <w:tcPr>
            <w:tcW w:w="291" w:type="pct"/>
            <w:tcBorders>
              <w:top w:val="single" w:sz="4" w:space="0" w:color="000000"/>
              <w:left w:val="single" w:sz="4" w:space="0" w:color="000000"/>
              <w:bottom w:val="nil"/>
              <w:right w:val="nil"/>
            </w:tcBorders>
            <w:shd w:val="clear" w:color="auto" w:fill="C2D69B" w:themeFill="accent3" w:themeFillTint="99"/>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1.743</w:t>
            </w:r>
          </w:p>
        </w:tc>
        <w:tc>
          <w:tcPr>
            <w:tcW w:w="291" w:type="pct"/>
            <w:tcBorders>
              <w:top w:val="single" w:sz="4" w:space="0" w:color="000000"/>
              <w:left w:val="single" w:sz="4" w:space="0" w:color="000000"/>
              <w:bottom w:val="nil"/>
              <w:right w:val="nil"/>
            </w:tcBorders>
            <w:shd w:val="clear" w:color="auto" w:fill="C2D69B" w:themeFill="accent3" w:themeFillTint="99"/>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1.675</w:t>
            </w:r>
          </w:p>
        </w:tc>
        <w:tc>
          <w:tcPr>
            <w:tcW w:w="291" w:type="pct"/>
            <w:tcBorders>
              <w:top w:val="single" w:sz="4" w:space="0" w:color="000000"/>
              <w:left w:val="single" w:sz="4" w:space="0" w:color="000000"/>
              <w:bottom w:val="nil"/>
              <w:right w:val="nil"/>
            </w:tcBorders>
            <w:shd w:val="clear" w:color="auto" w:fill="C2D69B" w:themeFill="accent3" w:themeFillTint="99"/>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2.264</w:t>
            </w:r>
          </w:p>
        </w:tc>
        <w:tc>
          <w:tcPr>
            <w:tcW w:w="291" w:type="pct"/>
            <w:tcBorders>
              <w:top w:val="single" w:sz="4" w:space="0" w:color="000000"/>
              <w:left w:val="single" w:sz="4" w:space="0" w:color="000000"/>
              <w:bottom w:val="nil"/>
              <w:right w:val="nil"/>
            </w:tcBorders>
            <w:shd w:val="clear" w:color="auto" w:fill="C2D69B" w:themeFill="accent3" w:themeFillTint="99"/>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2.723</w:t>
            </w:r>
          </w:p>
        </w:tc>
        <w:tc>
          <w:tcPr>
            <w:tcW w:w="291" w:type="pct"/>
            <w:tcBorders>
              <w:top w:val="single" w:sz="4" w:space="0" w:color="000000"/>
              <w:left w:val="single" w:sz="4" w:space="0" w:color="000000"/>
              <w:bottom w:val="nil"/>
              <w:right w:val="nil"/>
            </w:tcBorders>
            <w:shd w:val="clear" w:color="auto" w:fill="C2D69B" w:themeFill="accent3" w:themeFillTint="99"/>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2.462</w:t>
            </w:r>
          </w:p>
        </w:tc>
        <w:tc>
          <w:tcPr>
            <w:tcW w:w="291" w:type="pct"/>
            <w:tcBorders>
              <w:top w:val="single" w:sz="4" w:space="0" w:color="000000"/>
              <w:left w:val="single" w:sz="4" w:space="0" w:color="000000"/>
              <w:bottom w:val="nil"/>
              <w:right w:val="nil"/>
            </w:tcBorders>
            <w:shd w:val="clear" w:color="auto" w:fill="C2D69B" w:themeFill="accent3" w:themeFillTint="99"/>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1.862</w:t>
            </w:r>
          </w:p>
        </w:tc>
        <w:tc>
          <w:tcPr>
            <w:tcW w:w="271" w:type="pct"/>
            <w:tcBorders>
              <w:top w:val="single" w:sz="4" w:space="0" w:color="000000"/>
              <w:left w:val="single" w:sz="4" w:space="0" w:color="000000"/>
              <w:bottom w:val="nil"/>
              <w:right w:val="single" w:sz="4" w:space="0" w:color="000000"/>
            </w:tcBorders>
            <w:shd w:val="clear" w:color="auto" w:fill="C2D69B" w:themeFill="accent3" w:themeFillTint="99"/>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1.674</w:t>
            </w:r>
          </w:p>
        </w:tc>
      </w:tr>
      <w:tr w:rsidR="00C71FCE" w:rsidRPr="008A7003" w:rsidTr="009C59DA">
        <w:trPr>
          <w:trHeight w:hRule="exact" w:val="340"/>
          <w:tblHeader/>
        </w:trPr>
        <w:tc>
          <w:tcPr>
            <w:tcW w:w="1482" w:type="pct"/>
            <w:tcBorders>
              <w:top w:val="single" w:sz="4" w:space="0" w:color="000000"/>
              <w:left w:val="single" w:sz="4" w:space="0" w:color="000000"/>
              <w:bottom w:val="nil"/>
              <w:right w:val="nil"/>
            </w:tcBorders>
            <w:shd w:val="clear" w:color="auto" w:fill="C2D69B" w:themeFill="accent3" w:themeFillTint="99"/>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 xml:space="preserve">1.6 </w:t>
            </w:r>
            <w:proofErr w:type="spellStart"/>
            <w:r w:rsidRPr="008A7003">
              <w:rPr>
                <w:rFonts w:ascii="Arial Narrow" w:hAnsi="Arial Narrow" w:cs="ArialMT"/>
                <w:b/>
                <w:bCs/>
                <w:color w:val="000000"/>
                <w:sz w:val="16"/>
                <w:szCs w:val="16"/>
                <w:lang w:val="en-GB" w:eastAsia="en-GB"/>
              </w:rPr>
              <w:t>Oddaje</w:t>
            </w:r>
            <w:proofErr w:type="spellEnd"/>
            <w:r w:rsidRPr="008A7003">
              <w:rPr>
                <w:rFonts w:ascii="Arial Narrow" w:hAnsi="Arial Narrow" w:cs="ArialMT"/>
                <w:b/>
                <w:bCs/>
                <w:color w:val="000000"/>
                <w:sz w:val="16"/>
                <w:szCs w:val="16"/>
                <w:lang w:val="en-GB" w:eastAsia="en-GB"/>
              </w:rPr>
              <w:t xml:space="preserve"> </w:t>
            </w:r>
            <w:proofErr w:type="spellStart"/>
            <w:r w:rsidRPr="008A7003">
              <w:rPr>
                <w:rFonts w:ascii="Arial Narrow" w:hAnsi="Arial Narrow" w:cs="ArialMT"/>
                <w:b/>
                <w:bCs/>
                <w:color w:val="000000"/>
                <w:sz w:val="16"/>
                <w:szCs w:val="16"/>
                <w:lang w:val="en-GB" w:eastAsia="en-GB"/>
              </w:rPr>
              <w:t>za</w:t>
            </w:r>
            <w:proofErr w:type="spellEnd"/>
            <w:r w:rsidRPr="008A7003">
              <w:rPr>
                <w:rFonts w:ascii="Arial Narrow" w:hAnsi="Arial Narrow" w:cs="ArialMT"/>
                <w:b/>
                <w:bCs/>
                <w:color w:val="000000"/>
                <w:sz w:val="16"/>
                <w:szCs w:val="16"/>
                <w:lang w:val="en-GB" w:eastAsia="en-GB"/>
              </w:rPr>
              <w:t xml:space="preserve"> </w:t>
            </w:r>
            <w:proofErr w:type="spellStart"/>
            <w:r w:rsidRPr="008A7003">
              <w:rPr>
                <w:rFonts w:ascii="Arial Narrow" w:hAnsi="Arial Narrow" w:cs="ArialMT"/>
                <w:b/>
                <w:bCs/>
                <w:color w:val="000000"/>
                <w:sz w:val="16"/>
                <w:szCs w:val="16"/>
                <w:lang w:val="en-GB" w:eastAsia="en-GB"/>
              </w:rPr>
              <w:t>Slovence</w:t>
            </w:r>
            <w:proofErr w:type="spellEnd"/>
            <w:r w:rsidRPr="008A7003">
              <w:rPr>
                <w:rFonts w:ascii="Arial Narrow" w:hAnsi="Arial Narrow" w:cs="ArialMT"/>
                <w:b/>
                <w:bCs/>
                <w:color w:val="000000"/>
                <w:sz w:val="16"/>
                <w:szCs w:val="16"/>
                <w:lang w:val="en-GB" w:eastAsia="en-GB"/>
              </w:rPr>
              <w:t xml:space="preserve"> </w:t>
            </w:r>
            <w:proofErr w:type="spellStart"/>
            <w:r w:rsidRPr="008A7003">
              <w:rPr>
                <w:rFonts w:ascii="Arial Narrow" w:hAnsi="Arial Narrow" w:cs="ArialMT"/>
                <w:b/>
                <w:bCs/>
                <w:color w:val="000000"/>
                <w:sz w:val="16"/>
                <w:szCs w:val="16"/>
                <w:lang w:val="en-GB" w:eastAsia="en-GB"/>
              </w:rPr>
              <w:t>zunaj</w:t>
            </w:r>
            <w:proofErr w:type="spellEnd"/>
            <w:r w:rsidRPr="008A7003">
              <w:rPr>
                <w:rFonts w:ascii="Arial Narrow" w:hAnsi="Arial Narrow" w:cs="ArialMT"/>
                <w:b/>
                <w:bCs/>
                <w:color w:val="000000"/>
                <w:sz w:val="16"/>
                <w:szCs w:val="16"/>
                <w:lang w:val="en-GB" w:eastAsia="en-GB"/>
              </w:rPr>
              <w:t xml:space="preserve"> RS</w:t>
            </w:r>
          </w:p>
        </w:tc>
        <w:tc>
          <w:tcPr>
            <w:tcW w:w="341" w:type="pct"/>
            <w:tcBorders>
              <w:top w:val="single" w:sz="4" w:space="0" w:color="000000"/>
              <w:left w:val="single" w:sz="4" w:space="0" w:color="000000"/>
              <w:bottom w:val="nil"/>
              <w:right w:val="nil"/>
            </w:tcBorders>
            <w:shd w:val="clear" w:color="auto" w:fill="C2D69B" w:themeFill="accent3" w:themeFillTint="99"/>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1.044</w:t>
            </w:r>
          </w:p>
        </w:tc>
        <w:tc>
          <w:tcPr>
            <w:tcW w:w="290" w:type="pct"/>
            <w:tcBorders>
              <w:top w:val="single" w:sz="4" w:space="0" w:color="000000"/>
              <w:left w:val="single" w:sz="4" w:space="0" w:color="000000"/>
              <w:bottom w:val="nil"/>
              <w:right w:val="nil"/>
            </w:tcBorders>
            <w:shd w:val="clear" w:color="auto" w:fill="C2D69B" w:themeFill="accent3" w:themeFillTint="99"/>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1.144</w:t>
            </w:r>
          </w:p>
        </w:tc>
        <w:tc>
          <w:tcPr>
            <w:tcW w:w="290" w:type="pct"/>
            <w:tcBorders>
              <w:top w:val="single" w:sz="4" w:space="0" w:color="000000"/>
              <w:left w:val="single" w:sz="4" w:space="0" w:color="000000"/>
              <w:bottom w:val="nil"/>
              <w:right w:val="nil"/>
            </w:tcBorders>
            <w:shd w:val="clear" w:color="auto" w:fill="C2D69B" w:themeFill="accent3" w:themeFillTint="99"/>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1.125</w:t>
            </w:r>
          </w:p>
        </w:tc>
        <w:tc>
          <w:tcPr>
            <w:tcW w:w="290" w:type="pct"/>
            <w:tcBorders>
              <w:top w:val="single" w:sz="4" w:space="0" w:color="000000"/>
              <w:left w:val="single" w:sz="4" w:space="0" w:color="000000"/>
              <w:bottom w:val="nil"/>
              <w:right w:val="nil"/>
            </w:tcBorders>
            <w:shd w:val="clear" w:color="auto" w:fill="C2D69B" w:themeFill="accent3" w:themeFillTint="99"/>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639</w:t>
            </w:r>
          </w:p>
        </w:tc>
        <w:tc>
          <w:tcPr>
            <w:tcW w:w="290" w:type="pct"/>
            <w:tcBorders>
              <w:top w:val="single" w:sz="4" w:space="0" w:color="000000"/>
              <w:left w:val="single" w:sz="4" w:space="0" w:color="000000"/>
              <w:bottom w:val="nil"/>
              <w:right w:val="nil"/>
            </w:tcBorders>
            <w:shd w:val="clear" w:color="auto" w:fill="C2D69B" w:themeFill="accent3" w:themeFillTint="99"/>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621</w:t>
            </w:r>
          </w:p>
        </w:tc>
        <w:tc>
          <w:tcPr>
            <w:tcW w:w="291" w:type="pct"/>
            <w:tcBorders>
              <w:top w:val="single" w:sz="4" w:space="0" w:color="000000"/>
              <w:left w:val="single" w:sz="4" w:space="0" w:color="000000"/>
              <w:bottom w:val="nil"/>
              <w:right w:val="nil"/>
            </w:tcBorders>
            <w:shd w:val="clear" w:color="auto" w:fill="C2D69B" w:themeFill="accent3" w:themeFillTint="99"/>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640</w:t>
            </w:r>
          </w:p>
        </w:tc>
        <w:tc>
          <w:tcPr>
            <w:tcW w:w="291" w:type="pct"/>
            <w:tcBorders>
              <w:top w:val="single" w:sz="4" w:space="0" w:color="000000"/>
              <w:left w:val="single" w:sz="4" w:space="0" w:color="000000"/>
              <w:bottom w:val="nil"/>
              <w:right w:val="nil"/>
            </w:tcBorders>
            <w:shd w:val="clear" w:color="auto" w:fill="C2D69B" w:themeFill="accent3" w:themeFillTint="99"/>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927</w:t>
            </w:r>
          </w:p>
        </w:tc>
        <w:tc>
          <w:tcPr>
            <w:tcW w:w="291" w:type="pct"/>
            <w:tcBorders>
              <w:top w:val="single" w:sz="4" w:space="0" w:color="000000"/>
              <w:left w:val="single" w:sz="4" w:space="0" w:color="000000"/>
              <w:bottom w:val="nil"/>
              <w:right w:val="nil"/>
            </w:tcBorders>
            <w:shd w:val="clear" w:color="auto" w:fill="C2D69B" w:themeFill="accent3" w:themeFillTint="99"/>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1.011</w:t>
            </w:r>
          </w:p>
        </w:tc>
        <w:tc>
          <w:tcPr>
            <w:tcW w:w="291" w:type="pct"/>
            <w:tcBorders>
              <w:top w:val="single" w:sz="4" w:space="0" w:color="000000"/>
              <w:left w:val="single" w:sz="4" w:space="0" w:color="000000"/>
              <w:bottom w:val="nil"/>
              <w:right w:val="nil"/>
            </w:tcBorders>
            <w:shd w:val="clear" w:color="auto" w:fill="C2D69B" w:themeFill="accent3" w:themeFillTint="99"/>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977</w:t>
            </w:r>
          </w:p>
        </w:tc>
        <w:tc>
          <w:tcPr>
            <w:tcW w:w="291" w:type="pct"/>
            <w:tcBorders>
              <w:top w:val="single" w:sz="4" w:space="0" w:color="000000"/>
              <w:left w:val="single" w:sz="4" w:space="0" w:color="000000"/>
              <w:bottom w:val="nil"/>
              <w:right w:val="nil"/>
            </w:tcBorders>
            <w:shd w:val="clear" w:color="auto" w:fill="C2D69B" w:themeFill="accent3" w:themeFillTint="99"/>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866</w:t>
            </w:r>
          </w:p>
        </w:tc>
        <w:tc>
          <w:tcPr>
            <w:tcW w:w="291" w:type="pct"/>
            <w:tcBorders>
              <w:top w:val="single" w:sz="4" w:space="0" w:color="000000"/>
              <w:left w:val="single" w:sz="4" w:space="0" w:color="000000"/>
              <w:bottom w:val="nil"/>
              <w:right w:val="nil"/>
            </w:tcBorders>
            <w:shd w:val="clear" w:color="auto" w:fill="C2D69B" w:themeFill="accent3" w:themeFillTint="99"/>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1.002</w:t>
            </w:r>
          </w:p>
        </w:tc>
        <w:tc>
          <w:tcPr>
            <w:tcW w:w="271" w:type="pct"/>
            <w:tcBorders>
              <w:top w:val="single" w:sz="4" w:space="0" w:color="000000"/>
              <w:left w:val="single" w:sz="4" w:space="0" w:color="000000"/>
              <w:bottom w:val="nil"/>
              <w:right w:val="single" w:sz="4" w:space="0" w:color="000000"/>
            </w:tcBorders>
            <w:shd w:val="clear" w:color="auto" w:fill="C2D69B" w:themeFill="accent3" w:themeFillTint="99"/>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923</w:t>
            </w:r>
          </w:p>
        </w:tc>
      </w:tr>
      <w:tr w:rsidR="00C71FCE" w:rsidRPr="008A7003" w:rsidTr="009C59DA">
        <w:trPr>
          <w:trHeight w:hRule="exact" w:val="340"/>
          <w:tblHeader/>
        </w:trPr>
        <w:tc>
          <w:tcPr>
            <w:tcW w:w="1482" w:type="pct"/>
            <w:tcBorders>
              <w:top w:val="single" w:sz="4" w:space="0" w:color="000000"/>
              <w:left w:val="single" w:sz="4" w:space="0" w:color="000000"/>
              <w:bottom w:val="nil"/>
              <w:right w:val="nil"/>
            </w:tcBorders>
            <w:shd w:val="clear" w:color="auto" w:fill="C2D69B" w:themeFill="accent3" w:themeFillTint="99"/>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1.7 Drug program (</w:t>
            </w:r>
            <w:proofErr w:type="spellStart"/>
            <w:r w:rsidRPr="008A7003">
              <w:rPr>
                <w:rFonts w:ascii="Arial Narrow" w:hAnsi="Arial Narrow" w:cs="ArialMT"/>
                <w:b/>
                <w:bCs/>
                <w:color w:val="000000"/>
                <w:sz w:val="16"/>
                <w:szCs w:val="16"/>
                <w:lang w:val="en-GB" w:eastAsia="en-GB"/>
              </w:rPr>
              <w:t>brez</w:t>
            </w:r>
            <w:proofErr w:type="spellEnd"/>
            <w:r w:rsidRPr="008A7003">
              <w:rPr>
                <w:rFonts w:ascii="Arial Narrow" w:hAnsi="Arial Narrow" w:cs="ArialMT"/>
                <w:b/>
                <w:bCs/>
                <w:color w:val="000000"/>
                <w:sz w:val="16"/>
                <w:szCs w:val="16"/>
                <w:lang w:val="en-GB" w:eastAsia="en-GB"/>
              </w:rPr>
              <w:t xml:space="preserve"> EPP, </w:t>
            </w:r>
            <w:proofErr w:type="spellStart"/>
            <w:r w:rsidRPr="008A7003">
              <w:rPr>
                <w:rFonts w:ascii="Arial Narrow" w:hAnsi="Arial Narrow" w:cs="ArialMT"/>
                <w:b/>
                <w:bCs/>
                <w:color w:val="000000"/>
                <w:sz w:val="16"/>
                <w:szCs w:val="16"/>
                <w:lang w:val="en-GB" w:eastAsia="en-GB"/>
              </w:rPr>
              <w:t>drugih</w:t>
            </w:r>
            <w:proofErr w:type="spellEnd"/>
            <w:r w:rsidRPr="008A7003">
              <w:rPr>
                <w:rFonts w:ascii="Arial Narrow" w:hAnsi="Arial Narrow" w:cs="ArialMT"/>
                <w:b/>
                <w:bCs/>
                <w:color w:val="000000"/>
                <w:sz w:val="16"/>
                <w:szCs w:val="16"/>
                <w:lang w:val="en-GB" w:eastAsia="en-GB"/>
              </w:rPr>
              <w:t xml:space="preserve"> </w:t>
            </w:r>
            <w:proofErr w:type="spellStart"/>
            <w:r w:rsidRPr="008A7003">
              <w:rPr>
                <w:rFonts w:ascii="Arial Narrow" w:hAnsi="Arial Narrow" w:cs="ArialMT"/>
                <w:b/>
                <w:bCs/>
                <w:color w:val="000000"/>
                <w:sz w:val="16"/>
                <w:szCs w:val="16"/>
                <w:lang w:val="en-GB" w:eastAsia="en-GB"/>
              </w:rPr>
              <w:t>plačanih</w:t>
            </w:r>
            <w:proofErr w:type="spellEnd"/>
            <w:r w:rsidRPr="008A7003">
              <w:rPr>
                <w:rFonts w:ascii="Arial Narrow" w:hAnsi="Arial Narrow" w:cs="ArialMT"/>
                <w:b/>
                <w:bCs/>
                <w:color w:val="000000"/>
                <w:sz w:val="16"/>
                <w:szCs w:val="16"/>
                <w:lang w:val="en-GB" w:eastAsia="en-GB"/>
              </w:rPr>
              <w:t xml:space="preserve"> </w:t>
            </w:r>
            <w:proofErr w:type="spellStart"/>
            <w:r w:rsidRPr="008A7003">
              <w:rPr>
                <w:rFonts w:ascii="Arial Narrow" w:hAnsi="Arial Narrow" w:cs="ArialMT"/>
                <w:b/>
                <w:bCs/>
                <w:color w:val="000000"/>
                <w:sz w:val="16"/>
                <w:szCs w:val="16"/>
                <w:lang w:val="en-GB" w:eastAsia="en-GB"/>
              </w:rPr>
              <w:t>obvestil</w:t>
            </w:r>
            <w:proofErr w:type="spellEnd"/>
            <w:r w:rsidRPr="008A7003">
              <w:rPr>
                <w:rFonts w:ascii="Arial Narrow" w:hAnsi="Arial Narrow" w:cs="ArialMT"/>
                <w:b/>
                <w:bCs/>
                <w:color w:val="000000"/>
                <w:sz w:val="16"/>
                <w:szCs w:val="16"/>
                <w:lang w:val="en-GB" w:eastAsia="en-GB"/>
              </w:rPr>
              <w:t>)</w:t>
            </w:r>
          </w:p>
        </w:tc>
        <w:tc>
          <w:tcPr>
            <w:tcW w:w="341" w:type="pct"/>
            <w:tcBorders>
              <w:top w:val="single" w:sz="4" w:space="0" w:color="000000"/>
              <w:left w:val="single" w:sz="4" w:space="0" w:color="000000"/>
              <w:bottom w:val="nil"/>
              <w:right w:val="nil"/>
            </w:tcBorders>
            <w:shd w:val="clear" w:color="auto" w:fill="C2D69B" w:themeFill="accent3" w:themeFillTint="99"/>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5.003</w:t>
            </w:r>
          </w:p>
        </w:tc>
        <w:tc>
          <w:tcPr>
            <w:tcW w:w="290" w:type="pct"/>
            <w:tcBorders>
              <w:top w:val="single" w:sz="4" w:space="0" w:color="000000"/>
              <w:left w:val="single" w:sz="4" w:space="0" w:color="000000"/>
              <w:bottom w:val="nil"/>
              <w:right w:val="nil"/>
            </w:tcBorders>
            <w:shd w:val="clear" w:color="auto" w:fill="C2D69B" w:themeFill="accent3" w:themeFillTint="99"/>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5.187</w:t>
            </w:r>
          </w:p>
        </w:tc>
        <w:tc>
          <w:tcPr>
            <w:tcW w:w="290" w:type="pct"/>
            <w:tcBorders>
              <w:top w:val="single" w:sz="4" w:space="0" w:color="000000"/>
              <w:left w:val="single" w:sz="4" w:space="0" w:color="000000"/>
              <w:bottom w:val="nil"/>
              <w:right w:val="nil"/>
            </w:tcBorders>
            <w:shd w:val="clear" w:color="auto" w:fill="C2D69B" w:themeFill="accent3" w:themeFillTint="99"/>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687</w:t>
            </w:r>
          </w:p>
        </w:tc>
        <w:tc>
          <w:tcPr>
            <w:tcW w:w="290" w:type="pct"/>
            <w:tcBorders>
              <w:top w:val="single" w:sz="4" w:space="0" w:color="000000"/>
              <w:left w:val="single" w:sz="4" w:space="0" w:color="000000"/>
              <w:bottom w:val="nil"/>
              <w:right w:val="nil"/>
            </w:tcBorders>
            <w:shd w:val="clear" w:color="auto" w:fill="C2D69B" w:themeFill="accent3" w:themeFillTint="99"/>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5.228</w:t>
            </w:r>
          </w:p>
        </w:tc>
        <w:tc>
          <w:tcPr>
            <w:tcW w:w="290" w:type="pct"/>
            <w:tcBorders>
              <w:top w:val="single" w:sz="4" w:space="0" w:color="000000"/>
              <w:left w:val="single" w:sz="4" w:space="0" w:color="000000"/>
              <w:bottom w:val="nil"/>
              <w:right w:val="nil"/>
            </w:tcBorders>
            <w:shd w:val="clear" w:color="auto" w:fill="C2D69B" w:themeFill="accent3" w:themeFillTint="99"/>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5.444</w:t>
            </w:r>
          </w:p>
        </w:tc>
        <w:tc>
          <w:tcPr>
            <w:tcW w:w="291" w:type="pct"/>
            <w:tcBorders>
              <w:top w:val="single" w:sz="4" w:space="0" w:color="000000"/>
              <w:left w:val="single" w:sz="4" w:space="0" w:color="000000"/>
              <w:bottom w:val="nil"/>
              <w:right w:val="nil"/>
            </w:tcBorders>
            <w:shd w:val="clear" w:color="auto" w:fill="C2D69B" w:themeFill="accent3" w:themeFillTint="99"/>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4.208</w:t>
            </w:r>
          </w:p>
        </w:tc>
        <w:tc>
          <w:tcPr>
            <w:tcW w:w="291" w:type="pct"/>
            <w:tcBorders>
              <w:top w:val="single" w:sz="4" w:space="0" w:color="000000"/>
              <w:left w:val="single" w:sz="4" w:space="0" w:color="000000"/>
              <w:bottom w:val="nil"/>
              <w:right w:val="nil"/>
            </w:tcBorders>
            <w:shd w:val="clear" w:color="auto" w:fill="C2D69B" w:themeFill="accent3" w:themeFillTint="99"/>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4.778</w:t>
            </w:r>
          </w:p>
        </w:tc>
        <w:tc>
          <w:tcPr>
            <w:tcW w:w="291" w:type="pct"/>
            <w:tcBorders>
              <w:top w:val="single" w:sz="4" w:space="0" w:color="000000"/>
              <w:left w:val="single" w:sz="4" w:space="0" w:color="000000"/>
              <w:bottom w:val="nil"/>
              <w:right w:val="nil"/>
            </w:tcBorders>
            <w:shd w:val="clear" w:color="auto" w:fill="C2D69B" w:themeFill="accent3" w:themeFillTint="99"/>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5.613</w:t>
            </w:r>
          </w:p>
        </w:tc>
        <w:tc>
          <w:tcPr>
            <w:tcW w:w="291" w:type="pct"/>
            <w:tcBorders>
              <w:top w:val="single" w:sz="4" w:space="0" w:color="000000"/>
              <w:left w:val="single" w:sz="4" w:space="0" w:color="000000"/>
              <w:bottom w:val="nil"/>
              <w:right w:val="nil"/>
            </w:tcBorders>
            <w:shd w:val="clear" w:color="auto" w:fill="C2D69B" w:themeFill="accent3" w:themeFillTint="99"/>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7.040</w:t>
            </w:r>
          </w:p>
        </w:tc>
        <w:tc>
          <w:tcPr>
            <w:tcW w:w="291" w:type="pct"/>
            <w:tcBorders>
              <w:top w:val="single" w:sz="4" w:space="0" w:color="000000"/>
              <w:left w:val="single" w:sz="4" w:space="0" w:color="000000"/>
              <w:bottom w:val="nil"/>
              <w:right w:val="nil"/>
            </w:tcBorders>
            <w:shd w:val="clear" w:color="auto" w:fill="C2D69B" w:themeFill="accent3" w:themeFillTint="99"/>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5.693</w:t>
            </w:r>
          </w:p>
        </w:tc>
        <w:tc>
          <w:tcPr>
            <w:tcW w:w="291" w:type="pct"/>
            <w:tcBorders>
              <w:top w:val="single" w:sz="4" w:space="0" w:color="000000"/>
              <w:left w:val="single" w:sz="4" w:space="0" w:color="000000"/>
              <w:bottom w:val="nil"/>
              <w:right w:val="nil"/>
            </w:tcBorders>
            <w:shd w:val="clear" w:color="auto" w:fill="C2D69B" w:themeFill="accent3" w:themeFillTint="99"/>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4.729</w:t>
            </w:r>
          </w:p>
        </w:tc>
        <w:tc>
          <w:tcPr>
            <w:tcW w:w="271" w:type="pct"/>
            <w:tcBorders>
              <w:top w:val="single" w:sz="4" w:space="0" w:color="000000"/>
              <w:left w:val="single" w:sz="4" w:space="0" w:color="000000"/>
              <w:bottom w:val="nil"/>
              <w:right w:val="single" w:sz="4" w:space="0" w:color="000000"/>
            </w:tcBorders>
            <w:shd w:val="clear" w:color="auto" w:fill="C2D69B" w:themeFill="accent3" w:themeFillTint="99"/>
            <w:hideMark/>
          </w:tcPr>
          <w:p w:rsidR="00C71FCE" w:rsidRPr="008A7003" w:rsidRDefault="00C71FCE" w:rsidP="00DE703C">
            <w:pPr>
              <w:rPr>
                <w:rFonts w:ascii="Arial Narrow" w:hAnsi="Arial Narrow" w:cs="ArialMT"/>
                <w:b/>
                <w:bCs/>
                <w:color w:val="000000"/>
                <w:sz w:val="16"/>
                <w:szCs w:val="16"/>
                <w:lang w:val="en-GB" w:eastAsia="en-GB"/>
              </w:rPr>
            </w:pPr>
            <w:r w:rsidRPr="008A7003">
              <w:rPr>
                <w:rFonts w:ascii="Arial Narrow" w:hAnsi="Arial Narrow" w:cs="ArialMT"/>
                <w:b/>
                <w:bCs/>
                <w:color w:val="000000"/>
                <w:sz w:val="16"/>
                <w:szCs w:val="16"/>
                <w:lang w:val="en-GB" w:eastAsia="en-GB"/>
              </w:rPr>
              <w:t>3.349</w:t>
            </w:r>
          </w:p>
        </w:tc>
      </w:tr>
      <w:tr w:rsidR="00C71FCE" w:rsidRPr="008A7003" w:rsidTr="009C59DA">
        <w:trPr>
          <w:trHeight w:hRule="exact" w:val="340"/>
          <w:tblHeader/>
        </w:trPr>
        <w:tc>
          <w:tcPr>
            <w:tcW w:w="1482" w:type="pct"/>
            <w:tcBorders>
              <w:top w:val="single" w:sz="4" w:space="0" w:color="000000"/>
              <w:left w:val="single" w:sz="4" w:space="0" w:color="000000"/>
              <w:bottom w:val="nil"/>
              <w:right w:val="nil"/>
            </w:tcBorders>
            <w:shd w:val="clear" w:color="auto" w:fill="9BBB59" w:themeFill="accent3"/>
            <w:hideMark/>
          </w:tcPr>
          <w:p w:rsidR="00C71FCE" w:rsidRPr="008A7003" w:rsidRDefault="00C71FCE" w:rsidP="00DE703C">
            <w:pPr>
              <w:rPr>
                <w:rFonts w:ascii="Arial Narrow" w:hAnsi="Arial Narrow" w:cs="ArialMT"/>
                <w:b/>
                <w:bCs/>
                <w:i/>
                <w:iCs/>
                <w:color w:val="000000"/>
                <w:sz w:val="16"/>
                <w:szCs w:val="16"/>
                <w:lang w:val="en-GB" w:eastAsia="en-GB"/>
              </w:rPr>
            </w:pPr>
            <w:r w:rsidRPr="008A7003">
              <w:rPr>
                <w:rFonts w:ascii="Arial Narrow" w:hAnsi="Arial Narrow" w:cs="ArialMT"/>
                <w:b/>
                <w:bCs/>
                <w:i/>
                <w:iCs/>
                <w:color w:val="000000"/>
                <w:sz w:val="16"/>
                <w:szCs w:val="16"/>
                <w:lang w:val="en-GB" w:eastAsia="en-GB"/>
              </w:rPr>
              <w:t>2. OGLASI</w:t>
            </w:r>
          </w:p>
        </w:tc>
        <w:tc>
          <w:tcPr>
            <w:tcW w:w="341" w:type="pct"/>
            <w:tcBorders>
              <w:top w:val="single" w:sz="4" w:space="0" w:color="000000"/>
              <w:left w:val="single" w:sz="4" w:space="0" w:color="000000"/>
              <w:bottom w:val="nil"/>
              <w:right w:val="nil"/>
            </w:tcBorders>
            <w:shd w:val="clear" w:color="auto" w:fill="9BBB59" w:themeFill="accent3"/>
            <w:hideMark/>
          </w:tcPr>
          <w:p w:rsidR="00C71FCE" w:rsidRPr="008A7003" w:rsidRDefault="00C71FCE" w:rsidP="00DE703C">
            <w:pPr>
              <w:rPr>
                <w:rFonts w:ascii="Arial Narrow" w:hAnsi="Arial Narrow" w:cs="ArialMT"/>
                <w:b/>
                <w:bCs/>
                <w:i/>
                <w:iCs/>
                <w:color w:val="000000"/>
                <w:sz w:val="16"/>
                <w:szCs w:val="16"/>
                <w:lang w:val="en-GB" w:eastAsia="en-GB"/>
              </w:rPr>
            </w:pPr>
            <w:r w:rsidRPr="008A7003">
              <w:rPr>
                <w:rFonts w:ascii="Arial Narrow" w:hAnsi="Arial Narrow" w:cs="ArialMT"/>
                <w:b/>
                <w:bCs/>
                <w:i/>
                <w:iCs/>
                <w:color w:val="000000"/>
                <w:sz w:val="16"/>
                <w:szCs w:val="16"/>
                <w:lang w:val="en-GB" w:eastAsia="en-GB"/>
              </w:rPr>
              <w:t>18.369</w:t>
            </w:r>
          </w:p>
        </w:tc>
        <w:tc>
          <w:tcPr>
            <w:tcW w:w="290" w:type="pct"/>
            <w:tcBorders>
              <w:top w:val="single" w:sz="4" w:space="0" w:color="000000"/>
              <w:left w:val="single" w:sz="4" w:space="0" w:color="000000"/>
              <w:bottom w:val="nil"/>
              <w:right w:val="nil"/>
            </w:tcBorders>
            <w:shd w:val="clear" w:color="auto" w:fill="9BBB59" w:themeFill="accent3"/>
            <w:hideMark/>
          </w:tcPr>
          <w:p w:rsidR="00C71FCE" w:rsidRPr="008A7003" w:rsidRDefault="00C71FCE" w:rsidP="00DE703C">
            <w:pPr>
              <w:rPr>
                <w:rFonts w:ascii="Arial Narrow" w:hAnsi="Arial Narrow" w:cs="ArialMT"/>
                <w:b/>
                <w:bCs/>
                <w:i/>
                <w:iCs/>
                <w:color w:val="000000"/>
                <w:sz w:val="16"/>
                <w:szCs w:val="16"/>
                <w:lang w:val="en-GB" w:eastAsia="en-GB"/>
              </w:rPr>
            </w:pPr>
            <w:r w:rsidRPr="008A7003">
              <w:rPr>
                <w:rFonts w:ascii="Arial Narrow" w:hAnsi="Arial Narrow" w:cs="ArialMT"/>
                <w:b/>
                <w:bCs/>
                <w:i/>
                <w:iCs/>
                <w:color w:val="000000"/>
                <w:sz w:val="16"/>
                <w:szCs w:val="16"/>
                <w:lang w:val="en-GB" w:eastAsia="en-GB"/>
              </w:rPr>
              <w:t>19.053</w:t>
            </w:r>
          </w:p>
        </w:tc>
        <w:tc>
          <w:tcPr>
            <w:tcW w:w="290" w:type="pct"/>
            <w:tcBorders>
              <w:top w:val="single" w:sz="4" w:space="0" w:color="000000"/>
              <w:left w:val="single" w:sz="4" w:space="0" w:color="000000"/>
              <w:bottom w:val="nil"/>
              <w:right w:val="nil"/>
            </w:tcBorders>
            <w:shd w:val="clear" w:color="auto" w:fill="9BBB59" w:themeFill="accent3"/>
            <w:hideMark/>
          </w:tcPr>
          <w:p w:rsidR="00C71FCE" w:rsidRPr="008A7003" w:rsidRDefault="00C71FCE" w:rsidP="00DE703C">
            <w:pPr>
              <w:rPr>
                <w:rFonts w:ascii="Arial Narrow" w:hAnsi="Arial Narrow" w:cs="ArialMT"/>
                <w:b/>
                <w:bCs/>
                <w:i/>
                <w:iCs/>
                <w:color w:val="000000"/>
                <w:sz w:val="16"/>
                <w:szCs w:val="16"/>
                <w:lang w:val="en-GB" w:eastAsia="en-GB"/>
              </w:rPr>
            </w:pPr>
            <w:r w:rsidRPr="008A7003">
              <w:rPr>
                <w:rFonts w:ascii="Arial Narrow" w:hAnsi="Arial Narrow" w:cs="ArialMT"/>
                <w:b/>
                <w:bCs/>
                <w:i/>
                <w:iCs/>
                <w:color w:val="000000"/>
                <w:sz w:val="16"/>
                <w:szCs w:val="16"/>
                <w:lang w:val="en-GB" w:eastAsia="en-GB"/>
              </w:rPr>
              <w:t>19.590</w:t>
            </w:r>
          </w:p>
        </w:tc>
        <w:tc>
          <w:tcPr>
            <w:tcW w:w="290" w:type="pct"/>
            <w:tcBorders>
              <w:top w:val="single" w:sz="4" w:space="0" w:color="000000"/>
              <w:left w:val="single" w:sz="4" w:space="0" w:color="000000"/>
              <w:bottom w:val="nil"/>
              <w:right w:val="nil"/>
            </w:tcBorders>
            <w:shd w:val="clear" w:color="auto" w:fill="9BBB59" w:themeFill="accent3"/>
            <w:hideMark/>
          </w:tcPr>
          <w:p w:rsidR="00C71FCE" w:rsidRPr="008A7003" w:rsidRDefault="00C71FCE" w:rsidP="00DE703C">
            <w:pPr>
              <w:rPr>
                <w:rFonts w:ascii="Arial Narrow" w:hAnsi="Arial Narrow" w:cs="ArialMT"/>
                <w:b/>
                <w:bCs/>
                <w:i/>
                <w:iCs/>
                <w:color w:val="000000"/>
                <w:sz w:val="16"/>
                <w:szCs w:val="16"/>
                <w:lang w:val="en-GB" w:eastAsia="en-GB"/>
              </w:rPr>
            </w:pPr>
            <w:r w:rsidRPr="008A7003">
              <w:rPr>
                <w:rFonts w:ascii="Arial Narrow" w:hAnsi="Arial Narrow" w:cs="ArialMT"/>
                <w:b/>
                <w:bCs/>
                <w:i/>
                <w:iCs/>
                <w:color w:val="000000"/>
                <w:sz w:val="16"/>
                <w:szCs w:val="16"/>
                <w:lang w:val="en-GB" w:eastAsia="en-GB"/>
              </w:rPr>
              <w:t>35.587</w:t>
            </w:r>
          </w:p>
        </w:tc>
        <w:tc>
          <w:tcPr>
            <w:tcW w:w="290" w:type="pct"/>
            <w:tcBorders>
              <w:top w:val="single" w:sz="4" w:space="0" w:color="000000"/>
              <w:left w:val="single" w:sz="4" w:space="0" w:color="000000"/>
              <w:bottom w:val="nil"/>
              <w:right w:val="nil"/>
            </w:tcBorders>
            <w:shd w:val="clear" w:color="auto" w:fill="9BBB59" w:themeFill="accent3"/>
            <w:hideMark/>
          </w:tcPr>
          <w:p w:rsidR="00C71FCE" w:rsidRPr="008A7003" w:rsidRDefault="00C71FCE" w:rsidP="00DE703C">
            <w:pPr>
              <w:rPr>
                <w:rFonts w:ascii="Arial Narrow" w:hAnsi="Arial Narrow" w:cs="ArialMT"/>
                <w:b/>
                <w:bCs/>
                <w:i/>
                <w:iCs/>
                <w:color w:val="000000"/>
                <w:sz w:val="16"/>
                <w:szCs w:val="16"/>
                <w:lang w:val="en-GB" w:eastAsia="en-GB"/>
              </w:rPr>
            </w:pPr>
            <w:r w:rsidRPr="008A7003">
              <w:rPr>
                <w:rFonts w:ascii="Arial Narrow" w:hAnsi="Arial Narrow" w:cs="ArialMT"/>
                <w:b/>
                <w:bCs/>
                <w:i/>
                <w:iCs/>
                <w:color w:val="000000"/>
                <w:sz w:val="16"/>
                <w:szCs w:val="16"/>
                <w:lang w:val="en-GB" w:eastAsia="en-GB"/>
              </w:rPr>
              <w:t>34.555</w:t>
            </w:r>
          </w:p>
        </w:tc>
        <w:tc>
          <w:tcPr>
            <w:tcW w:w="291" w:type="pct"/>
            <w:tcBorders>
              <w:top w:val="single" w:sz="4" w:space="0" w:color="000000"/>
              <w:left w:val="single" w:sz="4" w:space="0" w:color="000000"/>
              <w:bottom w:val="nil"/>
              <w:right w:val="nil"/>
            </w:tcBorders>
            <w:shd w:val="clear" w:color="auto" w:fill="9BBB59" w:themeFill="accent3"/>
            <w:hideMark/>
          </w:tcPr>
          <w:p w:rsidR="00C71FCE" w:rsidRPr="008A7003" w:rsidRDefault="00C71FCE" w:rsidP="00DE703C">
            <w:pPr>
              <w:rPr>
                <w:rFonts w:ascii="Arial Narrow" w:hAnsi="Arial Narrow" w:cs="ArialMT"/>
                <w:b/>
                <w:bCs/>
                <w:i/>
                <w:iCs/>
                <w:color w:val="000000"/>
                <w:sz w:val="16"/>
                <w:szCs w:val="16"/>
                <w:lang w:val="en-GB" w:eastAsia="en-GB"/>
              </w:rPr>
            </w:pPr>
            <w:r w:rsidRPr="008A7003">
              <w:rPr>
                <w:rFonts w:ascii="Arial Narrow" w:hAnsi="Arial Narrow" w:cs="ArialMT"/>
                <w:b/>
                <w:bCs/>
                <w:i/>
                <w:iCs/>
                <w:color w:val="000000"/>
                <w:sz w:val="16"/>
                <w:szCs w:val="16"/>
                <w:lang w:val="en-GB" w:eastAsia="en-GB"/>
              </w:rPr>
              <w:t>34.910</w:t>
            </w:r>
          </w:p>
        </w:tc>
        <w:tc>
          <w:tcPr>
            <w:tcW w:w="291" w:type="pct"/>
            <w:tcBorders>
              <w:top w:val="single" w:sz="4" w:space="0" w:color="000000"/>
              <w:left w:val="single" w:sz="4" w:space="0" w:color="000000"/>
              <w:bottom w:val="nil"/>
              <w:right w:val="nil"/>
            </w:tcBorders>
            <w:shd w:val="clear" w:color="auto" w:fill="9BBB59" w:themeFill="accent3"/>
            <w:hideMark/>
          </w:tcPr>
          <w:p w:rsidR="00C71FCE" w:rsidRPr="008A7003" w:rsidRDefault="00C71FCE" w:rsidP="00DE703C">
            <w:pPr>
              <w:rPr>
                <w:rFonts w:ascii="Arial Narrow" w:hAnsi="Arial Narrow" w:cs="ArialMT"/>
                <w:b/>
                <w:bCs/>
                <w:i/>
                <w:iCs/>
                <w:color w:val="000000"/>
                <w:sz w:val="16"/>
                <w:szCs w:val="16"/>
                <w:lang w:val="en-GB" w:eastAsia="en-GB"/>
              </w:rPr>
            </w:pPr>
            <w:r w:rsidRPr="008A7003">
              <w:rPr>
                <w:rFonts w:ascii="Arial Narrow" w:hAnsi="Arial Narrow" w:cs="ArialMT"/>
                <w:b/>
                <w:bCs/>
                <w:i/>
                <w:iCs/>
                <w:color w:val="000000"/>
                <w:sz w:val="16"/>
                <w:szCs w:val="16"/>
                <w:lang w:val="en-GB" w:eastAsia="en-GB"/>
              </w:rPr>
              <w:t>43.636</w:t>
            </w:r>
          </w:p>
        </w:tc>
        <w:tc>
          <w:tcPr>
            <w:tcW w:w="291" w:type="pct"/>
            <w:tcBorders>
              <w:top w:val="single" w:sz="4" w:space="0" w:color="000000"/>
              <w:left w:val="single" w:sz="4" w:space="0" w:color="000000"/>
              <w:bottom w:val="nil"/>
              <w:right w:val="nil"/>
            </w:tcBorders>
            <w:shd w:val="clear" w:color="auto" w:fill="9BBB59" w:themeFill="accent3"/>
            <w:hideMark/>
          </w:tcPr>
          <w:p w:rsidR="00C71FCE" w:rsidRPr="008A7003" w:rsidRDefault="00C71FCE" w:rsidP="00DE703C">
            <w:pPr>
              <w:rPr>
                <w:rFonts w:ascii="Arial Narrow" w:hAnsi="Arial Narrow" w:cs="ArialMT"/>
                <w:b/>
                <w:bCs/>
                <w:i/>
                <w:iCs/>
                <w:color w:val="000000"/>
                <w:sz w:val="16"/>
                <w:szCs w:val="16"/>
                <w:lang w:val="en-GB" w:eastAsia="en-GB"/>
              </w:rPr>
            </w:pPr>
            <w:r w:rsidRPr="008A7003">
              <w:rPr>
                <w:rFonts w:ascii="Arial Narrow" w:hAnsi="Arial Narrow" w:cs="ArialMT"/>
                <w:b/>
                <w:bCs/>
                <w:i/>
                <w:iCs/>
                <w:color w:val="000000"/>
                <w:sz w:val="16"/>
                <w:szCs w:val="16"/>
                <w:lang w:val="en-GB" w:eastAsia="en-GB"/>
              </w:rPr>
              <w:t>49.818</w:t>
            </w:r>
          </w:p>
        </w:tc>
        <w:tc>
          <w:tcPr>
            <w:tcW w:w="291" w:type="pct"/>
            <w:tcBorders>
              <w:top w:val="single" w:sz="4" w:space="0" w:color="000000"/>
              <w:left w:val="single" w:sz="4" w:space="0" w:color="000000"/>
              <w:bottom w:val="nil"/>
              <w:right w:val="nil"/>
            </w:tcBorders>
            <w:shd w:val="clear" w:color="auto" w:fill="9BBB59" w:themeFill="accent3"/>
            <w:hideMark/>
          </w:tcPr>
          <w:p w:rsidR="00C71FCE" w:rsidRPr="008A7003" w:rsidRDefault="00C71FCE" w:rsidP="00DE703C">
            <w:pPr>
              <w:rPr>
                <w:rFonts w:ascii="Arial Narrow" w:hAnsi="Arial Narrow" w:cs="ArialMT"/>
                <w:b/>
                <w:bCs/>
                <w:i/>
                <w:iCs/>
                <w:color w:val="000000"/>
                <w:sz w:val="16"/>
                <w:szCs w:val="16"/>
                <w:lang w:val="en-GB" w:eastAsia="en-GB"/>
              </w:rPr>
            </w:pPr>
            <w:r w:rsidRPr="008A7003">
              <w:rPr>
                <w:rFonts w:ascii="Arial Narrow" w:hAnsi="Arial Narrow" w:cs="ArialMT"/>
                <w:b/>
                <w:bCs/>
                <w:i/>
                <w:iCs/>
                <w:color w:val="000000"/>
                <w:sz w:val="16"/>
                <w:szCs w:val="16"/>
                <w:lang w:val="en-GB" w:eastAsia="en-GB"/>
              </w:rPr>
              <w:t>48.390</w:t>
            </w:r>
          </w:p>
        </w:tc>
        <w:tc>
          <w:tcPr>
            <w:tcW w:w="291" w:type="pct"/>
            <w:tcBorders>
              <w:top w:val="single" w:sz="4" w:space="0" w:color="000000"/>
              <w:left w:val="single" w:sz="4" w:space="0" w:color="000000"/>
              <w:bottom w:val="nil"/>
              <w:right w:val="nil"/>
            </w:tcBorders>
            <w:shd w:val="clear" w:color="auto" w:fill="9BBB59" w:themeFill="accent3"/>
            <w:hideMark/>
          </w:tcPr>
          <w:p w:rsidR="00C71FCE" w:rsidRPr="008A7003" w:rsidRDefault="00C71FCE" w:rsidP="00DE703C">
            <w:pPr>
              <w:rPr>
                <w:rFonts w:ascii="Arial Narrow" w:hAnsi="Arial Narrow" w:cs="ArialMT"/>
                <w:b/>
                <w:bCs/>
                <w:i/>
                <w:iCs/>
                <w:color w:val="000000"/>
                <w:sz w:val="16"/>
                <w:szCs w:val="16"/>
                <w:lang w:val="en-GB" w:eastAsia="en-GB"/>
              </w:rPr>
            </w:pPr>
            <w:r w:rsidRPr="008A7003">
              <w:rPr>
                <w:rFonts w:ascii="Arial Narrow" w:hAnsi="Arial Narrow" w:cs="ArialMT"/>
                <w:b/>
                <w:bCs/>
                <w:i/>
                <w:iCs/>
                <w:color w:val="000000"/>
                <w:sz w:val="16"/>
                <w:szCs w:val="16"/>
                <w:lang w:val="en-GB" w:eastAsia="en-GB"/>
              </w:rPr>
              <w:t>43.489</w:t>
            </w:r>
          </w:p>
        </w:tc>
        <w:tc>
          <w:tcPr>
            <w:tcW w:w="291" w:type="pct"/>
            <w:tcBorders>
              <w:top w:val="single" w:sz="4" w:space="0" w:color="000000"/>
              <w:left w:val="single" w:sz="4" w:space="0" w:color="000000"/>
              <w:bottom w:val="nil"/>
              <w:right w:val="nil"/>
            </w:tcBorders>
            <w:shd w:val="clear" w:color="auto" w:fill="9BBB59" w:themeFill="accent3"/>
            <w:hideMark/>
          </w:tcPr>
          <w:p w:rsidR="00C71FCE" w:rsidRPr="008A7003" w:rsidRDefault="00C71FCE" w:rsidP="00DE703C">
            <w:pPr>
              <w:rPr>
                <w:rFonts w:ascii="Arial Narrow" w:hAnsi="Arial Narrow" w:cs="ArialMT"/>
                <w:b/>
                <w:bCs/>
                <w:i/>
                <w:iCs/>
                <w:color w:val="000000"/>
                <w:sz w:val="16"/>
                <w:szCs w:val="16"/>
                <w:lang w:val="en-GB" w:eastAsia="en-GB"/>
              </w:rPr>
            </w:pPr>
            <w:r w:rsidRPr="008A7003">
              <w:rPr>
                <w:rFonts w:ascii="Arial Narrow" w:hAnsi="Arial Narrow" w:cs="ArialMT"/>
                <w:b/>
                <w:bCs/>
                <w:i/>
                <w:iCs/>
                <w:color w:val="000000"/>
                <w:sz w:val="16"/>
                <w:szCs w:val="16"/>
                <w:lang w:val="en-GB" w:eastAsia="en-GB"/>
              </w:rPr>
              <w:t>32.542</w:t>
            </w:r>
          </w:p>
        </w:tc>
        <w:tc>
          <w:tcPr>
            <w:tcW w:w="271" w:type="pct"/>
            <w:tcBorders>
              <w:top w:val="single" w:sz="4" w:space="0" w:color="000000"/>
              <w:left w:val="single" w:sz="4" w:space="0" w:color="000000"/>
              <w:bottom w:val="nil"/>
              <w:right w:val="single" w:sz="4" w:space="0" w:color="000000"/>
            </w:tcBorders>
            <w:shd w:val="clear" w:color="auto" w:fill="9BBB59" w:themeFill="accent3"/>
            <w:hideMark/>
          </w:tcPr>
          <w:p w:rsidR="00C71FCE" w:rsidRPr="008A7003" w:rsidRDefault="00C71FCE" w:rsidP="00DE703C">
            <w:pPr>
              <w:rPr>
                <w:rFonts w:ascii="Arial Narrow" w:hAnsi="Arial Narrow" w:cs="ArialMT"/>
                <w:b/>
                <w:bCs/>
                <w:i/>
                <w:iCs/>
                <w:color w:val="000000"/>
                <w:sz w:val="16"/>
                <w:szCs w:val="16"/>
                <w:lang w:val="en-GB" w:eastAsia="en-GB"/>
              </w:rPr>
            </w:pPr>
            <w:r w:rsidRPr="008A7003">
              <w:rPr>
                <w:rFonts w:ascii="Arial Narrow" w:hAnsi="Arial Narrow" w:cs="ArialMT"/>
                <w:b/>
                <w:bCs/>
                <w:i/>
                <w:iCs/>
                <w:color w:val="000000"/>
                <w:sz w:val="16"/>
                <w:szCs w:val="16"/>
                <w:lang w:val="en-GB" w:eastAsia="en-GB"/>
              </w:rPr>
              <w:t>29.809</w:t>
            </w:r>
          </w:p>
        </w:tc>
      </w:tr>
      <w:tr w:rsidR="00C71FCE" w:rsidRPr="008A7003" w:rsidTr="009C59DA">
        <w:trPr>
          <w:trHeight w:hRule="exact" w:val="340"/>
          <w:tblHeader/>
        </w:trPr>
        <w:tc>
          <w:tcPr>
            <w:tcW w:w="1482" w:type="pct"/>
            <w:tcBorders>
              <w:top w:val="single" w:sz="4" w:space="0" w:color="000000"/>
              <w:left w:val="single" w:sz="4" w:space="0" w:color="000000"/>
              <w:bottom w:val="nil"/>
              <w:right w:val="nil"/>
            </w:tcBorders>
            <w:shd w:val="clear" w:color="auto" w:fill="9BBB59" w:themeFill="accent3"/>
            <w:hideMark/>
          </w:tcPr>
          <w:p w:rsidR="00C71FCE" w:rsidRPr="008A7003" w:rsidRDefault="00C71FCE" w:rsidP="00DE703C">
            <w:pPr>
              <w:rPr>
                <w:rFonts w:ascii="Arial Narrow" w:hAnsi="Arial Narrow" w:cs="ArialMT"/>
                <w:b/>
                <w:bCs/>
                <w:i/>
                <w:iCs/>
                <w:color w:val="000000"/>
                <w:sz w:val="16"/>
                <w:szCs w:val="16"/>
                <w:lang w:val="en-GB" w:eastAsia="en-GB"/>
              </w:rPr>
            </w:pPr>
            <w:r w:rsidRPr="008A7003">
              <w:rPr>
                <w:rFonts w:ascii="Arial Narrow" w:hAnsi="Arial Narrow" w:cs="ArialMT"/>
                <w:b/>
                <w:bCs/>
                <w:i/>
                <w:iCs/>
                <w:color w:val="000000"/>
                <w:sz w:val="16"/>
                <w:szCs w:val="16"/>
                <w:lang w:val="en-GB" w:eastAsia="en-GB"/>
              </w:rPr>
              <w:t>3. PROMOCIJSKI PROGRAM</w:t>
            </w:r>
          </w:p>
        </w:tc>
        <w:tc>
          <w:tcPr>
            <w:tcW w:w="341" w:type="pct"/>
            <w:tcBorders>
              <w:top w:val="single" w:sz="4" w:space="0" w:color="000000"/>
              <w:left w:val="single" w:sz="4" w:space="0" w:color="000000"/>
              <w:bottom w:val="nil"/>
              <w:right w:val="nil"/>
            </w:tcBorders>
            <w:shd w:val="clear" w:color="auto" w:fill="9BBB59" w:themeFill="accent3"/>
            <w:hideMark/>
          </w:tcPr>
          <w:p w:rsidR="00C71FCE" w:rsidRPr="008A7003" w:rsidRDefault="00C71FCE" w:rsidP="00DE703C">
            <w:pPr>
              <w:rPr>
                <w:rFonts w:ascii="Arial Narrow" w:hAnsi="Arial Narrow" w:cs="ArialMT"/>
                <w:b/>
                <w:bCs/>
                <w:i/>
                <w:iCs/>
                <w:color w:val="000000"/>
                <w:sz w:val="16"/>
                <w:szCs w:val="16"/>
                <w:lang w:val="en-GB" w:eastAsia="en-GB"/>
              </w:rPr>
            </w:pPr>
            <w:r w:rsidRPr="008A7003">
              <w:rPr>
                <w:rFonts w:ascii="Arial Narrow" w:hAnsi="Arial Narrow" w:cs="ArialMT"/>
                <w:b/>
                <w:bCs/>
                <w:i/>
                <w:iCs/>
                <w:color w:val="000000"/>
                <w:sz w:val="16"/>
                <w:szCs w:val="16"/>
                <w:lang w:val="en-GB" w:eastAsia="en-GB"/>
              </w:rPr>
              <w:t>3.192</w:t>
            </w:r>
          </w:p>
        </w:tc>
        <w:tc>
          <w:tcPr>
            <w:tcW w:w="290" w:type="pct"/>
            <w:tcBorders>
              <w:top w:val="single" w:sz="4" w:space="0" w:color="000000"/>
              <w:left w:val="single" w:sz="4" w:space="0" w:color="000000"/>
              <w:bottom w:val="nil"/>
              <w:right w:val="nil"/>
            </w:tcBorders>
            <w:shd w:val="clear" w:color="auto" w:fill="9BBB59" w:themeFill="accent3"/>
            <w:hideMark/>
          </w:tcPr>
          <w:p w:rsidR="00C71FCE" w:rsidRPr="008A7003" w:rsidRDefault="00C71FCE" w:rsidP="00DE703C">
            <w:pPr>
              <w:rPr>
                <w:rFonts w:ascii="Arial Narrow" w:hAnsi="Arial Narrow" w:cs="ArialMT"/>
                <w:b/>
                <w:bCs/>
                <w:i/>
                <w:iCs/>
                <w:color w:val="000000"/>
                <w:sz w:val="16"/>
                <w:szCs w:val="16"/>
                <w:lang w:val="en-GB" w:eastAsia="en-GB"/>
              </w:rPr>
            </w:pPr>
            <w:r w:rsidRPr="008A7003">
              <w:rPr>
                <w:rFonts w:ascii="Arial Narrow" w:hAnsi="Arial Narrow" w:cs="ArialMT"/>
                <w:b/>
                <w:bCs/>
                <w:i/>
                <w:iCs/>
                <w:color w:val="000000"/>
                <w:sz w:val="16"/>
                <w:szCs w:val="16"/>
                <w:lang w:val="en-GB" w:eastAsia="en-GB"/>
              </w:rPr>
              <w:t>2.965</w:t>
            </w:r>
          </w:p>
        </w:tc>
        <w:tc>
          <w:tcPr>
            <w:tcW w:w="290" w:type="pct"/>
            <w:tcBorders>
              <w:top w:val="single" w:sz="4" w:space="0" w:color="000000"/>
              <w:left w:val="single" w:sz="4" w:space="0" w:color="000000"/>
              <w:bottom w:val="nil"/>
              <w:right w:val="nil"/>
            </w:tcBorders>
            <w:shd w:val="clear" w:color="auto" w:fill="9BBB59" w:themeFill="accent3"/>
            <w:hideMark/>
          </w:tcPr>
          <w:p w:rsidR="00C71FCE" w:rsidRPr="008A7003" w:rsidRDefault="00C71FCE" w:rsidP="00DE703C">
            <w:pPr>
              <w:rPr>
                <w:rFonts w:ascii="Arial Narrow" w:hAnsi="Arial Narrow" w:cs="ArialMT"/>
                <w:b/>
                <w:bCs/>
                <w:i/>
                <w:iCs/>
                <w:color w:val="000000"/>
                <w:sz w:val="16"/>
                <w:szCs w:val="16"/>
                <w:lang w:val="en-GB" w:eastAsia="en-GB"/>
              </w:rPr>
            </w:pPr>
            <w:r w:rsidRPr="008A7003">
              <w:rPr>
                <w:rFonts w:ascii="Arial Narrow" w:hAnsi="Arial Narrow" w:cs="ArialMT"/>
                <w:b/>
                <w:bCs/>
                <w:i/>
                <w:iCs/>
                <w:color w:val="000000"/>
                <w:sz w:val="16"/>
                <w:szCs w:val="16"/>
                <w:lang w:val="en-GB" w:eastAsia="en-GB"/>
              </w:rPr>
              <w:t>4.390</w:t>
            </w:r>
          </w:p>
        </w:tc>
        <w:tc>
          <w:tcPr>
            <w:tcW w:w="290" w:type="pct"/>
            <w:tcBorders>
              <w:top w:val="single" w:sz="4" w:space="0" w:color="000000"/>
              <w:left w:val="single" w:sz="4" w:space="0" w:color="000000"/>
              <w:bottom w:val="nil"/>
              <w:right w:val="nil"/>
            </w:tcBorders>
            <w:shd w:val="clear" w:color="auto" w:fill="9BBB59" w:themeFill="accent3"/>
            <w:hideMark/>
          </w:tcPr>
          <w:p w:rsidR="00C71FCE" w:rsidRPr="008A7003" w:rsidRDefault="00C71FCE" w:rsidP="00DE703C">
            <w:pPr>
              <w:rPr>
                <w:rFonts w:ascii="Arial Narrow" w:hAnsi="Arial Narrow" w:cs="ArialMT"/>
                <w:b/>
                <w:bCs/>
                <w:i/>
                <w:iCs/>
                <w:color w:val="000000"/>
                <w:sz w:val="16"/>
                <w:szCs w:val="16"/>
                <w:lang w:val="en-GB" w:eastAsia="en-GB"/>
              </w:rPr>
            </w:pPr>
            <w:r w:rsidRPr="008A7003">
              <w:rPr>
                <w:rFonts w:ascii="Arial Narrow" w:hAnsi="Arial Narrow" w:cs="ArialMT"/>
                <w:b/>
                <w:bCs/>
                <w:i/>
                <w:iCs/>
                <w:color w:val="000000"/>
                <w:sz w:val="16"/>
                <w:szCs w:val="16"/>
                <w:lang w:val="en-GB" w:eastAsia="en-GB"/>
              </w:rPr>
              <w:t>3.222</w:t>
            </w:r>
          </w:p>
        </w:tc>
        <w:tc>
          <w:tcPr>
            <w:tcW w:w="290" w:type="pct"/>
            <w:tcBorders>
              <w:top w:val="single" w:sz="4" w:space="0" w:color="000000"/>
              <w:left w:val="single" w:sz="4" w:space="0" w:color="000000"/>
              <w:bottom w:val="nil"/>
              <w:right w:val="nil"/>
            </w:tcBorders>
            <w:shd w:val="clear" w:color="auto" w:fill="9BBB59" w:themeFill="accent3"/>
            <w:hideMark/>
          </w:tcPr>
          <w:p w:rsidR="00C71FCE" w:rsidRPr="008A7003" w:rsidRDefault="00C71FCE" w:rsidP="00DE703C">
            <w:pPr>
              <w:rPr>
                <w:rFonts w:ascii="Arial Narrow" w:hAnsi="Arial Narrow" w:cs="ArialMT"/>
                <w:b/>
                <w:bCs/>
                <w:i/>
                <w:iCs/>
                <w:color w:val="000000"/>
                <w:sz w:val="16"/>
                <w:szCs w:val="16"/>
                <w:lang w:val="en-GB" w:eastAsia="en-GB"/>
              </w:rPr>
            </w:pPr>
            <w:r w:rsidRPr="008A7003">
              <w:rPr>
                <w:rFonts w:ascii="Arial Narrow" w:hAnsi="Arial Narrow" w:cs="ArialMT"/>
                <w:b/>
                <w:bCs/>
                <w:i/>
                <w:iCs/>
                <w:color w:val="000000"/>
                <w:sz w:val="16"/>
                <w:szCs w:val="16"/>
                <w:lang w:val="en-GB" w:eastAsia="en-GB"/>
              </w:rPr>
              <w:t>3.376</w:t>
            </w:r>
          </w:p>
        </w:tc>
        <w:tc>
          <w:tcPr>
            <w:tcW w:w="291" w:type="pct"/>
            <w:tcBorders>
              <w:top w:val="single" w:sz="4" w:space="0" w:color="000000"/>
              <w:left w:val="single" w:sz="4" w:space="0" w:color="000000"/>
              <w:bottom w:val="nil"/>
              <w:right w:val="nil"/>
            </w:tcBorders>
            <w:shd w:val="clear" w:color="auto" w:fill="9BBB59" w:themeFill="accent3"/>
            <w:hideMark/>
          </w:tcPr>
          <w:p w:rsidR="00C71FCE" w:rsidRPr="008A7003" w:rsidRDefault="00C71FCE" w:rsidP="00DE703C">
            <w:pPr>
              <w:rPr>
                <w:rFonts w:ascii="Arial Narrow" w:hAnsi="Arial Narrow" w:cs="ArialMT"/>
                <w:b/>
                <w:bCs/>
                <w:i/>
                <w:iCs/>
                <w:color w:val="000000"/>
                <w:sz w:val="16"/>
                <w:szCs w:val="16"/>
                <w:lang w:val="en-GB" w:eastAsia="en-GB"/>
              </w:rPr>
            </w:pPr>
            <w:r w:rsidRPr="008A7003">
              <w:rPr>
                <w:rFonts w:ascii="Arial Narrow" w:hAnsi="Arial Narrow" w:cs="ArialMT"/>
                <w:b/>
                <w:bCs/>
                <w:i/>
                <w:iCs/>
                <w:color w:val="000000"/>
                <w:sz w:val="16"/>
                <w:szCs w:val="16"/>
                <w:lang w:val="en-GB" w:eastAsia="en-GB"/>
              </w:rPr>
              <w:t>4.602</w:t>
            </w:r>
          </w:p>
        </w:tc>
        <w:tc>
          <w:tcPr>
            <w:tcW w:w="291" w:type="pct"/>
            <w:tcBorders>
              <w:top w:val="single" w:sz="4" w:space="0" w:color="000000"/>
              <w:left w:val="single" w:sz="4" w:space="0" w:color="000000"/>
              <w:bottom w:val="nil"/>
              <w:right w:val="nil"/>
            </w:tcBorders>
            <w:shd w:val="clear" w:color="auto" w:fill="9BBB59" w:themeFill="accent3"/>
            <w:hideMark/>
          </w:tcPr>
          <w:p w:rsidR="00C71FCE" w:rsidRPr="008A7003" w:rsidRDefault="00C71FCE" w:rsidP="00DE703C">
            <w:pPr>
              <w:rPr>
                <w:rFonts w:ascii="Arial Narrow" w:hAnsi="Arial Narrow" w:cs="ArialMT"/>
                <w:b/>
                <w:bCs/>
                <w:i/>
                <w:iCs/>
                <w:color w:val="000000"/>
                <w:sz w:val="16"/>
                <w:szCs w:val="16"/>
                <w:lang w:val="en-GB" w:eastAsia="en-GB"/>
              </w:rPr>
            </w:pPr>
            <w:r w:rsidRPr="008A7003">
              <w:rPr>
                <w:rFonts w:ascii="Arial Narrow" w:hAnsi="Arial Narrow" w:cs="ArialMT"/>
                <w:b/>
                <w:bCs/>
                <w:i/>
                <w:iCs/>
                <w:color w:val="000000"/>
                <w:sz w:val="16"/>
                <w:szCs w:val="16"/>
                <w:lang w:val="en-GB" w:eastAsia="en-GB"/>
              </w:rPr>
              <w:t>3.126</w:t>
            </w:r>
          </w:p>
        </w:tc>
        <w:tc>
          <w:tcPr>
            <w:tcW w:w="291" w:type="pct"/>
            <w:tcBorders>
              <w:top w:val="single" w:sz="4" w:space="0" w:color="000000"/>
              <w:left w:val="single" w:sz="4" w:space="0" w:color="000000"/>
              <w:bottom w:val="nil"/>
              <w:right w:val="nil"/>
            </w:tcBorders>
            <w:shd w:val="clear" w:color="auto" w:fill="9BBB59" w:themeFill="accent3"/>
            <w:hideMark/>
          </w:tcPr>
          <w:p w:rsidR="00C71FCE" w:rsidRPr="008A7003" w:rsidRDefault="00C71FCE" w:rsidP="00DE703C">
            <w:pPr>
              <w:rPr>
                <w:rFonts w:ascii="Arial Narrow" w:hAnsi="Arial Narrow" w:cs="ArialMT"/>
                <w:b/>
                <w:bCs/>
                <w:i/>
                <w:iCs/>
                <w:color w:val="000000"/>
                <w:sz w:val="16"/>
                <w:szCs w:val="16"/>
                <w:lang w:val="en-GB" w:eastAsia="en-GB"/>
              </w:rPr>
            </w:pPr>
            <w:r w:rsidRPr="008A7003">
              <w:rPr>
                <w:rFonts w:ascii="Arial Narrow" w:hAnsi="Arial Narrow" w:cs="ArialMT"/>
                <w:b/>
                <w:bCs/>
                <w:i/>
                <w:iCs/>
                <w:color w:val="000000"/>
                <w:sz w:val="16"/>
                <w:szCs w:val="16"/>
                <w:lang w:val="en-GB" w:eastAsia="en-GB"/>
              </w:rPr>
              <w:t>4.595</w:t>
            </w:r>
          </w:p>
        </w:tc>
        <w:tc>
          <w:tcPr>
            <w:tcW w:w="291" w:type="pct"/>
            <w:tcBorders>
              <w:top w:val="single" w:sz="4" w:space="0" w:color="000000"/>
              <w:left w:val="single" w:sz="4" w:space="0" w:color="000000"/>
              <w:bottom w:val="nil"/>
              <w:right w:val="nil"/>
            </w:tcBorders>
            <w:shd w:val="clear" w:color="auto" w:fill="9BBB59" w:themeFill="accent3"/>
            <w:hideMark/>
          </w:tcPr>
          <w:p w:rsidR="00C71FCE" w:rsidRPr="008A7003" w:rsidRDefault="00C71FCE" w:rsidP="00DE703C">
            <w:pPr>
              <w:rPr>
                <w:rFonts w:ascii="Arial Narrow" w:hAnsi="Arial Narrow" w:cs="ArialMT"/>
                <w:b/>
                <w:bCs/>
                <w:i/>
                <w:iCs/>
                <w:color w:val="000000"/>
                <w:sz w:val="16"/>
                <w:szCs w:val="16"/>
                <w:lang w:val="en-GB" w:eastAsia="en-GB"/>
              </w:rPr>
            </w:pPr>
            <w:r w:rsidRPr="008A7003">
              <w:rPr>
                <w:rFonts w:ascii="Arial Narrow" w:hAnsi="Arial Narrow" w:cs="ArialMT"/>
                <w:b/>
                <w:bCs/>
                <w:i/>
                <w:iCs/>
                <w:color w:val="000000"/>
                <w:sz w:val="16"/>
                <w:szCs w:val="16"/>
                <w:lang w:val="en-GB" w:eastAsia="en-GB"/>
              </w:rPr>
              <w:t>4.212</w:t>
            </w:r>
          </w:p>
        </w:tc>
        <w:tc>
          <w:tcPr>
            <w:tcW w:w="291" w:type="pct"/>
            <w:tcBorders>
              <w:top w:val="single" w:sz="4" w:space="0" w:color="000000"/>
              <w:left w:val="single" w:sz="4" w:space="0" w:color="000000"/>
              <w:bottom w:val="nil"/>
              <w:right w:val="nil"/>
            </w:tcBorders>
            <w:shd w:val="clear" w:color="auto" w:fill="9BBB59" w:themeFill="accent3"/>
            <w:hideMark/>
          </w:tcPr>
          <w:p w:rsidR="00C71FCE" w:rsidRPr="008A7003" w:rsidRDefault="00C71FCE" w:rsidP="00DE703C">
            <w:pPr>
              <w:rPr>
                <w:rFonts w:ascii="Arial Narrow" w:hAnsi="Arial Narrow" w:cs="ArialMT"/>
                <w:b/>
                <w:bCs/>
                <w:i/>
                <w:iCs/>
                <w:color w:val="000000"/>
                <w:sz w:val="16"/>
                <w:szCs w:val="16"/>
                <w:lang w:val="en-GB" w:eastAsia="en-GB"/>
              </w:rPr>
            </w:pPr>
            <w:r w:rsidRPr="008A7003">
              <w:rPr>
                <w:rFonts w:ascii="Arial Narrow" w:hAnsi="Arial Narrow" w:cs="ArialMT"/>
                <w:b/>
                <w:bCs/>
                <w:i/>
                <w:iCs/>
                <w:color w:val="000000"/>
                <w:sz w:val="16"/>
                <w:szCs w:val="16"/>
                <w:lang w:val="en-GB" w:eastAsia="en-GB"/>
              </w:rPr>
              <w:t>5.075</w:t>
            </w:r>
          </w:p>
        </w:tc>
        <w:tc>
          <w:tcPr>
            <w:tcW w:w="291" w:type="pct"/>
            <w:tcBorders>
              <w:top w:val="single" w:sz="4" w:space="0" w:color="000000"/>
              <w:left w:val="single" w:sz="4" w:space="0" w:color="000000"/>
              <w:bottom w:val="nil"/>
              <w:right w:val="nil"/>
            </w:tcBorders>
            <w:shd w:val="clear" w:color="auto" w:fill="9BBB59" w:themeFill="accent3"/>
            <w:hideMark/>
          </w:tcPr>
          <w:p w:rsidR="00C71FCE" w:rsidRPr="008A7003" w:rsidRDefault="00C71FCE" w:rsidP="00DE703C">
            <w:pPr>
              <w:rPr>
                <w:rFonts w:ascii="Arial Narrow" w:hAnsi="Arial Narrow" w:cs="ArialMT"/>
                <w:b/>
                <w:bCs/>
                <w:i/>
                <w:iCs/>
                <w:color w:val="000000"/>
                <w:sz w:val="16"/>
                <w:szCs w:val="16"/>
                <w:lang w:val="en-GB" w:eastAsia="en-GB"/>
              </w:rPr>
            </w:pPr>
            <w:r w:rsidRPr="008A7003">
              <w:rPr>
                <w:rFonts w:ascii="Arial Narrow" w:hAnsi="Arial Narrow" w:cs="ArialMT"/>
                <w:b/>
                <w:bCs/>
                <w:i/>
                <w:iCs/>
                <w:color w:val="000000"/>
                <w:sz w:val="16"/>
                <w:szCs w:val="16"/>
                <w:lang w:val="en-GB" w:eastAsia="en-GB"/>
              </w:rPr>
              <w:t>6.611</w:t>
            </w:r>
          </w:p>
        </w:tc>
        <w:tc>
          <w:tcPr>
            <w:tcW w:w="271" w:type="pct"/>
            <w:tcBorders>
              <w:top w:val="single" w:sz="4" w:space="0" w:color="000000"/>
              <w:left w:val="single" w:sz="4" w:space="0" w:color="000000"/>
              <w:bottom w:val="nil"/>
              <w:right w:val="single" w:sz="4" w:space="0" w:color="000000"/>
            </w:tcBorders>
            <w:shd w:val="clear" w:color="auto" w:fill="9BBB59" w:themeFill="accent3"/>
            <w:hideMark/>
          </w:tcPr>
          <w:p w:rsidR="00C71FCE" w:rsidRPr="008A7003" w:rsidRDefault="00C71FCE" w:rsidP="00DE703C">
            <w:pPr>
              <w:rPr>
                <w:rFonts w:ascii="Arial Narrow" w:hAnsi="Arial Narrow" w:cs="ArialMT"/>
                <w:b/>
                <w:bCs/>
                <w:i/>
                <w:iCs/>
                <w:color w:val="000000"/>
                <w:sz w:val="16"/>
                <w:szCs w:val="16"/>
                <w:lang w:val="en-GB" w:eastAsia="en-GB"/>
              </w:rPr>
            </w:pPr>
            <w:r w:rsidRPr="008A7003">
              <w:rPr>
                <w:rFonts w:ascii="Arial Narrow" w:hAnsi="Arial Narrow" w:cs="ArialMT"/>
                <w:b/>
                <w:bCs/>
                <w:i/>
                <w:iCs/>
                <w:color w:val="000000"/>
                <w:sz w:val="16"/>
                <w:szCs w:val="16"/>
                <w:lang w:val="en-GB" w:eastAsia="en-GB"/>
              </w:rPr>
              <w:t>11.706</w:t>
            </w:r>
          </w:p>
        </w:tc>
      </w:tr>
      <w:tr w:rsidR="00C71FCE" w:rsidRPr="008A7003" w:rsidTr="009C59DA">
        <w:trPr>
          <w:trHeight w:hRule="exact" w:val="340"/>
          <w:tblHeader/>
        </w:trPr>
        <w:tc>
          <w:tcPr>
            <w:tcW w:w="1482" w:type="pct"/>
            <w:tcBorders>
              <w:top w:val="single" w:sz="4" w:space="0" w:color="000000"/>
              <w:left w:val="single" w:sz="4" w:space="0" w:color="000000"/>
              <w:bottom w:val="single" w:sz="4" w:space="0" w:color="000000"/>
              <w:right w:val="nil"/>
            </w:tcBorders>
            <w:shd w:val="clear" w:color="auto" w:fill="9BBB59" w:themeFill="accent3"/>
            <w:hideMark/>
          </w:tcPr>
          <w:p w:rsidR="00C71FCE" w:rsidRPr="008A7003" w:rsidRDefault="00C71FCE" w:rsidP="00DE703C">
            <w:pPr>
              <w:rPr>
                <w:rFonts w:ascii="Arial Narrow" w:hAnsi="Arial Narrow" w:cs="ArialMT"/>
                <w:b/>
                <w:bCs/>
                <w:i/>
                <w:iCs/>
                <w:color w:val="000000"/>
                <w:sz w:val="16"/>
                <w:szCs w:val="16"/>
                <w:lang w:val="en-GB" w:eastAsia="en-GB"/>
              </w:rPr>
            </w:pPr>
            <w:r w:rsidRPr="008A7003">
              <w:rPr>
                <w:rFonts w:ascii="Arial Narrow" w:hAnsi="Arial Narrow" w:cs="ArialMT"/>
                <w:b/>
                <w:bCs/>
                <w:i/>
                <w:iCs/>
                <w:color w:val="000000"/>
                <w:sz w:val="16"/>
                <w:szCs w:val="16"/>
                <w:lang w:val="en-GB" w:eastAsia="en-GB"/>
              </w:rPr>
              <w:t>4. DRUG PROGRAM IZ MATI</w:t>
            </w:r>
            <w:r w:rsidRPr="008A7003">
              <w:rPr>
                <w:rFonts w:ascii="Calibri" w:eastAsia="Calibri" w:hAnsi="Calibri" w:cs="Calibri"/>
                <w:b/>
                <w:bCs/>
                <w:i/>
                <w:iCs/>
                <w:color w:val="000000"/>
                <w:sz w:val="16"/>
                <w:szCs w:val="16"/>
                <w:lang w:val="en-GB" w:eastAsia="en-GB"/>
              </w:rPr>
              <w:t>Č</w:t>
            </w:r>
            <w:r w:rsidRPr="008A7003">
              <w:rPr>
                <w:rFonts w:ascii="Arial Narrow" w:hAnsi="Arial Narrow" w:cs="ArialMT"/>
                <w:b/>
                <w:bCs/>
                <w:i/>
                <w:iCs/>
                <w:color w:val="000000"/>
                <w:sz w:val="16"/>
                <w:szCs w:val="16"/>
                <w:lang w:val="en-GB" w:eastAsia="en-GB"/>
              </w:rPr>
              <w:t>NEGA STUDIA</w:t>
            </w:r>
          </w:p>
        </w:tc>
        <w:tc>
          <w:tcPr>
            <w:tcW w:w="341" w:type="pct"/>
            <w:tcBorders>
              <w:top w:val="single" w:sz="4" w:space="0" w:color="000000"/>
              <w:left w:val="single" w:sz="4" w:space="0" w:color="000000"/>
              <w:bottom w:val="single" w:sz="4" w:space="0" w:color="000000"/>
              <w:right w:val="nil"/>
            </w:tcBorders>
            <w:shd w:val="clear" w:color="auto" w:fill="9BBB59" w:themeFill="accent3"/>
            <w:hideMark/>
          </w:tcPr>
          <w:p w:rsidR="00C71FCE" w:rsidRPr="008A7003" w:rsidRDefault="00C71FCE" w:rsidP="00DE703C">
            <w:pPr>
              <w:rPr>
                <w:rFonts w:ascii="Arial Narrow" w:hAnsi="Arial Narrow" w:cs="ArialMT"/>
                <w:b/>
                <w:bCs/>
                <w:i/>
                <w:iCs/>
                <w:color w:val="000000"/>
                <w:sz w:val="16"/>
                <w:szCs w:val="16"/>
                <w:lang w:val="en-GB" w:eastAsia="en-GB"/>
              </w:rPr>
            </w:pPr>
            <w:r w:rsidRPr="008A7003">
              <w:rPr>
                <w:rFonts w:ascii="Arial Narrow" w:hAnsi="Arial Narrow" w:cs="ArialMT"/>
                <w:b/>
                <w:bCs/>
                <w:i/>
                <w:iCs/>
                <w:color w:val="000000"/>
                <w:sz w:val="16"/>
                <w:szCs w:val="16"/>
                <w:lang w:val="en-GB" w:eastAsia="en-GB"/>
              </w:rPr>
              <w:t>3.959</w:t>
            </w:r>
          </w:p>
        </w:tc>
        <w:tc>
          <w:tcPr>
            <w:tcW w:w="290" w:type="pct"/>
            <w:tcBorders>
              <w:top w:val="single" w:sz="4" w:space="0" w:color="000000"/>
              <w:left w:val="single" w:sz="4" w:space="0" w:color="000000"/>
              <w:bottom w:val="single" w:sz="4" w:space="0" w:color="000000"/>
              <w:right w:val="nil"/>
            </w:tcBorders>
            <w:shd w:val="clear" w:color="auto" w:fill="9BBB59" w:themeFill="accent3"/>
            <w:hideMark/>
          </w:tcPr>
          <w:p w:rsidR="00C71FCE" w:rsidRPr="008A7003" w:rsidRDefault="00C71FCE" w:rsidP="00DE703C">
            <w:pPr>
              <w:rPr>
                <w:rFonts w:ascii="Arial Narrow" w:hAnsi="Arial Narrow" w:cs="ArialMT"/>
                <w:b/>
                <w:bCs/>
                <w:i/>
                <w:iCs/>
                <w:color w:val="000000"/>
                <w:sz w:val="16"/>
                <w:szCs w:val="16"/>
                <w:lang w:val="en-GB" w:eastAsia="en-GB"/>
              </w:rPr>
            </w:pPr>
            <w:r w:rsidRPr="008A7003">
              <w:rPr>
                <w:rFonts w:ascii="Arial Narrow" w:hAnsi="Arial Narrow" w:cs="ArialMT"/>
                <w:b/>
                <w:bCs/>
                <w:i/>
                <w:iCs/>
                <w:color w:val="000000"/>
                <w:sz w:val="16"/>
                <w:szCs w:val="16"/>
                <w:lang w:val="en-GB" w:eastAsia="en-GB"/>
              </w:rPr>
              <w:t>3.808</w:t>
            </w:r>
          </w:p>
        </w:tc>
        <w:tc>
          <w:tcPr>
            <w:tcW w:w="290" w:type="pct"/>
            <w:tcBorders>
              <w:top w:val="single" w:sz="4" w:space="0" w:color="000000"/>
              <w:left w:val="single" w:sz="4" w:space="0" w:color="000000"/>
              <w:bottom w:val="single" w:sz="4" w:space="0" w:color="000000"/>
              <w:right w:val="nil"/>
            </w:tcBorders>
            <w:shd w:val="clear" w:color="auto" w:fill="9BBB59" w:themeFill="accent3"/>
            <w:hideMark/>
          </w:tcPr>
          <w:p w:rsidR="00C71FCE" w:rsidRPr="008A7003" w:rsidRDefault="00C71FCE" w:rsidP="00DE703C">
            <w:pPr>
              <w:rPr>
                <w:rFonts w:ascii="Arial Narrow" w:hAnsi="Arial Narrow" w:cs="ArialMT"/>
                <w:b/>
                <w:bCs/>
                <w:i/>
                <w:iCs/>
                <w:color w:val="000000"/>
                <w:sz w:val="16"/>
                <w:szCs w:val="16"/>
                <w:lang w:val="en-GB" w:eastAsia="en-GB"/>
              </w:rPr>
            </w:pPr>
            <w:r w:rsidRPr="008A7003">
              <w:rPr>
                <w:rFonts w:ascii="Arial Narrow" w:hAnsi="Arial Narrow" w:cs="ArialMT"/>
                <w:b/>
                <w:bCs/>
                <w:i/>
                <w:iCs/>
                <w:color w:val="000000"/>
                <w:sz w:val="16"/>
                <w:szCs w:val="16"/>
                <w:lang w:val="en-GB" w:eastAsia="en-GB"/>
              </w:rPr>
              <w:t>6.658</w:t>
            </w:r>
          </w:p>
        </w:tc>
        <w:tc>
          <w:tcPr>
            <w:tcW w:w="290" w:type="pct"/>
            <w:tcBorders>
              <w:top w:val="single" w:sz="4" w:space="0" w:color="000000"/>
              <w:left w:val="single" w:sz="4" w:space="0" w:color="000000"/>
              <w:bottom w:val="single" w:sz="4" w:space="0" w:color="000000"/>
              <w:right w:val="nil"/>
            </w:tcBorders>
            <w:shd w:val="clear" w:color="auto" w:fill="9BBB59" w:themeFill="accent3"/>
            <w:hideMark/>
          </w:tcPr>
          <w:p w:rsidR="00C71FCE" w:rsidRPr="008A7003" w:rsidRDefault="00C71FCE" w:rsidP="00DE703C">
            <w:pPr>
              <w:rPr>
                <w:rFonts w:ascii="Arial Narrow" w:hAnsi="Arial Narrow" w:cs="ArialMT"/>
                <w:b/>
                <w:bCs/>
                <w:i/>
                <w:iCs/>
                <w:color w:val="000000"/>
                <w:sz w:val="16"/>
                <w:szCs w:val="16"/>
                <w:lang w:val="en-GB" w:eastAsia="en-GB"/>
              </w:rPr>
            </w:pPr>
            <w:r w:rsidRPr="008A7003">
              <w:rPr>
                <w:rFonts w:ascii="Arial Narrow" w:hAnsi="Arial Narrow" w:cs="ArialMT"/>
                <w:b/>
                <w:bCs/>
                <w:i/>
                <w:iCs/>
                <w:color w:val="000000"/>
                <w:sz w:val="16"/>
                <w:szCs w:val="16"/>
                <w:lang w:val="en-GB" w:eastAsia="en-GB"/>
              </w:rPr>
              <w:t>2.799</w:t>
            </w:r>
          </w:p>
        </w:tc>
        <w:tc>
          <w:tcPr>
            <w:tcW w:w="290" w:type="pct"/>
            <w:tcBorders>
              <w:top w:val="single" w:sz="4" w:space="0" w:color="000000"/>
              <w:left w:val="single" w:sz="4" w:space="0" w:color="000000"/>
              <w:bottom w:val="single" w:sz="4" w:space="0" w:color="000000"/>
              <w:right w:val="nil"/>
            </w:tcBorders>
            <w:shd w:val="clear" w:color="auto" w:fill="9BBB59" w:themeFill="accent3"/>
            <w:hideMark/>
          </w:tcPr>
          <w:p w:rsidR="00C71FCE" w:rsidRPr="008A7003" w:rsidRDefault="00C71FCE" w:rsidP="00DE703C">
            <w:pPr>
              <w:rPr>
                <w:rFonts w:ascii="Arial Narrow" w:hAnsi="Arial Narrow" w:cs="ArialMT"/>
                <w:b/>
                <w:bCs/>
                <w:i/>
                <w:iCs/>
                <w:color w:val="000000"/>
                <w:sz w:val="16"/>
                <w:szCs w:val="16"/>
                <w:lang w:val="en-GB" w:eastAsia="en-GB"/>
              </w:rPr>
            </w:pPr>
            <w:r w:rsidRPr="008A7003">
              <w:rPr>
                <w:rFonts w:ascii="Arial Narrow" w:hAnsi="Arial Narrow" w:cs="ArialMT"/>
                <w:b/>
                <w:bCs/>
                <w:i/>
                <w:iCs/>
                <w:color w:val="000000"/>
                <w:sz w:val="16"/>
                <w:szCs w:val="16"/>
                <w:lang w:val="en-GB" w:eastAsia="en-GB"/>
              </w:rPr>
              <w:t>3.718</w:t>
            </w:r>
          </w:p>
        </w:tc>
        <w:tc>
          <w:tcPr>
            <w:tcW w:w="291" w:type="pct"/>
            <w:tcBorders>
              <w:top w:val="single" w:sz="4" w:space="0" w:color="000000"/>
              <w:left w:val="single" w:sz="4" w:space="0" w:color="000000"/>
              <w:bottom w:val="single" w:sz="4" w:space="0" w:color="000000"/>
              <w:right w:val="nil"/>
            </w:tcBorders>
            <w:shd w:val="clear" w:color="auto" w:fill="9BBB59" w:themeFill="accent3"/>
            <w:hideMark/>
          </w:tcPr>
          <w:p w:rsidR="00C71FCE" w:rsidRPr="008A7003" w:rsidRDefault="00C71FCE" w:rsidP="00DE703C">
            <w:pPr>
              <w:rPr>
                <w:rFonts w:ascii="Arial Narrow" w:hAnsi="Arial Narrow" w:cs="ArialMT"/>
                <w:b/>
                <w:bCs/>
                <w:i/>
                <w:iCs/>
                <w:color w:val="000000"/>
                <w:sz w:val="16"/>
                <w:szCs w:val="16"/>
                <w:lang w:val="en-GB" w:eastAsia="en-GB"/>
              </w:rPr>
            </w:pPr>
            <w:r w:rsidRPr="008A7003">
              <w:rPr>
                <w:rFonts w:ascii="Arial Narrow" w:hAnsi="Arial Narrow" w:cs="ArialMT"/>
                <w:b/>
                <w:bCs/>
                <w:i/>
                <w:iCs/>
                <w:color w:val="000000"/>
                <w:sz w:val="16"/>
                <w:szCs w:val="16"/>
                <w:lang w:val="en-GB" w:eastAsia="en-GB"/>
              </w:rPr>
              <w:t>3.832</w:t>
            </w:r>
          </w:p>
        </w:tc>
        <w:tc>
          <w:tcPr>
            <w:tcW w:w="291" w:type="pct"/>
            <w:tcBorders>
              <w:top w:val="single" w:sz="4" w:space="0" w:color="000000"/>
              <w:left w:val="single" w:sz="4" w:space="0" w:color="000000"/>
              <w:bottom w:val="single" w:sz="4" w:space="0" w:color="000000"/>
              <w:right w:val="nil"/>
            </w:tcBorders>
            <w:shd w:val="clear" w:color="auto" w:fill="9BBB59" w:themeFill="accent3"/>
            <w:hideMark/>
          </w:tcPr>
          <w:p w:rsidR="00C71FCE" w:rsidRPr="008A7003" w:rsidRDefault="00C71FCE" w:rsidP="00DE703C">
            <w:pPr>
              <w:rPr>
                <w:rFonts w:ascii="Arial Narrow" w:hAnsi="Arial Narrow" w:cs="ArialMT"/>
                <w:b/>
                <w:bCs/>
                <w:i/>
                <w:iCs/>
                <w:color w:val="000000"/>
                <w:sz w:val="16"/>
                <w:szCs w:val="16"/>
                <w:lang w:val="en-GB" w:eastAsia="en-GB"/>
              </w:rPr>
            </w:pPr>
            <w:r w:rsidRPr="008A7003">
              <w:rPr>
                <w:rFonts w:ascii="Arial Narrow" w:hAnsi="Arial Narrow" w:cs="ArialMT"/>
                <w:b/>
                <w:bCs/>
                <w:i/>
                <w:iCs/>
                <w:color w:val="000000"/>
                <w:sz w:val="16"/>
                <w:szCs w:val="16"/>
                <w:lang w:val="en-GB" w:eastAsia="en-GB"/>
              </w:rPr>
              <w:t>2.102</w:t>
            </w:r>
          </w:p>
        </w:tc>
        <w:tc>
          <w:tcPr>
            <w:tcW w:w="291" w:type="pct"/>
            <w:tcBorders>
              <w:top w:val="single" w:sz="4" w:space="0" w:color="000000"/>
              <w:left w:val="single" w:sz="4" w:space="0" w:color="000000"/>
              <w:bottom w:val="single" w:sz="4" w:space="0" w:color="000000"/>
              <w:right w:val="nil"/>
            </w:tcBorders>
            <w:shd w:val="clear" w:color="auto" w:fill="9BBB59" w:themeFill="accent3"/>
            <w:hideMark/>
          </w:tcPr>
          <w:p w:rsidR="00C71FCE" w:rsidRPr="008A7003" w:rsidRDefault="00C71FCE" w:rsidP="00DE703C">
            <w:pPr>
              <w:rPr>
                <w:rFonts w:ascii="Arial Narrow" w:hAnsi="Arial Narrow" w:cs="ArialMT"/>
                <w:b/>
                <w:bCs/>
                <w:i/>
                <w:iCs/>
                <w:color w:val="000000"/>
                <w:sz w:val="16"/>
                <w:szCs w:val="16"/>
                <w:lang w:val="en-GB" w:eastAsia="en-GB"/>
              </w:rPr>
            </w:pPr>
            <w:r w:rsidRPr="008A7003">
              <w:rPr>
                <w:rFonts w:ascii="Arial Narrow" w:hAnsi="Arial Narrow" w:cs="ArialMT"/>
                <w:b/>
                <w:bCs/>
                <w:i/>
                <w:iCs/>
                <w:color w:val="000000"/>
                <w:sz w:val="16"/>
                <w:szCs w:val="16"/>
                <w:lang w:val="en-GB" w:eastAsia="en-GB"/>
              </w:rPr>
              <w:t>2.716</w:t>
            </w:r>
          </w:p>
        </w:tc>
        <w:tc>
          <w:tcPr>
            <w:tcW w:w="291" w:type="pct"/>
            <w:tcBorders>
              <w:top w:val="single" w:sz="4" w:space="0" w:color="000000"/>
              <w:left w:val="single" w:sz="4" w:space="0" w:color="000000"/>
              <w:bottom w:val="single" w:sz="4" w:space="0" w:color="000000"/>
              <w:right w:val="nil"/>
            </w:tcBorders>
            <w:shd w:val="clear" w:color="auto" w:fill="9BBB59" w:themeFill="accent3"/>
            <w:hideMark/>
          </w:tcPr>
          <w:p w:rsidR="00C71FCE" w:rsidRPr="008A7003" w:rsidRDefault="00C71FCE" w:rsidP="00DE703C">
            <w:pPr>
              <w:rPr>
                <w:rFonts w:ascii="Arial Narrow" w:hAnsi="Arial Narrow" w:cs="ArialMT"/>
                <w:b/>
                <w:bCs/>
                <w:i/>
                <w:iCs/>
                <w:color w:val="000000"/>
                <w:sz w:val="16"/>
                <w:szCs w:val="16"/>
                <w:lang w:val="en-GB" w:eastAsia="en-GB"/>
              </w:rPr>
            </w:pPr>
            <w:r w:rsidRPr="008A7003">
              <w:rPr>
                <w:rFonts w:ascii="Arial Narrow" w:hAnsi="Arial Narrow" w:cs="ArialMT"/>
                <w:b/>
                <w:bCs/>
                <w:i/>
                <w:iCs/>
                <w:color w:val="000000"/>
                <w:sz w:val="16"/>
                <w:szCs w:val="16"/>
                <w:lang w:val="en-GB" w:eastAsia="en-GB"/>
              </w:rPr>
              <w:t>3.338</w:t>
            </w:r>
          </w:p>
        </w:tc>
        <w:tc>
          <w:tcPr>
            <w:tcW w:w="291" w:type="pct"/>
            <w:tcBorders>
              <w:top w:val="single" w:sz="4" w:space="0" w:color="000000"/>
              <w:left w:val="single" w:sz="4" w:space="0" w:color="000000"/>
              <w:bottom w:val="single" w:sz="4" w:space="0" w:color="000000"/>
              <w:right w:val="nil"/>
            </w:tcBorders>
            <w:shd w:val="clear" w:color="auto" w:fill="9BBB59" w:themeFill="accent3"/>
            <w:hideMark/>
          </w:tcPr>
          <w:p w:rsidR="00C71FCE" w:rsidRPr="008A7003" w:rsidRDefault="00C71FCE" w:rsidP="00DE703C">
            <w:pPr>
              <w:rPr>
                <w:rFonts w:ascii="Arial Narrow" w:hAnsi="Arial Narrow" w:cs="ArialMT"/>
                <w:b/>
                <w:bCs/>
                <w:i/>
                <w:iCs/>
                <w:color w:val="000000"/>
                <w:sz w:val="16"/>
                <w:szCs w:val="16"/>
                <w:lang w:val="en-GB" w:eastAsia="en-GB"/>
              </w:rPr>
            </w:pPr>
            <w:r w:rsidRPr="008A7003">
              <w:rPr>
                <w:rFonts w:ascii="Arial Narrow" w:hAnsi="Arial Narrow" w:cs="ArialMT"/>
                <w:b/>
                <w:bCs/>
                <w:i/>
                <w:iCs/>
                <w:color w:val="000000"/>
                <w:sz w:val="16"/>
                <w:szCs w:val="16"/>
                <w:lang w:val="en-GB" w:eastAsia="en-GB"/>
              </w:rPr>
              <w:t>6.796</w:t>
            </w:r>
          </w:p>
        </w:tc>
        <w:tc>
          <w:tcPr>
            <w:tcW w:w="291" w:type="pct"/>
            <w:tcBorders>
              <w:top w:val="single" w:sz="4" w:space="0" w:color="000000"/>
              <w:left w:val="single" w:sz="4" w:space="0" w:color="000000"/>
              <w:bottom w:val="single" w:sz="4" w:space="0" w:color="000000"/>
              <w:right w:val="nil"/>
            </w:tcBorders>
            <w:shd w:val="clear" w:color="auto" w:fill="9BBB59" w:themeFill="accent3"/>
            <w:hideMark/>
          </w:tcPr>
          <w:p w:rsidR="00C71FCE" w:rsidRPr="008A7003" w:rsidRDefault="00C71FCE" w:rsidP="00DE703C">
            <w:pPr>
              <w:rPr>
                <w:rFonts w:ascii="Arial Narrow" w:hAnsi="Arial Narrow" w:cs="ArialMT"/>
                <w:b/>
                <w:bCs/>
                <w:i/>
                <w:iCs/>
                <w:color w:val="000000"/>
                <w:sz w:val="16"/>
                <w:szCs w:val="16"/>
                <w:lang w:val="en-GB" w:eastAsia="en-GB"/>
              </w:rPr>
            </w:pPr>
            <w:r w:rsidRPr="008A7003">
              <w:rPr>
                <w:rFonts w:ascii="Arial Narrow" w:hAnsi="Arial Narrow" w:cs="ArialMT"/>
                <w:b/>
                <w:bCs/>
                <w:i/>
                <w:iCs/>
                <w:color w:val="000000"/>
                <w:sz w:val="16"/>
                <w:szCs w:val="16"/>
                <w:lang w:val="en-GB" w:eastAsia="en-GB"/>
              </w:rPr>
              <w:t>4.621</w:t>
            </w:r>
          </w:p>
        </w:tc>
        <w:tc>
          <w:tcPr>
            <w:tcW w:w="271" w:type="pct"/>
            <w:tcBorders>
              <w:top w:val="single" w:sz="4" w:space="0" w:color="000000"/>
              <w:left w:val="single" w:sz="4" w:space="0" w:color="000000"/>
              <w:bottom w:val="single" w:sz="4" w:space="0" w:color="000000"/>
              <w:right w:val="single" w:sz="4" w:space="0" w:color="000000"/>
            </w:tcBorders>
            <w:shd w:val="clear" w:color="auto" w:fill="9BBB59" w:themeFill="accent3"/>
            <w:hideMark/>
          </w:tcPr>
          <w:p w:rsidR="00C71FCE" w:rsidRPr="008A7003" w:rsidRDefault="00C71FCE" w:rsidP="00DE703C">
            <w:pPr>
              <w:rPr>
                <w:rFonts w:ascii="Arial Narrow" w:hAnsi="Arial Narrow" w:cs="ArialMT"/>
                <w:b/>
                <w:bCs/>
                <w:i/>
                <w:iCs/>
                <w:color w:val="000000"/>
                <w:sz w:val="16"/>
                <w:szCs w:val="16"/>
                <w:lang w:val="en-GB" w:eastAsia="en-GB"/>
              </w:rPr>
            </w:pPr>
            <w:r w:rsidRPr="008A7003">
              <w:rPr>
                <w:rFonts w:ascii="Arial Narrow" w:hAnsi="Arial Narrow" w:cs="ArialMT"/>
                <w:b/>
                <w:bCs/>
                <w:i/>
                <w:iCs/>
                <w:color w:val="000000"/>
                <w:sz w:val="16"/>
                <w:szCs w:val="16"/>
                <w:lang w:val="en-GB" w:eastAsia="en-GB"/>
              </w:rPr>
              <w:t>4.249</w:t>
            </w:r>
          </w:p>
        </w:tc>
      </w:tr>
    </w:tbl>
    <w:p w:rsidR="00A04C36" w:rsidRDefault="00C71FCE" w:rsidP="00DE703C">
      <w:pPr>
        <w:pStyle w:val="Podpispodtabeloaligrafom"/>
      </w:pPr>
      <w:r>
        <w:t>Vir: Statistični urad RS</w:t>
      </w:r>
      <w:r w:rsidR="00553348">
        <w:t>.</w:t>
      </w:r>
    </w:p>
    <w:p w:rsidR="00A04C36" w:rsidRPr="000447C3" w:rsidRDefault="00A04C36" w:rsidP="00A04C36">
      <w:pPr>
        <w:pStyle w:val="Podpispodtabeloaligrafom"/>
      </w:pPr>
      <w:bookmarkStart w:id="232" w:name="OLE_LINK3"/>
      <w:r w:rsidRPr="000447C3">
        <w:t>* Število radijskih programov se je v letu 2010 v primerjavi z letom 2009 zmanjšalo zaradi zmanjšanega obsega internetne distribucije radijskih programov.</w:t>
      </w:r>
    </w:p>
    <w:bookmarkEnd w:id="232"/>
    <w:p w:rsidR="00A04C36" w:rsidRDefault="00A04C36" w:rsidP="00DE703C">
      <w:pPr>
        <w:pStyle w:val="Podpispodtabeloaligrafom"/>
      </w:pPr>
    </w:p>
    <w:p w:rsidR="00C71FCE" w:rsidRDefault="00C71FCE" w:rsidP="00DE703C">
      <w:pPr>
        <w:pStyle w:val="Podpispodtabeloaligrafom"/>
        <w:sectPr w:rsidR="00C71FCE" w:rsidSect="00196BDD">
          <w:pgSz w:w="16820" w:h="11900" w:orient="landscape"/>
          <w:pgMar w:top="720" w:right="720" w:bottom="720" w:left="720" w:header="708" w:footer="708" w:gutter="0"/>
          <w:cols w:space="708"/>
          <w:docGrid w:linePitch="360"/>
        </w:sectPr>
      </w:pPr>
      <w:r>
        <w:t>.</w:t>
      </w:r>
    </w:p>
    <w:p w:rsidR="00C71FCE" w:rsidRDefault="00C71FCE" w:rsidP="00DE703C">
      <w:r>
        <w:lastRenderedPageBreak/>
        <w:t xml:space="preserve">Omeniti kaže tudi spremembe v strukturi glasbenega in govornega programa: a) odstotek resne glasbe v glasbenem programu se je zmanjšal za dvakrat, medtem ko sta se odstotka zabavne glasbe </w:t>
      </w:r>
      <w:r w:rsidR="00BC3E0E">
        <w:t>in druge glasbe večala (graf 18</w:t>
      </w:r>
      <w:r>
        <w:t>); b) v govornem programu pa se glavne spremembe nanašajo na povečanje dnevnoinformativnih vsebin, vsebin o kulturi in umetnosti ter znanosti na eni strani ter krčenje informativnega programa in radijski</w:t>
      </w:r>
      <w:r w:rsidR="00BC3E0E">
        <w:t>h iger na drugi strani (graf 19</w:t>
      </w:r>
      <w:r>
        <w:t>).</w:t>
      </w:r>
    </w:p>
    <w:p w:rsidR="00C71FCE" w:rsidRDefault="00656F44" w:rsidP="00DE703C">
      <w:pPr>
        <w:pStyle w:val="Naslovtabele"/>
      </w:pPr>
      <w:bookmarkStart w:id="233" w:name="_Toc490053375"/>
      <w:bookmarkStart w:id="234" w:name="_Toc490053746"/>
      <w:bookmarkStart w:id="235" w:name="_Toc490600018"/>
      <w:r>
        <w:t>Graf 18</w:t>
      </w:r>
      <w:r w:rsidR="00C71FCE">
        <w:t>: Struktura radijskega glasbenega programa (2004–2015)</w:t>
      </w:r>
      <w:bookmarkEnd w:id="233"/>
      <w:bookmarkEnd w:id="234"/>
      <w:bookmarkEnd w:id="235"/>
    </w:p>
    <w:p w:rsidR="00C71FCE" w:rsidRDefault="00C71FCE" w:rsidP="00DE703C">
      <w:r>
        <w:rPr>
          <w:noProof/>
          <w:lang w:eastAsia="sl-SI"/>
        </w:rPr>
        <w:drawing>
          <wp:inline distT="0" distB="0" distL="0" distR="0" wp14:anchorId="0C53452B" wp14:editId="719135F2">
            <wp:extent cx="6007735" cy="3167380"/>
            <wp:effectExtent l="0" t="0" r="12065" b="7620"/>
            <wp:docPr id="28"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C71FCE" w:rsidRDefault="00C71FCE" w:rsidP="00DE703C">
      <w:pPr>
        <w:pStyle w:val="Podpispodtabeloaligrafom"/>
      </w:pPr>
      <w:r>
        <w:t>Vir: Statistični urad RS.</w:t>
      </w:r>
    </w:p>
    <w:p w:rsidR="00C71FCE" w:rsidRDefault="00656F44" w:rsidP="00DE703C">
      <w:pPr>
        <w:pStyle w:val="Naslovtabele"/>
      </w:pPr>
      <w:bookmarkStart w:id="236" w:name="_Toc490053376"/>
      <w:bookmarkStart w:id="237" w:name="_Toc490053747"/>
      <w:bookmarkStart w:id="238" w:name="_Toc490600019"/>
      <w:r>
        <w:t>Graf 19</w:t>
      </w:r>
      <w:r w:rsidR="00C71FCE">
        <w:t>: Struktura radijskega govornega programa (2004–2015)</w:t>
      </w:r>
      <w:bookmarkEnd w:id="236"/>
      <w:bookmarkEnd w:id="237"/>
      <w:bookmarkEnd w:id="238"/>
    </w:p>
    <w:p w:rsidR="00C71FCE" w:rsidRDefault="00C71FCE" w:rsidP="00DE703C">
      <w:r>
        <w:rPr>
          <w:noProof/>
          <w:lang w:eastAsia="sl-SI"/>
        </w:rPr>
        <w:drawing>
          <wp:inline distT="0" distB="0" distL="0" distR="0" wp14:anchorId="6ACF6F03" wp14:editId="32E2A7B9">
            <wp:extent cx="5880735" cy="3324860"/>
            <wp:effectExtent l="0" t="0" r="12065" b="2540"/>
            <wp:docPr id="30"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C71FCE" w:rsidRDefault="00C71FCE" w:rsidP="004E3637">
      <w:pPr>
        <w:pStyle w:val="Podpispodtabeloaligrafom"/>
      </w:pPr>
      <w:r>
        <w:t>Vir: Statistični urad RS.</w:t>
      </w:r>
    </w:p>
    <w:p w:rsidR="00C71FCE" w:rsidRDefault="00C71FCE" w:rsidP="00DE703C">
      <w:pPr>
        <w:sectPr w:rsidR="00C71FCE" w:rsidSect="00DE703C">
          <w:pgSz w:w="11900" w:h="16840"/>
          <w:pgMar w:top="1440" w:right="1440" w:bottom="1440" w:left="1440" w:header="708" w:footer="708" w:gutter="0"/>
          <w:cols w:space="708"/>
          <w:docGrid w:linePitch="360"/>
        </w:sectPr>
      </w:pPr>
    </w:p>
    <w:p w:rsidR="00C71FCE" w:rsidRDefault="006D2D21" w:rsidP="00DE703C">
      <w:pPr>
        <w:pStyle w:val="Naslovtabele"/>
      </w:pPr>
      <w:bookmarkStart w:id="239" w:name="_Toc490053377"/>
      <w:bookmarkStart w:id="240" w:name="_Toc490053748"/>
      <w:bookmarkStart w:id="241" w:name="_Toc490600020"/>
      <w:r>
        <w:lastRenderedPageBreak/>
        <w:t>Tabela 23</w:t>
      </w:r>
      <w:r w:rsidR="00C71FCE">
        <w:t>: Ure televizijskega programa (2004–2015)</w:t>
      </w:r>
      <w:bookmarkEnd w:id="239"/>
      <w:bookmarkEnd w:id="240"/>
      <w:bookmarkEnd w:id="241"/>
    </w:p>
    <w:tbl>
      <w:tblPr>
        <w:tblW w:w="5000" w:type="pct"/>
        <w:tblLook w:val="04A0" w:firstRow="1" w:lastRow="0" w:firstColumn="1" w:lastColumn="0" w:noHBand="0" w:noVBand="1"/>
      </w:tblPr>
      <w:tblGrid>
        <w:gridCol w:w="2288"/>
        <w:gridCol w:w="988"/>
        <w:gridCol w:w="988"/>
        <w:gridCol w:w="991"/>
        <w:gridCol w:w="988"/>
        <w:gridCol w:w="988"/>
        <w:gridCol w:w="991"/>
        <w:gridCol w:w="988"/>
        <w:gridCol w:w="988"/>
        <w:gridCol w:w="991"/>
        <w:gridCol w:w="988"/>
        <w:gridCol w:w="988"/>
        <w:gridCol w:w="991"/>
      </w:tblGrid>
      <w:tr w:rsidR="00C71FCE" w:rsidRPr="003E54C1" w:rsidTr="00673CA2">
        <w:trPr>
          <w:trHeight w:hRule="exact" w:val="340"/>
        </w:trPr>
        <w:tc>
          <w:tcPr>
            <w:tcW w:w="808" w:type="pct"/>
            <w:tcBorders>
              <w:top w:val="single" w:sz="4" w:space="0" w:color="4472C4"/>
              <w:left w:val="single" w:sz="4" w:space="0" w:color="4472C4"/>
              <w:bottom w:val="nil"/>
              <w:right w:val="nil"/>
            </w:tcBorders>
            <w:shd w:val="clear" w:color="auto" w:fill="9BBB59" w:themeFill="accent3"/>
            <w:noWrap/>
            <w:vAlign w:val="center"/>
            <w:hideMark/>
          </w:tcPr>
          <w:p w:rsidR="00C71FCE" w:rsidRPr="000116D2" w:rsidRDefault="00C71FCE" w:rsidP="00DE703C">
            <w:pPr>
              <w:spacing w:line="240" w:lineRule="auto"/>
              <w:rPr>
                <w:rFonts w:ascii="Arial Narrow" w:hAnsi="Arial Narrow" w:cs="ArialMT"/>
                <w:b/>
                <w:bCs/>
                <w:color w:val="FFFFFF"/>
                <w:sz w:val="16"/>
                <w:szCs w:val="20"/>
                <w:lang w:val="en-GB" w:eastAsia="en-GB"/>
              </w:rPr>
            </w:pPr>
            <w:r w:rsidRPr="000116D2">
              <w:rPr>
                <w:rFonts w:ascii="Arial Narrow" w:hAnsi="Arial Narrow" w:cs="ArialMT"/>
                <w:b/>
                <w:bCs/>
                <w:color w:val="FFFFFF"/>
                <w:sz w:val="16"/>
                <w:szCs w:val="20"/>
                <w:lang w:val="en-GB" w:eastAsia="en-GB"/>
              </w:rPr>
              <w:t>PROGRAM</w:t>
            </w:r>
          </w:p>
        </w:tc>
        <w:tc>
          <w:tcPr>
            <w:tcW w:w="349" w:type="pct"/>
            <w:tcBorders>
              <w:top w:val="single" w:sz="4" w:space="0" w:color="000000"/>
              <w:left w:val="single" w:sz="4" w:space="0" w:color="000000"/>
              <w:bottom w:val="nil"/>
              <w:right w:val="nil"/>
            </w:tcBorders>
            <w:shd w:val="clear" w:color="auto" w:fill="9BBB59" w:themeFill="accent3"/>
            <w:vAlign w:val="center"/>
            <w:hideMark/>
          </w:tcPr>
          <w:p w:rsidR="00C71FCE" w:rsidRPr="000116D2" w:rsidRDefault="00C71FCE" w:rsidP="00DE703C">
            <w:pPr>
              <w:spacing w:line="240" w:lineRule="auto"/>
              <w:rPr>
                <w:rFonts w:ascii="Arial Narrow" w:hAnsi="Arial Narrow" w:cs="ArialMT"/>
                <w:b/>
                <w:bCs/>
                <w:color w:val="FFFFFF"/>
                <w:sz w:val="16"/>
                <w:szCs w:val="20"/>
                <w:lang w:val="en-GB" w:eastAsia="en-GB"/>
              </w:rPr>
            </w:pPr>
            <w:r w:rsidRPr="000116D2">
              <w:rPr>
                <w:rFonts w:ascii="Arial Narrow" w:hAnsi="Arial Narrow" w:cs="ArialMT"/>
                <w:b/>
                <w:bCs/>
                <w:color w:val="FFFFFF"/>
                <w:sz w:val="16"/>
                <w:szCs w:val="20"/>
                <w:lang w:val="en-GB" w:eastAsia="en-GB"/>
              </w:rPr>
              <w:t>2004</w:t>
            </w:r>
          </w:p>
        </w:tc>
        <w:tc>
          <w:tcPr>
            <w:tcW w:w="349" w:type="pct"/>
            <w:tcBorders>
              <w:top w:val="single" w:sz="4" w:space="0" w:color="000000"/>
              <w:left w:val="single" w:sz="4" w:space="0" w:color="000000"/>
              <w:bottom w:val="nil"/>
              <w:right w:val="nil"/>
            </w:tcBorders>
            <w:shd w:val="clear" w:color="auto" w:fill="9BBB59" w:themeFill="accent3"/>
            <w:vAlign w:val="center"/>
            <w:hideMark/>
          </w:tcPr>
          <w:p w:rsidR="00C71FCE" w:rsidRPr="000116D2" w:rsidRDefault="00C71FCE" w:rsidP="00DE703C">
            <w:pPr>
              <w:spacing w:line="240" w:lineRule="auto"/>
              <w:rPr>
                <w:rFonts w:ascii="Arial Narrow" w:hAnsi="Arial Narrow" w:cs="ArialMT"/>
                <w:b/>
                <w:bCs/>
                <w:color w:val="FFFFFF"/>
                <w:sz w:val="16"/>
                <w:szCs w:val="20"/>
                <w:lang w:val="en-GB" w:eastAsia="en-GB"/>
              </w:rPr>
            </w:pPr>
            <w:r w:rsidRPr="000116D2">
              <w:rPr>
                <w:rFonts w:ascii="Arial Narrow" w:hAnsi="Arial Narrow" w:cs="ArialMT"/>
                <w:b/>
                <w:bCs/>
                <w:color w:val="FFFFFF"/>
                <w:sz w:val="16"/>
                <w:szCs w:val="20"/>
                <w:lang w:val="en-GB" w:eastAsia="en-GB"/>
              </w:rPr>
              <w:t>2005</w:t>
            </w:r>
          </w:p>
        </w:tc>
        <w:tc>
          <w:tcPr>
            <w:tcW w:w="350" w:type="pct"/>
            <w:tcBorders>
              <w:top w:val="single" w:sz="4" w:space="0" w:color="000000"/>
              <w:left w:val="single" w:sz="4" w:space="0" w:color="000000"/>
              <w:bottom w:val="nil"/>
              <w:right w:val="nil"/>
            </w:tcBorders>
            <w:shd w:val="clear" w:color="auto" w:fill="9BBB59" w:themeFill="accent3"/>
            <w:vAlign w:val="center"/>
            <w:hideMark/>
          </w:tcPr>
          <w:p w:rsidR="00C71FCE" w:rsidRPr="000116D2" w:rsidRDefault="00C71FCE" w:rsidP="00DE703C">
            <w:pPr>
              <w:spacing w:line="240" w:lineRule="auto"/>
              <w:rPr>
                <w:rFonts w:ascii="Arial Narrow" w:hAnsi="Arial Narrow" w:cs="ArialMT"/>
                <w:b/>
                <w:bCs/>
                <w:color w:val="FFFFFF"/>
                <w:sz w:val="16"/>
                <w:szCs w:val="20"/>
                <w:lang w:val="en-GB" w:eastAsia="en-GB"/>
              </w:rPr>
            </w:pPr>
            <w:r w:rsidRPr="000116D2">
              <w:rPr>
                <w:rFonts w:ascii="Arial Narrow" w:hAnsi="Arial Narrow" w:cs="ArialMT"/>
                <w:b/>
                <w:bCs/>
                <w:color w:val="FFFFFF"/>
                <w:sz w:val="16"/>
                <w:szCs w:val="20"/>
                <w:lang w:val="en-GB" w:eastAsia="en-GB"/>
              </w:rPr>
              <w:t>2006</w:t>
            </w:r>
          </w:p>
        </w:tc>
        <w:tc>
          <w:tcPr>
            <w:tcW w:w="349" w:type="pct"/>
            <w:tcBorders>
              <w:top w:val="single" w:sz="4" w:space="0" w:color="000000"/>
              <w:left w:val="single" w:sz="4" w:space="0" w:color="000000"/>
              <w:bottom w:val="nil"/>
              <w:right w:val="nil"/>
            </w:tcBorders>
            <w:shd w:val="clear" w:color="auto" w:fill="9BBB59" w:themeFill="accent3"/>
            <w:vAlign w:val="center"/>
            <w:hideMark/>
          </w:tcPr>
          <w:p w:rsidR="00C71FCE" w:rsidRPr="000116D2" w:rsidRDefault="00C71FCE" w:rsidP="00DE703C">
            <w:pPr>
              <w:spacing w:line="240" w:lineRule="auto"/>
              <w:rPr>
                <w:rFonts w:ascii="Arial Narrow" w:hAnsi="Arial Narrow" w:cs="ArialMT"/>
                <w:b/>
                <w:bCs/>
                <w:color w:val="FFFFFF"/>
                <w:sz w:val="16"/>
                <w:szCs w:val="20"/>
                <w:lang w:val="en-GB" w:eastAsia="en-GB"/>
              </w:rPr>
            </w:pPr>
            <w:r w:rsidRPr="000116D2">
              <w:rPr>
                <w:rFonts w:ascii="Arial Narrow" w:hAnsi="Arial Narrow" w:cs="ArialMT"/>
                <w:b/>
                <w:bCs/>
                <w:color w:val="FFFFFF"/>
                <w:sz w:val="16"/>
                <w:szCs w:val="20"/>
                <w:lang w:val="en-GB" w:eastAsia="en-GB"/>
              </w:rPr>
              <w:t>2007</w:t>
            </w:r>
          </w:p>
        </w:tc>
        <w:tc>
          <w:tcPr>
            <w:tcW w:w="349" w:type="pct"/>
            <w:tcBorders>
              <w:top w:val="single" w:sz="4" w:space="0" w:color="000000"/>
              <w:left w:val="single" w:sz="4" w:space="0" w:color="000000"/>
              <w:bottom w:val="nil"/>
              <w:right w:val="nil"/>
            </w:tcBorders>
            <w:shd w:val="clear" w:color="auto" w:fill="9BBB59" w:themeFill="accent3"/>
            <w:vAlign w:val="center"/>
            <w:hideMark/>
          </w:tcPr>
          <w:p w:rsidR="00C71FCE" w:rsidRPr="000116D2" w:rsidRDefault="00C71FCE" w:rsidP="00DE703C">
            <w:pPr>
              <w:spacing w:line="240" w:lineRule="auto"/>
              <w:rPr>
                <w:rFonts w:ascii="Arial Narrow" w:hAnsi="Arial Narrow" w:cs="ArialMT"/>
                <w:b/>
                <w:bCs/>
                <w:color w:val="FFFFFF"/>
                <w:sz w:val="16"/>
                <w:szCs w:val="20"/>
                <w:lang w:val="en-GB" w:eastAsia="en-GB"/>
              </w:rPr>
            </w:pPr>
            <w:r w:rsidRPr="000116D2">
              <w:rPr>
                <w:rFonts w:ascii="Arial Narrow" w:hAnsi="Arial Narrow" w:cs="ArialMT"/>
                <w:b/>
                <w:bCs/>
                <w:color w:val="FFFFFF"/>
                <w:sz w:val="16"/>
                <w:szCs w:val="20"/>
                <w:lang w:val="en-GB" w:eastAsia="en-GB"/>
              </w:rPr>
              <w:t>2008</w:t>
            </w:r>
          </w:p>
        </w:tc>
        <w:tc>
          <w:tcPr>
            <w:tcW w:w="350" w:type="pct"/>
            <w:tcBorders>
              <w:top w:val="single" w:sz="4" w:space="0" w:color="000000"/>
              <w:left w:val="single" w:sz="4" w:space="0" w:color="000000"/>
              <w:bottom w:val="nil"/>
              <w:right w:val="nil"/>
            </w:tcBorders>
            <w:shd w:val="clear" w:color="auto" w:fill="9BBB59" w:themeFill="accent3"/>
            <w:vAlign w:val="center"/>
            <w:hideMark/>
          </w:tcPr>
          <w:p w:rsidR="00C71FCE" w:rsidRPr="000116D2" w:rsidRDefault="00C71FCE" w:rsidP="00DE703C">
            <w:pPr>
              <w:spacing w:line="240" w:lineRule="auto"/>
              <w:rPr>
                <w:rFonts w:ascii="Arial Narrow" w:hAnsi="Arial Narrow" w:cs="ArialMT"/>
                <w:b/>
                <w:bCs/>
                <w:color w:val="FFFFFF"/>
                <w:sz w:val="16"/>
                <w:szCs w:val="20"/>
                <w:lang w:val="en-GB" w:eastAsia="en-GB"/>
              </w:rPr>
            </w:pPr>
            <w:r w:rsidRPr="000116D2">
              <w:rPr>
                <w:rFonts w:ascii="Arial Narrow" w:hAnsi="Arial Narrow" w:cs="ArialMT"/>
                <w:b/>
                <w:bCs/>
                <w:color w:val="FFFFFF"/>
                <w:sz w:val="16"/>
                <w:szCs w:val="20"/>
                <w:lang w:val="en-GB" w:eastAsia="en-GB"/>
              </w:rPr>
              <w:t>2009</w:t>
            </w:r>
          </w:p>
        </w:tc>
        <w:tc>
          <w:tcPr>
            <w:tcW w:w="349" w:type="pct"/>
            <w:tcBorders>
              <w:top w:val="single" w:sz="4" w:space="0" w:color="000000"/>
              <w:left w:val="single" w:sz="4" w:space="0" w:color="000000"/>
              <w:bottom w:val="nil"/>
              <w:right w:val="nil"/>
            </w:tcBorders>
            <w:shd w:val="clear" w:color="auto" w:fill="9BBB59" w:themeFill="accent3"/>
            <w:vAlign w:val="center"/>
            <w:hideMark/>
          </w:tcPr>
          <w:p w:rsidR="00C71FCE" w:rsidRPr="000116D2" w:rsidRDefault="00C71FCE" w:rsidP="00DE703C">
            <w:pPr>
              <w:spacing w:line="240" w:lineRule="auto"/>
              <w:rPr>
                <w:rFonts w:ascii="Arial Narrow" w:hAnsi="Arial Narrow" w:cs="ArialMT"/>
                <w:b/>
                <w:bCs/>
                <w:color w:val="FFFFFF"/>
                <w:sz w:val="16"/>
                <w:szCs w:val="20"/>
                <w:lang w:val="en-GB" w:eastAsia="en-GB"/>
              </w:rPr>
            </w:pPr>
            <w:r w:rsidRPr="000116D2">
              <w:rPr>
                <w:rFonts w:ascii="Arial Narrow" w:hAnsi="Arial Narrow" w:cs="ArialMT"/>
                <w:b/>
                <w:bCs/>
                <w:color w:val="FFFFFF"/>
                <w:sz w:val="16"/>
                <w:szCs w:val="20"/>
                <w:lang w:val="en-GB" w:eastAsia="en-GB"/>
              </w:rPr>
              <w:t>2010</w:t>
            </w:r>
          </w:p>
        </w:tc>
        <w:tc>
          <w:tcPr>
            <w:tcW w:w="349" w:type="pct"/>
            <w:tcBorders>
              <w:top w:val="single" w:sz="4" w:space="0" w:color="000000"/>
              <w:left w:val="single" w:sz="4" w:space="0" w:color="000000"/>
              <w:bottom w:val="nil"/>
              <w:right w:val="nil"/>
            </w:tcBorders>
            <w:shd w:val="clear" w:color="auto" w:fill="9BBB59" w:themeFill="accent3"/>
            <w:vAlign w:val="center"/>
            <w:hideMark/>
          </w:tcPr>
          <w:p w:rsidR="00C71FCE" w:rsidRPr="000116D2" w:rsidRDefault="00C71FCE" w:rsidP="00DE703C">
            <w:pPr>
              <w:spacing w:line="240" w:lineRule="auto"/>
              <w:rPr>
                <w:rFonts w:ascii="Arial Narrow" w:hAnsi="Arial Narrow" w:cs="ArialMT"/>
                <w:b/>
                <w:bCs/>
                <w:color w:val="FFFFFF"/>
                <w:sz w:val="16"/>
                <w:szCs w:val="20"/>
                <w:lang w:val="en-GB" w:eastAsia="en-GB"/>
              </w:rPr>
            </w:pPr>
            <w:r w:rsidRPr="000116D2">
              <w:rPr>
                <w:rFonts w:ascii="Arial Narrow" w:hAnsi="Arial Narrow" w:cs="ArialMT"/>
                <w:b/>
                <w:bCs/>
                <w:color w:val="FFFFFF"/>
                <w:sz w:val="16"/>
                <w:szCs w:val="20"/>
                <w:lang w:val="en-GB" w:eastAsia="en-GB"/>
              </w:rPr>
              <w:t>2011</w:t>
            </w:r>
          </w:p>
        </w:tc>
        <w:tc>
          <w:tcPr>
            <w:tcW w:w="350" w:type="pct"/>
            <w:tcBorders>
              <w:top w:val="single" w:sz="4" w:space="0" w:color="000000"/>
              <w:left w:val="single" w:sz="4" w:space="0" w:color="000000"/>
              <w:bottom w:val="nil"/>
              <w:right w:val="nil"/>
            </w:tcBorders>
            <w:shd w:val="clear" w:color="auto" w:fill="9BBB59" w:themeFill="accent3"/>
            <w:vAlign w:val="center"/>
            <w:hideMark/>
          </w:tcPr>
          <w:p w:rsidR="00C71FCE" w:rsidRPr="000116D2" w:rsidRDefault="00C71FCE" w:rsidP="00DE703C">
            <w:pPr>
              <w:spacing w:line="240" w:lineRule="auto"/>
              <w:rPr>
                <w:rFonts w:ascii="Arial Narrow" w:hAnsi="Arial Narrow" w:cs="ArialMT"/>
                <w:b/>
                <w:bCs/>
                <w:color w:val="FFFFFF"/>
                <w:sz w:val="16"/>
                <w:szCs w:val="20"/>
                <w:lang w:val="en-GB" w:eastAsia="en-GB"/>
              </w:rPr>
            </w:pPr>
            <w:r w:rsidRPr="000116D2">
              <w:rPr>
                <w:rFonts w:ascii="Arial Narrow" w:hAnsi="Arial Narrow" w:cs="ArialMT"/>
                <w:b/>
                <w:bCs/>
                <w:color w:val="FFFFFF"/>
                <w:sz w:val="16"/>
                <w:szCs w:val="20"/>
                <w:lang w:val="en-GB" w:eastAsia="en-GB"/>
              </w:rPr>
              <w:t>2012</w:t>
            </w:r>
          </w:p>
        </w:tc>
        <w:tc>
          <w:tcPr>
            <w:tcW w:w="349" w:type="pct"/>
            <w:tcBorders>
              <w:top w:val="single" w:sz="4" w:space="0" w:color="000000"/>
              <w:left w:val="single" w:sz="4" w:space="0" w:color="000000"/>
              <w:bottom w:val="nil"/>
              <w:right w:val="nil"/>
            </w:tcBorders>
            <w:shd w:val="clear" w:color="auto" w:fill="9BBB59" w:themeFill="accent3"/>
            <w:vAlign w:val="center"/>
            <w:hideMark/>
          </w:tcPr>
          <w:p w:rsidR="00C71FCE" w:rsidRPr="000116D2" w:rsidRDefault="00C71FCE" w:rsidP="00DE703C">
            <w:pPr>
              <w:spacing w:line="240" w:lineRule="auto"/>
              <w:rPr>
                <w:rFonts w:ascii="Arial Narrow" w:hAnsi="Arial Narrow" w:cs="ArialMT"/>
                <w:b/>
                <w:bCs/>
                <w:color w:val="FFFFFF"/>
                <w:sz w:val="16"/>
                <w:szCs w:val="20"/>
                <w:lang w:val="en-GB" w:eastAsia="en-GB"/>
              </w:rPr>
            </w:pPr>
            <w:r w:rsidRPr="000116D2">
              <w:rPr>
                <w:rFonts w:ascii="Arial Narrow" w:hAnsi="Arial Narrow" w:cs="ArialMT"/>
                <w:b/>
                <w:bCs/>
                <w:color w:val="FFFFFF"/>
                <w:sz w:val="16"/>
                <w:szCs w:val="20"/>
                <w:lang w:val="en-GB" w:eastAsia="en-GB"/>
              </w:rPr>
              <w:t>2013</w:t>
            </w:r>
          </w:p>
        </w:tc>
        <w:tc>
          <w:tcPr>
            <w:tcW w:w="349" w:type="pct"/>
            <w:tcBorders>
              <w:top w:val="single" w:sz="4" w:space="0" w:color="000000"/>
              <w:left w:val="single" w:sz="4" w:space="0" w:color="000000"/>
              <w:bottom w:val="nil"/>
              <w:right w:val="nil"/>
            </w:tcBorders>
            <w:shd w:val="clear" w:color="auto" w:fill="9BBB59" w:themeFill="accent3"/>
            <w:vAlign w:val="center"/>
            <w:hideMark/>
          </w:tcPr>
          <w:p w:rsidR="00C71FCE" w:rsidRPr="000116D2" w:rsidRDefault="00C71FCE" w:rsidP="00DE703C">
            <w:pPr>
              <w:spacing w:line="240" w:lineRule="auto"/>
              <w:rPr>
                <w:rFonts w:ascii="Arial Narrow" w:hAnsi="Arial Narrow" w:cs="ArialMT"/>
                <w:b/>
                <w:bCs/>
                <w:color w:val="FFFFFF"/>
                <w:sz w:val="16"/>
                <w:szCs w:val="20"/>
                <w:lang w:val="en-GB" w:eastAsia="en-GB"/>
              </w:rPr>
            </w:pPr>
            <w:r w:rsidRPr="000116D2">
              <w:rPr>
                <w:rFonts w:ascii="Arial Narrow" w:hAnsi="Arial Narrow" w:cs="ArialMT"/>
                <w:b/>
                <w:bCs/>
                <w:color w:val="FFFFFF"/>
                <w:sz w:val="16"/>
                <w:szCs w:val="20"/>
                <w:lang w:val="en-GB" w:eastAsia="en-GB"/>
              </w:rPr>
              <w:t>2014</w:t>
            </w:r>
          </w:p>
        </w:tc>
        <w:tc>
          <w:tcPr>
            <w:tcW w:w="350" w:type="pct"/>
            <w:tcBorders>
              <w:top w:val="single" w:sz="4" w:space="0" w:color="000000"/>
              <w:left w:val="single" w:sz="4" w:space="0" w:color="000000"/>
              <w:bottom w:val="nil"/>
              <w:right w:val="single" w:sz="4" w:space="0" w:color="000000"/>
            </w:tcBorders>
            <w:shd w:val="clear" w:color="auto" w:fill="9BBB59" w:themeFill="accent3"/>
            <w:vAlign w:val="center"/>
            <w:hideMark/>
          </w:tcPr>
          <w:p w:rsidR="00C71FCE" w:rsidRPr="000116D2" w:rsidRDefault="00C71FCE" w:rsidP="00DE703C">
            <w:pPr>
              <w:spacing w:line="240" w:lineRule="auto"/>
              <w:rPr>
                <w:rFonts w:ascii="Arial Narrow" w:hAnsi="Arial Narrow" w:cs="ArialMT"/>
                <w:b/>
                <w:bCs/>
                <w:color w:val="FFFFFF"/>
                <w:sz w:val="16"/>
                <w:szCs w:val="20"/>
                <w:lang w:val="en-GB" w:eastAsia="en-GB"/>
              </w:rPr>
            </w:pPr>
            <w:r w:rsidRPr="000116D2">
              <w:rPr>
                <w:rFonts w:ascii="Arial Narrow" w:hAnsi="Arial Narrow" w:cs="ArialMT"/>
                <w:b/>
                <w:bCs/>
                <w:color w:val="FFFFFF"/>
                <w:sz w:val="16"/>
                <w:szCs w:val="20"/>
                <w:lang w:val="en-GB" w:eastAsia="en-GB"/>
              </w:rPr>
              <w:t>2015</w:t>
            </w:r>
          </w:p>
        </w:tc>
      </w:tr>
      <w:tr w:rsidR="00C71FCE" w:rsidRPr="003E54C1" w:rsidTr="00DE703C">
        <w:trPr>
          <w:trHeight w:hRule="exact" w:val="640"/>
        </w:trPr>
        <w:tc>
          <w:tcPr>
            <w:tcW w:w="808" w:type="pct"/>
            <w:tcBorders>
              <w:top w:val="single" w:sz="4" w:space="0" w:color="000000"/>
              <w:left w:val="single" w:sz="4" w:space="0" w:color="000000"/>
              <w:bottom w:val="nil"/>
              <w:right w:val="nil"/>
            </w:tcBorders>
            <w:shd w:val="clear" w:color="auto" w:fill="auto"/>
            <w:vAlign w:val="center"/>
            <w:hideMark/>
          </w:tcPr>
          <w:p w:rsidR="00C71FCE" w:rsidRDefault="00C71FCE" w:rsidP="00DE703C">
            <w:pPr>
              <w:spacing w:after="0" w:line="240" w:lineRule="auto"/>
              <w:rPr>
                <w:rFonts w:ascii="Arial Narrow" w:hAnsi="Arial Narrow" w:cs="ArialMT"/>
                <w:b/>
                <w:bCs/>
                <w:color w:val="000000"/>
                <w:sz w:val="16"/>
                <w:szCs w:val="20"/>
                <w:lang w:val="en-GB" w:eastAsia="en-GB"/>
              </w:rPr>
            </w:pPr>
            <w:r w:rsidRPr="000116D2">
              <w:rPr>
                <w:rFonts w:ascii="Arial Narrow" w:hAnsi="Arial Narrow" w:cs="ArialMT"/>
                <w:b/>
                <w:bCs/>
                <w:color w:val="000000"/>
                <w:sz w:val="16"/>
                <w:szCs w:val="20"/>
                <w:u w:val="single"/>
                <w:lang w:val="en-GB" w:eastAsia="en-GB"/>
              </w:rPr>
              <w:t>PREDVAJANO SKUPAJ</w:t>
            </w:r>
            <w:r w:rsidRPr="000116D2">
              <w:rPr>
                <w:rFonts w:ascii="Arial Narrow" w:hAnsi="Arial Narrow" w:cs="ArialMT"/>
                <w:b/>
                <w:bCs/>
                <w:color w:val="000000"/>
                <w:sz w:val="16"/>
                <w:szCs w:val="20"/>
                <w:lang w:val="en-GB" w:eastAsia="en-GB"/>
              </w:rPr>
              <w:t xml:space="preserve"> </w:t>
            </w:r>
          </w:p>
          <w:p w:rsidR="00C71FCE" w:rsidRPr="000116D2" w:rsidRDefault="00C71FCE" w:rsidP="00DE703C">
            <w:pPr>
              <w:spacing w:after="0" w:line="240" w:lineRule="auto"/>
              <w:rPr>
                <w:rFonts w:ascii="Arial Narrow" w:hAnsi="Arial Narrow" w:cs="ArialMT"/>
                <w:b/>
                <w:bCs/>
                <w:color w:val="000000"/>
                <w:sz w:val="16"/>
                <w:szCs w:val="20"/>
                <w:lang w:val="en-GB" w:eastAsia="en-GB"/>
              </w:rPr>
            </w:pPr>
            <w:r w:rsidRPr="000116D2">
              <w:rPr>
                <w:rFonts w:ascii="Arial Narrow" w:hAnsi="Arial Narrow" w:cs="ArialMT"/>
                <w:b/>
                <w:bCs/>
                <w:color w:val="000000"/>
                <w:sz w:val="16"/>
                <w:szCs w:val="20"/>
                <w:lang w:val="en-GB" w:eastAsia="en-GB"/>
              </w:rPr>
              <w:t>(1. + 2. + 3. + 4. + 5.)</w:t>
            </w:r>
          </w:p>
        </w:tc>
        <w:tc>
          <w:tcPr>
            <w:tcW w:w="349" w:type="pct"/>
            <w:tcBorders>
              <w:top w:val="single" w:sz="4" w:space="0" w:color="000000"/>
              <w:left w:val="single" w:sz="4" w:space="0" w:color="000000"/>
              <w:bottom w:val="nil"/>
              <w:right w:val="nil"/>
            </w:tcBorders>
            <w:shd w:val="clear" w:color="auto" w:fill="auto"/>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258.324</w:t>
            </w:r>
          </w:p>
        </w:tc>
        <w:tc>
          <w:tcPr>
            <w:tcW w:w="349" w:type="pct"/>
            <w:tcBorders>
              <w:top w:val="single" w:sz="4" w:space="0" w:color="000000"/>
              <w:left w:val="single" w:sz="4" w:space="0" w:color="000000"/>
              <w:bottom w:val="nil"/>
              <w:right w:val="nil"/>
            </w:tcBorders>
            <w:shd w:val="clear" w:color="auto" w:fill="auto"/>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293.745</w:t>
            </w:r>
          </w:p>
        </w:tc>
        <w:tc>
          <w:tcPr>
            <w:tcW w:w="350" w:type="pct"/>
            <w:tcBorders>
              <w:top w:val="single" w:sz="4" w:space="0" w:color="000000"/>
              <w:left w:val="single" w:sz="4" w:space="0" w:color="000000"/>
              <w:bottom w:val="nil"/>
              <w:right w:val="nil"/>
            </w:tcBorders>
            <w:shd w:val="clear" w:color="auto" w:fill="auto"/>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308.878</w:t>
            </w:r>
          </w:p>
        </w:tc>
        <w:tc>
          <w:tcPr>
            <w:tcW w:w="349" w:type="pct"/>
            <w:tcBorders>
              <w:top w:val="single" w:sz="4" w:space="0" w:color="000000"/>
              <w:left w:val="single" w:sz="4" w:space="0" w:color="000000"/>
              <w:bottom w:val="nil"/>
              <w:right w:val="nil"/>
            </w:tcBorders>
            <w:shd w:val="clear" w:color="auto" w:fill="auto"/>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295.114</w:t>
            </w:r>
          </w:p>
        </w:tc>
        <w:tc>
          <w:tcPr>
            <w:tcW w:w="349" w:type="pct"/>
            <w:tcBorders>
              <w:top w:val="single" w:sz="4" w:space="0" w:color="000000"/>
              <w:left w:val="single" w:sz="4" w:space="0" w:color="000000"/>
              <w:bottom w:val="nil"/>
              <w:right w:val="nil"/>
            </w:tcBorders>
            <w:shd w:val="clear" w:color="auto" w:fill="auto"/>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302.104</w:t>
            </w:r>
          </w:p>
        </w:tc>
        <w:tc>
          <w:tcPr>
            <w:tcW w:w="350" w:type="pct"/>
            <w:tcBorders>
              <w:top w:val="single" w:sz="4" w:space="0" w:color="000000"/>
              <w:left w:val="single" w:sz="4" w:space="0" w:color="000000"/>
              <w:bottom w:val="nil"/>
              <w:right w:val="nil"/>
            </w:tcBorders>
            <w:shd w:val="clear" w:color="auto" w:fill="auto"/>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283.601</w:t>
            </w:r>
          </w:p>
        </w:tc>
        <w:tc>
          <w:tcPr>
            <w:tcW w:w="349" w:type="pct"/>
            <w:tcBorders>
              <w:top w:val="single" w:sz="4" w:space="0" w:color="000000"/>
              <w:left w:val="single" w:sz="4" w:space="0" w:color="000000"/>
              <w:bottom w:val="nil"/>
              <w:right w:val="nil"/>
            </w:tcBorders>
            <w:shd w:val="clear" w:color="auto" w:fill="auto"/>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330.133</w:t>
            </w:r>
          </w:p>
        </w:tc>
        <w:tc>
          <w:tcPr>
            <w:tcW w:w="349" w:type="pct"/>
            <w:tcBorders>
              <w:top w:val="single" w:sz="4" w:space="0" w:color="000000"/>
              <w:left w:val="single" w:sz="4" w:space="0" w:color="000000"/>
              <w:bottom w:val="nil"/>
              <w:right w:val="nil"/>
            </w:tcBorders>
            <w:shd w:val="clear" w:color="auto" w:fill="auto"/>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394.029</w:t>
            </w:r>
          </w:p>
        </w:tc>
        <w:tc>
          <w:tcPr>
            <w:tcW w:w="350" w:type="pct"/>
            <w:tcBorders>
              <w:top w:val="single" w:sz="4" w:space="0" w:color="000000"/>
              <w:left w:val="single" w:sz="4" w:space="0" w:color="000000"/>
              <w:bottom w:val="nil"/>
              <w:right w:val="nil"/>
            </w:tcBorders>
            <w:shd w:val="clear" w:color="auto" w:fill="auto"/>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381.642</w:t>
            </w:r>
          </w:p>
        </w:tc>
        <w:tc>
          <w:tcPr>
            <w:tcW w:w="349" w:type="pct"/>
            <w:tcBorders>
              <w:top w:val="single" w:sz="4" w:space="0" w:color="000000"/>
              <w:left w:val="single" w:sz="4" w:space="0" w:color="000000"/>
              <w:bottom w:val="nil"/>
              <w:right w:val="nil"/>
            </w:tcBorders>
            <w:shd w:val="clear" w:color="auto" w:fill="auto"/>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376.437</w:t>
            </w:r>
          </w:p>
        </w:tc>
        <w:tc>
          <w:tcPr>
            <w:tcW w:w="349" w:type="pct"/>
            <w:tcBorders>
              <w:top w:val="single" w:sz="4" w:space="0" w:color="000000"/>
              <w:left w:val="single" w:sz="4" w:space="0" w:color="000000"/>
              <w:bottom w:val="nil"/>
              <w:right w:val="nil"/>
            </w:tcBorders>
            <w:shd w:val="clear" w:color="auto" w:fill="auto"/>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350.288</w:t>
            </w:r>
          </w:p>
        </w:tc>
        <w:tc>
          <w:tcPr>
            <w:tcW w:w="350" w:type="pct"/>
            <w:tcBorders>
              <w:top w:val="single" w:sz="4" w:space="0" w:color="000000"/>
              <w:left w:val="single" w:sz="4" w:space="0" w:color="000000"/>
              <w:bottom w:val="nil"/>
              <w:right w:val="single" w:sz="4" w:space="0" w:color="000000"/>
            </w:tcBorders>
            <w:shd w:val="clear" w:color="auto" w:fill="auto"/>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370.443</w:t>
            </w:r>
          </w:p>
        </w:tc>
      </w:tr>
      <w:tr w:rsidR="00C71FCE" w:rsidRPr="003E54C1" w:rsidTr="009C59DA">
        <w:trPr>
          <w:trHeight w:hRule="exact" w:val="340"/>
        </w:trPr>
        <w:tc>
          <w:tcPr>
            <w:tcW w:w="808" w:type="pct"/>
            <w:tcBorders>
              <w:top w:val="single" w:sz="4" w:space="0" w:color="000000"/>
              <w:left w:val="single" w:sz="4" w:space="0" w:color="000000"/>
              <w:bottom w:val="nil"/>
              <w:right w:val="nil"/>
            </w:tcBorders>
            <w:shd w:val="clear" w:color="auto" w:fill="9BBB59" w:themeFill="accent3"/>
            <w:vAlign w:val="center"/>
            <w:hideMark/>
          </w:tcPr>
          <w:p w:rsidR="00C71FCE" w:rsidRPr="000116D2" w:rsidRDefault="00C71FCE" w:rsidP="00DE703C">
            <w:pPr>
              <w:spacing w:line="240" w:lineRule="auto"/>
              <w:rPr>
                <w:rFonts w:ascii="Arial Narrow" w:hAnsi="Arial Narrow" w:cs="ArialMT"/>
                <w:b/>
                <w:bCs/>
                <w:i/>
                <w:iCs/>
                <w:color w:val="000000"/>
                <w:sz w:val="16"/>
                <w:szCs w:val="20"/>
                <w:lang w:val="en-GB" w:eastAsia="en-GB"/>
              </w:rPr>
            </w:pPr>
            <w:r w:rsidRPr="000116D2">
              <w:rPr>
                <w:rFonts w:ascii="Arial Narrow" w:hAnsi="Arial Narrow" w:cs="ArialMT"/>
                <w:b/>
                <w:bCs/>
                <w:i/>
                <w:iCs/>
                <w:color w:val="000000"/>
                <w:sz w:val="16"/>
                <w:szCs w:val="20"/>
                <w:lang w:val="en-GB" w:eastAsia="en-GB"/>
              </w:rPr>
              <w:t>1. VSEBINSKI DEL TV PROGRAMA</w:t>
            </w:r>
          </w:p>
        </w:tc>
        <w:tc>
          <w:tcPr>
            <w:tcW w:w="349" w:type="pct"/>
            <w:tcBorders>
              <w:top w:val="single" w:sz="4" w:space="0" w:color="000000"/>
              <w:left w:val="single" w:sz="4" w:space="0" w:color="000000"/>
              <w:bottom w:val="nil"/>
              <w:right w:val="nil"/>
            </w:tcBorders>
            <w:shd w:val="clear" w:color="auto" w:fill="9BBB59" w:themeFill="accent3"/>
            <w:noWrap/>
            <w:vAlign w:val="center"/>
            <w:hideMark/>
          </w:tcPr>
          <w:p w:rsidR="00C71FCE" w:rsidRPr="000116D2" w:rsidRDefault="00C71FCE" w:rsidP="00DE703C">
            <w:pPr>
              <w:spacing w:line="240" w:lineRule="auto"/>
              <w:rPr>
                <w:rFonts w:ascii="Arial Narrow" w:hAnsi="Arial Narrow" w:cs="ArialMT"/>
                <w:b/>
                <w:bCs/>
                <w:i/>
                <w:iCs/>
                <w:color w:val="000000"/>
                <w:sz w:val="16"/>
                <w:szCs w:val="20"/>
                <w:lang w:val="en-GB" w:eastAsia="en-GB"/>
              </w:rPr>
            </w:pPr>
            <w:r w:rsidRPr="000116D2">
              <w:rPr>
                <w:rFonts w:ascii="Arial Narrow" w:hAnsi="Arial Narrow" w:cs="ArialMT"/>
                <w:b/>
                <w:bCs/>
                <w:i/>
                <w:iCs/>
                <w:color w:val="000000"/>
                <w:sz w:val="16"/>
                <w:szCs w:val="20"/>
                <w:lang w:val="en-GB" w:eastAsia="en-GB"/>
              </w:rPr>
              <w:t>112.928</w:t>
            </w:r>
          </w:p>
        </w:tc>
        <w:tc>
          <w:tcPr>
            <w:tcW w:w="349" w:type="pct"/>
            <w:tcBorders>
              <w:top w:val="single" w:sz="4" w:space="0" w:color="000000"/>
              <w:left w:val="single" w:sz="4" w:space="0" w:color="000000"/>
              <w:bottom w:val="nil"/>
              <w:right w:val="nil"/>
            </w:tcBorders>
            <w:shd w:val="clear" w:color="auto" w:fill="9BBB59" w:themeFill="accent3"/>
            <w:noWrap/>
            <w:vAlign w:val="center"/>
            <w:hideMark/>
          </w:tcPr>
          <w:p w:rsidR="00C71FCE" w:rsidRPr="000116D2" w:rsidRDefault="00C71FCE" w:rsidP="00DE703C">
            <w:pPr>
              <w:spacing w:line="240" w:lineRule="auto"/>
              <w:rPr>
                <w:rFonts w:ascii="Arial Narrow" w:hAnsi="Arial Narrow" w:cs="ArialMT"/>
                <w:b/>
                <w:bCs/>
                <w:i/>
                <w:iCs/>
                <w:color w:val="000000"/>
                <w:sz w:val="16"/>
                <w:szCs w:val="20"/>
                <w:lang w:val="en-GB" w:eastAsia="en-GB"/>
              </w:rPr>
            </w:pPr>
            <w:r w:rsidRPr="000116D2">
              <w:rPr>
                <w:rFonts w:ascii="Arial Narrow" w:hAnsi="Arial Narrow" w:cs="ArialMT"/>
                <w:b/>
                <w:bCs/>
                <w:i/>
                <w:iCs/>
                <w:color w:val="000000"/>
                <w:sz w:val="16"/>
                <w:szCs w:val="20"/>
                <w:lang w:val="en-GB" w:eastAsia="en-GB"/>
              </w:rPr>
              <w:t>126.848</w:t>
            </w:r>
          </w:p>
        </w:tc>
        <w:tc>
          <w:tcPr>
            <w:tcW w:w="350" w:type="pct"/>
            <w:tcBorders>
              <w:top w:val="single" w:sz="4" w:space="0" w:color="000000"/>
              <w:left w:val="single" w:sz="4" w:space="0" w:color="000000"/>
              <w:bottom w:val="nil"/>
              <w:right w:val="nil"/>
            </w:tcBorders>
            <w:shd w:val="clear" w:color="auto" w:fill="9BBB59" w:themeFill="accent3"/>
            <w:noWrap/>
            <w:vAlign w:val="center"/>
            <w:hideMark/>
          </w:tcPr>
          <w:p w:rsidR="00C71FCE" w:rsidRPr="000116D2" w:rsidRDefault="00C71FCE" w:rsidP="00DE703C">
            <w:pPr>
              <w:spacing w:line="240" w:lineRule="auto"/>
              <w:rPr>
                <w:rFonts w:ascii="Arial Narrow" w:hAnsi="Arial Narrow" w:cs="ArialMT"/>
                <w:b/>
                <w:bCs/>
                <w:i/>
                <w:iCs/>
                <w:color w:val="000000"/>
                <w:sz w:val="16"/>
                <w:szCs w:val="20"/>
                <w:lang w:val="en-GB" w:eastAsia="en-GB"/>
              </w:rPr>
            </w:pPr>
            <w:r w:rsidRPr="000116D2">
              <w:rPr>
                <w:rFonts w:ascii="Arial Narrow" w:hAnsi="Arial Narrow" w:cs="ArialMT"/>
                <w:b/>
                <w:bCs/>
                <w:i/>
                <w:iCs/>
                <w:color w:val="000000"/>
                <w:sz w:val="16"/>
                <w:szCs w:val="20"/>
                <w:lang w:val="en-GB" w:eastAsia="en-GB"/>
              </w:rPr>
              <w:t>148.035</w:t>
            </w:r>
          </w:p>
        </w:tc>
        <w:tc>
          <w:tcPr>
            <w:tcW w:w="349" w:type="pct"/>
            <w:tcBorders>
              <w:top w:val="single" w:sz="4" w:space="0" w:color="000000"/>
              <w:left w:val="single" w:sz="4" w:space="0" w:color="000000"/>
              <w:bottom w:val="nil"/>
              <w:right w:val="nil"/>
            </w:tcBorders>
            <w:shd w:val="clear" w:color="auto" w:fill="9BBB59" w:themeFill="accent3"/>
            <w:noWrap/>
            <w:vAlign w:val="center"/>
            <w:hideMark/>
          </w:tcPr>
          <w:p w:rsidR="00C71FCE" w:rsidRPr="000116D2" w:rsidRDefault="00C71FCE" w:rsidP="00DE703C">
            <w:pPr>
              <w:spacing w:line="240" w:lineRule="auto"/>
              <w:rPr>
                <w:rFonts w:ascii="Arial Narrow" w:hAnsi="Arial Narrow" w:cs="ArialMT"/>
                <w:b/>
                <w:bCs/>
                <w:i/>
                <w:iCs/>
                <w:color w:val="000000"/>
                <w:sz w:val="16"/>
                <w:szCs w:val="20"/>
                <w:lang w:val="en-GB" w:eastAsia="en-GB"/>
              </w:rPr>
            </w:pPr>
            <w:r w:rsidRPr="000116D2">
              <w:rPr>
                <w:rFonts w:ascii="Arial Narrow" w:hAnsi="Arial Narrow" w:cs="ArialMT"/>
                <w:b/>
                <w:bCs/>
                <w:i/>
                <w:iCs/>
                <w:color w:val="000000"/>
                <w:sz w:val="16"/>
                <w:szCs w:val="20"/>
                <w:lang w:val="en-GB" w:eastAsia="en-GB"/>
              </w:rPr>
              <w:t>150.720</w:t>
            </w:r>
          </w:p>
        </w:tc>
        <w:tc>
          <w:tcPr>
            <w:tcW w:w="349" w:type="pct"/>
            <w:tcBorders>
              <w:top w:val="single" w:sz="4" w:space="0" w:color="000000"/>
              <w:left w:val="single" w:sz="4" w:space="0" w:color="000000"/>
              <w:bottom w:val="nil"/>
              <w:right w:val="nil"/>
            </w:tcBorders>
            <w:shd w:val="clear" w:color="auto" w:fill="9BBB59" w:themeFill="accent3"/>
            <w:noWrap/>
            <w:vAlign w:val="center"/>
            <w:hideMark/>
          </w:tcPr>
          <w:p w:rsidR="00C71FCE" w:rsidRPr="000116D2" w:rsidRDefault="00C71FCE" w:rsidP="00DE703C">
            <w:pPr>
              <w:spacing w:line="240" w:lineRule="auto"/>
              <w:rPr>
                <w:rFonts w:ascii="Arial Narrow" w:hAnsi="Arial Narrow" w:cs="ArialMT"/>
                <w:b/>
                <w:bCs/>
                <w:i/>
                <w:iCs/>
                <w:color w:val="000000"/>
                <w:sz w:val="16"/>
                <w:szCs w:val="20"/>
                <w:lang w:val="en-GB" w:eastAsia="en-GB"/>
              </w:rPr>
            </w:pPr>
            <w:r w:rsidRPr="000116D2">
              <w:rPr>
                <w:rFonts w:ascii="Arial Narrow" w:hAnsi="Arial Narrow" w:cs="ArialMT"/>
                <w:b/>
                <w:bCs/>
                <w:i/>
                <w:iCs/>
                <w:color w:val="000000"/>
                <w:sz w:val="16"/>
                <w:szCs w:val="20"/>
                <w:lang w:val="en-GB" w:eastAsia="en-GB"/>
              </w:rPr>
              <w:t>156.174</w:t>
            </w:r>
          </w:p>
        </w:tc>
        <w:tc>
          <w:tcPr>
            <w:tcW w:w="350" w:type="pct"/>
            <w:tcBorders>
              <w:top w:val="single" w:sz="4" w:space="0" w:color="000000"/>
              <w:left w:val="single" w:sz="4" w:space="0" w:color="000000"/>
              <w:bottom w:val="nil"/>
              <w:right w:val="nil"/>
            </w:tcBorders>
            <w:shd w:val="clear" w:color="auto" w:fill="9BBB59" w:themeFill="accent3"/>
            <w:noWrap/>
            <w:vAlign w:val="center"/>
            <w:hideMark/>
          </w:tcPr>
          <w:p w:rsidR="00C71FCE" w:rsidRPr="000116D2" w:rsidRDefault="00C71FCE" w:rsidP="00DE703C">
            <w:pPr>
              <w:spacing w:line="240" w:lineRule="auto"/>
              <w:rPr>
                <w:rFonts w:ascii="Arial Narrow" w:hAnsi="Arial Narrow" w:cs="ArialMT"/>
                <w:b/>
                <w:bCs/>
                <w:i/>
                <w:iCs/>
                <w:color w:val="000000"/>
                <w:sz w:val="16"/>
                <w:szCs w:val="20"/>
                <w:lang w:val="en-GB" w:eastAsia="en-GB"/>
              </w:rPr>
            </w:pPr>
            <w:r w:rsidRPr="000116D2">
              <w:rPr>
                <w:rFonts w:ascii="Arial Narrow" w:hAnsi="Arial Narrow" w:cs="ArialMT"/>
                <w:b/>
                <w:bCs/>
                <w:i/>
                <w:iCs/>
                <w:color w:val="000000"/>
                <w:sz w:val="16"/>
                <w:szCs w:val="20"/>
                <w:lang w:val="en-GB" w:eastAsia="en-GB"/>
              </w:rPr>
              <w:t>138.489</w:t>
            </w:r>
          </w:p>
        </w:tc>
        <w:tc>
          <w:tcPr>
            <w:tcW w:w="349" w:type="pct"/>
            <w:tcBorders>
              <w:top w:val="single" w:sz="4" w:space="0" w:color="000000"/>
              <w:left w:val="single" w:sz="4" w:space="0" w:color="000000"/>
              <w:bottom w:val="nil"/>
              <w:right w:val="nil"/>
            </w:tcBorders>
            <w:shd w:val="clear" w:color="auto" w:fill="9BBB59" w:themeFill="accent3"/>
            <w:noWrap/>
            <w:vAlign w:val="center"/>
            <w:hideMark/>
          </w:tcPr>
          <w:p w:rsidR="00C71FCE" w:rsidRPr="000116D2" w:rsidRDefault="00C71FCE" w:rsidP="00DE703C">
            <w:pPr>
              <w:spacing w:line="240" w:lineRule="auto"/>
              <w:rPr>
                <w:rFonts w:ascii="Arial Narrow" w:hAnsi="Arial Narrow" w:cs="ArialMT"/>
                <w:b/>
                <w:bCs/>
                <w:i/>
                <w:iCs/>
                <w:color w:val="000000"/>
                <w:sz w:val="16"/>
                <w:szCs w:val="20"/>
                <w:lang w:val="en-GB" w:eastAsia="en-GB"/>
              </w:rPr>
            </w:pPr>
            <w:r w:rsidRPr="000116D2">
              <w:rPr>
                <w:rFonts w:ascii="Arial Narrow" w:hAnsi="Arial Narrow" w:cs="ArialMT"/>
                <w:b/>
                <w:bCs/>
                <w:i/>
                <w:iCs/>
                <w:color w:val="000000"/>
                <w:sz w:val="16"/>
                <w:szCs w:val="20"/>
                <w:lang w:val="en-GB" w:eastAsia="en-GB"/>
              </w:rPr>
              <w:t>162.645</w:t>
            </w:r>
          </w:p>
        </w:tc>
        <w:tc>
          <w:tcPr>
            <w:tcW w:w="349" w:type="pct"/>
            <w:tcBorders>
              <w:top w:val="single" w:sz="4" w:space="0" w:color="000000"/>
              <w:left w:val="single" w:sz="4" w:space="0" w:color="000000"/>
              <w:bottom w:val="nil"/>
              <w:right w:val="nil"/>
            </w:tcBorders>
            <w:shd w:val="clear" w:color="auto" w:fill="9BBB59" w:themeFill="accent3"/>
            <w:noWrap/>
            <w:vAlign w:val="center"/>
            <w:hideMark/>
          </w:tcPr>
          <w:p w:rsidR="00C71FCE" w:rsidRPr="000116D2" w:rsidRDefault="00C71FCE" w:rsidP="00DE703C">
            <w:pPr>
              <w:spacing w:line="240" w:lineRule="auto"/>
              <w:rPr>
                <w:rFonts w:ascii="Arial Narrow" w:hAnsi="Arial Narrow" w:cs="ArialMT"/>
                <w:b/>
                <w:bCs/>
                <w:i/>
                <w:iCs/>
                <w:color w:val="000000"/>
                <w:sz w:val="16"/>
                <w:szCs w:val="20"/>
                <w:lang w:val="en-GB" w:eastAsia="en-GB"/>
              </w:rPr>
            </w:pPr>
            <w:r w:rsidRPr="000116D2">
              <w:rPr>
                <w:rFonts w:ascii="Arial Narrow" w:hAnsi="Arial Narrow" w:cs="ArialMT"/>
                <w:b/>
                <w:bCs/>
                <w:i/>
                <w:iCs/>
                <w:color w:val="000000"/>
                <w:sz w:val="16"/>
                <w:szCs w:val="20"/>
                <w:lang w:val="en-GB" w:eastAsia="en-GB"/>
              </w:rPr>
              <w:t>202.742</w:t>
            </w:r>
          </w:p>
        </w:tc>
        <w:tc>
          <w:tcPr>
            <w:tcW w:w="350" w:type="pct"/>
            <w:tcBorders>
              <w:top w:val="single" w:sz="4" w:space="0" w:color="000000"/>
              <w:left w:val="single" w:sz="4" w:space="0" w:color="000000"/>
              <w:bottom w:val="nil"/>
              <w:right w:val="nil"/>
            </w:tcBorders>
            <w:shd w:val="clear" w:color="auto" w:fill="9BBB59" w:themeFill="accent3"/>
            <w:noWrap/>
            <w:vAlign w:val="center"/>
            <w:hideMark/>
          </w:tcPr>
          <w:p w:rsidR="00C71FCE" w:rsidRPr="000116D2" w:rsidRDefault="00C71FCE" w:rsidP="00DE703C">
            <w:pPr>
              <w:spacing w:line="240" w:lineRule="auto"/>
              <w:rPr>
                <w:rFonts w:ascii="Arial Narrow" w:hAnsi="Arial Narrow" w:cs="ArialMT"/>
                <w:b/>
                <w:bCs/>
                <w:i/>
                <w:iCs/>
                <w:color w:val="000000"/>
                <w:sz w:val="16"/>
                <w:szCs w:val="20"/>
                <w:lang w:val="en-GB" w:eastAsia="en-GB"/>
              </w:rPr>
            </w:pPr>
            <w:r w:rsidRPr="000116D2">
              <w:rPr>
                <w:rFonts w:ascii="Arial Narrow" w:hAnsi="Arial Narrow" w:cs="ArialMT"/>
                <w:b/>
                <w:bCs/>
                <w:i/>
                <w:iCs/>
                <w:color w:val="000000"/>
                <w:sz w:val="16"/>
                <w:szCs w:val="20"/>
                <w:lang w:val="en-GB" w:eastAsia="en-GB"/>
              </w:rPr>
              <w:t>222.837</w:t>
            </w:r>
          </w:p>
        </w:tc>
        <w:tc>
          <w:tcPr>
            <w:tcW w:w="349" w:type="pct"/>
            <w:tcBorders>
              <w:top w:val="single" w:sz="4" w:space="0" w:color="000000"/>
              <w:left w:val="single" w:sz="4" w:space="0" w:color="000000"/>
              <w:bottom w:val="nil"/>
              <w:right w:val="nil"/>
            </w:tcBorders>
            <w:shd w:val="clear" w:color="auto" w:fill="9BBB59" w:themeFill="accent3"/>
            <w:noWrap/>
            <w:vAlign w:val="center"/>
            <w:hideMark/>
          </w:tcPr>
          <w:p w:rsidR="00C71FCE" w:rsidRPr="000116D2" w:rsidRDefault="00C71FCE" w:rsidP="00DE703C">
            <w:pPr>
              <w:spacing w:line="240" w:lineRule="auto"/>
              <w:rPr>
                <w:rFonts w:ascii="Arial Narrow" w:hAnsi="Arial Narrow" w:cs="ArialMT"/>
                <w:b/>
                <w:bCs/>
                <w:i/>
                <w:iCs/>
                <w:color w:val="000000"/>
                <w:sz w:val="16"/>
                <w:szCs w:val="20"/>
                <w:lang w:val="en-GB" w:eastAsia="en-GB"/>
              </w:rPr>
            </w:pPr>
            <w:r w:rsidRPr="000116D2">
              <w:rPr>
                <w:rFonts w:ascii="Arial Narrow" w:hAnsi="Arial Narrow" w:cs="ArialMT"/>
                <w:b/>
                <w:bCs/>
                <w:i/>
                <w:iCs/>
                <w:color w:val="000000"/>
                <w:sz w:val="16"/>
                <w:szCs w:val="20"/>
                <w:lang w:val="en-GB" w:eastAsia="en-GB"/>
              </w:rPr>
              <w:t>203.609</w:t>
            </w:r>
          </w:p>
        </w:tc>
        <w:tc>
          <w:tcPr>
            <w:tcW w:w="349" w:type="pct"/>
            <w:tcBorders>
              <w:top w:val="single" w:sz="4" w:space="0" w:color="000000"/>
              <w:left w:val="single" w:sz="4" w:space="0" w:color="000000"/>
              <w:bottom w:val="nil"/>
              <w:right w:val="nil"/>
            </w:tcBorders>
            <w:shd w:val="clear" w:color="auto" w:fill="9BBB59" w:themeFill="accent3"/>
            <w:noWrap/>
            <w:vAlign w:val="center"/>
            <w:hideMark/>
          </w:tcPr>
          <w:p w:rsidR="00C71FCE" w:rsidRPr="000116D2" w:rsidRDefault="00C71FCE" w:rsidP="00DE703C">
            <w:pPr>
              <w:spacing w:line="240" w:lineRule="auto"/>
              <w:rPr>
                <w:rFonts w:ascii="Arial Narrow" w:hAnsi="Arial Narrow" w:cs="ArialMT"/>
                <w:b/>
                <w:bCs/>
                <w:i/>
                <w:iCs/>
                <w:color w:val="000000"/>
                <w:sz w:val="16"/>
                <w:szCs w:val="20"/>
                <w:lang w:val="en-GB" w:eastAsia="en-GB"/>
              </w:rPr>
            </w:pPr>
            <w:r w:rsidRPr="000116D2">
              <w:rPr>
                <w:rFonts w:ascii="Arial Narrow" w:hAnsi="Arial Narrow" w:cs="ArialMT"/>
                <w:b/>
                <w:bCs/>
                <w:i/>
                <w:iCs/>
                <w:color w:val="000000"/>
                <w:sz w:val="16"/>
                <w:szCs w:val="20"/>
                <w:lang w:val="en-GB" w:eastAsia="en-GB"/>
              </w:rPr>
              <w:t>184.799</w:t>
            </w:r>
          </w:p>
        </w:tc>
        <w:tc>
          <w:tcPr>
            <w:tcW w:w="350" w:type="pct"/>
            <w:tcBorders>
              <w:top w:val="single" w:sz="4" w:space="0" w:color="000000"/>
              <w:left w:val="single" w:sz="4" w:space="0" w:color="000000"/>
              <w:bottom w:val="nil"/>
              <w:right w:val="single" w:sz="4" w:space="0" w:color="000000"/>
            </w:tcBorders>
            <w:shd w:val="clear" w:color="auto" w:fill="9BBB59" w:themeFill="accent3"/>
            <w:noWrap/>
            <w:vAlign w:val="center"/>
            <w:hideMark/>
          </w:tcPr>
          <w:p w:rsidR="00C71FCE" w:rsidRPr="000116D2" w:rsidRDefault="00C71FCE" w:rsidP="00DE703C">
            <w:pPr>
              <w:spacing w:line="240" w:lineRule="auto"/>
              <w:rPr>
                <w:rFonts w:ascii="Arial Narrow" w:hAnsi="Arial Narrow" w:cs="ArialMT"/>
                <w:b/>
                <w:bCs/>
                <w:i/>
                <w:iCs/>
                <w:color w:val="000000"/>
                <w:sz w:val="16"/>
                <w:szCs w:val="20"/>
                <w:lang w:val="en-GB" w:eastAsia="en-GB"/>
              </w:rPr>
            </w:pPr>
            <w:r w:rsidRPr="000116D2">
              <w:rPr>
                <w:rFonts w:ascii="Arial Narrow" w:hAnsi="Arial Narrow" w:cs="ArialMT"/>
                <w:b/>
                <w:bCs/>
                <w:i/>
                <w:iCs/>
                <w:color w:val="000000"/>
                <w:sz w:val="16"/>
                <w:szCs w:val="20"/>
                <w:lang w:val="en-GB" w:eastAsia="en-GB"/>
              </w:rPr>
              <w:t>217.821</w:t>
            </w:r>
          </w:p>
        </w:tc>
      </w:tr>
      <w:tr w:rsidR="00C71FCE" w:rsidRPr="003E54C1" w:rsidTr="009C59DA">
        <w:trPr>
          <w:trHeight w:hRule="exact" w:val="340"/>
        </w:trPr>
        <w:tc>
          <w:tcPr>
            <w:tcW w:w="808" w:type="pct"/>
            <w:tcBorders>
              <w:top w:val="single" w:sz="4" w:space="0" w:color="000000"/>
              <w:left w:val="single" w:sz="4" w:space="0" w:color="000000"/>
              <w:bottom w:val="nil"/>
              <w:right w:val="nil"/>
            </w:tcBorders>
            <w:shd w:val="clear" w:color="auto" w:fill="D6E3BC" w:themeFill="accent3" w:themeFillTint="66"/>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 xml:space="preserve">1.2 </w:t>
            </w:r>
            <w:proofErr w:type="spellStart"/>
            <w:r w:rsidRPr="000116D2">
              <w:rPr>
                <w:rFonts w:ascii="Arial Narrow" w:hAnsi="Arial Narrow" w:cs="ArialMT"/>
                <w:color w:val="000000"/>
                <w:sz w:val="16"/>
                <w:szCs w:val="20"/>
                <w:lang w:val="en-GB" w:eastAsia="en-GB"/>
              </w:rPr>
              <w:t>Dnevnoinformativni</w:t>
            </w:r>
            <w:proofErr w:type="spellEnd"/>
            <w:r w:rsidRPr="000116D2">
              <w:rPr>
                <w:rFonts w:ascii="Arial Narrow" w:hAnsi="Arial Narrow" w:cs="ArialMT"/>
                <w:color w:val="000000"/>
                <w:sz w:val="16"/>
                <w:szCs w:val="20"/>
                <w:lang w:val="en-GB" w:eastAsia="en-GB"/>
              </w:rPr>
              <w:t xml:space="preserve"> program</w:t>
            </w:r>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7.391</w:t>
            </w:r>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7.139</w:t>
            </w:r>
          </w:p>
        </w:tc>
        <w:tc>
          <w:tcPr>
            <w:tcW w:w="350"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8.862</w:t>
            </w:r>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10.531</w:t>
            </w:r>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12.467</w:t>
            </w:r>
          </w:p>
        </w:tc>
        <w:tc>
          <w:tcPr>
            <w:tcW w:w="350"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8.653</w:t>
            </w:r>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12.237</w:t>
            </w:r>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11.658</w:t>
            </w:r>
          </w:p>
        </w:tc>
        <w:tc>
          <w:tcPr>
            <w:tcW w:w="350"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9.806</w:t>
            </w:r>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11.960</w:t>
            </w:r>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15.440</w:t>
            </w:r>
          </w:p>
        </w:tc>
        <w:tc>
          <w:tcPr>
            <w:tcW w:w="350" w:type="pct"/>
            <w:tcBorders>
              <w:top w:val="single" w:sz="4" w:space="0" w:color="000000"/>
              <w:left w:val="single" w:sz="4" w:space="0" w:color="000000"/>
              <w:bottom w:val="nil"/>
              <w:right w:val="single" w:sz="4" w:space="0" w:color="000000"/>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12.017</w:t>
            </w:r>
          </w:p>
        </w:tc>
      </w:tr>
      <w:tr w:rsidR="00C71FCE" w:rsidRPr="003E54C1" w:rsidTr="009C59DA">
        <w:trPr>
          <w:trHeight w:hRule="exact" w:val="340"/>
        </w:trPr>
        <w:tc>
          <w:tcPr>
            <w:tcW w:w="808" w:type="pct"/>
            <w:tcBorders>
              <w:top w:val="single" w:sz="4" w:space="0" w:color="000000"/>
              <w:left w:val="single" w:sz="4" w:space="0" w:color="000000"/>
              <w:bottom w:val="nil"/>
              <w:right w:val="nil"/>
            </w:tcBorders>
            <w:shd w:val="clear" w:color="auto" w:fill="D6E3BC" w:themeFill="accent3" w:themeFillTint="66"/>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 xml:space="preserve">1.3 </w:t>
            </w:r>
            <w:proofErr w:type="spellStart"/>
            <w:r w:rsidRPr="000116D2">
              <w:rPr>
                <w:rFonts w:ascii="Arial Narrow" w:hAnsi="Arial Narrow" w:cs="ArialMT"/>
                <w:color w:val="000000"/>
                <w:sz w:val="16"/>
                <w:szCs w:val="20"/>
                <w:lang w:val="en-GB" w:eastAsia="en-GB"/>
              </w:rPr>
              <w:t>Informativni</w:t>
            </w:r>
            <w:proofErr w:type="spellEnd"/>
            <w:r w:rsidRPr="000116D2">
              <w:rPr>
                <w:rFonts w:ascii="Arial Narrow" w:hAnsi="Arial Narrow" w:cs="ArialMT"/>
                <w:color w:val="000000"/>
                <w:sz w:val="16"/>
                <w:szCs w:val="20"/>
                <w:lang w:val="en-GB" w:eastAsia="en-GB"/>
              </w:rPr>
              <w:t xml:space="preserve"> program</w:t>
            </w:r>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17.252</w:t>
            </w:r>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18.892</w:t>
            </w:r>
          </w:p>
        </w:tc>
        <w:tc>
          <w:tcPr>
            <w:tcW w:w="350"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18.765</w:t>
            </w:r>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17.818</w:t>
            </w:r>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17.961</w:t>
            </w:r>
          </w:p>
        </w:tc>
        <w:tc>
          <w:tcPr>
            <w:tcW w:w="350"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10.999</w:t>
            </w:r>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16.217</w:t>
            </w:r>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25.351</w:t>
            </w:r>
          </w:p>
        </w:tc>
        <w:tc>
          <w:tcPr>
            <w:tcW w:w="350"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20.835</w:t>
            </w:r>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22.505</w:t>
            </w:r>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37.988</w:t>
            </w:r>
          </w:p>
        </w:tc>
        <w:tc>
          <w:tcPr>
            <w:tcW w:w="350" w:type="pct"/>
            <w:tcBorders>
              <w:top w:val="single" w:sz="4" w:space="0" w:color="000000"/>
              <w:left w:val="single" w:sz="4" w:space="0" w:color="000000"/>
              <w:bottom w:val="nil"/>
              <w:right w:val="single" w:sz="4" w:space="0" w:color="000000"/>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26.171</w:t>
            </w:r>
          </w:p>
        </w:tc>
      </w:tr>
      <w:tr w:rsidR="00C71FCE" w:rsidRPr="003E54C1" w:rsidTr="009C59DA">
        <w:trPr>
          <w:trHeight w:hRule="exact" w:val="340"/>
        </w:trPr>
        <w:tc>
          <w:tcPr>
            <w:tcW w:w="808" w:type="pct"/>
            <w:tcBorders>
              <w:top w:val="single" w:sz="4" w:space="0" w:color="000000"/>
              <w:left w:val="single" w:sz="4" w:space="0" w:color="000000"/>
              <w:bottom w:val="nil"/>
              <w:right w:val="nil"/>
            </w:tcBorders>
            <w:shd w:val="clear" w:color="auto" w:fill="D6E3BC" w:themeFill="accent3" w:themeFillTint="66"/>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 xml:space="preserve">1.4 </w:t>
            </w:r>
            <w:proofErr w:type="spellStart"/>
            <w:r w:rsidRPr="000116D2">
              <w:rPr>
                <w:rFonts w:ascii="Arial Narrow" w:hAnsi="Arial Narrow" w:cs="ArialMT"/>
                <w:color w:val="000000"/>
                <w:sz w:val="16"/>
                <w:szCs w:val="20"/>
                <w:lang w:val="en-GB" w:eastAsia="en-GB"/>
              </w:rPr>
              <w:t>Igrani</w:t>
            </w:r>
            <w:proofErr w:type="spellEnd"/>
            <w:r w:rsidRPr="000116D2">
              <w:rPr>
                <w:rFonts w:ascii="Arial Narrow" w:hAnsi="Arial Narrow" w:cs="ArialMT"/>
                <w:color w:val="000000"/>
                <w:sz w:val="16"/>
                <w:szCs w:val="20"/>
                <w:lang w:val="en-GB" w:eastAsia="en-GB"/>
              </w:rPr>
              <w:t xml:space="preserve"> program</w:t>
            </w:r>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20.732</w:t>
            </w:r>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21.351</w:t>
            </w:r>
          </w:p>
        </w:tc>
        <w:tc>
          <w:tcPr>
            <w:tcW w:w="350"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26.941</w:t>
            </w:r>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26.467</w:t>
            </w:r>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34.406</w:t>
            </w:r>
          </w:p>
        </w:tc>
        <w:tc>
          <w:tcPr>
            <w:tcW w:w="350"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33.959</w:t>
            </w:r>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36.308</w:t>
            </w:r>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37.194</w:t>
            </w:r>
          </w:p>
        </w:tc>
        <w:tc>
          <w:tcPr>
            <w:tcW w:w="350"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77.308</w:t>
            </w:r>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52.151</w:t>
            </w:r>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40.540</w:t>
            </w:r>
          </w:p>
        </w:tc>
        <w:tc>
          <w:tcPr>
            <w:tcW w:w="350" w:type="pct"/>
            <w:tcBorders>
              <w:top w:val="single" w:sz="4" w:space="0" w:color="000000"/>
              <w:left w:val="single" w:sz="4" w:space="0" w:color="000000"/>
              <w:bottom w:val="nil"/>
              <w:right w:val="single" w:sz="4" w:space="0" w:color="000000"/>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49.835</w:t>
            </w:r>
          </w:p>
        </w:tc>
      </w:tr>
      <w:tr w:rsidR="00C71FCE" w:rsidRPr="003E54C1" w:rsidTr="009C59DA">
        <w:trPr>
          <w:trHeight w:hRule="exact" w:val="340"/>
        </w:trPr>
        <w:tc>
          <w:tcPr>
            <w:tcW w:w="808" w:type="pct"/>
            <w:tcBorders>
              <w:top w:val="single" w:sz="4" w:space="0" w:color="000000"/>
              <w:left w:val="single" w:sz="4" w:space="0" w:color="000000"/>
              <w:bottom w:val="nil"/>
              <w:right w:val="nil"/>
            </w:tcBorders>
            <w:shd w:val="clear" w:color="auto" w:fill="D6E3BC" w:themeFill="accent3" w:themeFillTint="66"/>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 xml:space="preserve">1.5 </w:t>
            </w:r>
            <w:proofErr w:type="spellStart"/>
            <w:r w:rsidRPr="000116D2">
              <w:rPr>
                <w:rFonts w:ascii="Arial Narrow" w:hAnsi="Arial Narrow" w:cs="ArialMT"/>
                <w:color w:val="000000"/>
                <w:sz w:val="16"/>
                <w:szCs w:val="20"/>
                <w:lang w:val="en-GB" w:eastAsia="en-GB"/>
              </w:rPr>
              <w:t>Razvedrilni</w:t>
            </w:r>
            <w:proofErr w:type="spellEnd"/>
            <w:r w:rsidRPr="000116D2">
              <w:rPr>
                <w:rFonts w:ascii="Arial Narrow" w:hAnsi="Arial Narrow" w:cs="ArialMT"/>
                <w:color w:val="000000"/>
                <w:sz w:val="16"/>
                <w:szCs w:val="20"/>
                <w:lang w:val="en-GB" w:eastAsia="en-GB"/>
              </w:rPr>
              <w:t xml:space="preserve"> program</w:t>
            </w:r>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13.309</w:t>
            </w:r>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18.729</w:t>
            </w:r>
          </w:p>
        </w:tc>
        <w:tc>
          <w:tcPr>
            <w:tcW w:w="350"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18.826</w:t>
            </w:r>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15.054</w:t>
            </w:r>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15.515</w:t>
            </w:r>
          </w:p>
        </w:tc>
        <w:tc>
          <w:tcPr>
            <w:tcW w:w="350"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12.358</w:t>
            </w:r>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14.585</w:t>
            </w:r>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14.430</w:t>
            </w:r>
          </w:p>
        </w:tc>
        <w:tc>
          <w:tcPr>
            <w:tcW w:w="350"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9.046</w:t>
            </w:r>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18.205</w:t>
            </w:r>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14.025</w:t>
            </w:r>
          </w:p>
        </w:tc>
        <w:tc>
          <w:tcPr>
            <w:tcW w:w="350" w:type="pct"/>
            <w:tcBorders>
              <w:top w:val="single" w:sz="4" w:space="0" w:color="000000"/>
              <w:left w:val="single" w:sz="4" w:space="0" w:color="000000"/>
              <w:bottom w:val="nil"/>
              <w:right w:val="single" w:sz="4" w:space="0" w:color="000000"/>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12.332</w:t>
            </w:r>
          </w:p>
        </w:tc>
      </w:tr>
      <w:tr w:rsidR="00C71FCE" w:rsidRPr="003E54C1" w:rsidTr="009C59DA">
        <w:trPr>
          <w:trHeight w:hRule="exact" w:val="340"/>
        </w:trPr>
        <w:tc>
          <w:tcPr>
            <w:tcW w:w="808" w:type="pct"/>
            <w:tcBorders>
              <w:top w:val="single" w:sz="4" w:space="0" w:color="000000"/>
              <w:left w:val="single" w:sz="4" w:space="0" w:color="000000"/>
              <w:bottom w:val="nil"/>
              <w:right w:val="nil"/>
            </w:tcBorders>
            <w:shd w:val="clear" w:color="auto" w:fill="D6E3BC" w:themeFill="accent3" w:themeFillTint="66"/>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 xml:space="preserve">1.6 </w:t>
            </w:r>
            <w:proofErr w:type="spellStart"/>
            <w:r w:rsidRPr="000116D2">
              <w:rPr>
                <w:rFonts w:ascii="Arial Narrow" w:hAnsi="Arial Narrow" w:cs="ArialMT"/>
                <w:color w:val="000000"/>
                <w:sz w:val="16"/>
                <w:szCs w:val="20"/>
                <w:lang w:val="en-GB" w:eastAsia="en-GB"/>
              </w:rPr>
              <w:t>Glasba</w:t>
            </w:r>
            <w:proofErr w:type="spellEnd"/>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28.775</w:t>
            </w:r>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32.437</w:t>
            </w:r>
          </w:p>
        </w:tc>
        <w:tc>
          <w:tcPr>
            <w:tcW w:w="350"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45.638</w:t>
            </w:r>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47.738</w:t>
            </w:r>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46.086</w:t>
            </w:r>
          </w:p>
        </w:tc>
        <w:tc>
          <w:tcPr>
            <w:tcW w:w="350"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38.010</w:t>
            </w:r>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36.987</w:t>
            </w:r>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51.415</w:t>
            </w:r>
          </w:p>
        </w:tc>
        <w:tc>
          <w:tcPr>
            <w:tcW w:w="350"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32.998</w:t>
            </w:r>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40.829</w:t>
            </w:r>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25.816</w:t>
            </w:r>
          </w:p>
        </w:tc>
        <w:tc>
          <w:tcPr>
            <w:tcW w:w="350" w:type="pct"/>
            <w:tcBorders>
              <w:top w:val="single" w:sz="4" w:space="0" w:color="000000"/>
              <w:left w:val="single" w:sz="4" w:space="0" w:color="000000"/>
              <w:bottom w:val="nil"/>
              <w:right w:val="single" w:sz="4" w:space="0" w:color="000000"/>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56.355</w:t>
            </w:r>
          </w:p>
        </w:tc>
      </w:tr>
      <w:tr w:rsidR="00C71FCE" w:rsidRPr="003E54C1" w:rsidTr="009C59DA">
        <w:trPr>
          <w:trHeight w:hRule="exact" w:val="340"/>
        </w:trPr>
        <w:tc>
          <w:tcPr>
            <w:tcW w:w="808" w:type="pct"/>
            <w:tcBorders>
              <w:top w:val="single" w:sz="4" w:space="0" w:color="000000"/>
              <w:left w:val="single" w:sz="4" w:space="0" w:color="000000"/>
              <w:bottom w:val="nil"/>
              <w:right w:val="nil"/>
            </w:tcBorders>
            <w:shd w:val="clear" w:color="auto" w:fill="D6E3BC" w:themeFill="accent3" w:themeFillTint="66"/>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 xml:space="preserve">1.7 </w:t>
            </w:r>
            <w:proofErr w:type="spellStart"/>
            <w:r w:rsidRPr="000116D2">
              <w:rPr>
                <w:rFonts w:ascii="Arial Narrow" w:hAnsi="Arial Narrow" w:cs="ArialMT"/>
                <w:color w:val="000000"/>
                <w:sz w:val="16"/>
                <w:szCs w:val="20"/>
                <w:lang w:val="en-GB" w:eastAsia="en-GB"/>
              </w:rPr>
              <w:t>Šport</w:t>
            </w:r>
            <w:proofErr w:type="spellEnd"/>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7.583</w:t>
            </w:r>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8.524</w:t>
            </w:r>
          </w:p>
        </w:tc>
        <w:tc>
          <w:tcPr>
            <w:tcW w:w="350"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12.068</w:t>
            </w:r>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16.371</w:t>
            </w:r>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14.966</w:t>
            </w:r>
          </w:p>
        </w:tc>
        <w:tc>
          <w:tcPr>
            <w:tcW w:w="350"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17.561</w:t>
            </w:r>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19.529</w:t>
            </w:r>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24.322</w:t>
            </w:r>
          </w:p>
        </w:tc>
        <w:tc>
          <w:tcPr>
            <w:tcW w:w="350"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26.557</w:t>
            </w:r>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15.557</w:t>
            </w:r>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23.000</w:t>
            </w:r>
          </w:p>
        </w:tc>
        <w:tc>
          <w:tcPr>
            <w:tcW w:w="350" w:type="pct"/>
            <w:tcBorders>
              <w:top w:val="single" w:sz="4" w:space="0" w:color="000000"/>
              <w:left w:val="single" w:sz="4" w:space="0" w:color="000000"/>
              <w:bottom w:val="nil"/>
              <w:right w:val="single" w:sz="4" w:space="0" w:color="000000"/>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22.334</w:t>
            </w:r>
          </w:p>
        </w:tc>
      </w:tr>
      <w:tr w:rsidR="00C71FCE" w:rsidRPr="003E54C1" w:rsidTr="009C59DA">
        <w:trPr>
          <w:trHeight w:hRule="exact" w:val="340"/>
        </w:trPr>
        <w:tc>
          <w:tcPr>
            <w:tcW w:w="808" w:type="pct"/>
            <w:tcBorders>
              <w:top w:val="single" w:sz="4" w:space="0" w:color="000000"/>
              <w:left w:val="single" w:sz="4" w:space="0" w:color="000000"/>
              <w:bottom w:val="nil"/>
              <w:right w:val="nil"/>
            </w:tcBorders>
            <w:shd w:val="clear" w:color="auto" w:fill="D6E3BC" w:themeFill="accent3" w:themeFillTint="66"/>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 xml:space="preserve">1.8 </w:t>
            </w:r>
            <w:proofErr w:type="spellStart"/>
            <w:r w:rsidRPr="000116D2">
              <w:rPr>
                <w:rFonts w:ascii="Arial Narrow" w:hAnsi="Arial Narrow" w:cs="ArialMT"/>
                <w:color w:val="000000"/>
                <w:sz w:val="16"/>
                <w:szCs w:val="20"/>
                <w:lang w:val="en-GB" w:eastAsia="en-GB"/>
              </w:rPr>
              <w:t>Izobraževalni</w:t>
            </w:r>
            <w:proofErr w:type="spellEnd"/>
            <w:r w:rsidRPr="000116D2">
              <w:rPr>
                <w:rFonts w:ascii="Arial Narrow" w:hAnsi="Arial Narrow" w:cs="ArialMT"/>
                <w:color w:val="000000"/>
                <w:sz w:val="16"/>
                <w:szCs w:val="20"/>
                <w:lang w:val="en-GB" w:eastAsia="en-GB"/>
              </w:rPr>
              <w:t xml:space="preserve"> program</w:t>
            </w:r>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7.528</w:t>
            </w:r>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7.539</w:t>
            </w:r>
          </w:p>
        </w:tc>
        <w:tc>
          <w:tcPr>
            <w:tcW w:w="350"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7.122</w:t>
            </w:r>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6.993</w:t>
            </w:r>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4.791</w:t>
            </w:r>
          </w:p>
        </w:tc>
        <w:tc>
          <w:tcPr>
            <w:tcW w:w="350"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3.863</w:t>
            </w:r>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9.178</w:t>
            </w:r>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17.843</w:t>
            </w:r>
          </w:p>
        </w:tc>
        <w:tc>
          <w:tcPr>
            <w:tcW w:w="350"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17.491</w:t>
            </w:r>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6.752</w:t>
            </w:r>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6.715</w:t>
            </w:r>
          </w:p>
        </w:tc>
        <w:tc>
          <w:tcPr>
            <w:tcW w:w="350" w:type="pct"/>
            <w:tcBorders>
              <w:top w:val="single" w:sz="4" w:space="0" w:color="000000"/>
              <w:left w:val="single" w:sz="4" w:space="0" w:color="000000"/>
              <w:bottom w:val="nil"/>
              <w:right w:val="single" w:sz="4" w:space="0" w:color="000000"/>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16.818</w:t>
            </w:r>
          </w:p>
        </w:tc>
      </w:tr>
      <w:tr w:rsidR="00C71FCE" w:rsidRPr="003E54C1" w:rsidTr="009C59DA">
        <w:trPr>
          <w:trHeight w:hRule="exact" w:val="340"/>
        </w:trPr>
        <w:tc>
          <w:tcPr>
            <w:tcW w:w="808" w:type="pct"/>
            <w:tcBorders>
              <w:top w:val="single" w:sz="4" w:space="0" w:color="000000"/>
              <w:left w:val="single" w:sz="4" w:space="0" w:color="000000"/>
              <w:bottom w:val="nil"/>
              <w:right w:val="nil"/>
            </w:tcBorders>
            <w:shd w:val="clear" w:color="auto" w:fill="D6E3BC" w:themeFill="accent3" w:themeFillTint="66"/>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 xml:space="preserve">1.9 </w:t>
            </w:r>
            <w:proofErr w:type="spellStart"/>
            <w:r w:rsidRPr="000116D2">
              <w:rPr>
                <w:rFonts w:ascii="Arial Narrow" w:hAnsi="Arial Narrow" w:cs="ArialMT"/>
                <w:color w:val="000000"/>
                <w:sz w:val="16"/>
                <w:szCs w:val="20"/>
                <w:lang w:val="en-GB" w:eastAsia="en-GB"/>
              </w:rPr>
              <w:t>Umetnost</w:t>
            </w:r>
            <w:proofErr w:type="spellEnd"/>
            <w:r w:rsidRPr="000116D2">
              <w:rPr>
                <w:rFonts w:ascii="Arial Narrow" w:hAnsi="Arial Narrow" w:cs="ArialMT"/>
                <w:color w:val="000000"/>
                <w:sz w:val="16"/>
                <w:szCs w:val="20"/>
                <w:lang w:val="en-GB" w:eastAsia="en-GB"/>
              </w:rPr>
              <w:t xml:space="preserve"> in </w:t>
            </w:r>
            <w:proofErr w:type="spellStart"/>
            <w:r w:rsidRPr="000116D2">
              <w:rPr>
                <w:rFonts w:ascii="Arial Narrow" w:hAnsi="Arial Narrow" w:cs="ArialMT"/>
                <w:color w:val="000000"/>
                <w:sz w:val="16"/>
                <w:szCs w:val="20"/>
                <w:lang w:val="en-GB" w:eastAsia="en-GB"/>
              </w:rPr>
              <w:t>kultura</w:t>
            </w:r>
            <w:proofErr w:type="spellEnd"/>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3.678</w:t>
            </w:r>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4.419</w:t>
            </w:r>
          </w:p>
        </w:tc>
        <w:tc>
          <w:tcPr>
            <w:tcW w:w="350"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4.546</w:t>
            </w:r>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4.355</w:t>
            </w:r>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3.941</w:t>
            </w:r>
          </w:p>
        </w:tc>
        <w:tc>
          <w:tcPr>
            <w:tcW w:w="350"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2.772</w:t>
            </w:r>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5.941</w:t>
            </w:r>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7.702</w:t>
            </w:r>
          </w:p>
        </w:tc>
        <w:tc>
          <w:tcPr>
            <w:tcW w:w="350"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5.172</w:t>
            </w:r>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5.475</w:t>
            </w:r>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4.180</w:t>
            </w:r>
          </w:p>
        </w:tc>
        <w:tc>
          <w:tcPr>
            <w:tcW w:w="350" w:type="pct"/>
            <w:tcBorders>
              <w:top w:val="single" w:sz="4" w:space="0" w:color="000000"/>
              <w:left w:val="single" w:sz="4" w:space="0" w:color="000000"/>
              <w:bottom w:val="nil"/>
              <w:right w:val="single" w:sz="4" w:space="0" w:color="000000"/>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5.013</w:t>
            </w:r>
          </w:p>
        </w:tc>
      </w:tr>
      <w:tr w:rsidR="00C71FCE" w:rsidRPr="003E54C1" w:rsidTr="009C59DA">
        <w:trPr>
          <w:trHeight w:hRule="exact" w:val="340"/>
        </w:trPr>
        <w:tc>
          <w:tcPr>
            <w:tcW w:w="808" w:type="pct"/>
            <w:tcBorders>
              <w:top w:val="single" w:sz="4" w:space="0" w:color="000000"/>
              <w:left w:val="single" w:sz="4" w:space="0" w:color="000000"/>
              <w:bottom w:val="nil"/>
              <w:right w:val="nil"/>
            </w:tcBorders>
            <w:shd w:val="clear" w:color="auto" w:fill="D6E3BC" w:themeFill="accent3" w:themeFillTint="66"/>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 xml:space="preserve">1.10 </w:t>
            </w:r>
            <w:proofErr w:type="spellStart"/>
            <w:r w:rsidRPr="000116D2">
              <w:rPr>
                <w:rFonts w:ascii="Arial Narrow" w:hAnsi="Arial Narrow" w:cs="ArialMT"/>
                <w:color w:val="000000"/>
                <w:sz w:val="16"/>
                <w:szCs w:val="20"/>
                <w:lang w:val="en-GB" w:eastAsia="en-GB"/>
              </w:rPr>
              <w:t>Znanost</w:t>
            </w:r>
            <w:proofErr w:type="spellEnd"/>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547</w:t>
            </w:r>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930</w:t>
            </w:r>
          </w:p>
        </w:tc>
        <w:tc>
          <w:tcPr>
            <w:tcW w:w="350"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484</w:t>
            </w:r>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347</w:t>
            </w:r>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351</w:t>
            </w:r>
          </w:p>
        </w:tc>
        <w:tc>
          <w:tcPr>
            <w:tcW w:w="350"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319</w:t>
            </w:r>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923</w:t>
            </w:r>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834</w:t>
            </w:r>
          </w:p>
        </w:tc>
        <w:tc>
          <w:tcPr>
            <w:tcW w:w="350"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323</w:t>
            </w:r>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409</w:t>
            </w:r>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205</w:t>
            </w:r>
          </w:p>
        </w:tc>
        <w:tc>
          <w:tcPr>
            <w:tcW w:w="350" w:type="pct"/>
            <w:tcBorders>
              <w:top w:val="single" w:sz="4" w:space="0" w:color="000000"/>
              <w:left w:val="single" w:sz="4" w:space="0" w:color="000000"/>
              <w:bottom w:val="nil"/>
              <w:right w:val="single" w:sz="4" w:space="0" w:color="000000"/>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604</w:t>
            </w:r>
          </w:p>
        </w:tc>
      </w:tr>
      <w:tr w:rsidR="00C71FCE" w:rsidRPr="003E54C1" w:rsidTr="009C59DA">
        <w:trPr>
          <w:trHeight w:hRule="exact" w:val="340"/>
        </w:trPr>
        <w:tc>
          <w:tcPr>
            <w:tcW w:w="808" w:type="pct"/>
            <w:tcBorders>
              <w:top w:val="single" w:sz="4" w:space="0" w:color="000000"/>
              <w:left w:val="single" w:sz="4" w:space="0" w:color="000000"/>
              <w:bottom w:val="nil"/>
              <w:right w:val="nil"/>
            </w:tcBorders>
            <w:shd w:val="clear" w:color="auto" w:fill="D6E3BC" w:themeFill="accent3" w:themeFillTint="66"/>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 xml:space="preserve">1.11 </w:t>
            </w:r>
            <w:proofErr w:type="spellStart"/>
            <w:r w:rsidRPr="000116D2">
              <w:rPr>
                <w:rFonts w:ascii="Arial Narrow" w:hAnsi="Arial Narrow" w:cs="ArialMT"/>
                <w:color w:val="000000"/>
                <w:sz w:val="16"/>
                <w:szCs w:val="20"/>
                <w:lang w:val="en-GB" w:eastAsia="en-GB"/>
              </w:rPr>
              <w:t>Verski</w:t>
            </w:r>
            <w:proofErr w:type="spellEnd"/>
            <w:r w:rsidRPr="000116D2">
              <w:rPr>
                <w:rFonts w:ascii="Arial Narrow" w:hAnsi="Arial Narrow" w:cs="ArialMT"/>
                <w:color w:val="000000"/>
                <w:sz w:val="16"/>
                <w:szCs w:val="20"/>
                <w:lang w:val="en-GB" w:eastAsia="en-GB"/>
              </w:rPr>
              <w:t xml:space="preserve"> program</w:t>
            </w:r>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1.008</w:t>
            </w:r>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1.241</w:t>
            </w:r>
          </w:p>
        </w:tc>
        <w:tc>
          <w:tcPr>
            <w:tcW w:w="350"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1.154</w:t>
            </w:r>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1.441</w:t>
            </w:r>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913</w:t>
            </w:r>
          </w:p>
        </w:tc>
        <w:tc>
          <w:tcPr>
            <w:tcW w:w="350"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1.033</w:t>
            </w:r>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2.624</w:t>
            </w:r>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3.801</w:t>
            </w:r>
          </w:p>
        </w:tc>
        <w:tc>
          <w:tcPr>
            <w:tcW w:w="350"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13.233</w:t>
            </w:r>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12.311</w:t>
            </w:r>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8.392</w:t>
            </w:r>
          </w:p>
        </w:tc>
        <w:tc>
          <w:tcPr>
            <w:tcW w:w="350" w:type="pct"/>
            <w:tcBorders>
              <w:top w:val="single" w:sz="4" w:space="0" w:color="000000"/>
              <w:left w:val="single" w:sz="4" w:space="0" w:color="000000"/>
              <w:bottom w:val="nil"/>
              <w:right w:val="single" w:sz="4" w:space="0" w:color="000000"/>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9.939</w:t>
            </w:r>
          </w:p>
        </w:tc>
      </w:tr>
      <w:tr w:rsidR="00C71FCE" w:rsidRPr="003E54C1" w:rsidTr="009C59DA">
        <w:trPr>
          <w:trHeight w:hRule="exact" w:val="340"/>
        </w:trPr>
        <w:tc>
          <w:tcPr>
            <w:tcW w:w="808" w:type="pct"/>
            <w:tcBorders>
              <w:top w:val="single" w:sz="4" w:space="0" w:color="000000"/>
              <w:left w:val="single" w:sz="4" w:space="0" w:color="000000"/>
              <w:bottom w:val="nil"/>
              <w:right w:val="nil"/>
            </w:tcBorders>
            <w:shd w:val="clear" w:color="auto" w:fill="D6E3BC" w:themeFill="accent3" w:themeFillTint="66"/>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 xml:space="preserve">1.12 </w:t>
            </w:r>
            <w:proofErr w:type="spellStart"/>
            <w:r w:rsidRPr="000116D2">
              <w:rPr>
                <w:rFonts w:ascii="Arial Narrow" w:hAnsi="Arial Narrow" w:cs="ArialMT"/>
                <w:color w:val="000000"/>
                <w:sz w:val="16"/>
                <w:szCs w:val="20"/>
                <w:lang w:val="en-GB" w:eastAsia="en-GB"/>
              </w:rPr>
              <w:t>Oddaje</w:t>
            </w:r>
            <w:proofErr w:type="spellEnd"/>
            <w:r w:rsidRPr="000116D2">
              <w:rPr>
                <w:rFonts w:ascii="Arial Narrow" w:hAnsi="Arial Narrow" w:cs="ArialMT"/>
                <w:color w:val="000000"/>
                <w:sz w:val="16"/>
                <w:szCs w:val="20"/>
                <w:lang w:val="en-GB" w:eastAsia="en-GB"/>
              </w:rPr>
              <w:t xml:space="preserve"> </w:t>
            </w:r>
            <w:proofErr w:type="spellStart"/>
            <w:r w:rsidRPr="000116D2">
              <w:rPr>
                <w:rFonts w:ascii="Arial Narrow" w:hAnsi="Arial Narrow" w:cs="ArialMT"/>
                <w:color w:val="000000"/>
                <w:sz w:val="16"/>
                <w:szCs w:val="20"/>
                <w:lang w:val="en-GB" w:eastAsia="en-GB"/>
              </w:rPr>
              <w:t>za</w:t>
            </w:r>
            <w:proofErr w:type="spellEnd"/>
            <w:r w:rsidRPr="000116D2">
              <w:rPr>
                <w:rFonts w:ascii="Arial Narrow" w:hAnsi="Arial Narrow" w:cs="ArialMT"/>
                <w:color w:val="000000"/>
                <w:sz w:val="16"/>
                <w:szCs w:val="20"/>
                <w:lang w:val="en-GB" w:eastAsia="en-GB"/>
              </w:rPr>
              <w:t xml:space="preserve"> </w:t>
            </w:r>
            <w:proofErr w:type="spellStart"/>
            <w:r w:rsidRPr="000116D2">
              <w:rPr>
                <w:rFonts w:ascii="Arial Narrow" w:hAnsi="Arial Narrow" w:cs="ArialMT"/>
                <w:color w:val="000000"/>
                <w:sz w:val="16"/>
                <w:szCs w:val="20"/>
                <w:lang w:val="en-GB" w:eastAsia="en-GB"/>
              </w:rPr>
              <w:t>Slovence</w:t>
            </w:r>
            <w:proofErr w:type="spellEnd"/>
            <w:r w:rsidRPr="000116D2">
              <w:rPr>
                <w:rFonts w:ascii="Arial Narrow" w:hAnsi="Arial Narrow" w:cs="ArialMT"/>
                <w:color w:val="000000"/>
                <w:sz w:val="16"/>
                <w:szCs w:val="20"/>
                <w:lang w:val="en-GB" w:eastAsia="en-GB"/>
              </w:rPr>
              <w:t xml:space="preserve"> </w:t>
            </w:r>
            <w:proofErr w:type="spellStart"/>
            <w:r w:rsidRPr="000116D2">
              <w:rPr>
                <w:rFonts w:ascii="Arial Narrow" w:hAnsi="Arial Narrow" w:cs="ArialMT"/>
                <w:color w:val="000000"/>
                <w:sz w:val="16"/>
                <w:szCs w:val="20"/>
                <w:lang w:val="en-GB" w:eastAsia="en-GB"/>
              </w:rPr>
              <w:t>zunaj</w:t>
            </w:r>
            <w:proofErr w:type="spellEnd"/>
            <w:r w:rsidRPr="000116D2">
              <w:rPr>
                <w:rFonts w:ascii="Arial Narrow" w:hAnsi="Arial Narrow" w:cs="ArialMT"/>
                <w:color w:val="000000"/>
                <w:sz w:val="16"/>
                <w:szCs w:val="20"/>
                <w:lang w:val="en-GB" w:eastAsia="en-GB"/>
              </w:rPr>
              <w:t xml:space="preserve"> RS</w:t>
            </w:r>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1.524</w:t>
            </w:r>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759</w:t>
            </w:r>
          </w:p>
        </w:tc>
        <w:tc>
          <w:tcPr>
            <w:tcW w:w="350"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698</w:t>
            </w:r>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62</w:t>
            </w:r>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73</w:t>
            </w:r>
          </w:p>
        </w:tc>
        <w:tc>
          <w:tcPr>
            <w:tcW w:w="350"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164</w:t>
            </w:r>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540</w:t>
            </w:r>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642</w:t>
            </w:r>
          </w:p>
        </w:tc>
        <w:tc>
          <w:tcPr>
            <w:tcW w:w="350"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508</w:t>
            </w:r>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503</w:t>
            </w:r>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706</w:t>
            </w:r>
          </w:p>
        </w:tc>
        <w:tc>
          <w:tcPr>
            <w:tcW w:w="350" w:type="pct"/>
            <w:tcBorders>
              <w:top w:val="single" w:sz="4" w:space="0" w:color="000000"/>
              <w:left w:val="single" w:sz="4" w:space="0" w:color="000000"/>
              <w:bottom w:val="nil"/>
              <w:right w:val="single" w:sz="4" w:space="0" w:color="000000"/>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235</w:t>
            </w:r>
          </w:p>
        </w:tc>
      </w:tr>
      <w:tr w:rsidR="00C71FCE" w:rsidRPr="003E54C1" w:rsidTr="009C59DA">
        <w:trPr>
          <w:trHeight w:hRule="exact" w:val="340"/>
        </w:trPr>
        <w:tc>
          <w:tcPr>
            <w:tcW w:w="808" w:type="pct"/>
            <w:tcBorders>
              <w:top w:val="single" w:sz="4" w:space="0" w:color="000000"/>
              <w:left w:val="single" w:sz="4" w:space="0" w:color="000000"/>
              <w:bottom w:val="nil"/>
              <w:right w:val="nil"/>
            </w:tcBorders>
            <w:shd w:val="clear" w:color="auto" w:fill="D6E3BC" w:themeFill="accent3" w:themeFillTint="66"/>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 xml:space="preserve">1.13 Program </w:t>
            </w:r>
            <w:proofErr w:type="spellStart"/>
            <w:r w:rsidRPr="000116D2">
              <w:rPr>
                <w:rFonts w:ascii="Arial Narrow" w:hAnsi="Arial Narrow" w:cs="ArialMT"/>
                <w:color w:val="000000"/>
                <w:sz w:val="16"/>
                <w:szCs w:val="20"/>
                <w:lang w:val="en-GB" w:eastAsia="en-GB"/>
              </w:rPr>
              <w:t>za</w:t>
            </w:r>
            <w:proofErr w:type="spellEnd"/>
            <w:r w:rsidRPr="000116D2">
              <w:rPr>
                <w:rFonts w:ascii="Arial Narrow" w:hAnsi="Arial Narrow" w:cs="ArialMT"/>
                <w:color w:val="000000"/>
                <w:sz w:val="16"/>
                <w:szCs w:val="20"/>
                <w:lang w:val="en-GB" w:eastAsia="en-GB"/>
              </w:rPr>
              <w:t xml:space="preserve"> </w:t>
            </w:r>
            <w:proofErr w:type="spellStart"/>
            <w:r w:rsidRPr="000116D2">
              <w:rPr>
                <w:rFonts w:ascii="Arial Narrow" w:hAnsi="Arial Narrow" w:cs="ArialMT"/>
                <w:color w:val="000000"/>
                <w:sz w:val="16"/>
                <w:szCs w:val="20"/>
                <w:lang w:val="en-GB" w:eastAsia="en-GB"/>
              </w:rPr>
              <w:t>italijansko</w:t>
            </w:r>
            <w:proofErr w:type="spellEnd"/>
            <w:r w:rsidRPr="000116D2">
              <w:rPr>
                <w:rFonts w:ascii="Arial Narrow" w:hAnsi="Arial Narrow" w:cs="ArialMT"/>
                <w:color w:val="000000"/>
                <w:sz w:val="16"/>
                <w:szCs w:val="20"/>
                <w:lang w:val="en-GB" w:eastAsia="en-GB"/>
              </w:rPr>
              <w:t xml:space="preserve"> in </w:t>
            </w:r>
            <w:proofErr w:type="spellStart"/>
            <w:r w:rsidRPr="000116D2">
              <w:rPr>
                <w:rFonts w:ascii="Arial Narrow" w:hAnsi="Arial Narrow" w:cs="ArialMT"/>
                <w:color w:val="000000"/>
                <w:sz w:val="16"/>
                <w:szCs w:val="20"/>
                <w:lang w:val="en-GB" w:eastAsia="en-GB"/>
              </w:rPr>
              <w:t>madžarsko</w:t>
            </w:r>
            <w:proofErr w:type="spellEnd"/>
            <w:r w:rsidRPr="000116D2">
              <w:rPr>
                <w:rFonts w:ascii="Arial Narrow" w:hAnsi="Arial Narrow" w:cs="ArialMT"/>
                <w:color w:val="000000"/>
                <w:sz w:val="16"/>
                <w:szCs w:val="20"/>
                <w:lang w:val="en-GB" w:eastAsia="en-GB"/>
              </w:rPr>
              <w:t xml:space="preserve"> </w:t>
            </w:r>
            <w:proofErr w:type="spellStart"/>
            <w:r w:rsidRPr="000116D2">
              <w:rPr>
                <w:rFonts w:ascii="Arial Narrow" w:hAnsi="Arial Narrow" w:cs="ArialMT"/>
                <w:color w:val="000000"/>
                <w:sz w:val="16"/>
                <w:szCs w:val="20"/>
                <w:lang w:val="en-GB" w:eastAsia="en-GB"/>
              </w:rPr>
              <w:t>narodno</w:t>
            </w:r>
            <w:proofErr w:type="spellEnd"/>
            <w:r w:rsidRPr="000116D2">
              <w:rPr>
                <w:rFonts w:ascii="Arial Narrow" w:hAnsi="Arial Narrow" w:cs="ArialMT"/>
                <w:color w:val="000000"/>
                <w:sz w:val="16"/>
                <w:szCs w:val="20"/>
                <w:lang w:val="en-GB" w:eastAsia="en-GB"/>
              </w:rPr>
              <w:t xml:space="preserve"> </w:t>
            </w:r>
            <w:proofErr w:type="spellStart"/>
            <w:r w:rsidRPr="000116D2">
              <w:rPr>
                <w:rFonts w:ascii="Arial Narrow" w:hAnsi="Arial Narrow" w:cs="ArialMT"/>
                <w:color w:val="000000"/>
                <w:sz w:val="16"/>
                <w:szCs w:val="20"/>
                <w:lang w:val="en-GB" w:eastAsia="en-GB"/>
              </w:rPr>
              <w:t>skupnost</w:t>
            </w:r>
            <w:proofErr w:type="spellEnd"/>
            <w:r w:rsidRPr="000116D2">
              <w:rPr>
                <w:rFonts w:ascii="Arial Narrow" w:hAnsi="Arial Narrow" w:cs="ArialMT"/>
                <w:color w:val="000000"/>
                <w:sz w:val="16"/>
                <w:szCs w:val="20"/>
                <w:lang w:val="en-GB" w:eastAsia="en-GB"/>
              </w:rPr>
              <w:t xml:space="preserve"> v RS</w:t>
            </w:r>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0</w:t>
            </w:r>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0</w:t>
            </w:r>
          </w:p>
        </w:tc>
        <w:tc>
          <w:tcPr>
            <w:tcW w:w="350"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0</w:t>
            </w:r>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0</w:t>
            </w:r>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0</w:t>
            </w:r>
          </w:p>
        </w:tc>
        <w:tc>
          <w:tcPr>
            <w:tcW w:w="350"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530</w:t>
            </w:r>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501</w:t>
            </w:r>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673</w:t>
            </w:r>
          </w:p>
        </w:tc>
        <w:tc>
          <w:tcPr>
            <w:tcW w:w="350"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224</w:t>
            </w:r>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298</w:t>
            </w:r>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419</w:t>
            </w:r>
          </w:p>
        </w:tc>
        <w:tc>
          <w:tcPr>
            <w:tcW w:w="350" w:type="pct"/>
            <w:tcBorders>
              <w:top w:val="single" w:sz="4" w:space="0" w:color="000000"/>
              <w:left w:val="single" w:sz="4" w:space="0" w:color="000000"/>
              <w:bottom w:val="nil"/>
              <w:right w:val="single" w:sz="4" w:space="0" w:color="000000"/>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323</w:t>
            </w:r>
          </w:p>
        </w:tc>
      </w:tr>
      <w:tr w:rsidR="00C71FCE" w:rsidRPr="003E54C1" w:rsidTr="009C59DA">
        <w:trPr>
          <w:trHeight w:hRule="exact" w:val="340"/>
        </w:trPr>
        <w:tc>
          <w:tcPr>
            <w:tcW w:w="808" w:type="pct"/>
            <w:tcBorders>
              <w:top w:val="single" w:sz="4" w:space="0" w:color="000000"/>
              <w:left w:val="single" w:sz="4" w:space="0" w:color="000000"/>
              <w:bottom w:val="nil"/>
              <w:right w:val="nil"/>
            </w:tcBorders>
            <w:shd w:val="clear" w:color="auto" w:fill="D6E3BC" w:themeFill="accent3" w:themeFillTint="66"/>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1.14 Drug program</w:t>
            </w:r>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3.601</w:t>
            </w:r>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4.888</w:t>
            </w:r>
          </w:p>
        </w:tc>
        <w:tc>
          <w:tcPr>
            <w:tcW w:w="350"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2.931</w:t>
            </w:r>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3.543</w:t>
            </w:r>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4.704</w:t>
            </w:r>
          </w:p>
        </w:tc>
        <w:tc>
          <w:tcPr>
            <w:tcW w:w="350"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8.268</w:t>
            </w:r>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7.075</w:t>
            </w:r>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6.876</w:t>
            </w:r>
          </w:p>
        </w:tc>
        <w:tc>
          <w:tcPr>
            <w:tcW w:w="350"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9.336</w:t>
            </w:r>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16.653</w:t>
            </w:r>
          </w:p>
        </w:tc>
        <w:tc>
          <w:tcPr>
            <w:tcW w:w="349" w:type="pct"/>
            <w:tcBorders>
              <w:top w:val="single" w:sz="4" w:space="0" w:color="000000"/>
              <w:left w:val="single" w:sz="4" w:space="0" w:color="000000"/>
              <w:bottom w:val="nil"/>
              <w:right w:val="nil"/>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7.372</w:t>
            </w:r>
          </w:p>
        </w:tc>
        <w:tc>
          <w:tcPr>
            <w:tcW w:w="350" w:type="pct"/>
            <w:tcBorders>
              <w:top w:val="single" w:sz="4" w:space="0" w:color="000000"/>
              <w:left w:val="single" w:sz="4" w:space="0" w:color="000000"/>
              <w:bottom w:val="nil"/>
              <w:right w:val="single" w:sz="4" w:space="0" w:color="000000"/>
            </w:tcBorders>
            <w:shd w:val="clear" w:color="auto" w:fill="D6E3BC" w:themeFill="accent3" w:themeFillTint="66"/>
            <w:noWrap/>
            <w:vAlign w:val="center"/>
            <w:hideMark/>
          </w:tcPr>
          <w:p w:rsidR="00C71FCE" w:rsidRPr="000116D2" w:rsidRDefault="00C71FCE" w:rsidP="00DE703C">
            <w:pPr>
              <w:spacing w:line="240" w:lineRule="auto"/>
              <w:rPr>
                <w:rFonts w:ascii="Arial Narrow" w:hAnsi="Arial Narrow" w:cs="ArialMT"/>
                <w:color w:val="000000"/>
                <w:sz w:val="16"/>
                <w:szCs w:val="20"/>
                <w:lang w:val="en-GB" w:eastAsia="en-GB"/>
              </w:rPr>
            </w:pPr>
            <w:r w:rsidRPr="000116D2">
              <w:rPr>
                <w:rFonts w:ascii="Arial Narrow" w:hAnsi="Arial Narrow" w:cs="ArialMT"/>
                <w:color w:val="000000"/>
                <w:sz w:val="16"/>
                <w:szCs w:val="20"/>
                <w:lang w:val="en-GB" w:eastAsia="en-GB"/>
              </w:rPr>
              <w:t>5.844</w:t>
            </w:r>
          </w:p>
        </w:tc>
      </w:tr>
      <w:tr w:rsidR="00C71FCE" w:rsidRPr="003E54C1" w:rsidTr="009C59DA">
        <w:trPr>
          <w:trHeight w:hRule="exact" w:val="340"/>
        </w:trPr>
        <w:tc>
          <w:tcPr>
            <w:tcW w:w="808" w:type="pct"/>
            <w:tcBorders>
              <w:top w:val="single" w:sz="4" w:space="0" w:color="000000"/>
              <w:left w:val="single" w:sz="4" w:space="0" w:color="000000"/>
              <w:bottom w:val="nil"/>
              <w:right w:val="nil"/>
            </w:tcBorders>
            <w:shd w:val="clear" w:color="auto" w:fill="9BBB59" w:themeFill="accent3"/>
            <w:vAlign w:val="center"/>
            <w:hideMark/>
          </w:tcPr>
          <w:p w:rsidR="00C71FCE" w:rsidRPr="000116D2" w:rsidRDefault="00C71FCE" w:rsidP="00DE703C">
            <w:pPr>
              <w:spacing w:line="240" w:lineRule="auto"/>
              <w:rPr>
                <w:rFonts w:ascii="Arial Narrow" w:hAnsi="Arial Narrow" w:cs="ArialMT"/>
                <w:b/>
                <w:bCs/>
                <w:i/>
                <w:iCs/>
                <w:color w:val="000000"/>
                <w:sz w:val="16"/>
                <w:szCs w:val="20"/>
                <w:lang w:val="en-GB" w:eastAsia="en-GB"/>
              </w:rPr>
            </w:pPr>
            <w:r w:rsidRPr="000116D2">
              <w:rPr>
                <w:rFonts w:ascii="Arial Narrow" w:hAnsi="Arial Narrow" w:cs="ArialMT"/>
                <w:b/>
                <w:bCs/>
                <w:i/>
                <w:iCs/>
                <w:color w:val="000000"/>
                <w:sz w:val="16"/>
                <w:szCs w:val="20"/>
                <w:lang w:val="en-GB" w:eastAsia="en-GB"/>
              </w:rPr>
              <w:t>2. TV PRODAJA</w:t>
            </w:r>
          </w:p>
        </w:tc>
        <w:tc>
          <w:tcPr>
            <w:tcW w:w="349" w:type="pct"/>
            <w:tcBorders>
              <w:top w:val="single" w:sz="4" w:space="0" w:color="000000"/>
              <w:left w:val="single" w:sz="4" w:space="0" w:color="000000"/>
              <w:bottom w:val="nil"/>
              <w:right w:val="nil"/>
            </w:tcBorders>
            <w:shd w:val="clear" w:color="auto" w:fill="9BBB59" w:themeFill="accent3"/>
            <w:noWrap/>
            <w:vAlign w:val="center"/>
            <w:hideMark/>
          </w:tcPr>
          <w:p w:rsidR="00C71FCE" w:rsidRPr="000116D2" w:rsidRDefault="00C71FCE" w:rsidP="00DE703C">
            <w:pPr>
              <w:spacing w:line="240" w:lineRule="auto"/>
              <w:rPr>
                <w:rFonts w:ascii="Arial Narrow" w:hAnsi="Arial Narrow" w:cs="ArialMT"/>
                <w:b/>
                <w:bCs/>
                <w:i/>
                <w:iCs/>
                <w:color w:val="000000"/>
                <w:sz w:val="16"/>
                <w:szCs w:val="20"/>
                <w:lang w:val="en-GB" w:eastAsia="en-GB"/>
              </w:rPr>
            </w:pPr>
            <w:r w:rsidRPr="000116D2">
              <w:rPr>
                <w:rFonts w:ascii="Arial Narrow" w:hAnsi="Arial Narrow" w:cs="ArialMT"/>
                <w:b/>
                <w:bCs/>
                <w:i/>
                <w:iCs/>
                <w:color w:val="000000"/>
                <w:sz w:val="16"/>
                <w:szCs w:val="20"/>
                <w:lang w:val="en-GB" w:eastAsia="en-GB"/>
              </w:rPr>
              <w:t>5.110</w:t>
            </w:r>
          </w:p>
        </w:tc>
        <w:tc>
          <w:tcPr>
            <w:tcW w:w="349" w:type="pct"/>
            <w:tcBorders>
              <w:top w:val="single" w:sz="4" w:space="0" w:color="000000"/>
              <w:left w:val="single" w:sz="4" w:space="0" w:color="000000"/>
              <w:bottom w:val="nil"/>
              <w:right w:val="nil"/>
            </w:tcBorders>
            <w:shd w:val="clear" w:color="auto" w:fill="9BBB59" w:themeFill="accent3"/>
            <w:noWrap/>
            <w:vAlign w:val="center"/>
            <w:hideMark/>
          </w:tcPr>
          <w:p w:rsidR="00C71FCE" w:rsidRPr="000116D2" w:rsidRDefault="00C71FCE" w:rsidP="00DE703C">
            <w:pPr>
              <w:spacing w:line="240" w:lineRule="auto"/>
              <w:rPr>
                <w:rFonts w:ascii="Arial Narrow" w:hAnsi="Arial Narrow" w:cs="ArialMT"/>
                <w:b/>
                <w:bCs/>
                <w:i/>
                <w:iCs/>
                <w:color w:val="000000"/>
                <w:sz w:val="16"/>
                <w:szCs w:val="20"/>
                <w:lang w:val="en-GB" w:eastAsia="en-GB"/>
              </w:rPr>
            </w:pPr>
            <w:r w:rsidRPr="000116D2">
              <w:rPr>
                <w:rFonts w:ascii="Arial Narrow" w:hAnsi="Arial Narrow" w:cs="ArialMT"/>
                <w:b/>
                <w:bCs/>
                <w:i/>
                <w:iCs/>
                <w:color w:val="000000"/>
                <w:sz w:val="16"/>
                <w:szCs w:val="20"/>
                <w:lang w:val="en-GB" w:eastAsia="en-GB"/>
              </w:rPr>
              <w:t>5.128</w:t>
            </w:r>
          </w:p>
        </w:tc>
        <w:tc>
          <w:tcPr>
            <w:tcW w:w="350" w:type="pct"/>
            <w:tcBorders>
              <w:top w:val="single" w:sz="4" w:space="0" w:color="000000"/>
              <w:left w:val="single" w:sz="4" w:space="0" w:color="000000"/>
              <w:bottom w:val="nil"/>
              <w:right w:val="nil"/>
            </w:tcBorders>
            <w:shd w:val="clear" w:color="auto" w:fill="9BBB59" w:themeFill="accent3"/>
            <w:noWrap/>
            <w:vAlign w:val="center"/>
            <w:hideMark/>
          </w:tcPr>
          <w:p w:rsidR="00C71FCE" w:rsidRPr="000116D2" w:rsidRDefault="00C71FCE" w:rsidP="00DE703C">
            <w:pPr>
              <w:spacing w:line="240" w:lineRule="auto"/>
              <w:rPr>
                <w:rFonts w:ascii="Arial Narrow" w:hAnsi="Arial Narrow" w:cs="ArialMT"/>
                <w:b/>
                <w:bCs/>
                <w:i/>
                <w:iCs/>
                <w:color w:val="000000"/>
                <w:sz w:val="16"/>
                <w:szCs w:val="20"/>
                <w:lang w:val="en-GB" w:eastAsia="en-GB"/>
              </w:rPr>
            </w:pPr>
            <w:r w:rsidRPr="000116D2">
              <w:rPr>
                <w:rFonts w:ascii="Arial Narrow" w:hAnsi="Arial Narrow" w:cs="ArialMT"/>
                <w:b/>
                <w:bCs/>
                <w:i/>
                <w:iCs/>
                <w:color w:val="000000"/>
                <w:sz w:val="16"/>
                <w:szCs w:val="20"/>
                <w:lang w:val="en-GB" w:eastAsia="en-GB"/>
              </w:rPr>
              <w:t>3.773</w:t>
            </w:r>
          </w:p>
        </w:tc>
        <w:tc>
          <w:tcPr>
            <w:tcW w:w="349" w:type="pct"/>
            <w:tcBorders>
              <w:top w:val="single" w:sz="4" w:space="0" w:color="000000"/>
              <w:left w:val="single" w:sz="4" w:space="0" w:color="000000"/>
              <w:bottom w:val="nil"/>
              <w:right w:val="nil"/>
            </w:tcBorders>
            <w:shd w:val="clear" w:color="auto" w:fill="9BBB59" w:themeFill="accent3"/>
            <w:noWrap/>
            <w:vAlign w:val="center"/>
            <w:hideMark/>
          </w:tcPr>
          <w:p w:rsidR="00C71FCE" w:rsidRPr="000116D2" w:rsidRDefault="00C71FCE" w:rsidP="00DE703C">
            <w:pPr>
              <w:spacing w:line="240" w:lineRule="auto"/>
              <w:rPr>
                <w:rFonts w:ascii="Arial Narrow" w:hAnsi="Arial Narrow" w:cs="ArialMT"/>
                <w:b/>
                <w:bCs/>
                <w:i/>
                <w:iCs/>
                <w:color w:val="000000"/>
                <w:sz w:val="16"/>
                <w:szCs w:val="20"/>
                <w:lang w:val="en-GB" w:eastAsia="en-GB"/>
              </w:rPr>
            </w:pPr>
            <w:r w:rsidRPr="000116D2">
              <w:rPr>
                <w:rFonts w:ascii="Arial Narrow" w:hAnsi="Arial Narrow" w:cs="ArialMT"/>
                <w:b/>
                <w:bCs/>
                <w:i/>
                <w:iCs/>
                <w:color w:val="000000"/>
                <w:sz w:val="16"/>
                <w:szCs w:val="20"/>
                <w:lang w:val="en-GB" w:eastAsia="en-GB"/>
              </w:rPr>
              <w:t>4.053</w:t>
            </w:r>
          </w:p>
        </w:tc>
        <w:tc>
          <w:tcPr>
            <w:tcW w:w="349" w:type="pct"/>
            <w:tcBorders>
              <w:top w:val="single" w:sz="4" w:space="0" w:color="000000"/>
              <w:left w:val="single" w:sz="4" w:space="0" w:color="000000"/>
              <w:bottom w:val="nil"/>
              <w:right w:val="nil"/>
            </w:tcBorders>
            <w:shd w:val="clear" w:color="auto" w:fill="9BBB59" w:themeFill="accent3"/>
            <w:noWrap/>
            <w:vAlign w:val="center"/>
            <w:hideMark/>
          </w:tcPr>
          <w:p w:rsidR="00C71FCE" w:rsidRPr="000116D2" w:rsidRDefault="00C71FCE" w:rsidP="00DE703C">
            <w:pPr>
              <w:spacing w:line="240" w:lineRule="auto"/>
              <w:rPr>
                <w:rFonts w:ascii="Arial Narrow" w:hAnsi="Arial Narrow" w:cs="ArialMT"/>
                <w:b/>
                <w:bCs/>
                <w:i/>
                <w:iCs/>
                <w:color w:val="000000"/>
                <w:sz w:val="16"/>
                <w:szCs w:val="20"/>
                <w:lang w:val="en-GB" w:eastAsia="en-GB"/>
              </w:rPr>
            </w:pPr>
            <w:r w:rsidRPr="000116D2">
              <w:rPr>
                <w:rFonts w:ascii="Arial Narrow" w:hAnsi="Arial Narrow" w:cs="ArialMT"/>
                <w:b/>
                <w:bCs/>
                <w:i/>
                <w:iCs/>
                <w:color w:val="000000"/>
                <w:sz w:val="16"/>
                <w:szCs w:val="20"/>
                <w:lang w:val="en-GB" w:eastAsia="en-GB"/>
              </w:rPr>
              <w:t>3.353</w:t>
            </w:r>
          </w:p>
        </w:tc>
        <w:tc>
          <w:tcPr>
            <w:tcW w:w="350" w:type="pct"/>
            <w:tcBorders>
              <w:top w:val="single" w:sz="4" w:space="0" w:color="000000"/>
              <w:left w:val="single" w:sz="4" w:space="0" w:color="000000"/>
              <w:bottom w:val="nil"/>
              <w:right w:val="nil"/>
            </w:tcBorders>
            <w:shd w:val="clear" w:color="auto" w:fill="9BBB59" w:themeFill="accent3"/>
            <w:noWrap/>
            <w:vAlign w:val="center"/>
            <w:hideMark/>
          </w:tcPr>
          <w:p w:rsidR="00C71FCE" w:rsidRPr="000116D2" w:rsidRDefault="00C71FCE" w:rsidP="00DE703C">
            <w:pPr>
              <w:spacing w:line="240" w:lineRule="auto"/>
              <w:rPr>
                <w:rFonts w:ascii="Arial Narrow" w:hAnsi="Arial Narrow" w:cs="ArialMT"/>
                <w:b/>
                <w:bCs/>
                <w:i/>
                <w:iCs/>
                <w:color w:val="000000"/>
                <w:sz w:val="16"/>
                <w:szCs w:val="20"/>
                <w:lang w:val="en-GB" w:eastAsia="en-GB"/>
              </w:rPr>
            </w:pPr>
            <w:r w:rsidRPr="000116D2">
              <w:rPr>
                <w:rFonts w:ascii="Arial Narrow" w:hAnsi="Arial Narrow" w:cs="ArialMT"/>
                <w:b/>
                <w:bCs/>
                <w:i/>
                <w:iCs/>
                <w:color w:val="000000"/>
                <w:sz w:val="16"/>
                <w:szCs w:val="20"/>
                <w:lang w:val="en-GB" w:eastAsia="en-GB"/>
              </w:rPr>
              <w:t>7.366</w:t>
            </w:r>
          </w:p>
        </w:tc>
        <w:tc>
          <w:tcPr>
            <w:tcW w:w="349" w:type="pct"/>
            <w:tcBorders>
              <w:top w:val="single" w:sz="4" w:space="0" w:color="000000"/>
              <w:left w:val="single" w:sz="4" w:space="0" w:color="000000"/>
              <w:bottom w:val="nil"/>
              <w:right w:val="nil"/>
            </w:tcBorders>
            <w:shd w:val="clear" w:color="auto" w:fill="9BBB59" w:themeFill="accent3"/>
            <w:noWrap/>
            <w:vAlign w:val="center"/>
            <w:hideMark/>
          </w:tcPr>
          <w:p w:rsidR="00C71FCE" w:rsidRPr="000116D2" w:rsidRDefault="00C71FCE" w:rsidP="00DE703C">
            <w:pPr>
              <w:spacing w:line="240" w:lineRule="auto"/>
              <w:rPr>
                <w:rFonts w:ascii="Arial Narrow" w:hAnsi="Arial Narrow" w:cs="ArialMT"/>
                <w:b/>
                <w:bCs/>
                <w:i/>
                <w:iCs/>
                <w:color w:val="000000"/>
                <w:sz w:val="16"/>
                <w:szCs w:val="20"/>
                <w:lang w:val="en-GB" w:eastAsia="en-GB"/>
              </w:rPr>
            </w:pPr>
            <w:r w:rsidRPr="000116D2">
              <w:rPr>
                <w:rFonts w:ascii="Arial Narrow" w:hAnsi="Arial Narrow" w:cs="ArialMT"/>
                <w:b/>
                <w:bCs/>
                <w:i/>
                <w:iCs/>
                <w:color w:val="000000"/>
                <w:sz w:val="16"/>
                <w:szCs w:val="20"/>
                <w:lang w:val="en-GB" w:eastAsia="en-GB"/>
              </w:rPr>
              <w:t>5.270</w:t>
            </w:r>
          </w:p>
        </w:tc>
        <w:tc>
          <w:tcPr>
            <w:tcW w:w="349" w:type="pct"/>
            <w:tcBorders>
              <w:top w:val="single" w:sz="4" w:space="0" w:color="000000"/>
              <w:left w:val="single" w:sz="4" w:space="0" w:color="000000"/>
              <w:bottom w:val="nil"/>
              <w:right w:val="nil"/>
            </w:tcBorders>
            <w:shd w:val="clear" w:color="auto" w:fill="9BBB59" w:themeFill="accent3"/>
            <w:noWrap/>
            <w:vAlign w:val="center"/>
            <w:hideMark/>
          </w:tcPr>
          <w:p w:rsidR="00C71FCE" w:rsidRPr="000116D2" w:rsidRDefault="00C71FCE" w:rsidP="00DE703C">
            <w:pPr>
              <w:spacing w:line="240" w:lineRule="auto"/>
              <w:rPr>
                <w:rFonts w:ascii="Arial Narrow" w:hAnsi="Arial Narrow" w:cs="ArialMT"/>
                <w:b/>
                <w:bCs/>
                <w:i/>
                <w:iCs/>
                <w:color w:val="000000"/>
                <w:sz w:val="16"/>
                <w:szCs w:val="20"/>
                <w:lang w:val="en-GB" w:eastAsia="en-GB"/>
              </w:rPr>
            </w:pPr>
            <w:r w:rsidRPr="000116D2">
              <w:rPr>
                <w:rFonts w:ascii="Arial Narrow" w:hAnsi="Arial Narrow" w:cs="ArialMT"/>
                <w:b/>
                <w:bCs/>
                <w:i/>
                <w:iCs/>
                <w:color w:val="000000"/>
                <w:sz w:val="16"/>
                <w:szCs w:val="20"/>
                <w:lang w:val="en-GB" w:eastAsia="en-GB"/>
              </w:rPr>
              <w:t>4.176</w:t>
            </w:r>
          </w:p>
        </w:tc>
        <w:tc>
          <w:tcPr>
            <w:tcW w:w="350" w:type="pct"/>
            <w:tcBorders>
              <w:top w:val="single" w:sz="4" w:space="0" w:color="000000"/>
              <w:left w:val="single" w:sz="4" w:space="0" w:color="000000"/>
              <w:bottom w:val="nil"/>
              <w:right w:val="nil"/>
            </w:tcBorders>
            <w:shd w:val="clear" w:color="auto" w:fill="9BBB59" w:themeFill="accent3"/>
            <w:noWrap/>
            <w:vAlign w:val="center"/>
            <w:hideMark/>
          </w:tcPr>
          <w:p w:rsidR="00C71FCE" w:rsidRPr="000116D2" w:rsidRDefault="00C71FCE" w:rsidP="00DE703C">
            <w:pPr>
              <w:spacing w:line="240" w:lineRule="auto"/>
              <w:rPr>
                <w:rFonts w:ascii="Arial Narrow" w:hAnsi="Arial Narrow" w:cs="ArialMT"/>
                <w:b/>
                <w:bCs/>
                <w:i/>
                <w:iCs/>
                <w:color w:val="000000"/>
                <w:sz w:val="16"/>
                <w:szCs w:val="20"/>
                <w:lang w:val="en-GB" w:eastAsia="en-GB"/>
              </w:rPr>
            </w:pPr>
            <w:r w:rsidRPr="000116D2">
              <w:rPr>
                <w:rFonts w:ascii="Arial Narrow" w:hAnsi="Arial Narrow" w:cs="ArialMT"/>
                <w:b/>
                <w:bCs/>
                <w:i/>
                <w:iCs/>
                <w:color w:val="000000"/>
                <w:sz w:val="16"/>
                <w:szCs w:val="20"/>
                <w:lang w:val="en-GB" w:eastAsia="en-GB"/>
              </w:rPr>
              <w:t>6.831</w:t>
            </w:r>
          </w:p>
        </w:tc>
        <w:tc>
          <w:tcPr>
            <w:tcW w:w="349" w:type="pct"/>
            <w:tcBorders>
              <w:top w:val="single" w:sz="4" w:space="0" w:color="000000"/>
              <w:left w:val="single" w:sz="4" w:space="0" w:color="000000"/>
              <w:bottom w:val="nil"/>
              <w:right w:val="nil"/>
            </w:tcBorders>
            <w:shd w:val="clear" w:color="auto" w:fill="9BBB59" w:themeFill="accent3"/>
            <w:noWrap/>
            <w:vAlign w:val="center"/>
            <w:hideMark/>
          </w:tcPr>
          <w:p w:rsidR="00C71FCE" w:rsidRPr="000116D2" w:rsidRDefault="00C71FCE" w:rsidP="00DE703C">
            <w:pPr>
              <w:spacing w:line="240" w:lineRule="auto"/>
              <w:rPr>
                <w:rFonts w:ascii="Arial Narrow" w:hAnsi="Arial Narrow" w:cs="ArialMT"/>
                <w:b/>
                <w:bCs/>
                <w:i/>
                <w:iCs/>
                <w:color w:val="000000"/>
                <w:sz w:val="16"/>
                <w:szCs w:val="20"/>
                <w:lang w:val="en-GB" w:eastAsia="en-GB"/>
              </w:rPr>
            </w:pPr>
            <w:r w:rsidRPr="000116D2">
              <w:rPr>
                <w:rFonts w:ascii="Arial Narrow" w:hAnsi="Arial Narrow" w:cs="ArialMT"/>
                <w:b/>
                <w:bCs/>
                <w:i/>
                <w:iCs/>
                <w:color w:val="000000"/>
                <w:sz w:val="16"/>
                <w:szCs w:val="20"/>
                <w:lang w:val="en-GB" w:eastAsia="en-GB"/>
              </w:rPr>
              <w:t>6.737</w:t>
            </w:r>
          </w:p>
        </w:tc>
        <w:tc>
          <w:tcPr>
            <w:tcW w:w="349" w:type="pct"/>
            <w:tcBorders>
              <w:top w:val="single" w:sz="4" w:space="0" w:color="000000"/>
              <w:left w:val="single" w:sz="4" w:space="0" w:color="000000"/>
              <w:bottom w:val="nil"/>
              <w:right w:val="nil"/>
            </w:tcBorders>
            <w:shd w:val="clear" w:color="auto" w:fill="9BBB59" w:themeFill="accent3"/>
            <w:noWrap/>
            <w:vAlign w:val="center"/>
            <w:hideMark/>
          </w:tcPr>
          <w:p w:rsidR="00C71FCE" w:rsidRPr="000116D2" w:rsidRDefault="00C71FCE" w:rsidP="00DE703C">
            <w:pPr>
              <w:spacing w:line="240" w:lineRule="auto"/>
              <w:rPr>
                <w:rFonts w:ascii="Arial Narrow" w:hAnsi="Arial Narrow" w:cs="ArialMT"/>
                <w:b/>
                <w:bCs/>
                <w:i/>
                <w:iCs/>
                <w:color w:val="000000"/>
                <w:sz w:val="16"/>
                <w:szCs w:val="20"/>
                <w:lang w:val="en-GB" w:eastAsia="en-GB"/>
              </w:rPr>
            </w:pPr>
            <w:r w:rsidRPr="000116D2">
              <w:rPr>
                <w:rFonts w:ascii="Arial Narrow" w:hAnsi="Arial Narrow" w:cs="ArialMT"/>
                <w:b/>
                <w:bCs/>
                <w:i/>
                <w:iCs/>
                <w:color w:val="000000"/>
                <w:sz w:val="16"/>
                <w:szCs w:val="20"/>
                <w:lang w:val="en-GB" w:eastAsia="en-GB"/>
              </w:rPr>
              <w:t>6.829</w:t>
            </w:r>
          </w:p>
        </w:tc>
        <w:tc>
          <w:tcPr>
            <w:tcW w:w="350" w:type="pct"/>
            <w:tcBorders>
              <w:top w:val="single" w:sz="4" w:space="0" w:color="000000"/>
              <w:left w:val="single" w:sz="4" w:space="0" w:color="000000"/>
              <w:bottom w:val="nil"/>
              <w:right w:val="single" w:sz="4" w:space="0" w:color="000000"/>
            </w:tcBorders>
            <w:shd w:val="clear" w:color="auto" w:fill="9BBB59" w:themeFill="accent3"/>
            <w:noWrap/>
            <w:vAlign w:val="center"/>
            <w:hideMark/>
          </w:tcPr>
          <w:p w:rsidR="00C71FCE" w:rsidRPr="000116D2" w:rsidRDefault="00C71FCE" w:rsidP="00DE703C">
            <w:pPr>
              <w:spacing w:line="240" w:lineRule="auto"/>
              <w:rPr>
                <w:rFonts w:ascii="Arial Narrow" w:hAnsi="Arial Narrow" w:cs="ArialMT"/>
                <w:b/>
                <w:bCs/>
                <w:i/>
                <w:iCs/>
                <w:color w:val="000000"/>
                <w:sz w:val="16"/>
                <w:szCs w:val="20"/>
                <w:lang w:val="en-GB" w:eastAsia="en-GB"/>
              </w:rPr>
            </w:pPr>
            <w:r w:rsidRPr="000116D2">
              <w:rPr>
                <w:rFonts w:ascii="Arial Narrow" w:hAnsi="Arial Narrow" w:cs="ArialMT"/>
                <w:b/>
                <w:bCs/>
                <w:i/>
                <w:iCs/>
                <w:color w:val="000000"/>
                <w:sz w:val="16"/>
                <w:szCs w:val="20"/>
                <w:lang w:val="en-GB" w:eastAsia="en-GB"/>
              </w:rPr>
              <w:t>8.656</w:t>
            </w:r>
          </w:p>
        </w:tc>
      </w:tr>
      <w:tr w:rsidR="00C71FCE" w:rsidRPr="003E54C1" w:rsidTr="009C59DA">
        <w:trPr>
          <w:trHeight w:hRule="exact" w:val="340"/>
        </w:trPr>
        <w:tc>
          <w:tcPr>
            <w:tcW w:w="808" w:type="pct"/>
            <w:tcBorders>
              <w:top w:val="single" w:sz="4" w:space="0" w:color="000000"/>
              <w:left w:val="single" w:sz="4" w:space="0" w:color="000000"/>
              <w:bottom w:val="nil"/>
              <w:right w:val="nil"/>
            </w:tcBorders>
            <w:shd w:val="clear" w:color="auto" w:fill="9BBB59" w:themeFill="accent3"/>
            <w:vAlign w:val="center"/>
            <w:hideMark/>
          </w:tcPr>
          <w:p w:rsidR="00C71FCE" w:rsidRPr="000116D2" w:rsidRDefault="00C71FCE" w:rsidP="00DE703C">
            <w:pPr>
              <w:spacing w:line="240" w:lineRule="auto"/>
              <w:rPr>
                <w:rFonts w:ascii="Arial Narrow" w:hAnsi="Arial Narrow" w:cs="ArialMT"/>
                <w:b/>
                <w:bCs/>
                <w:i/>
                <w:iCs/>
                <w:color w:val="000000"/>
                <w:sz w:val="16"/>
                <w:szCs w:val="20"/>
                <w:lang w:val="en-GB" w:eastAsia="en-GB"/>
              </w:rPr>
            </w:pPr>
            <w:r w:rsidRPr="000116D2">
              <w:rPr>
                <w:rFonts w:ascii="Arial Narrow" w:hAnsi="Arial Narrow" w:cs="ArialMT"/>
                <w:b/>
                <w:bCs/>
                <w:i/>
                <w:iCs/>
                <w:color w:val="000000"/>
                <w:sz w:val="16"/>
                <w:szCs w:val="20"/>
                <w:lang w:val="en-GB" w:eastAsia="en-GB"/>
              </w:rPr>
              <w:t>3. OGLASI</w:t>
            </w:r>
          </w:p>
        </w:tc>
        <w:tc>
          <w:tcPr>
            <w:tcW w:w="349" w:type="pct"/>
            <w:tcBorders>
              <w:top w:val="single" w:sz="4" w:space="0" w:color="000000"/>
              <w:left w:val="single" w:sz="4" w:space="0" w:color="000000"/>
              <w:bottom w:val="nil"/>
              <w:right w:val="nil"/>
            </w:tcBorders>
            <w:shd w:val="clear" w:color="auto" w:fill="9BBB59" w:themeFill="accent3"/>
            <w:noWrap/>
            <w:vAlign w:val="center"/>
            <w:hideMark/>
          </w:tcPr>
          <w:p w:rsidR="00C71FCE" w:rsidRPr="000116D2" w:rsidRDefault="00C71FCE" w:rsidP="00DE703C">
            <w:pPr>
              <w:spacing w:line="240" w:lineRule="auto"/>
              <w:rPr>
                <w:rFonts w:ascii="Arial Narrow" w:hAnsi="Arial Narrow" w:cs="ArialMT"/>
                <w:b/>
                <w:bCs/>
                <w:i/>
                <w:iCs/>
                <w:color w:val="000000"/>
                <w:sz w:val="16"/>
                <w:szCs w:val="20"/>
                <w:lang w:val="en-GB" w:eastAsia="en-GB"/>
              </w:rPr>
            </w:pPr>
            <w:r w:rsidRPr="000116D2">
              <w:rPr>
                <w:rFonts w:ascii="Arial Narrow" w:hAnsi="Arial Narrow" w:cs="ArialMT"/>
                <w:b/>
                <w:bCs/>
                <w:i/>
                <w:iCs/>
                <w:color w:val="000000"/>
                <w:sz w:val="16"/>
                <w:szCs w:val="20"/>
                <w:lang w:val="en-GB" w:eastAsia="en-GB"/>
              </w:rPr>
              <w:t>13.334</w:t>
            </w:r>
          </w:p>
        </w:tc>
        <w:tc>
          <w:tcPr>
            <w:tcW w:w="349" w:type="pct"/>
            <w:tcBorders>
              <w:top w:val="single" w:sz="4" w:space="0" w:color="000000"/>
              <w:left w:val="single" w:sz="4" w:space="0" w:color="000000"/>
              <w:bottom w:val="nil"/>
              <w:right w:val="nil"/>
            </w:tcBorders>
            <w:shd w:val="clear" w:color="auto" w:fill="9BBB59" w:themeFill="accent3"/>
            <w:noWrap/>
            <w:vAlign w:val="center"/>
            <w:hideMark/>
          </w:tcPr>
          <w:p w:rsidR="00C71FCE" w:rsidRPr="000116D2" w:rsidRDefault="00C71FCE" w:rsidP="00DE703C">
            <w:pPr>
              <w:spacing w:line="240" w:lineRule="auto"/>
              <w:rPr>
                <w:rFonts w:ascii="Arial Narrow" w:hAnsi="Arial Narrow" w:cs="ArialMT"/>
                <w:b/>
                <w:bCs/>
                <w:i/>
                <w:iCs/>
                <w:color w:val="000000"/>
                <w:sz w:val="16"/>
                <w:szCs w:val="20"/>
                <w:lang w:val="en-GB" w:eastAsia="en-GB"/>
              </w:rPr>
            </w:pPr>
            <w:r w:rsidRPr="000116D2">
              <w:rPr>
                <w:rFonts w:ascii="Arial Narrow" w:hAnsi="Arial Narrow" w:cs="ArialMT"/>
                <w:b/>
                <w:bCs/>
                <w:i/>
                <w:iCs/>
                <w:color w:val="000000"/>
                <w:sz w:val="16"/>
                <w:szCs w:val="20"/>
                <w:lang w:val="en-GB" w:eastAsia="en-GB"/>
              </w:rPr>
              <w:t>16.066</w:t>
            </w:r>
          </w:p>
        </w:tc>
        <w:tc>
          <w:tcPr>
            <w:tcW w:w="350" w:type="pct"/>
            <w:tcBorders>
              <w:top w:val="single" w:sz="4" w:space="0" w:color="000000"/>
              <w:left w:val="single" w:sz="4" w:space="0" w:color="000000"/>
              <w:bottom w:val="nil"/>
              <w:right w:val="nil"/>
            </w:tcBorders>
            <w:shd w:val="clear" w:color="auto" w:fill="9BBB59" w:themeFill="accent3"/>
            <w:noWrap/>
            <w:vAlign w:val="center"/>
            <w:hideMark/>
          </w:tcPr>
          <w:p w:rsidR="00C71FCE" w:rsidRPr="000116D2" w:rsidRDefault="00C71FCE" w:rsidP="00DE703C">
            <w:pPr>
              <w:spacing w:line="240" w:lineRule="auto"/>
              <w:rPr>
                <w:rFonts w:ascii="Arial Narrow" w:hAnsi="Arial Narrow" w:cs="ArialMT"/>
                <w:b/>
                <w:bCs/>
                <w:i/>
                <w:iCs/>
                <w:color w:val="000000"/>
                <w:sz w:val="16"/>
                <w:szCs w:val="20"/>
                <w:lang w:val="en-GB" w:eastAsia="en-GB"/>
              </w:rPr>
            </w:pPr>
            <w:r w:rsidRPr="000116D2">
              <w:rPr>
                <w:rFonts w:ascii="Arial Narrow" w:hAnsi="Arial Narrow" w:cs="ArialMT"/>
                <w:b/>
                <w:bCs/>
                <w:i/>
                <w:iCs/>
                <w:color w:val="000000"/>
                <w:sz w:val="16"/>
                <w:szCs w:val="20"/>
                <w:lang w:val="en-GB" w:eastAsia="en-GB"/>
              </w:rPr>
              <w:t>13.590</w:t>
            </w:r>
          </w:p>
        </w:tc>
        <w:tc>
          <w:tcPr>
            <w:tcW w:w="349" w:type="pct"/>
            <w:tcBorders>
              <w:top w:val="single" w:sz="4" w:space="0" w:color="000000"/>
              <w:left w:val="single" w:sz="4" w:space="0" w:color="000000"/>
              <w:bottom w:val="nil"/>
              <w:right w:val="nil"/>
            </w:tcBorders>
            <w:shd w:val="clear" w:color="auto" w:fill="9BBB59" w:themeFill="accent3"/>
            <w:noWrap/>
            <w:vAlign w:val="center"/>
            <w:hideMark/>
          </w:tcPr>
          <w:p w:rsidR="00C71FCE" w:rsidRPr="000116D2" w:rsidRDefault="00C71FCE" w:rsidP="00DE703C">
            <w:pPr>
              <w:spacing w:line="240" w:lineRule="auto"/>
              <w:rPr>
                <w:rFonts w:ascii="Arial Narrow" w:hAnsi="Arial Narrow" w:cs="ArialMT"/>
                <w:b/>
                <w:bCs/>
                <w:i/>
                <w:iCs/>
                <w:color w:val="000000"/>
                <w:sz w:val="16"/>
                <w:szCs w:val="20"/>
                <w:lang w:val="en-GB" w:eastAsia="en-GB"/>
              </w:rPr>
            </w:pPr>
            <w:r w:rsidRPr="000116D2">
              <w:rPr>
                <w:rFonts w:ascii="Arial Narrow" w:hAnsi="Arial Narrow" w:cs="ArialMT"/>
                <w:b/>
                <w:bCs/>
                <w:i/>
                <w:iCs/>
                <w:color w:val="000000"/>
                <w:sz w:val="16"/>
                <w:szCs w:val="20"/>
                <w:lang w:val="en-GB" w:eastAsia="en-GB"/>
              </w:rPr>
              <w:t>16.783</w:t>
            </w:r>
          </w:p>
        </w:tc>
        <w:tc>
          <w:tcPr>
            <w:tcW w:w="349" w:type="pct"/>
            <w:tcBorders>
              <w:top w:val="single" w:sz="4" w:space="0" w:color="000000"/>
              <w:left w:val="single" w:sz="4" w:space="0" w:color="000000"/>
              <w:bottom w:val="nil"/>
              <w:right w:val="nil"/>
            </w:tcBorders>
            <w:shd w:val="clear" w:color="auto" w:fill="9BBB59" w:themeFill="accent3"/>
            <w:noWrap/>
            <w:vAlign w:val="center"/>
            <w:hideMark/>
          </w:tcPr>
          <w:p w:rsidR="00C71FCE" w:rsidRPr="000116D2" w:rsidRDefault="00C71FCE" w:rsidP="00DE703C">
            <w:pPr>
              <w:spacing w:line="240" w:lineRule="auto"/>
              <w:rPr>
                <w:rFonts w:ascii="Arial Narrow" w:hAnsi="Arial Narrow" w:cs="ArialMT"/>
                <w:b/>
                <w:bCs/>
                <w:i/>
                <w:iCs/>
                <w:color w:val="000000"/>
                <w:sz w:val="16"/>
                <w:szCs w:val="20"/>
                <w:lang w:val="en-GB" w:eastAsia="en-GB"/>
              </w:rPr>
            </w:pPr>
            <w:r w:rsidRPr="000116D2">
              <w:rPr>
                <w:rFonts w:ascii="Arial Narrow" w:hAnsi="Arial Narrow" w:cs="ArialMT"/>
                <w:b/>
                <w:bCs/>
                <w:i/>
                <w:iCs/>
                <w:color w:val="000000"/>
                <w:sz w:val="16"/>
                <w:szCs w:val="20"/>
                <w:lang w:val="en-GB" w:eastAsia="en-GB"/>
              </w:rPr>
              <w:t>15.280</w:t>
            </w:r>
          </w:p>
        </w:tc>
        <w:tc>
          <w:tcPr>
            <w:tcW w:w="350" w:type="pct"/>
            <w:tcBorders>
              <w:top w:val="single" w:sz="4" w:space="0" w:color="000000"/>
              <w:left w:val="single" w:sz="4" w:space="0" w:color="000000"/>
              <w:bottom w:val="nil"/>
              <w:right w:val="nil"/>
            </w:tcBorders>
            <w:shd w:val="clear" w:color="auto" w:fill="9BBB59" w:themeFill="accent3"/>
            <w:noWrap/>
            <w:vAlign w:val="center"/>
            <w:hideMark/>
          </w:tcPr>
          <w:p w:rsidR="00C71FCE" w:rsidRPr="000116D2" w:rsidRDefault="00C71FCE" w:rsidP="00DE703C">
            <w:pPr>
              <w:spacing w:line="240" w:lineRule="auto"/>
              <w:rPr>
                <w:rFonts w:ascii="Arial Narrow" w:hAnsi="Arial Narrow" w:cs="ArialMT"/>
                <w:b/>
                <w:bCs/>
                <w:i/>
                <w:iCs/>
                <w:color w:val="000000"/>
                <w:sz w:val="16"/>
                <w:szCs w:val="20"/>
                <w:lang w:val="en-GB" w:eastAsia="en-GB"/>
              </w:rPr>
            </w:pPr>
            <w:r w:rsidRPr="000116D2">
              <w:rPr>
                <w:rFonts w:ascii="Arial Narrow" w:hAnsi="Arial Narrow" w:cs="ArialMT"/>
                <w:b/>
                <w:bCs/>
                <w:i/>
                <w:iCs/>
                <w:color w:val="000000"/>
                <w:sz w:val="16"/>
                <w:szCs w:val="20"/>
                <w:lang w:val="en-GB" w:eastAsia="en-GB"/>
              </w:rPr>
              <w:t>11.393</w:t>
            </w:r>
          </w:p>
        </w:tc>
        <w:tc>
          <w:tcPr>
            <w:tcW w:w="349" w:type="pct"/>
            <w:tcBorders>
              <w:top w:val="single" w:sz="4" w:space="0" w:color="000000"/>
              <w:left w:val="single" w:sz="4" w:space="0" w:color="000000"/>
              <w:bottom w:val="nil"/>
              <w:right w:val="nil"/>
            </w:tcBorders>
            <w:shd w:val="clear" w:color="auto" w:fill="9BBB59" w:themeFill="accent3"/>
            <w:noWrap/>
            <w:vAlign w:val="center"/>
            <w:hideMark/>
          </w:tcPr>
          <w:p w:rsidR="00C71FCE" w:rsidRPr="000116D2" w:rsidRDefault="00C71FCE" w:rsidP="00DE703C">
            <w:pPr>
              <w:spacing w:line="240" w:lineRule="auto"/>
              <w:rPr>
                <w:rFonts w:ascii="Arial Narrow" w:hAnsi="Arial Narrow" w:cs="ArialMT"/>
                <w:b/>
                <w:bCs/>
                <w:i/>
                <w:iCs/>
                <w:color w:val="000000"/>
                <w:sz w:val="16"/>
                <w:szCs w:val="20"/>
                <w:lang w:val="en-GB" w:eastAsia="en-GB"/>
              </w:rPr>
            </w:pPr>
            <w:r w:rsidRPr="000116D2">
              <w:rPr>
                <w:rFonts w:ascii="Arial Narrow" w:hAnsi="Arial Narrow" w:cs="ArialMT"/>
                <w:b/>
                <w:bCs/>
                <w:i/>
                <w:iCs/>
                <w:color w:val="000000"/>
                <w:sz w:val="16"/>
                <w:szCs w:val="20"/>
                <w:lang w:val="en-GB" w:eastAsia="en-GB"/>
              </w:rPr>
              <w:t>13.200</w:t>
            </w:r>
          </w:p>
        </w:tc>
        <w:tc>
          <w:tcPr>
            <w:tcW w:w="349" w:type="pct"/>
            <w:tcBorders>
              <w:top w:val="single" w:sz="4" w:space="0" w:color="000000"/>
              <w:left w:val="single" w:sz="4" w:space="0" w:color="000000"/>
              <w:bottom w:val="nil"/>
              <w:right w:val="nil"/>
            </w:tcBorders>
            <w:shd w:val="clear" w:color="auto" w:fill="9BBB59" w:themeFill="accent3"/>
            <w:noWrap/>
            <w:vAlign w:val="center"/>
            <w:hideMark/>
          </w:tcPr>
          <w:p w:rsidR="00C71FCE" w:rsidRPr="000116D2" w:rsidRDefault="00C71FCE" w:rsidP="00DE703C">
            <w:pPr>
              <w:spacing w:line="240" w:lineRule="auto"/>
              <w:rPr>
                <w:rFonts w:ascii="Arial Narrow" w:hAnsi="Arial Narrow" w:cs="ArialMT"/>
                <w:b/>
                <w:bCs/>
                <w:i/>
                <w:iCs/>
                <w:color w:val="000000"/>
                <w:sz w:val="16"/>
                <w:szCs w:val="20"/>
                <w:lang w:val="en-GB" w:eastAsia="en-GB"/>
              </w:rPr>
            </w:pPr>
            <w:r w:rsidRPr="000116D2">
              <w:rPr>
                <w:rFonts w:ascii="Arial Narrow" w:hAnsi="Arial Narrow" w:cs="ArialMT"/>
                <w:b/>
                <w:bCs/>
                <w:i/>
                <w:iCs/>
                <w:color w:val="000000"/>
                <w:sz w:val="16"/>
                <w:szCs w:val="20"/>
                <w:lang w:val="en-GB" w:eastAsia="en-GB"/>
              </w:rPr>
              <w:t>13.258</w:t>
            </w:r>
          </w:p>
        </w:tc>
        <w:tc>
          <w:tcPr>
            <w:tcW w:w="350" w:type="pct"/>
            <w:tcBorders>
              <w:top w:val="single" w:sz="4" w:space="0" w:color="000000"/>
              <w:left w:val="single" w:sz="4" w:space="0" w:color="000000"/>
              <w:bottom w:val="nil"/>
              <w:right w:val="nil"/>
            </w:tcBorders>
            <w:shd w:val="clear" w:color="auto" w:fill="9BBB59" w:themeFill="accent3"/>
            <w:noWrap/>
            <w:vAlign w:val="center"/>
            <w:hideMark/>
          </w:tcPr>
          <w:p w:rsidR="00C71FCE" w:rsidRPr="000116D2" w:rsidRDefault="00C71FCE" w:rsidP="00DE703C">
            <w:pPr>
              <w:spacing w:line="240" w:lineRule="auto"/>
              <w:rPr>
                <w:rFonts w:ascii="Arial Narrow" w:hAnsi="Arial Narrow" w:cs="ArialMT"/>
                <w:b/>
                <w:bCs/>
                <w:i/>
                <w:iCs/>
                <w:color w:val="000000"/>
                <w:sz w:val="16"/>
                <w:szCs w:val="20"/>
                <w:lang w:val="en-GB" w:eastAsia="en-GB"/>
              </w:rPr>
            </w:pPr>
            <w:r w:rsidRPr="000116D2">
              <w:rPr>
                <w:rFonts w:ascii="Arial Narrow" w:hAnsi="Arial Narrow" w:cs="ArialMT"/>
                <w:b/>
                <w:bCs/>
                <w:i/>
                <w:iCs/>
                <w:color w:val="000000"/>
                <w:sz w:val="16"/>
                <w:szCs w:val="20"/>
                <w:lang w:val="en-GB" w:eastAsia="en-GB"/>
              </w:rPr>
              <w:t>10.218</w:t>
            </w:r>
          </w:p>
        </w:tc>
        <w:tc>
          <w:tcPr>
            <w:tcW w:w="349" w:type="pct"/>
            <w:tcBorders>
              <w:top w:val="single" w:sz="4" w:space="0" w:color="000000"/>
              <w:left w:val="single" w:sz="4" w:space="0" w:color="000000"/>
              <w:bottom w:val="nil"/>
              <w:right w:val="nil"/>
            </w:tcBorders>
            <w:shd w:val="clear" w:color="auto" w:fill="9BBB59" w:themeFill="accent3"/>
            <w:noWrap/>
            <w:vAlign w:val="center"/>
            <w:hideMark/>
          </w:tcPr>
          <w:p w:rsidR="00C71FCE" w:rsidRPr="000116D2" w:rsidRDefault="00C71FCE" w:rsidP="00DE703C">
            <w:pPr>
              <w:spacing w:line="240" w:lineRule="auto"/>
              <w:rPr>
                <w:rFonts w:ascii="Arial Narrow" w:hAnsi="Arial Narrow" w:cs="ArialMT"/>
                <w:b/>
                <w:bCs/>
                <w:i/>
                <w:iCs/>
                <w:color w:val="000000"/>
                <w:sz w:val="16"/>
                <w:szCs w:val="20"/>
                <w:lang w:val="en-GB" w:eastAsia="en-GB"/>
              </w:rPr>
            </w:pPr>
            <w:r w:rsidRPr="000116D2">
              <w:rPr>
                <w:rFonts w:ascii="Arial Narrow" w:hAnsi="Arial Narrow" w:cs="ArialMT"/>
                <w:b/>
                <w:bCs/>
                <w:i/>
                <w:iCs/>
                <w:color w:val="000000"/>
                <w:sz w:val="16"/>
                <w:szCs w:val="20"/>
                <w:lang w:val="en-GB" w:eastAsia="en-GB"/>
              </w:rPr>
              <w:t>12.498</w:t>
            </w:r>
          </w:p>
        </w:tc>
        <w:tc>
          <w:tcPr>
            <w:tcW w:w="349" w:type="pct"/>
            <w:tcBorders>
              <w:top w:val="single" w:sz="4" w:space="0" w:color="000000"/>
              <w:left w:val="single" w:sz="4" w:space="0" w:color="000000"/>
              <w:bottom w:val="nil"/>
              <w:right w:val="nil"/>
            </w:tcBorders>
            <w:shd w:val="clear" w:color="auto" w:fill="9BBB59" w:themeFill="accent3"/>
            <w:noWrap/>
            <w:vAlign w:val="center"/>
            <w:hideMark/>
          </w:tcPr>
          <w:p w:rsidR="00C71FCE" w:rsidRPr="000116D2" w:rsidRDefault="00C71FCE" w:rsidP="00DE703C">
            <w:pPr>
              <w:spacing w:line="240" w:lineRule="auto"/>
              <w:rPr>
                <w:rFonts w:ascii="Arial Narrow" w:hAnsi="Arial Narrow" w:cs="ArialMT"/>
                <w:b/>
                <w:bCs/>
                <w:i/>
                <w:iCs/>
                <w:color w:val="000000"/>
                <w:sz w:val="16"/>
                <w:szCs w:val="20"/>
                <w:lang w:val="en-GB" w:eastAsia="en-GB"/>
              </w:rPr>
            </w:pPr>
            <w:r w:rsidRPr="000116D2">
              <w:rPr>
                <w:rFonts w:ascii="Arial Narrow" w:hAnsi="Arial Narrow" w:cs="ArialMT"/>
                <w:b/>
                <w:bCs/>
                <w:i/>
                <w:iCs/>
                <w:color w:val="000000"/>
                <w:sz w:val="16"/>
                <w:szCs w:val="20"/>
                <w:lang w:val="en-GB" w:eastAsia="en-GB"/>
              </w:rPr>
              <w:t>20.816</w:t>
            </w:r>
          </w:p>
        </w:tc>
        <w:tc>
          <w:tcPr>
            <w:tcW w:w="350" w:type="pct"/>
            <w:tcBorders>
              <w:top w:val="single" w:sz="4" w:space="0" w:color="000000"/>
              <w:left w:val="single" w:sz="4" w:space="0" w:color="000000"/>
              <w:bottom w:val="nil"/>
              <w:right w:val="single" w:sz="4" w:space="0" w:color="000000"/>
            </w:tcBorders>
            <w:shd w:val="clear" w:color="auto" w:fill="9BBB59" w:themeFill="accent3"/>
            <w:noWrap/>
            <w:vAlign w:val="center"/>
            <w:hideMark/>
          </w:tcPr>
          <w:p w:rsidR="00C71FCE" w:rsidRPr="000116D2" w:rsidRDefault="00C71FCE" w:rsidP="00DE703C">
            <w:pPr>
              <w:spacing w:line="240" w:lineRule="auto"/>
              <w:rPr>
                <w:rFonts w:ascii="Arial Narrow" w:hAnsi="Arial Narrow" w:cs="ArialMT"/>
                <w:b/>
                <w:bCs/>
                <w:i/>
                <w:iCs/>
                <w:color w:val="000000"/>
                <w:sz w:val="16"/>
                <w:szCs w:val="20"/>
                <w:lang w:val="en-GB" w:eastAsia="en-GB"/>
              </w:rPr>
            </w:pPr>
            <w:r w:rsidRPr="000116D2">
              <w:rPr>
                <w:rFonts w:ascii="Arial Narrow" w:hAnsi="Arial Narrow" w:cs="ArialMT"/>
                <w:b/>
                <w:bCs/>
                <w:i/>
                <w:iCs/>
                <w:color w:val="000000"/>
                <w:sz w:val="16"/>
                <w:szCs w:val="20"/>
                <w:lang w:val="en-GB" w:eastAsia="en-GB"/>
              </w:rPr>
              <w:t>12.718</w:t>
            </w:r>
          </w:p>
        </w:tc>
      </w:tr>
      <w:tr w:rsidR="00C71FCE" w:rsidRPr="003E54C1" w:rsidTr="009C59DA">
        <w:trPr>
          <w:trHeight w:hRule="exact" w:val="340"/>
        </w:trPr>
        <w:tc>
          <w:tcPr>
            <w:tcW w:w="808" w:type="pct"/>
            <w:tcBorders>
              <w:top w:val="single" w:sz="4" w:space="0" w:color="000000"/>
              <w:left w:val="single" w:sz="4" w:space="0" w:color="000000"/>
              <w:bottom w:val="nil"/>
              <w:right w:val="nil"/>
            </w:tcBorders>
            <w:shd w:val="clear" w:color="auto" w:fill="9BBB59" w:themeFill="accent3"/>
            <w:vAlign w:val="center"/>
            <w:hideMark/>
          </w:tcPr>
          <w:p w:rsidR="00C71FCE" w:rsidRPr="000116D2" w:rsidRDefault="00C71FCE" w:rsidP="00DE703C">
            <w:pPr>
              <w:spacing w:line="240" w:lineRule="auto"/>
              <w:rPr>
                <w:rFonts w:ascii="Arial Narrow" w:hAnsi="Arial Narrow" w:cs="ArialMT"/>
                <w:b/>
                <w:bCs/>
                <w:i/>
                <w:iCs/>
                <w:color w:val="000000"/>
                <w:sz w:val="16"/>
                <w:szCs w:val="20"/>
                <w:lang w:val="en-GB" w:eastAsia="en-GB"/>
              </w:rPr>
            </w:pPr>
            <w:r w:rsidRPr="000116D2">
              <w:rPr>
                <w:rFonts w:ascii="Arial Narrow" w:hAnsi="Arial Narrow" w:cs="ArialMT"/>
                <w:b/>
                <w:bCs/>
                <w:i/>
                <w:iCs/>
                <w:color w:val="000000"/>
                <w:sz w:val="16"/>
                <w:szCs w:val="20"/>
                <w:lang w:val="en-GB" w:eastAsia="en-GB"/>
              </w:rPr>
              <w:t>4. PROMOCIJSKI PROGRAM</w:t>
            </w:r>
          </w:p>
        </w:tc>
        <w:tc>
          <w:tcPr>
            <w:tcW w:w="349" w:type="pct"/>
            <w:tcBorders>
              <w:top w:val="single" w:sz="4" w:space="0" w:color="000000"/>
              <w:left w:val="single" w:sz="4" w:space="0" w:color="000000"/>
              <w:bottom w:val="nil"/>
              <w:right w:val="nil"/>
            </w:tcBorders>
            <w:shd w:val="clear" w:color="auto" w:fill="9BBB59" w:themeFill="accent3"/>
            <w:noWrap/>
            <w:vAlign w:val="center"/>
            <w:hideMark/>
          </w:tcPr>
          <w:p w:rsidR="00C71FCE" w:rsidRPr="000116D2" w:rsidRDefault="00C71FCE" w:rsidP="00DE703C">
            <w:pPr>
              <w:spacing w:line="240" w:lineRule="auto"/>
              <w:rPr>
                <w:rFonts w:ascii="Arial Narrow" w:hAnsi="Arial Narrow" w:cs="ArialMT"/>
                <w:b/>
                <w:bCs/>
                <w:i/>
                <w:iCs/>
                <w:color w:val="000000"/>
                <w:sz w:val="16"/>
                <w:szCs w:val="20"/>
                <w:lang w:val="en-GB" w:eastAsia="en-GB"/>
              </w:rPr>
            </w:pPr>
            <w:r w:rsidRPr="000116D2">
              <w:rPr>
                <w:rFonts w:ascii="Arial Narrow" w:hAnsi="Arial Narrow" w:cs="ArialMT"/>
                <w:b/>
                <w:bCs/>
                <w:i/>
                <w:iCs/>
                <w:color w:val="000000"/>
                <w:sz w:val="16"/>
                <w:szCs w:val="20"/>
                <w:lang w:val="en-GB" w:eastAsia="en-GB"/>
              </w:rPr>
              <w:t>3.497</w:t>
            </w:r>
          </w:p>
        </w:tc>
        <w:tc>
          <w:tcPr>
            <w:tcW w:w="349" w:type="pct"/>
            <w:tcBorders>
              <w:top w:val="single" w:sz="4" w:space="0" w:color="000000"/>
              <w:left w:val="single" w:sz="4" w:space="0" w:color="000000"/>
              <w:bottom w:val="nil"/>
              <w:right w:val="nil"/>
            </w:tcBorders>
            <w:shd w:val="clear" w:color="auto" w:fill="9BBB59" w:themeFill="accent3"/>
            <w:noWrap/>
            <w:vAlign w:val="center"/>
            <w:hideMark/>
          </w:tcPr>
          <w:p w:rsidR="00C71FCE" w:rsidRPr="000116D2" w:rsidRDefault="00C71FCE" w:rsidP="00DE703C">
            <w:pPr>
              <w:spacing w:line="240" w:lineRule="auto"/>
              <w:rPr>
                <w:rFonts w:ascii="Arial Narrow" w:hAnsi="Arial Narrow" w:cs="ArialMT"/>
                <w:b/>
                <w:bCs/>
                <w:i/>
                <w:iCs/>
                <w:color w:val="000000"/>
                <w:sz w:val="16"/>
                <w:szCs w:val="20"/>
                <w:lang w:val="en-GB" w:eastAsia="en-GB"/>
              </w:rPr>
            </w:pPr>
            <w:r w:rsidRPr="000116D2">
              <w:rPr>
                <w:rFonts w:ascii="Arial Narrow" w:hAnsi="Arial Narrow" w:cs="ArialMT"/>
                <w:b/>
                <w:bCs/>
                <w:i/>
                <w:iCs/>
                <w:color w:val="000000"/>
                <w:sz w:val="16"/>
                <w:szCs w:val="20"/>
                <w:lang w:val="en-GB" w:eastAsia="en-GB"/>
              </w:rPr>
              <w:t>4.081</w:t>
            </w:r>
          </w:p>
        </w:tc>
        <w:tc>
          <w:tcPr>
            <w:tcW w:w="350" w:type="pct"/>
            <w:tcBorders>
              <w:top w:val="single" w:sz="4" w:space="0" w:color="000000"/>
              <w:left w:val="single" w:sz="4" w:space="0" w:color="000000"/>
              <w:bottom w:val="nil"/>
              <w:right w:val="nil"/>
            </w:tcBorders>
            <w:shd w:val="clear" w:color="auto" w:fill="9BBB59" w:themeFill="accent3"/>
            <w:noWrap/>
            <w:vAlign w:val="center"/>
            <w:hideMark/>
          </w:tcPr>
          <w:p w:rsidR="00C71FCE" w:rsidRPr="000116D2" w:rsidRDefault="00C71FCE" w:rsidP="00DE703C">
            <w:pPr>
              <w:spacing w:line="240" w:lineRule="auto"/>
              <w:rPr>
                <w:rFonts w:ascii="Arial Narrow" w:hAnsi="Arial Narrow" w:cs="ArialMT"/>
                <w:b/>
                <w:bCs/>
                <w:i/>
                <w:iCs/>
                <w:color w:val="000000"/>
                <w:sz w:val="16"/>
                <w:szCs w:val="20"/>
                <w:lang w:val="en-GB" w:eastAsia="en-GB"/>
              </w:rPr>
            </w:pPr>
            <w:r w:rsidRPr="000116D2">
              <w:rPr>
                <w:rFonts w:ascii="Arial Narrow" w:hAnsi="Arial Narrow" w:cs="ArialMT"/>
                <w:b/>
                <w:bCs/>
                <w:i/>
                <w:iCs/>
                <w:color w:val="000000"/>
                <w:sz w:val="16"/>
                <w:szCs w:val="20"/>
                <w:lang w:val="en-GB" w:eastAsia="en-GB"/>
              </w:rPr>
              <w:t>3.326</w:t>
            </w:r>
          </w:p>
        </w:tc>
        <w:tc>
          <w:tcPr>
            <w:tcW w:w="349" w:type="pct"/>
            <w:tcBorders>
              <w:top w:val="single" w:sz="4" w:space="0" w:color="000000"/>
              <w:left w:val="single" w:sz="4" w:space="0" w:color="000000"/>
              <w:bottom w:val="nil"/>
              <w:right w:val="nil"/>
            </w:tcBorders>
            <w:shd w:val="clear" w:color="auto" w:fill="9BBB59" w:themeFill="accent3"/>
            <w:noWrap/>
            <w:vAlign w:val="center"/>
            <w:hideMark/>
          </w:tcPr>
          <w:p w:rsidR="00C71FCE" w:rsidRPr="000116D2" w:rsidRDefault="00C71FCE" w:rsidP="00DE703C">
            <w:pPr>
              <w:spacing w:line="240" w:lineRule="auto"/>
              <w:rPr>
                <w:rFonts w:ascii="Arial Narrow" w:hAnsi="Arial Narrow" w:cs="ArialMT"/>
                <w:b/>
                <w:bCs/>
                <w:i/>
                <w:iCs/>
                <w:color w:val="000000"/>
                <w:sz w:val="16"/>
                <w:szCs w:val="20"/>
                <w:lang w:val="en-GB" w:eastAsia="en-GB"/>
              </w:rPr>
            </w:pPr>
            <w:r w:rsidRPr="000116D2">
              <w:rPr>
                <w:rFonts w:ascii="Arial Narrow" w:hAnsi="Arial Narrow" w:cs="ArialMT"/>
                <w:b/>
                <w:bCs/>
                <w:i/>
                <w:iCs/>
                <w:color w:val="000000"/>
                <w:sz w:val="16"/>
                <w:szCs w:val="20"/>
                <w:lang w:val="en-GB" w:eastAsia="en-GB"/>
              </w:rPr>
              <w:t>2.691</w:t>
            </w:r>
          </w:p>
        </w:tc>
        <w:tc>
          <w:tcPr>
            <w:tcW w:w="349" w:type="pct"/>
            <w:tcBorders>
              <w:top w:val="single" w:sz="4" w:space="0" w:color="000000"/>
              <w:left w:val="single" w:sz="4" w:space="0" w:color="000000"/>
              <w:bottom w:val="nil"/>
              <w:right w:val="nil"/>
            </w:tcBorders>
            <w:shd w:val="clear" w:color="auto" w:fill="9BBB59" w:themeFill="accent3"/>
            <w:noWrap/>
            <w:vAlign w:val="center"/>
            <w:hideMark/>
          </w:tcPr>
          <w:p w:rsidR="00C71FCE" w:rsidRPr="000116D2" w:rsidRDefault="00C71FCE" w:rsidP="00DE703C">
            <w:pPr>
              <w:spacing w:line="240" w:lineRule="auto"/>
              <w:rPr>
                <w:rFonts w:ascii="Arial Narrow" w:hAnsi="Arial Narrow" w:cs="ArialMT"/>
                <w:b/>
                <w:bCs/>
                <w:i/>
                <w:iCs/>
                <w:color w:val="000000"/>
                <w:sz w:val="16"/>
                <w:szCs w:val="20"/>
                <w:lang w:val="en-GB" w:eastAsia="en-GB"/>
              </w:rPr>
            </w:pPr>
            <w:r w:rsidRPr="000116D2">
              <w:rPr>
                <w:rFonts w:ascii="Arial Narrow" w:hAnsi="Arial Narrow" w:cs="ArialMT"/>
                <w:b/>
                <w:bCs/>
                <w:i/>
                <w:iCs/>
                <w:color w:val="000000"/>
                <w:sz w:val="16"/>
                <w:szCs w:val="20"/>
                <w:lang w:val="en-GB" w:eastAsia="en-GB"/>
              </w:rPr>
              <w:t>2.585</w:t>
            </w:r>
          </w:p>
        </w:tc>
        <w:tc>
          <w:tcPr>
            <w:tcW w:w="350" w:type="pct"/>
            <w:tcBorders>
              <w:top w:val="single" w:sz="4" w:space="0" w:color="000000"/>
              <w:left w:val="single" w:sz="4" w:space="0" w:color="000000"/>
              <w:bottom w:val="nil"/>
              <w:right w:val="nil"/>
            </w:tcBorders>
            <w:shd w:val="clear" w:color="auto" w:fill="9BBB59" w:themeFill="accent3"/>
            <w:noWrap/>
            <w:vAlign w:val="center"/>
            <w:hideMark/>
          </w:tcPr>
          <w:p w:rsidR="00C71FCE" w:rsidRPr="000116D2" w:rsidRDefault="00C71FCE" w:rsidP="00DE703C">
            <w:pPr>
              <w:spacing w:line="240" w:lineRule="auto"/>
              <w:rPr>
                <w:rFonts w:ascii="Arial Narrow" w:hAnsi="Arial Narrow" w:cs="ArialMT"/>
                <w:b/>
                <w:bCs/>
                <w:i/>
                <w:iCs/>
                <w:color w:val="000000"/>
                <w:sz w:val="16"/>
                <w:szCs w:val="20"/>
                <w:lang w:val="en-GB" w:eastAsia="en-GB"/>
              </w:rPr>
            </w:pPr>
            <w:r w:rsidRPr="000116D2">
              <w:rPr>
                <w:rFonts w:ascii="Arial Narrow" w:hAnsi="Arial Narrow" w:cs="ArialMT"/>
                <w:b/>
                <w:bCs/>
                <w:i/>
                <w:iCs/>
                <w:color w:val="000000"/>
                <w:sz w:val="16"/>
                <w:szCs w:val="20"/>
                <w:lang w:val="en-GB" w:eastAsia="en-GB"/>
              </w:rPr>
              <w:t>2.568</w:t>
            </w:r>
          </w:p>
        </w:tc>
        <w:tc>
          <w:tcPr>
            <w:tcW w:w="349" w:type="pct"/>
            <w:tcBorders>
              <w:top w:val="single" w:sz="4" w:space="0" w:color="000000"/>
              <w:left w:val="single" w:sz="4" w:space="0" w:color="000000"/>
              <w:bottom w:val="nil"/>
              <w:right w:val="nil"/>
            </w:tcBorders>
            <w:shd w:val="clear" w:color="auto" w:fill="9BBB59" w:themeFill="accent3"/>
            <w:noWrap/>
            <w:vAlign w:val="center"/>
            <w:hideMark/>
          </w:tcPr>
          <w:p w:rsidR="00C71FCE" w:rsidRPr="000116D2" w:rsidRDefault="00C71FCE" w:rsidP="00DE703C">
            <w:pPr>
              <w:spacing w:line="240" w:lineRule="auto"/>
              <w:rPr>
                <w:rFonts w:ascii="Arial Narrow" w:hAnsi="Arial Narrow" w:cs="ArialMT"/>
                <w:b/>
                <w:bCs/>
                <w:i/>
                <w:iCs/>
                <w:color w:val="000000"/>
                <w:sz w:val="16"/>
                <w:szCs w:val="20"/>
                <w:lang w:val="en-GB" w:eastAsia="en-GB"/>
              </w:rPr>
            </w:pPr>
            <w:r w:rsidRPr="000116D2">
              <w:rPr>
                <w:rFonts w:ascii="Arial Narrow" w:hAnsi="Arial Narrow" w:cs="ArialMT"/>
                <w:b/>
                <w:bCs/>
                <w:i/>
                <w:iCs/>
                <w:color w:val="000000"/>
                <w:sz w:val="16"/>
                <w:szCs w:val="20"/>
                <w:lang w:val="en-GB" w:eastAsia="en-GB"/>
              </w:rPr>
              <w:t>4.337</w:t>
            </w:r>
          </w:p>
        </w:tc>
        <w:tc>
          <w:tcPr>
            <w:tcW w:w="349" w:type="pct"/>
            <w:tcBorders>
              <w:top w:val="single" w:sz="4" w:space="0" w:color="000000"/>
              <w:left w:val="single" w:sz="4" w:space="0" w:color="000000"/>
              <w:bottom w:val="nil"/>
              <w:right w:val="nil"/>
            </w:tcBorders>
            <w:shd w:val="clear" w:color="auto" w:fill="9BBB59" w:themeFill="accent3"/>
            <w:noWrap/>
            <w:vAlign w:val="center"/>
            <w:hideMark/>
          </w:tcPr>
          <w:p w:rsidR="00C71FCE" w:rsidRPr="000116D2" w:rsidRDefault="00C71FCE" w:rsidP="00DE703C">
            <w:pPr>
              <w:spacing w:line="240" w:lineRule="auto"/>
              <w:rPr>
                <w:rFonts w:ascii="Arial Narrow" w:hAnsi="Arial Narrow" w:cs="ArialMT"/>
                <w:b/>
                <w:bCs/>
                <w:i/>
                <w:iCs/>
                <w:color w:val="000000"/>
                <w:sz w:val="16"/>
                <w:szCs w:val="20"/>
                <w:lang w:val="en-GB" w:eastAsia="en-GB"/>
              </w:rPr>
            </w:pPr>
            <w:r w:rsidRPr="000116D2">
              <w:rPr>
                <w:rFonts w:ascii="Arial Narrow" w:hAnsi="Arial Narrow" w:cs="ArialMT"/>
                <w:b/>
                <w:bCs/>
                <w:i/>
                <w:iCs/>
                <w:color w:val="000000"/>
                <w:sz w:val="16"/>
                <w:szCs w:val="20"/>
                <w:lang w:val="en-GB" w:eastAsia="en-GB"/>
              </w:rPr>
              <w:t>6.434</w:t>
            </w:r>
          </w:p>
        </w:tc>
        <w:tc>
          <w:tcPr>
            <w:tcW w:w="350" w:type="pct"/>
            <w:tcBorders>
              <w:top w:val="single" w:sz="4" w:space="0" w:color="000000"/>
              <w:left w:val="single" w:sz="4" w:space="0" w:color="000000"/>
              <w:bottom w:val="nil"/>
              <w:right w:val="nil"/>
            </w:tcBorders>
            <w:shd w:val="clear" w:color="auto" w:fill="9BBB59" w:themeFill="accent3"/>
            <w:noWrap/>
            <w:vAlign w:val="center"/>
            <w:hideMark/>
          </w:tcPr>
          <w:p w:rsidR="00C71FCE" w:rsidRPr="000116D2" w:rsidRDefault="00C71FCE" w:rsidP="00DE703C">
            <w:pPr>
              <w:spacing w:line="240" w:lineRule="auto"/>
              <w:rPr>
                <w:rFonts w:ascii="Arial Narrow" w:hAnsi="Arial Narrow" w:cs="ArialMT"/>
                <w:b/>
                <w:bCs/>
                <w:i/>
                <w:iCs/>
                <w:color w:val="000000"/>
                <w:sz w:val="16"/>
                <w:szCs w:val="20"/>
                <w:lang w:val="en-GB" w:eastAsia="en-GB"/>
              </w:rPr>
            </w:pPr>
            <w:r w:rsidRPr="000116D2">
              <w:rPr>
                <w:rFonts w:ascii="Arial Narrow" w:hAnsi="Arial Narrow" w:cs="ArialMT"/>
                <w:b/>
                <w:bCs/>
                <w:i/>
                <w:iCs/>
                <w:color w:val="000000"/>
                <w:sz w:val="16"/>
                <w:szCs w:val="20"/>
                <w:lang w:val="en-GB" w:eastAsia="en-GB"/>
              </w:rPr>
              <w:t>8.149</w:t>
            </w:r>
          </w:p>
        </w:tc>
        <w:tc>
          <w:tcPr>
            <w:tcW w:w="349" w:type="pct"/>
            <w:tcBorders>
              <w:top w:val="single" w:sz="4" w:space="0" w:color="000000"/>
              <w:left w:val="single" w:sz="4" w:space="0" w:color="000000"/>
              <w:bottom w:val="nil"/>
              <w:right w:val="nil"/>
            </w:tcBorders>
            <w:shd w:val="clear" w:color="auto" w:fill="9BBB59" w:themeFill="accent3"/>
            <w:noWrap/>
            <w:vAlign w:val="center"/>
            <w:hideMark/>
          </w:tcPr>
          <w:p w:rsidR="00C71FCE" w:rsidRPr="000116D2" w:rsidRDefault="00C71FCE" w:rsidP="00DE703C">
            <w:pPr>
              <w:spacing w:line="240" w:lineRule="auto"/>
              <w:rPr>
                <w:rFonts w:ascii="Arial Narrow" w:hAnsi="Arial Narrow" w:cs="ArialMT"/>
                <w:b/>
                <w:bCs/>
                <w:i/>
                <w:iCs/>
                <w:color w:val="000000"/>
                <w:sz w:val="16"/>
                <w:szCs w:val="20"/>
                <w:lang w:val="en-GB" w:eastAsia="en-GB"/>
              </w:rPr>
            </w:pPr>
            <w:r w:rsidRPr="000116D2">
              <w:rPr>
                <w:rFonts w:ascii="Arial Narrow" w:hAnsi="Arial Narrow" w:cs="ArialMT"/>
                <w:b/>
                <w:bCs/>
                <w:i/>
                <w:iCs/>
                <w:color w:val="000000"/>
                <w:sz w:val="16"/>
                <w:szCs w:val="20"/>
                <w:lang w:val="en-GB" w:eastAsia="en-GB"/>
              </w:rPr>
              <w:t>5.290</w:t>
            </w:r>
          </w:p>
        </w:tc>
        <w:tc>
          <w:tcPr>
            <w:tcW w:w="349" w:type="pct"/>
            <w:tcBorders>
              <w:top w:val="single" w:sz="4" w:space="0" w:color="000000"/>
              <w:left w:val="single" w:sz="4" w:space="0" w:color="000000"/>
              <w:bottom w:val="nil"/>
              <w:right w:val="nil"/>
            </w:tcBorders>
            <w:shd w:val="clear" w:color="auto" w:fill="9BBB59" w:themeFill="accent3"/>
            <w:noWrap/>
            <w:vAlign w:val="center"/>
            <w:hideMark/>
          </w:tcPr>
          <w:p w:rsidR="00C71FCE" w:rsidRPr="000116D2" w:rsidRDefault="00C71FCE" w:rsidP="00DE703C">
            <w:pPr>
              <w:spacing w:line="240" w:lineRule="auto"/>
              <w:rPr>
                <w:rFonts w:ascii="Arial Narrow" w:hAnsi="Arial Narrow" w:cs="ArialMT"/>
                <w:b/>
                <w:bCs/>
                <w:i/>
                <w:iCs/>
                <w:color w:val="000000"/>
                <w:sz w:val="16"/>
                <w:szCs w:val="20"/>
                <w:lang w:val="en-GB" w:eastAsia="en-GB"/>
              </w:rPr>
            </w:pPr>
            <w:r w:rsidRPr="000116D2">
              <w:rPr>
                <w:rFonts w:ascii="Arial Narrow" w:hAnsi="Arial Narrow" w:cs="ArialMT"/>
                <w:b/>
                <w:bCs/>
                <w:i/>
                <w:iCs/>
                <w:color w:val="000000"/>
                <w:sz w:val="16"/>
                <w:szCs w:val="20"/>
                <w:lang w:val="en-GB" w:eastAsia="en-GB"/>
              </w:rPr>
              <w:t>6.319</w:t>
            </w:r>
          </w:p>
        </w:tc>
        <w:tc>
          <w:tcPr>
            <w:tcW w:w="350" w:type="pct"/>
            <w:tcBorders>
              <w:top w:val="single" w:sz="4" w:space="0" w:color="000000"/>
              <w:left w:val="single" w:sz="4" w:space="0" w:color="000000"/>
              <w:bottom w:val="nil"/>
              <w:right w:val="single" w:sz="4" w:space="0" w:color="000000"/>
            </w:tcBorders>
            <w:shd w:val="clear" w:color="auto" w:fill="9BBB59" w:themeFill="accent3"/>
            <w:noWrap/>
            <w:vAlign w:val="center"/>
            <w:hideMark/>
          </w:tcPr>
          <w:p w:rsidR="00C71FCE" w:rsidRPr="000116D2" w:rsidRDefault="00C71FCE" w:rsidP="00DE703C">
            <w:pPr>
              <w:spacing w:line="240" w:lineRule="auto"/>
              <w:rPr>
                <w:rFonts w:ascii="Arial Narrow" w:hAnsi="Arial Narrow" w:cs="ArialMT"/>
                <w:b/>
                <w:bCs/>
                <w:i/>
                <w:iCs/>
                <w:color w:val="000000"/>
                <w:sz w:val="16"/>
                <w:szCs w:val="20"/>
                <w:lang w:val="en-GB" w:eastAsia="en-GB"/>
              </w:rPr>
            </w:pPr>
            <w:r w:rsidRPr="000116D2">
              <w:rPr>
                <w:rFonts w:ascii="Arial Narrow" w:hAnsi="Arial Narrow" w:cs="ArialMT"/>
                <w:b/>
                <w:bCs/>
                <w:i/>
                <w:iCs/>
                <w:color w:val="000000"/>
                <w:sz w:val="16"/>
                <w:szCs w:val="20"/>
                <w:lang w:val="en-GB" w:eastAsia="en-GB"/>
              </w:rPr>
              <w:t>6.662</w:t>
            </w:r>
          </w:p>
        </w:tc>
      </w:tr>
      <w:tr w:rsidR="00C71FCE" w:rsidRPr="003E54C1" w:rsidTr="009C59DA">
        <w:trPr>
          <w:trHeight w:hRule="exact" w:val="340"/>
        </w:trPr>
        <w:tc>
          <w:tcPr>
            <w:tcW w:w="808" w:type="pct"/>
            <w:tcBorders>
              <w:top w:val="single" w:sz="4" w:space="0" w:color="000000"/>
              <w:left w:val="single" w:sz="4" w:space="0" w:color="000000"/>
              <w:bottom w:val="single" w:sz="4" w:space="0" w:color="000000"/>
              <w:right w:val="nil"/>
            </w:tcBorders>
            <w:shd w:val="clear" w:color="auto" w:fill="9BBB59" w:themeFill="accent3"/>
            <w:vAlign w:val="center"/>
            <w:hideMark/>
          </w:tcPr>
          <w:p w:rsidR="00C71FCE" w:rsidRPr="000116D2" w:rsidRDefault="00C71FCE" w:rsidP="00DE703C">
            <w:pPr>
              <w:spacing w:line="240" w:lineRule="auto"/>
              <w:rPr>
                <w:rFonts w:ascii="Arial Narrow" w:hAnsi="Arial Narrow" w:cs="ArialMT"/>
                <w:b/>
                <w:bCs/>
                <w:i/>
                <w:iCs/>
                <w:color w:val="000000"/>
                <w:sz w:val="16"/>
                <w:szCs w:val="20"/>
                <w:lang w:val="en-GB" w:eastAsia="en-GB"/>
              </w:rPr>
            </w:pPr>
            <w:r w:rsidRPr="000116D2">
              <w:rPr>
                <w:rFonts w:ascii="Arial Narrow" w:hAnsi="Arial Narrow" w:cs="ArialMT"/>
                <w:b/>
                <w:bCs/>
                <w:i/>
                <w:iCs/>
                <w:color w:val="000000"/>
                <w:sz w:val="16"/>
                <w:szCs w:val="20"/>
                <w:lang w:val="en-GB" w:eastAsia="en-GB"/>
              </w:rPr>
              <w:t>5. VIDEOSTRANI IN TV PANORAMA</w:t>
            </w:r>
          </w:p>
        </w:tc>
        <w:tc>
          <w:tcPr>
            <w:tcW w:w="349" w:type="pct"/>
            <w:tcBorders>
              <w:top w:val="single" w:sz="4" w:space="0" w:color="000000"/>
              <w:left w:val="single" w:sz="4" w:space="0" w:color="000000"/>
              <w:bottom w:val="single" w:sz="4" w:space="0" w:color="000000"/>
              <w:right w:val="nil"/>
            </w:tcBorders>
            <w:shd w:val="clear" w:color="auto" w:fill="9BBB59" w:themeFill="accent3"/>
            <w:noWrap/>
            <w:vAlign w:val="center"/>
            <w:hideMark/>
          </w:tcPr>
          <w:p w:rsidR="00C71FCE" w:rsidRPr="000116D2" w:rsidRDefault="00C71FCE" w:rsidP="00DE703C">
            <w:pPr>
              <w:spacing w:line="240" w:lineRule="auto"/>
              <w:rPr>
                <w:rFonts w:ascii="Arial Narrow" w:hAnsi="Arial Narrow" w:cs="ArialMT"/>
                <w:b/>
                <w:bCs/>
                <w:i/>
                <w:iCs/>
                <w:color w:val="000000"/>
                <w:sz w:val="16"/>
                <w:szCs w:val="20"/>
                <w:lang w:val="en-GB" w:eastAsia="en-GB"/>
              </w:rPr>
            </w:pPr>
            <w:r w:rsidRPr="000116D2">
              <w:rPr>
                <w:rFonts w:ascii="Arial Narrow" w:hAnsi="Arial Narrow" w:cs="ArialMT"/>
                <w:b/>
                <w:bCs/>
                <w:i/>
                <w:iCs/>
                <w:color w:val="000000"/>
                <w:sz w:val="16"/>
                <w:szCs w:val="20"/>
                <w:lang w:val="en-GB" w:eastAsia="en-GB"/>
              </w:rPr>
              <w:t>123.455</w:t>
            </w:r>
          </w:p>
        </w:tc>
        <w:tc>
          <w:tcPr>
            <w:tcW w:w="349" w:type="pct"/>
            <w:tcBorders>
              <w:top w:val="single" w:sz="4" w:space="0" w:color="000000"/>
              <w:left w:val="single" w:sz="4" w:space="0" w:color="000000"/>
              <w:bottom w:val="single" w:sz="4" w:space="0" w:color="000000"/>
              <w:right w:val="nil"/>
            </w:tcBorders>
            <w:shd w:val="clear" w:color="auto" w:fill="9BBB59" w:themeFill="accent3"/>
            <w:noWrap/>
            <w:vAlign w:val="center"/>
            <w:hideMark/>
          </w:tcPr>
          <w:p w:rsidR="00C71FCE" w:rsidRPr="000116D2" w:rsidRDefault="00C71FCE" w:rsidP="00DE703C">
            <w:pPr>
              <w:spacing w:line="240" w:lineRule="auto"/>
              <w:rPr>
                <w:rFonts w:ascii="Arial Narrow" w:hAnsi="Arial Narrow" w:cs="ArialMT"/>
                <w:b/>
                <w:bCs/>
                <w:i/>
                <w:iCs/>
                <w:color w:val="000000"/>
                <w:sz w:val="16"/>
                <w:szCs w:val="20"/>
                <w:lang w:val="en-GB" w:eastAsia="en-GB"/>
              </w:rPr>
            </w:pPr>
            <w:r w:rsidRPr="000116D2">
              <w:rPr>
                <w:rFonts w:ascii="Arial Narrow" w:hAnsi="Arial Narrow" w:cs="ArialMT"/>
                <w:b/>
                <w:bCs/>
                <w:i/>
                <w:iCs/>
                <w:color w:val="000000"/>
                <w:sz w:val="16"/>
                <w:szCs w:val="20"/>
                <w:lang w:val="en-GB" w:eastAsia="en-GB"/>
              </w:rPr>
              <w:t>141.622</w:t>
            </w:r>
          </w:p>
        </w:tc>
        <w:tc>
          <w:tcPr>
            <w:tcW w:w="350" w:type="pct"/>
            <w:tcBorders>
              <w:top w:val="single" w:sz="4" w:space="0" w:color="000000"/>
              <w:left w:val="single" w:sz="4" w:space="0" w:color="000000"/>
              <w:bottom w:val="single" w:sz="4" w:space="0" w:color="000000"/>
              <w:right w:val="nil"/>
            </w:tcBorders>
            <w:shd w:val="clear" w:color="auto" w:fill="9BBB59" w:themeFill="accent3"/>
            <w:noWrap/>
            <w:vAlign w:val="center"/>
            <w:hideMark/>
          </w:tcPr>
          <w:p w:rsidR="00C71FCE" w:rsidRPr="000116D2" w:rsidRDefault="00C71FCE" w:rsidP="00DE703C">
            <w:pPr>
              <w:spacing w:line="240" w:lineRule="auto"/>
              <w:rPr>
                <w:rFonts w:ascii="Arial Narrow" w:hAnsi="Arial Narrow" w:cs="ArialMT"/>
                <w:b/>
                <w:bCs/>
                <w:i/>
                <w:iCs/>
                <w:color w:val="000000"/>
                <w:sz w:val="16"/>
                <w:szCs w:val="20"/>
                <w:lang w:val="en-GB" w:eastAsia="en-GB"/>
              </w:rPr>
            </w:pPr>
            <w:r w:rsidRPr="000116D2">
              <w:rPr>
                <w:rFonts w:ascii="Arial Narrow" w:hAnsi="Arial Narrow" w:cs="ArialMT"/>
                <w:b/>
                <w:bCs/>
                <w:i/>
                <w:iCs/>
                <w:color w:val="000000"/>
                <w:sz w:val="16"/>
                <w:szCs w:val="20"/>
                <w:lang w:val="en-GB" w:eastAsia="en-GB"/>
              </w:rPr>
              <w:t>140.154</w:t>
            </w:r>
          </w:p>
        </w:tc>
        <w:tc>
          <w:tcPr>
            <w:tcW w:w="349" w:type="pct"/>
            <w:tcBorders>
              <w:top w:val="single" w:sz="4" w:space="0" w:color="000000"/>
              <w:left w:val="single" w:sz="4" w:space="0" w:color="000000"/>
              <w:bottom w:val="single" w:sz="4" w:space="0" w:color="000000"/>
              <w:right w:val="nil"/>
            </w:tcBorders>
            <w:shd w:val="clear" w:color="auto" w:fill="9BBB59" w:themeFill="accent3"/>
            <w:noWrap/>
            <w:vAlign w:val="center"/>
            <w:hideMark/>
          </w:tcPr>
          <w:p w:rsidR="00C71FCE" w:rsidRPr="000116D2" w:rsidRDefault="00C71FCE" w:rsidP="00DE703C">
            <w:pPr>
              <w:spacing w:line="240" w:lineRule="auto"/>
              <w:rPr>
                <w:rFonts w:ascii="Arial Narrow" w:hAnsi="Arial Narrow" w:cs="ArialMT"/>
                <w:b/>
                <w:bCs/>
                <w:i/>
                <w:iCs/>
                <w:color w:val="000000"/>
                <w:sz w:val="16"/>
                <w:szCs w:val="20"/>
                <w:lang w:val="en-GB" w:eastAsia="en-GB"/>
              </w:rPr>
            </w:pPr>
            <w:r w:rsidRPr="000116D2">
              <w:rPr>
                <w:rFonts w:ascii="Arial Narrow" w:hAnsi="Arial Narrow" w:cs="ArialMT"/>
                <w:b/>
                <w:bCs/>
                <w:i/>
                <w:iCs/>
                <w:color w:val="000000"/>
                <w:sz w:val="16"/>
                <w:szCs w:val="20"/>
                <w:lang w:val="en-GB" w:eastAsia="en-GB"/>
              </w:rPr>
              <w:t>120.867</w:t>
            </w:r>
          </w:p>
        </w:tc>
        <w:tc>
          <w:tcPr>
            <w:tcW w:w="349" w:type="pct"/>
            <w:tcBorders>
              <w:top w:val="single" w:sz="4" w:space="0" w:color="000000"/>
              <w:left w:val="single" w:sz="4" w:space="0" w:color="000000"/>
              <w:bottom w:val="single" w:sz="4" w:space="0" w:color="000000"/>
              <w:right w:val="nil"/>
            </w:tcBorders>
            <w:shd w:val="clear" w:color="auto" w:fill="9BBB59" w:themeFill="accent3"/>
            <w:noWrap/>
            <w:vAlign w:val="center"/>
            <w:hideMark/>
          </w:tcPr>
          <w:p w:rsidR="00C71FCE" w:rsidRPr="000116D2" w:rsidRDefault="00C71FCE" w:rsidP="00DE703C">
            <w:pPr>
              <w:spacing w:line="240" w:lineRule="auto"/>
              <w:rPr>
                <w:rFonts w:ascii="Arial Narrow" w:hAnsi="Arial Narrow" w:cs="ArialMT"/>
                <w:b/>
                <w:bCs/>
                <w:i/>
                <w:iCs/>
                <w:color w:val="000000"/>
                <w:sz w:val="16"/>
                <w:szCs w:val="20"/>
                <w:lang w:val="en-GB" w:eastAsia="en-GB"/>
              </w:rPr>
            </w:pPr>
            <w:r w:rsidRPr="000116D2">
              <w:rPr>
                <w:rFonts w:ascii="Arial Narrow" w:hAnsi="Arial Narrow" w:cs="ArialMT"/>
                <w:b/>
                <w:bCs/>
                <w:i/>
                <w:iCs/>
                <w:color w:val="000000"/>
                <w:sz w:val="16"/>
                <w:szCs w:val="20"/>
                <w:lang w:val="en-GB" w:eastAsia="en-GB"/>
              </w:rPr>
              <w:t>124.712</w:t>
            </w:r>
          </w:p>
        </w:tc>
        <w:tc>
          <w:tcPr>
            <w:tcW w:w="350" w:type="pct"/>
            <w:tcBorders>
              <w:top w:val="single" w:sz="4" w:space="0" w:color="000000"/>
              <w:left w:val="single" w:sz="4" w:space="0" w:color="000000"/>
              <w:bottom w:val="single" w:sz="4" w:space="0" w:color="000000"/>
              <w:right w:val="nil"/>
            </w:tcBorders>
            <w:shd w:val="clear" w:color="auto" w:fill="9BBB59" w:themeFill="accent3"/>
            <w:noWrap/>
            <w:vAlign w:val="center"/>
            <w:hideMark/>
          </w:tcPr>
          <w:p w:rsidR="00C71FCE" w:rsidRPr="000116D2" w:rsidRDefault="00C71FCE" w:rsidP="00DE703C">
            <w:pPr>
              <w:spacing w:line="240" w:lineRule="auto"/>
              <w:rPr>
                <w:rFonts w:ascii="Arial Narrow" w:hAnsi="Arial Narrow" w:cs="ArialMT"/>
                <w:b/>
                <w:bCs/>
                <w:i/>
                <w:iCs/>
                <w:color w:val="000000"/>
                <w:sz w:val="16"/>
                <w:szCs w:val="20"/>
                <w:lang w:val="en-GB" w:eastAsia="en-GB"/>
              </w:rPr>
            </w:pPr>
            <w:r w:rsidRPr="000116D2">
              <w:rPr>
                <w:rFonts w:ascii="Arial Narrow" w:hAnsi="Arial Narrow" w:cs="ArialMT"/>
                <w:b/>
                <w:bCs/>
                <w:i/>
                <w:iCs/>
                <w:color w:val="000000"/>
                <w:sz w:val="16"/>
                <w:szCs w:val="20"/>
                <w:lang w:val="en-GB" w:eastAsia="en-GB"/>
              </w:rPr>
              <w:t>123.785</w:t>
            </w:r>
          </w:p>
        </w:tc>
        <w:tc>
          <w:tcPr>
            <w:tcW w:w="349" w:type="pct"/>
            <w:tcBorders>
              <w:top w:val="single" w:sz="4" w:space="0" w:color="000000"/>
              <w:left w:val="single" w:sz="4" w:space="0" w:color="000000"/>
              <w:bottom w:val="single" w:sz="4" w:space="0" w:color="000000"/>
              <w:right w:val="nil"/>
            </w:tcBorders>
            <w:shd w:val="clear" w:color="auto" w:fill="9BBB59" w:themeFill="accent3"/>
            <w:noWrap/>
            <w:vAlign w:val="center"/>
            <w:hideMark/>
          </w:tcPr>
          <w:p w:rsidR="00C71FCE" w:rsidRPr="000116D2" w:rsidRDefault="00C71FCE" w:rsidP="00DE703C">
            <w:pPr>
              <w:spacing w:line="240" w:lineRule="auto"/>
              <w:rPr>
                <w:rFonts w:ascii="Arial Narrow" w:hAnsi="Arial Narrow" w:cs="ArialMT"/>
                <w:b/>
                <w:bCs/>
                <w:i/>
                <w:iCs/>
                <w:color w:val="000000"/>
                <w:sz w:val="16"/>
                <w:szCs w:val="20"/>
                <w:lang w:val="en-GB" w:eastAsia="en-GB"/>
              </w:rPr>
            </w:pPr>
            <w:r w:rsidRPr="000116D2">
              <w:rPr>
                <w:rFonts w:ascii="Arial Narrow" w:hAnsi="Arial Narrow" w:cs="ArialMT"/>
                <w:b/>
                <w:bCs/>
                <w:i/>
                <w:iCs/>
                <w:color w:val="000000"/>
                <w:sz w:val="16"/>
                <w:szCs w:val="20"/>
                <w:lang w:val="en-GB" w:eastAsia="en-GB"/>
              </w:rPr>
              <w:t>144.681</w:t>
            </w:r>
          </w:p>
        </w:tc>
        <w:tc>
          <w:tcPr>
            <w:tcW w:w="349" w:type="pct"/>
            <w:tcBorders>
              <w:top w:val="single" w:sz="4" w:space="0" w:color="000000"/>
              <w:left w:val="single" w:sz="4" w:space="0" w:color="000000"/>
              <w:bottom w:val="single" w:sz="4" w:space="0" w:color="000000"/>
              <w:right w:val="nil"/>
            </w:tcBorders>
            <w:shd w:val="clear" w:color="auto" w:fill="9BBB59" w:themeFill="accent3"/>
            <w:noWrap/>
            <w:vAlign w:val="center"/>
            <w:hideMark/>
          </w:tcPr>
          <w:p w:rsidR="00C71FCE" w:rsidRPr="000116D2" w:rsidRDefault="00C71FCE" w:rsidP="00DE703C">
            <w:pPr>
              <w:spacing w:line="240" w:lineRule="auto"/>
              <w:rPr>
                <w:rFonts w:ascii="Arial Narrow" w:hAnsi="Arial Narrow" w:cs="ArialMT"/>
                <w:b/>
                <w:bCs/>
                <w:i/>
                <w:iCs/>
                <w:color w:val="000000"/>
                <w:sz w:val="16"/>
                <w:szCs w:val="20"/>
                <w:lang w:val="en-GB" w:eastAsia="en-GB"/>
              </w:rPr>
            </w:pPr>
            <w:r w:rsidRPr="000116D2">
              <w:rPr>
                <w:rFonts w:ascii="Arial Narrow" w:hAnsi="Arial Narrow" w:cs="ArialMT"/>
                <w:b/>
                <w:bCs/>
                <w:i/>
                <w:iCs/>
                <w:color w:val="000000"/>
                <w:sz w:val="16"/>
                <w:szCs w:val="20"/>
                <w:lang w:val="en-GB" w:eastAsia="en-GB"/>
              </w:rPr>
              <w:t>167.419</w:t>
            </w:r>
          </w:p>
        </w:tc>
        <w:tc>
          <w:tcPr>
            <w:tcW w:w="350" w:type="pct"/>
            <w:tcBorders>
              <w:top w:val="single" w:sz="4" w:space="0" w:color="000000"/>
              <w:left w:val="single" w:sz="4" w:space="0" w:color="000000"/>
              <w:bottom w:val="single" w:sz="4" w:space="0" w:color="000000"/>
              <w:right w:val="nil"/>
            </w:tcBorders>
            <w:shd w:val="clear" w:color="auto" w:fill="9BBB59" w:themeFill="accent3"/>
            <w:noWrap/>
            <w:vAlign w:val="center"/>
            <w:hideMark/>
          </w:tcPr>
          <w:p w:rsidR="00C71FCE" w:rsidRPr="000116D2" w:rsidRDefault="00C71FCE" w:rsidP="00DE703C">
            <w:pPr>
              <w:spacing w:line="240" w:lineRule="auto"/>
              <w:rPr>
                <w:rFonts w:ascii="Arial Narrow" w:hAnsi="Arial Narrow" w:cs="ArialMT"/>
                <w:b/>
                <w:bCs/>
                <w:i/>
                <w:iCs/>
                <w:color w:val="000000"/>
                <w:sz w:val="16"/>
                <w:szCs w:val="20"/>
                <w:lang w:val="en-GB" w:eastAsia="en-GB"/>
              </w:rPr>
            </w:pPr>
            <w:r w:rsidRPr="000116D2">
              <w:rPr>
                <w:rFonts w:ascii="Arial Narrow" w:hAnsi="Arial Narrow" w:cs="ArialMT"/>
                <w:b/>
                <w:bCs/>
                <w:i/>
                <w:iCs/>
                <w:color w:val="000000"/>
                <w:sz w:val="16"/>
                <w:szCs w:val="20"/>
                <w:lang w:val="en-GB" w:eastAsia="en-GB"/>
              </w:rPr>
              <w:t>133.607</w:t>
            </w:r>
          </w:p>
        </w:tc>
        <w:tc>
          <w:tcPr>
            <w:tcW w:w="349" w:type="pct"/>
            <w:tcBorders>
              <w:top w:val="single" w:sz="4" w:space="0" w:color="000000"/>
              <w:left w:val="single" w:sz="4" w:space="0" w:color="000000"/>
              <w:bottom w:val="single" w:sz="4" w:space="0" w:color="000000"/>
              <w:right w:val="nil"/>
            </w:tcBorders>
            <w:shd w:val="clear" w:color="auto" w:fill="9BBB59" w:themeFill="accent3"/>
            <w:noWrap/>
            <w:vAlign w:val="center"/>
            <w:hideMark/>
          </w:tcPr>
          <w:p w:rsidR="00C71FCE" w:rsidRPr="000116D2" w:rsidRDefault="00C71FCE" w:rsidP="00DE703C">
            <w:pPr>
              <w:spacing w:line="240" w:lineRule="auto"/>
              <w:rPr>
                <w:rFonts w:ascii="Arial Narrow" w:hAnsi="Arial Narrow" w:cs="ArialMT"/>
                <w:b/>
                <w:bCs/>
                <w:i/>
                <w:iCs/>
                <w:color w:val="000000"/>
                <w:sz w:val="16"/>
                <w:szCs w:val="20"/>
                <w:lang w:val="en-GB" w:eastAsia="en-GB"/>
              </w:rPr>
            </w:pPr>
            <w:r w:rsidRPr="000116D2">
              <w:rPr>
                <w:rFonts w:ascii="Arial Narrow" w:hAnsi="Arial Narrow" w:cs="ArialMT"/>
                <w:b/>
                <w:bCs/>
                <w:i/>
                <w:iCs/>
                <w:color w:val="000000"/>
                <w:sz w:val="16"/>
                <w:szCs w:val="20"/>
                <w:lang w:val="en-GB" w:eastAsia="en-GB"/>
              </w:rPr>
              <w:t>148.304</w:t>
            </w:r>
          </w:p>
        </w:tc>
        <w:tc>
          <w:tcPr>
            <w:tcW w:w="349" w:type="pct"/>
            <w:tcBorders>
              <w:top w:val="single" w:sz="4" w:space="0" w:color="000000"/>
              <w:left w:val="single" w:sz="4" w:space="0" w:color="000000"/>
              <w:bottom w:val="single" w:sz="4" w:space="0" w:color="000000"/>
              <w:right w:val="nil"/>
            </w:tcBorders>
            <w:shd w:val="clear" w:color="auto" w:fill="9BBB59" w:themeFill="accent3"/>
            <w:noWrap/>
            <w:vAlign w:val="center"/>
            <w:hideMark/>
          </w:tcPr>
          <w:p w:rsidR="00C71FCE" w:rsidRPr="000116D2" w:rsidRDefault="00C71FCE" w:rsidP="00DE703C">
            <w:pPr>
              <w:spacing w:line="240" w:lineRule="auto"/>
              <w:rPr>
                <w:rFonts w:ascii="Arial Narrow" w:hAnsi="Arial Narrow" w:cs="ArialMT"/>
                <w:b/>
                <w:bCs/>
                <w:i/>
                <w:iCs/>
                <w:color w:val="000000"/>
                <w:sz w:val="16"/>
                <w:szCs w:val="20"/>
                <w:lang w:val="en-GB" w:eastAsia="en-GB"/>
              </w:rPr>
            </w:pPr>
            <w:r w:rsidRPr="000116D2">
              <w:rPr>
                <w:rFonts w:ascii="Arial Narrow" w:hAnsi="Arial Narrow" w:cs="ArialMT"/>
                <w:b/>
                <w:bCs/>
                <w:i/>
                <w:iCs/>
                <w:color w:val="000000"/>
                <w:sz w:val="16"/>
                <w:szCs w:val="20"/>
                <w:lang w:val="en-GB" w:eastAsia="en-GB"/>
              </w:rPr>
              <w:t>131.526</w:t>
            </w:r>
          </w:p>
        </w:tc>
        <w:tc>
          <w:tcPr>
            <w:tcW w:w="350" w:type="pct"/>
            <w:tcBorders>
              <w:top w:val="single" w:sz="4" w:space="0" w:color="000000"/>
              <w:left w:val="single" w:sz="4" w:space="0" w:color="000000"/>
              <w:bottom w:val="single" w:sz="4" w:space="0" w:color="000000"/>
              <w:right w:val="single" w:sz="4" w:space="0" w:color="000000"/>
            </w:tcBorders>
            <w:shd w:val="clear" w:color="auto" w:fill="9BBB59" w:themeFill="accent3"/>
            <w:noWrap/>
            <w:vAlign w:val="center"/>
            <w:hideMark/>
          </w:tcPr>
          <w:p w:rsidR="00C71FCE" w:rsidRPr="000116D2" w:rsidRDefault="00C71FCE" w:rsidP="00DE703C">
            <w:pPr>
              <w:spacing w:line="240" w:lineRule="auto"/>
              <w:rPr>
                <w:rFonts w:ascii="Arial Narrow" w:hAnsi="Arial Narrow" w:cs="ArialMT"/>
                <w:b/>
                <w:bCs/>
                <w:i/>
                <w:iCs/>
                <w:color w:val="000000"/>
                <w:sz w:val="16"/>
                <w:szCs w:val="20"/>
                <w:lang w:val="en-GB" w:eastAsia="en-GB"/>
              </w:rPr>
            </w:pPr>
            <w:r w:rsidRPr="000116D2">
              <w:rPr>
                <w:rFonts w:ascii="Arial Narrow" w:hAnsi="Arial Narrow" w:cs="ArialMT"/>
                <w:b/>
                <w:bCs/>
                <w:i/>
                <w:iCs/>
                <w:color w:val="000000"/>
                <w:sz w:val="16"/>
                <w:szCs w:val="20"/>
                <w:lang w:val="en-GB" w:eastAsia="en-GB"/>
              </w:rPr>
              <w:t>124.587</w:t>
            </w:r>
          </w:p>
        </w:tc>
      </w:tr>
    </w:tbl>
    <w:p w:rsidR="00C71FCE" w:rsidRDefault="00C71FCE" w:rsidP="00DE703C">
      <w:pPr>
        <w:pStyle w:val="Podpispodtabeloaligrafom"/>
        <w:sectPr w:rsidR="00C71FCE" w:rsidSect="00DE703C">
          <w:pgSz w:w="16820" w:h="11900" w:orient="landscape"/>
          <w:pgMar w:top="1440" w:right="1440" w:bottom="1440" w:left="1440" w:header="708" w:footer="708" w:gutter="0"/>
          <w:cols w:space="708"/>
          <w:docGrid w:linePitch="360"/>
        </w:sectPr>
      </w:pPr>
      <w:r>
        <w:t>Vir: Statistični urad RS.</w:t>
      </w:r>
    </w:p>
    <w:p w:rsidR="004030A3" w:rsidRDefault="004030A3" w:rsidP="004030A3">
      <w:r>
        <w:lastRenderedPageBreak/>
        <w:t xml:space="preserve">Leta 2015 so televizije 60 % programskega časa namenile vsebinskemu delu programa, 40 % pa TV-prodaji, oglasom, promocijam in videostranem ter TV panorami. To razmerje je bilo v preteklosti drugačno, manj v prid prvemu in bolj drugemu (tabela 23). </w:t>
      </w:r>
    </w:p>
    <w:p w:rsidR="00C71FCE" w:rsidRDefault="00C71FCE" w:rsidP="00DE703C">
      <w:r>
        <w:t xml:space="preserve">V strukturi televizijskih zvrsti je bilo leta 2015 največ časa namenjenega glasbi (26 %) in igranemu (23 %) programu. Sledijo informativni program (12 %), šport (10 %), izobraževalni program (8 %), razvedrilni in dnevno-informativni (oba po 6 %) ter verski program (4,6 %). Na repu so </w:t>
      </w:r>
      <w:r w:rsidR="008E402E">
        <w:t xml:space="preserve">oddaje o </w:t>
      </w:r>
      <w:r>
        <w:t>umetnost</w:t>
      </w:r>
      <w:r w:rsidR="008E402E">
        <w:t>i in kulturi</w:t>
      </w:r>
      <w:r>
        <w:t xml:space="preserve"> (2 %), oddaje o znanosti (0,3 %), </w:t>
      </w:r>
      <w:proofErr w:type="spellStart"/>
      <w:r w:rsidR="008E402E">
        <w:t>oodaje</w:t>
      </w:r>
      <w:proofErr w:type="spellEnd"/>
      <w:r w:rsidR="008E402E">
        <w:t xml:space="preserve"> </w:t>
      </w:r>
      <w:r>
        <w:t>za Slovence po svetu in madžarsko ter italijansko narodno skupnost v Sloveniji (oboje po 0,1 %). Če primerjamo to strukturo z letom 2004, ugotovimo, da je največ časa pridobil verski program, ki se</w:t>
      </w:r>
      <w:r w:rsidR="001912D3">
        <w:t xml:space="preserve"> je povečal za petkrat (graf 20</w:t>
      </w:r>
      <w:r>
        <w:t>)</w:t>
      </w:r>
      <w:r w:rsidR="001912D3">
        <w:t>.</w:t>
      </w:r>
    </w:p>
    <w:p w:rsidR="00C71FCE" w:rsidRPr="00227C90" w:rsidRDefault="0018136B" w:rsidP="00EE1823">
      <w:pPr>
        <w:pStyle w:val="Naslovtabele"/>
      </w:pPr>
      <w:bookmarkStart w:id="242" w:name="_Toc490053378"/>
      <w:bookmarkStart w:id="243" w:name="_Toc490053749"/>
      <w:bookmarkStart w:id="244" w:name="_Toc490600021"/>
      <w:r>
        <w:t>Graf 20</w:t>
      </w:r>
      <w:r w:rsidR="00C71FCE" w:rsidRPr="00227C90">
        <w:t>: Struktura predvajanih televizijskih zvrsti (2004 in 2015)</w:t>
      </w:r>
      <w:bookmarkEnd w:id="242"/>
      <w:bookmarkEnd w:id="243"/>
      <w:bookmarkEnd w:id="244"/>
    </w:p>
    <w:p w:rsidR="00C71FCE" w:rsidRDefault="00C71FCE" w:rsidP="00DE703C">
      <w:r>
        <w:rPr>
          <w:noProof/>
          <w:lang w:eastAsia="sl-SI"/>
        </w:rPr>
        <w:drawing>
          <wp:inline distT="0" distB="0" distL="0" distR="0" wp14:anchorId="3C4931C2" wp14:editId="5F06B93D">
            <wp:extent cx="5641340" cy="4498340"/>
            <wp:effectExtent l="0" t="0" r="0" b="0"/>
            <wp:docPr id="32"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C71FCE" w:rsidRPr="00095E12" w:rsidRDefault="00C71FCE" w:rsidP="00DE703C">
      <w:pPr>
        <w:pStyle w:val="Podpispodtabeloaligrafom"/>
      </w:pPr>
      <w:r>
        <w:t>Vir: Statistični urad RS.</w:t>
      </w:r>
    </w:p>
    <w:p w:rsidR="00C71FCE" w:rsidRDefault="00C71FCE" w:rsidP="00DE703C">
      <w:pPr>
        <w:rPr>
          <w:b/>
        </w:rPr>
      </w:pPr>
    </w:p>
    <w:p w:rsidR="00786C2A" w:rsidRDefault="00786C2A">
      <w:pPr>
        <w:spacing w:after="0" w:line="240" w:lineRule="auto"/>
        <w:rPr>
          <w:i/>
          <w:color w:val="4F81BD" w:themeColor="accent1"/>
          <w:spacing w:val="15"/>
        </w:rPr>
      </w:pPr>
      <w:r>
        <w:br w:type="page"/>
      </w:r>
    </w:p>
    <w:p w:rsidR="00C71FCE" w:rsidRPr="00532183" w:rsidRDefault="00C71FCE" w:rsidP="00DE703C">
      <w:pPr>
        <w:pStyle w:val="Podnaslov2"/>
      </w:pPr>
      <w:bookmarkStart w:id="245" w:name="_Toc489859827"/>
      <w:bookmarkStart w:id="246" w:name="_Toc490047590"/>
      <w:bookmarkStart w:id="247" w:name="_Toc490599954"/>
      <w:bookmarkStart w:id="248" w:name="_Toc506192084"/>
      <w:r>
        <w:lastRenderedPageBreak/>
        <w:t>Kinematografi z dolgometražnimi filmi</w:t>
      </w:r>
      <w:bookmarkEnd w:id="245"/>
      <w:bookmarkEnd w:id="246"/>
      <w:bookmarkEnd w:id="247"/>
      <w:bookmarkEnd w:id="248"/>
    </w:p>
    <w:p w:rsidR="00E86A78" w:rsidRDefault="00C71FCE" w:rsidP="00DE703C">
      <w:r w:rsidRPr="00793690">
        <w:t>Tako število kinematografov kot gledalcev filmov v njih se zmanjšuje.</w:t>
      </w:r>
      <w:r>
        <w:t xml:space="preserve"> V obdobju 2004–2015 se je število kinematografov zmanjšalo za 10 %, število gledalcev pa kar za 30 %.</w:t>
      </w:r>
      <w:r w:rsidR="00E84A87">
        <w:t xml:space="preserve"> </w:t>
      </w:r>
    </w:p>
    <w:p w:rsidR="00C71FCE" w:rsidRDefault="00C71FCE" w:rsidP="00CD3F26">
      <w:pPr>
        <w:pStyle w:val="Naslovtabele"/>
      </w:pPr>
      <w:bookmarkStart w:id="249" w:name="_Toc490053379"/>
      <w:bookmarkStart w:id="250" w:name="_Toc490053750"/>
      <w:bookmarkStart w:id="251" w:name="_Toc490600022"/>
      <w:r>
        <w:t>Graf</w:t>
      </w:r>
      <w:r w:rsidR="004D2387">
        <w:t xml:space="preserve"> 21</w:t>
      </w:r>
      <w:r>
        <w:t>: Kinematografi z dolgometražnimi filmi in njihov obisk (2004–2015)</w:t>
      </w:r>
      <w:bookmarkEnd w:id="249"/>
      <w:bookmarkEnd w:id="250"/>
      <w:bookmarkEnd w:id="251"/>
    </w:p>
    <w:p w:rsidR="00C71FCE" w:rsidRPr="00793690" w:rsidRDefault="00C71FCE" w:rsidP="00DE703C">
      <w:r>
        <w:rPr>
          <w:noProof/>
          <w:lang w:eastAsia="sl-SI"/>
        </w:rPr>
        <w:drawing>
          <wp:inline distT="0" distB="0" distL="0" distR="0" wp14:anchorId="1FFD4A3B" wp14:editId="53157094">
            <wp:extent cx="5499735" cy="2070100"/>
            <wp:effectExtent l="0" t="0" r="12065" b="0"/>
            <wp:docPr id="33"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C71FCE" w:rsidRDefault="00C71FCE" w:rsidP="00DE703C">
      <w:pPr>
        <w:pStyle w:val="Podpispodtabeloaligrafom"/>
      </w:pPr>
      <w:r>
        <w:t>Vir: Statistični urad RS.</w:t>
      </w:r>
    </w:p>
    <w:p w:rsidR="005A3E01" w:rsidRDefault="00E86A78" w:rsidP="005A3E01">
      <w:pPr>
        <w:rPr>
          <w:rFonts w:cs="Arial"/>
          <w:szCs w:val="20"/>
        </w:rPr>
      </w:pPr>
      <w:r>
        <w:t xml:space="preserve">Poudariti kaže, da zmanjševanje obiska kinematografov ni kazalnik </w:t>
      </w:r>
      <w:r w:rsidR="00AE6E0F">
        <w:t xml:space="preserve">obsega </w:t>
      </w:r>
      <w:r>
        <w:t>filmske potrošnje, saj so kinem</w:t>
      </w:r>
      <w:r w:rsidR="003B12D1">
        <w:t>a</w:t>
      </w:r>
      <w:r>
        <w:t xml:space="preserve">tografi vsaj od osemdesetih let dvajsetega stoletja, tj. od razmaha domače uporabe videorekorderjev vse manj </w:t>
      </w:r>
      <w:r w:rsidR="007451ED">
        <w:t>ekskluzivni prostor</w:t>
      </w:r>
      <w:r>
        <w:t xml:space="preserve"> za ogled filma. Zlasti pa so se načini gledanja filmov </w:t>
      </w:r>
      <w:proofErr w:type="spellStart"/>
      <w:r>
        <w:t>diverzificirali</w:t>
      </w:r>
      <w:proofErr w:type="spellEnd"/>
      <w:r>
        <w:t xml:space="preserve"> in se odmaknili od fizičnega prostora kinematografov s širokopasovnim dostopom do interneta tudi na mobilnih napravah, z zniževanjem cen podatkovnega prenosa ter </w:t>
      </w:r>
      <w:r w:rsidR="007451ED">
        <w:t xml:space="preserve">z nastankom </w:t>
      </w:r>
      <w:r w:rsidRPr="007451ED">
        <w:t>spletni</w:t>
      </w:r>
      <w:r w:rsidR="007451ED" w:rsidRPr="007451ED">
        <w:t>h</w:t>
      </w:r>
      <w:r w:rsidRPr="007451ED">
        <w:t xml:space="preserve"> ponudnik</w:t>
      </w:r>
      <w:r w:rsidR="007451ED" w:rsidRPr="007451ED">
        <w:t>ov</w:t>
      </w:r>
      <w:r w:rsidRPr="007451ED">
        <w:t xml:space="preserve"> </w:t>
      </w:r>
      <w:proofErr w:type="spellStart"/>
      <w:r w:rsidR="000C0478">
        <w:t>video</w:t>
      </w:r>
      <w:r w:rsidR="003B12D1" w:rsidRPr="007451ED">
        <w:t>vsebin</w:t>
      </w:r>
      <w:proofErr w:type="spellEnd"/>
      <w:r w:rsidRPr="007451ED">
        <w:t xml:space="preserve"> (</w:t>
      </w:r>
      <w:proofErr w:type="spellStart"/>
      <w:r w:rsidR="003E25A6" w:rsidRPr="007451ED">
        <w:t>Aveyard</w:t>
      </w:r>
      <w:proofErr w:type="spellEnd"/>
      <w:r w:rsidR="003E25A6">
        <w:t xml:space="preserve">, 2016: </w:t>
      </w:r>
      <w:r w:rsidR="003B12D1">
        <w:t>141,143</w:t>
      </w:r>
      <w:r>
        <w:t>)</w:t>
      </w:r>
      <w:r w:rsidR="003B12D1">
        <w:t>.</w:t>
      </w:r>
      <w:r>
        <w:rPr>
          <w:rStyle w:val="Sprotnaopomba-sklic"/>
        </w:rPr>
        <w:footnoteReference w:id="36"/>
      </w:r>
      <w:r w:rsidR="008E7627">
        <w:t xml:space="preserve"> Danes ima v Sloveniji fiksni širokopasovni dostop do interneta </w:t>
      </w:r>
      <w:r w:rsidR="00A77E1F">
        <w:t xml:space="preserve">že </w:t>
      </w:r>
      <w:r w:rsidR="008E7627">
        <w:t>7</w:t>
      </w:r>
      <w:r w:rsidR="00DB435C">
        <w:t>2,3</w:t>
      </w:r>
      <w:r w:rsidR="008E7627">
        <w:t xml:space="preserve"> % gospodinjstev</w:t>
      </w:r>
      <w:r w:rsidR="005E7B29">
        <w:t xml:space="preserve"> (AKOS, 2017, str. 33)</w:t>
      </w:r>
      <w:r w:rsidR="00A77E1F">
        <w:t>,</w:t>
      </w:r>
      <w:r w:rsidR="005E7B29">
        <w:rPr>
          <w:rStyle w:val="Sprotnaopomba-sklic"/>
        </w:rPr>
        <w:footnoteReference w:id="37"/>
      </w:r>
      <w:r w:rsidR="00A77E1F">
        <w:t xml:space="preserve"> </w:t>
      </w:r>
      <w:r w:rsidR="003450BC">
        <w:t xml:space="preserve">povečuje se tudi odstotek </w:t>
      </w:r>
      <w:r w:rsidR="005A3E01">
        <w:t>naročnikov</w:t>
      </w:r>
      <w:r w:rsidR="003450BC">
        <w:t xml:space="preserve"> s hitro širokopasovno povezavo do interneta</w:t>
      </w:r>
      <w:r w:rsidR="005A3E01">
        <w:t>.</w:t>
      </w:r>
      <w:r w:rsidR="000C0478">
        <w:rPr>
          <w:rStyle w:val="Sprotnaopomba-sklic"/>
        </w:rPr>
        <w:footnoteReference w:id="38"/>
      </w:r>
      <w:r w:rsidR="005A3E01">
        <w:t xml:space="preserve"> </w:t>
      </w:r>
      <w:r w:rsidR="000C0478" w:rsidRPr="000C0478">
        <w:rPr>
          <w:rFonts w:cs="Arial"/>
          <w:color w:val="333333"/>
          <w:szCs w:val="20"/>
          <w:shd w:val="clear" w:color="auto" w:fill="FFFFFF"/>
          <w:lang w:val="en-GB" w:eastAsia="en-GB"/>
        </w:rPr>
        <w:t xml:space="preserve">V </w:t>
      </w:r>
      <w:proofErr w:type="spellStart"/>
      <w:r w:rsidR="000C0478" w:rsidRPr="000C0478">
        <w:rPr>
          <w:rFonts w:cs="Arial"/>
          <w:color w:val="333333"/>
          <w:szCs w:val="20"/>
          <w:shd w:val="clear" w:color="auto" w:fill="FFFFFF"/>
          <w:lang w:val="en-GB" w:eastAsia="en-GB"/>
        </w:rPr>
        <w:t>prvem</w:t>
      </w:r>
      <w:proofErr w:type="spellEnd"/>
      <w:r w:rsidR="000C0478" w:rsidRPr="000C0478">
        <w:rPr>
          <w:rFonts w:cs="Arial"/>
          <w:color w:val="333333"/>
          <w:szCs w:val="20"/>
          <w:shd w:val="clear" w:color="auto" w:fill="FFFFFF"/>
          <w:lang w:val="en-GB" w:eastAsia="en-GB"/>
        </w:rPr>
        <w:t xml:space="preserve"> </w:t>
      </w:r>
      <w:proofErr w:type="spellStart"/>
      <w:r w:rsidR="000C0478" w:rsidRPr="000C0478">
        <w:rPr>
          <w:rFonts w:cs="Arial"/>
          <w:color w:val="333333"/>
          <w:szCs w:val="20"/>
          <w:shd w:val="clear" w:color="auto" w:fill="FFFFFF"/>
          <w:lang w:val="en-GB" w:eastAsia="en-GB"/>
        </w:rPr>
        <w:t>četrtletju</w:t>
      </w:r>
      <w:proofErr w:type="spellEnd"/>
      <w:r w:rsidR="000C0478" w:rsidRPr="000C0478">
        <w:rPr>
          <w:rFonts w:cs="Arial"/>
          <w:color w:val="333333"/>
          <w:szCs w:val="20"/>
          <w:shd w:val="clear" w:color="auto" w:fill="FFFFFF"/>
          <w:lang w:val="en-GB" w:eastAsia="en-GB"/>
        </w:rPr>
        <w:t xml:space="preserve"> </w:t>
      </w:r>
      <w:proofErr w:type="spellStart"/>
      <w:r w:rsidR="000C0478" w:rsidRPr="000C0478">
        <w:rPr>
          <w:rFonts w:cs="Arial"/>
          <w:color w:val="333333"/>
          <w:szCs w:val="20"/>
          <w:shd w:val="clear" w:color="auto" w:fill="FFFFFF"/>
          <w:lang w:val="en-GB" w:eastAsia="en-GB"/>
        </w:rPr>
        <w:t>leta</w:t>
      </w:r>
      <w:proofErr w:type="spellEnd"/>
      <w:r w:rsidR="000C0478" w:rsidRPr="000C0478">
        <w:rPr>
          <w:rFonts w:cs="Arial"/>
          <w:color w:val="333333"/>
          <w:szCs w:val="20"/>
          <w:shd w:val="clear" w:color="auto" w:fill="FFFFFF"/>
          <w:lang w:val="en-GB" w:eastAsia="en-GB"/>
        </w:rPr>
        <w:t xml:space="preserve"> 2016 je 24 % </w:t>
      </w:r>
      <w:proofErr w:type="spellStart"/>
      <w:r w:rsidR="000C0478" w:rsidRPr="000C0478">
        <w:rPr>
          <w:rFonts w:cs="Arial"/>
          <w:color w:val="333333"/>
          <w:szCs w:val="20"/>
          <w:shd w:val="clear" w:color="auto" w:fill="FFFFFF"/>
          <w:lang w:val="en-GB" w:eastAsia="en-GB"/>
        </w:rPr>
        <w:t>oseb</w:t>
      </w:r>
      <w:proofErr w:type="spellEnd"/>
      <w:r w:rsidR="000C0478" w:rsidRPr="000C0478">
        <w:rPr>
          <w:rFonts w:cs="Arial"/>
          <w:color w:val="333333"/>
          <w:szCs w:val="20"/>
          <w:shd w:val="clear" w:color="auto" w:fill="FFFFFF"/>
          <w:lang w:val="en-GB" w:eastAsia="en-GB"/>
        </w:rPr>
        <w:t xml:space="preserve"> internet </w:t>
      </w:r>
      <w:proofErr w:type="spellStart"/>
      <w:r w:rsidR="000C0478" w:rsidRPr="000C0478">
        <w:rPr>
          <w:rFonts w:cs="Arial"/>
          <w:color w:val="333333"/>
          <w:szCs w:val="20"/>
          <w:shd w:val="clear" w:color="auto" w:fill="FFFFFF"/>
          <w:lang w:val="en-GB" w:eastAsia="en-GB"/>
        </w:rPr>
        <w:t>uporabljalo</w:t>
      </w:r>
      <w:proofErr w:type="spellEnd"/>
      <w:r w:rsidR="000C0478" w:rsidRPr="000C0478">
        <w:rPr>
          <w:rFonts w:cs="Arial"/>
          <w:color w:val="333333"/>
          <w:szCs w:val="20"/>
          <w:shd w:val="clear" w:color="auto" w:fill="FFFFFF"/>
          <w:lang w:val="en-GB" w:eastAsia="en-GB"/>
        </w:rPr>
        <w:t xml:space="preserve"> </w:t>
      </w:r>
      <w:proofErr w:type="spellStart"/>
      <w:r w:rsidR="000C0478" w:rsidRPr="000C0478">
        <w:rPr>
          <w:rFonts w:cs="Arial"/>
          <w:color w:val="333333"/>
          <w:szCs w:val="20"/>
          <w:shd w:val="clear" w:color="auto" w:fill="FFFFFF"/>
          <w:lang w:val="en-GB" w:eastAsia="en-GB"/>
        </w:rPr>
        <w:t>za</w:t>
      </w:r>
      <w:proofErr w:type="spellEnd"/>
      <w:r w:rsidR="000C0478" w:rsidRPr="000C0478">
        <w:rPr>
          <w:rFonts w:cs="Arial"/>
          <w:color w:val="333333"/>
          <w:szCs w:val="20"/>
          <w:shd w:val="clear" w:color="auto" w:fill="FFFFFF"/>
          <w:lang w:val="en-GB" w:eastAsia="en-GB"/>
        </w:rPr>
        <w:t xml:space="preserve"> </w:t>
      </w:r>
      <w:proofErr w:type="spellStart"/>
      <w:r w:rsidR="000C0478" w:rsidRPr="000C0478">
        <w:rPr>
          <w:rFonts w:cs="Arial"/>
          <w:color w:val="333333"/>
          <w:szCs w:val="20"/>
          <w:shd w:val="clear" w:color="auto" w:fill="FFFFFF"/>
          <w:lang w:val="en-GB" w:eastAsia="en-GB"/>
        </w:rPr>
        <w:t>gledanje</w:t>
      </w:r>
      <w:proofErr w:type="spellEnd"/>
      <w:r w:rsidR="000C0478" w:rsidRPr="000C0478">
        <w:rPr>
          <w:rFonts w:cs="Arial"/>
          <w:color w:val="333333"/>
          <w:szCs w:val="20"/>
          <w:shd w:val="clear" w:color="auto" w:fill="FFFFFF"/>
          <w:lang w:val="en-GB" w:eastAsia="en-GB"/>
        </w:rPr>
        <w:t xml:space="preserve"> </w:t>
      </w:r>
      <w:proofErr w:type="spellStart"/>
      <w:r w:rsidR="000C0478" w:rsidRPr="000C0478">
        <w:rPr>
          <w:rFonts w:cs="Arial"/>
          <w:color w:val="333333"/>
          <w:szCs w:val="20"/>
          <w:shd w:val="clear" w:color="auto" w:fill="FFFFFF"/>
          <w:lang w:val="en-GB" w:eastAsia="en-GB"/>
        </w:rPr>
        <w:t>internetne</w:t>
      </w:r>
      <w:proofErr w:type="spellEnd"/>
      <w:r w:rsidR="000C0478" w:rsidRPr="000C0478">
        <w:rPr>
          <w:rFonts w:cs="Arial"/>
          <w:color w:val="333333"/>
          <w:szCs w:val="20"/>
          <w:shd w:val="clear" w:color="auto" w:fill="FFFFFF"/>
          <w:lang w:val="en-GB" w:eastAsia="en-GB"/>
        </w:rPr>
        <w:t xml:space="preserve"> TV v </w:t>
      </w:r>
      <w:proofErr w:type="spellStart"/>
      <w:r w:rsidR="000C0478" w:rsidRPr="000C0478">
        <w:rPr>
          <w:rFonts w:cs="Arial"/>
          <w:color w:val="333333"/>
          <w:szCs w:val="20"/>
          <w:shd w:val="clear" w:color="auto" w:fill="FFFFFF"/>
          <w:lang w:val="en-GB" w:eastAsia="en-GB"/>
        </w:rPr>
        <w:t>živo</w:t>
      </w:r>
      <w:proofErr w:type="spellEnd"/>
      <w:r w:rsidR="000C0478" w:rsidRPr="000C0478">
        <w:rPr>
          <w:rFonts w:cs="Arial"/>
          <w:color w:val="333333"/>
          <w:szCs w:val="20"/>
          <w:shd w:val="clear" w:color="auto" w:fill="FFFFFF"/>
          <w:lang w:val="en-GB" w:eastAsia="en-GB"/>
        </w:rPr>
        <w:t xml:space="preserve"> </w:t>
      </w:r>
      <w:proofErr w:type="spellStart"/>
      <w:r w:rsidR="000C0478" w:rsidRPr="000C0478">
        <w:rPr>
          <w:rFonts w:cs="Arial"/>
          <w:color w:val="333333"/>
          <w:szCs w:val="20"/>
          <w:shd w:val="clear" w:color="auto" w:fill="FFFFFF"/>
          <w:lang w:val="en-GB" w:eastAsia="en-GB"/>
        </w:rPr>
        <w:t>ali</w:t>
      </w:r>
      <w:proofErr w:type="spellEnd"/>
      <w:r w:rsidR="000C0478" w:rsidRPr="000C0478">
        <w:rPr>
          <w:rFonts w:cs="Arial"/>
          <w:color w:val="333333"/>
          <w:szCs w:val="20"/>
          <w:shd w:val="clear" w:color="auto" w:fill="FFFFFF"/>
          <w:lang w:val="en-GB" w:eastAsia="en-GB"/>
        </w:rPr>
        <w:t xml:space="preserve"> s </w:t>
      </w:r>
      <w:proofErr w:type="spellStart"/>
      <w:r w:rsidR="000C0478" w:rsidRPr="000C0478">
        <w:rPr>
          <w:rFonts w:cs="Arial"/>
          <w:color w:val="333333"/>
          <w:szCs w:val="20"/>
          <w:shd w:val="clear" w:color="auto" w:fill="FFFFFF"/>
          <w:lang w:val="en-GB" w:eastAsia="en-GB"/>
        </w:rPr>
        <w:t>časovnim</w:t>
      </w:r>
      <w:proofErr w:type="spellEnd"/>
      <w:r w:rsidR="000C0478" w:rsidRPr="000C0478">
        <w:rPr>
          <w:rFonts w:cs="Arial"/>
          <w:color w:val="333333"/>
          <w:szCs w:val="20"/>
          <w:shd w:val="clear" w:color="auto" w:fill="FFFFFF"/>
          <w:lang w:val="en-GB" w:eastAsia="en-GB"/>
        </w:rPr>
        <w:t xml:space="preserve"> </w:t>
      </w:r>
      <w:proofErr w:type="spellStart"/>
      <w:r w:rsidR="000C0478" w:rsidRPr="000C0478">
        <w:rPr>
          <w:rFonts w:cs="Arial"/>
          <w:color w:val="333333"/>
          <w:szCs w:val="20"/>
          <w:shd w:val="clear" w:color="auto" w:fill="FFFFFF"/>
          <w:lang w:val="en-GB" w:eastAsia="en-GB"/>
        </w:rPr>
        <w:t>zamikom</w:t>
      </w:r>
      <w:proofErr w:type="spellEnd"/>
      <w:r w:rsidR="000C0478" w:rsidRPr="000C0478">
        <w:rPr>
          <w:rFonts w:cs="Arial"/>
          <w:color w:val="333333"/>
          <w:szCs w:val="20"/>
          <w:shd w:val="clear" w:color="auto" w:fill="FFFFFF"/>
          <w:lang w:val="en-GB" w:eastAsia="en-GB"/>
        </w:rPr>
        <w:t xml:space="preserve">, 13 % pa </w:t>
      </w:r>
      <w:proofErr w:type="spellStart"/>
      <w:r w:rsidR="000C0478" w:rsidRPr="000C0478">
        <w:rPr>
          <w:rFonts w:cs="Arial"/>
          <w:color w:val="333333"/>
          <w:szCs w:val="20"/>
          <w:shd w:val="clear" w:color="auto" w:fill="FFFFFF"/>
          <w:lang w:val="en-GB" w:eastAsia="en-GB"/>
        </w:rPr>
        <w:t>za</w:t>
      </w:r>
      <w:proofErr w:type="spellEnd"/>
      <w:r w:rsidR="000C0478" w:rsidRPr="000C0478">
        <w:rPr>
          <w:rFonts w:cs="Arial"/>
          <w:color w:val="333333"/>
          <w:szCs w:val="20"/>
          <w:shd w:val="clear" w:color="auto" w:fill="FFFFFF"/>
          <w:lang w:val="en-GB" w:eastAsia="en-GB"/>
        </w:rPr>
        <w:t xml:space="preserve"> </w:t>
      </w:r>
      <w:proofErr w:type="spellStart"/>
      <w:r w:rsidR="000C0478" w:rsidRPr="000C0478">
        <w:rPr>
          <w:rFonts w:cs="Arial"/>
          <w:color w:val="333333"/>
          <w:szCs w:val="20"/>
          <w:shd w:val="clear" w:color="auto" w:fill="FFFFFF"/>
          <w:lang w:val="en-GB" w:eastAsia="en-GB"/>
        </w:rPr>
        <w:t>gledanje</w:t>
      </w:r>
      <w:proofErr w:type="spellEnd"/>
      <w:r w:rsidR="000C0478" w:rsidRPr="000C0478">
        <w:rPr>
          <w:rFonts w:cs="Arial"/>
          <w:color w:val="333333"/>
          <w:szCs w:val="20"/>
          <w:shd w:val="clear" w:color="auto" w:fill="FFFFFF"/>
          <w:lang w:val="en-GB" w:eastAsia="en-GB"/>
        </w:rPr>
        <w:t xml:space="preserve"> </w:t>
      </w:r>
      <w:proofErr w:type="spellStart"/>
      <w:r w:rsidR="000C0478" w:rsidRPr="000C0478">
        <w:rPr>
          <w:rFonts w:cs="Arial"/>
          <w:color w:val="333333"/>
          <w:szCs w:val="20"/>
          <w:shd w:val="clear" w:color="auto" w:fill="FFFFFF"/>
          <w:lang w:val="en-GB" w:eastAsia="en-GB"/>
        </w:rPr>
        <w:t>pretočnih</w:t>
      </w:r>
      <w:proofErr w:type="spellEnd"/>
      <w:r w:rsidR="000C0478" w:rsidRPr="000C0478">
        <w:rPr>
          <w:rFonts w:cs="Arial"/>
          <w:color w:val="333333"/>
          <w:szCs w:val="20"/>
          <w:shd w:val="clear" w:color="auto" w:fill="FFFFFF"/>
          <w:lang w:val="en-GB" w:eastAsia="en-GB"/>
        </w:rPr>
        <w:t xml:space="preserve"> </w:t>
      </w:r>
      <w:proofErr w:type="spellStart"/>
      <w:r w:rsidR="000C0478" w:rsidRPr="000C0478">
        <w:rPr>
          <w:rFonts w:cs="Arial"/>
          <w:color w:val="333333"/>
          <w:szCs w:val="20"/>
          <w:shd w:val="clear" w:color="auto" w:fill="FFFFFF"/>
          <w:lang w:val="en-GB" w:eastAsia="en-GB"/>
        </w:rPr>
        <w:t>videovsebin</w:t>
      </w:r>
      <w:proofErr w:type="spellEnd"/>
      <w:r w:rsidR="000C0478" w:rsidRPr="000C0478">
        <w:rPr>
          <w:rFonts w:cs="Arial"/>
          <w:color w:val="333333"/>
          <w:szCs w:val="20"/>
          <w:shd w:val="clear" w:color="auto" w:fill="FFFFFF"/>
          <w:lang w:val="en-GB" w:eastAsia="en-GB"/>
        </w:rPr>
        <w:t xml:space="preserve"> </w:t>
      </w:r>
      <w:proofErr w:type="spellStart"/>
      <w:r w:rsidR="000C0478" w:rsidRPr="000C0478">
        <w:rPr>
          <w:rFonts w:cs="Arial"/>
          <w:color w:val="333333"/>
          <w:szCs w:val="20"/>
          <w:shd w:val="clear" w:color="auto" w:fill="FFFFFF"/>
          <w:lang w:val="en-GB" w:eastAsia="en-GB"/>
        </w:rPr>
        <w:t>kome</w:t>
      </w:r>
      <w:r w:rsidR="000C0478">
        <w:rPr>
          <w:rFonts w:cs="Arial"/>
          <w:color w:val="333333"/>
          <w:szCs w:val="20"/>
          <w:shd w:val="clear" w:color="auto" w:fill="FFFFFF"/>
          <w:lang w:val="en-GB" w:eastAsia="en-GB"/>
        </w:rPr>
        <w:t>rcialnih</w:t>
      </w:r>
      <w:proofErr w:type="spellEnd"/>
      <w:r w:rsidR="000C0478">
        <w:rPr>
          <w:rFonts w:cs="Arial"/>
          <w:color w:val="333333"/>
          <w:szCs w:val="20"/>
          <w:shd w:val="clear" w:color="auto" w:fill="FFFFFF"/>
          <w:lang w:val="en-GB" w:eastAsia="en-GB"/>
        </w:rPr>
        <w:t xml:space="preserve"> </w:t>
      </w:r>
      <w:proofErr w:type="spellStart"/>
      <w:r w:rsidR="000C0478">
        <w:rPr>
          <w:rFonts w:cs="Arial"/>
          <w:color w:val="333333"/>
          <w:szCs w:val="20"/>
          <w:shd w:val="clear" w:color="auto" w:fill="FFFFFF"/>
          <w:lang w:val="en-GB" w:eastAsia="en-GB"/>
        </w:rPr>
        <w:t>ponudnikov</w:t>
      </w:r>
      <w:proofErr w:type="spellEnd"/>
      <w:r w:rsidR="000C0478">
        <w:rPr>
          <w:rFonts w:cs="Arial"/>
          <w:color w:val="333333"/>
          <w:szCs w:val="20"/>
          <w:shd w:val="clear" w:color="auto" w:fill="FFFFFF"/>
          <w:lang w:val="en-GB" w:eastAsia="en-GB"/>
        </w:rPr>
        <w:t xml:space="preserve"> </w:t>
      </w:r>
      <w:proofErr w:type="spellStart"/>
      <w:r w:rsidR="000C0478">
        <w:rPr>
          <w:rFonts w:cs="Arial"/>
          <w:color w:val="333333"/>
          <w:szCs w:val="20"/>
          <w:shd w:val="clear" w:color="auto" w:fill="FFFFFF"/>
          <w:lang w:val="en-GB" w:eastAsia="en-GB"/>
        </w:rPr>
        <w:t>na</w:t>
      </w:r>
      <w:proofErr w:type="spellEnd"/>
      <w:r w:rsidR="000C0478">
        <w:rPr>
          <w:rFonts w:cs="Arial"/>
          <w:color w:val="333333"/>
          <w:szCs w:val="20"/>
          <w:shd w:val="clear" w:color="auto" w:fill="FFFFFF"/>
          <w:lang w:val="en-GB" w:eastAsia="en-GB"/>
        </w:rPr>
        <w:t xml:space="preserve"> </w:t>
      </w:r>
      <w:proofErr w:type="spellStart"/>
      <w:r w:rsidR="000C0478">
        <w:rPr>
          <w:rFonts w:cs="Arial"/>
          <w:color w:val="333333"/>
          <w:szCs w:val="20"/>
          <w:shd w:val="clear" w:color="auto" w:fill="FFFFFF"/>
          <w:lang w:val="en-GB" w:eastAsia="en-GB"/>
        </w:rPr>
        <w:t>zahtevo</w:t>
      </w:r>
      <w:proofErr w:type="spellEnd"/>
      <w:r w:rsidR="000C0478">
        <w:rPr>
          <w:rFonts w:cs="Arial"/>
          <w:color w:val="333333"/>
          <w:szCs w:val="20"/>
          <w:shd w:val="clear" w:color="auto" w:fill="FFFFFF"/>
          <w:lang w:val="en-GB" w:eastAsia="en-GB"/>
        </w:rPr>
        <w:t xml:space="preserve">, </w:t>
      </w:r>
      <w:proofErr w:type="spellStart"/>
      <w:r w:rsidR="000C0478">
        <w:rPr>
          <w:rFonts w:cs="Arial"/>
          <w:color w:val="333333"/>
          <w:szCs w:val="20"/>
          <w:shd w:val="clear" w:color="auto" w:fill="FFFFFF"/>
          <w:lang w:val="en-GB" w:eastAsia="en-GB"/>
        </w:rPr>
        <w:t>kot</w:t>
      </w:r>
      <w:proofErr w:type="spellEnd"/>
      <w:r w:rsidR="000C0478">
        <w:rPr>
          <w:rFonts w:cs="Arial"/>
          <w:color w:val="333333"/>
          <w:szCs w:val="20"/>
          <w:shd w:val="clear" w:color="auto" w:fill="FFFFFF"/>
          <w:lang w:val="en-GB" w:eastAsia="en-GB"/>
        </w:rPr>
        <w:t xml:space="preserve"> so </w:t>
      </w:r>
      <w:proofErr w:type="spellStart"/>
      <w:r w:rsidR="000C0478">
        <w:rPr>
          <w:rFonts w:cs="Arial"/>
          <w:color w:val="333333"/>
          <w:szCs w:val="20"/>
          <w:shd w:val="clear" w:color="auto" w:fill="FFFFFF"/>
          <w:lang w:val="en-GB" w:eastAsia="en-GB"/>
        </w:rPr>
        <w:t>npr</w:t>
      </w:r>
      <w:proofErr w:type="spellEnd"/>
      <w:r w:rsidR="000C0478">
        <w:rPr>
          <w:rFonts w:cs="Arial"/>
          <w:color w:val="333333"/>
          <w:szCs w:val="20"/>
          <w:shd w:val="clear" w:color="auto" w:fill="FFFFFF"/>
          <w:lang w:val="en-GB" w:eastAsia="en-GB"/>
        </w:rPr>
        <w:t xml:space="preserve">. </w:t>
      </w:r>
      <w:proofErr w:type="spellStart"/>
      <w:r w:rsidR="000C0478">
        <w:rPr>
          <w:rFonts w:cs="Arial"/>
          <w:color w:val="333333"/>
          <w:szCs w:val="20"/>
          <w:shd w:val="clear" w:color="auto" w:fill="FFFFFF"/>
          <w:lang w:val="en-GB" w:eastAsia="en-GB"/>
        </w:rPr>
        <w:t>filmi</w:t>
      </w:r>
      <w:proofErr w:type="spellEnd"/>
      <w:r w:rsidR="000C0478">
        <w:rPr>
          <w:rFonts w:cs="Arial"/>
          <w:color w:val="333333"/>
          <w:szCs w:val="20"/>
          <w:shd w:val="clear" w:color="auto" w:fill="FFFFFF"/>
          <w:lang w:val="en-GB" w:eastAsia="en-GB"/>
        </w:rPr>
        <w:t xml:space="preserve"> in </w:t>
      </w:r>
      <w:proofErr w:type="spellStart"/>
      <w:r w:rsidR="000C0478">
        <w:rPr>
          <w:rFonts w:cs="Arial"/>
          <w:color w:val="333333"/>
          <w:szCs w:val="20"/>
          <w:shd w:val="clear" w:color="auto" w:fill="FFFFFF"/>
          <w:lang w:val="en-GB" w:eastAsia="en-GB"/>
        </w:rPr>
        <w:t>nanizanke</w:t>
      </w:r>
      <w:proofErr w:type="spellEnd"/>
      <w:r w:rsidR="000C0478">
        <w:rPr>
          <w:rFonts w:cs="Arial"/>
          <w:color w:val="333333"/>
          <w:szCs w:val="20"/>
          <w:shd w:val="clear" w:color="auto" w:fill="FFFFFF"/>
          <w:lang w:val="en-GB" w:eastAsia="en-GB"/>
        </w:rPr>
        <w:t xml:space="preserve"> (</w:t>
      </w:r>
      <w:proofErr w:type="spellStart"/>
      <w:r w:rsidR="000C0478">
        <w:rPr>
          <w:rFonts w:cs="Arial"/>
          <w:color w:val="333333"/>
          <w:szCs w:val="20"/>
          <w:shd w:val="clear" w:color="auto" w:fill="FFFFFF"/>
          <w:lang w:val="en-GB" w:eastAsia="en-GB"/>
        </w:rPr>
        <w:t>Statistični</w:t>
      </w:r>
      <w:proofErr w:type="spellEnd"/>
      <w:r w:rsidR="000C0478">
        <w:rPr>
          <w:rFonts w:cs="Arial"/>
          <w:color w:val="333333"/>
          <w:szCs w:val="20"/>
          <w:shd w:val="clear" w:color="auto" w:fill="FFFFFF"/>
          <w:lang w:val="en-GB" w:eastAsia="en-GB"/>
        </w:rPr>
        <w:t xml:space="preserve"> </w:t>
      </w:r>
      <w:proofErr w:type="spellStart"/>
      <w:r w:rsidR="000C0478">
        <w:rPr>
          <w:rFonts w:cs="Arial"/>
          <w:color w:val="333333"/>
          <w:szCs w:val="20"/>
          <w:shd w:val="clear" w:color="auto" w:fill="FFFFFF"/>
          <w:lang w:val="en-GB" w:eastAsia="en-GB"/>
        </w:rPr>
        <w:t>urad</w:t>
      </w:r>
      <w:proofErr w:type="spellEnd"/>
      <w:r w:rsidR="000C0478">
        <w:rPr>
          <w:rFonts w:cs="Arial"/>
          <w:color w:val="333333"/>
          <w:szCs w:val="20"/>
          <w:shd w:val="clear" w:color="auto" w:fill="FFFFFF"/>
          <w:lang w:val="en-GB" w:eastAsia="en-GB"/>
        </w:rPr>
        <w:t xml:space="preserve"> RS, 2016)</w:t>
      </w:r>
      <w:r w:rsidR="000C0478" w:rsidRPr="000C0478">
        <w:rPr>
          <w:rFonts w:cs="Arial"/>
          <w:color w:val="333333"/>
          <w:szCs w:val="20"/>
          <w:shd w:val="clear" w:color="auto" w:fill="FFFFFF"/>
          <w:lang w:val="en-GB" w:eastAsia="en-GB"/>
        </w:rPr>
        <w:t>.</w:t>
      </w:r>
      <w:r w:rsidR="000C0478">
        <w:rPr>
          <w:rStyle w:val="Sprotnaopomba-sklic"/>
          <w:rFonts w:cs="Arial"/>
          <w:color w:val="333333"/>
          <w:szCs w:val="20"/>
          <w:shd w:val="clear" w:color="auto" w:fill="FFFFFF"/>
          <w:lang w:val="en-GB" w:eastAsia="en-GB"/>
        </w:rPr>
        <w:footnoteReference w:id="39"/>
      </w:r>
      <w:bookmarkStart w:id="252" w:name="_Toc489859828"/>
    </w:p>
    <w:p w:rsidR="00401DAF" w:rsidRPr="00401DAF" w:rsidRDefault="00401DAF" w:rsidP="005A3E01">
      <w:pPr>
        <w:rPr>
          <w:rFonts w:cs="Arial"/>
          <w:szCs w:val="20"/>
        </w:rPr>
      </w:pPr>
    </w:p>
    <w:p w:rsidR="00C71FCE" w:rsidRDefault="00C71FCE" w:rsidP="00DE703C">
      <w:pPr>
        <w:pStyle w:val="Podnaslov2"/>
      </w:pPr>
      <w:bookmarkStart w:id="253" w:name="_Toc490047591"/>
      <w:bookmarkStart w:id="254" w:name="_Toc490599955"/>
      <w:bookmarkStart w:id="255" w:name="_Toc506192085"/>
      <w:r>
        <w:t>Poklicni orkestri in zbori</w:t>
      </w:r>
      <w:bookmarkEnd w:id="252"/>
      <w:bookmarkEnd w:id="253"/>
      <w:bookmarkEnd w:id="254"/>
      <w:bookmarkEnd w:id="255"/>
    </w:p>
    <w:p w:rsidR="00C71FCE" w:rsidRDefault="00C71FCE" w:rsidP="00DE703C">
      <w:r w:rsidRPr="00030084">
        <w:t xml:space="preserve">Število koncertov </w:t>
      </w:r>
      <w:r>
        <w:t xml:space="preserve">poklicnih orkestrov in zborov ter njihov obisk bomo predstavili v krajšem časovnem intervalu, saj je Statistični urad leta 2010 spremenil metodologijo in nekatere zbore izločil iz vzorca raziskave. Od leta 2010 do 2015 se je število orkestrov in zborov in tudi število koncertov, odigranih v matični hiši, povečalo za dobrih 50 %. V obdobju 2010–2012 je raslo linearno, od leta 2013 pa močno niha navzgor in navzdol. Zelo niha tudi absolutno število poslušalcev, ki je naraslo, če primerjamo samo leti 2010 in 2015, za 8 </w:t>
      </w:r>
      <w:r w:rsidR="00A149D6">
        <w:t>%</w:t>
      </w:r>
      <w:r>
        <w:t>, medtem ko se je povprečno število poslušalcev na koncert zmanjšalo za 30 %.</w:t>
      </w:r>
    </w:p>
    <w:p w:rsidR="008E402E" w:rsidRDefault="008E402E">
      <w:pPr>
        <w:rPr>
          <w:b/>
        </w:rPr>
      </w:pPr>
      <w:bookmarkStart w:id="256" w:name="_Toc490053380"/>
      <w:bookmarkStart w:id="257" w:name="_Toc490053751"/>
      <w:r>
        <w:br w:type="page"/>
      </w:r>
    </w:p>
    <w:p w:rsidR="00C71FCE" w:rsidRDefault="004D2387" w:rsidP="00DE703C">
      <w:pPr>
        <w:pStyle w:val="Naslovtabele"/>
      </w:pPr>
      <w:bookmarkStart w:id="258" w:name="_Toc490600023"/>
      <w:r>
        <w:lastRenderedPageBreak/>
        <w:t>Graf 22</w:t>
      </w:r>
      <w:r w:rsidR="00C71FCE">
        <w:t>: Poklicni orkestri in zbori ter koncerti v matični hiši (2010–2015)</w:t>
      </w:r>
      <w:r w:rsidR="00E57FD5">
        <w:t>*</w:t>
      </w:r>
      <w:bookmarkEnd w:id="256"/>
      <w:bookmarkEnd w:id="257"/>
      <w:bookmarkEnd w:id="258"/>
    </w:p>
    <w:p w:rsidR="00B15956" w:rsidRPr="00B15956" w:rsidRDefault="00B15956" w:rsidP="00B15956">
      <w:r>
        <w:rPr>
          <w:noProof/>
          <w:lang w:eastAsia="sl-SI"/>
        </w:rPr>
        <w:drawing>
          <wp:inline distT="0" distB="0" distL="0" distR="0" wp14:anchorId="788CD1FA" wp14:editId="4D605975">
            <wp:extent cx="5596647" cy="2198451"/>
            <wp:effectExtent l="0" t="0" r="0" b="11430"/>
            <wp:docPr id="40" name="Grafikon 40"/>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C71FCE" w:rsidRDefault="00C71FCE" w:rsidP="00DE1E54">
      <w:pPr>
        <w:pStyle w:val="Podpispodtabeloaligrafom"/>
        <w:spacing w:after="0"/>
      </w:pPr>
      <w:bookmarkStart w:id="259" w:name="OLE_LINK4"/>
      <w:r>
        <w:t>Vir: Statistični urad RS.</w:t>
      </w:r>
    </w:p>
    <w:bookmarkEnd w:id="259"/>
    <w:p w:rsidR="00C71FCE" w:rsidRDefault="00C71FCE" w:rsidP="00DE703C">
      <w:pPr>
        <w:pStyle w:val="Podpispodtabeloaligrafom"/>
      </w:pPr>
      <w:r>
        <w:t xml:space="preserve">* </w:t>
      </w:r>
      <w:r w:rsidRPr="000E76F8">
        <w:t xml:space="preserve">V primerjavi z letom 2009 se je v letu 2010 število poklicnih orkestrov in zborov zmanjšalo, ker so bile nekatere enote izločene iz opazovane populacije. Zbrani podatki za obdobje od leta 2011 so bili </w:t>
      </w:r>
      <w:proofErr w:type="spellStart"/>
      <w:r w:rsidRPr="000E76F8">
        <w:t>uteženi</w:t>
      </w:r>
      <w:proofErr w:type="spellEnd"/>
      <w:r w:rsidRPr="000E76F8">
        <w:t xml:space="preserve"> zaradi manjkajočih odgovorov (neodgovorov). Skupni seštevki podatkov v tabelah se zaradi zaokroževanja decimalnih števil morda minimalno razlikujejo od posameznih podatkov.</w:t>
      </w:r>
    </w:p>
    <w:p w:rsidR="00C71FCE" w:rsidRPr="00030084" w:rsidRDefault="004D2387" w:rsidP="00DE703C">
      <w:pPr>
        <w:pStyle w:val="Naslovtabele"/>
      </w:pPr>
      <w:bookmarkStart w:id="260" w:name="_Toc490053381"/>
      <w:bookmarkStart w:id="261" w:name="_Toc490053752"/>
      <w:bookmarkStart w:id="262" w:name="_Toc490600024"/>
      <w:r>
        <w:t>Graf 23</w:t>
      </w:r>
      <w:r w:rsidR="00C71FCE">
        <w:t>: Poslušalci koncertov v matični hiši (2010–2015)</w:t>
      </w:r>
      <w:bookmarkEnd w:id="260"/>
      <w:bookmarkEnd w:id="261"/>
      <w:bookmarkEnd w:id="262"/>
    </w:p>
    <w:p w:rsidR="00C71FCE" w:rsidRDefault="00C71FCE" w:rsidP="00DE703C">
      <w:r>
        <w:rPr>
          <w:noProof/>
          <w:lang w:eastAsia="sl-SI"/>
        </w:rPr>
        <w:drawing>
          <wp:inline distT="0" distB="0" distL="0" distR="0" wp14:anchorId="0454BE17" wp14:editId="420D3100">
            <wp:extent cx="5499735" cy="2743200"/>
            <wp:effectExtent l="0" t="0" r="12065" b="0"/>
            <wp:docPr id="35"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C71FCE" w:rsidRDefault="00C71FCE" w:rsidP="00DE703C">
      <w:pPr>
        <w:pStyle w:val="Podpispodtabeloaligrafom"/>
      </w:pPr>
      <w:bookmarkStart w:id="263" w:name="OLE_LINK5"/>
      <w:r>
        <w:t>Vir: Statistični urad RS.</w:t>
      </w:r>
    </w:p>
    <w:bookmarkEnd w:id="263"/>
    <w:p w:rsidR="00C71FCE" w:rsidRDefault="00C71FCE" w:rsidP="00DE703C">
      <w:pPr>
        <w:rPr>
          <w:b/>
        </w:rPr>
      </w:pPr>
    </w:p>
    <w:p w:rsidR="00C71FCE" w:rsidRDefault="00C71FCE" w:rsidP="00DE703C">
      <w:pPr>
        <w:pStyle w:val="Podnaslov2"/>
      </w:pPr>
      <w:bookmarkStart w:id="264" w:name="_Toc489859829"/>
      <w:bookmarkStart w:id="265" w:name="_Toc490047592"/>
      <w:bookmarkStart w:id="266" w:name="_Toc490599956"/>
      <w:bookmarkStart w:id="267" w:name="_Toc506192086"/>
      <w:r>
        <w:t>Muzeji in galerije</w:t>
      </w:r>
      <w:bookmarkEnd w:id="264"/>
      <w:bookmarkEnd w:id="265"/>
      <w:bookmarkEnd w:id="266"/>
      <w:bookmarkEnd w:id="267"/>
    </w:p>
    <w:p w:rsidR="00C71FCE" w:rsidRPr="000F19A6" w:rsidRDefault="00C71FCE" w:rsidP="00DE703C">
      <w:r>
        <w:t>Število razstav (stalnih in začasnih) v muzejih in galerijah narašča od leta 2005 naprej, medtem ko absolutno število obiskovalcev precej niha, povprečno število obiskovalcev na razstavo pa se zadnja tri leta zmanjšuje. V letu 2015 se je število razstav v primerjavi z letom prej povečalo za 26 %, absolutno število obiskovalcev pa zmanjšalo za 14 %.</w:t>
      </w:r>
    </w:p>
    <w:p w:rsidR="008E402E" w:rsidRDefault="008E402E">
      <w:pPr>
        <w:rPr>
          <w:b/>
        </w:rPr>
      </w:pPr>
      <w:bookmarkStart w:id="268" w:name="_Toc490053382"/>
      <w:bookmarkStart w:id="269" w:name="_Toc490053753"/>
      <w:r>
        <w:br w:type="page"/>
      </w:r>
    </w:p>
    <w:p w:rsidR="00C71FCE" w:rsidRDefault="004D2387" w:rsidP="00DE703C">
      <w:pPr>
        <w:pStyle w:val="Naslovtabele"/>
      </w:pPr>
      <w:bookmarkStart w:id="270" w:name="_Toc490600025"/>
      <w:r>
        <w:lastRenderedPageBreak/>
        <w:t>Graf 24</w:t>
      </w:r>
      <w:r w:rsidR="00522E2B">
        <w:t>:</w:t>
      </w:r>
      <w:r w:rsidR="00C71FCE">
        <w:t xml:space="preserve"> Razstave in obiskovalci v muzejih </w:t>
      </w:r>
      <w:r w:rsidR="00522E2B">
        <w:t>ter</w:t>
      </w:r>
      <w:r w:rsidR="00C71FCE">
        <w:t xml:space="preserve"> galerijah (2004–2015)</w:t>
      </w:r>
      <w:bookmarkEnd w:id="268"/>
      <w:bookmarkEnd w:id="269"/>
      <w:bookmarkEnd w:id="270"/>
    </w:p>
    <w:p w:rsidR="00C71FCE" w:rsidRPr="007919DF" w:rsidRDefault="00C71FCE" w:rsidP="00DE703C">
      <w:r>
        <w:rPr>
          <w:noProof/>
          <w:lang w:eastAsia="sl-SI"/>
        </w:rPr>
        <w:drawing>
          <wp:inline distT="0" distB="0" distL="0" distR="0" wp14:anchorId="0F1DB321" wp14:editId="016DC292">
            <wp:extent cx="5781600" cy="2390400"/>
            <wp:effectExtent l="0" t="0" r="10160" b="0"/>
            <wp:docPr id="36"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C71FCE" w:rsidRDefault="00C71FCE" w:rsidP="00DE703C">
      <w:pPr>
        <w:pStyle w:val="Podpispodtabeloaligrafom"/>
      </w:pPr>
      <w:r>
        <w:t>Vir: Statistični urad RS.</w:t>
      </w:r>
    </w:p>
    <w:p w:rsidR="008E402E" w:rsidRDefault="008E402E" w:rsidP="00DE703C">
      <w:pPr>
        <w:pStyle w:val="Podnaslov2"/>
      </w:pPr>
      <w:bookmarkStart w:id="271" w:name="_Toc489859830"/>
      <w:bookmarkStart w:id="272" w:name="_Toc490047593"/>
    </w:p>
    <w:p w:rsidR="00C71FCE" w:rsidRDefault="00C71FCE" w:rsidP="00DE703C">
      <w:pPr>
        <w:pStyle w:val="Podnaslov2"/>
      </w:pPr>
      <w:bookmarkStart w:id="273" w:name="_Toc490599957"/>
      <w:bookmarkStart w:id="274" w:name="_Toc506192087"/>
      <w:r>
        <w:t>Kulturni domovi</w:t>
      </w:r>
      <w:bookmarkEnd w:id="271"/>
      <w:bookmarkEnd w:id="272"/>
      <w:bookmarkEnd w:id="273"/>
      <w:bookmarkEnd w:id="274"/>
    </w:p>
    <w:p w:rsidR="00C71FCE" w:rsidRDefault="00C71FCE" w:rsidP="00DE703C">
      <w:r>
        <w:t>Število prireditev v kulturnih domovih je začelo naraščati leta 2010, izrazito pa se je povečalo v letu 2012, ko je bilo več kot 17 tisoč prireditev. Število je naslednji dve leti precej padlo – na 11- oz. 12 tisoč, leta 2015 pa spet občutno naraslo na slabih 16 tisoč. Število obiskovalcev je nihalo bolj ali manj v skladu</w:t>
      </w:r>
      <w:r w:rsidR="007F1C17">
        <w:t xml:space="preserve"> </w:t>
      </w:r>
      <w:r>
        <w:t xml:space="preserve">s številom prireditev, razen leta 2012, ko se je obisk povečal veliko bolj kot število prireditev. </w:t>
      </w:r>
    </w:p>
    <w:p w:rsidR="00C71FCE" w:rsidRDefault="00C71FCE" w:rsidP="00DE703C">
      <w:r>
        <w:t>Takrat je bilo povprečno 511 obiskovalcev na prireditev, leta 2015 pa 254, kar je približno toliko kot druga leta.</w:t>
      </w:r>
    </w:p>
    <w:p w:rsidR="00C71FCE" w:rsidRDefault="00C71FCE" w:rsidP="00DE703C">
      <w:pPr>
        <w:pStyle w:val="Naslovtabele"/>
      </w:pPr>
      <w:bookmarkStart w:id="275" w:name="_Toc490053383"/>
      <w:bookmarkStart w:id="276" w:name="_Toc490053754"/>
      <w:bookmarkStart w:id="277" w:name="_Toc490600026"/>
      <w:r>
        <w:t>Tabe</w:t>
      </w:r>
      <w:r w:rsidR="006D2D21">
        <w:t>la 24</w:t>
      </w:r>
      <w:r>
        <w:t>: Prireditve v kulturnih domovih in njihov obisk (2004–2015)</w:t>
      </w:r>
      <w:bookmarkEnd w:id="275"/>
      <w:bookmarkEnd w:id="276"/>
      <w:bookmarkEnd w:id="277"/>
    </w:p>
    <w:tbl>
      <w:tblPr>
        <w:tblStyle w:val="ListTable3-Accent31"/>
        <w:tblW w:w="5000" w:type="pct"/>
        <w:tblLook w:val="04A0" w:firstRow="1" w:lastRow="0" w:firstColumn="1" w:lastColumn="0" w:noHBand="0" w:noVBand="1"/>
      </w:tblPr>
      <w:tblGrid>
        <w:gridCol w:w="2661"/>
        <w:gridCol w:w="534"/>
        <w:gridCol w:w="534"/>
        <w:gridCol w:w="533"/>
        <w:gridCol w:w="533"/>
        <w:gridCol w:w="533"/>
        <w:gridCol w:w="533"/>
        <w:gridCol w:w="572"/>
        <w:gridCol w:w="572"/>
        <w:gridCol w:w="572"/>
        <w:gridCol w:w="572"/>
        <w:gridCol w:w="572"/>
        <w:gridCol w:w="568"/>
      </w:tblGrid>
      <w:tr w:rsidR="00C71FCE" w:rsidRPr="00BA553F" w:rsidTr="00516E3A">
        <w:trPr>
          <w:cnfStyle w:val="100000000000" w:firstRow="1" w:lastRow="0" w:firstColumn="0" w:lastColumn="0" w:oddVBand="0" w:evenVBand="0" w:oddHBand="0" w:evenHBand="0" w:firstRowFirstColumn="0" w:firstRowLastColumn="0" w:lastRowFirstColumn="0" w:lastRowLastColumn="0"/>
          <w:trHeight w:val="102"/>
        </w:trPr>
        <w:tc>
          <w:tcPr>
            <w:cnfStyle w:val="001000000100" w:firstRow="0" w:lastRow="0" w:firstColumn="1" w:lastColumn="0" w:oddVBand="0" w:evenVBand="0" w:oddHBand="0" w:evenHBand="0" w:firstRowFirstColumn="1" w:firstRowLastColumn="0" w:lastRowFirstColumn="0" w:lastRowLastColumn="0"/>
            <w:tcW w:w="1432" w:type="pct"/>
            <w:hideMark/>
          </w:tcPr>
          <w:p w:rsidR="00C71FCE" w:rsidRPr="00BA553F" w:rsidRDefault="00C71FCE" w:rsidP="00DE703C">
            <w:pPr>
              <w:rPr>
                <w:rFonts w:ascii="Arial Narrow" w:hAnsi="Arial Narrow" w:cs="ArialMT"/>
                <w:b w:val="0"/>
                <w:color w:val="000000"/>
                <w:szCs w:val="20"/>
                <w:lang w:val="en-GB" w:eastAsia="en-GB"/>
              </w:rPr>
            </w:pPr>
            <w:r w:rsidRPr="00BA553F">
              <w:rPr>
                <w:rFonts w:ascii="Arial Narrow" w:hAnsi="Arial Narrow" w:cs="ArialMT"/>
                <w:b w:val="0"/>
                <w:color w:val="000000"/>
                <w:szCs w:val="20"/>
                <w:lang w:val="en-GB" w:eastAsia="en-GB"/>
              </w:rPr>
              <w:t> </w:t>
            </w:r>
          </w:p>
        </w:tc>
        <w:tc>
          <w:tcPr>
            <w:tcW w:w="287" w:type="pct"/>
            <w:noWrap/>
            <w:hideMark/>
          </w:tcPr>
          <w:p w:rsidR="00C71FCE" w:rsidRPr="009C59DA" w:rsidRDefault="00C71FCE" w:rsidP="00DE703C">
            <w:pPr>
              <w:jc w:val="right"/>
              <w:cnfStyle w:val="100000000000" w:firstRow="1" w:lastRow="0" w:firstColumn="0" w:lastColumn="0" w:oddVBand="0" w:evenVBand="0" w:oddHBand="0" w:evenHBand="0" w:firstRowFirstColumn="0" w:firstRowLastColumn="0" w:lastRowFirstColumn="0" w:lastRowLastColumn="0"/>
              <w:rPr>
                <w:rFonts w:ascii="Arial Narrow" w:hAnsi="Arial Narrow" w:cs="ArialMT"/>
                <w:color w:val="FFFFFF"/>
                <w:sz w:val="16"/>
                <w:szCs w:val="16"/>
                <w:lang w:val="en-GB" w:eastAsia="en-GB"/>
              </w:rPr>
            </w:pPr>
            <w:r w:rsidRPr="009C59DA">
              <w:rPr>
                <w:rFonts w:ascii="Arial Narrow" w:hAnsi="Arial Narrow" w:cs="ArialMT"/>
                <w:color w:val="FFFFFF"/>
                <w:sz w:val="16"/>
                <w:szCs w:val="16"/>
                <w:lang w:val="en-GB" w:eastAsia="en-GB"/>
              </w:rPr>
              <w:t>2004</w:t>
            </w:r>
          </w:p>
        </w:tc>
        <w:tc>
          <w:tcPr>
            <w:tcW w:w="287" w:type="pct"/>
            <w:noWrap/>
            <w:hideMark/>
          </w:tcPr>
          <w:p w:rsidR="00C71FCE" w:rsidRPr="009C59DA" w:rsidRDefault="00C71FCE" w:rsidP="00DE703C">
            <w:pPr>
              <w:jc w:val="right"/>
              <w:cnfStyle w:val="100000000000" w:firstRow="1" w:lastRow="0" w:firstColumn="0" w:lastColumn="0" w:oddVBand="0" w:evenVBand="0" w:oddHBand="0" w:evenHBand="0" w:firstRowFirstColumn="0" w:firstRowLastColumn="0" w:lastRowFirstColumn="0" w:lastRowLastColumn="0"/>
              <w:rPr>
                <w:rFonts w:ascii="Arial Narrow" w:hAnsi="Arial Narrow" w:cs="ArialMT"/>
                <w:color w:val="FFFFFF"/>
                <w:sz w:val="16"/>
                <w:szCs w:val="16"/>
                <w:lang w:val="en-GB" w:eastAsia="en-GB"/>
              </w:rPr>
            </w:pPr>
            <w:r w:rsidRPr="009C59DA">
              <w:rPr>
                <w:rFonts w:ascii="Arial Narrow" w:hAnsi="Arial Narrow" w:cs="ArialMT"/>
                <w:color w:val="FFFFFF"/>
                <w:sz w:val="16"/>
                <w:szCs w:val="16"/>
                <w:lang w:val="en-GB" w:eastAsia="en-GB"/>
              </w:rPr>
              <w:t>2005</w:t>
            </w:r>
          </w:p>
        </w:tc>
        <w:tc>
          <w:tcPr>
            <w:tcW w:w="287" w:type="pct"/>
            <w:noWrap/>
            <w:hideMark/>
          </w:tcPr>
          <w:p w:rsidR="00C71FCE" w:rsidRPr="009C59DA" w:rsidRDefault="00C71FCE" w:rsidP="00DE703C">
            <w:pPr>
              <w:jc w:val="right"/>
              <w:cnfStyle w:val="100000000000" w:firstRow="1" w:lastRow="0" w:firstColumn="0" w:lastColumn="0" w:oddVBand="0" w:evenVBand="0" w:oddHBand="0" w:evenHBand="0" w:firstRowFirstColumn="0" w:firstRowLastColumn="0" w:lastRowFirstColumn="0" w:lastRowLastColumn="0"/>
              <w:rPr>
                <w:rFonts w:ascii="Arial Narrow" w:hAnsi="Arial Narrow" w:cs="ArialMT"/>
                <w:color w:val="FFFFFF"/>
                <w:sz w:val="16"/>
                <w:szCs w:val="16"/>
                <w:lang w:val="en-GB" w:eastAsia="en-GB"/>
              </w:rPr>
            </w:pPr>
            <w:r w:rsidRPr="009C59DA">
              <w:rPr>
                <w:rFonts w:ascii="Arial Narrow" w:hAnsi="Arial Narrow" w:cs="ArialMT"/>
                <w:color w:val="FFFFFF"/>
                <w:sz w:val="16"/>
                <w:szCs w:val="16"/>
                <w:lang w:val="en-GB" w:eastAsia="en-GB"/>
              </w:rPr>
              <w:t>2006</w:t>
            </w:r>
          </w:p>
        </w:tc>
        <w:tc>
          <w:tcPr>
            <w:tcW w:w="287" w:type="pct"/>
            <w:noWrap/>
            <w:hideMark/>
          </w:tcPr>
          <w:p w:rsidR="00C71FCE" w:rsidRPr="009C59DA" w:rsidRDefault="00C71FCE" w:rsidP="00DE703C">
            <w:pPr>
              <w:jc w:val="right"/>
              <w:cnfStyle w:val="100000000000" w:firstRow="1" w:lastRow="0" w:firstColumn="0" w:lastColumn="0" w:oddVBand="0" w:evenVBand="0" w:oddHBand="0" w:evenHBand="0" w:firstRowFirstColumn="0" w:firstRowLastColumn="0" w:lastRowFirstColumn="0" w:lastRowLastColumn="0"/>
              <w:rPr>
                <w:rFonts w:ascii="Arial Narrow" w:hAnsi="Arial Narrow" w:cs="ArialMT"/>
                <w:color w:val="FFFFFF"/>
                <w:sz w:val="16"/>
                <w:szCs w:val="16"/>
                <w:lang w:val="en-GB" w:eastAsia="en-GB"/>
              </w:rPr>
            </w:pPr>
            <w:r w:rsidRPr="009C59DA">
              <w:rPr>
                <w:rFonts w:ascii="Arial Narrow" w:hAnsi="Arial Narrow" w:cs="ArialMT"/>
                <w:color w:val="FFFFFF"/>
                <w:sz w:val="16"/>
                <w:szCs w:val="16"/>
                <w:lang w:val="en-GB" w:eastAsia="en-GB"/>
              </w:rPr>
              <w:t>2007</w:t>
            </w:r>
          </w:p>
        </w:tc>
        <w:tc>
          <w:tcPr>
            <w:tcW w:w="287" w:type="pct"/>
            <w:noWrap/>
            <w:hideMark/>
          </w:tcPr>
          <w:p w:rsidR="00C71FCE" w:rsidRPr="009C59DA" w:rsidRDefault="00C71FCE" w:rsidP="00DE703C">
            <w:pPr>
              <w:jc w:val="right"/>
              <w:cnfStyle w:val="100000000000" w:firstRow="1" w:lastRow="0" w:firstColumn="0" w:lastColumn="0" w:oddVBand="0" w:evenVBand="0" w:oddHBand="0" w:evenHBand="0" w:firstRowFirstColumn="0" w:firstRowLastColumn="0" w:lastRowFirstColumn="0" w:lastRowLastColumn="0"/>
              <w:rPr>
                <w:rFonts w:ascii="Arial Narrow" w:hAnsi="Arial Narrow" w:cs="ArialMT"/>
                <w:color w:val="FFFFFF"/>
                <w:sz w:val="16"/>
                <w:szCs w:val="16"/>
                <w:lang w:val="en-GB" w:eastAsia="en-GB"/>
              </w:rPr>
            </w:pPr>
            <w:r w:rsidRPr="009C59DA">
              <w:rPr>
                <w:rFonts w:ascii="Arial Narrow" w:hAnsi="Arial Narrow" w:cs="ArialMT"/>
                <w:color w:val="FFFFFF"/>
                <w:sz w:val="16"/>
                <w:szCs w:val="16"/>
                <w:lang w:val="en-GB" w:eastAsia="en-GB"/>
              </w:rPr>
              <w:t>2008</w:t>
            </w:r>
          </w:p>
        </w:tc>
        <w:tc>
          <w:tcPr>
            <w:tcW w:w="287" w:type="pct"/>
            <w:noWrap/>
            <w:hideMark/>
          </w:tcPr>
          <w:p w:rsidR="00C71FCE" w:rsidRPr="009C59DA" w:rsidRDefault="00C71FCE" w:rsidP="00DE703C">
            <w:pPr>
              <w:jc w:val="right"/>
              <w:cnfStyle w:val="100000000000" w:firstRow="1" w:lastRow="0" w:firstColumn="0" w:lastColumn="0" w:oddVBand="0" w:evenVBand="0" w:oddHBand="0" w:evenHBand="0" w:firstRowFirstColumn="0" w:firstRowLastColumn="0" w:lastRowFirstColumn="0" w:lastRowLastColumn="0"/>
              <w:rPr>
                <w:rFonts w:ascii="Arial Narrow" w:hAnsi="Arial Narrow" w:cs="ArialMT"/>
                <w:color w:val="FFFFFF"/>
                <w:sz w:val="16"/>
                <w:szCs w:val="16"/>
                <w:lang w:val="en-GB" w:eastAsia="en-GB"/>
              </w:rPr>
            </w:pPr>
            <w:r w:rsidRPr="009C59DA">
              <w:rPr>
                <w:rFonts w:ascii="Arial Narrow" w:hAnsi="Arial Narrow" w:cs="ArialMT"/>
                <w:color w:val="FFFFFF"/>
                <w:sz w:val="16"/>
                <w:szCs w:val="16"/>
                <w:lang w:val="en-GB" w:eastAsia="en-GB"/>
              </w:rPr>
              <w:t>2009</w:t>
            </w:r>
          </w:p>
        </w:tc>
        <w:tc>
          <w:tcPr>
            <w:tcW w:w="308" w:type="pct"/>
            <w:noWrap/>
            <w:hideMark/>
          </w:tcPr>
          <w:p w:rsidR="00C71FCE" w:rsidRPr="009C59DA" w:rsidRDefault="00C71FCE" w:rsidP="00DE703C">
            <w:pPr>
              <w:jc w:val="right"/>
              <w:cnfStyle w:val="100000000000" w:firstRow="1" w:lastRow="0" w:firstColumn="0" w:lastColumn="0" w:oddVBand="0" w:evenVBand="0" w:oddHBand="0" w:evenHBand="0" w:firstRowFirstColumn="0" w:firstRowLastColumn="0" w:lastRowFirstColumn="0" w:lastRowLastColumn="0"/>
              <w:rPr>
                <w:rFonts w:ascii="Arial Narrow" w:hAnsi="Arial Narrow" w:cs="ArialMT"/>
                <w:color w:val="FFFFFF"/>
                <w:sz w:val="16"/>
                <w:szCs w:val="16"/>
                <w:lang w:val="en-GB" w:eastAsia="en-GB"/>
              </w:rPr>
            </w:pPr>
            <w:r w:rsidRPr="009C59DA">
              <w:rPr>
                <w:rFonts w:ascii="Arial Narrow" w:hAnsi="Arial Narrow" w:cs="ArialMT"/>
                <w:color w:val="FFFFFF"/>
                <w:sz w:val="16"/>
                <w:szCs w:val="16"/>
                <w:lang w:val="en-GB" w:eastAsia="en-GB"/>
              </w:rPr>
              <w:t>2010</w:t>
            </w:r>
          </w:p>
        </w:tc>
        <w:tc>
          <w:tcPr>
            <w:tcW w:w="308" w:type="pct"/>
            <w:noWrap/>
            <w:hideMark/>
          </w:tcPr>
          <w:p w:rsidR="00C71FCE" w:rsidRPr="009C59DA" w:rsidRDefault="00C71FCE" w:rsidP="00DE703C">
            <w:pPr>
              <w:jc w:val="right"/>
              <w:cnfStyle w:val="100000000000" w:firstRow="1" w:lastRow="0" w:firstColumn="0" w:lastColumn="0" w:oddVBand="0" w:evenVBand="0" w:oddHBand="0" w:evenHBand="0" w:firstRowFirstColumn="0" w:firstRowLastColumn="0" w:lastRowFirstColumn="0" w:lastRowLastColumn="0"/>
              <w:rPr>
                <w:rFonts w:ascii="Arial Narrow" w:hAnsi="Arial Narrow" w:cs="ArialMT"/>
                <w:color w:val="FFFFFF"/>
                <w:sz w:val="16"/>
                <w:szCs w:val="16"/>
                <w:lang w:val="en-GB" w:eastAsia="en-GB"/>
              </w:rPr>
            </w:pPr>
            <w:r w:rsidRPr="009C59DA">
              <w:rPr>
                <w:rFonts w:ascii="Arial Narrow" w:hAnsi="Arial Narrow" w:cs="ArialMT"/>
                <w:color w:val="FFFFFF"/>
                <w:sz w:val="16"/>
                <w:szCs w:val="16"/>
                <w:lang w:val="en-GB" w:eastAsia="en-GB"/>
              </w:rPr>
              <w:t>2011</w:t>
            </w:r>
          </w:p>
        </w:tc>
        <w:tc>
          <w:tcPr>
            <w:tcW w:w="308" w:type="pct"/>
            <w:noWrap/>
            <w:hideMark/>
          </w:tcPr>
          <w:p w:rsidR="00C71FCE" w:rsidRPr="009C59DA" w:rsidRDefault="00C71FCE" w:rsidP="00DE703C">
            <w:pPr>
              <w:jc w:val="right"/>
              <w:cnfStyle w:val="100000000000" w:firstRow="1" w:lastRow="0" w:firstColumn="0" w:lastColumn="0" w:oddVBand="0" w:evenVBand="0" w:oddHBand="0" w:evenHBand="0" w:firstRowFirstColumn="0" w:firstRowLastColumn="0" w:lastRowFirstColumn="0" w:lastRowLastColumn="0"/>
              <w:rPr>
                <w:rFonts w:ascii="Arial Narrow" w:hAnsi="Arial Narrow" w:cs="ArialMT"/>
                <w:color w:val="FFFFFF"/>
                <w:sz w:val="16"/>
                <w:szCs w:val="16"/>
                <w:lang w:val="en-GB" w:eastAsia="en-GB"/>
              </w:rPr>
            </w:pPr>
            <w:r w:rsidRPr="009C59DA">
              <w:rPr>
                <w:rFonts w:ascii="Arial Narrow" w:hAnsi="Arial Narrow" w:cs="ArialMT"/>
                <w:color w:val="FFFFFF"/>
                <w:sz w:val="16"/>
                <w:szCs w:val="16"/>
                <w:lang w:val="en-GB" w:eastAsia="en-GB"/>
              </w:rPr>
              <w:t>2012</w:t>
            </w:r>
          </w:p>
        </w:tc>
        <w:tc>
          <w:tcPr>
            <w:tcW w:w="308" w:type="pct"/>
            <w:noWrap/>
            <w:hideMark/>
          </w:tcPr>
          <w:p w:rsidR="00C71FCE" w:rsidRPr="009C59DA" w:rsidRDefault="00C71FCE" w:rsidP="00DE703C">
            <w:pPr>
              <w:jc w:val="right"/>
              <w:cnfStyle w:val="100000000000" w:firstRow="1" w:lastRow="0" w:firstColumn="0" w:lastColumn="0" w:oddVBand="0" w:evenVBand="0" w:oddHBand="0" w:evenHBand="0" w:firstRowFirstColumn="0" w:firstRowLastColumn="0" w:lastRowFirstColumn="0" w:lastRowLastColumn="0"/>
              <w:rPr>
                <w:rFonts w:ascii="Arial Narrow" w:hAnsi="Arial Narrow" w:cs="ArialMT"/>
                <w:color w:val="FFFFFF"/>
                <w:sz w:val="16"/>
                <w:szCs w:val="16"/>
                <w:lang w:val="en-GB" w:eastAsia="en-GB"/>
              </w:rPr>
            </w:pPr>
            <w:r w:rsidRPr="009C59DA">
              <w:rPr>
                <w:rFonts w:ascii="Arial Narrow" w:hAnsi="Arial Narrow" w:cs="ArialMT"/>
                <w:color w:val="FFFFFF"/>
                <w:sz w:val="16"/>
                <w:szCs w:val="16"/>
                <w:lang w:val="en-GB" w:eastAsia="en-GB"/>
              </w:rPr>
              <w:t>2013</w:t>
            </w:r>
          </w:p>
        </w:tc>
        <w:tc>
          <w:tcPr>
            <w:tcW w:w="308" w:type="pct"/>
            <w:noWrap/>
            <w:hideMark/>
          </w:tcPr>
          <w:p w:rsidR="00C71FCE" w:rsidRPr="009C59DA" w:rsidRDefault="00C71FCE" w:rsidP="00DE703C">
            <w:pPr>
              <w:jc w:val="right"/>
              <w:cnfStyle w:val="100000000000" w:firstRow="1" w:lastRow="0" w:firstColumn="0" w:lastColumn="0" w:oddVBand="0" w:evenVBand="0" w:oddHBand="0" w:evenHBand="0" w:firstRowFirstColumn="0" w:firstRowLastColumn="0" w:lastRowFirstColumn="0" w:lastRowLastColumn="0"/>
              <w:rPr>
                <w:rFonts w:ascii="Arial Narrow" w:hAnsi="Arial Narrow" w:cs="ArialMT"/>
                <w:color w:val="FFFFFF"/>
                <w:sz w:val="16"/>
                <w:szCs w:val="16"/>
                <w:lang w:val="en-GB" w:eastAsia="en-GB"/>
              </w:rPr>
            </w:pPr>
            <w:r w:rsidRPr="009C59DA">
              <w:rPr>
                <w:rFonts w:ascii="Arial Narrow" w:hAnsi="Arial Narrow" w:cs="ArialMT"/>
                <w:color w:val="FFFFFF"/>
                <w:sz w:val="16"/>
                <w:szCs w:val="16"/>
                <w:lang w:val="en-GB" w:eastAsia="en-GB"/>
              </w:rPr>
              <w:t>2014</w:t>
            </w:r>
          </w:p>
        </w:tc>
        <w:tc>
          <w:tcPr>
            <w:tcW w:w="308" w:type="pct"/>
            <w:noWrap/>
            <w:hideMark/>
          </w:tcPr>
          <w:p w:rsidR="00C71FCE" w:rsidRPr="009C59DA" w:rsidRDefault="00C71FCE" w:rsidP="00DE703C">
            <w:pPr>
              <w:jc w:val="right"/>
              <w:cnfStyle w:val="100000000000" w:firstRow="1" w:lastRow="0" w:firstColumn="0" w:lastColumn="0" w:oddVBand="0" w:evenVBand="0" w:oddHBand="0" w:evenHBand="0" w:firstRowFirstColumn="0" w:firstRowLastColumn="0" w:lastRowFirstColumn="0" w:lastRowLastColumn="0"/>
              <w:rPr>
                <w:rFonts w:ascii="Arial Narrow" w:hAnsi="Arial Narrow" w:cs="ArialMT"/>
                <w:color w:val="FFFFFF"/>
                <w:sz w:val="16"/>
                <w:szCs w:val="16"/>
                <w:lang w:val="en-GB" w:eastAsia="en-GB"/>
              </w:rPr>
            </w:pPr>
            <w:r w:rsidRPr="009C59DA">
              <w:rPr>
                <w:rFonts w:ascii="Arial Narrow" w:hAnsi="Arial Narrow" w:cs="ArialMT"/>
                <w:color w:val="FFFFFF"/>
                <w:sz w:val="16"/>
                <w:szCs w:val="16"/>
                <w:lang w:val="en-GB" w:eastAsia="en-GB"/>
              </w:rPr>
              <w:t>2015</w:t>
            </w:r>
          </w:p>
        </w:tc>
      </w:tr>
      <w:tr w:rsidR="00C71FCE" w:rsidRPr="00BA553F" w:rsidTr="00516E3A">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1432" w:type="pct"/>
            <w:hideMark/>
          </w:tcPr>
          <w:p w:rsidR="00C71FCE" w:rsidRPr="00BA553F" w:rsidRDefault="00C71FCE" w:rsidP="00DE703C">
            <w:pPr>
              <w:rPr>
                <w:rFonts w:ascii="Arial Narrow" w:hAnsi="Arial Narrow" w:cs="ArialMT"/>
                <w:b w:val="0"/>
                <w:color w:val="000000"/>
                <w:sz w:val="16"/>
                <w:szCs w:val="16"/>
                <w:lang w:val="en-GB" w:eastAsia="en-GB"/>
              </w:rPr>
            </w:pPr>
            <w:proofErr w:type="spellStart"/>
            <w:r w:rsidRPr="00BA553F">
              <w:rPr>
                <w:rFonts w:ascii="Arial Narrow" w:hAnsi="Arial Narrow" w:cs="ArialMT"/>
                <w:b w:val="0"/>
                <w:color w:val="000000"/>
                <w:sz w:val="16"/>
                <w:szCs w:val="16"/>
                <w:lang w:val="en-GB" w:eastAsia="en-GB"/>
              </w:rPr>
              <w:t>Prireditve</w:t>
            </w:r>
            <w:proofErr w:type="spellEnd"/>
            <w:r w:rsidRPr="00BA553F">
              <w:rPr>
                <w:rFonts w:ascii="Arial Narrow" w:hAnsi="Arial Narrow" w:cs="ArialMT"/>
                <w:b w:val="0"/>
                <w:color w:val="000000"/>
                <w:sz w:val="16"/>
                <w:szCs w:val="16"/>
                <w:lang w:val="en-GB" w:eastAsia="en-GB"/>
              </w:rPr>
              <w:t xml:space="preserve"> v </w:t>
            </w:r>
            <w:proofErr w:type="spellStart"/>
            <w:r w:rsidRPr="00BA553F">
              <w:rPr>
                <w:rFonts w:ascii="Arial Narrow" w:hAnsi="Arial Narrow" w:cs="ArialMT"/>
                <w:b w:val="0"/>
                <w:color w:val="000000"/>
                <w:sz w:val="16"/>
                <w:szCs w:val="16"/>
                <w:lang w:val="en-GB" w:eastAsia="en-GB"/>
              </w:rPr>
              <w:t>kulturnih</w:t>
            </w:r>
            <w:proofErr w:type="spellEnd"/>
            <w:r w:rsidRPr="00BA553F">
              <w:rPr>
                <w:rFonts w:ascii="Arial Narrow" w:hAnsi="Arial Narrow" w:cs="ArialMT"/>
                <w:b w:val="0"/>
                <w:color w:val="000000"/>
                <w:sz w:val="16"/>
                <w:szCs w:val="16"/>
                <w:lang w:val="en-GB" w:eastAsia="en-GB"/>
              </w:rPr>
              <w:t xml:space="preserve"> </w:t>
            </w:r>
            <w:proofErr w:type="spellStart"/>
            <w:r w:rsidRPr="00BA553F">
              <w:rPr>
                <w:rFonts w:ascii="Arial Narrow" w:hAnsi="Arial Narrow" w:cs="ArialMT"/>
                <w:b w:val="0"/>
                <w:color w:val="000000"/>
                <w:sz w:val="16"/>
                <w:szCs w:val="16"/>
                <w:lang w:val="en-GB" w:eastAsia="en-GB"/>
              </w:rPr>
              <w:t>domovih</w:t>
            </w:r>
            <w:proofErr w:type="spellEnd"/>
            <w:r w:rsidRPr="00BA553F">
              <w:rPr>
                <w:rFonts w:ascii="Arial Narrow" w:hAnsi="Arial Narrow" w:cs="ArialMT"/>
                <w:b w:val="0"/>
                <w:color w:val="000000"/>
                <w:sz w:val="16"/>
                <w:szCs w:val="16"/>
                <w:lang w:val="en-GB" w:eastAsia="en-GB"/>
              </w:rPr>
              <w:t xml:space="preserve"> (v </w:t>
            </w:r>
            <w:proofErr w:type="spellStart"/>
            <w:r w:rsidRPr="00BA553F">
              <w:rPr>
                <w:rFonts w:ascii="Arial Narrow" w:hAnsi="Arial Narrow" w:cs="ArialMT"/>
                <w:b w:val="0"/>
                <w:color w:val="000000"/>
                <w:sz w:val="16"/>
                <w:szCs w:val="16"/>
                <w:lang w:val="en-GB" w:eastAsia="en-GB"/>
              </w:rPr>
              <w:t>tisočih</w:t>
            </w:r>
            <w:proofErr w:type="spellEnd"/>
            <w:r w:rsidRPr="00BA553F">
              <w:rPr>
                <w:rFonts w:ascii="Arial Narrow" w:hAnsi="Arial Narrow" w:cs="ArialMT"/>
                <w:b w:val="0"/>
                <w:color w:val="000000"/>
                <w:sz w:val="16"/>
                <w:szCs w:val="16"/>
                <w:lang w:val="en-GB" w:eastAsia="en-GB"/>
              </w:rPr>
              <w:t>)</w:t>
            </w:r>
          </w:p>
        </w:tc>
        <w:tc>
          <w:tcPr>
            <w:tcW w:w="287" w:type="pct"/>
            <w:hideMark/>
          </w:tcPr>
          <w:p w:rsidR="00C71FCE" w:rsidRPr="00BA553F" w:rsidRDefault="00C71FCE" w:rsidP="00DE703C">
            <w:pPr>
              <w:jc w:val="right"/>
              <w:cnfStyle w:val="000000100000" w:firstRow="0" w:lastRow="0" w:firstColumn="0" w:lastColumn="0" w:oddVBand="0" w:evenVBand="0" w:oddHBand="1" w:evenHBand="0" w:firstRowFirstColumn="0" w:firstRowLastColumn="0" w:lastRowFirstColumn="0" w:lastRowLastColumn="0"/>
              <w:rPr>
                <w:rFonts w:ascii="Arial Narrow" w:hAnsi="Arial Narrow" w:cs="ArialMT"/>
                <w:color w:val="000000"/>
                <w:sz w:val="16"/>
                <w:szCs w:val="16"/>
                <w:lang w:val="en-GB" w:eastAsia="en-GB"/>
              </w:rPr>
            </w:pPr>
            <w:r w:rsidRPr="00BA553F">
              <w:rPr>
                <w:rFonts w:ascii="Arial Narrow" w:hAnsi="Arial Narrow" w:cs="ArialMT"/>
                <w:color w:val="000000"/>
                <w:sz w:val="16"/>
                <w:szCs w:val="16"/>
                <w:lang w:val="en-GB" w:eastAsia="en-GB"/>
              </w:rPr>
              <w:t>9,34</w:t>
            </w:r>
          </w:p>
        </w:tc>
        <w:tc>
          <w:tcPr>
            <w:tcW w:w="287" w:type="pct"/>
            <w:hideMark/>
          </w:tcPr>
          <w:p w:rsidR="00C71FCE" w:rsidRPr="00BA553F" w:rsidRDefault="00C71FCE" w:rsidP="00DE703C">
            <w:pPr>
              <w:jc w:val="right"/>
              <w:cnfStyle w:val="000000100000" w:firstRow="0" w:lastRow="0" w:firstColumn="0" w:lastColumn="0" w:oddVBand="0" w:evenVBand="0" w:oddHBand="1" w:evenHBand="0" w:firstRowFirstColumn="0" w:firstRowLastColumn="0" w:lastRowFirstColumn="0" w:lastRowLastColumn="0"/>
              <w:rPr>
                <w:rFonts w:ascii="Arial Narrow" w:hAnsi="Arial Narrow" w:cs="ArialMT"/>
                <w:color w:val="000000"/>
                <w:sz w:val="16"/>
                <w:szCs w:val="16"/>
                <w:lang w:val="en-GB" w:eastAsia="en-GB"/>
              </w:rPr>
            </w:pPr>
            <w:r w:rsidRPr="00BA553F">
              <w:rPr>
                <w:rFonts w:ascii="Arial Narrow" w:hAnsi="Arial Narrow" w:cs="ArialMT"/>
                <w:color w:val="000000"/>
                <w:sz w:val="16"/>
                <w:szCs w:val="16"/>
                <w:lang w:val="en-GB" w:eastAsia="en-GB"/>
              </w:rPr>
              <w:t>8,93</w:t>
            </w:r>
          </w:p>
        </w:tc>
        <w:tc>
          <w:tcPr>
            <w:tcW w:w="287" w:type="pct"/>
            <w:hideMark/>
          </w:tcPr>
          <w:p w:rsidR="00C71FCE" w:rsidRPr="00BA553F" w:rsidRDefault="00C71FCE" w:rsidP="00DE703C">
            <w:pPr>
              <w:jc w:val="right"/>
              <w:cnfStyle w:val="000000100000" w:firstRow="0" w:lastRow="0" w:firstColumn="0" w:lastColumn="0" w:oddVBand="0" w:evenVBand="0" w:oddHBand="1" w:evenHBand="0" w:firstRowFirstColumn="0" w:firstRowLastColumn="0" w:lastRowFirstColumn="0" w:lastRowLastColumn="0"/>
              <w:rPr>
                <w:rFonts w:ascii="Arial Narrow" w:hAnsi="Arial Narrow" w:cs="ArialMT"/>
                <w:color w:val="000000"/>
                <w:sz w:val="16"/>
                <w:szCs w:val="16"/>
                <w:lang w:val="en-GB" w:eastAsia="en-GB"/>
              </w:rPr>
            </w:pPr>
            <w:r w:rsidRPr="00BA553F">
              <w:rPr>
                <w:rFonts w:ascii="Arial Narrow" w:hAnsi="Arial Narrow" w:cs="ArialMT"/>
                <w:color w:val="000000"/>
                <w:sz w:val="16"/>
                <w:szCs w:val="16"/>
                <w:lang w:val="en-GB" w:eastAsia="en-GB"/>
              </w:rPr>
              <w:t>7,72</w:t>
            </w:r>
          </w:p>
        </w:tc>
        <w:tc>
          <w:tcPr>
            <w:tcW w:w="287" w:type="pct"/>
            <w:hideMark/>
          </w:tcPr>
          <w:p w:rsidR="00C71FCE" w:rsidRPr="00BA553F" w:rsidRDefault="00C71FCE" w:rsidP="00DE703C">
            <w:pPr>
              <w:jc w:val="right"/>
              <w:cnfStyle w:val="000000100000" w:firstRow="0" w:lastRow="0" w:firstColumn="0" w:lastColumn="0" w:oddVBand="0" w:evenVBand="0" w:oddHBand="1" w:evenHBand="0" w:firstRowFirstColumn="0" w:firstRowLastColumn="0" w:lastRowFirstColumn="0" w:lastRowLastColumn="0"/>
              <w:rPr>
                <w:rFonts w:ascii="Arial Narrow" w:hAnsi="Arial Narrow" w:cs="ArialMT"/>
                <w:color w:val="000000"/>
                <w:sz w:val="16"/>
                <w:szCs w:val="16"/>
                <w:lang w:val="en-GB" w:eastAsia="en-GB"/>
              </w:rPr>
            </w:pPr>
            <w:r w:rsidRPr="00BA553F">
              <w:rPr>
                <w:rFonts w:ascii="Arial Narrow" w:hAnsi="Arial Narrow" w:cs="ArialMT"/>
                <w:color w:val="000000"/>
                <w:sz w:val="16"/>
                <w:szCs w:val="16"/>
                <w:lang w:val="en-GB" w:eastAsia="en-GB"/>
              </w:rPr>
              <w:t>8,32</w:t>
            </w:r>
          </w:p>
        </w:tc>
        <w:tc>
          <w:tcPr>
            <w:tcW w:w="287" w:type="pct"/>
            <w:hideMark/>
          </w:tcPr>
          <w:p w:rsidR="00C71FCE" w:rsidRPr="00BA553F" w:rsidRDefault="00C71FCE" w:rsidP="00DE703C">
            <w:pPr>
              <w:jc w:val="right"/>
              <w:cnfStyle w:val="000000100000" w:firstRow="0" w:lastRow="0" w:firstColumn="0" w:lastColumn="0" w:oddVBand="0" w:evenVBand="0" w:oddHBand="1" w:evenHBand="0" w:firstRowFirstColumn="0" w:firstRowLastColumn="0" w:lastRowFirstColumn="0" w:lastRowLastColumn="0"/>
              <w:rPr>
                <w:rFonts w:ascii="Arial Narrow" w:hAnsi="Arial Narrow" w:cs="ArialMT"/>
                <w:color w:val="000000"/>
                <w:sz w:val="16"/>
                <w:szCs w:val="16"/>
                <w:lang w:val="en-GB" w:eastAsia="en-GB"/>
              </w:rPr>
            </w:pPr>
            <w:r w:rsidRPr="00BA553F">
              <w:rPr>
                <w:rFonts w:ascii="Arial Narrow" w:hAnsi="Arial Narrow" w:cs="ArialMT"/>
                <w:color w:val="000000"/>
                <w:sz w:val="16"/>
                <w:szCs w:val="16"/>
                <w:lang w:val="en-GB" w:eastAsia="en-GB"/>
              </w:rPr>
              <w:t>9,37</w:t>
            </w:r>
          </w:p>
        </w:tc>
        <w:tc>
          <w:tcPr>
            <w:tcW w:w="287" w:type="pct"/>
            <w:hideMark/>
          </w:tcPr>
          <w:p w:rsidR="00C71FCE" w:rsidRPr="00BA553F" w:rsidRDefault="00C71FCE" w:rsidP="00DE703C">
            <w:pPr>
              <w:jc w:val="right"/>
              <w:cnfStyle w:val="000000100000" w:firstRow="0" w:lastRow="0" w:firstColumn="0" w:lastColumn="0" w:oddVBand="0" w:evenVBand="0" w:oddHBand="1" w:evenHBand="0" w:firstRowFirstColumn="0" w:firstRowLastColumn="0" w:lastRowFirstColumn="0" w:lastRowLastColumn="0"/>
              <w:rPr>
                <w:rFonts w:ascii="Arial Narrow" w:hAnsi="Arial Narrow" w:cs="ArialMT"/>
                <w:color w:val="000000"/>
                <w:sz w:val="16"/>
                <w:szCs w:val="16"/>
                <w:lang w:val="en-GB" w:eastAsia="en-GB"/>
              </w:rPr>
            </w:pPr>
            <w:r w:rsidRPr="00BA553F">
              <w:rPr>
                <w:rFonts w:ascii="Arial Narrow" w:hAnsi="Arial Narrow" w:cs="ArialMT"/>
                <w:color w:val="000000"/>
                <w:sz w:val="16"/>
                <w:szCs w:val="16"/>
                <w:lang w:val="en-GB" w:eastAsia="en-GB"/>
              </w:rPr>
              <w:t>8,86</w:t>
            </w:r>
          </w:p>
        </w:tc>
        <w:tc>
          <w:tcPr>
            <w:tcW w:w="308" w:type="pct"/>
            <w:hideMark/>
          </w:tcPr>
          <w:p w:rsidR="00C71FCE" w:rsidRPr="00BA553F" w:rsidRDefault="00C71FCE" w:rsidP="00DE703C">
            <w:pPr>
              <w:jc w:val="right"/>
              <w:cnfStyle w:val="000000100000" w:firstRow="0" w:lastRow="0" w:firstColumn="0" w:lastColumn="0" w:oddVBand="0" w:evenVBand="0" w:oddHBand="1" w:evenHBand="0" w:firstRowFirstColumn="0" w:firstRowLastColumn="0" w:lastRowFirstColumn="0" w:lastRowLastColumn="0"/>
              <w:rPr>
                <w:rFonts w:ascii="Arial Narrow" w:hAnsi="Arial Narrow" w:cs="ArialMT"/>
                <w:color w:val="000000"/>
                <w:sz w:val="16"/>
                <w:szCs w:val="16"/>
                <w:lang w:val="en-GB" w:eastAsia="en-GB"/>
              </w:rPr>
            </w:pPr>
            <w:r w:rsidRPr="00BA553F">
              <w:rPr>
                <w:rFonts w:ascii="Arial Narrow" w:hAnsi="Arial Narrow" w:cs="ArialMT"/>
                <w:color w:val="000000"/>
                <w:sz w:val="16"/>
                <w:szCs w:val="16"/>
                <w:lang w:val="en-GB" w:eastAsia="en-GB"/>
              </w:rPr>
              <w:t>11,12</w:t>
            </w:r>
          </w:p>
        </w:tc>
        <w:tc>
          <w:tcPr>
            <w:tcW w:w="308" w:type="pct"/>
            <w:hideMark/>
          </w:tcPr>
          <w:p w:rsidR="00C71FCE" w:rsidRPr="00BA553F" w:rsidRDefault="00C71FCE" w:rsidP="00DE703C">
            <w:pPr>
              <w:jc w:val="right"/>
              <w:cnfStyle w:val="000000100000" w:firstRow="0" w:lastRow="0" w:firstColumn="0" w:lastColumn="0" w:oddVBand="0" w:evenVBand="0" w:oddHBand="1" w:evenHBand="0" w:firstRowFirstColumn="0" w:firstRowLastColumn="0" w:lastRowFirstColumn="0" w:lastRowLastColumn="0"/>
              <w:rPr>
                <w:rFonts w:ascii="Arial Narrow" w:hAnsi="Arial Narrow" w:cs="ArialMT"/>
                <w:color w:val="000000"/>
                <w:sz w:val="16"/>
                <w:szCs w:val="16"/>
                <w:lang w:val="en-GB" w:eastAsia="en-GB"/>
              </w:rPr>
            </w:pPr>
            <w:r w:rsidRPr="00BA553F">
              <w:rPr>
                <w:rFonts w:ascii="Arial Narrow" w:hAnsi="Arial Narrow" w:cs="ArialMT"/>
                <w:color w:val="000000"/>
                <w:sz w:val="16"/>
                <w:szCs w:val="16"/>
                <w:lang w:val="en-GB" w:eastAsia="en-GB"/>
              </w:rPr>
              <w:t>11,45</w:t>
            </w:r>
          </w:p>
        </w:tc>
        <w:tc>
          <w:tcPr>
            <w:tcW w:w="308" w:type="pct"/>
            <w:hideMark/>
          </w:tcPr>
          <w:p w:rsidR="00C71FCE" w:rsidRPr="00BA553F" w:rsidRDefault="00C71FCE" w:rsidP="00DE703C">
            <w:pPr>
              <w:jc w:val="right"/>
              <w:cnfStyle w:val="000000100000" w:firstRow="0" w:lastRow="0" w:firstColumn="0" w:lastColumn="0" w:oddVBand="0" w:evenVBand="0" w:oddHBand="1" w:evenHBand="0" w:firstRowFirstColumn="0" w:firstRowLastColumn="0" w:lastRowFirstColumn="0" w:lastRowLastColumn="0"/>
              <w:rPr>
                <w:rFonts w:ascii="Arial Narrow" w:hAnsi="Arial Narrow" w:cs="ArialMT"/>
                <w:color w:val="000000"/>
                <w:sz w:val="16"/>
                <w:szCs w:val="16"/>
                <w:lang w:val="en-GB" w:eastAsia="en-GB"/>
              </w:rPr>
            </w:pPr>
            <w:r w:rsidRPr="00BA553F">
              <w:rPr>
                <w:rFonts w:ascii="Arial Narrow" w:hAnsi="Arial Narrow" w:cs="ArialMT"/>
                <w:color w:val="000000"/>
                <w:sz w:val="16"/>
                <w:szCs w:val="16"/>
                <w:lang w:val="en-GB" w:eastAsia="en-GB"/>
              </w:rPr>
              <w:t>17,47</w:t>
            </w:r>
          </w:p>
        </w:tc>
        <w:tc>
          <w:tcPr>
            <w:tcW w:w="308" w:type="pct"/>
            <w:hideMark/>
          </w:tcPr>
          <w:p w:rsidR="00C71FCE" w:rsidRPr="00BA553F" w:rsidRDefault="00C71FCE" w:rsidP="00DE703C">
            <w:pPr>
              <w:jc w:val="right"/>
              <w:cnfStyle w:val="000000100000" w:firstRow="0" w:lastRow="0" w:firstColumn="0" w:lastColumn="0" w:oddVBand="0" w:evenVBand="0" w:oddHBand="1" w:evenHBand="0" w:firstRowFirstColumn="0" w:firstRowLastColumn="0" w:lastRowFirstColumn="0" w:lastRowLastColumn="0"/>
              <w:rPr>
                <w:rFonts w:ascii="Arial Narrow" w:hAnsi="Arial Narrow" w:cs="ArialMT"/>
                <w:color w:val="000000"/>
                <w:sz w:val="16"/>
                <w:szCs w:val="16"/>
                <w:lang w:val="en-GB" w:eastAsia="en-GB"/>
              </w:rPr>
            </w:pPr>
            <w:r w:rsidRPr="00BA553F">
              <w:rPr>
                <w:rFonts w:ascii="Arial Narrow" w:hAnsi="Arial Narrow" w:cs="ArialMT"/>
                <w:color w:val="000000"/>
                <w:sz w:val="16"/>
                <w:szCs w:val="16"/>
                <w:lang w:val="en-GB" w:eastAsia="en-GB"/>
              </w:rPr>
              <w:t>11,09</w:t>
            </w:r>
          </w:p>
        </w:tc>
        <w:tc>
          <w:tcPr>
            <w:tcW w:w="308" w:type="pct"/>
            <w:hideMark/>
          </w:tcPr>
          <w:p w:rsidR="00C71FCE" w:rsidRPr="00BA553F" w:rsidRDefault="00C71FCE" w:rsidP="00DE703C">
            <w:pPr>
              <w:jc w:val="right"/>
              <w:cnfStyle w:val="000000100000" w:firstRow="0" w:lastRow="0" w:firstColumn="0" w:lastColumn="0" w:oddVBand="0" w:evenVBand="0" w:oddHBand="1" w:evenHBand="0" w:firstRowFirstColumn="0" w:firstRowLastColumn="0" w:lastRowFirstColumn="0" w:lastRowLastColumn="0"/>
              <w:rPr>
                <w:rFonts w:ascii="Arial Narrow" w:hAnsi="Arial Narrow" w:cs="ArialMT"/>
                <w:color w:val="000000"/>
                <w:sz w:val="16"/>
                <w:szCs w:val="16"/>
                <w:lang w:val="en-GB" w:eastAsia="en-GB"/>
              </w:rPr>
            </w:pPr>
            <w:r w:rsidRPr="00BA553F">
              <w:rPr>
                <w:rFonts w:ascii="Arial Narrow" w:hAnsi="Arial Narrow" w:cs="ArialMT"/>
                <w:color w:val="000000"/>
                <w:sz w:val="16"/>
                <w:szCs w:val="16"/>
                <w:lang w:val="en-GB" w:eastAsia="en-GB"/>
              </w:rPr>
              <w:t>12,01</w:t>
            </w:r>
          </w:p>
        </w:tc>
        <w:tc>
          <w:tcPr>
            <w:tcW w:w="308" w:type="pct"/>
            <w:hideMark/>
          </w:tcPr>
          <w:p w:rsidR="00C71FCE" w:rsidRPr="00BA553F" w:rsidRDefault="00C71FCE" w:rsidP="00DE703C">
            <w:pPr>
              <w:jc w:val="right"/>
              <w:cnfStyle w:val="000000100000" w:firstRow="0" w:lastRow="0" w:firstColumn="0" w:lastColumn="0" w:oddVBand="0" w:evenVBand="0" w:oddHBand="1" w:evenHBand="0" w:firstRowFirstColumn="0" w:firstRowLastColumn="0" w:lastRowFirstColumn="0" w:lastRowLastColumn="0"/>
              <w:rPr>
                <w:rFonts w:ascii="Arial Narrow" w:hAnsi="Arial Narrow" w:cs="ArialMT"/>
                <w:color w:val="000000"/>
                <w:sz w:val="16"/>
                <w:szCs w:val="16"/>
                <w:lang w:val="en-GB" w:eastAsia="en-GB"/>
              </w:rPr>
            </w:pPr>
            <w:r w:rsidRPr="00BA553F">
              <w:rPr>
                <w:rFonts w:ascii="Arial Narrow" w:hAnsi="Arial Narrow" w:cs="ArialMT"/>
                <w:color w:val="000000"/>
                <w:sz w:val="16"/>
                <w:szCs w:val="16"/>
                <w:lang w:val="en-GB" w:eastAsia="en-GB"/>
              </w:rPr>
              <w:t>15,76</w:t>
            </w:r>
          </w:p>
        </w:tc>
      </w:tr>
      <w:tr w:rsidR="00C71FCE" w:rsidRPr="00BA553F" w:rsidTr="00516E3A">
        <w:trPr>
          <w:trHeight w:val="102"/>
        </w:trPr>
        <w:tc>
          <w:tcPr>
            <w:cnfStyle w:val="001000000000" w:firstRow="0" w:lastRow="0" w:firstColumn="1" w:lastColumn="0" w:oddVBand="0" w:evenVBand="0" w:oddHBand="0" w:evenHBand="0" w:firstRowFirstColumn="0" w:firstRowLastColumn="0" w:lastRowFirstColumn="0" w:lastRowLastColumn="0"/>
            <w:tcW w:w="1432" w:type="pct"/>
            <w:hideMark/>
          </w:tcPr>
          <w:p w:rsidR="00C71FCE" w:rsidRPr="00BA553F" w:rsidRDefault="00C71FCE" w:rsidP="00DE703C">
            <w:pPr>
              <w:rPr>
                <w:rFonts w:ascii="Arial Narrow" w:hAnsi="Arial Narrow" w:cs="ArialMT"/>
                <w:b w:val="0"/>
                <w:color w:val="000000"/>
                <w:sz w:val="16"/>
                <w:szCs w:val="16"/>
                <w:lang w:val="en-GB" w:eastAsia="en-GB"/>
              </w:rPr>
            </w:pPr>
            <w:proofErr w:type="spellStart"/>
            <w:r w:rsidRPr="00BA553F">
              <w:rPr>
                <w:rFonts w:ascii="Arial Narrow" w:hAnsi="Arial Narrow" w:cs="ArialMT"/>
                <w:b w:val="0"/>
                <w:color w:val="000000"/>
                <w:sz w:val="16"/>
                <w:szCs w:val="16"/>
                <w:lang w:val="en-GB" w:eastAsia="en-GB"/>
              </w:rPr>
              <w:t>Obiskovalci</w:t>
            </w:r>
            <w:proofErr w:type="spellEnd"/>
            <w:r w:rsidRPr="00BA553F">
              <w:rPr>
                <w:rFonts w:ascii="Arial Narrow" w:hAnsi="Arial Narrow" w:cs="ArialMT"/>
                <w:b w:val="0"/>
                <w:color w:val="000000"/>
                <w:sz w:val="16"/>
                <w:szCs w:val="16"/>
                <w:lang w:val="en-GB" w:eastAsia="en-GB"/>
              </w:rPr>
              <w:t xml:space="preserve"> (v </w:t>
            </w:r>
            <w:proofErr w:type="spellStart"/>
            <w:r w:rsidRPr="00BA553F">
              <w:rPr>
                <w:rFonts w:ascii="Arial Narrow" w:hAnsi="Arial Narrow" w:cs="ArialMT"/>
                <w:b w:val="0"/>
                <w:color w:val="000000"/>
                <w:sz w:val="16"/>
                <w:szCs w:val="16"/>
                <w:lang w:val="en-GB" w:eastAsia="en-GB"/>
              </w:rPr>
              <w:t>milijonih</w:t>
            </w:r>
            <w:proofErr w:type="spellEnd"/>
            <w:r w:rsidRPr="00BA553F">
              <w:rPr>
                <w:rFonts w:ascii="Arial Narrow" w:hAnsi="Arial Narrow" w:cs="ArialMT"/>
                <w:b w:val="0"/>
                <w:color w:val="000000"/>
                <w:sz w:val="16"/>
                <w:szCs w:val="16"/>
                <w:lang w:val="en-GB" w:eastAsia="en-GB"/>
              </w:rPr>
              <w:t>)</w:t>
            </w:r>
          </w:p>
        </w:tc>
        <w:tc>
          <w:tcPr>
            <w:tcW w:w="287" w:type="pct"/>
            <w:hideMark/>
          </w:tcPr>
          <w:p w:rsidR="00C71FCE" w:rsidRPr="00BA553F" w:rsidRDefault="00C71FCE" w:rsidP="00DE703C">
            <w:pPr>
              <w:jc w:val="right"/>
              <w:cnfStyle w:val="000000000000" w:firstRow="0" w:lastRow="0" w:firstColumn="0" w:lastColumn="0" w:oddVBand="0" w:evenVBand="0" w:oddHBand="0" w:evenHBand="0" w:firstRowFirstColumn="0" w:firstRowLastColumn="0" w:lastRowFirstColumn="0" w:lastRowLastColumn="0"/>
              <w:rPr>
                <w:rFonts w:ascii="Arial Narrow" w:hAnsi="Arial Narrow" w:cs="ArialMT"/>
                <w:color w:val="000000"/>
                <w:sz w:val="16"/>
                <w:szCs w:val="16"/>
                <w:lang w:val="en-GB" w:eastAsia="en-GB"/>
              </w:rPr>
            </w:pPr>
            <w:r w:rsidRPr="00BA553F">
              <w:rPr>
                <w:rFonts w:ascii="Arial Narrow" w:hAnsi="Arial Narrow" w:cs="ArialMT"/>
                <w:color w:val="000000"/>
                <w:sz w:val="16"/>
                <w:szCs w:val="16"/>
                <w:lang w:val="en-GB" w:eastAsia="en-GB"/>
              </w:rPr>
              <w:t>2,05</w:t>
            </w:r>
          </w:p>
        </w:tc>
        <w:tc>
          <w:tcPr>
            <w:tcW w:w="287" w:type="pct"/>
            <w:hideMark/>
          </w:tcPr>
          <w:p w:rsidR="00C71FCE" w:rsidRPr="00BA553F" w:rsidRDefault="00C71FCE" w:rsidP="00DE703C">
            <w:pPr>
              <w:jc w:val="right"/>
              <w:cnfStyle w:val="000000000000" w:firstRow="0" w:lastRow="0" w:firstColumn="0" w:lastColumn="0" w:oddVBand="0" w:evenVBand="0" w:oddHBand="0" w:evenHBand="0" w:firstRowFirstColumn="0" w:firstRowLastColumn="0" w:lastRowFirstColumn="0" w:lastRowLastColumn="0"/>
              <w:rPr>
                <w:rFonts w:ascii="Arial Narrow" w:hAnsi="Arial Narrow" w:cs="ArialMT"/>
                <w:color w:val="000000"/>
                <w:sz w:val="16"/>
                <w:szCs w:val="16"/>
                <w:lang w:val="en-GB" w:eastAsia="en-GB"/>
              </w:rPr>
            </w:pPr>
            <w:r w:rsidRPr="00BA553F">
              <w:rPr>
                <w:rFonts w:ascii="Arial Narrow" w:hAnsi="Arial Narrow" w:cs="ArialMT"/>
                <w:color w:val="000000"/>
                <w:sz w:val="16"/>
                <w:szCs w:val="16"/>
                <w:lang w:val="en-GB" w:eastAsia="en-GB"/>
              </w:rPr>
              <w:t>1,73</w:t>
            </w:r>
          </w:p>
        </w:tc>
        <w:tc>
          <w:tcPr>
            <w:tcW w:w="287" w:type="pct"/>
            <w:hideMark/>
          </w:tcPr>
          <w:p w:rsidR="00C71FCE" w:rsidRPr="00BA553F" w:rsidRDefault="00C71FCE" w:rsidP="00DE703C">
            <w:pPr>
              <w:jc w:val="right"/>
              <w:cnfStyle w:val="000000000000" w:firstRow="0" w:lastRow="0" w:firstColumn="0" w:lastColumn="0" w:oddVBand="0" w:evenVBand="0" w:oddHBand="0" w:evenHBand="0" w:firstRowFirstColumn="0" w:firstRowLastColumn="0" w:lastRowFirstColumn="0" w:lastRowLastColumn="0"/>
              <w:rPr>
                <w:rFonts w:ascii="Arial Narrow" w:hAnsi="Arial Narrow" w:cs="ArialMT"/>
                <w:color w:val="000000"/>
                <w:sz w:val="16"/>
                <w:szCs w:val="16"/>
                <w:lang w:val="en-GB" w:eastAsia="en-GB"/>
              </w:rPr>
            </w:pPr>
            <w:r w:rsidRPr="00BA553F">
              <w:rPr>
                <w:rFonts w:ascii="Arial Narrow" w:hAnsi="Arial Narrow" w:cs="ArialMT"/>
                <w:color w:val="000000"/>
                <w:sz w:val="16"/>
                <w:szCs w:val="16"/>
                <w:lang w:val="en-GB" w:eastAsia="en-GB"/>
              </w:rPr>
              <w:t>1,84</w:t>
            </w:r>
          </w:p>
        </w:tc>
        <w:tc>
          <w:tcPr>
            <w:tcW w:w="287" w:type="pct"/>
            <w:hideMark/>
          </w:tcPr>
          <w:p w:rsidR="00C71FCE" w:rsidRPr="00BA553F" w:rsidRDefault="00C71FCE" w:rsidP="00DE703C">
            <w:pPr>
              <w:jc w:val="right"/>
              <w:cnfStyle w:val="000000000000" w:firstRow="0" w:lastRow="0" w:firstColumn="0" w:lastColumn="0" w:oddVBand="0" w:evenVBand="0" w:oddHBand="0" w:evenHBand="0" w:firstRowFirstColumn="0" w:firstRowLastColumn="0" w:lastRowFirstColumn="0" w:lastRowLastColumn="0"/>
              <w:rPr>
                <w:rFonts w:ascii="Arial Narrow" w:hAnsi="Arial Narrow" w:cs="ArialMT"/>
                <w:color w:val="000000"/>
                <w:sz w:val="16"/>
                <w:szCs w:val="16"/>
                <w:lang w:val="en-GB" w:eastAsia="en-GB"/>
              </w:rPr>
            </w:pPr>
            <w:r w:rsidRPr="00BA553F">
              <w:rPr>
                <w:rFonts w:ascii="Arial Narrow" w:hAnsi="Arial Narrow" w:cs="ArialMT"/>
                <w:color w:val="000000"/>
                <w:sz w:val="16"/>
                <w:szCs w:val="16"/>
                <w:lang w:val="en-GB" w:eastAsia="en-GB"/>
              </w:rPr>
              <w:t>2,35</w:t>
            </w:r>
          </w:p>
        </w:tc>
        <w:tc>
          <w:tcPr>
            <w:tcW w:w="287" w:type="pct"/>
            <w:hideMark/>
          </w:tcPr>
          <w:p w:rsidR="00C71FCE" w:rsidRPr="00BA553F" w:rsidRDefault="00C71FCE" w:rsidP="00DE703C">
            <w:pPr>
              <w:jc w:val="right"/>
              <w:cnfStyle w:val="000000000000" w:firstRow="0" w:lastRow="0" w:firstColumn="0" w:lastColumn="0" w:oddVBand="0" w:evenVBand="0" w:oddHBand="0" w:evenHBand="0" w:firstRowFirstColumn="0" w:firstRowLastColumn="0" w:lastRowFirstColumn="0" w:lastRowLastColumn="0"/>
              <w:rPr>
                <w:rFonts w:ascii="Arial Narrow" w:hAnsi="Arial Narrow" w:cs="ArialMT"/>
                <w:color w:val="000000"/>
                <w:sz w:val="16"/>
                <w:szCs w:val="16"/>
                <w:lang w:val="en-GB" w:eastAsia="en-GB"/>
              </w:rPr>
            </w:pPr>
            <w:r w:rsidRPr="00BA553F">
              <w:rPr>
                <w:rFonts w:ascii="Arial Narrow" w:hAnsi="Arial Narrow" w:cs="ArialMT"/>
                <w:color w:val="000000"/>
                <w:sz w:val="16"/>
                <w:szCs w:val="16"/>
                <w:lang w:val="en-GB" w:eastAsia="en-GB"/>
              </w:rPr>
              <w:t>2,15</w:t>
            </w:r>
          </w:p>
        </w:tc>
        <w:tc>
          <w:tcPr>
            <w:tcW w:w="287" w:type="pct"/>
            <w:hideMark/>
          </w:tcPr>
          <w:p w:rsidR="00C71FCE" w:rsidRPr="00BA553F" w:rsidRDefault="00C71FCE" w:rsidP="00DE703C">
            <w:pPr>
              <w:jc w:val="right"/>
              <w:cnfStyle w:val="000000000000" w:firstRow="0" w:lastRow="0" w:firstColumn="0" w:lastColumn="0" w:oddVBand="0" w:evenVBand="0" w:oddHBand="0" w:evenHBand="0" w:firstRowFirstColumn="0" w:firstRowLastColumn="0" w:lastRowFirstColumn="0" w:lastRowLastColumn="0"/>
              <w:rPr>
                <w:rFonts w:ascii="Arial Narrow" w:hAnsi="Arial Narrow" w:cs="ArialMT"/>
                <w:color w:val="000000"/>
                <w:sz w:val="16"/>
                <w:szCs w:val="16"/>
                <w:lang w:val="en-GB" w:eastAsia="en-GB"/>
              </w:rPr>
            </w:pPr>
            <w:r w:rsidRPr="00BA553F">
              <w:rPr>
                <w:rFonts w:ascii="Arial Narrow" w:hAnsi="Arial Narrow" w:cs="ArialMT"/>
                <w:color w:val="000000"/>
                <w:sz w:val="16"/>
                <w:szCs w:val="16"/>
                <w:lang w:val="en-GB" w:eastAsia="en-GB"/>
              </w:rPr>
              <w:t>2,25</w:t>
            </w:r>
          </w:p>
        </w:tc>
        <w:tc>
          <w:tcPr>
            <w:tcW w:w="308" w:type="pct"/>
            <w:hideMark/>
          </w:tcPr>
          <w:p w:rsidR="00C71FCE" w:rsidRPr="00BA553F" w:rsidRDefault="00C71FCE" w:rsidP="00DE703C">
            <w:pPr>
              <w:jc w:val="right"/>
              <w:cnfStyle w:val="000000000000" w:firstRow="0" w:lastRow="0" w:firstColumn="0" w:lastColumn="0" w:oddVBand="0" w:evenVBand="0" w:oddHBand="0" w:evenHBand="0" w:firstRowFirstColumn="0" w:firstRowLastColumn="0" w:lastRowFirstColumn="0" w:lastRowLastColumn="0"/>
              <w:rPr>
                <w:rFonts w:ascii="Arial Narrow" w:hAnsi="Arial Narrow" w:cs="ArialMT"/>
                <w:color w:val="000000"/>
                <w:sz w:val="16"/>
                <w:szCs w:val="16"/>
                <w:lang w:val="en-GB" w:eastAsia="en-GB"/>
              </w:rPr>
            </w:pPr>
            <w:r w:rsidRPr="00BA553F">
              <w:rPr>
                <w:rFonts w:ascii="Arial Narrow" w:hAnsi="Arial Narrow" w:cs="ArialMT"/>
                <w:color w:val="000000"/>
                <w:sz w:val="16"/>
                <w:szCs w:val="16"/>
                <w:lang w:val="en-GB" w:eastAsia="en-GB"/>
              </w:rPr>
              <w:t>2,38</w:t>
            </w:r>
          </w:p>
        </w:tc>
        <w:tc>
          <w:tcPr>
            <w:tcW w:w="308" w:type="pct"/>
            <w:hideMark/>
          </w:tcPr>
          <w:p w:rsidR="00C71FCE" w:rsidRPr="00BA553F" w:rsidRDefault="00C71FCE" w:rsidP="00DE703C">
            <w:pPr>
              <w:jc w:val="right"/>
              <w:cnfStyle w:val="000000000000" w:firstRow="0" w:lastRow="0" w:firstColumn="0" w:lastColumn="0" w:oddVBand="0" w:evenVBand="0" w:oddHBand="0" w:evenHBand="0" w:firstRowFirstColumn="0" w:firstRowLastColumn="0" w:lastRowFirstColumn="0" w:lastRowLastColumn="0"/>
              <w:rPr>
                <w:rFonts w:ascii="Arial Narrow" w:hAnsi="Arial Narrow" w:cs="ArialMT"/>
                <w:color w:val="000000"/>
                <w:sz w:val="16"/>
                <w:szCs w:val="16"/>
                <w:lang w:val="en-GB" w:eastAsia="en-GB"/>
              </w:rPr>
            </w:pPr>
            <w:r w:rsidRPr="00BA553F">
              <w:rPr>
                <w:rFonts w:ascii="Arial Narrow" w:hAnsi="Arial Narrow" w:cs="ArialMT"/>
                <w:color w:val="000000"/>
                <w:sz w:val="16"/>
                <w:szCs w:val="16"/>
                <w:lang w:val="en-GB" w:eastAsia="en-GB"/>
              </w:rPr>
              <w:t>2,94</w:t>
            </w:r>
          </w:p>
        </w:tc>
        <w:tc>
          <w:tcPr>
            <w:tcW w:w="308" w:type="pct"/>
            <w:hideMark/>
          </w:tcPr>
          <w:p w:rsidR="00C71FCE" w:rsidRPr="00BA553F" w:rsidRDefault="00C71FCE" w:rsidP="00DE703C">
            <w:pPr>
              <w:jc w:val="right"/>
              <w:cnfStyle w:val="000000000000" w:firstRow="0" w:lastRow="0" w:firstColumn="0" w:lastColumn="0" w:oddVBand="0" w:evenVBand="0" w:oddHBand="0" w:evenHBand="0" w:firstRowFirstColumn="0" w:firstRowLastColumn="0" w:lastRowFirstColumn="0" w:lastRowLastColumn="0"/>
              <w:rPr>
                <w:rFonts w:ascii="Arial Narrow" w:hAnsi="Arial Narrow" w:cs="ArialMT"/>
                <w:color w:val="000000"/>
                <w:sz w:val="16"/>
                <w:szCs w:val="16"/>
                <w:lang w:val="en-GB" w:eastAsia="en-GB"/>
              </w:rPr>
            </w:pPr>
            <w:r w:rsidRPr="00BA553F">
              <w:rPr>
                <w:rFonts w:ascii="Arial Narrow" w:hAnsi="Arial Narrow" w:cs="ArialMT"/>
                <w:color w:val="000000"/>
                <w:sz w:val="16"/>
                <w:szCs w:val="16"/>
                <w:lang w:val="en-GB" w:eastAsia="en-GB"/>
              </w:rPr>
              <w:t>8,94</w:t>
            </w:r>
          </w:p>
        </w:tc>
        <w:tc>
          <w:tcPr>
            <w:tcW w:w="308" w:type="pct"/>
            <w:hideMark/>
          </w:tcPr>
          <w:p w:rsidR="00C71FCE" w:rsidRPr="00BA553F" w:rsidRDefault="00C71FCE" w:rsidP="00DE703C">
            <w:pPr>
              <w:jc w:val="right"/>
              <w:cnfStyle w:val="000000000000" w:firstRow="0" w:lastRow="0" w:firstColumn="0" w:lastColumn="0" w:oddVBand="0" w:evenVBand="0" w:oddHBand="0" w:evenHBand="0" w:firstRowFirstColumn="0" w:firstRowLastColumn="0" w:lastRowFirstColumn="0" w:lastRowLastColumn="0"/>
              <w:rPr>
                <w:rFonts w:ascii="Arial Narrow" w:hAnsi="Arial Narrow" w:cs="ArialMT"/>
                <w:color w:val="000000"/>
                <w:sz w:val="16"/>
                <w:szCs w:val="16"/>
                <w:lang w:val="en-GB" w:eastAsia="en-GB"/>
              </w:rPr>
            </w:pPr>
            <w:r w:rsidRPr="00BA553F">
              <w:rPr>
                <w:rFonts w:ascii="Arial Narrow" w:hAnsi="Arial Narrow" w:cs="ArialMT"/>
                <w:color w:val="000000"/>
                <w:sz w:val="16"/>
                <w:szCs w:val="16"/>
                <w:lang w:val="en-GB" w:eastAsia="en-GB"/>
              </w:rPr>
              <w:t>2,67</w:t>
            </w:r>
          </w:p>
        </w:tc>
        <w:tc>
          <w:tcPr>
            <w:tcW w:w="308" w:type="pct"/>
            <w:hideMark/>
          </w:tcPr>
          <w:p w:rsidR="00C71FCE" w:rsidRPr="00BA553F" w:rsidRDefault="00C71FCE" w:rsidP="00DE703C">
            <w:pPr>
              <w:jc w:val="right"/>
              <w:cnfStyle w:val="000000000000" w:firstRow="0" w:lastRow="0" w:firstColumn="0" w:lastColumn="0" w:oddVBand="0" w:evenVBand="0" w:oddHBand="0" w:evenHBand="0" w:firstRowFirstColumn="0" w:firstRowLastColumn="0" w:lastRowFirstColumn="0" w:lastRowLastColumn="0"/>
              <w:rPr>
                <w:rFonts w:ascii="Arial Narrow" w:hAnsi="Arial Narrow" w:cs="ArialMT"/>
                <w:color w:val="000000"/>
                <w:sz w:val="16"/>
                <w:szCs w:val="16"/>
                <w:lang w:val="en-GB" w:eastAsia="en-GB"/>
              </w:rPr>
            </w:pPr>
            <w:r w:rsidRPr="00BA553F">
              <w:rPr>
                <w:rFonts w:ascii="Arial Narrow" w:hAnsi="Arial Narrow" w:cs="ArialMT"/>
                <w:color w:val="000000"/>
                <w:sz w:val="16"/>
                <w:szCs w:val="16"/>
                <w:lang w:val="en-GB" w:eastAsia="en-GB"/>
              </w:rPr>
              <w:t>3,06</w:t>
            </w:r>
          </w:p>
        </w:tc>
        <w:tc>
          <w:tcPr>
            <w:tcW w:w="308" w:type="pct"/>
            <w:hideMark/>
          </w:tcPr>
          <w:p w:rsidR="00C71FCE" w:rsidRPr="00BA553F" w:rsidRDefault="00C71FCE" w:rsidP="00DE703C">
            <w:pPr>
              <w:jc w:val="right"/>
              <w:cnfStyle w:val="000000000000" w:firstRow="0" w:lastRow="0" w:firstColumn="0" w:lastColumn="0" w:oddVBand="0" w:evenVBand="0" w:oddHBand="0" w:evenHBand="0" w:firstRowFirstColumn="0" w:firstRowLastColumn="0" w:lastRowFirstColumn="0" w:lastRowLastColumn="0"/>
              <w:rPr>
                <w:rFonts w:ascii="Arial Narrow" w:hAnsi="Arial Narrow" w:cs="ArialMT"/>
                <w:color w:val="000000"/>
                <w:sz w:val="16"/>
                <w:szCs w:val="16"/>
                <w:lang w:val="en-GB" w:eastAsia="en-GB"/>
              </w:rPr>
            </w:pPr>
            <w:r w:rsidRPr="00BA553F">
              <w:rPr>
                <w:rFonts w:ascii="Arial Narrow" w:hAnsi="Arial Narrow" w:cs="ArialMT"/>
                <w:color w:val="000000"/>
                <w:sz w:val="16"/>
                <w:szCs w:val="16"/>
                <w:lang w:val="en-GB" w:eastAsia="en-GB"/>
              </w:rPr>
              <w:t>4,00</w:t>
            </w:r>
          </w:p>
        </w:tc>
      </w:tr>
      <w:tr w:rsidR="00C71FCE" w:rsidRPr="00BA553F" w:rsidTr="00516E3A">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1432" w:type="pct"/>
            <w:hideMark/>
          </w:tcPr>
          <w:p w:rsidR="00C71FCE" w:rsidRPr="00BA553F" w:rsidRDefault="00C71FCE" w:rsidP="00DE703C">
            <w:pPr>
              <w:rPr>
                <w:rFonts w:ascii="Arial Narrow" w:hAnsi="Arial Narrow" w:cs="ArialMT"/>
                <w:b w:val="0"/>
                <w:color w:val="000000"/>
                <w:sz w:val="16"/>
                <w:szCs w:val="16"/>
                <w:lang w:val="en-GB" w:eastAsia="en-GB"/>
              </w:rPr>
            </w:pPr>
            <w:proofErr w:type="spellStart"/>
            <w:r w:rsidRPr="00BA553F">
              <w:rPr>
                <w:rFonts w:ascii="Arial Narrow" w:hAnsi="Arial Narrow" w:cs="ArialMT"/>
                <w:b w:val="0"/>
                <w:color w:val="000000"/>
                <w:sz w:val="16"/>
                <w:szCs w:val="16"/>
                <w:lang w:val="en-GB" w:eastAsia="en-GB"/>
              </w:rPr>
              <w:t>Povpr</w:t>
            </w:r>
            <w:proofErr w:type="spellEnd"/>
            <w:r w:rsidRPr="00BA553F">
              <w:rPr>
                <w:rFonts w:ascii="Arial Narrow" w:hAnsi="Arial Narrow" w:cs="ArialMT"/>
                <w:b w:val="0"/>
                <w:color w:val="000000"/>
                <w:sz w:val="16"/>
                <w:szCs w:val="16"/>
                <w:lang w:val="en-GB" w:eastAsia="en-GB"/>
              </w:rPr>
              <w:t xml:space="preserve">. </w:t>
            </w:r>
            <w:proofErr w:type="spellStart"/>
            <w:r w:rsidRPr="00BA553F">
              <w:rPr>
                <w:rFonts w:ascii="Arial Narrow" w:hAnsi="Arial Narrow" w:cs="ArialMT"/>
                <w:b w:val="0"/>
                <w:color w:val="000000"/>
                <w:sz w:val="16"/>
                <w:szCs w:val="16"/>
                <w:lang w:val="en-GB" w:eastAsia="en-GB"/>
              </w:rPr>
              <w:t>št</w:t>
            </w:r>
            <w:proofErr w:type="spellEnd"/>
            <w:r w:rsidRPr="00BA553F">
              <w:rPr>
                <w:rFonts w:ascii="Arial Narrow" w:hAnsi="Arial Narrow" w:cs="ArialMT"/>
                <w:b w:val="0"/>
                <w:color w:val="000000"/>
                <w:sz w:val="16"/>
                <w:szCs w:val="16"/>
                <w:lang w:val="en-GB" w:eastAsia="en-GB"/>
              </w:rPr>
              <w:t xml:space="preserve">. </w:t>
            </w:r>
            <w:proofErr w:type="spellStart"/>
            <w:r w:rsidRPr="00BA553F">
              <w:rPr>
                <w:rFonts w:ascii="Arial Narrow" w:hAnsi="Arial Narrow" w:cs="ArialMT"/>
                <w:b w:val="0"/>
                <w:color w:val="000000"/>
                <w:sz w:val="16"/>
                <w:szCs w:val="16"/>
                <w:lang w:val="en-GB" w:eastAsia="en-GB"/>
              </w:rPr>
              <w:t>obiskovalcev</w:t>
            </w:r>
            <w:proofErr w:type="spellEnd"/>
            <w:r w:rsidRPr="00BA553F">
              <w:rPr>
                <w:rFonts w:ascii="Arial Narrow" w:hAnsi="Arial Narrow" w:cs="ArialMT"/>
                <w:b w:val="0"/>
                <w:color w:val="000000"/>
                <w:sz w:val="16"/>
                <w:szCs w:val="16"/>
                <w:lang w:val="en-GB" w:eastAsia="en-GB"/>
              </w:rPr>
              <w:t xml:space="preserve"> </w:t>
            </w:r>
            <w:proofErr w:type="spellStart"/>
            <w:r w:rsidRPr="00BA553F">
              <w:rPr>
                <w:rFonts w:ascii="Arial Narrow" w:hAnsi="Arial Narrow" w:cs="ArialMT"/>
                <w:b w:val="0"/>
                <w:color w:val="000000"/>
                <w:sz w:val="16"/>
                <w:szCs w:val="16"/>
                <w:lang w:val="en-GB" w:eastAsia="en-GB"/>
              </w:rPr>
              <w:t>na</w:t>
            </w:r>
            <w:proofErr w:type="spellEnd"/>
            <w:r w:rsidRPr="00BA553F">
              <w:rPr>
                <w:rFonts w:ascii="Arial Narrow" w:hAnsi="Arial Narrow" w:cs="ArialMT"/>
                <w:b w:val="0"/>
                <w:color w:val="000000"/>
                <w:sz w:val="16"/>
                <w:szCs w:val="16"/>
                <w:lang w:val="en-GB" w:eastAsia="en-GB"/>
              </w:rPr>
              <w:t xml:space="preserve"> </w:t>
            </w:r>
            <w:proofErr w:type="spellStart"/>
            <w:r w:rsidRPr="00BA553F">
              <w:rPr>
                <w:rFonts w:ascii="Arial Narrow" w:hAnsi="Arial Narrow" w:cs="ArialMT"/>
                <w:b w:val="0"/>
                <w:color w:val="000000"/>
                <w:sz w:val="16"/>
                <w:szCs w:val="16"/>
                <w:lang w:val="en-GB" w:eastAsia="en-GB"/>
              </w:rPr>
              <w:t>prireditev</w:t>
            </w:r>
            <w:proofErr w:type="spellEnd"/>
          </w:p>
        </w:tc>
        <w:tc>
          <w:tcPr>
            <w:tcW w:w="287" w:type="pct"/>
            <w:hideMark/>
          </w:tcPr>
          <w:p w:rsidR="00C71FCE" w:rsidRPr="00BA553F" w:rsidRDefault="00C71FCE" w:rsidP="00DE703C">
            <w:pPr>
              <w:jc w:val="right"/>
              <w:cnfStyle w:val="000000100000" w:firstRow="0" w:lastRow="0" w:firstColumn="0" w:lastColumn="0" w:oddVBand="0" w:evenVBand="0" w:oddHBand="1" w:evenHBand="0" w:firstRowFirstColumn="0" w:firstRowLastColumn="0" w:lastRowFirstColumn="0" w:lastRowLastColumn="0"/>
              <w:rPr>
                <w:rFonts w:ascii="Arial Narrow" w:hAnsi="Arial Narrow" w:cs="ArialMT"/>
                <w:color w:val="000000"/>
                <w:sz w:val="16"/>
                <w:szCs w:val="16"/>
                <w:lang w:val="en-GB" w:eastAsia="en-GB"/>
              </w:rPr>
            </w:pPr>
            <w:r w:rsidRPr="00BA553F">
              <w:rPr>
                <w:rFonts w:ascii="Arial Narrow" w:hAnsi="Arial Narrow" w:cs="ArialMT"/>
                <w:color w:val="000000"/>
                <w:sz w:val="16"/>
                <w:szCs w:val="16"/>
                <w:lang w:val="en-GB" w:eastAsia="en-GB"/>
              </w:rPr>
              <w:t>220</w:t>
            </w:r>
          </w:p>
        </w:tc>
        <w:tc>
          <w:tcPr>
            <w:tcW w:w="287" w:type="pct"/>
            <w:hideMark/>
          </w:tcPr>
          <w:p w:rsidR="00C71FCE" w:rsidRPr="00BA553F" w:rsidRDefault="00C71FCE" w:rsidP="00DE703C">
            <w:pPr>
              <w:jc w:val="right"/>
              <w:cnfStyle w:val="000000100000" w:firstRow="0" w:lastRow="0" w:firstColumn="0" w:lastColumn="0" w:oddVBand="0" w:evenVBand="0" w:oddHBand="1" w:evenHBand="0" w:firstRowFirstColumn="0" w:firstRowLastColumn="0" w:lastRowFirstColumn="0" w:lastRowLastColumn="0"/>
              <w:rPr>
                <w:rFonts w:ascii="Arial Narrow" w:hAnsi="Arial Narrow" w:cs="ArialMT"/>
                <w:color w:val="000000"/>
                <w:sz w:val="16"/>
                <w:szCs w:val="16"/>
                <w:lang w:val="en-GB" w:eastAsia="en-GB"/>
              </w:rPr>
            </w:pPr>
            <w:r w:rsidRPr="00BA553F">
              <w:rPr>
                <w:rFonts w:ascii="Arial Narrow" w:hAnsi="Arial Narrow" w:cs="ArialMT"/>
                <w:color w:val="000000"/>
                <w:sz w:val="16"/>
                <w:szCs w:val="16"/>
                <w:lang w:val="en-GB" w:eastAsia="en-GB"/>
              </w:rPr>
              <w:t>194</w:t>
            </w:r>
          </w:p>
        </w:tc>
        <w:tc>
          <w:tcPr>
            <w:tcW w:w="287" w:type="pct"/>
            <w:hideMark/>
          </w:tcPr>
          <w:p w:rsidR="00C71FCE" w:rsidRPr="00BA553F" w:rsidRDefault="00C71FCE" w:rsidP="00DE703C">
            <w:pPr>
              <w:jc w:val="right"/>
              <w:cnfStyle w:val="000000100000" w:firstRow="0" w:lastRow="0" w:firstColumn="0" w:lastColumn="0" w:oddVBand="0" w:evenVBand="0" w:oddHBand="1" w:evenHBand="0" w:firstRowFirstColumn="0" w:firstRowLastColumn="0" w:lastRowFirstColumn="0" w:lastRowLastColumn="0"/>
              <w:rPr>
                <w:rFonts w:ascii="Arial Narrow" w:hAnsi="Arial Narrow" w:cs="ArialMT"/>
                <w:color w:val="000000"/>
                <w:sz w:val="16"/>
                <w:szCs w:val="16"/>
                <w:lang w:val="en-GB" w:eastAsia="en-GB"/>
              </w:rPr>
            </w:pPr>
            <w:r w:rsidRPr="00BA553F">
              <w:rPr>
                <w:rFonts w:ascii="Arial Narrow" w:hAnsi="Arial Narrow" w:cs="ArialMT"/>
                <w:color w:val="000000"/>
                <w:sz w:val="16"/>
                <w:szCs w:val="16"/>
                <w:lang w:val="en-GB" w:eastAsia="en-GB"/>
              </w:rPr>
              <w:t>239</w:t>
            </w:r>
          </w:p>
        </w:tc>
        <w:tc>
          <w:tcPr>
            <w:tcW w:w="287" w:type="pct"/>
            <w:hideMark/>
          </w:tcPr>
          <w:p w:rsidR="00C71FCE" w:rsidRPr="00BA553F" w:rsidRDefault="00C71FCE" w:rsidP="00DE703C">
            <w:pPr>
              <w:jc w:val="right"/>
              <w:cnfStyle w:val="000000100000" w:firstRow="0" w:lastRow="0" w:firstColumn="0" w:lastColumn="0" w:oddVBand="0" w:evenVBand="0" w:oddHBand="1" w:evenHBand="0" w:firstRowFirstColumn="0" w:firstRowLastColumn="0" w:lastRowFirstColumn="0" w:lastRowLastColumn="0"/>
              <w:rPr>
                <w:rFonts w:ascii="Arial Narrow" w:hAnsi="Arial Narrow" w:cs="ArialMT"/>
                <w:color w:val="000000"/>
                <w:sz w:val="16"/>
                <w:szCs w:val="16"/>
                <w:lang w:val="en-GB" w:eastAsia="en-GB"/>
              </w:rPr>
            </w:pPr>
            <w:r w:rsidRPr="00BA553F">
              <w:rPr>
                <w:rFonts w:ascii="Arial Narrow" w:hAnsi="Arial Narrow" w:cs="ArialMT"/>
                <w:color w:val="000000"/>
                <w:sz w:val="16"/>
                <w:szCs w:val="16"/>
                <w:lang w:val="en-GB" w:eastAsia="en-GB"/>
              </w:rPr>
              <w:t>282</w:t>
            </w:r>
          </w:p>
        </w:tc>
        <w:tc>
          <w:tcPr>
            <w:tcW w:w="287" w:type="pct"/>
            <w:hideMark/>
          </w:tcPr>
          <w:p w:rsidR="00C71FCE" w:rsidRPr="00BA553F" w:rsidRDefault="00C71FCE" w:rsidP="00DE703C">
            <w:pPr>
              <w:jc w:val="right"/>
              <w:cnfStyle w:val="000000100000" w:firstRow="0" w:lastRow="0" w:firstColumn="0" w:lastColumn="0" w:oddVBand="0" w:evenVBand="0" w:oddHBand="1" w:evenHBand="0" w:firstRowFirstColumn="0" w:firstRowLastColumn="0" w:lastRowFirstColumn="0" w:lastRowLastColumn="0"/>
              <w:rPr>
                <w:rFonts w:ascii="Arial Narrow" w:hAnsi="Arial Narrow" w:cs="ArialMT"/>
                <w:color w:val="000000"/>
                <w:sz w:val="16"/>
                <w:szCs w:val="16"/>
                <w:lang w:val="en-GB" w:eastAsia="en-GB"/>
              </w:rPr>
            </w:pPr>
            <w:r w:rsidRPr="00BA553F">
              <w:rPr>
                <w:rFonts w:ascii="Arial Narrow" w:hAnsi="Arial Narrow" w:cs="ArialMT"/>
                <w:color w:val="000000"/>
                <w:sz w:val="16"/>
                <w:szCs w:val="16"/>
                <w:lang w:val="en-GB" w:eastAsia="en-GB"/>
              </w:rPr>
              <w:t>230</w:t>
            </w:r>
          </w:p>
        </w:tc>
        <w:tc>
          <w:tcPr>
            <w:tcW w:w="287" w:type="pct"/>
            <w:hideMark/>
          </w:tcPr>
          <w:p w:rsidR="00C71FCE" w:rsidRPr="00BA553F" w:rsidRDefault="00C71FCE" w:rsidP="00DE703C">
            <w:pPr>
              <w:jc w:val="right"/>
              <w:cnfStyle w:val="000000100000" w:firstRow="0" w:lastRow="0" w:firstColumn="0" w:lastColumn="0" w:oddVBand="0" w:evenVBand="0" w:oddHBand="1" w:evenHBand="0" w:firstRowFirstColumn="0" w:firstRowLastColumn="0" w:lastRowFirstColumn="0" w:lastRowLastColumn="0"/>
              <w:rPr>
                <w:rFonts w:ascii="Arial Narrow" w:hAnsi="Arial Narrow" w:cs="ArialMT"/>
                <w:color w:val="000000"/>
                <w:sz w:val="16"/>
                <w:szCs w:val="16"/>
                <w:lang w:val="en-GB" w:eastAsia="en-GB"/>
              </w:rPr>
            </w:pPr>
            <w:r w:rsidRPr="00BA553F">
              <w:rPr>
                <w:rFonts w:ascii="Arial Narrow" w:hAnsi="Arial Narrow" w:cs="ArialMT"/>
                <w:color w:val="000000"/>
                <w:sz w:val="16"/>
                <w:szCs w:val="16"/>
                <w:lang w:val="en-GB" w:eastAsia="en-GB"/>
              </w:rPr>
              <w:t>254</w:t>
            </w:r>
          </w:p>
        </w:tc>
        <w:tc>
          <w:tcPr>
            <w:tcW w:w="308" w:type="pct"/>
            <w:hideMark/>
          </w:tcPr>
          <w:p w:rsidR="00C71FCE" w:rsidRPr="00BA553F" w:rsidRDefault="00C71FCE" w:rsidP="00DE703C">
            <w:pPr>
              <w:jc w:val="right"/>
              <w:cnfStyle w:val="000000100000" w:firstRow="0" w:lastRow="0" w:firstColumn="0" w:lastColumn="0" w:oddVBand="0" w:evenVBand="0" w:oddHBand="1" w:evenHBand="0" w:firstRowFirstColumn="0" w:firstRowLastColumn="0" w:lastRowFirstColumn="0" w:lastRowLastColumn="0"/>
              <w:rPr>
                <w:rFonts w:ascii="Arial Narrow" w:hAnsi="Arial Narrow" w:cs="ArialMT"/>
                <w:color w:val="000000"/>
                <w:sz w:val="16"/>
                <w:szCs w:val="16"/>
                <w:lang w:val="en-GB" w:eastAsia="en-GB"/>
              </w:rPr>
            </w:pPr>
            <w:r w:rsidRPr="00BA553F">
              <w:rPr>
                <w:rFonts w:ascii="Arial Narrow" w:hAnsi="Arial Narrow" w:cs="ArialMT"/>
                <w:color w:val="000000"/>
                <w:sz w:val="16"/>
                <w:szCs w:val="16"/>
                <w:lang w:val="en-GB" w:eastAsia="en-GB"/>
              </w:rPr>
              <w:t>214</w:t>
            </w:r>
          </w:p>
        </w:tc>
        <w:tc>
          <w:tcPr>
            <w:tcW w:w="308" w:type="pct"/>
            <w:hideMark/>
          </w:tcPr>
          <w:p w:rsidR="00C71FCE" w:rsidRPr="00BA553F" w:rsidRDefault="00C71FCE" w:rsidP="00DE703C">
            <w:pPr>
              <w:jc w:val="right"/>
              <w:cnfStyle w:val="000000100000" w:firstRow="0" w:lastRow="0" w:firstColumn="0" w:lastColumn="0" w:oddVBand="0" w:evenVBand="0" w:oddHBand="1" w:evenHBand="0" w:firstRowFirstColumn="0" w:firstRowLastColumn="0" w:lastRowFirstColumn="0" w:lastRowLastColumn="0"/>
              <w:rPr>
                <w:rFonts w:ascii="Arial Narrow" w:hAnsi="Arial Narrow" w:cs="ArialMT"/>
                <w:color w:val="000000"/>
                <w:sz w:val="16"/>
                <w:szCs w:val="16"/>
                <w:lang w:val="en-GB" w:eastAsia="en-GB"/>
              </w:rPr>
            </w:pPr>
            <w:r w:rsidRPr="00BA553F">
              <w:rPr>
                <w:rFonts w:ascii="Arial Narrow" w:hAnsi="Arial Narrow" w:cs="ArialMT"/>
                <w:color w:val="000000"/>
                <w:sz w:val="16"/>
                <w:szCs w:val="16"/>
                <w:lang w:val="en-GB" w:eastAsia="en-GB"/>
              </w:rPr>
              <w:t>256</w:t>
            </w:r>
          </w:p>
        </w:tc>
        <w:tc>
          <w:tcPr>
            <w:tcW w:w="308" w:type="pct"/>
            <w:hideMark/>
          </w:tcPr>
          <w:p w:rsidR="00C71FCE" w:rsidRPr="00BA553F" w:rsidRDefault="00C71FCE" w:rsidP="00DE703C">
            <w:pPr>
              <w:jc w:val="right"/>
              <w:cnfStyle w:val="000000100000" w:firstRow="0" w:lastRow="0" w:firstColumn="0" w:lastColumn="0" w:oddVBand="0" w:evenVBand="0" w:oddHBand="1" w:evenHBand="0" w:firstRowFirstColumn="0" w:firstRowLastColumn="0" w:lastRowFirstColumn="0" w:lastRowLastColumn="0"/>
              <w:rPr>
                <w:rFonts w:ascii="Arial Narrow" w:hAnsi="Arial Narrow" w:cs="ArialMT"/>
                <w:color w:val="000000"/>
                <w:sz w:val="16"/>
                <w:szCs w:val="16"/>
                <w:lang w:val="en-GB" w:eastAsia="en-GB"/>
              </w:rPr>
            </w:pPr>
            <w:r w:rsidRPr="00BA553F">
              <w:rPr>
                <w:rFonts w:ascii="Arial Narrow" w:hAnsi="Arial Narrow" w:cs="ArialMT"/>
                <w:color w:val="000000"/>
                <w:sz w:val="16"/>
                <w:szCs w:val="16"/>
                <w:lang w:val="en-GB" w:eastAsia="en-GB"/>
              </w:rPr>
              <w:t>511</w:t>
            </w:r>
          </w:p>
        </w:tc>
        <w:tc>
          <w:tcPr>
            <w:tcW w:w="308" w:type="pct"/>
            <w:hideMark/>
          </w:tcPr>
          <w:p w:rsidR="00C71FCE" w:rsidRPr="00BA553F" w:rsidRDefault="00C71FCE" w:rsidP="00DE703C">
            <w:pPr>
              <w:jc w:val="right"/>
              <w:cnfStyle w:val="000000100000" w:firstRow="0" w:lastRow="0" w:firstColumn="0" w:lastColumn="0" w:oddVBand="0" w:evenVBand="0" w:oddHBand="1" w:evenHBand="0" w:firstRowFirstColumn="0" w:firstRowLastColumn="0" w:lastRowFirstColumn="0" w:lastRowLastColumn="0"/>
              <w:rPr>
                <w:rFonts w:ascii="Arial Narrow" w:hAnsi="Arial Narrow" w:cs="ArialMT"/>
                <w:color w:val="000000"/>
                <w:sz w:val="16"/>
                <w:szCs w:val="16"/>
                <w:lang w:val="en-GB" w:eastAsia="en-GB"/>
              </w:rPr>
            </w:pPr>
            <w:r w:rsidRPr="00BA553F">
              <w:rPr>
                <w:rFonts w:ascii="Arial Narrow" w:hAnsi="Arial Narrow" w:cs="ArialMT"/>
                <w:color w:val="000000"/>
                <w:sz w:val="16"/>
                <w:szCs w:val="16"/>
                <w:lang w:val="en-GB" w:eastAsia="en-GB"/>
              </w:rPr>
              <w:t>241</w:t>
            </w:r>
          </w:p>
        </w:tc>
        <w:tc>
          <w:tcPr>
            <w:tcW w:w="308" w:type="pct"/>
            <w:hideMark/>
          </w:tcPr>
          <w:p w:rsidR="00C71FCE" w:rsidRPr="00BA553F" w:rsidRDefault="00C71FCE" w:rsidP="00DE703C">
            <w:pPr>
              <w:jc w:val="right"/>
              <w:cnfStyle w:val="000000100000" w:firstRow="0" w:lastRow="0" w:firstColumn="0" w:lastColumn="0" w:oddVBand="0" w:evenVBand="0" w:oddHBand="1" w:evenHBand="0" w:firstRowFirstColumn="0" w:firstRowLastColumn="0" w:lastRowFirstColumn="0" w:lastRowLastColumn="0"/>
              <w:rPr>
                <w:rFonts w:ascii="Arial Narrow" w:hAnsi="Arial Narrow" w:cs="ArialMT"/>
                <w:color w:val="000000"/>
                <w:sz w:val="16"/>
                <w:szCs w:val="16"/>
                <w:lang w:val="en-GB" w:eastAsia="en-GB"/>
              </w:rPr>
            </w:pPr>
            <w:r w:rsidRPr="00BA553F">
              <w:rPr>
                <w:rFonts w:ascii="Arial Narrow" w:hAnsi="Arial Narrow" w:cs="ArialMT"/>
                <w:color w:val="000000"/>
                <w:sz w:val="16"/>
                <w:szCs w:val="16"/>
                <w:lang w:val="en-GB" w:eastAsia="en-GB"/>
              </w:rPr>
              <w:t>254</w:t>
            </w:r>
          </w:p>
        </w:tc>
        <w:tc>
          <w:tcPr>
            <w:tcW w:w="308" w:type="pct"/>
            <w:hideMark/>
          </w:tcPr>
          <w:p w:rsidR="00C71FCE" w:rsidRPr="00BA553F" w:rsidRDefault="00C71FCE" w:rsidP="00DE703C">
            <w:pPr>
              <w:jc w:val="right"/>
              <w:cnfStyle w:val="000000100000" w:firstRow="0" w:lastRow="0" w:firstColumn="0" w:lastColumn="0" w:oddVBand="0" w:evenVBand="0" w:oddHBand="1" w:evenHBand="0" w:firstRowFirstColumn="0" w:firstRowLastColumn="0" w:lastRowFirstColumn="0" w:lastRowLastColumn="0"/>
              <w:rPr>
                <w:rFonts w:ascii="Arial Narrow" w:hAnsi="Arial Narrow" w:cs="ArialMT"/>
                <w:color w:val="000000"/>
                <w:sz w:val="16"/>
                <w:szCs w:val="16"/>
                <w:lang w:val="en-GB" w:eastAsia="en-GB"/>
              </w:rPr>
            </w:pPr>
            <w:r w:rsidRPr="00BA553F">
              <w:rPr>
                <w:rFonts w:ascii="Arial Narrow" w:hAnsi="Arial Narrow" w:cs="ArialMT"/>
                <w:color w:val="000000"/>
                <w:sz w:val="16"/>
                <w:szCs w:val="16"/>
                <w:lang w:val="en-GB" w:eastAsia="en-GB"/>
              </w:rPr>
              <w:t>254</w:t>
            </w:r>
          </w:p>
        </w:tc>
      </w:tr>
    </w:tbl>
    <w:p w:rsidR="00C71FCE" w:rsidRDefault="00C71FCE" w:rsidP="00DE703C">
      <w:pPr>
        <w:pStyle w:val="Podpispodtabeloaligrafom"/>
      </w:pPr>
      <w:r>
        <w:t>Vir: Statistični urad RS.</w:t>
      </w:r>
    </w:p>
    <w:p w:rsidR="00C71FCE" w:rsidRDefault="00C71FCE" w:rsidP="00DE703C"/>
    <w:p w:rsidR="00C71FCE" w:rsidRDefault="00C71FCE" w:rsidP="00DE703C">
      <w:pPr>
        <w:pStyle w:val="Podnaslov2"/>
      </w:pPr>
      <w:bookmarkStart w:id="278" w:name="_Toc489859831"/>
      <w:bookmarkStart w:id="279" w:name="_Toc490047594"/>
      <w:bookmarkStart w:id="280" w:name="_Toc490599958"/>
      <w:bookmarkStart w:id="281" w:name="_Toc506192088"/>
      <w:r>
        <w:t>Gledališča</w:t>
      </w:r>
      <w:bookmarkEnd w:id="278"/>
      <w:bookmarkEnd w:id="279"/>
      <w:bookmarkEnd w:id="280"/>
      <w:bookmarkEnd w:id="281"/>
    </w:p>
    <w:p w:rsidR="00C71FCE" w:rsidRDefault="00E0480C" w:rsidP="00DE703C">
      <w:r>
        <w:t xml:space="preserve">Število gledaliških predstav </w:t>
      </w:r>
      <w:r w:rsidR="00C71FCE">
        <w:t>v matičnih hišah, premier in gledalcev je v opazovanem obdobju precej nihalo, a je kljub temu mogoče zaznati splošen trend rasti. Kljub temu pa v zadnjih letih obisk na predstavo ne sledi rasti števila predstav. Najboljše razmerje je bilo leta 2007, ko si je 3.864 predstav ogledalo 822.351 gledalcev (povprečno 213 gledalcev na predstavo), najslabše pa leta 2015, ko si je 6.544 predstav ogledalo 850.367 gledalcev (povprečno 130 gledalcev na predstavo).</w:t>
      </w:r>
    </w:p>
    <w:p w:rsidR="008E402E" w:rsidRDefault="008E402E">
      <w:pPr>
        <w:rPr>
          <w:b/>
        </w:rPr>
      </w:pPr>
      <w:bookmarkStart w:id="282" w:name="_Toc490053384"/>
      <w:bookmarkStart w:id="283" w:name="_Toc490053755"/>
      <w:r>
        <w:br w:type="page"/>
      </w:r>
    </w:p>
    <w:p w:rsidR="00C71FCE" w:rsidRDefault="006D2D21" w:rsidP="00DE703C">
      <w:pPr>
        <w:pStyle w:val="Naslovtabele"/>
      </w:pPr>
      <w:bookmarkStart w:id="284" w:name="_Toc490600027"/>
      <w:r>
        <w:t>Tabela 25</w:t>
      </w:r>
      <w:r w:rsidR="00C71FCE">
        <w:t>: Gledališke predstave in njihov obisk (2004–2015)</w:t>
      </w:r>
      <w:bookmarkEnd w:id="282"/>
      <w:bookmarkEnd w:id="283"/>
      <w:bookmarkEnd w:id="284"/>
    </w:p>
    <w:tbl>
      <w:tblPr>
        <w:tblStyle w:val="ListTable3-Accent31"/>
        <w:tblW w:w="5082" w:type="pct"/>
        <w:tblLook w:val="04A0" w:firstRow="1" w:lastRow="0" w:firstColumn="1" w:lastColumn="0" w:noHBand="0" w:noVBand="1"/>
      </w:tblPr>
      <w:tblGrid>
        <w:gridCol w:w="892"/>
        <w:gridCol w:w="713"/>
        <w:gridCol w:w="714"/>
        <w:gridCol w:w="714"/>
        <w:gridCol w:w="712"/>
        <w:gridCol w:w="712"/>
        <w:gridCol w:w="712"/>
        <w:gridCol w:w="712"/>
        <w:gridCol w:w="712"/>
        <w:gridCol w:w="712"/>
        <w:gridCol w:w="712"/>
        <w:gridCol w:w="712"/>
        <w:gridCol w:w="712"/>
      </w:tblGrid>
      <w:tr w:rsidR="00C71FCE" w:rsidRPr="002B1FAC" w:rsidTr="009C59DA">
        <w:trPr>
          <w:cnfStyle w:val="100000000000" w:firstRow="1" w:lastRow="0" w:firstColumn="0" w:lastColumn="0" w:oddVBand="0" w:evenVBand="0" w:oddHBand="0" w:evenHBand="0" w:firstRowFirstColumn="0" w:firstRowLastColumn="0" w:lastRowFirstColumn="0" w:lastRowLastColumn="0"/>
          <w:trHeight w:val="443"/>
        </w:trPr>
        <w:tc>
          <w:tcPr>
            <w:cnfStyle w:val="001000000100" w:firstRow="0" w:lastRow="0" w:firstColumn="1" w:lastColumn="0" w:oddVBand="0" w:evenVBand="0" w:oddHBand="0" w:evenHBand="0" w:firstRowFirstColumn="1" w:firstRowLastColumn="0" w:lastRowFirstColumn="0" w:lastRowLastColumn="0"/>
            <w:tcW w:w="473" w:type="pct"/>
            <w:hideMark/>
          </w:tcPr>
          <w:p w:rsidR="00C71FCE" w:rsidRPr="009C59DA" w:rsidRDefault="00C71FCE" w:rsidP="00DE703C">
            <w:pPr>
              <w:spacing w:after="0" w:line="240" w:lineRule="auto"/>
              <w:rPr>
                <w:rFonts w:ascii="Arial Narrow" w:hAnsi="Arial Narrow" w:cs="ArialMT"/>
                <w:b w:val="0"/>
                <w:szCs w:val="20"/>
                <w:lang w:val="en-GB" w:eastAsia="en-GB"/>
              </w:rPr>
            </w:pPr>
            <w:r w:rsidRPr="009C59DA">
              <w:rPr>
                <w:rFonts w:ascii="Arial Narrow" w:hAnsi="Arial Narrow" w:cs="ArialMT"/>
                <w:b w:val="0"/>
                <w:szCs w:val="20"/>
                <w:lang w:val="en-GB" w:eastAsia="en-GB"/>
              </w:rPr>
              <w:t> </w:t>
            </w:r>
          </w:p>
        </w:tc>
        <w:tc>
          <w:tcPr>
            <w:tcW w:w="378" w:type="pct"/>
            <w:noWrap/>
            <w:hideMark/>
          </w:tcPr>
          <w:p w:rsidR="00C71FCE" w:rsidRPr="009C59DA" w:rsidRDefault="00C71FCE" w:rsidP="00DE703C">
            <w:pPr>
              <w:spacing w:after="0" w:line="240" w:lineRule="auto"/>
              <w:cnfStyle w:val="100000000000" w:firstRow="1" w:lastRow="0" w:firstColumn="0" w:lastColumn="0" w:oddVBand="0" w:evenVBand="0" w:oddHBand="0" w:evenHBand="0" w:firstRowFirstColumn="0" w:firstRowLastColumn="0" w:lastRowFirstColumn="0" w:lastRowLastColumn="0"/>
              <w:rPr>
                <w:rFonts w:ascii="Arial Narrow" w:hAnsi="Arial Narrow" w:cs="ArialMT"/>
                <w:sz w:val="16"/>
                <w:szCs w:val="16"/>
                <w:lang w:val="en-GB" w:eastAsia="en-GB"/>
              </w:rPr>
            </w:pPr>
            <w:r w:rsidRPr="009C59DA">
              <w:rPr>
                <w:rFonts w:ascii="Arial Narrow" w:hAnsi="Arial Narrow" w:cs="ArialMT"/>
                <w:sz w:val="16"/>
                <w:szCs w:val="16"/>
                <w:lang w:val="en-GB" w:eastAsia="en-GB"/>
              </w:rPr>
              <w:t>2004</w:t>
            </w:r>
          </w:p>
        </w:tc>
        <w:tc>
          <w:tcPr>
            <w:tcW w:w="378" w:type="pct"/>
            <w:noWrap/>
            <w:hideMark/>
          </w:tcPr>
          <w:p w:rsidR="00C71FCE" w:rsidRPr="009C59DA" w:rsidRDefault="00C71FCE" w:rsidP="00DE703C">
            <w:pPr>
              <w:spacing w:after="0" w:line="240" w:lineRule="auto"/>
              <w:cnfStyle w:val="100000000000" w:firstRow="1" w:lastRow="0" w:firstColumn="0" w:lastColumn="0" w:oddVBand="0" w:evenVBand="0" w:oddHBand="0" w:evenHBand="0" w:firstRowFirstColumn="0" w:firstRowLastColumn="0" w:lastRowFirstColumn="0" w:lastRowLastColumn="0"/>
              <w:rPr>
                <w:rFonts w:ascii="Arial Narrow" w:hAnsi="Arial Narrow" w:cs="ArialMT"/>
                <w:sz w:val="16"/>
                <w:szCs w:val="16"/>
                <w:lang w:val="en-GB" w:eastAsia="en-GB"/>
              </w:rPr>
            </w:pPr>
            <w:r w:rsidRPr="009C59DA">
              <w:rPr>
                <w:rFonts w:ascii="Arial Narrow" w:hAnsi="Arial Narrow" w:cs="ArialMT"/>
                <w:sz w:val="16"/>
                <w:szCs w:val="16"/>
                <w:lang w:val="en-GB" w:eastAsia="en-GB"/>
              </w:rPr>
              <w:t>2005</w:t>
            </w:r>
          </w:p>
        </w:tc>
        <w:tc>
          <w:tcPr>
            <w:tcW w:w="378" w:type="pct"/>
            <w:noWrap/>
            <w:hideMark/>
          </w:tcPr>
          <w:p w:rsidR="00C71FCE" w:rsidRPr="009C59DA" w:rsidRDefault="00C71FCE" w:rsidP="00DE703C">
            <w:pPr>
              <w:spacing w:after="0" w:line="240" w:lineRule="auto"/>
              <w:cnfStyle w:val="100000000000" w:firstRow="1" w:lastRow="0" w:firstColumn="0" w:lastColumn="0" w:oddVBand="0" w:evenVBand="0" w:oddHBand="0" w:evenHBand="0" w:firstRowFirstColumn="0" w:firstRowLastColumn="0" w:lastRowFirstColumn="0" w:lastRowLastColumn="0"/>
              <w:rPr>
                <w:rFonts w:ascii="Arial Narrow" w:hAnsi="Arial Narrow" w:cs="ArialMT"/>
                <w:sz w:val="16"/>
                <w:szCs w:val="16"/>
                <w:lang w:val="en-GB" w:eastAsia="en-GB"/>
              </w:rPr>
            </w:pPr>
            <w:r w:rsidRPr="009C59DA">
              <w:rPr>
                <w:rFonts w:ascii="Arial Narrow" w:hAnsi="Arial Narrow" w:cs="ArialMT"/>
                <w:sz w:val="16"/>
                <w:szCs w:val="16"/>
                <w:lang w:val="en-GB" w:eastAsia="en-GB"/>
              </w:rPr>
              <w:t>2006</w:t>
            </w:r>
          </w:p>
        </w:tc>
        <w:tc>
          <w:tcPr>
            <w:tcW w:w="377" w:type="pct"/>
            <w:noWrap/>
            <w:hideMark/>
          </w:tcPr>
          <w:p w:rsidR="00C71FCE" w:rsidRPr="009C59DA" w:rsidRDefault="00C71FCE" w:rsidP="00DE703C">
            <w:pPr>
              <w:spacing w:after="0" w:line="240" w:lineRule="auto"/>
              <w:cnfStyle w:val="100000000000" w:firstRow="1" w:lastRow="0" w:firstColumn="0" w:lastColumn="0" w:oddVBand="0" w:evenVBand="0" w:oddHBand="0" w:evenHBand="0" w:firstRowFirstColumn="0" w:firstRowLastColumn="0" w:lastRowFirstColumn="0" w:lastRowLastColumn="0"/>
              <w:rPr>
                <w:rFonts w:ascii="Arial Narrow" w:hAnsi="Arial Narrow" w:cs="ArialMT"/>
                <w:sz w:val="16"/>
                <w:szCs w:val="16"/>
                <w:lang w:val="en-GB" w:eastAsia="en-GB"/>
              </w:rPr>
            </w:pPr>
            <w:r w:rsidRPr="009C59DA">
              <w:rPr>
                <w:rFonts w:ascii="Arial Narrow" w:hAnsi="Arial Narrow" w:cs="ArialMT"/>
                <w:sz w:val="16"/>
                <w:szCs w:val="16"/>
                <w:lang w:val="en-GB" w:eastAsia="en-GB"/>
              </w:rPr>
              <w:t>2007</w:t>
            </w:r>
          </w:p>
        </w:tc>
        <w:tc>
          <w:tcPr>
            <w:tcW w:w="377" w:type="pct"/>
            <w:noWrap/>
            <w:hideMark/>
          </w:tcPr>
          <w:p w:rsidR="00C71FCE" w:rsidRPr="009C59DA" w:rsidRDefault="00C71FCE" w:rsidP="00DE703C">
            <w:pPr>
              <w:spacing w:after="0" w:line="240" w:lineRule="auto"/>
              <w:cnfStyle w:val="100000000000" w:firstRow="1" w:lastRow="0" w:firstColumn="0" w:lastColumn="0" w:oddVBand="0" w:evenVBand="0" w:oddHBand="0" w:evenHBand="0" w:firstRowFirstColumn="0" w:firstRowLastColumn="0" w:lastRowFirstColumn="0" w:lastRowLastColumn="0"/>
              <w:rPr>
                <w:rFonts w:ascii="Arial Narrow" w:hAnsi="Arial Narrow" w:cs="ArialMT"/>
                <w:sz w:val="16"/>
                <w:szCs w:val="16"/>
                <w:lang w:val="en-GB" w:eastAsia="en-GB"/>
              </w:rPr>
            </w:pPr>
            <w:r w:rsidRPr="009C59DA">
              <w:rPr>
                <w:rFonts w:ascii="Arial Narrow" w:hAnsi="Arial Narrow" w:cs="ArialMT"/>
                <w:sz w:val="16"/>
                <w:szCs w:val="16"/>
                <w:lang w:val="en-GB" w:eastAsia="en-GB"/>
              </w:rPr>
              <w:t>2008</w:t>
            </w:r>
          </w:p>
        </w:tc>
        <w:tc>
          <w:tcPr>
            <w:tcW w:w="377" w:type="pct"/>
            <w:noWrap/>
            <w:hideMark/>
          </w:tcPr>
          <w:p w:rsidR="00C71FCE" w:rsidRPr="009C59DA" w:rsidRDefault="00C71FCE" w:rsidP="00DE703C">
            <w:pPr>
              <w:spacing w:after="0" w:line="240" w:lineRule="auto"/>
              <w:cnfStyle w:val="100000000000" w:firstRow="1" w:lastRow="0" w:firstColumn="0" w:lastColumn="0" w:oddVBand="0" w:evenVBand="0" w:oddHBand="0" w:evenHBand="0" w:firstRowFirstColumn="0" w:firstRowLastColumn="0" w:lastRowFirstColumn="0" w:lastRowLastColumn="0"/>
              <w:rPr>
                <w:rFonts w:ascii="Arial Narrow" w:hAnsi="Arial Narrow" w:cs="ArialMT"/>
                <w:sz w:val="16"/>
                <w:szCs w:val="16"/>
                <w:lang w:val="en-GB" w:eastAsia="en-GB"/>
              </w:rPr>
            </w:pPr>
            <w:r w:rsidRPr="009C59DA">
              <w:rPr>
                <w:rFonts w:ascii="Arial Narrow" w:hAnsi="Arial Narrow" w:cs="ArialMT"/>
                <w:sz w:val="16"/>
                <w:szCs w:val="16"/>
                <w:lang w:val="en-GB" w:eastAsia="en-GB"/>
              </w:rPr>
              <w:t>2009</w:t>
            </w:r>
          </w:p>
        </w:tc>
        <w:tc>
          <w:tcPr>
            <w:tcW w:w="377" w:type="pct"/>
            <w:noWrap/>
            <w:hideMark/>
          </w:tcPr>
          <w:p w:rsidR="00C71FCE" w:rsidRPr="009C59DA" w:rsidRDefault="00C71FCE" w:rsidP="00DE703C">
            <w:pPr>
              <w:spacing w:after="0" w:line="240" w:lineRule="auto"/>
              <w:cnfStyle w:val="100000000000" w:firstRow="1" w:lastRow="0" w:firstColumn="0" w:lastColumn="0" w:oddVBand="0" w:evenVBand="0" w:oddHBand="0" w:evenHBand="0" w:firstRowFirstColumn="0" w:firstRowLastColumn="0" w:lastRowFirstColumn="0" w:lastRowLastColumn="0"/>
              <w:rPr>
                <w:rFonts w:ascii="Arial Narrow" w:hAnsi="Arial Narrow" w:cs="ArialMT"/>
                <w:sz w:val="16"/>
                <w:szCs w:val="16"/>
                <w:lang w:val="en-GB" w:eastAsia="en-GB"/>
              </w:rPr>
            </w:pPr>
            <w:r w:rsidRPr="009C59DA">
              <w:rPr>
                <w:rFonts w:ascii="Arial Narrow" w:hAnsi="Arial Narrow" w:cs="ArialMT"/>
                <w:sz w:val="16"/>
                <w:szCs w:val="16"/>
                <w:lang w:val="en-GB" w:eastAsia="en-GB"/>
              </w:rPr>
              <w:t>2010</w:t>
            </w:r>
          </w:p>
        </w:tc>
        <w:tc>
          <w:tcPr>
            <w:tcW w:w="377" w:type="pct"/>
            <w:noWrap/>
            <w:hideMark/>
          </w:tcPr>
          <w:p w:rsidR="00C71FCE" w:rsidRPr="009C59DA" w:rsidRDefault="00C71FCE" w:rsidP="00DE703C">
            <w:pPr>
              <w:spacing w:after="0" w:line="240" w:lineRule="auto"/>
              <w:cnfStyle w:val="100000000000" w:firstRow="1" w:lastRow="0" w:firstColumn="0" w:lastColumn="0" w:oddVBand="0" w:evenVBand="0" w:oddHBand="0" w:evenHBand="0" w:firstRowFirstColumn="0" w:firstRowLastColumn="0" w:lastRowFirstColumn="0" w:lastRowLastColumn="0"/>
              <w:rPr>
                <w:rFonts w:ascii="Arial Narrow" w:hAnsi="Arial Narrow" w:cs="ArialMT"/>
                <w:sz w:val="16"/>
                <w:szCs w:val="16"/>
                <w:lang w:val="en-GB" w:eastAsia="en-GB"/>
              </w:rPr>
            </w:pPr>
            <w:r w:rsidRPr="009C59DA">
              <w:rPr>
                <w:rFonts w:ascii="Arial Narrow" w:hAnsi="Arial Narrow" w:cs="ArialMT"/>
                <w:sz w:val="16"/>
                <w:szCs w:val="16"/>
                <w:lang w:val="en-GB" w:eastAsia="en-GB"/>
              </w:rPr>
              <w:t>2011</w:t>
            </w:r>
          </w:p>
        </w:tc>
        <w:tc>
          <w:tcPr>
            <w:tcW w:w="377" w:type="pct"/>
            <w:noWrap/>
            <w:hideMark/>
          </w:tcPr>
          <w:p w:rsidR="00C71FCE" w:rsidRPr="009C59DA" w:rsidRDefault="00C71FCE" w:rsidP="00DE703C">
            <w:pPr>
              <w:spacing w:after="0" w:line="240" w:lineRule="auto"/>
              <w:cnfStyle w:val="100000000000" w:firstRow="1" w:lastRow="0" w:firstColumn="0" w:lastColumn="0" w:oddVBand="0" w:evenVBand="0" w:oddHBand="0" w:evenHBand="0" w:firstRowFirstColumn="0" w:firstRowLastColumn="0" w:lastRowFirstColumn="0" w:lastRowLastColumn="0"/>
              <w:rPr>
                <w:rFonts w:ascii="Arial Narrow" w:hAnsi="Arial Narrow" w:cs="ArialMT"/>
                <w:sz w:val="16"/>
                <w:szCs w:val="16"/>
                <w:lang w:val="en-GB" w:eastAsia="en-GB"/>
              </w:rPr>
            </w:pPr>
            <w:r w:rsidRPr="009C59DA">
              <w:rPr>
                <w:rFonts w:ascii="Arial Narrow" w:hAnsi="Arial Narrow" w:cs="ArialMT"/>
                <w:sz w:val="16"/>
                <w:szCs w:val="16"/>
                <w:lang w:val="en-GB" w:eastAsia="en-GB"/>
              </w:rPr>
              <w:t>2012</w:t>
            </w:r>
          </w:p>
        </w:tc>
        <w:tc>
          <w:tcPr>
            <w:tcW w:w="377" w:type="pct"/>
            <w:noWrap/>
            <w:hideMark/>
          </w:tcPr>
          <w:p w:rsidR="00C71FCE" w:rsidRPr="009C59DA" w:rsidRDefault="00C71FCE" w:rsidP="00DE703C">
            <w:pPr>
              <w:spacing w:after="0" w:line="240" w:lineRule="auto"/>
              <w:cnfStyle w:val="100000000000" w:firstRow="1" w:lastRow="0" w:firstColumn="0" w:lastColumn="0" w:oddVBand="0" w:evenVBand="0" w:oddHBand="0" w:evenHBand="0" w:firstRowFirstColumn="0" w:firstRowLastColumn="0" w:lastRowFirstColumn="0" w:lastRowLastColumn="0"/>
              <w:rPr>
                <w:rFonts w:ascii="Arial Narrow" w:hAnsi="Arial Narrow" w:cs="ArialMT"/>
                <w:sz w:val="16"/>
                <w:szCs w:val="16"/>
                <w:lang w:val="en-GB" w:eastAsia="en-GB"/>
              </w:rPr>
            </w:pPr>
            <w:r w:rsidRPr="009C59DA">
              <w:rPr>
                <w:rFonts w:ascii="Arial Narrow" w:hAnsi="Arial Narrow" w:cs="ArialMT"/>
                <w:sz w:val="16"/>
                <w:szCs w:val="16"/>
                <w:lang w:val="en-GB" w:eastAsia="en-GB"/>
              </w:rPr>
              <w:t>2013</w:t>
            </w:r>
          </w:p>
        </w:tc>
        <w:tc>
          <w:tcPr>
            <w:tcW w:w="377" w:type="pct"/>
            <w:noWrap/>
            <w:hideMark/>
          </w:tcPr>
          <w:p w:rsidR="00C71FCE" w:rsidRPr="009C59DA" w:rsidRDefault="00C71FCE" w:rsidP="00DE703C">
            <w:pPr>
              <w:spacing w:after="0" w:line="240" w:lineRule="auto"/>
              <w:cnfStyle w:val="100000000000" w:firstRow="1" w:lastRow="0" w:firstColumn="0" w:lastColumn="0" w:oddVBand="0" w:evenVBand="0" w:oddHBand="0" w:evenHBand="0" w:firstRowFirstColumn="0" w:firstRowLastColumn="0" w:lastRowFirstColumn="0" w:lastRowLastColumn="0"/>
              <w:rPr>
                <w:rFonts w:ascii="Arial Narrow" w:hAnsi="Arial Narrow" w:cs="ArialMT"/>
                <w:sz w:val="16"/>
                <w:szCs w:val="16"/>
                <w:lang w:val="en-GB" w:eastAsia="en-GB"/>
              </w:rPr>
            </w:pPr>
            <w:r w:rsidRPr="009C59DA">
              <w:rPr>
                <w:rFonts w:ascii="Arial Narrow" w:hAnsi="Arial Narrow" w:cs="ArialMT"/>
                <w:sz w:val="16"/>
                <w:szCs w:val="16"/>
                <w:lang w:val="en-GB" w:eastAsia="en-GB"/>
              </w:rPr>
              <w:t>2014</w:t>
            </w:r>
          </w:p>
        </w:tc>
        <w:tc>
          <w:tcPr>
            <w:tcW w:w="377" w:type="pct"/>
            <w:noWrap/>
            <w:hideMark/>
          </w:tcPr>
          <w:p w:rsidR="00C71FCE" w:rsidRPr="009C59DA" w:rsidRDefault="00C71FCE" w:rsidP="00DE703C">
            <w:pPr>
              <w:spacing w:after="0" w:line="240" w:lineRule="auto"/>
              <w:cnfStyle w:val="100000000000" w:firstRow="1" w:lastRow="0" w:firstColumn="0" w:lastColumn="0" w:oddVBand="0" w:evenVBand="0" w:oddHBand="0" w:evenHBand="0" w:firstRowFirstColumn="0" w:firstRowLastColumn="0" w:lastRowFirstColumn="0" w:lastRowLastColumn="0"/>
              <w:rPr>
                <w:rFonts w:ascii="Arial Narrow" w:hAnsi="Arial Narrow" w:cs="ArialMT"/>
                <w:sz w:val="16"/>
                <w:szCs w:val="16"/>
                <w:lang w:val="en-GB" w:eastAsia="en-GB"/>
              </w:rPr>
            </w:pPr>
            <w:r w:rsidRPr="009C59DA">
              <w:rPr>
                <w:rFonts w:ascii="Arial Narrow" w:hAnsi="Arial Narrow" w:cs="ArialMT"/>
                <w:sz w:val="16"/>
                <w:szCs w:val="16"/>
                <w:lang w:val="en-GB" w:eastAsia="en-GB"/>
              </w:rPr>
              <w:t>2015</w:t>
            </w:r>
          </w:p>
        </w:tc>
      </w:tr>
      <w:tr w:rsidR="00C71FCE" w:rsidRPr="002B1FAC" w:rsidTr="009C59DA">
        <w:trPr>
          <w:cnfStyle w:val="000000100000" w:firstRow="0" w:lastRow="0" w:firstColumn="0" w:lastColumn="0" w:oddVBand="0" w:evenVBand="0" w:oddHBand="1" w:evenHBand="0" w:firstRowFirstColumn="0" w:firstRowLastColumn="0" w:lastRowFirstColumn="0" w:lastRowLastColumn="0"/>
          <w:trHeight w:val="680"/>
        </w:trPr>
        <w:tc>
          <w:tcPr>
            <w:cnfStyle w:val="001000000000" w:firstRow="0" w:lastRow="0" w:firstColumn="1" w:lastColumn="0" w:oddVBand="0" w:evenVBand="0" w:oddHBand="0" w:evenHBand="0" w:firstRowFirstColumn="0" w:firstRowLastColumn="0" w:lastRowFirstColumn="0" w:lastRowLastColumn="0"/>
            <w:tcW w:w="473" w:type="pct"/>
            <w:hideMark/>
          </w:tcPr>
          <w:p w:rsidR="00C71FCE" w:rsidRPr="002B1FAC" w:rsidRDefault="00C71FCE" w:rsidP="00DE703C">
            <w:pPr>
              <w:spacing w:after="0" w:line="240" w:lineRule="auto"/>
              <w:rPr>
                <w:rFonts w:ascii="Arial Narrow" w:hAnsi="Arial Narrow" w:cs="ArialMT"/>
                <w:b w:val="0"/>
                <w:color w:val="000000"/>
                <w:sz w:val="16"/>
                <w:szCs w:val="16"/>
                <w:lang w:val="en-GB" w:eastAsia="en-GB"/>
              </w:rPr>
            </w:pPr>
            <w:proofErr w:type="spellStart"/>
            <w:r>
              <w:rPr>
                <w:rFonts w:ascii="Arial Narrow" w:hAnsi="Arial Narrow" w:cs="ArialMT"/>
                <w:b w:val="0"/>
                <w:color w:val="000000"/>
                <w:sz w:val="16"/>
                <w:szCs w:val="16"/>
                <w:lang w:val="en-GB" w:eastAsia="en-GB"/>
              </w:rPr>
              <w:t>Gledališke</w:t>
            </w:r>
            <w:proofErr w:type="spellEnd"/>
            <w:r>
              <w:rPr>
                <w:rFonts w:ascii="Arial Narrow" w:hAnsi="Arial Narrow" w:cs="ArialMT"/>
                <w:b w:val="0"/>
                <w:color w:val="000000"/>
                <w:sz w:val="16"/>
                <w:szCs w:val="16"/>
                <w:lang w:val="en-GB" w:eastAsia="en-GB"/>
              </w:rPr>
              <w:t xml:space="preserve"> </w:t>
            </w:r>
            <w:proofErr w:type="spellStart"/>
            <w:r>
              <w:rPr>
                <w:rFonts w:ascii="Arial Narrow" w:hAnsi="Arial Narrow" w:cs="ArialMT"/>
                <w:b w:val="0"/>
                <w:color w:val="000000"/>
                <w:sz w:val="16"/>
                <w:szCs w:val="16"/>
                <w:lang w:val="en-GB" w:eastAsia="en-GB"/>
              </w:rPr>
              <w:t>predstave</w:t>
            </w:r>
            <w:proofErr w:type="spellEnd"/>
            <w:r>
              <w:rPr>
                <w:rFonts w:ascii="Arial Narrow" w:hAnsi="Arial Narrow" w:cs="ArialMT"/>
                <w:b w:val="0"/>
                <w:color w:val="000000"/>
                <w:sz w:val="16"/>
                <w:szCs w:val="16"/>
                <w:lang w:val="en-GB" w:eastAsia="en-GB"/>
              </w:rPr>
              <w:t xml:space="preserve"> v </w:t>
            </w:r>
            <w:proofErr w:type="spellStart"/>
            <w:r>
              <w:rPr>
                <w:rFonts w:ascii="Arial Narrow" w:hAnsi="Arial Narrow" w:cs="ArialMT"/>
                <w:b w:val="0"/>
                <w:color w:val="000000"/>
                <w:sz w:val="16"/>
                <w:szCs w:val="16"/>
                <w:lang w:val="en-GB" w:eastAsia="en-GB"/>
              </w:rPr>
              <w:t>matični</w:t>
            </w:r>
            <w:proofErr w:type="spellEnd"/>
            <w:r w:rsidRPr="002B1FAC">
              <w:rPr>
                <w:rFonts w:ascii="Arial Narrow" w:hAnsi="Arial Narrow" w:cs="ArialMT"/>
                <w:b w:val="0"/>
                <w:color w:val="000000"/>
                <w:sz w:val="16"/>
                <w:szCs w:val="16"/>
                <w:lang w:val="en-GB" w:eastAsia="en-GB"/>
              </w:rPr>
              <w:t xml:space="preserve"> </w:t>
            </w:r>
            <w:proofErr w:type="spellStart"/>
            <w:r w:rsidRPr="002B1FAC">
              <w:rPr>
                <w:rFonts w:ascii="Arial Narrow" w:hAnsi="Arial Narrow" w:cs="ArialMT"/>
                <w:b w:val="0"/>
                <w:color w:val="000000"/>
                <w:sz w:val="16"/>
                <w:szCs w:val="16"/>
                <w:lang w:val="en-GB" w:eastAsia="en-GB"/>
              </w:rPr>
              <w:t>hiš</w:t>
            </w:r>
            <w:r>
              <w:rPr>
                <w:rFonts w:ascii="Arial Narrow" w:hAnsi="Arial Narrow" w:cs="ArialMT"/>
                <w:b w:val="0"/>
                <w:color w:val="000000"/>
                <w:sz w:val="16"/>
                <w:szCs w:val="16"/>
                <w:lang w:val="en-GB" w:eastAsia="en-GB"/>
              </w:rPr>
              <w:t>i</w:t>
            </w:r>
            <w:proofErr w:type="spellEnd"/>
          </w:p>
        </w:tc>
        <w:tc>
          <w:tcPr>
            <w:tcW w:w="378" w:type="pct"/>
            <w:hideMark/>
          </w:tcPr>
          <w:p w:rsidR="00C71FCE" w:rsidRPr="002B1FAC" w:rsidRDefault="00C71FCE" w:rsidP="00DE703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s="ArialMT"/>
                <w:color w:val="000000"/>
                <w:sz w:val="16"/>
                <w:szCs w:val="16"/>
                <w:lang w:val="en-GB" w:eastAsia="en-GB"/>
              </w:rPr>
            </w:pPr>
            <w:r w:rsidRPr="002B1FAC">
              <w:rPr>
                <w:rFonts w:ascii="Arial Narrow" w:hAnsi="Arial Narrow" w:cs="ArialMT"/>
                <w:color w:val="000000"/>
                <w:sz w:val="16"/>
                <w:szCs w:val="16"/>
                <w:lang w:val="en-GB" w:eastAsia="en-GB"/>
              </w:rPr>
              <w:t>6.124</w:t>
            </w:r>
          </w:p>
        </w:tc>
        <w:tc>
          <w:tcPr>
            <w:tcW w:w="378" w:type="pct"/>
            <w:hideMark/>
          </w:tcPr>
          <w:p w:rsidR="00C71FCE" w:rsidRPr="002B1FAC" w:rsidRDefault="00C71FCE" w:rsidP="00DE703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s="ArialMT"/>
                <w:color w:val="000000"/>
                <w:sz w:val="16"/>
                <w:szCs w:val="16"/>
                <w:lang w:val="en-GB" w:eastAsia="en-GB"/>
              </w:rPr>
            </w:pPr>
            <w:r w:rsidRPr="002B1FAC">
              <w:rPr>
                <w:rFonts w:ascii="Arial Narrow" w:hAnsi="Arial Narrow" w:cs="ArialMT"/>
                <w:color w:val="000000"/>
                <w:sz w:val="16"/>
                <w:szCs w:val="16"/>
                <w:lang w:val="en-GB" w:eastAsia="en-GB"/>
              </w:rPr>
              <w:t>5.226</w:t>
            </w:r>
          </w:p>
        </w:tc>
        <w:tc>
          <w:tcPr>
            <w:tcW w:w="378" w:type="pct"/>
            <w:hideMark/>
          </w:tcPr>
          <w:p w:rsidR="00C71FCE" w:rsidRPr="002B1FAC" w:rsidRDefault="00C71FCE" w:rsidP="00DE703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s="ArialMT"/>
                <w:color w:val="000000"/>
                <w:sz w:val="16"/>
                <w:szCs w:val="16"/>
                <w:lang w:val="en-GB" w:eastAsia="en-GB"/>
              </w:rPr>
            </w:pPr>
            <w:r w:rsidRPr="002B1FAC">
              <w:rPr>
                <w:rFonts w:ascii="Arial Narrow" w:hAnsi="Arial Narrow" w:cs="ArialMT"/>
                <w:color w:val="000000"/>
                <w:sz w:val="16"/>
                <w:szCs w:val="16"/>
                <w:lang w:val="en-GB" w:eastAsia="en-GB"/>
              </w:rPr>
              <w:t>4.264</w:t>
            </w:r>
          </w:p>
        </w:tc>
        <w:tc>
          <w:tcPr>
            <w:tcW w:w="377" w:type="pct"/>
            <w:hideMark/>
          </w:tcPr>
          <w:p w:rsidR="00C71FCE" w:rsidRPr="002B1FAC" w:rsidRDefault="00C71FCE" w:rsidP="00DE703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s="ArialMT"/>
                <w:color w:val="000000"/>
                <w:sz w:val="16"/>
                <w:szCs w:val="16"/>
                <w:lang w:val="en-GB" w:eastAsia="en-GB"/>
              </w:rPr>
            </w:pPr>
            <w:r w:rsidRPr="002B1FAC">
              <w:rPr>
                <w:rFonts w:ascii="Arial Narrow" w:hAnsi="Arial Narrow" w:cs="ArialMT"/>
                <w:color w:val="000000"/>
                <w:sz w:val="16"/>
                <w:szCs w:val="16"/>
                <w:lang w:val="en-GB" w:eastAsia="en-GB"/>
              </w:rPr>
              <w:t>3.864</w:t>
            </w:r>
          </w:p>
        </w:tc>
        <w:tc>
          <w:tcPr>
            <w:tcW w:w="377" w:type="pct"/>
            <w:hideMark/>
          </w:tcPr>
          <w:p w:rsidR="00C71FCE" w:rsidRPr="002B1FAC" w:rsidRDefault="00C71FCE" w:rsidP="00DE703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s="ArialMT"/>
                <w:color w:val="000000"/>
                <w:sz w:val="16"/>
                <w:szCs w:val="16"/>
                <w:lang w:val="en-GB" w:eastAsia="en-GB"/>
              </w:rPr>
            </w:pPr>
            <w:r w:rsidRPr="002B1FAC">
              <w:rPr>
                <w:rFonts w:ascii="Arial Narrow" w:hAnsi="Arial Narrow" w:cs="ArialMT"/>
                <w:color w:val="000000"/>
                <w:sz w:val="16"/>
                <w:szCs w:val="16"/>
                <w:lang w:val="en-GB" w:eastAsia="en-GB"/>
              </w:rPr>
              <w:t>4.160</w:t>
            </w:r>
          </w:p>
        </w:tc>
        <w:tc>
          <w:tcPr>
            <w:tcW w:w="377" w:type="pct"/>
            <w:hideMark/>
          </w:tcPr>
          <w:p w:rsidR="00C71FCE" w:rsidRPr="002B1FAC" w:rsidRDefault="00C71FCE" w:rsidP="00DE703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s="ArialMT"/>
                <w:color w:val="000000"/>
                <w:sz w:val="16"/>
                <w:szCs w:val="16"/>
                <w:lang w:val="en-GB" w:eastAsia="en-GB"/>
              </w:rPr>
            </w:pPr>
            <w:r w:rsidRPr="002B1FAC">
              <w:rPr>
                <w:rFonts w:ascii="Arial Narrow" w:hAnsi="Arial Narrow" w:cs="ArialMT"/>
                <w:color w:val="000000"/>
                <w:sz w:val="16"/>
                <w:szCs w:val="16"/>
                <w:lang w:val="en-GB" w:eastAsia="en-GB"/>
              </w:rPr>
              <w:t>3.776</w:t>
            </w:r>
          </w:p>
        </w:tc>
        <w:tc>
          <w:tcPr>
            <w:tcW w:w="377" w:type="pct"/>
            <w:hideMark/>
          </w:tcPr>
          <w:p w:rsidR="00C71FCE" w:rsidRPr="002B1FAC" w:rsidRDefault="00C71FCE" w:rsidP="00DE703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s="ArialMT"/>
                <w:color w:val="000000"/>
                <w:sz w:val="16"/>
                <w:szCs w:val="16"/>
                <w:lang w:val="en-GB" w:eastAsia="en-GB"/>
              </w:rPr>
            </w:pPr>
            <w:r w:rsidRPr="002B1FAC">
              <w:rPr>
                <w:rFonts w:ascii="Arial Narrow" w:hAnsi="Arial Narrow" w:cs="ArialMT"/>
                <w:color w:val="000000"/>
                <w:sz w:val="16"/>
                <w:szCs w:val="16"/>
                <w:lang w:val="en-GB" w:eastAsia="en-GB"/>
              </w:rPr>
              <w:t>4.650</w:t>
            </w:r>
          </w:p>
        </w:tc>
        <w:tc>
          <w:tcPr>
            <w:tcW w:w="377" w:type="pct"/>
            <w:hideMark/>
          </w:tcPr>
          <w:p w:rsidR="00C71FCE" w:rsidRPr="002B1FAC" w:rsidRDefault="00C71FCE" w:rsidP="00DE703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s="ArialMT"/>
                <w:color w:val="000000"/>
                <w:sz w:val="16"/>
                <w:szCs w:val="16"/>
                <w:lang w:val="en-GB" w:eastAsia="en-GB"/>
              </w:rPr>
            </w:pPr>
            <w:r w:rsidRPr="002B1FAC">
              <w:rPr>
                <w:rFonts w:ascii="Arial Narrow" w:hAnsi="Arial Narrow" w:cs="ArialMT"/>
                <w:color w:val="000000"/>
                <w:sz w:val="16"/>
                <w:szCs w:val="16"/>
                <w:lang w:val="en-GB" w:eastAsia="en-GB"/>
              </w:rPr>
              <w:t>5.848</w:t>
            </w:r>
          </w:p>
        </w:tc>
        <w:tc>
          <w:tcPr>
            <w:tcW w:w="377" w:type="pct"/>
            <w:hideMark/>
          </w:tcPr>
          <w:p w:rsidR="00C71FCE" w:rsidRPr="002B1FAC" w:rsidRDefault="00C71FCE" w:rsidP="00DE703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s="ArialMT"/>
                <w:color w:val="000000"/>
                <w:sz w:val="16"/>
                <w:szCs w:val="16"/>
                <w:lang w:val="en-GB" w:eastAsia="en-GB"/>
              </w:rPr>
            </w:pPr>
            <w:r w:rsidRPr="002B1FAC">
              <w:rPr>
                <w:rFonts w:ascii="Arial Narrow" w:hAnsi="Arial Narrow" w:cs="ArialMT"/>
                <w:color w:val="000000"/>
                <w:sz w:val="16"/>
                <w:szCs w:val="16"/>
                <w:lang w:val="en-GB" w:eastAsia="en-GB"/>
              </w:rPr>
              <w:t>5.610</w:t>
            </w:r>
          </w:p>
        </w:tc>
        <w:tc>
          <w:tcPr>
            <w:tcW w:w="377" w:type="pct"/>
            <w:hideMark/>
          </w:tcPr>
          <w:p w:rsidR="00C71FCE" w:rsidRPr="002B1FAC" w:rsidRDefault="00C71FCE" w:rsidP="00DE703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s="ArialMT"/>
                <w:color w:val="000000"/>
                <w:sz w:val="16"/>
                <w:szCs w:val="16"/>
                <w:lang w:val="en-GB" w:eastAsia="en-GB"/>
              </w:rPr>
            </w:pPr>
            <w:r w:rsidRPr="002B1FAC">
              <w:rPr>
                <w:rFonts w:ascii="Arial Narrow" w:hAnsi="Arial Narrow" w:cs="ArialMT"/>
                <w:color w:val="000000"/>
                <w:sz w:val="16"/>
                <w:szCs w:val="16"/>
                <w:lang w:val="en-GB" w:eastAsia="en-GB"/>
              </w:rPr>
              <w:t>4.746</w:t>
            </w:r>
          </w:p>
        </w:tc>
        <w:tc>
          <w:tcPr>
            <w:tcW w:w="377" w:type="pct"/>
            <w:hideMark/>
          </w:tcPr>
          <w:p w:rsidR="00C71FCE" w:rsidRPr="002B1FAC" w:rsidRDefault="00C71FCE" w:rsidP="00DE703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s="ArialMT"/>
                <w:color w:val="000000"/>
                <w:sz w:val="16"/>
                <w:szCs w:val="16"/>
                <w:lang w:val="en-GB" w:eastAsia="en-GB"/>
              </w:rPr>
            </w:pPr>
            <w:r w:rsidRPr="002B1FAC">
              <w:rPr>
                <w:rFonts w:ascii="Arial Narrow" w:hAnsi="Arial Narrow" w:cs="ArialMT"/>
                <w:color w:val="000000"/>
                <w:sz w:val="16"/>
                <w:szCs w:val="16"/>
                <w:lang w:val="en-GB" w:eastAsia="en-GB"/>
              </w:rPr>
              <w:t>4.748</w:t>
            </w:r>
          </w:p>
        </w:tc>
        <w:tc>
          <w:tcPr>
            <w:tcW w:w="377" w:type="pct"/>
            <w:hideMark/>
          </w:tcPr>
          <w:p w:rsidR="00C71FCE" w:rsidRPr="002B1FAC" w:rsidRDefault="00C71FCE" w:rsidP="00DE703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s="ArialMT"/>
                <w:color w:val="000000"/>
                <w:sz w:val="16"/>
                <w:szCs w:val="16"/>
                <w:lang w:val="en-GB" w:eastAsia="en-GB"/>
              </w:rPr>
            </w:pPr>
            <w:r w:rsidRPr="002B1FAC">
              <w:rPr>
                <w:rFonts w:ascii="Arial Narrow" w:hAnsi="Arial Narrow" w:cs="ArialMT"/>
                <w:color w:val="000000"/>
                <w:sz w:val="16"/>
                <w:szCs w:val="16"/>
                <w:lang w:val="en-GB" w:eastAsia="en-GB"/>
              </w:rPr>
              <w:t>6.544</w:t>
            </w:r>
          </w:p>
        </w:tc>
      </w:tr>
      <w:tr w:rsidR="00C71FCE" w:rsidRPr="002B1FAC" w:rsidTr="009C59DA">
        <w:trPr>
          <w:trHeight w:val="280"/>
        </w:trPr>
        <w:tc>
          <w:tcPr>
            <w:cnfStyle w:val="001000000000" w:firstRow="0" w:lastRow="0" w:firstColumn="1" w:lastColumn="0" w:oddVBand="0" w:evenVBand="0" w:oddHBand="0" w:evenHBand="0" w:firstRowFirstColumn="0" w:firstRowLastColumn="0" w:lastRowFirstColumn="0" w:lastRowLastColumn="0"/>
            <w:tcW w:w="473" w:type="pct"/>
            <w:hideMark/>
          </w:tcPr>
          <w:p w:rsidR="00C71FCE" w:rsidRPr="002B1FAC" w:rsidRDefault="00C71FCE" w:rsidP="00DE703C">
            <w:pPr>
              <w:spacing w:after="0" w:line="240" w:lineRule="auto"/>
              <w:rPr>
                <w:rFonts w:ascii="Arial Narrow" w:hAnsi="Arial Narrow" w:cs="ArialMT"/>
                <w:b w:val="0"/>
                <w:color w:val="000000"/>
                <w:sz w:val="16"/>
                <w:szCs w:val="16"/>
                <w:lang w:val="en-GB" w:eastAsia="en-GB"/>
              </w:rPr>
            </w:pPr>
            <w:r w:rsidRPr="002B1FAC">
              <w:rPr>
                <w:rFonts w:ascii="Arial Narrow" w:hAnsi="Arial Narrow" w:cs="ArialMT"/>
                <w:b w:val="0"/>
                <w:color w:val="000000"/>
                <w:sz w:val="16"/>
                <w:szCs w:val="16"/>
                <w:lang w:val="en-GB" w:eastAsia="en-GB"/>
              </w:rPr>
              <w:t xml:space="preserve">Od </w:t>
            </w:r>
            <w:proofErr w:type="spellStart"/>
            <w:r w:rsidRPr="002B1FAC">
              <w:rPr>
                <w:rFonts w:ascii="Arial Narrow" w:hAnsi="Arial Narrow" w:cs="ArialMT"/>
                <w:b w:val="0"/>
                <w:color w:val="000000"/>
                <w:sz w:val="16"/>
                <w:szCs w:val="16"/>
                <w:lang w:val="en-GB" w:eastAsia="en-GB"/>
              </w:rPr>
              <w:t>tega</w:t>
            </w:r>
            <w:proofErr w:type="spellEnd"/>
            <w:r w:rsidRPr="002B1FAC">
              <w:rPr>
                <w:rFonts w:ascii="Arial Narrow" w:hAnsi="Arial Narrow" w:cs="ArialMT"/>
                <w:b w:val="0"/>
                <w:color w:val="000000"/>
                <w:sz w:val="16"/>
                <w:szCs w:val="16"/>
                <w:lang w:val="en-GB" w:eastAsia="en-GB"/>
              </w:rPr>
              <w:t xml:space="preserve"> premiere</w:t>
            </w:r>
          </w:p>
        </w:tc>
        <w:tc>
          <w:tcPr>
            <w:tcW w:w="378" w:type="pct"/>
            <w:hideMark/>
          </w:tcPr>
          <w:p w:rsidR="00C71FCE" w:rsidRPr="002B1FAC" w:rsidRDefault="00C71FCE" w:rsidP="00DE703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s="ArialMT"/>
                <w:color w:val="000000"/>
                <w:sz w:val="16"/>
                <w:szCs w:val="16"/>
                <w:lang w:val="en-GB" w:eastAsia="en-GB"/>
              </w:rPr>
            </w:pPr>
            <w:r w:rsidRPr="002B1FAC">
              <w:rPr>
                <w:rFonts w:ascii="Arial Narrow" w:hAnsi="Arial Narrow" w:cs="ArialMT"/>
                <w:color w:val="000000"/>
                <w:sz w:val="16"/>
                <w:szCs w:val="16"/>
                <w:lang w:val="en-GB" w:eastAsia="en-GB"/>
              </w:rPr>
              <w:t>195</w:t>
            </w:r>
          </w:p>
        </w:tc>
        <w:tc>
          <w:tcPr>
            <w:tcW w:w="378" w:type="pct"/>
            <w:hideMark/>
          </w:tcPr>
          <w:p w:rsidR="00C71FCE" w:rsidRPr="002B1FAC" w:rsidRDefault="00C71FCE" w:rsidP="00DE703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s="ArialMT"/>
                <w:color w:val="000000"/>
                <w:sz w:val="16"/>
                <w:szCs w:val="16"/>
                <w:lang w:val="en-GB" w:eastAsia="en-GB"/>
              </w:rPr>
            </w:pPr>
            <w:r w:rsidRPr="002B1FAC">
              <w:rPr>
                <w:rFonts w:ascii="Arial Narrow" w:hAnsi="Arial Narrow" w:cs="ArialMT"/>
                <w:color w:val="000000"/>
                <w:sz w:val="16"/>
                <w:szCs w:val="16"/>
                <w:lang w:val="en-GB" w:eastAsia="en-GB"/>
              </w:rPr>
              <w:t>246</w:t>
            </w:r>
          </w:p>
        </w:tc>
        <w:tc>
          <w:tcPr>
            <w:tcW w:w="378" w:type="pct"/>
            <w:hideMark/>
          </w:tcPr>
          <w:p w:rsidR="00C71FCE" w:rsidRPr="002B1FAC" w:rsidRDefault="00C71FCE" w:rsidP="00DE703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s="ArialMT"/>
                <w:color w:val="000000"/>
                <w:sz w:val="16"/>
                <w:szCs w:val="16"/>
                <w:lang w:val="en-GB" w:eastAsia="en-GB"/>
              </w:rPr>
            </w:pPr>
            <w:r w:rsidRPr="002B1FAC">
              <w:rPr>
                <w:rFonts w:ascii="Arial Narrow" w:hAnsi="Arial Narrow" w:cs="ArialMT"/>
                <w:color w:val="000000"/>
                <w:sz w:val="16"/>
                <w:szCs w:val="16"/>
                <w:lang w:val="en-GB" w:eastAsia="en-GB"/>
              </w:rPr>
              <w:t>229</w:t>
            </w:r>
          </w:p>
        </w:tc>
        <w:tc>
          <w:tcPr>
            <w:tcW w:w="377" w:type="pct"/>
            <w:hideMark/>
          </w:tcPr>
          <w:p w:rsidR="00C71FCE" w:rsidRPr="002B1FAC" w:rsidRDefault="00C71FCE" w:rsidP="00DE703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s="ArialMT"/>
                <w:color w:val="000000"/>
                <w:sz w:val="16"/>
                <w:szCs w:val="16"/>
                <w:lang w:val="en-GB" w:eastAsia="en-GB"/>
              </w:rPr>
            </w:pPr>
            <w:r w:rsidRPr="002B1FAC">
              <w:rPr>
                <w:rFonts w:ascii="Arial Narrow" w:hAnsi="Arial Narrow" w:cs="ArialMT"/>
                <w:color w:val="000000"/>
                <w:sz w:val="16"/>
                <w:szCs w:val="16"/>
                <w:lang w:val="en-GB" w:eastAsia="en-GB"/>
              </w:rPr>
              <w:t>221</w:t>
            </w:r>
          </w:p>
        </w:tc>
        <w:tc>
          <w:tcPr>
            <w:tcW w:w="377" w:type="pct"/>
            <w:hideMark/>
          </w:tcPr>
          <w:p w:rsidR="00C71FCE" w:rsidRPr="002B1FAC" w:rsidRDefault="00C71FCE" w:rsidP="00DE703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s="ArialMT"/>
                <w:color w:val="000000"/>
                <w:sz w:val="16"/>
                <w:szCs w:val="16"/>
                <w:lang w:val="en-GB" w:eastAsia="en-GB"/>
              </w:rPr>
            </w:pPr>
            <w:r w:rsidRPr="002B1FAC">
              <w:rPr>
                <w:rFonts w:ascii="Arial Narrow" w:hAnsi="Arial Narrow" w:cs="ArialMT"/>
                <w:color w:val="000000"/>
                <w:sz w:val="16"/>
                <w:szCs w:val="16"/>
                <w:lang w:val="en-GB" w:eastAsia="en-GB"/>
              </w:rPr>
              <w:t>205</w:t>
            </w:r>
          </w:p>
        </w:tc>
        <w:tc>
          <w:tcPr>
            <w:tcW w:w="377" w:type="pct"/>
            <w:hideMark/>
          </w:tcPr>
          <w:p w:rsidR="00C71FCE" w:rsidRPr="002B1FAC" w:rsidRDefault="00C71FCE" w:rsidP="00DE703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s="ArialMT"/>
                <w:color w:val="000000"/>
                <w:sz w:val="16"/>
                <w:szCs w:val="16"/>
                <w:lang w:val="en-GB" w:eastAsia="en-GB"/>
              </w:rPr>
            </w:pPr>
            <w:r w:rsidRPr="002B1FAC">
              <w:rPr>
                <w:rFonts w:ascii="Arial Narrow" w:hAnsi="Arial Narrow" w:cs="ArialMT"/>
                <w:color w:val="000000"/>
                <w:sz w:val="16"/>
                <w:szCs w:val="16"/>
                <w:lang w:val="en-GB" w:eastAsia="en-GB"/>
              </w:rPr>
              <w:t>236</w:t>
            </w:r>
          </w:p>
        </w:tc>
        <w:tc>
          <w:tcPr>
            <w:tcW w:w="377" w:type="pct"/>
            <w:hideMark/>
          </w:tcPr>
          <w:p w:rsidR="00C71FCE" w:rsidRPr="002B1FAC" w:rsidRDefault="00C71FCE" w:rsidP="00DE703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s="ArialMT"/>
                <w:color w:val="000000"/>
                <w:sz w:val="16"/>
                <w:szCs w:val="16"/>
                <w:lang w:val="en-GB" w:eastAsia="en-GB"/>
              </w:rPr>
            </w:pPr>
            <w:r w:rsidRPr="002B1FAC">
              <w:rPr>
                <w:rFonts w:ascii="Arial Narrow" w:hAnsi="Arial Narrow" w:cs="ArialMT"/>
                <w:color w:val="000000"/>
                <w:sz w:val="16"/>
                <w:szCs w:val="16"/>
                <w:lang w:val="en-GB" w:eastAsia="en-GB"/>
              </w:rPr>
              <w:t>307</w:t>
            </w:r>
          </w:p>
        </w:tc>
        <w:tc>
          <w:tcPr>
            <w:tcW w:w="377" w:type="pct"/>
            <w:hideMark/>
          </w:tcPr>
          <w:p w:rsidR="00C71FCE" w:rsidRPr="002B1FAC" w:rsidRDefault="00C71FCE" w:rsidP="00DE703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s="ArialMT"/>
                <w:color w:val="000000"/>
                <w:sz w:val="16"/>
                <w:szCs w:val="16"/>
                <w:lang w:val="en-GB" w:eastAsia="en-GB"/>
              </w:rPr>
            </w:pPr>
            <w:r w:rsidRPr="002B1FAC">
              <w:rPr>
                <w:rFonts w:ascii="Arial Narrow" w:hAnsi="Arial Narrow" w:cs="ArialMT"/>
                <w:color w:val="000000"/>
                <w:sz w:val="16"/>
                <w:szCs w:val="16"/>
                <w:lang w:val="en-GB" w:eastAsia="en-GB"/>
              </w:rPr>
              <w:t>316</w:t>
            </w:r>
          </w:p>
        </w:tc>
        <w:tc>
          <w:tcPr>
            <w:tcW w:w="377" w:type="pct"/>
            <w:hideMark/>
          </w:tcPr>
          <w:p w:rsidR="00C71FCE" w:rsidRPr="002B1FAC" w:rsidRDefault="00C71FCE" w:rsidP="00DE703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s="ArialMT"/>
                <w:color w:val="000000"/>
                <w:sz w:val="16"/>
                <w:szCs w:val="16"/>
                <w:lang w:val="en-GB" w:eastAsia="en-GB"/>
              </w:rPr>
            </w:pPr>
            <w:r w:rsidRPr="002B1FAC">
              <w:rPr>
                <w:rFonts w:ascii="Arial Narrow" w:hAnsi="Arial Narrow" w:cs="ArialMT"/>
                <w:color w:val="000000"/>
                <w:sz w:val="16"/>
                <w:szCs w:val="16"/>
                <w:lang w:val="en-GB" w:eastAsia="en-GB"/>
              </w:rPr>
              <w:t>450</w:t>
            </w:r>
          </w:p>
        </w:tc>
        <w:tc>
          <w:tcPr>
            <w:tcW w:w="377" w:type="pct"/>
            <w:hideMark/>
          </w:tcPr>
          <w:p w:rsidR="00C71FCE" w:rsidRPr="002B1FAC" w:rsidRDefault="00C71FCE" w:rsidP="00DE703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s="ArialMT"/>
                <w:color w:val="000000"/>
                <w:sz w:val="16"/>
                <w:szCs w:val="16"/>
                <w:lang w:val="en-GB" w:eastAsia="en-GB"/>
              </w:rPr>
            </w:pPr>
            <w:r w:rsidRPr="002B1FAC">
              <w:rPr>
                <w:rFonts w:ascii="Arial Narrow" w:hAnsi="Arial Narrow" w:cs="ArialMT"/>
                <w:color w:val="000000"/>
                <w:sz w:val="16"/>
                <w:szCs w:val="16"/>
                <w:lang w:val="en-GB" w:eastAsia="en-GB"/>
              </w:rPr>
              <w:t>262</w:t>
            </w:r>
          </w:p>
        </w:tc>
        <w:tc>
          <w:tcPr>
            <w:tcW w:w="377" w:type="pct"/>
            <w:hideMark/>
          </w:tcPr>
          <w:p w:rsidR="00C71FCE" w:rsidRPr="002B1FAC" w:rsidRDefault="00C71FCE" w:rsidP="00DE703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s="ArialMT"/>
                <w:color w:val="000000"/>
                <w:sz w:val="16"/>
                <w:szCs w:val="16"/>
                <w:lang w:val="en-GB" w:eastAsia="en-GB"/>
              </w:rPr>
            </w:pPr>
            <w:r w:rsidRPr="002B1FAC">
              <w:rPr>
                <w:rFonts w:ascii="Arial Narrow" w:hAnsi="Arial Narrow" w:cs="ArialMT"/>
                <w:color w:val="000000"/>
                <w:sz w:val="16"/>
                <w:szCs w:val="16"/>
                <w:lang w:val="en-GB" w:eastAsia="en-GB"/>
              </w:rPr>
              <w:t>287</w:t>
            </w:r>
          </w:p>
        </w:tc>
        <w:tc>
          <w:tcPr>
            <w:tcW w:w="377" w:type="pct"/>
            <w:hideMark/>
          </w:tcPr>
          <w:p w:rsidR="00C71FCE" w:rsidRPr="002B1FAC" w:rsidRDefault="00C71FCE" w:rsidP="00DE703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s="ArialMT"/>
                <w:color w:val="000000"/>
                <w:sz w:val="16"/>
                <w:szCs w:val="16"/>
                <w:lang w:val="en-GB" w:eastAsia="en-GB"/>
              </w:rPr>
            </w:pPr>
            <w:r w:rsidRPr="002B1FAC">
              <w:rPr>
                <w:rFonts w:ascii="Arial Narrow" w:hAnsi="Arial Narrow" w:cs="ArialMT"/>
                <w:color w:val="000000"/>
                <w:sz w:val="16"/>
                <w:szCs w:val="16"/>
                <w:lang w:val="en-GB" w:eastAsia="en-GB"/>
              </w:rPr>
              <w:t>287</w:t>
            </w:r>
          </w:p>
        </w:tc>
      </w:tr>
      <w:tr w:rsidR="00C71FCE" w:rsidRPr="002B1FAC" w:rsidTr="009C59DA">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473" w:type="pct"/>
            <w:hideMark/>
          </w:tcPr>
          <w:p w:rsidR="00C71FCE" w:rsidRPr="002B1FAC" w:rsidRDefault="00C71FCE" w:rsidP="00DE703C">
            <w:pPr>
              <w:spacing w:after="0" w:line="240" w:lineRule="auto"/>
              <w:rPr>
                <w:rFonts w:ascii="Arial Narrow" w:hAnsi="Arial Narrow" w:cs="ArialMT"/>
                <w:b w:val="0"/>
                <w:color w:val="000000"/>
                <w:sz w:val="16"/>
                <w:szCs w:val="16"/>
                <w:lang w:val="en-GB" w:eastAsia="en-GB"/>
              </w:rPr>
            </w:pPr>
            <w:proofErr w:type="spellStart"/>
            <w:r w:rsidRPr="002B1FAC">
              <w:rPr>
                <w:rFonts w:ascii="Arial Narrow" w:hAnsi="Arial Narrow" w:cs="ArialMT"/>
                <w:b w:val="0"/>
                <w:color w:val="000000"/>
                <w:sz w:val="16"/>
                <w:szCs w:val="16"/>
                <w:lang w:val="en-GB" w:eastAsia="en-GB"/>
              </w:rPr>
              <w:t>Gledalci</w:t>
            </w:r>
            <w:proofErr w:type="spellEnd"/>
            <w:r w:rsidRPr="002B1FAC">
              <w:rPr>
                <w:rFonts w:ascii="Arial Narrow" w:hAnsi="Arial Narrow" w:cs="ArialMT"/>
                <w:b w:val="0"/>
                <w:color w:val="000000"/>
                <w:sz w:val="16"/>
                <w:szCs w:val="16"/>
                <w:lang w:val="en-GB" w:eastAsia="en-GB"/>
              </w:rPr>
              <w:t xml:space="preserve"> </w:t>
            </w:r>
            <w:r>
              <w:rPr>
                <w:rFonts w:ascii="Arial Narrow" w:hAnsi="Arial Narrow" w:cs="ArialMT"/>
                <w:b w:val="0"/>
                <w:color w:val="000000"/>
                <w:sz w:val="16"/>
                <w:szCs w:val="16"/>
                <w:lang w:val="en-GB" w:eastAsia="en-GB"/>
              </w:rPr>
              <w:t xml:space="preserve">v </w:t>
            </w:r>
            <w:proofErr w:type="spellStart"/>
            <w:r>
              <w:rPr>
                <w:rFonts w:ascii="Arial Narrow" w:hAnsi="Arial Narrow" w:cs="ArialMT"/>
                <w:b w:val="0"/>
                <w:color w:val="000000"/>
                <w:sz w:val="16"/>
                <w:szCs w:val="16"/>
                <w:lang w:val="en-GB" w:eastAsia="en-GB"/>
              </w:rPr>
              <w:t>matični</w:t>
            </w:r>
            <w:proofErr w:type="spellEnd"/>
            <w:r>
              <w:rPr>
                <w:rFonts w:ascii="Arial Narrow" w:hAnsi="Arial Narrow" w:cs="ArialMT"/>
                <w:b w:val="0"/>
                <w:color w:val="000000"/>
                <w:sz w:val="16"/>
                <w:szCs w:val="16"/>
                <w:lang w:val="en-GB" w:eastAsia="en-GB"/>
              </w:rPr>
              <w:t xml:space="preserve"> </w:t>
            </w:r>
            <w:proofErr w:type="spellStart"/>
            <w:r>
              <w:rPr>
                <w:rFonts w:ascii="Arial Narrow" w:hAnsi="Arial Narrow" w:cs="ArialMT"/>
                <w:b w:val="0"/>
                <w:color w:val="000000"/>
                <w:sz w:val="16"/>
                <w:szCs w:val="16"/>
                <w:lang w:val="en-GB" w:eastAsia="en-GB"/>
              </w:rPr>
              <w:t>hiši</w:t>
            </w:r>
            <w:proofErr w:type="spellEnd"/>
          </w:p>
        </w:tc>
        <w:tc>
          <w:tcPr>
            <w:tcW w:w="378" w:type="pct"/>
            <w:hideMark/>
          </w:tcPr>
          <w:p w:rsidR="00C71FCE" w:rsidRPr="002B1FAC" w:rsidRDefault="00C71FCE" w:rsidP="00DE703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s="ArialMT"/>
                <w:color w:val="000000"/>
                <w:sz w:val="16"/>
                <w:szCs w:val="16"/>
                <w:lang w:val="en-GB" w:eastAsia="en-GB"/>
              </w:rPr>
            </w:pPr>
            <w:r w:rsidRPr="002B1FAC">
              <w:rPr>
                <w:rFonts w:ascii="Arial Narrow" w:hAnsi="Arial Narrow" w:cs="ArialMT"/>
                <w:color w:val="000000"/>
                <w:sz w:val="16"/>
                <w:szCs w:val="16"/>
                <w:lang w:val="en-GB" w:eastAsia="en-GB"/>
              </w:rPr>
              <w:t>719.450</w:t>
            </w:r>
          </w:p>
        </w:tc>
        <w:tc>
          <w:tcPr>
            <w:tcW w:w="378" w:type="pct"/>
            <w:hideMark/>
          </w:tcPr>
          <w:p w:rsidR="00C71FCE" w:rsidRPr="002B1FAC" w:rsidRDefault="00C71FCE" w:rsidP="00DE703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s="ArialMT"/>
                <w:color w:val="000000"/>
                <w:sz w:val="16"/>
                <w:szCs w:val="16"/>
                <w:lang w:val="en-GB" w:eastAsia="en-GB"/>
              </w:rPr>
            </w:pPr>
            <w:r w:rsidRPr="002B1FAC">
              <w:rPr>
                <w:rFonts w:ascii="Arial Narrow" w:hAnsi="Arial Narrow" w:cs="ArialMT"/>
                <w:color w:val="000000"/>
                <w:sz w:val="16"/>
                <w:szCs w:val="16"/>
                <w:lang w:val="en-GB" w:eastAsia="en-GB"/>
              </w:rPr>
              <w:t>928.629</w:t>
            </w:r>
          </w:p>
        </w:tc>
        <w:tc>
          <w:tcPr>
            <w:tcW w:w="378" w:type="pct"/>
            <w:hideMark/>
          </w:tcPr>
          <w:p w:rsidR="00C71FCE" w:rsidRPr="002B1FAC" w:rsidRDefault="00C71FCE" w:rsidP="00DE703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s="ArialMT"/>
                <w:color w:val="000000"/>
                <w:sz w:val="16"/>
                <w:szCs w:val="16"/>
                <w:lang w:val="en-GB" w:eastAsia="en-GB"/>
              </w:rPr>
            </w:pPr>
            <w:r w:rsidRPr="002B1FAC">
              <w:rPr>
                <w:rFonts w:ascii="Arial Narrow" w:hAnsi="Arial Narrow" w:cs="ArialMT"/>
                <w:color w:val="000000"/>
                <w:sz w:val="16"/>
                <w:szCs w:val="16"/>
                <w:lang w:val="en-GB" w:eastAsia="en-GB"/>
              </w:rPr>
              <w:t>842.256</w:t>
            </w:r>
          </w:p>
        </w:tc>
        <w:tc>
          <w:tcPr>
            <w:tcW w:w="377" w:type="pct"/>
            <w:hideMark/>
          </w:tcPr>
          <w:p w:rsidR="00C71FCE" w:rsidRPr="002B1FAC" w:rsidRDefault="00C71FCE" w:rsidP="00DE703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s="ArialMT"/>
                <w:color w:val="000000"/>
                <w:sz w:val="16"/>
                <w:szCs w:val="16"/>
                <w:lang w:val="en-GB" w:eastAsia="en-GB"/>
              </w:rPr>
            </w:pPr>
            <w:r w:rsidRPr="002B1FAC">
              <w:rPr>
                <w:rFonts w:ascii="Arial Narrow" w:hAnsi="Arial Narrow" w:cs="ArialMT"/>
                <w:color w:val="000000"/>
                <w:sz w:val="16"/>
                <w:szCs w:val="16"/>
                <w:lang w:val="en-GB" w:eastAsia="en-GB"/>
              </w:rPr>
              <w:t>822.351</w:t>
            </w:r>
          </w:p>
        </w:tc>
        <w:tc>
          <w:tcPr>
            <w:tcW w:w="377" w:type="pct"/>
            <w:hideMark/>
          </w:tcPr>
          <w:p w:rsidR="00C71FCE" w:rsidRPr="002B1FAC" w:rsidRDefault="00C71FCE" w:rsidP="00DE703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s="ArialMT"/>
                <w:color w:val="000000"/>
                <w:sz w:val="16"/>
                <w:szCs w:val="16"/>
                <w:lang w:val="en-GB" w:eastAsia="en-GB"/>
              </w:rPr>
            </w:pPr>
            <w:r w:rsidRPr="002B1FAC">
              <w:rPr>
                <w:rFonts w:ascii="Arial Narrow" w:hAnsi="Arial Narrow" w:cs="ArialMT"/>
                <w:color w:val="000000"/>
                <w:sz w:val="16"/>
                <w:szCs w:val="16"/>
                <w:lang w:val="en-GB" w:eastAsia="en-GB"/>
              </w:rPr>
              <w:t>867.220</w:t>
            </w:r>
          </w:p>
        </w:tc>
        <w:tc>
          <w:tcPr>
            <w:tcW w:w="377" w:type="pct"/>
            <w:hideMark/>
          </w:tcPr>
          <w:p w:rsidR="00C71FCE" w:rsidRPr="002B1FAC" w:rsidRDefault="00C71FCE" w:rsidP="00DE703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s="ArialMT"/>
                <w:color w:val="000000"/>
                <w:sz w:val="16"/>
                <w:szCs w:val="16"/>
                <w:lang w:val="en-GB" w:eastAsia="en-GB"/>
              </w:rPr>
            </w:pPr>
            <w:r w:rsidRPr="002B1FAC">
              <w:rPr>
                <w:rFonts w:ascii="Arial Narrow" w:hAnsi="Arial Narrow" w:cs="ArialMT"/>
                <w:color w:val="000000"/>
                <w:sz w:val="16"/>
                <w:szCs w:val="16"/>
                <w:lang w:val="en-GB" w:eastAsia="en-GB"/>
              </w:rPr>
              <w:t>782.491</w:t>
            </w:r>
          </w:p>
        </w:tc>
        <w:tc>
          <w:tcPr>
            <w:tcW w:w="377" w:type="pct"/>
            <w:hideMark/>
          </w:tcPr>
          <w:p w:rsidR="00C71FCE" w:rsidRPr="002B1FAC" w:rsidRDefault="00C71FCE" w:rsidP="00DE703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s="ArialMT"/>
                <w:color w:val="000000"/>
                <w:sz w:val="16"/>
                <w:szCs w:val="16"/>
                <w:lang w:val="en-GB" w:eastAsia="en-GB"/>
              </w:rPr>
            </w:pPr>
            <w:r w:rsidRPr="002B1FAC">
              <w:rPr>
                <w:rFonts w:ascii="Arial Narrow" w:hAnsi="Arial Narrow" w:cs="ArialMT"/>
                <w:color w:val="000000"/>
                <w:sz w:val="16"/>
                <w:szCs w:val="16"/>
                <w:lang w:val="en-GB" w:eastAsia="en-GB"/>
              </w:rPr>
              <w:t>864.482</w:t>
            </w:r>
          </w:p>
        </w:tc>
        <w:tc>
          <w:tcPr>
            <w:tcW w:w="377" w:type="pct"/>
            <w:hideMark/>
          </w:tcPr>
          <w:p w:rsidR="00C71FCE" w:rsidRPr="002B1FAC" w:rsidRDefault="00C71FCE" w:rsidP="00DE703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s="ArialMT"/>
                <w:color w:val="000000"/>
                <w:sz w:val="16"/>
                <w:szCs w:val="16"/>
                <w:lang w:val="en-GB" w:eastAsia="en-GB"/>
              </w:rPr>
            </w:pPr>
            <w:r w:rsidRPr="002B1FAC">
              <w:rPr>
                <w:rFonts w:ascii="Arial Narrow" w:hAnsi="Arial Narrow" w:cs="ArialMT"/>
                <w:color w:val="000000"/>
                <w:sz w:val="16"/>
                <w:szCs w:val="16"/>
                <w:lang w:val="en-GB" w:eastAsia="en-GB"/>
              </w:rPr>
              <w:t>948.618</w:t>
            </w:r>
          </w:p>
        </w:tc>
        <w:tc>
          <w:tcPr>
            <w:tcW w:w="377" w:type="pct"/>
            <w:hideMark/>
          </w:tcPr>
          <w:p w:rsidR="00C71FCE" w:rsidRPr="002B1FAC" w:rsidRDefault="00C71FCE" w:rsidP="00DE703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s="ArialMT"/>
                <w:color w:val="000000"/>
                <w:sz w:val="16"/>
                <w:szCs w:val="16"/>
                <w:lang w:val="en-GB" w:eastAsia="en-GB"/>
              </w:rPr>
            </w:pPr>
            <w:r w:rsidRPr="002B1FAC">
              <w:rPr>
                <w:rFonts w:ascii="Arial Narrow" w:hAnsi="Arial Narrow" w:cs="ArialMT"/>
                <w:color w:val="000000"/>
                <w:sz w:val="16"/>
                <w:szCs w:val="16"/>
                <w:lang w:val="en-GB" w:eastAsia="en-GB"/>
              </w:rPr>
              <w:t>955.031</w:t>
            </w:r>
          </w:p>
        </w:tc>
        <w:tc>
          <w:tcPr>
            <w:tcW w:w="377" w:type="pct"/>
            <w:hideMark/>
          </w:tcPr>
          <w:p w:rsidR="00C71FCE" w:rsidRPr="002B1FAC" w:rsidRDefault="00C71FCE" w:rsidP="00DE703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s="ArialMT"/>
                <w:color w:val="000000"/>
                <w:sz w:val="16"/>
                <w:szCs w:val="16"/>
                <w:lang w:val="en-GB" w:eastAsia="en-GB"/>
              </w:rPr>
            </w:pPr>
            <w:r w:rsidRPr="002B1FAC">
              <w:rPr>
                <w:rFonts w:ascii="Arial Narrow" w:hAnsi="Arial Narrow" w:cs="ArialMT"/>
                <w:color w:val="000000"/>
                <w:sz w:val="16"/>
                <w:szCs w:val="16"/>
                <w:lang w:val="en-GB" w:eastAsia="en-GB"/>
              </w:rPr>
              <w:t>881.252</w:t>
            </w:r>
          </w:p>
        </w:tc>
        <w:tc>
          <w:tcPr>
            <w:tcW w:w="377" w:type="pct"/>
            <w:hideMark/>
          </w:tcPr>
          <w:p w:rsidR="00C71FCE" w:rsidRPr="002B1FAC" w:rsidRDefault="00C71FCE" w:rsidP="00DE703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s="ArialMT"/>
                <w:color w:val="000000"/>
                <w:sz w:val="16"/>
                <w:szCs w:val="16"/>
                <w:lang w:val="en-GB" w:eastAsia="en-GB"/>
              </w:rPr>
            </w:pPr>
            <w:r w:rsidRPr="002B1FAC">
              <w:rPr>
                <w:rFonts w:ascii="Arial Narrow" w:hAnsi="Arial Narrow" w:cs="ArialMT"/>
                <w:color w:val="000000"/>
                <w:sz w:val="16"/>
                <w:szCs w:val="16"/>
                <w:lang w:val="en-GB" w:eastAsia="en-GB"/>
              </w:rPr>
              <w:t>745.434</w:t>
            </w:r>
          </w:p>
        </w:tc>
        <w:tc>
          <w:tcPr>
            <w:tcW w:w="377" w:type="pct"/>
            <w:hideMark/>
          </w:tcPr>
          <w:p w:rsidR="00C71FCE" w:rsidRPr="002B1FAC" w:rsidRDefault="00C71FCE" w:rsidP="00DE703C">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s="ArialMT"/>
                <w:color w:val="000000"/>
                <w:sz w:val="16"/>
                <w:szCs w:val="16"/>
                <w:lang w:val="en-GB" w:eastAsia="en-GB"/>
              </w:rPr>
            </w:pPr>
            <w:r w:rsidRPr="002B1FAC">
              <w:rPr>
                <w:rFonts w:ascii="Arial Narrow" w:hAnsi="Arial Narrow" w:cs="ArialMT"/>
                <w:color w:val="000000"/>
                <w:sz w:val="16"/>
                <w:szCs w:val="16"/>
                <w:lang w:val="en-GB" w:eastAsia="en-GB"/>
              </w:rPr>
              <w:t>850.367</w:t>
            </w:r>
          </w:p>
        </w:tc>
      </w:tr>
      <w:tr w:rsidR="00C71FCE" w:rsidRPr="002B1FAC" w:rsidTr="009C59DA">
        <w:trPr>
          <w:trHeight w:val="660"/>
        </w:trPr>
        <w:tc>
          <w:tcPr>
            <w:cnfStyle w:val="001000000000" w:firstRow="0" w:lastRow="0" w:firstColumn="1" w:lastColumn="0" w:oddVBand="0" w:evenVBand="0" w:oddHBand="0" w:evenHBand="0" w:firstRowFirstColumn="0" w:firstRowLastColumn="0" w:lastRowFirstColumn="0" w:lastRowLastColumn="0"/>
            <w:tcW w:w="473" w:type="pct"/>
            <w:hideMark/>
          </w:tcPr>
          <w:p w:rsidR="00C71FCE" w:rsidRPr="002B1FAC" w:rsidRDefault="00C71FCE" w:rsidP="00DE703C">
            <w:pPr>
              <w:spacing w:after="0" w:line="240" w:lineRule="auto"/>
              <w:rPr>
                <w:rFonts w:ascii="Arial Narrow" w:hAnsi="Arial Narrow" w:cs="ArialMT"/>
                <w:b w:val="0"/>
                <w:color w:val="000000"/>
                <w:sz w:val="16"/>
                <w:szCs w:val="16"/>
                <w:lang w:val="en-GB" w:eastAsia="en-GB"/>
              </w:rPr>
            </w:pPr>
            <w:proofErr w:type="spellStart"/>
            <w:r>
              <w:rPr>
                <w:rFonts w:ascii="Arial Narrow" w:hAnsi="Arial Narrow" w:cs="ArialMT"/>
                <w:b w:val="0"/>
                <w:color w:val="000000"/>
                <w:sz w:val="16"/>
                <w:szCs w:val="16"/>
                <w:lang w:val="en-GB" w:eastAsia="en-GB"/>
              </w:rPr>
              <w:t>Povprečno</w:t>
            </w:r>
            <w:proofErr w:type="spellEnd"/>
            <w:r>
              <w:rPr>
                <w:rFonts w:ascii="Arial Narrow" w:hAnsi="Arial Narrow" w:cs="ArialMT"/>
                <w:b w:val="0"/>
                <w:color w:val="000000"/>
                <w:sz w:val="16"/>
                <w:szCs w:val="16"/>
                <w:lang w:val="en-GB" w:eastAsia="en-GB"/>
              </w:rPr>
              <w:t xml:space="preserve"> </w:t>
            </w:r>
            <w:proofErr w:type="spellStart"/>
            <w:r>
              <w:rPr>
                <w:rFonts w:ascii="Arial Narrow" w:hAnsi="Arial Narrow" w:cs="ArialMT"/>
                <w:b w:val="0"/>
                <w:color w:val="000000"/>
                <w:sz w:val="16"/>
                <w:szCs w:val="16"/>
                <w:lang w:val="en-GB" w:eastAsia="en-GB"/>
              </w:rPr>
              <w:t>št</w:t>
            </w:r>
            <w:proofErr w:type="spellEnd"/>
            <w:r>
              <w:rPr>
                <w:rFonts w:ascii="Arial Narrow" w:hAnsi="Arial Narrow" w:cs="ArialMT"/>
                <w:b w:val="0"/>
                <w:color w:val="000000"/>
                <w:sz w:val="16"/>
                <w:szCs w:val="16"/>
                <w:lang w:val="en-GB" w:eastAsia="en-GB"/>
              </w:rPr>
              <w:t xml:space="preserve">. </w:t>
            </w:r>
            <w:proofErr w:type="spellStart"/>
            <w:r>
              <w:rPr>
                <w:rFonts w:ascii="Arial Narrow" w:hAnsi="Arial Narrow" w:cs="ArialMT"/>
                <w:b w:val="0"/>
                <w:color w:val="000000"/>
                <w:sz w:val="16"/>
                <w:szCs w:val="16"/>
                <w:lang w:val="en-GB" w:eastAsia="en-GB"/>
              </w:rPr>
              <w:t>gled</w:t>
            </w:r>
            <w:proofErr w:type="spellEnd"/>
            <w:r>
              <w:rPr>
                <w:rFonts w:ascii="Arial Narrow" w:hAnsi="Arial Narrow" w:cs="ArialMT"/>
                <w:b w:val="0"/>
                <w:color w:val="000000"/>
                <w:sz w:val="16"/>
                <w:szCs w:val="16"/>
                <w:lang w:val="en-GB" w:eastAsia="en-GB"/>
              </w:rPr>
              <w:t>.</w:t>
            </w:r>
            <w:r w:rsidRPr="002B1FAC">
              <w:rPr>
                <w:rFonts w:ascii="Arial Narrow" w:hAnsi="Arial Narrow" w:cs="ArialMT"/>
                <w:b w:val="0"/>
                <w:color w:val="000000"/>
                <w:sz w:val="16"/>
                <w:szCs w:val="16"/>
                <w:lang w:val="en-GB" w:eastAsia="en-GB"/>
              </w:rPr>
              <w:t xml:space="preserve"> </w:t>
            </w:r>
            <w:proofErr w:type="spellStart"/>
            <w:r w:rsidRPr="002B1FAC">
              <w:rPr>
                <w:rFonts w:ascii="Arial Narrow" w:hAnsi="Arial Narrow" w:cs="ArialMT"/>
                <w:b w:val="0"/>
                <w:color w:val="000000"/>
                <w:sz w:val="16"/>
                <w:szCs w:val="16"/>
                <w:lang w:val="en-GB" w:eastAsia="en-GB"/>
              </w:rPr>
              <w:t>na</w:t>
            </w:r>
            <w:proofErr w:type="spellEnd"/>
            <w:r w:rsidRPr="002B1FAC">
              <w:rPr>
                <w:rFonts w:ascii="Arial Narrow" w:hAnsi="Arial Narrow" w:cs="ArialMT"/>
                <w:b w:val="0"/>
                <w:color w:val="000000"/>
                <w:sz w:val="16"/>
                <w:szCs w:val="16"/>
                <w:lang w:val="en-GB" w:eastAsia="en-GB"/>
              </w:rPr>
              <w:t xml:space="preserve"> </w:t>
            </w:r>
            <w:proofErr w:type="spellStart"/>
            <w:r w:rsidRPr="002B1FAC">
              <w:rPr>
                <w:rFonts w:ascii="Arial Narrow" w:hAnsi="Arial Narrow" w:cs="ArialMT"/>
                <w:b w:val="0"/>
                <w:color w:val="000000"/>
                <w:sz w:val="16"/>
                <w:szCs w:val="16"/>
                <w:lang w:val="en-GB" w:eastAsia="en-GB"/>
              </w:rPr>
              <w:t>predstavo</w:t>
            </w:r>
            <w:proofErr w:type="spellEnd"/>
            <w:r>
              <w:rPr>
                <w:rFonts w:ascii="Arial Narrow" w:hAnsi="Arial Narrow" w:cs="ArialMT"/>
                <w:b w:val="0"/>
                <w:color w:val="000000"/>
                <w:sz w:val="16"/>
                <w:szCs w:val="16"/>
                <w:lang w:val="en-GB" w:eastAsia="en-GB"/>
              </w:rPr>
              <w:t xml:space="preserve"> v </w:t>
            </w:r>
            <w:proofErr w:type="spellStart"/>
            <w:r>
              <w:rPr>
                <w:rFonts w:ascii="Arial Narrow" w:hAnsi="Arial Narrow" w:cs="ArialMT"/>
                <w:b w:val="0"/>
                <w:color w:val="000000"/>
                <w:sz w:val="16"/>
                <w:szCs w:val="16"/>
                <w:lang w:val="en-GB" w:eastAsia="en-GB"/>
              </w:rPr>
              <w:t>matični</w:t>
            </w:r>
            <w:proofErr w:type="spellEnd"/>
            <w:r>
              <w:rPr>
                <w:rFonts w:ascii="Arial Narrow" w:hAnsi="Arial Narrow" w:cs="ArialMT"/>
                <w:b w:val="0"/>
                <w:color w:val="000000"/>
                <w:sz w:val="16"/>
                <w:szCs w:val="16"/>
                <w:lang w:val="en-GB" w:eastAsia="en-GB"/>
              </w:rPr>
              <w:t xml:space="preserve"> </w:t>
            </w:r>
            <w:proofErr w:type="spellStart"/>
            <w:r>
              <w:rPr>
                <w:rFonts w:ascii="Arial Narrow" w:hAnsi="Arial Narrow" w:cs="ArialMT"/>
                <w:b w:val="0"/>
                <w:color w:val="000000"/>
                <w:sz w:val="16"/>
                <w:szCs w:val="16"/>
                <w:lang w:val="en-GB" w:eastAsia="en-GB"/>
              </w:rPr>
              <w:t>hiši</w:t>
            </w:r>
            <w:proofErr w:type="spellEnd"/>
          </w:p>
        </w:tc>
        <w:tc>
          <w:tcPr>
            <w:tcW w:w="378" w:type="pct"/>
            <w:hideMark/>
          </w:tcPr>
          <w:p w:rsidR="00C71FCE" w:rsidRPr="002B1FAC" w:rsidRDefault="00C71FCE" w:rsidP="00DE703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s="ArialMT"/>
                <w:color w:val="000000"/>
                <w:sz w:val="16"/>
                <w:szCs w:val="16"/>
                <w:lang w:val="en-GB" w:eastAsia="en-GB"/>
              </w:rPr>
            </w:pPr>
            <w:r w:rsidRPr="002B1FAC">
              <w:rPr>
                <w:rFonts w:ascii="Arial Narrow" w:hAnsi="Arial Narrow" w:cs="ArialMT"/>
                <w:color w:val="000000"/>
                <w:sz w:val="16"/>
                <w:szCs w:val="16"/>
                <w:lang w:val="en-GB" w:eastAsia="en-GB"/>
              </w:rPr>
              <w:t>117</w:t>
            </w:r>
          </w:p>
        </w:tc>
        <w:tc>
          <w:tcPr>
            <w:tcW w:w="378" w:type="pct"/>
            <w:hideMark/>
          </w:tcPr>
          <w:p w:rsidR="00C71FCE" w:rsidRPr="002B1FAC" w:rsidRDefault="00C71FCE" w:rsidP="00DE703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s="ArialMT"/>
                <w:color w:val="000000"/>
                <w:sz w:val="16"/>
                <w:szCs w:val="16"/>
                <w:lang w:val="en-GB" w:eastAsia="en-GB"/>
              </w:rPr>
            </w:pPr>
            <w:r w:rsidRPr="002B1FAC">
              <w:rPr>
                <w:rFonts w:ascii="Arial Narrow" w:hAnsi="Arial Narrow" w:cs="ArialMT"/>
                <w:color w:val="000000"/>
                <w:sz w:val="16"/>
                <w:szCs w:val="16"/>
                <w:lang w:val="en-GB" w:eastAsia="en-GB"/>
              </w:rPr>
              <w:t>178</w:t>
            </w:r>
          </w:p>
        </w:tc>
        <w:tc>
          <w:tcPr>
            <w:tcW w:w="378" w:type="pct"/>
            <w:hideMark/>
          </w:tcPr>
          <w:p w:rsidR="00C71FCE" w:rsidRPr="002B1FAC" w:rsidRDefault="00C71FCE" w:rsidP="00DE703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s="ArialMT"/>
                <w:color w:val="000000"/>
                <w:sz w:val="16"/>
                <w:szCs w:val="16"/>
                <w:lang w:val="en-GB" w:eastAsia="en-GB"/>
              </w:rPr>
            </w:pPr>
            <w:r w:rsidRPr="002B1FAC">
              <w:rPr>
                <w:rFonts w:ascii="Arial Narrow" w:hAnsi="Arial Narrow" w:cs="ArialMT"/>
                <w:color w:val="000000"/>
                <w:sz w:val="16"/>
                <w:szCs w:val="16"/>
                <w:lang w:val="en-GB" w:eastAsia="en-GB"/>
              </w:rPr>
              <w:t>198</w:t>
            </w:r>
          </w:p>
        </w:tc>
        <w:tc>
          <w:tcPr>
            <w:tcW w:w="377" w:type="pct"/>
            <w:hideMark/>
          </w:tcPr>
          <w:p w:rsidR="00C71FCE" w:rsidRPr="002B1FAC" w:rsidRDefault="00C71FCE" w:rsidP="00DE703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s="ArialMT"/>
                <w:color w:val="000000"/>
                <w:sz w:val="16"/>
                <w:szCs w:val="16"/>
                <w:lang w:val="en-GB" w:eastAsia="en-GB"/>
              </w:rPr>
            </w:pPr>
            <w:r w:rsidRPr="002B1FAC">
              <w:rPr>
                <w:rFonts w:ascii="Arial Narrow" w:hAnsi="Arial Narrow" w:cs="ArialMT"/>
                <w:color w:val="000000"/>
                <w:sz w:val="16"/>
                <w:szCs w:val="16"/>
                <w:lang w:val="en-GB" w:eastAsia="en-GB"/>
              </w:rPr>
              <w:t>213</w:t>
            </w:r>
          </w:p>
        </w:tc>
        <w:tc>
          <w:tcPr>
            <w:tcW w:w="377" w:type="pct"/>
            <w:hideMark/>
          </w:tcPr>
          <w:p w:rsidR="00C71FCE" w:rsidRPr="002B1FAC" w:rsidRDefault="00C71FCE" w:rsidP="00DE703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s="ArialMT"/>
                <w:color w:val="000000"/>
                <w:sz w:val="16"/>
                <w:szCs w:val="16"/>
                <w:lang w:val="en-GB" w:eastAsia="en-GB"/>
              </w:rPr>
            </w:pPr>
            <w:r w:rsidRPr="002B1FAC">
              <w:rPr>
                <w:rFonts w:ascii="Arial Narrow" w:hAnsi="Arial Narrow" w:cs="ArialMT"/>
                <w:color w:val="000000"/>
                <w:sz w:val="16"/>
                <w:szCs w:val="16"/>
                <w:lang w:val="en-GB" w:eastAsia="en-GB"/>
              </w:rPr>
              <w:t>208</w:t>
            </w:r>
          </w:p>
        </w:tc>
        <w:tc>
          <w:tcPr>
            <w:tcW w:w="377" w:type="pct"/>
            <w:hideMark/>
          </w:tcPr>
          <w:p w:rsidR="00C71FCE" w:rsidRPr="002B1FAC" w:rsidRDefault="00C71FCE" w:rsidP="00DE703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s="ArialMT"/>
                <w:color w:val="000000"/>
                <w:sz w:val="16"/>
                <w:szCs w:val="16"/>
                <w:lang w:val="en-GB" w:eastAsia="en-GB"/>
              </w:rPr>
            </w:pPr>
            <w:r w:rsidRPr="002B1FAC">
              <w:rPr>
                <w:rFonts w:ascii="Arial Narrow" w:hAnsi="Arial Narrow" w:cs="ArialMT"/>
                <w:color w:val="000000"/>
                <w:sz w:val="16"/>
                <w:szCs w:val="16"/>
                <w:lang w:val="en-GB" w:eastAsia="en-GB"/>
              </w:rPr>
              <w:t>207</w:t>
            </w:r>
          </w:p>
        </w:tc>
        <w:tc>
          <w:tcPr>
            <w:tcW w:w="377" w:type="pct"/>
            <w:hideMark/>
          </w:tcPr>
          <w:p w:rsidR="00C71FCE" w:rsidRPr="002B1FAC" w:rsidRDefault="00C71FCE" w:rsidP="00DE703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s="ArialMT"/>
                <w:color w:val="000000"/>
                <w:sz w:val="16"/>
                <w:szCs w:val="16"/>
                <w:lang w:val="en-GB" w:eastAsia="en-GB"/>
              </w:rPr>
            </w:pPr>
            <w:r w:rsidRPr="002B1FAC">
              <w:rPr>
                <w:rFonts w:ascii="Arial Narrow" w:hAnsi="Arial Narrow" w:cs="ArialMT"/>
                <w:color w:val="000000"/>
                <w:sz w:val="16"/>
                <w:szCs w:val="16"/>
                <w:lang w:val="en-GB" w:eastAsia="en-GB"/>
              </w:rPr>
              <w:t>186</w:t>
            </w:r>
          </w:p>
        </w:tc>
        <w:tc>
          <w:tcPr>
            <w:tcW w:w="377" w:type="pct"/>
            <w:hideMark/>
          </w:tcPr>
          <w:p w:rsidR="00C71FCE" w:rsidRPr="002B1FAC" w:rsidRDefault="00C71FCE" w:rsidP="00DE703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s="ArialMT"/>
                <w:color w:val="000000"/>
                <w:sz w:val="16"/>
                <w:szCs w:val="16"/>
                <w:lang w:val="en-GB" w:eastAsia="en-GB"/>
              </w:rPr>
            </w:pPr>
            <w:r w:rsidRPr="002B1FAC">
              <w:rPr>
                <w:rFonts w:ascii="Arial Narrow" w:hAnsi="Arial Narrow" w:cs="ArialMT"/>
                <w:color w:val="000000"/>
                <w:sz w:val="16"/>
                <w:szCs w:val="16"/>
                <w:lang w:val="en-GB" w:eastAsia="en-GB"/>
              </w:rPr>
              <w:t>162</w:t>
            </w:r>
          </w:p>
        </w:tc>
        <w:tc>
          <w:tcPr>
            <w:tcW w:w="377" w:type="pct"/>
            <w:hideMark/>
          </w:tcPr>
          <w:p w:rsidR="00C71FCE" w:rsidRPr="002B1FAC" w:rsidRDefault="00C71FCE" w:rsidP="00DE703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s="ArialMT"/>
                <w:color w:val="000000"/>
                <w:sz w:val="16"/>
                <w:szCs w:val="16"/>
                <w:lang w:val="en-GB" w:eastAsia="en-GB"/>
              </w:rPr>
            </w:pPr>
            <w:r w:rsidRPr="002B1FAC">
              <w:rPr>
                <w:rFonts w:ascii="Arial Narrow" w:hAnsi="Arial Narrow" w:cs="ArialMT"/>
                <w:color w:val="000000"/>
                <w:sz w:val="16"/>
                <w:szCs w:val="16"/>
                <w:lang w:val="en-GB" w:eastAsia="en-GB"/>
              </w:rPr>
              <w:t>170</w:t>
            </w:r>
          </w:p>
        </w:tc>
        <w:tc>
          <w:tcPr>
            <w:tcW w:w="377" w:type="pct"/>
            <w:hideMark/>
          </w:tcPr>
          <w:p w:rsidR="00C71FCE" w:rsidRPr="002B1FAC" w:rsidRDefault="00C71FCE" w:rsidP="00DE703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s="ArialMT"/>
                <w:color w:val="000000"/>
                <w:sz w:val="16"/>
                <w:szCs w:val="16"/>
                <w:lang w:val="en-GB" w:eastAsia="en-GB"/>
              </w:rPr>
            </w:pPr>
            <w:r w:rsidRPr="002B1FAC">
              <w:rPr>
                <w:rFonts w:ascii="Arial Narrow" w:hAnsi="Arial Narrow" w:cs="ArialMT"/>
                <w:color w:val="000000"/>
                <w:sz w:val="16"/>
                <w:szCs w:val="16"/>
                <w:lang w:val="en-GB" w:eastAsia="en-GB"/>
              </w:rPr>
              <w:t>186</w:t>
            </w:r>
          </w:p>
        </w:tc>
        <w:tc>
          <w:tcPr>
            <w:tcW w:w="377" w:type="pct"/>
            <w:hideMark/>
          </w:tcPr>
          <w:p w:rsidR="00C71FCE" w:rsidRPr="002B1FAC" w:rsidRDefault="00C71FCE" w:rsidP="00DE703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s="ArialMT"/>
                <w:color w:val="000000"/>
                <w:sz w:val="16"/>
                <w:szCs w:val="16"/>
                <w:lang w:val="en-GB" w:eastAsia="en-GB"/>
              </w:rPr>
            </w:pPr>
            <w:r w:rsidRPr="002B1FAC">
              <w:rPr>
                <w:rFonts w:ascii="Arial Narrow" w:hAnsi="Arial Narrow" w:cs="ArialMT"/>
                <w:color w:val="000000"/>
                <w:sz w:val="16"/>
                <w:szCs w:val="16"/>
                <w:lang w:val="en-GB" w:eastAsia="en-GB"/>
              </w:rPr>
              <w:t>157</w:t>
            </w:r>
          </w:p>
        </w:tc>
        <w:tc>
          <w:tcPr>
            <w:tcW w:w="377" w:type="pct"/>
            <w:hideMark/>
          </w:tcPr>
          <w:p w:rsidR="00C71FCE" w:rsidRPr="002B1FAC" w:rsidRDefault="00C71FCE" w:rsidP="00DE703C">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s="ArialMT"/>
                <w:color w:val="000000"/>
                <w:sz w:val="16"/>
                <w:szCs w:val="16"/>
                <w:lang w:val="en-GB" w:eastAsia="en-GB"/>
              </w:rPr>
            </w:pPr>
            <w:r w:rsidRPr="002B1FAC">
              <w:rPr>
                <w:rFonts w:ascii="Arial Narrow" w:hAnsi="Arial Narrow" w:cs="ArialMT"/>
                <w:color w:val="000000"/>
                <w:sz w:val="16"/>
                <w:szCs w:val="16"/>
                <w:lang w:val="en-GB" w:eastAsia="en-GB"/>
              </w:rPr>
              <w:t>130</w:t>
            </w:r>
          </w:p>
        </w:tc>
      </w:tr>
    </w:tbl>
    <w:p w:rsidR="00EE1823" w:rsidRDefault="00C71FCE" w:rsidP="008E402E">
      <w:pPr>
        <w:pStyle w:val="Podpispodtabeloaligrafom"/>
      </w:pPr>
      <w:bookmarkStart w:id="285" w:name="OLE_LINK6"/>
      <w:r>
        <w:t>Vir: Statistični urad RS.</w:t>
      </w:r>
      <w:bookmarkEnd w:id="285"/>
    </w:p>
    <w:p w:rsidR="00C71FCE" w:rsidRDefault="00C71FCE" w:rsidP="00DE703C">
      <w:pPr>
        <w:pStyle w:val="Naslovtabele"/>
      </w:pPr>
      <w:bookmarkStart w:id="286" w:name="_Toc490053385"/>
      <w:bookmarkStart w:id="287" w:name="_Toc490053756"/>
      <w:bookmarkStart w:id="288" w:name="_Toc490600028"/>
      <w:r>
        <w:t>Graf</w:t>
      </w:r>
      <w:r w:rsidR="004D2387">
        <w:t xml:space="preserve"> 25</w:t>
      </w:r>
      <w:r>
        <w:t>: Razmerje med gledališkimi predstavami in obiskom (2004–2015)</w:t>
      </w:r>
      <w:bookmarkEnd w:id="286"/>
      <w:bookmarkEnd w:id="287"/>
      <w:bookmarkEnd w:id="288"/>
    </w:p>
    <w:p w:rsidR="00C71FCE" w:rsidRDefault="00C71FCE" w:rsidP="00DE703C">
      <w:r>
        <w:rPr>
          <w:noProof/>
          <w:lang w:eastAsia="sl-SI"/>
        </w:rPr>
        <w:drawing>
          <wp:inline distT="0" distB="0" distL="0" distR="0" wp14:anchorId="6ACE1CC0" wp14:editId="0031D70F">
            <wp:extent cx="5753735" cy="2126615"/>
            <wp:effectExtent l="0" t="0" r="12065" b="6985"/>
            <wp:docPr id="37"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C71FCE" w:rsidRDefault="00C71FCE" w:rsidP="00DE703C">
      <w:pPr>
        <w:pStyle w:val="Podpispodtabeloaligrafom"/>
      </w:pPr>
      <w:bookmarkStart w:id="289" w:name="OLE_LINK7"/>
      <w:r>
        <w:t>Vir: Statistični urad RS.</w:t>
      </w:r>
    </w:p>
    <w:bookmarkEnd w:id="289"/>
    <w:p w:rsidR="00C71FCE" w:rsidRDefault="001912D3" w:rsidP="00DE703C">
      <w:r>
        <w:t>V grafu 26</w:t>
      </w:r>
      <w:r w:rsidR="00C71FCE">
        <w:t xml:space="preserve"> vidimo, da </w:t>
      </w:r>
      <w:r w:rsidR="001537A2">
        <w:t xml:space="preserve">se struktura predstav in struktura njihovega obiska – </w:t>
      </w:r>
      <w:r w:rsidR="00C71FCE">
        <w:t>tj. kolikšen odstotek gledalcev si je ogledal posamezno vrsto predstave</w:t>
      </w:r>
      <w:r w:rsidR="001537A2">
        <w:t xml:space="preserve"> – razlikujeta</w:t>
      </w:r>
      <w:r w:rsidR="00C71FCE">
        <w:t xml:space="preserve">. Največje neskladje </w:t>
      </w:r>
      <w:r w:rsidR="00E0480C">
        <w:t>je pri dramskih predstavah</w:t>
      </w:r>
      <w:r w:rsidR="00C71FCE">
        <w:t>.</w:t>
      </w:r>
    </w:p>
    <w:p w:rsidR="00C71FCE" w:rsidRDefault="004D2387" w:rsidP="00DE703C">
      <w:pPr>
        <w:pStyle w:val="Naslovtabele"/>
      </w:pPr>
      <w:bookmarkStart w:id="290" w:name="_Toc490053386"/>
      <w:bookmarkStart w:id="291" w:name="_Toc490053757"/>
      <w:bookmarkStart w:id="292" w:name="_Toc490600029"/>
      <w:r>
        <w:t>Graf 26</w:t>
      </w:r>
      <w:r w:rsidR="00C71FCE" w:rsidRPr="00115E4C">
        <w:t xml:space="preserve">: </w:t>
      </w:r>
      <w:r w:rsidR="00115E4C">
        <w:t>S</w:t>
      </w:r>
      <w:r w:rsidR="00C71FCE" w:rsidRPr="00115E4C">
        <w:t>truktur</w:t>
      </w:r>
      <w:r w:rsidR="00115E4C">
        <w:t>a</w:t>
      </w:r>
      <w:r w:rsidR="00C71FCE" w:rsidRPr="00115E4C">
        <w:t xml:space="preserve"> predstav in struktur</w:t>
      </w:r>
      <w:r w:rsidR="00115E4C">
        <w:t>a</w:t>
      </w:r>
      <w:r w:rsidR="00C71FCE" w:rsidRPr="00115E4C">
        <w:t xml:space="preserve"> njihovega obiska</w:t>
      </w:r>
      <w:r w:rsidR="00115E4C">
        <w:t xml:space="preserve"> (2015)</w:t>
      </w:r>
      <w:bookmarkEnd w:id="290"/>
      <w:bookmarkEnd w:id="291"/>
      <w:bookmarkEnd w:id="292"/>
    </w:p>
    <w:p w:rsidR="00C71FCE" w:rsidRDefault="00115E4C" w:rsidP="00DE703C">
      <w:r>
        <w:rPr>
          <w:noProof/>
          <w:lang w:eastAsia="sl-SI"/>
        </w:rPr>
        <w:drawing>
          <wp:inline distT="0" distB="0" distL="0" distR="0" wp14:anchorId="13140948" wp14:editId="02B4D6CB">
            <wp:extent cx="5327708" cy="2535613"/>
            <wp:effectExtent l="0" t="0" r="6350" b="4445"/>
            <wp:docPr id="47" name="Grafikon 47"/>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C71FCE" w:rsidRDefault="00C71FCE" w:rsidP="00DE703C">
      <w:pPr>
        <w:pStyle w:val="Podpispodtabeloaligrafom"/>
      </w:pPr>
      <w:r>
        <w:t>Vir: Statistični urad RS.</w:t>
      </w:r>
      <w:r w:rsidR="0031631F">
        <w:t xml:space="preserve"> </w:t>
      </w:r>
    </w:p>
    <w:p w:rsidR="001219ED" w:rsidRDefault="00ED4C15" w:rsidP="00E80FDE">
      <w:r>
        <w:t xml:space="preserve">Statistika spremlja dve vrsti gostovanj – »gostovanja v matični hiši« so </w:t>
      </w:r>
      <w:r w:rsidR="00E80FDE">
        <w:t xml:space="preserve">izvedba </w:t>
      </w:r>
      <w:r>
        <w:t xml:space="preserve">predstav drugih gledališč na odru gledališča, ki je poročalo podatke, »gostovanja zunaj matične hiše« pa so </w:t>
      </w:r>
      <w:r w:rsidR="00E80FDE">
        <w:t xml:space="preserve">izvedbe </w:t>
      </w:r>
      <w:r>
        <w:t>predstav gledališča, ki je poročalo podatke</w:t>
      </w:r>
      <w:r w:rsidR="001219ED">
        <w:t>,</w:t>
      </w:r>
      <w:r>
        <w:t xml:space="preserve"> na odrih drugih </w:t>
      </w:r>
      <w:r w:rsidR="001219ED">
        <w:t xml:space="preserve">– </w:t>
      </w:r>
      <w:r>
        <w:t>npr. dru</w:t>
      </w:r>
      <w:r w:rsidR="00EE1823">
        <w:t xml:space="preserve">gih gledališč, kulturnih domov, </w:t>
      </w:r>
      <w:r>
        <w:t>festiv</w:t>
      </w:r>
      <w:r w:rsidR="001219ED">
        <w:t>alov itd. v Sloveniji in tujini</w:t>
      </w:r>
      <w:r>
        <w:t xml:space="preserve">. </w:t>
      </w:r>
      <w:r w:rsidR="00C71FCE">
        <w:t>Gostujočih predstav</w:t>
      </w:r>
      <w:r>
        <w:t xml:space="preserve"> v matični hiši</w:t>
      </w:r>
      <w:r w:rsidR="00C71FCE">
        <w:t xml:space="preserve"> je približno 16 % – na vsakih šest lastnih predstav v matični hiši gledališče gosti eno </w:t>
      </w:r>
      <w:r>
        <w:t>predstavo. Od leta 2004 do 2012</w:t>
      </w:r>
      <w:r w:rsidR="00C71FCE">
        <w:t xml:space="preserve"> je odstotek gostujočih predstav </w:t>
      </w:r>
      <w:r w:rsidR="008B3698">
        <w:t xml:space="preserve">(glede na vse predstave v matični hiši) </w:t>
      </w:r>
      <w:r w:rsidR="00C71FCE">
        <w:t xml:space="preserve">naraščal, od </w:t>
      </w:r>
      <w:r w:rsidR="001912D3">
        <w:t>2013 pa zlagoma pada (graf 27</w:t>
      </w:r>
      <w:r w:rsidR="008B3698">
        <w:t xml:space="preserve">). SURS za gostovanja zunaj matične hiše ne objavlja podatkov na </w:t>
      </w:r>
      <w:r w:rsidR="00E80FDE">
        <w:t xml:space="preserve">takšen </w:t>
      </w:r>
      <w:r w:rsidR="008B3698">
        <w:t xml:space="preserve">način, da bi lahko izračunali odstotek </w:t>
      </w:r>
      <w:r w:rsidR="00E80FDE">
        <w:t>predstav zunaj matične hiše glede na vse lastne predstave, objavlja pa podatke o številu predst</w:t>
      </w:r>
      <w:r w:rsidR="001912D3">
        <w:t xml:space="preserve">av zunaj matične hiše. V grafu 28 </w:t>
      </w:r>
      <w:r w:rsidR="00E80FDE">
        <w:t xml:space="preserve">vidimo, da je gostovanj zunaj matične hiše bistveno več kot gostovanj v matični hiši. </w:t>
      </w:r>
      <w:r w:rsidR="001219ED">
        <w:t>Če bi slovenska gledališča gostovala predvsem drug pri drugem, bi bilo število gostujočih predstav v matični hiši približno enako številu gostujočih predstav zunaj njih, a veliko gostujejo tudi na negledaliških odrih.</w:t>
      </w:r>
    </w:p>
    <w:p w:rsidR="00C71FCE" w:rsidRDefault="004D2387" w:rsidP="00DE703C">
      <w:pPr>
        <w:pStyle w:val="Naslovtabele"/>
      </w:pPr>
      <w:bookmarkStart w:id="293" w:name="_Toc490053387"/>
      <w:bookmarkStart w:id="294" w:name="_Toc490053758"/>
      <w:bookmarkStart w:id="295" w:name="_Toc490600030"/>
      <w:r>
        <w:t>Graf 27</w:t>
      </w:r>
      <w:r w:rsidR="00C71FCE">
        <w:t>: Razmerje med lastnimi in gostujočimi predstavami v matični hiši (2004–2015)</w:t>
      </w:r>
      <w:bookmarkEnd w:id="293"/>
      <w:bookmarkEnd w:id="294"/>
      <w:bookmarkEnd w:id="295"/>
    </w:p>
    <w:p w:rsidR="00C71FCE" w:rsidRDefault="00C71FCE" w:rsidP="00DE703C">
      <w:r>
        <w:rPr>
          <w:noProof/>
          <w:lang w:eastAsia="sl-SI"/>
        </w:rPr>
        <w:drawing>
          <wp:inline distT="0" distB="0" distL="0" distR="0" wp14:anchorId="6EA0DE1A" wp14:editId="2C756BDD">
            <wp:extent cx="5753528" cy="2784296"/>
            <wp:effectExtent l="0" t="0" r="0" b="10160"/>
            <wp:docPr id="39"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C71FCE" w:rsidRDefault="00C71FCE" w:rsidP="00DE703C">
      <w:pPr>
        <w:pStyle w:val="Podpispodtabeloaligrafom"/>
      </w:pPr>
      <w:r>
        <w:t>Vir: Statistični urad RS.</w:t>
      </w:r>
    </w:p>
    <w:p w:rsidR="00C71FCE" w:rsidRDefault="004D2387" w:rsidP="00DE703C">
      <w:pPr>
        <w:pStyle w:val="Naslovtabele"/>
      </w:pPr>
      <w:bookmarkStart w:id="296" w:name="_Toc490053388"/>
      <w:bookmarkStart w:id="297" w:name="_Toc490053759"/>
      <w:bookmarkStart w:id="298" w:name="_Toc490600031"/>
      <w:r>
        <w:t>Graf 28</w:t>
      </w:r>
      <w:r w:rsidR="00C71FCE">
        <w:t xml:space="preserve">: </w:t>
      </w:r>
      <w:r w:rsidR="001E0DE7">
        <w:t>Predstave na gostovanjih</w:t>
      </w:r>
      <w:r w:rsidR="00C71FCE">
        <w:t xml:space="preserve"> zunaj matične hiše in gostovanji</w:t>
      </w:r>
      <w:r w:rsidR="00B4069C">
        <w:t>h</w:t>
      </w:r>
      <w:r w:rsidR="00C71FCE">
        <w:t xml:space="preserve"> v njej</w:t>
      </w:r>
      <w:r w:rsidR="001E0DE7">
        <w:t xml:space="preserve"> (2004–2015)</w:t>
      </w:r>
      <w:r w:rsidR="0031631F">
        <w:t>*</w:t>
      </w:r>
      <w:bookmarkEnd w:id="296"/>
      <w:bookmarkEnd w:id="297"/>
      <w:bookmarkEnd w:id="298"/>
    </w:p>
    <w:p w:rsidR="00C71FCE" w:rsidRDefault="0021591F" w:rsidP="00DE703C">
      <w:r>
        <w:rPr>
          <w:noProof/>
          <w:lang w:eastAsia="sl-SI"/>
        </w:rPr>
        <w:drawing>
          <wp:inline distT="0" distB="0" distL="0" distR="0" wp14:anchorId="2FB7C6CB" wp14:editId="3852147E">
            <wp:extent cx="5753528" cy="2465798"/>
            <wp:effectExtent l="0" t="0" r="0" b="0"/>
            <wp:docPr id="6" name="Grafikon 6"/>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C71FCE" w:rsidRDefault="00C71FCE" w:rsidP="004D2387">
      <w:pPr>
        <w:pStyle w:val="Podpispodtabeloaligrafom"/>
        <w:spacing w:after="0"/>
      </w:pPr>
      <w:r>
        <w:t>Vir: Statistični urad RS.</w:t>
      </w:r>
    </w:p>
    <w:p w:rsidR="00C71FCE" w:rsidRDefault="00AB5C83" w:rsidP="00AB5C83">
      <w:pPr>
        <w:pStyle w:val="Podpispodtabeloaligrafom"/>
      </w:pPr>
      <w:r>
        <w:t>* P</w:t>
      </w:r>
      <w:r w:rsidRPr="00AB5C83">
        <w:t>ribližno 80 % gostovanj zunaj matične hiše je v Sloveniji.</w:t>
      </w:r>
    </w:p>
    <w:p w:rsidR="00C71FCE" w:rsidRDefault="00C71FCE" w:rsidP="00DE703C">
      <w:r w:rsidRPr="00433BA4">
        <w:t>Oglejmo si še</w:t>
      </w:r>
      <w:r>
        <w:t>, kako se je spreminjala struktura</w:t>
      </w:r>
      <w:r w:rsidRPr="00433BA4">
        <w:t xml:space="preserve"> predstav</w:t>
      </w:r>
      <w:r>
        <w:t xml:space="preserve"> odigranih v matičnih</w:t>
      </w:r>
      <w:r w:rsidR="000B25F7">
        <w:t xml:space="preserve"> gledališčih</w:t>
      </w:r>
      <w:r w:rsidR="001912D3">
        <w:t>. Graf 29</w:t>
      </w:r>
      <w:r w:rsidRPr="00433BA4">
        <w:t xml:space="preserve"> kaže, da se je v obdobju 2004–2015 močno zmanjšal odstotek </w:t>
      </w:r>
      <w:r>
        <w:t xml:space="preserve">eksperimentalnih </w:t>
      </w:r>
      <w:r w:rsidRPr="00433BA4">
        <w:t xml:space="preserve">predstav (za osemkrat), </w:t>
      </w:r>
      <w:r>
        <w:t xml:space="preserve">vse druge </w:t>
      </w:r>
      <w:r w:rsidRPr="00433BA4">
        <w:t>zvrsti pa so se okrepile.</w:t>
      </w:r>
    </w:p>
    <w:p w:rsidR="00C71FCE" w:rsidRDefault="00C71FCE" w:rsidP="00DE703C">
      <w:pPr>
        <w:pStyle w:val="Naslovtabele"/>
      </w:pPr>
      <w:bookmarkStart w:id="299" w:name="_Toc490053389"/>
      <w:bookmarkStart w:id="300" w:name="_Toc490053760"/>
      <w:bookmarkStart w:id="301" w:name="_Toc490600032"/>
      <w:r>
        <w:t>Graf</w:t>
      </w:r>
      <w:r w:rsidR="004D2387">
        <w:t xml:space="preserve"> 29</w:t>
      </w:r>
      <w:r>
        <w:t>: Struktura predstav (2004–2015)</w:t>
      </w:r>
      <w:r w:rsidR="0031631F">
        <w:t>*</w:t>
      </w:r>
      <w:bookmarkEnd w:id="299"/>
      <w:bookmarkEnd w:id="300"/>
      <w:bookmarkEnd w:id="301"/>
    </w:p>
    <w:p w:rsidR="00C71FCE" w:rsidRPr="00433BA4" w:rsidRDefault="00C71FCE" w:rsidP="00DE703C">
      <w:r>
        <w:rPr>
          <w:noProof/>
          <w:lang w:eastAsia="sl-SI"/>
        </w:rPr>
        <w:drawing>
          <wp:inline distT="0" distB="0" distL="0" distR="0" wp14:anchorId="3FE8E8D6" wp14:editId="65392305">
            <wp:extent cx="5563235" cy="2821305"/>
            <wp:effectExtent l="0" t="0" r="0" b="0"/>
            <wp:docPr id="41" name="Chart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C71FCE" w:rsidRDefault="00C71FCE" w:rsidP="004D2387">
      <w:pPr>
        <w:pStyle w:val="Podpispodtabeloaligrafom"/>
        <w:spacing w:after="0"/>
      </w:pPr>
      <w:r>
        <w:t>Vir: Statistični urad RS.</w:t>
      </w:r>
    </w:p>
    <w:p w:rsidR="00A80465" w:rsidRDefault="0031631F" w:rsidP="004D2387">
      <w:pPr>
        <w:pStyle w:val="Podpispodtabeloaligrafom"/>
      </w:pPr>
      <w:r>
        <w:t>*</w:t>
      </w:r>
      <w:r w:rsidR="00C71FCE" w:rsidRPr="000447C3">
        <w:t xml:space="preserve">Zbrani podatki za obdobje od leta 2011 so bili </w:t>
      </w:r>
      <w:proofErr w:type="spellStart"/>
      <w:r w:rsidR="00C71FCE" w:rsidRPr="000447C3">
        <w:t>uteženi</w:t>
      </w:r>
      <w:proofErr w:type="spellEnd"/>
      <w:r w:rsidR="00C71FCE" w:rsidRPr="000447C3">
        <w:t xml:space="preserve"> zaradi manjkajočih odgovorov (neodgovorov). </w:t>
      </w:r>
    </w:p>
    <w:p w:rsidR="00516E3A" w:rsidRDefault="00516E3A" w:rsidP="00056E05">
      <w:pPr>
        <w:pStyle w:val="Podnaslov2"/>
      </w:pPr>
      <w:bookmarkStart w:id="302" w:name="_Toc489859832"/>
      <w:bookmarkStart w:id="303" w:name="_Toc490047595"/>
    </w:p>
    <w:p w:rsidR="00516E3A" w:rsidRDefault="00516E3A">
      <w:pPr>
        <w:rPr>
          <w:i/>
          <w:color w:val="4F81BD" w:themeColor="accent1"/>
          <w:spacing w:val="15"/>
        </w:rPr>
      </w:pPr>
      <w:r>
        <w:br w:type="page"/>
      </w:r>
    </w:p>
    <w:p w:rsidR="00056E05" w:rsidRDefault="00056E05" w:rsidP="00056E05">
      <w:pPr>
        <w:pStyle w:val="Podnaslov2"/>
      </w:pPr>
      <w:bookmarkStart w:id="304" w:name="_Toc490599959"/>
      <w:bookmarkStart w:id="305" w:name="_Toc506192089"/>
      <w:r>
        <w:t>Festivali</w:t>
      </w:r>
      <w:bookmarkEnd w:id="302"/>
      <w:bookmarkEnd w:id="303"/>
      <w:bookmarkEnd w:id="304"/>
      <w:bookmarkEnd w:id="305"/>
    </w:p>
    <w:p w:rsidR="006241E8" w:rsidRPr="006241E8" w:rsidRDefault="006241E8" w:rsidP="006241E8">
      <w:r>
        <w:t xml:space="preserve">Po </w:t>
      </w:r>
      <w:r w:rsidR="001E316E">
        <w:t>informacijah</w:t>
      </w:r>
      <w:r>
        <w:t xml:space="preserve"> spletnega portala za mednarodno sodelovanje v kulturi </w:t>
      </w:r>
      <w:hyperlink r:id="rId46" w:anchor="2017" w:history="1">
        <w:proofErr w:type="spellStart"/>
        <w:r w:rsidRPr="006677C4">
          <w:rPr>
            <w:rStyle w:val="Hiperpovezava"/>
          </w:rPr>
          <w:t>Culture.si</w:t>
        </w:r>
        <w:proofErr w:type="spellEnd"/>
      </w:hyperlink>
      <w:r>
        <w:t xml:space="preserve"> se v zadnjih letih v Sloveniji odvije </w:t>
      </w:r>
      <w:r w:rsidR="00B763D3">
        <w:t xml:space="preserve">okrog 200 </w:t>
      </w:r>
      <w:r w:rsidR="00C13ADD">
        <w:t>festivalov (tabela 26</w:t>
      </w:r>
      <w:r w:rsidR="00522BEA">
        <w:t xml:space="preserve">). </w:t>
      </w:r>
      <w:r w:rsidR="001E316E">
        <w:t>Daleč največ je glasbenih – približno 40 %, najmanj pa s področja kulturne dediščine. Prvi slovenski festival je bil Majski salon</w:t>
      </w:r>
      <w:r w:rsidR="00E44208">
        <w:t xml:space="preserve">, letni pregled likovnega ustvarjanja </w:t>
      </w:r>
      <w:r w:rsidR="003265F8">
        <w:t>pri nas</w:t>
      </w:r>
      <w:r w:rsidR="00E44208">
        <w:t xml:space="preserve">, </w:t>
      </w:r>
      <w:r w:rsidR="001E316E">
        <w:t xml:space="preserve">ki se je pričel leta 1909 in živi še danes. </w:t>
      </w:r>
      <w:r w:rsidR="00E44208">
        <w:t>Po drugi svetovni vojni je vsako leto vzniknil</w:t>
      </w:r>
      <w:r w:rsidR="001E316E">
        <w:t xml:space="preserve"> vsaj kakšen </w:t>
      </w:r>
      <w:r w:rsidR="00E44208">
        <w:t xml:space="preserve">festival, </w:t>
      </w:r>
      <w:r w:rsidR="00B0583F">
        <w:t xml:space="preserve">posebej pa so se razmahnili po osamosvojitvi Slovenije in </w:t>
      </w:r>
      <w:r w:rsidR="003B1E16">
        <w:t>naraščali, nihaje sicer, pa vendar, do prv</w:t>
      </w:r>
      <w:r w:rsidR="001912D3">
        <w:t>ih let gospodarske krize (graf 30</w:t>
      </w:r>
      <w:r w:rsidR="003B1E16">
        <w:t>).</w:t>
      </w:r>
      <w:r w:rsidR="00670FA7">
        <w:t xml:space="preserve"> </w:t>
      </w:r>
      <w:r w:rsidR="006677C4">
        <w:t>Večina festivalov se odvije od maja do septembra in mnogi (zlasti glasbeni) potekajo istočasno.</w:t>
      </w:r>
    </w:p>
    <w:p w:rsidR="0055198C" w:rsidRDefault="00DE1E54" w:rsidP="0055198C">
      <w:pPr>
        <w:pStyle w:val="Naslovtabele"/>
      </w:pPr>
      <w:bookmarkStart w:id="306" w:name="_Toc490053390"/>
      <w:bookmarkStart w:id="307" w:name="_Toc490053761"/>
      <w:bookmarkStart w:id="308" w:name="_Toc490600033"/>
      <w:r>
        <w:t>Graf 30</w:t>
      </w:r>
      <w:r w:rsidR="0055198C">
        <w:t xml:space="preserve">: </w:t>
      </w:r>
      <w:r w:rsidR="003A0D51">
        <w:t>Č</w:t>
      </w:r>
      <w:r w:rsidR="0055198C">
        <w:t>asovnica festivalov – novi festivali v posameznem letu (1991–2016)</w:t>
      </w:r>
      <w:r w:rsidR="0031631F">
        <w:t>*</w:t>
      </w:r>
      <w:bookmarkEnd w:id="306"/>
      <w:bookmarkEnd w:id="307"/>
      <w:bookmarkEnd w:id="308"/>
    </w:p>
    <w:p w:rsidR="0055198C" w:rsidRDefault="0055198C" w:rsidP="0055198C">
      <w:r>
        <w:rPr>
          <w:noProof/>
          <w:lang w:eastAsia="sl-SI"/>
        </w:rPr>
        <w:drawing>
          <wp:inline distT="0" distB="0" distL="0" distR="0" wp14:anchorId="5C016961" wp14:editId="3D34A407">
            <wp:extent cx="5385435" cy="2301240"/>
            <wp:effectExtent l="0" t="0" r="0" b="10160"/>
            <wp:docPr id="7" name="Grafikon 7"/>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55198C" w:rsidRDefault="0055198C" w:rsidP="00DE1E54">
      <w:pPr>
        <w:pStyle w:val="Podpispodtabeloaligrafom"/>
        <w:spacing w:after="0"/>
      </w:pPr>
      <w:r>
        <w:t xml:space="preserve">Vir: </w:t>
      </w:r>
      <w:hyperlink r:id="rId48" w:history="1">
        <w:proofErr w:type="spellStart"/>
        <w:r w:rsidRPr="0055198C">
          <w:rPr>
            <w:rStyle w:val="Hiperpovezava"/>
          </w:rPr>
          <w:t>Culture</w:t>
        </w:r>
        <w:proofErr w:type="spellEnd"/>
        <w:r w:rsidRPr="0055198C">
          <w:rPr>
            <w:rStyle w:val="Hiperpovezava"/>
          </w:rPr>
          <w:t>.si</w:t>
        </w:r>
      </w:hyperlink>
      <w:r>
        <w:t>.</w:t>
      </w:r>
    </w:p>
    <w:p w:rsidR="00EE0D1F" w:rsidRDefault="00EE0D1F" w:rsidP="00EE0D1F">
      <w:pPr>
        <w:pStyle w:val="Podpispodtabeloaligrafom"/>
      </w:pPr>
      <w:r>
        <w:t>*</w:t>
      </w:r>
      <w:r w:rsidRPr="00C508FA">
        <w:t xml:space="preserve"> Podatkovna baza </w:t>
      </w:r>
      <w:proofErr w:type="spellStart"/>
      <w:r w:rsidRPr="00C508FA">
        <w:t>Culture.si</w:t>
      </w:r>
      <w:proofErr w:type="spellEnd"/>
      <w:r w:rsidRPr="00C508FA">
        <w:t xml:space="preserve"> ne bel</w:t>
      </w:r>
      <w:r>
        <w:t>eži vseh festivalov v Sloveniji</w:t>
      </w:r>
      <w:r w:rsidR="00AF22D6">
        <w:t xml:space="preserve">, </w:t>
      </w:r>
      <w:r w:rsidRPr="00C508FA">
        <w:t>temveč</w:t>
      </w:r>
      <w:r>
        <w:t xml:space="preserve"> le</w:t>
      </w:r>
      <w:r w:rsidRPr="00C508FA">
        <w:t>: a) fes</w:t>
      </w:r>
      <w:r>
        <w:t xml:space="preserve">tivale z mednarodnim programom, </w:t>
      </w:r>
      <w:r w:rsidRPr="00C508FA">
        <w:t xml:space="preserve">b) </w:t>
      </w:r>
      <w:r>
        <w:t xml:space="preserve">pregledne festivale slovenske produkcije, ki so zanimivi </w:t>
      </w:r>
      <w:r w:rsidRPr="00C508FA">
        <w:t>za tuje producente oz. goste</w:t>
      </w:r>
      <w:r>
        <w:t xml:space="preserve"> kot predstavitveno–promocijski (ang. </w:t>
      </w:r>
      <w:proofErr w:type="spellStart"/>
      <w:r>
        <w:t>showcase</w:t>
      </w:r>
      <w:proofErr w:type="spellEnd"/>
      <w:r>
        <w:t>) festivali in c) izbrane festivale nesnovne kulturne dediščine (manjši regionalni festivali niso vključeni)</w:t>
      </w:r>
      <w:r w:rsidRPr="00C508FA">
        <w:t xml:space="preserve">. Na nihanje številk </w:t>
      </w:r>
      <w:r>
        <w:t xml:space="preserve">– </w:t>
      </w:r>
      <w:r w:rsidR="00E12814">
        <w:t xml:space="preserve">poleg vznikanja, združevanja in </w:t>
      </w:r>
      <w:r>
        <w:t xml:space="preserve">prenehanja festivalov – </w:t>
      </w:r>
      <w:r w:rsidRPr="00C508FA">
        <w:t xml:space="preserve">vpliva tudi število bienalnih oz. </w:t>
      </w:r>
      <w:proofErr w:type="spellStart"/>
      <w:r w:rsidRPr="00C508FA">
        <w:t>trienalnih</w:t>
      </w:r>
      <w:proofErr w:type="spellEnd"/>
      <w:r w:rsidRPr="00C508FA">
        <w:t xml:space="preserve"> festivalov (v lihih letih se odvije 13 bie</w:t>
      </w:r>
      <w:r>
        <w:t>nalnih festivalov, v sodih pa 5; v</w:t>
      </w:r>
      <w:r w:rsidRPr="00C508FA">
        <w:t xml:space="preserve"> Sloveniji imamo tudi dva trienala</w:t>
      </w:r>
      <w:r>
        <w:t>)</w:t>
      </w:r>
      <w:r w:rsidRPr="00C508FA">
        <w:t>.</w:t>
      </w:r>
    </w:p>
    <w:p w:rsidR="0055198C" w:rsidRDefault="003A0D51" w:rsidP="0055198C">
      <w:pPr>
        <w:pStyle w:val="Naslovtabele"/>
      </w:pPr>
      <w:bookmarkStart w:id="309" w:name="_Toc490053391"/>
      <w:bookmarkStart w:id="310" w:name="_Toc490053762"/>
      <w:bookmarkStart w:id="311" w:name="_Toc490600034"/>
      <w:r>
        <w:t>Tabela</w:t>
      </w:r>
      <w:r w:rsidR="006D2D21">
        <w:t xml:space="preserve"> 26</w:t>
      </w:r>
      <w:r w:rsidR="0055198C">
        <w:t xml:space="preserve">: </w:t>
      </w:r>
      <w:r w:rsidR="00D8609D">
        <w:t>Festivali po področjih</w:t>
      </w:r>
      <w:r w:rsidR="0055198C">
        <w:t xml:space="preserve"> (2012–2016)</w:t>
      </w:r>
      <w:r w:rsidR="0031631F">
        <w:t>*</w:t>
      </w:r>
      <w:bookmarkEnd w:id="309"/>
      <w:bookmarkEnd w:id="310"/>
      <w:bookmarkEnd w:id="311"/>
    </w:p>
    <w:tbl>
      <w:tblPr>
        <w:tblStyle w:val="Svetelseznampoudarek3"/>
        <w:tblW w:w="9740" w:type="dxa"/>
        <w:tblLayout w:type="fixed"/>
        <w:tblLook w:val="0420" w:firstRow="1" w:lastRow="0" w:firstColumn="0" w:lastColumn="0" w:noHBand="0" w:noVBand="1"/>
      </w:tblPr>
      <w:tblGrid>
        <w:gridCol w:w="4365"/>
        <w:gridCol w:w="992"/>
        <w:gridCol w:w="992"/>
        <w:gridCol w:w="1134"/>
        <w:gridCol w:w="993"/>
        <w:gridCol w:w="1264"/>
      </w:tblGrid>
      <w:tr w:rsidR="0085079F" w:rsidRPr="003A0D51" w:rsidTr="0085079F">
        <w:trPr>
          <w:cnfStyle w:val="100000000000" w:firstRow="1" w:lastRow="0" w:firstColumn="0" w:lastColumn="0" w:oddVBand="0" w:evenVBand="0" w:oddHBand="0" w:evenHBand="0" w:firstRowFirstColumn="0" w:firstRowLastColumn="0" w:lastRowFirstColumn="0" w:lastRowLastColumn="0"/>
          <w:trHeight w:val="260"/>
        </w:trPr>
        <w:tc>
          <w:tcPr>
            <w:tcW w:w="4365" w:type="dxa"/>
            <w:noWrap/>
            <w:hideMark/>
          </w:tcPr>
          <w:p w:rsidR="003A0D51" w:rsidRPr="003A0D51" w:rsidRDefault="003A0D51" w:rsidP="003A0D51">
            <w:pPr>
              <w:rPr>
                <w:rFonts w:ascii="Arial Narrow" w:hAnsi="Arial Narrow" w:cs="ArialMT"/>
                <w:sz w:val="16"/>
                <w:szCs w:val="16"/>
                <w:lang w:eastAsia="sl-SI"/>
              </w:rPr>
            </w:pPr>
            <w:r w:rsidRPr="003A0D51">
              <w:rPr>
                <w:rFonts w:ascii="Arial Narrow" w:hAnsi="Arial Narrow" w:cs="ArialMT"/>
                <w:sz w:val="16"/>
                <w:szCs w:val="16"/>
                <w:lang w:eastAsia="sl-SI"/>
              </w:rPr>
              <w:t>Področje</w:t>
            </w:r>
          </w:p>
        </w:tc>
        <w:tc>
          <w:tcPr>
            <w:tcW w:w="992" w:type="dxa"/>
            <w:noWrap/>
            <w:hideMark/>
          </w:tcPr>
          <w:p w:rsidR="003A0D51" w:rsidRPr="003A0D51" w:rsidRDefault="003A0D51" w:rsidP="003A0D51">
            <w:pPr>
              <w:rPr>
                <w:rFonts w:ascii="Arial Narrow" w:hAnsi="Arial Narrow" w:cs="ArialMT"/>
                <w:sz w:val="16"/>
                <w:szCs w:val="16"/>
                <w:lang w:eastAsia="sl-SI"/>
              </w:rPr>
            </w:pPr>
            <w:r w:rsidRPr="003A0D51">
              <w:rPr>
                <w:rFonts w:ascii="Arial Narrow" w:hAnsi="Arial Narrow" w:cs="ArialMT"/>
                <w:sz w:val="16"/>
                <w:szCs w:val="16"/>
                <w:lang w:eastAsia="sl-SI"/>
              </w:rPr>
              <w:t>2012</w:t>
            </w:r>
          </w:p>
        </w:tc>
        <w:tc>
          <w:tcPr>
            <w:tcW w:w="992" w:type="dxa"/>
            <w:noWrap/>
            <w:hideMark/>
          </w:tcPr>
          <w:p w:rsidR="003A0D51" w:rsidRPr="003A0D51" w:rsidRDefault="003A0D51" w:rsidP="003A0D51">
            <w:pPr>
              <w:rPr>
                <w:rFonts w:ascii="Arial Narrow" w:hAnsi="Arial Narrow" w:cs="ArialMT"/>
                <w:sz w:val="16"/>
                <w:szCs w:val="16"/>
                <w:lang w:eastAsia="sl-SI"/>
              </w:rPr>
            </w:pPr>
            <w:r w:rsidRPr="003A0D51">
              <w:rPr>
                <w:rFonts w:ascii="Arial Narrow" w:hAnsi="Arial Narrow" w:cs="ArialMT"/>
                <w:sz w:val="16"/>
                <w:szCs w:val="16"/>
                <w:lang w:eastAsia="sl-SI"/>
              </w:rPr>
              <w:t>2013</w:t>
            </w:r>
          </w:p>
        </w:tc>
        <w:tc>
          <w:tcPr>
            <w:tcW w:w="1134" w:type="dxa"/>
            <w:noWrap/>
            <w:hideMark/>
          </w:tcPr>
          <w:p w:rsidR="003A0D51" w:rsidRPr="003A0D51" w:rsidRDefault="003A0D51" w:rsidP="003A0D51">
            <w:pPr>
              <w:rPr>
                <w:rFonts w:ascii="Arial Narrow" w:hAnsi="Arial Narrow" w:cs="ArialMT"/>
                <w:sz w:val="16"/>
                <w:szCs w:val="16"/>
                <w:lang w:eastAsia="sl-SI"/>
              </w:rPr>
            </w:pPr>
            <w:r w:rsidRPr="003A0D51">
              <w:rPr>
                <w:rFonts w:ascii="Arial Narrow" w:hAnsi="Arial Narrow" w:cs="ArialMT"/>
                <w:sz w:val="16"/>
                <w:szCs w:val="16"/>
                <w:lang w:eastAsia="sl-SI"/>
              </w:rPr>
              <w:t>2014</w:t>
            </w:r>
          </w:p>
        </w:tc>
        <w:tc>
          <w:tcPr>
            <w:tcW w:w="993" w:type="dxa"/>
            <w:noWrap/>
            <w:hideMark/>
          </w:tcPr>
          <w:p w:rsidR="003A0D51" w:rsidRPr="003A0D51" w:rsidRDefault="003A0D51" w:rsidP="003A0D51">
            <w:pPr>
              <w:rPr>
                <w:rFonts w:ascii="Arial Narrow" w:hAnsi="Arial Narrow" w:cs="ArialMT"/>
                <w:sz w:val="16"/>
                <w:szCs w:val="16"/>
                <w:lang w:eastAsia="sl-SI"/>
              </w:rPr>
            </w:pPr>
            <w:r w:rsidRPr="003A0D51">
              <w:rPr>
                <w:rFonts w:ascii="Arial Narrow" w:hAnsi="Arial Narrow" w:cs="ArialMT"/>
                <w:sz w:val="16"/>
                <w:szCs w:val="16"/>
                <w:lang w:eastAsia="sl-SI"/>
              </w:rPr>
              <w:t>2015</w:t>
            </w:r>
          </w:p>
        </w:tc>
        <w:tc>
          <w:tcPr>
            <w:tcW w:w="1264" w:type="dxa"/>
            <w:noWrap/>
            <w:hideMark/>
          </w:tcPr>
          <w:p w:rsidR="003A0D51" w:rsidRPr="003A0D51" w:rsidRDefault="003A0D51" w:rsidP="003A0D51">
            <w:pPr>
              <w:rPr>
                <w:rFonts w:ascii="Arial Narrow" w:hAnsi="Arial Narrow" w:cs="ArialMT"/>
                <w:sz w:val="16"/>
                <w:szCs w:val="16"/>
                <w:lang w:eastAsia="sl-SI"/>
              </w:rPr>
            </w:pPr>
            <w:r w:rsidRPr="003A0D51">
              <w:rPr>
                <w:rFonts w:ascii="Arial Narrow" w:hAnsi="Arial Narrow" w:cs="ArialMT"/>
                <w:sz w:val="16"/>
                <w:szCs w:val="16"/>
                <w:lang w:eastAsia="sl-SI"/>
              </w:rPr>
              <w:t>2016</w:t>
            </w:r>
          </w:p>
        </w:tc>
      </w:tr>
      <w:tr w:rsidR="0085079F" w:rsidRPr="003A0D51" w:rsidTr="0085079F">
        <w:trPr>
          <w:cnfStyle w:val="000000100000" w:firstRow="0" w:lastRow="0" w:firstColumn="0" w:lastColumn="0" w:oddVBand="0" w:evenVBand="0" w:oddHBand="1" w:evenHBand="0" w:firstRowFirstColumn="0" w:firstRowLastColumn="0" w:lastRowFirstColumn="0" w:lastRowLastColumn="0"/>
          <w:trHeight w:val="250"/>
        </w:trPr>
        <w:tc>
          <w:tcPr>
            <w:tcW w:w="4365" w:type="dxa"/>
            <w:noWrap/>
            <w:hideMark/>
          </w:tcPr>
          <w:p w:rsidR="003A0D51" w:rsidRPr="003A0D51" w:rsidRDefault="003A0D51" w:rsidP="003A0D51">
            <w:pPr>
              <w:spacing w:after="0" w:line="240" w:lineRule="auto"/>
              <w:rPr>
                <w:rFonts w:ascii="Arial Narrow" w:hAnsi="Arial Narrow" w:cs="ArialMT"/>
                <w:color w:val="000000"/>
                <w:sz w:val="16"/>
                <w:szCs w:val="16"/>
                <w:lang w:eastAsia="sl-SI"/>
              </w:rPr>
            </w:pPr>
            <w:r w:rsidRPr="003A0D51">
              <w:rPr>
                <w:rFonts w:ascii="Arial Narrow" w:hAnsi="Arial Narrow" w:cs="ArialMT"/>
                <w:color w:val="000000"/>
                <w:sz w:val="16"/>
                <w:szCs w:val="16"/>
                <w:lang w:eastAsia="sl-SI"/>
              </w:rPr>
              <w:t>Glasba</w:t>
            </w:r>
          </w:p>
        </w:tc>
        <w:tc>
          <w:tcPr>
            <w:tcW w:w="992" w:type="dxa"/>
            <w:noWrap/>
            <w:hideMark/>
          </w:tcPr>
          <w:p w:rsidR="003A0D51" w:rsidRPr="003A0D51" w:rsidRDefault="00CA7D0A" w:rsidP="003A0D51">
            <w:pPr>
              <w:spacing w:after="0" w:line="240" w:lineRule="auto"/>
              <w:rPr>
                <w:rFonts w:ascii="Arial Narrow" w:hAnsi="Arial Narrow" w:cs="ArialMT"/>
                <w:color w:val="000000"/>
                <w:sz w:val="16"/>
                <w:szCs w:val="16"/>
                <w:lang w:eastAsia="sl-SI"/>
              </w:rPr>
            </w:pPr>
            <w:r>
              <w:rPr>
                <w:rFonts w:ascii="Arial Narrow" w:hAnsi="Arial Narrow" w:cs="ArialMT"/>
                <w:color w:val="000000"/>
                <w:sz w:val="16"/>
                <w:szCs w:val="16"/>
                <w:lang w:eastAsia="sl-SI"/>
              </w:rPr>
              <w:t>83</w:t>
            </w:r>
          </w:p>
        </w:tc>
        <w:tc>
          <w:tcPr>
            <w:tcW w:w="992" w:type="dxa"/>
            <w:noWrap/>
            <w:hideMark/>
          </w:tcPr>
          <w:p w:rsidR="003A0D51" w:rsidRPr="003A0D51" w:rsidRDefault="003A0D51" w:rsidP="003A0D51">
            <w:pPr>
              <w:spacing w:after="0" w:line="240" w:lineRule="auto"/>
              <w:rPr>
                <w:rFonts w:ascii="Arial Narrow" w:hAnsi="Arial Narrow" w:cs="ArialMT"/>
                <w:color w:val="000000"/>
                <w:sz w:val="16"/>
                <w:szCs w:val="16"/>
                <w:lang w:eastAsia="sl-SI"/>
              </w:rPr>
            </w:pPr>
            <w:r w:rsidRPr="003A0D51">
              <w:rPr>
                <w:rFonts w:ascii="Arial Narrow" w:hAnsi="Arial Narrow" w:cs="ArialMT"/>
                <w:color w:val="000000"/>
                <w:sz w:val="16"/>
                <w:szCs w:val="16"/>
                <w:lang w:eastAsia="sl-SI"/>
              </w:rPr>
              <w:t>85</w:t>
            </w:r>
          </w:p>
        </w:tc>
        <w:tc>
          <w:tcPr>
            <w:tcW w:w="1134" w:type="dxa"/>
            <w:noWrap/>
            <w:hideMark/>
          </w:tcPr>
          <w:p w:rsidR="003A0D51" w:rsidRPr="003A0D51" w:rsidRDefault="003A0D51" w:rsidP="003A0D51">
            <w:pPr>
              <w:spacing w:after="0" w:line="240" w:lineRule="auto"/>
              <w:rPr>
                <w:rFonts w:ascii="Arial Narrow" w:hAnsi="Arial Narrow" w:cs="ArialMT"/>
                <w:color w:val="000000"/>
                <w:sz w:val="16"/>
                <w:szCs w:val="16"/>
                <w:lang w:eastAsia="sl-SI"/>
              </w:rPr>
            </w:pPr>
            <w:r w:rsidRPr="003A0D51">
              <w:rPr>
                <w:rFonts w:ascii="Arial Narrow" w:hAnsi="Arial Narrow" w:cs="ArialMT"/>
                <w:color w:val="000000"/>
                <w:sz w:val="16"/>
                <w:szCs w:val="16"/>
                <w:lang w:eastAsia="sl-SI"/>
              </w:rPr>
              <w:t>80</w:t>
            </w:r>
          </w:p>
        </w:tc>
        <w:tc>
          <w:tcPr>
            <w:tcW w:w="993" w:type="dxa"/>
            <w:noWrap/>
            <w:hideMark/>
          </w:tcPr>
          <w:p w:rsidR="003A0D51" w:rsidRPr="003A0D51" w:rsidRDefault="003A0D51" w:rsidP="003A0D51">
            <w:pPr>
              <w:spacing w:after="0" w:line="240" w:lineRule="auto"/>
              <w:rPr>
                <w:rFonts w:ascii="Arial Narrow" w:hAnsi="Arial Narrow" w:cs="ArialMT"/>
                <w:color w:val="000000"/>
                <w:sz w:val="16"/>
                <w:szCs w:val="16"/>
                <w:lang w:eastAsia="sl-SI"/>
              </w:rPr>
            </w:pPr>
            <w:r w:rsidRPr="003A0D51">
              <w:rPr>
                <w:rFonts w:ascii="Arial Narrow" w:hAnsi="Arial Narrow" w:cs="ArialMT"/>
                <w:color w:val="000000"/>
                <w:sz w:val="16"/>
                <w:szCs w:val="16"/>
                <w:lang w:eastAsia="sl-SI"/>
              </w:rPr>
              <w:t>86</w:t>
            </w:r>
          </w:p>
        </w:tc>
        <w:tc>
          <w:tcPr>
            <w:tcW w:w="1264" w:type="dxa"/>
            <w:noWrap/>
            <w:hideMark/>
          </w:tcPr>
          <w:p w:rsidR="003A0D51" w:rsidRPr="003A0D51" w:rsidRDefault="003A0D51" w:rsidP="003A0D51">
            <w:pPr>
              <w:spacing w:after="0" w:line="240" w:lineRule="auto"/>
              <w:rPr>
                <w:rFonts w:ascii="Arial Narrow" w:hAnsi="Arial Narrow" w:cs="ArialMT"/>
                <w:color w:val="000000"/>
                <w:sz w:val="16"/>
                <w:szCs w:val="16"/>
                <w:lang w:eastAsia="sl-SI"/>
              </w:rPr>
            </w:pPr>
            <w:r w:rsidRPr="003A0D51">
              <w:rPr>
                <w:rFonts w:ascii="Arial Narrow" w:hAnsi="Arial Narrow" w:cs="ArialMT"/>
                <w:color w:val="000000"/>
                <w:sz w:val="16"/>
                <w:szCs w:val="16"/>
                <w:lang w:eastAsia="sl-SI"/>
              </w:rPr>
              <w:t>77</w:t>
            </w:r>
          </w:p>
        </w:tc>
      </w:tr>
      <w:tr w:rsidR="0085079F" w:rsidRPr="003A0D51" w:rsidTr="0085079F">
        <w:trPr>
          <w:trHeight w:val="250"/>
        </w:trPr>
        <w:tc>
          <w:tcPr>
            <w:tcW w:w="4365" w:type="dxa"/>
            <w:noWrap/>
            <w:hideMark/>
          </w:tcPr>
          <w:p w:rsidR="003A0D51" w:rsidRPr="003A0D51" w:rsidRDefault="003A0D51" w:rsidP="003A0D51">
            <w:pPr>
              <w:spacing w:after="0" w:line="240" w:lineRule="auto"/>
              <w:rPr>
                <w:rFonts w:ascii="Arial Narrow" w:hAnsi="Arial Narrow" w:cs="ArialMT"/>
                <w:color w:val="000000"/>
                <w:sz w:val="16"/>
                <w:szCs w:val="16"/>
                <w:lang w:eastAsia="sl-SI"/>
              </w:rPr>
            </w:pPr>
            <w:r w:rsidRPr="003A0D51">
              <w:rPr>
                <w:rFonts w:ascii="Arial Narrow" w:hAnsi="Arial Narrow" w:cs="ArialMT"/>
                <w:color w:val="000000"/>
                <w:sz w:val="16"/>
                <w:szCs w:val="16"/>
                <w:lang w:eastAsia="sl-SI"/>
              </w:rPr>
              <w:t>Ples in gledališče</w:t>
            </w:r>
          </w:p>
        </w:tc>
        <w:tc>
          <w:tcPr>
            <w:tcW w:w="992" w:type="dxa"/>
            <w:noWrap/>
            <w:hideMark/>
          </w:tcPr>
          <w:p w:rsidR="003A0D51" w:rsidRPr="003A0D51" w:rsidRDefault="003A0D51" w:rsidP="003A0D51">
            <w:pPr>
              <w:spacing w:after="0" w:line="240" w:lineRule="auto"/>
              <w:rPr>
                <w:rFonts w:ascii="Arial Narrow" w:hAnsi="Arial Narrow" w:cs="ArialMT"/>
                <w:color w:val="000000"/>
                <w:sz w:val="16"/>
                <w:szCs w:val="16"/>
                <w:lang w:eastAsia="sl-SI"/>
              </w:rPr>
            </w:pPr>
            <w:r w:rsidRPr="003A0D51">
              <w:rPr>
                <w:rFonts w:ascii="Arial Narrow" w:hAnsi="Arial Narrow" w:cs="ArialMT"/>
                <w:color w:val="000000"/>
                <w:sz w:val="16"/>
                <w:szCs w:val="16"/>
                <w:lang w:eastAsia="sl-SI"/>
              </w:rPr>
              <w:t>27</w:t>
            </w:r>
          </w:p>
        </w:tc>
        <w:tc>
          <w:tcPr>
            <w:tcW w:w="992" w:type="dxa"/>
            <w:noWrap/>
            <w:hideMark/>
          </w:tcPr>
          <w:p w:rsidR="003A0D51" w:rsidRPr="003A0D51" w:rsidRDefault="003A0D51" w:rsidP="003A0D51">
            <w:pPr>
              <w:spacing w:after="0" w:line="240" w:lineRule="auto"/>
              <w:rPr>
                <w:rFonts w:ascii="Arial Narrow" w:hAnsi="Arial Narrow" w:cs="ArialMT"/>
                <w:color w:val="000000"/>
                <w:sz w:val="16"/>
                <w:szCs w:val="16"/>
                <w:lang w:eastAsia="sl-SI"/>
              </w:rPr>
            </w:pPr>
            <w:r w:rsidRPr="003A0D51">
              <w:rPr>
                <w:rFonts w:ascii="Arial Narrow" w:hAnsi="Arial Narrow" w:cs="ArialMT"/>
                <w:color w:val="000000"/>
                <w:sz w:val="16"/>
                <w:szCs w:val="16"/>
                <w:lang w:eastAsia="sl-SI"/>
              </w:rPr>
              <w:t>30</w:t>
            </w:r>
          </w:p>
        </w:tc>
        <w:tc>
          <w:tcPr>
            <w:tcW w:w="1134" w:type="dxa"/>
            <w:noWrap/>
            <w:hideMark/>
          </w:tcPr>
          <w:p w:rsidR="003A0D51" w:rsidRPr="003A0D51" w:rsidRDefault="003A0D51" w:rsidP="003A0D51">
            <w:pPr>
              <w:spacing w:after="0" w:line="240" w:lineRule="auto"/>
              <w:rPr>
                <w:rFonts w:ascii="Arial Narrow" w:hAnsi="Arial Narrow" w:cs="ArialMT"/>
                <w:color w:val="000000"/>
                <w:sz w:val="16"/>
                <w:szCs w:val="16"/>
                <w:lang w:eastAsia="sl-SI"/>
              </w:rPr>
            </w:pPr>
            <w:r w:rsidRPr="003A0D51">
              <w:rPr>
                <w:rFonts w:ascii="Arial Narrow" w:hAnsi="Arial Narrow" w:cs="ArialMT"/>
                <w:color w:val="000000"/>
                <w:sz w:val="16"/>
                <w:szCs w:val="16"/>
                <w:lang w:eastAsia="sl-SI"/>
              </w:rPr>
              <w:t>28</w:t>
            </w:r>
          </w:p>
        </w:tc>
        <w:tc>
          <w:tcPr>
            <w:tcW w:w="993" w:type="dxa"/>
            <w:noWrap/>
            <w:hideMark/>
          </w:tcPr>
          <w:p w:rsidR="003A0D51" w:rsidRPr="003A0D51" w:rsidRDefault="003A0D51" w:rsidP="003A0D51">
            <w:pPr>
              <w:spacing w:after="0" w:line="240" w:lineRule="auto"/>
              <w:rPr>
                <w:rFonts w:ascii="Arial Narrow" w:hAnsi="Arial Narrow" w:cs="ArialMT"/>
                <w:color w:val="000000"/>
                <w:sz w:val="16"/>
                <w:szCs w:val="16"/>
                <w:lang w:eastAsia="sl-SI"/>
              </w:rPr>
            </w:pPr>
            <w:r w:rsidRPr="003A0D51">
              <w:rPr>
                <w:rFonts w:ascii="Arial Narrow" w:hAnsi="Arial Narrow" w:cs="ArialMT"/>
                <w:color w:val="000000"/>
                <w:sz w:val="16"/>
                <w:szCs w:val="16"/>
                <w:lang w:eastAsia="sl-SI"/>
              </w:rPr>
              <w:t>29</w:t>
            </w:r>
          </w:p>
        </w:tc>
        <w:tc>
          <w:tcPr>
            <w:tcW w:w="1264" w:type="dxa"/>
            <w:noWrap/>
            <w:hideMark/>
          </w:tcPr>
          <w:p w:rsidR="003A0D51" w:rsidRPr="003A0D51" w:rsidRDefault="003A0D51" w:rsidP="003A0D51">
            <w:pPr>
              <w:spacing w:after="0" w:line="240" w:lineRule="auto"/>
              <w:rPr>
                <w:rFonts w:ascii="Arial Narrow" w:hAnsi="Arial Narrow" w:cs="ArialMT"/>
                <w:color w:val="000000"/>
                <w:sz w:val="16"/>
                <w:szCs w:val="16"/>
                <w:lang w:eastAsia="sl-SI"/>
              </w:rPr>
            </w:pPr>
            <w:r w:rsidRPr="003A0D51">
              <w:rPr>
                <w:rFonts w:ascii="Arial Narrow" w:hAnsi="Arial Narrow" w:cs="ArialMT"/>
                <w:color w:val="000000"/>
                <w:sz w:val="16"/>
                <w:szCs w:val="16"/>
                <w:lang w:eastAsia="sl-SI"/>
              </w:rPr>
              <w:t>25</w:t>
            </w:r>
          </w:p>
        </w:tc>
      </w:tr>
      <w:tr w:rsidR="0085079F" w:rsidRPr="003A0D51" w:rsidTr="0085079F">
        <w:trPr>
          <w:cnfStyle w:val="000000100000" w:firstRow="0" w:lastRow="0" w:firstColumn="0" w:lastColumn="0" w:oddVBand="0" w:evenVBand="0" w:oddHBand="1" w:evenHBand="0" w:firstRowFirstColumn="0" w:firstRowLastColumn="0" w:lastRowFirstColumn="0" w:lastRowLastColumn="0"/>
          <w:trHeight w:val="250"/>
        </w:trPr>
        <w:tc>
          <w:tcPr>
            <w:tcW w:w="4365" w:type="dxa"/>
            <w:noWrap/>
            <w:hideMark/>
          </w:tcPr>
          <w:p w:rsidR="003A0D51" w:rsidRPr="003A0D51" w:rsidRDefault="003A0D51" w:rsidP="003A0D51">
            <w:pPr>
              <w:spacing w:after="0" w:line="240" w:lineRule="auto"/>
              <w:rPr>
                <w:rFonts w:ascii="Arial Narrow" w:hAnsi="Arial Narrow" w:cs="ArialMT"/>
                <w:color w:val="000000"/>
                <w:sz w:val="16"/>
                <w:szCs w:val="16"/>
                <w:lang w:eastAsia="sl-SI"/>
              </w:rPr>
            </w:pPr>
            <w:r w:rsidRPr="003A0D51">
              <w:rPr>
                <w:rFonts w:ascii="Arial Narrow" w:hAnsi="Arial Narrow" w:cs="ArialMT"/>
                <w:color w:val="000000"/>
                <w:sz w:val="16"/>
                <w:szCs w:val="16"/>
                <w:lang w:eastAsia="sl-SI"/>
              </w:rPr>
              <w:t>Več različnih področij</w:t>
            </w:r>
          </w:p>
        </w:tc>
        <w:tc>
          <w:tcPr>
            <w:tcW w:w="992" w:type="dxa"/>
            <w:noWrap/>
            <w:hideMark/>
          </w:tcPr>
          <w:p w:rsidR="003A0D51" w:rsidRPr="003A0D51" w:rsidRDefault="003A0D51" w:rsidP="003A0D51">
            <w:pPr>
              <w:spacing w:after="0" w:line="240" w:lineRule="auto"/>
              <w:rPr>
                <w:rFonts w:ascii="Arial Narrow" w:hAnsi="Arial Narrow" w:cs="ArialMT"/>
                <w:color w:val="000000"/>
                <w:sz w:val="16"/>
                <w:szCs w:val="16"/>
                <w:lang w:eastAsia="sl-SI"/>
              </w:rPr>
            </w:pPr>
            <w:r w:rsidRPr="003A0D51">
              <w:rPr>
                <w:rFonts w:ascii="Arial Narrow" w:hAnsi="Arial Narrow" w:cs="ArialMT"/>
                <w:color w:val="000000"/>
                <w:sz w:val="16"/>
                <w:szCs w:val="16"/>
                <w:lang w:eastAsia="sl-SI"/>
              </w:rPr>
              <w:t>24</w:t>
            </w:r>
          </w:p>
        </w:tc>
        <w:tc>
          <w:tcPr>
            <w:tcW w:w="992" w:type="dxa"/>
            <w:noWrap/>
            <w:hideMark/>
          </w:tcPr>
          <w:p w:rsidR="003A0D51" w:rsidRPr="003A0D51" w:rsidRDefault="003A0D51" w:rsidP="003A0D51">
            <w:pPr>
              <w:spacing w:after="0" w:line="240" w:lineRule="auto"/>
              <w:rPr>
                <w:rFonts w:ascii="Arial Narrow" w:hAnsi="Arial Narrow" w:cs="ArialMT"/>
                <w:color w:val="000000"/>
                <w:sz w:val="16"/>
                <w:szCs w:val="16"/>
                <w:lang w:eastAsia="sl-SI"/>
              </w:rPr>
            </w:pPr>
            <w:r w:rsidRPr="003A0D51">
              <w:rPr>
                <w:rFonts w:ascii="Arial Narrow" w:hAnsi="Arial Narrow" w:cs="ArialMT"/>
                <w:color w:val="000000"/>
                <w:sz w:val="16"/>
                <w:szCs w:val="16"/>
                <w:lang w:eastAsia="sl-SI"/>
              </w:rPr>
              <w:t>24</w:t>
            </w:r>
          </w:p>
        </w:tc>
        <w:tc>
          <w:tcPr>
            <w:tcW w:w="1134" w:type="dxa"/>
            <w:noWrap/>
            <w:hideMark/>
          </w:tcPr>
          <w:p w:rsidR="003A0D51" w:rsidRPr="003A0D51" w:rsidRDefault="003A0D51" w:rsidP="003A0D51">
            <w:pPr>
              <w:spacing w:after="0" w:line="240" w:lineRule="auto"/>
              <w:rPr>
                <w:rFonts w:ascii="Arial Narrow" w:hAnsi="Arial Narrow" w:cs="ArialMT"/>
                <w:color w:val="000000"/>
                <w:sz w:val="16"/>
                <w:szCs w:val="16"/>
                <w:lang w:eastAsia="sl-SI"/>
              </w:rPr>
            </w:pPr>
            <w:r w:rsidRPr="003A0D51">
              <w:rPr>
                <w:rFonts w:ascii="Arial Narrow" w:hAnsi="Arial Narrow" w:cs="ArialMT"/>
                <w:color w:val="000000"/>
                <w:sz w:val="16"/>
                <w:szCs w:val="16"/>
                <w:lang w:eastAsia="sl-SI"/>
              </w:rPr>
              <w:t>25</w:t>
            </w:r>
          </w:p>
        </w:tc>
        <w:tc>
          <w:tcPr>
            <w:tcW w:w="993" w:type="dxa"/>
            <w:noWrap/>
            <w:hideMark/>
          </w:tcPr>
          <w:p w:rsidR="003A0D51" w:rsidRPr="003A0D51" w:rsidRDefault="003A0D51" w:rsidP="003A0D51">
            <w:pPr>
              <w:spacing w:after="0" w:line="240" w:lineRule="auto"/>
              <w:rPr>
                <w:rFonts w:ascii="Arial Narrow" w:hAnsi="Arial Narrow" w:cs="ArialMT"/>
                <w:color w:val="000000"/>
                <w:sz w:val="16"/>
                <w:szCs w:val="16"/>
                <w:lang w:eastAsia="sl-SI"/>
              </w:rPr>
            </w:pPr>
            <w:r w:rsidRPr="003A0D51">
              <w:rPr>
                <w:rFonts w:ascii="Arial Narrow" w:hAnsi="Arial Narrow" w:cs="ArialMT"/>
                <w:color w:val="000000"/>
                <w:sz w:val="16"/>
                <w:szCs w:val="16"/>
                <w:lang w:eastAsia="sl-SI"/>
              </w:rPr>
              <w:t>25</w:t>
            </w:r>
          </w:p>
        </w:tc>
        <w:tc>
          <w:tcPr>
            <w:tcW w:w="1264" w:type="dxa"/>
            <w:noWrap/>
            <w:hideMark/>
          </w:tcPr>
          <w:p w:rsidR="003A0D51" w:rsidRPr="003A0D51" w:rsidRDefault="003A0D51" w:rsidP="003A0D51">
            <w:pPr>
              <w:spacing w:after="0" w:line="240" w:lineRule="auto"/>
              <w:rPr>
                <w:rFonts w:ascii="Arial Narrow" w:hAnsi="Arial Narrow" w:cs="ArialMT"/>
                <w:color w:val="000000"/>
                <w:sz w:val="16"/>
                <w:szCs w:val="16"/>
                <w:lang w:eastAsia="sl-SI"/>
              </w:rPr>
            </w:pPr>
            <w:r w:rsidRPr="003A0D51">
              <w:rPr>
                <w:rFonts w:ascii="Arial Narrow" w:hAnsi="Arial Narrow" w:cs="ArialMT"/>
                <w:color w:val="000000"/>
                <w:sz w:val="16"/>
                <w:szCs w:val="16"/>
                <w:lang w:eastAsia="sl-SI"/>
              </w:rPr>
              <w:t>26</w:t>
            </w:r>
          </w:p>
        </w:tc>
      </w:tr>
      <w:tr w:rsidR="0085079F" w:rsidRPr="003A0D51" w:rsidTr="0085079F">
        <w:trPr>
          <w:trHeight w:val="250"/>
        </w:trPr>
        <w:tc>
          <w:tcPr>
            <w:tcW w:w="4365" w:type="dxa"/>
            <w:noWrap/>
            <w:hideMark/>
          </w:tcPr>
          <w:p w:rsidR="003A0D51" w:rsidRPr="003A0D51" w:rsidRDefault="003A0D51" w:rsidP="003A0D51">
            <w:pPr>
              <w:spacing w:after="0" w:line="240" w:lineRule="auto"/>
              <w:rPr>
                <w:rFonts w:ascii="Arial Narrow" w:hAnsi="Arial Narrow" w:cs="ArialMT"/>
                <w:color w:val="000000"/>
                <w:sz w:val="16"/>
                <w:szCs w:val="16"/>
                <w:lang w:eastAsia="sl-SI"/>
              </w:rPr>
            </w:pPr>
            <w:r w:rsidRPr="003A0D51">
              <w:rPr>
                <w:rFonts w:ascii="Arial Narrow" w:hAnsi="Arial Narrow" w:cs="ArialMT"/>
                <w:color w:val="000000"/>
                <w:sz w:val="16"/>
                <w:szCs w:val="16"/>
                <w:lang w:eastAsia="sl-SI"/>
              </w:rPr>
              <w:t>Film</w:t>
            </w:r>
          </w:p>
        </w:tc>
        <w:tc>
          <w:tcPr>
            <w:tcW w:w="992" w:type="dxa"/>
            <w:noWrap/>
            <w:hideMark/>
          </w:tcPr>
          <w:p w:rsidR="003A0D51" w:rsidRPr="003A0D51" w:rsidRDefault="003A0D51" w:rsidP="003A0D51">
            <w:pPr>
              <w:spacing w:after="0" w:line="240" w:lineRule="auto"/>
              <w:rPr>
                <w:rFonts w:ascii="Arial Narrow" w:hAnsi="Arial Narrow" w:cs="ArialMT"/>
                <w:color w:val="000000"/>
                <w:sz w:val="16"/>
                <w:szCs w:val="16"/>
                <w:lang w:eastAsia="sl-SI"/>
              </w:rPr>
            </w:pPr>
            <w:r w:rsidRPr="003A0D51">
              <w:rPr>
                <w:rFonts w:ascii="Arial Narrow" w:hAnsi="Arial Narrow" w:cs="ArialMT"/>
                <w:color w:val="000000"/>
                <w:sz w:val="16"/>
                <w:szCs w:val="16"/>
                <w:lang w:eastAsia="sl-SI"/>
              </w:rPr>
              <w:t>19</w:t>
            </w:r>
          </w:p>
        </w:tc>
        <w:tc>
          <w:tcPr>
            <w:tcW w:w="992" w:type="dxa"/>
            <w:noWrap/>
            <w:hideMark/>
          </w:tcPr>
          <w:p w:rsidR="003A0D51" w:rsidRPr="003A0D51" w:rsidRDefault="003A0D51" w:rsidP="003A0D51">
            <w:pPr>
              <w:spacing w:after="0" w:line="240" w:lineRule="auto"/>
              <w:rPr>
                <w:rFonts w:ascii="Arial Narrow" w:hAnsi="Arial Narrow" w:cs="ArialMT"/>
                <w:color w:val="000000"/>
                <w:sz w:val="16"/>
                <w:szCs w:val="16"/>
                <w:lang w:eastAsia="sl-SI"/>
              </w:rPr>
            </w:pPr>
            <w:r w:rsidRPr="003A0D51">
              <w:rPr>
                <w:rFonts w:ascii="Arial Narrow" w:hAnsi="Arial Narrow" w:cs="ArialMT"/>
                <w:color w:val="000000"/>
                <w:sz w:val="16"/>
                <w:szCs w:val="16"/>
                <w:lang w:eastAsia="sl-SI"/>
              </w:rPr>
              <w:t>19</w:t>
            </w:r>
          </w:p>
        </w:tc>
        <w:tc>
          <w:tcPr>
            <w:tcW w:w="1134" w:type="dxa"/>
            <w:noWrap/>
            <w:hideMark/>
          </w:tcPr>
          <w:p w:rsidR="003A0D51" w:rsidRPr="003A0D51" w:rsidRDefault="003A0D51" w:rsidP="003A0D51">
            <w:pPr>
              <w:spacing w:after="0" w:line="240" w:lineRule="auto"/>
              <w:rPr>
                <w:rFonts w:ascii="Arial Narrow" w:hAnsi="Arial Narrow" w:cs="ArialMT"/>
                <w:color w:val="000000"/>
                <w:sz w:val="16"/>
                <w:szCs w:val="16"/>
                <w:lang w:eastAsia="sl-SI"/>
              </w:rPr>
            </w:pPr>
            <w:r w:rsidRPr="003A0D51">
              <w:rPr>
                <w:rFonts w:ascii="Arial Narrow" w:hAnsi="Arial Narrow" w:cs="ArialMT"/>
                <w:color w:val="000000"/>
                <w:sz w:val="16"/>
                <w:szCs w:val="16"/>
                <w:lang w:eastAsia="sl-SI"/>
              </w:rPr>
              <w:t>22</w:t>
            </w:r>
          </w:p>
        </w:tc>
        <w:tc>
          <w:tcPr>
            <w:tcW w:w="993" w:type="dxa"/>
            <w:noWrap/>
            <w:hideMark/>
          </w:tcPr>
          <w:p w:rsidR="003A0D51" w:rsidRPr="003A0D51" w:rsidRDefault="003A0D51" w:rsidP="003A0D51">
            <w:pPr>
              <w:spacing w:after="0" w:line="240" w:lineRule="auto"/>
              <w:rPr>
                <w:rFonts w:ascii="Arial Narrow" w:hAnsi="Arial Narrow" w:cs="ArialMT"/>
                <w:color w:val="000000"/>
                <w:sz w:val="16"/>
                <w:szCs w:val="16"/>
                <w:lang w:eastAsia="sl-SI"/>
              </w:rPr>
            </w:pPr>
            <w:r w:rsidRPr="003A0D51">
              <w:rPr>
                <w:rFonts w:ascii="Arial Narrow" w:hAnsi="Arial Narrow" w:cs="ArialMT"/>
                <w:color w:val="000000"/>
                <w:sz w:val="16"/>
                <w:szCs w:val="16"/>
                <w:lang w:eastAsia="sl-SI"/>
              </w:rPr>
              <w:t>24</w:t>
            </w:r>
          </w:p>
        </w:tc>
        <w:tc>
          <w:tcPr>
            <w:tcW w:w="1264" w:type="dxa"/>
            <w:noWrap/>
            <w:hideMark/>
          </w:tcPr>
          <w:p w:rsidR="003A0D51" w:rsidRPr="003A0D51" w:rsidRDefault="003A0D51" w:rsidP="003A0D51">
            <w:pPr>
              <w:spacing w:after="0" w:line="240" w:lineRule="auto"/>
              <w:rPr>
                <w:rFonts w:ascii="Arial Narrow" w:hAnsi="Arial Narrow" w:cs="ArialMT"/>
                <w:color w:val="000000"/>
                <w:sz w:val="16"/>
                <w:szCs w:val="16"/>
                <w:lang w:eastAsia="sl-SI"/>
              </w:rPr>
            </w:pPr>
            <w:r w:rsidRPr="003A0D51">
              <w:rPr>
                <w:rFonts w:ascii="Arial Narrow" w:hAnsi="Arial Narrow" w:cs="ArialMT"/>
                <w:color w:val="000000"/>
                <w:sz w:val="16"/>
                <w:szCs w:val="16"/>
                <w:lang w:eastAsia="sl-SI"/>
              </w:rPr>
              <w:t>21</w:t>
            </w:r>
          </w:p>
        </w:tc>
      </w:tr>
      <w:tr w:rsidR="0085079F" w:rsidRPr="003A0D51" w:rsidTr="0085079F">
        <w:trPr>
          <w:cnfStyle w:val="000000100000" w:firstRow="0" w:lastRow="0" w:firstColumn="0" w:lastColumn="0" w:oddVBand="0" w:evenVBand="0" w:oddHBand="1" w:evenHBand="0" w:firstRowFirstColumn="0" w:firstRowLastColumn="0" w:lastRowFirstColumn="0" w:lastRowLastColumn="0"/>
          <w:trHeight w:val="250"/>
        </w:trPr>
        <w:tc>
          <w:tcPr>
            <w:tcW w:w="4365" w:type="dxa"/>
            <w:noWrap/>
            <w:hideMark/>
          </w:tcPr>
          <w:p w:rsidR="003A0D51" w:rsidRPr="003A0D51" w:rsidRDefault="003A0D51" w:rsidP="003A0D51">
            <w:pPr>
              <w:spacing w:after="0" w:line="240" w:lineRule="auto"/>
              <w:rPr>
                <w:rFonts w:ascii="Arial Narrow" w:hAnsi="Arial Narrow" w:cs="ArialMT"/>
                <w:color w:val="000000"/>
                <w:sz w:val="16"/>
                <w:szCs w:val="16"/>
                <w:lang w:eastAsia="sl-SI"/>
              </w:rPr>
            </w:pPr>
            <w:r w:rsidRPr="003A0D51">
              <w:rPr>
                <w:rFonts w:ascii="Arial Narrow" w:hAnsi="Arial Narrow" w:cs="ArialMT"/>
                <w:color w:val="000000"/>
                <w:sz w:val="16"/>
                <w:szCs w:val="16"/>
                <w:lang w:eastAsia="sl-SI"/>
              </w:rPr>
              <w:t>Novi mediji in vizualne umetnosti</w:t>
            </w:r>
          </w:p>
        </w:tc>
        <w:tc>
          <w:tcPr>
            <w:tcW w:w="992" w:type="dxa"/>
            <w:noWrap/>
            <w:hideMark/>
          </w:tcPr>
          <w:p w:rsidR="003A0D51" w:rsidRPr="003A0D51" w:rsidRDefault="003A0D51" w:rsidP="003A0D51">
            <w:pPr>
              <w:spacing w:after="0" w:line="240" w:lineRule="auto"/>
              <w:rPr>
                <w:rFonts w:ascii="Arial Narrow" w:hAnsi="Arial Narrow" w:cs="ArialMT"/>
                <w:color w:val="000000"/>
                <w:sz w:val="16"/>
                <w:szCs w:val="16"/>
                <w:lang w:eastAsia="sl-SI"/>
              </w:rPr>
            </w:pPr>
            <w:r w:rsidRPr="003A0D51">
              <w:rPr>
                <w:rFonts w:ascii="Arial Narrow" w:hAnsi="Arial Narrow" w:cs="ArialMT"/>
                <w:color w:val="000000"/>
                <w:sz w:val="16"/>
                <w:szCs w:val="16"/>
                <w:lang w:eastAsia="sl-SI"/>
              </w:rPr>
              <w:t>14</w:t>
            </w:r>
          </w:p>
        </w:tc>
        <w:tc>
          <w:tcPr>
            <w:tcW w:w="992" w:type="dxa"/>
            <w:noWrap/>
            <w:hideMark/>
          </w:tcPr>
          <w:p w:rsidR="003A0D51" w:rsidRPr="003A0D51" w:rsidRDefault="003A0D51" w:rsidP="003A0D51">
            <w:pPr>
              <w:spacing w:after="0" w:line="240" w:lineRule="auto"/>
              <w:rPr>
                <w:rFonts w:ascii="Arial Narrow" w:hAnsi="Arial Narrow" w:cs="ArialMT"/>
                <w:color w:val="000000"/>
                <w:sz w:val="16"/>
                <w:szCs w:val="16"/>
                <w:lang w:eastAsia="sl-SI"/>
              </w:rPr>
            </w:pPr>
            <w:r w:rsidRPr="003A0D51">
              <w:rPr>
                <w:rFonts w:ascii="Arial Narrow" w:hAnsi="Arial Narrow" w:cs="ArialMT"/>
                <w:color w:val="000000"/>
                <w:sz w:val="16"/>
                <w:szCs w:val="16"/>
                <w:lang w:eastAsia="sl-SI"/>
              </w:rPr>
              <w:t>17</w:t>
            </w:r>
          </w:p>
        </w:tc>
        <w:tc>
          <w:tcPr>
            <w:tcW w:w="1134" w:type="dxa"/>
            <w:noWrap/>
            <w:hideMark/>
          </w:tcPr>
          <w:p w:rsidR="003A0D51" w:rsidRPr="003A0D51" w:rsidRDefault="003A0D51" w:rsidP="003A0D51">
            <w:pPr>
              <w:spacing w:after="0" w:line="240" w:lineRule="auto"/>
              <w:rPr>
                <w:rFonts w:ascii="Arial Narrow" w:hAnsi="Arial Narrow" w:cs="ArialMT"/>
                <w:color w:val="000000"/>
                <w:sz w:val="16"/>
                <w:szCs w:val="16"/>
                <w:lang w:eastAsia="sl-SI"/>
              </w:rPr>
            </w:pPr>
            <w:r w:rsidRPr="003A0D51">
              <w:rPr>
                <w:rFonts w:ascii="Arial Narrow" w:hAnsi="Arial Narrow" w:cs="ArialMT"/>
                <w:color w:val="000000"/>
                <w:sz w:val="16"/>
                <w:szCs w:val="16"/>
                <w:lang w:eastAsia="sl-SI"/>
              </w:rPr>
              <w:t>16</w:t>
            </w:r>
          </w:p>
        </w:tc>
        <w:tc>
          <w:tcPr>
            <w:tcW w:w="993" w:type="dxa"/>
            <w:noWrap/>
            <w:hideMark/>
          </w:tcPr>
          <w:p w:rsidR="003A0D51" w:rsidRPr="003A0D51" w:rsidRDefault="003A0D51" w:rsidP="003A0D51">
            <w:pPr>
              <w:spacing w:after="0" w:line="240" w:lineRule="auto"/>
              <w:rPr>
                <w:rFonts w:ascii="Arial Narrow" w:hAnsi="Arial Narrow" w:cs="ArialMT"/>
                <w:color w:val="000000"/>
                <w:sz w:val="16"/>
                <w:szCs w:val="16"/>
                <w:lang w:eastAsia="sl-SI"/>
              </w:rPr>
            </w:pPr>
            <w:r w:rsidRPr="003A0D51">
              <w:rPr>
                <w:rFonts w:ascii="Arial Narrow" w:hAnsi="Arial Narrow" w:cs="ArialMT"/>
                <w:color w:val="000000"/>
                <w:sz w:val="16"/>
                <w:szCs w:val="16"/>
                <w:lang w:eastAsia="sl-SI"/>
              </w:rPr>
              <w:t>17</w:t>
            </w:r>
          </w:p>
        </w:tc>
        <w:tc>
          <w:tcPr>
            <w:tcW w:w="1264" w:type="dxa"/>
            <w:noWrap/>
            <w:hideMark/>
          </w:tcPr>
          <w:p w:rsidR="003A0D51" w:rsidRPr="003A0D51" w:rsidRDefault="003A0D51" w:rsidP="003A0D51">
            <w:pPr>
              <w:spacing w:after="0" w:line="240" w:lineRule="auto"/>
              <w:rPr>
                <w:rFonts w:ascii="Arial Narrow" w:hAnsi="Arial Narrow" w:cs="ArialMT"/>
                <w:color w:val="000000"/>
                <w:sz w:val="16"/>
                <w:szCs w:val="16"/>
                <w:lang w:eastAsia="sl-SI"/>
              </w:rPr>
            </w:pPr>
            <w:r w:rsidRPr="003A0D51">
              <w:rPr>
                <w:rFonts w:ascii="Arial Narrow" w:hAnsi="Arial Narrow" w:cs="ArialMT"/>
                <w:color w:val="000000"/>
                <w:sz w:val="16"/>
                <w:szCs w:val="16"/>
                <w:lang w:eastAsia="sl-SI"/>
              </w:rPr>
              <w:t>18</w:t>
            </w:r>
          </w:p>
        </w:tc>
      </w:tr>
      <w:tr w:rsidR="0085079F" w:rsidRPr="003A0D51" w:rsidTr="0085079F">
        <w:trPr>
          <w:trHeight w:val="250"/>
        </w:trPr>
        <w:tc>
          <w:tcPr>
            <w:tcW w:w="4365" w:type="dxa"/>
            <w:noWrap/>
            <w:hideMark/>
          </w:tcPr>
          <w:p w:rsidR="003A0D51" w:rsidRPr="003A0D51" w:rsidRDefault="003A0D51" w:rsidP="003A0D51">
            <w:pPr>
              <w:spacing w:after="0" w:line="240" w:lineRule="auto"/>
              <w:rPr>
                <w:rFonts w:ascii="Arial Narrow" w:hAnsi="Arial Narrow" w:cs="ArialMT"/>
                <w:color w:val="000000"/>
                <w:sz w:val="16"/>
                <w:szCs w:val="16"/>
                <w:lang w:eastAsia="sl-SI"/>
              </w:rPr>
            </w:pPr>
            <w:r w:rsidRPr="003A0D51">
              <w:rPr>
                <w:rFonts w:ascii="Arial Narrow" w:hAnsi="Arial Narrow" w:cs="ArialMT"/>
                <w:color w:val="000000"/>
                <w:sz w:val="16"/>
                <w:szCs w:val="16"/>
                <w:lang w:eastAsia="sl-SI"/>
              </w:rPr>
              <w:t>Knjiga</w:t>
            </w:r>
          </w:p>
        </w:tc>
        <w:tc>
          <w:tcPr>
            <w:tcW w:w="992" w:type="dxa"/>
            <w:noWrap/>
            <w:hideMark/>
          </w:tcPr>
          <w:p w:rsidR="003A0D51" w:rsidRPr="003A0D51" w:rsidRDefault="003A0D51" w:rsidP="003A0D51">
            <w:pPr>
              <w:spacing w:after="0" w:line="240" w:lineRule="auto"/>
              <w:rPr>
                <w:rFonts w:ascii="Arial Narrow" w:hAnsi="Arial Narrow" w:cs="ArialMT"/>
                <w:color w:val="000000"/>
                <w:sz w:val="16"/>
                <w:szCs w:val="16"/>
                <w:lang w:eastAsia="sl-SI"/>
              </w:rPr>
            </w:pPr>
            <w:r w:rsidRPr="003A0D51">
              <w:rPr>
                <w:rFonts w:ascii="Arial Narrow" w:hAnsi="Arial Narrow" w:cs="ArialMT"/>
                <w:color w:val="000000"/>
                <w:sz w:val="16"/>
                <w:szCs w:val="16"/>
                <w:lang w:eastAsia="sl-SI"/>
              </w:rPr>
              <w:t>12</w:t>
            </w:r>
          </w:p>
        </w:tc>
        <w:tc>
          <w:tcPr>
            <w:tcW w:w="992" w:type="dxa"/>
            <w:noWrap/>
            <w:hideMark/>
          </w:tcPr>
          <w:p w:rsidR="003A0D51" w:rsidRPr="003A0D51" w:rsidRDefault="003A0D51" w:rsidP="003A0D51">
            <w:pPr>
              <w:spacing w:after="0" w:line="240" w:lineRule="auto"/>
              <w:rPr>
                <w:rFonts w:ascii="Arial Narrow" w:hAnsi="Arial Narrow" w:cs="ArialMT"/>
                <w:color w:val="000000"/>
                <w:sz w:val="16"/>
                <w:szCs w:val="16"/>
                <w:lang w:eastAsia="sl-SI"/>
              </w:rPr>
            </w:pPr>
            <w:r w:rsidRPr="003A0D51">
              <w:rPr>
                <w:rFonts w:ascii="Arial Narrow" w:hAnsi="Arial Narrow" w:cs="ArialMT"/>
                <w:color w:val="000000"/>
                <w:sz w:val="16"/>
                <w:szCs w:val="16"/>
                <w:lang w:eastAsia="sl-SI"/>
              </w:rPr>
              <w:t>11</w:t>
            </w:r>
          </w:p>
        </w:tc>
        <w:tc>
          <w:tcPr>
            <w:tcW w:w="1134" w:type="dxa"/>
            <w:noWrap/>
            <w:hideMark/>
          </w:tcPr>
          <w:p w:rsidR="003A0D51" w:rsidRPr="003A0D51" w:rsidRDefault="003A0D51" w:rsidP="003A0D51">
            <w:pPr>
              <w:spacing w:after="0" w:line="240" w:lineRule="auto"/>
              <w:rPr>
                <w:rFonts w:ascii="Arial Narrow" w:hAnsi="Arial Narrow" w:cs="ArialMT"/>
                <w:color w:val="000000"/>
                <w:sz w:val="16"/>
                <w:szCs w:val="16"/>
                <w:lang w:eastAsia="sl-SI"/>
              </w:rPr>
            </w:pPr>
            <w:r w:rsidRPr="003A0D51">
              <w:rPr>
                <w:rFonts w:ascii="Arial Narrow" w:hAnsi="Arial Narrow" w:cs="ArialMT"/>
                <w:color w:val="000000"/>
                <w:sz w:val="16"/>
                <w:szCs w:val="16"/>
                <w:lang w:eastAsia="sl-SI"/>
              </w:rPr>
              <w:t>10</w:t>
            </w:r>
          </w:p>
        </w:tc>
        <w:tc>
          <w:tcPr>
            <w:tcW w:w="993" w:type="dxa"/>
            <w:noWrap/>
            <w:hideMark/>
          </w:tcPr>
          <w:p w:rsidR="003A0D51" w:rsidRPr="003A0D51" w:rsidRDefault="003A0D51" w:rsidP="003A0D51">
            <w:pPr>
              <w:spacing w:after="0" w:line="240" w:lineRule="auto"/>
              <w:rPr>
                <w:rFonts w:ascii="Arial Narrow" w:hAnsi="Arial Narrow" w:cs="ArialMT"/>
                <w:color w:val="000000"/>
                <w:sz w:val="16"/>
                <w:szCs w:val="16"/>
                <w:lang w:eastAsia="sl-SI"/>
              </w:rPr>
            </w:pPr>
            <w:r w:rsidRPr="003A0D51">
              <w:rPr>
                <w:rFonts w:ascii="Arial Narrow" w:hAnsi="Arial Narrow" w:cs="ArialMT"/>
                <w:color w:val="000000"/>
                <w:sz w:val="16"/>
                <w:szCs w:val="16"/>
                <w:lang w:eastAsia="sl-SI"/>
              </w:rPr>
              <w:t>11</w:t>
            </w:r>
          </w:p>
        </w:tc>
        <w:tc>
          <w:tcPr>
            <w:tcW w:w="1264" w:type="dxa"/>
            <w:noWrap/>
            <w:hideMark/>
          </w:tcPr>
          <w:p w:rsidR="003A0D51" w:rsidRPr="003A0D51" w:rsidRDefault="003A0D51" w:rsidP="003A0D51">
            <w:pPr>
              <w:spacing w:after="0" w:line="240" w:lineRule="auto"/>
              <w:rPr>
                <w:rFonts w:ascii="Arial Narrow" w:hAnsi="Arial Narrow" w:cs="ArialMT"/>
                <w:color w:val="000000"/>
                <w:sz w:val="16"/>
                <w:szCs w:val="16"/>
                <w:lang w:eastAsia="sl-SI"/>
              </w:rPr>
            </w:pPr>
            <w:r w:rsidRPr="003A0D51">
              <w:rPr>
                <w:rFonts w:ascii="Arial Narrow" w:hAnsi="Arial Narrow" w:cs="ArialMT"/>
                <w:color w:val="000000"/>
                <w:sz w:val="16"/>
                <w:szCs w:val="16"/>
                <w:lang w:eastAsia="sl-SI"/>
              </w:rPr>
              <w:t>11</w:t>
            </w:r>
          </w:p>
        </w:tc>
      </w:tr>
      <w:tr w:rsidR="0085079F" w:rsidRPr="003A0D51" w:rsidTr="0085079F">
        <w:trPr>
          <w:cnfStyle w:val="000000100000" w:firstRow="0" w:lastRow="0" w:firstColumn="0" w:lastColumn="0" w:oddVBand="0" w:evenVBand="0" w:oddHBand="1" w:evenHBand="0" w:firstRowFirstColumn="0" w:firstRowLastColumn="0" w:lastRowFirstColumn="0" w:lastRowLastColumn="0"/>
          <w:trHeight w:val="250"/>
        </w:trPr>
        <w:tc>
          <w:tcPr>
            <w:tcW w:w="4365" w:type="dxa"/>
            <w:noWrap/>
            <w:hideMark/>
          </w:tcPr>
          <w:p w:rsidR="003A0D51" w:rsidRPr="003A0D51" w:rsidRDefault="003A0D51" w:rsidP="003A0D51">
            <w:pPr>
              <w:spacing w:after="0" w:line="240" w:lineRule="auto"/>
              <w:rPr>
                <w:rFonts w:ascii="Arial Narrow" w:hAnsi="Arial Narrow" w:cs="ArialMT"/>
                <w:color w:val="000000"/>
                <w:sz w:val="16"/>
                <w:szCs w:val="16"/>
                <w:lang w:eastAsia="sl-SI"/>
              </w:rPr>
            </w:pPr>
            <w:r w:rsidRPr="003A0D51">
              <w:rPr>
                <w:rFonts w:ascii="Arial Narrow" w:hAnsi="Arial Narrow" w:cs="ArialMT"/>
                <w:color w:val="000000"/>
                <w:sz w:val="16"/>
                <w:szCs w:val="16"/>
                <w:lang w:eastAsia="sl-SI"/>
              </w:rPr>
              <w:t>Arhitektura in oblikovanje</w:t>
            </w:r>
          </w:p>
        </w:tc>
        <w:tc>
          <w:tcPr>
            <w:tcW w:w="992" w:type="dxa"/>
            <w:noWrap/>
            <w:hideMark/>
          </w:tcPr>
          <w:p w:rsidR="003A0D51" w:rsidRPr="003A0D51" w:rsidRDefault="003A0D51" w:rsidP="003A0D51">
            <w:pPr>
              <w:spacing w:after="0" w:line="240" w:lineRule="auto"/>
              <w:rPr>
                <w:rFonts w:ascii="Arial Narrow" w:hAnsi="Arial Narrow" w:cs="ArialMT"/>
                <w:color w:val="000000"/>
                <w:sz w:val="16"/>
                <w:szCs w:val="16"/>
                <w:lang w:eastAsia="sl-SI"/>
              </w:rPr>
            </w:pPr>
            <w:r w:rsidRPr="003A0D51">
              <w:rPr>
                <w:rFonts w:ascii="Arial Narrow" w:hAnsi="Arial Narrow" w:cs="ArialMT"/>
                <w:color w:val="000000"/>
                <w:sz w:val="16"/>
                <w:szCs w:val="16"/>
                <w:lang w:eastAsia="sl-SI"/>
              </w:rPr>
              <w:t>8</w:t>
            </w:r>
          </w:p>
        </w:tc>
        <w:tc>
          <w:tcPr>
            <w:tcW w:w="992" w:type="dxa"/>
            <w:noWrap/>
            <w:hideMark/>
          </w:tcPr>
          <w:p w:rsidR="003A0D51" w:rsidRPr="003A0D51" w:rsidRDefault="003A0D51" w:rsidP="003A0D51">
            <w:pPr>
              <w:spacing w:after="0" w:line="240" w:lineRule="auto"/>
              <w:rPr>
                <w:rFonts w:ascii="Arial Narrow" w:hAnsi="Arial Narrow" w:cs="ArialMT"/>
                <w:color w:val="000000"/>
                <w:sz w:val="16"/>
                <w:szCs w:val="16"/>
                <w:lang w:eastAsia="sl-SI"/>
              </w:rPr>
            </w:pPr>
            <w:r w:rsidRPr="003A0D51">
              <w:rPr>
                <w:rFonts w:ascii="Arial Narrow" w:hAnsi="Arial Narrow" w:cs="ArialMT"/>
                <w:color w:val="000000"/>
                <w:sz w:val="16"/>
                <w:szCs w:val="16"/>
                <w:lang w:eastAsia="sl-SI"/>
              </w:rPr>
              <w:t>10</w:t>
            </w:r>
          </w:p>
        </w:tc>
        <w:tc>
          <w:tcPr>
            <w:tcW w:w="1134" w:type="dxa"/>
            <w:noWrap/>
            <w:hideMark/>
          </w:tcPr>
          <w:p w:rsidR="003A0D51" w:rsidRPr="003A0D51" w:rsidRDefault="003A0D51" w:rsidP="003A0D51">
            <w:pPr>
              <w:spacing w:after="0" w:line="240" w:lineRule="auto"/>
              <w:rPr>
                <w:rFonts w:ascii="Arial Narrow" w:hAnsi="Arial Narrow" w:cs="ArialMT"/>
                <w:color w:val="000000"/>
                <w:sz w:val="16"/>
                <w:szCs w:val="16"/>
                <w:lang w:eastAsia="sl-SI"/>
              </w:rPr>
            </w:pPr>
            <w:r w:rsidRPr="003A0D51">
              <w:rPr>
                <w:rFonts w:ascii="Arial Narrow" w:hAnsi="Arial Narrow" w:cs="ArialMT"/>
                <w:color w:val="000000"/>
                <w:sz w:val="16"/>
                <w:szCs w:val="16"/>
                <w:lang w:eastAsia="sl-SI"/>
              </w:rPr>
              <w:t>9</w:t>
            </w:r>
          </w:p>
        </w:tc>
        <w:tc>
          <w:tcPr>
            <w:tcW w:w="993" w:type="dxa"/>
            <w:noWrap/>
            <w:hideMark/>
          </w:tcPr>
          <w:p w:rsidR="003A0D51" w:rsidRPr="003A0D51" w:rsidRDefault="003A0D51" w:rsidP="003A0D51">
            <w:pPr>
              <w:spacing w:after="0" w:line="240" w:lineRule="auto"/>
              <w:rPr>
                <w:rFonts w:ascii="Arial Narrow" w:hAnsi="Arial Narrow" w:cs="ArialMT"/>
                <w:color w:val="000000"/>
                <w:sz w:val="16"/>
                <w:szCs w:val="16"/>
                <w:lang w:eastAsia="sl-SI"/>
              </w:rPr>
            </w:pPr>
            <w:r w:rsidRPr="003A0D51">
              <w:rPr>
                <w:rFonts w:ascii="Arial Narrow" w:hAnsi="Arial Narrow" w:cs="ArialMT"/>
                <w:color w:val="000000"/>
                <w:sz w:val="16"/>
                <w:szCs w:val="16"/>
                <w:lang w:eastAsia="sl-SI"/>
              </w:rPr>
              <w:t>9</w:t>
            </w:r>
          </w:p>
        </w:tc>
        <w:tc>
          <w:tcPr>
            <w:tcW w:w="1264" w:type="dxa"/>
            <w:noWrap/>
            <w:hideMark/>
          </w:tcPr>
          <w:p w:rsidR="003A0D51" w:rsidRPr="003A0D51" w:rsidRDefault="003A0D51" w:rsidP="003A0D51">
            <w:pPr>
              <w:spacing w:after="0" w:line="240" w:lineRule="auto"/>
              <w:rPr>
                <w:rFonts w:ascii="Arial Narrow" w:hAnsi="Arial Narrow" w:cs="ArialMT"/>
                <w:color w:val="000000"/>
                <w:sz w:val="16"/>
                <w:szCs w:val="16"/>
                <w:lang w:eastAsia="sl-SI"/>
              </w:rPr>
            </w:pPr>
            <w:r w:rsidRPr="003A0D51">
              <w:rPr>
                <w:rFonts w:ascii="Arial Narrow" w:hAnsi="Arial Narrow" w:cs="ArialMT"/>
                <w:color w:val="000000"/>
                <w:sz w:val="16"/>
                <w:szCs w:val="16"/>
                <w:lang w:eastAsia="sl-SI"/>
              </w:rPr>
              <w:t>7</w:t>
            </w:r>
          </w:p>
        </w:tc>
      </w:tr>
      <w:tr w:rsidR="0085079F" w:rsidRPr="003A0D51" w:rsidTr="0085079F">
        <w:trPr>
          <w:trHeight w:val="250"/>
        </w:trPr>
        <w:tc>
          <w:tcPr>
            <w:tcW w:w="4365" w:type="dxa"/>
            <w:noWrap/>
            <w:hideMark/>
          </w:tcPr>
          <w:p w:rsidR="003A0D51" w:rsidRPr="003A0D51" w:rsidRDefault="0012099E" w:rsidP="003A0D51">
            <w:pPr>
              <w:spacing w:after="0" w:line="240" w:lineRule="auto"/>
              <w:rPr>
                <w:rFonts w:ascii="Arial Narrow" w:hAnsi="Arial Narrow" w:cs="ArialMT"/>
                <w:color w:val="000000"/>
                <w:sz w:val="16"/>
                <w:szCs w:val="16"/>
                <w:lang w:eastAsia="sl-SI"/>
              </w:rPr>
            </w:pPr>
            <w:r>
              <w:rPr>
                <w:rFonts w:ascii="Arial Narrow" w:hAnsi="Arial Narrow" w:cs="ArialMT"/>
                <w:color w:val="000000"/>
                <w:sz w:val="16"/>
                <w:szCs w:val="16"/>
                <w:lang w:eastAsia="sl-SI"/>
              </w:rPr>
              <w:t>Nesnovna</w:t>
            </w:r>
            <w:r w:rsidR="003A0D51" w:rsidRPr="003A0D51">
              <w:rPr>
                <w:rFonts w:ascii="Arial Narrow" w:hAnsi="Arial Narrow" w:cs="ArialMT"/>
                <w:color w:val="000000"/>
                <w:sz w:val="16"/>
                <w:szCs w:val="16"/>
                <w:lang w:eastAsia="sl-SI"/>
              </w:rPr>
              <w:t xml:space="preserve"> kult. </w:t>
            </w:r>
            <w:proofErr w:type="spellStart"/>
            <w:r w:rsidR="003A0D51" w:rsidRPr="003A0D51">
              <w:rPr>
                <w:rFonts w:ascii="Arial Narrow" w:hAnsi="Arial Narrow" w:cs="ArialMT"/>
                <w:color w:val="000000"/>
                <w:sz w:val="16"/>
                <w:szCs w:val="16"/>
                <w:lang w:eastAsia="sl-SI"/>
              </w:rPr>
              <w:t>dedišč</w:t>
            </w:r>
            <w:proofErr w:type="spellEnd"/>
            <w:r w:rsidR="003A0D51" w:rsidRPr="003A0D51">
              <w:rPr>
                <w:rFonts w:ascii="Arial Narrow" w:hAnsi="Arial Narrow" w:cs="ArialMT"/>
                <w:color w:val="000000"/>
                <w:sz w:val="16"/>
                <w:szCs w:val="16"/>
                <w:lang w:eastAsia="sl-SI"/>
              </w:rPr>
              <w:t>.</w:t>
            </w:r>
          </w:p>
        </w:tc>
        <w:tc>
          <w:tcPr>
            <w:tcW w:w="992" w:type="dxa"/>
            <w:noWrap/>
            <w:hideMark/>
          </w:tcPr>
          <w:p w:rsidR="003A0D51" w:rsidRPr="003A0D51" w:rsidRDefault="003A0D51" w:rsidP="003A0D51">
            <w:pPr>
              <w:spacing w:after="0" w:line="240" w:lineRule="auto"/>
              <w:rPr>
                <w:rFonts w:ascii="Arial Narrow" w:hAnsi="Arial Narrow" w:cs="ArialMT"/>
                <w:color w:val="000000"/>
                <w:sz w:val="16"/>
                <w:szCs w:val="16"/>
                <w:lang w:eastAsia="sl-SI"/>
              </w:rPr>
            </w:pPr>
            <w:r w:rsidRPr="003A0D51">
              <w:rPr>
                <w:rFonts w:ascii="Arial Narrow" w:hAnsi="Arial Narrow" w:cs="ArialMT"/>
                <w:color w:val="000000"/>
                <w:sz w:val="16"/>
                <w:szCs w:val="16"/>
                <w:lang w:eastAsia="sl-SI"/>
              </w:rPr>
              <w:t>4</w:t>
            </w:r>
          </w:p>
        </w:tc>
        <w:tc>
          <w:tcPr>
            <w:tcW w:w="992" w:type="dxa"/>
            <w:noWrap/>
            <w:hideMark/>
          </w:tcPr>
          <w:p w:rsidR="003A0D51" w:rsidRPr="003A0D51" w:rsidRDefault="003A0D51" w:rsidP="003A0D51">
            <w:pPr>
              <w:spacing w:after="0" w:line="240" w:lineRule="auto"/>
              <w:rPr>
                <w:rFonts w:ascii="Arial Narrow" w:hAnsi="Arial Narrow" w:cs="ArialMT"/>
                <w:color w:val="000000"/>
                <w:sz w:val="16"/>
                <w:szCs w:val="16"/>
                <w:lang w:eastAsia="sl-SI"/>
              </w:rPr>
            </w:pPr>
            <w:r w:rsidRPr="003A0D51">
              <w:rPr>
                <w:rFonts w:ascii="Arial Narrow" w:hAnsi="Arial Narrow" w:cs="ArialMT"/>
                <w:color w:val="000000"/>
                <w:sz w:val="16"/>
                <w:szCs w:val="16"/>
                <w:lang w:eastAsia="sl-SI"/>
              </w:rPr>
              <w:t>4</w:t>
            </w:r>
          </w:p>
        </w:tc>
        <w:tc>
          <w:tcPr>
            <w:tcW w:w="1134" w:type="dxa"/>
            <w:noWrap/>
            <w:hideMark/>
          </w:tcPr>
          <w:p w:rsidR="003A0D51" w:rsidRPr="003A0D51" w:rsidRDefault="003A0D51" w:rsidP="003A0D51">
            <w:pPr>
              <w:spacing w:after="0" w:line="240" w:lineRule="auto"/>
              <w:rPr>
                <w:rFonts w:ascii="Arial Narrow" w:hAnsi="Arial Narrow" w:cs="ArialMT"/>
                <w:color w:val="000000"/>
                <w:sz w:val="16"/>
                <w:szCs w:val="16"/>
                <w:lang w:eastAsia="sl-SI"/>
              </w:rPr>
            </w:pPr>
            <w:r w:rsidRPr="003A0D51">
              <w:rPr>
                <w:rFonts w:ascii="Arial Narrow" w:hAnsi="Arial Narrow" w:cs="ArialMT"/>
                <w:color w:val="000000"/>
                <w:sz w:val="16"/>
                <w:szCs w:val="16"/>
                <w:lang w:eastAsia="sl-SI"/>
              </w:rPr>
              <w:t>4</w:t>
            </w:r>
          </w:p>
        </w:tc>
        <w:tc>
          <w:tcPr>
            <w:tcW w:w="993" w:type="dxa"/>
            <w:noWrap/>
            <w:hideMark/>
          </w:tcPr>
          <w:p w:rsidR="003A0D51" w:rsidRPr="003A0D51" w:rsidRDefault="003A0D51" w:rsidP="003A0D51">
            <w:pPr>
              <w:spacing w:after="0" w:line="240" w:lineRule="auto"/>
              <w:rPr>
                <w:rFonts w:ascii="Arial Narrow" w:hAnsi="Arial Narrow" w:cs="ArialMT"/>
                <w:color w:val="000000"/>
                <w:sz w:val="16"/>
                <w:szCs w:val="16"/>
                <w:lang w:eastAsia="sl-SI"/>
              </w:rPr>
            </w:pPr>
            <w:r w:rsidRPr="003A0D51">
              <w:rPr>
                <w:rFonts w:ascii="Arial Narrow" w:hAnsi="Arial Narrow" w:cs="ArialMT"/>
                <w:color w:val="000000"/>
                <w:sz w:val="16"/>
                <w:szCs w:val="16"/>
                <w:lang w:eastAsia="sl-SI"/>
              </w:rPr>
              <w:t>4</w:t>
            </w:r>
          </w:p>
        </w:tc>
        <w:tc>
          <w:tcPr>
            <w:tcW w:w="1264" w:type="dxa"/>
            <w:noWrap/>
            <w:hideMark/>
          </w:tcPr>
          <w:p w:rsidR="003A0D51" w:rsidRPr="003A0D51" w:rsidRDefault="003A0D51" w:rsidP="003A0D51">
            <w:pPr>
              <w:spacing w:after="0" w:line="240" w:lineRule="auto"/>
              <w:rPr>
                <w:rFonts w:ascii="Arial Narrow" w:hAnsi="Arial Narrow" w:cs="ArialMT"/>
                <w:color w:val="000000"/>
                <w:sz w:val="16"/>
                <w:szCs w:val="16"/>
                <w:lang w:eastAsia="sl-SI"/>
              </w:rPr>
            </w:pPr>
            <w:r w:rsidRPr="003A0D51">
              <w:rPr>
                <w:rFonts w:ascii="Arial Narrow" w:hAnsi="Arial Narrow" w:cs="ArialMT"/>
                <w:color w:val="000000"/>
                <w:sz w:val="16"/>
                <w:szCs w:val="16"/>
                <w:lang w:eastAsia="sl-SI"/>
              </w:rPr>
              <w:t>4</w:t>
            </w:r>
          </w:p>
        </w:tc>
      </w:tr>
      <w:tr w:rsidR="0085079F" w:rsidRPr="003A0D51" w:rsidTr="0085079F">
        <w:trPr>
          <w:cnfStyle w:val="000000100000" w:firstRow="0" w:lastRow="0" w:firstColumn="0" w:lastColumn="0" w:oddVBand="0" w:evenVBand="0" w:oddHBand="1" w:evenHBand="0" w:firstRowFirstColumn="0" w:firstRowLastColumn="0" w:lastRowFirstColumn="0" w:lastRowLastColumn="0"/>
          <w:trHeight w:val="250"/>
        </w:trPr>
        <w:tc>
          <w:tcPr>
            <w:tcW w:w="4365" w:type="dxa"/>
            <w:noWrap/>
            <w:hideMark/>
          </w:tcPr>
          <w:p w:rsidR="003A0D51" w:rsidRPr="003A0D51" w:rsidRDefault="003A0D51" w:rsidP="003A0D51">
            <w:pPr>
              <w:spacing w:after="0" w:line="240" w:lineRule="auto"/>
              <w:rPr>
                <w:rFonts w:ascii="Arial Narrow" w:hAnsi="Arial Narrow" w:cs="ArialMT"/>
                <w:color w:val="000000"/>
                <w:sz w:val="16"/>
                <w:szCs w:val="16"/>
                <w:lang w:eastAsia="sl-SI"/>
              </w:rPr>
            </w:pPr>
            <w:r w:rsidRPr="003A0D51">
              <w:rPr>
                <w:rFonts w:ascii="Arial Narrow" w:hAnsi="Arial Narrow" w:cs="ArialMT"/>
                <w:color w:val="000000"/>
                <w:sz w:val="16"/>
                <w:szCs w:val="16"/>
                <w:lang w:eastAsia="sl-SI"/>
              </w:rPr>
              <w:t>Skupaj</w:t>
            </w:r>
          </w:p>
        </w:tc>
        <w:tc>
          <w:tcPr>
            <w:tcW w:w="992" w:type="dxa"/>
            <w:noWrap/>
            <w:hideMark/>
          </w:tcPr>
          <w:p w:rsidR="003A0D51" w:rsidRPr="003A0D51" w:rsidRDefault="00CA7D0A" w:rsidP="003A0D51">
            <w:pPr>
              <w:spacing w:after="0" w:line="240" w:lineRule="auto"/>
              <w:rPr>
                <w:rFonts w:ascii="Arial Narrow" w:hAnsi="Arial Narrow" w:cs="ArialMT"/>
                <w:color w:val="000000"/>
                <w:sz w:val="16"/>
                <w:szCs w:val="16"/>
                <w:lang w:eastAsia="sl-SI"/>
              </w:rPr>
            </w:pPr>
            <w:r>
              <w:rPr>
                <w:rFonts w:ascii="Arial Narrow" w:hAnsi="Arial Narrow" w:cs="ArialMT"/>
                <w:color w:val="000000"/>
                <w:sz w:val="16"/>
                <w:szCs w:val="16"/>
                <w:lang w:eastAsia="sl-SI"/>
              </w:rPr>
              <w:t>191</w:t>
            </w:r>
          </w:p>
        </w:tc>
        <w:tc>
          <w:tcPr>
            <w:tcW w:w="992" w:type="dxa"/>
            <w:noWrap/>
            <w:hideMark/>
          </w:tcPr>
          <w:p w:rsidR="003A0D51" w:rsidRPr="003A0D51" w:rsidRDefault="003A0D51" w:rsidP="003A0D51">
            <w:pPr>
              <w:spacing w:after="0" w:line="240" w:lineRule="auto"/>
              <w:rPr>
                <w:rFonts w:ascii="Arial Narrow" w:hAnsi="Arial Narrow" w:cs="ArialMT"/>
                <w:color w:val="000000"/>
                <w:sz w:val="16"/>
                <w:szCs w:val="16"/>
                <w:lang w:eastAsia="sl-SI"/>
              </w:rPr>
            </w:pPr>
            <w:r w:rsidRPr="003A0D51">
              <w:rPr>
                <w:rFonts w:ascii="Arial Narrow" w:hAnsi="Arial Narrow" w:cs="ArialMT"/>
                <w:color w:val="000000"/>
                <w:sz w:val="16"/>
                <w:szCs w:val="16"/>
                <w:lang w:eastAsia="sl-SI"/>
              </w:rPr>
              <w:t>200</w:t>
            </w:r>
          </w:p>
        </w:tc>
        <w:tc>
          <w:tcPr>
            <w:tcW w:w="1134" w:type="dxa"/>
            <w:noWrap/>
            <w:hideMark/>
          </w:tcPr>
          <w:p w:rsidR="003A0D51" w:rsidRPr="003A0D51" w:rsidRDefault="003A0D51" w:rsidP="003A0D51">
            <w:pPr>
              <w:spacing w:after="0" w:line="240" w:lineRule="auto"/>
              <w:rPr>
                <w:rFonts w:ascii="Arial Narrow" w:hAnsi="Arial Narrow" w:cs="ArialMT"/>
                <w:color w:val="000000"/>
                <w:sz w:val="16"/>
                <w:szCs w:val="16"/>
                <w:lang w:eastAsia="sl-SI"/>
              </w:rPr>
            </w:pPr>
            <w:r w:rsidRPr="003A0D51">
              <w:rPr>
                <w:rFonts w:ascii="Arial Narrow" w:hAnsi="Arial Narrow" w:cs="ArialMT"/>
                <w:color w:val="000000"/>
                <w:sz w:val="16"/>
                <w:szCs w:val="16"/>
                <w:lang w:eastAsia="sl-SI"/>
              </w:rPr>
              <w:t>194</w:t>
            </w:r>
          </w:p>
        </w:tc>
        <w:tc>
          <w:tcPr>
            <w:tcW w:w="993" w:type="dxa"/>
            <w:noWrap/>
            <w:hideMark/>
          </w:tcPr>
          <w:p w:rsidR="003A0D51" w:rsidRPr="003A0D51" w:rsidRDefault="003A0D51" w:rsidP="003A0D51">
            <w:pPr>
              <w:spacing w:after="0" w:line="240" w:lineRule="auto"/>
              <w:rPr>
                <w:rFonts w:ascii="Arial Narrow" w:hAnsi="Arial Narrow" w:cs="ArialMT"/>
                <w:color w:val="000000"/>
                <w:sz w:val="16"/>
                <w:szCs w:val="16"/>
                <w:lang w:eastAsia="sl-SI"/>
              </w:rPr>
            </w:pPr>
            <w:r w:rsidRPr="003A0D51">
              <w:rPr>
                <w:rFonts w:ascii="Arial Narrow" w:hAnsi="Arial Narrow" w:cs="ArialMT"/>
                <w:color w:val="000000"/>
                <w:sz w:val="16"/>
                <w:szCs w:val="16"/>
                <w:lang w:eastAsia="sl-SI"/>
              </w:rPr>
              <w:t>205</w:t>
            </w:r>
          </w:p>
        </w:tc>
        <w:tc>
          <w:tcPr>
            <w:tcW w:w="1264" w:type="dxa"/>
            <w:noWrap/>
            <w:hideMark/>
          </w:tcPr>
          <w:p w:rsidR="003A0D51" w:rsidRPr="003A0D51" w:rsidRDefault="003A0D51" w:rsidP="003A0D51">
            <w:pPr>
              <w:spacing w:after="0" w:line="240" w:lineRule="auto"/>
              <w:rPr>
                <w:rFonts w:ascii="Arial Narrow" w:hAnsi="Arial Narrow" w:cs="ArialMT"/>
                <w:color w:val="000000"/>
                <w:sz w:val="16"/>
                <w:szCs w:val="16"/>
                <w:lang w:eastAsia="sl-SI"/>
              </w:rPr>
            </w:pPr>
            <w:r w:rsidRPr="003A0D51">
              <w:rPr>
                <w:rFonts w:ascii="Arial Narrow" w:hAnsi="Arial Narrow" w:cs="ArialMT"/>
                <w:color w:val="000000"/>
                <w:sz w:val="16"/>
                <w:szCs w:val="16"/>
                <w:lang w:eastAsia="sl-SI"/>
              </w:rPr>
              <w:t>189</w:t>
            </w:r>
          </w:p>
        </w:tc>
      </w:tr>
    </w:tbl>
    <w:p w:rsidR="0055198C" w:rsidRDefault="0055198C" w:rsidP="003A0D51">
      <w:pPr>
        <w:pStyle w:val="Podpispodtabeloaligrafom"/>
      </w:pPr>
      <w:r>
        <w:t xml:space="preserve">Vir: </w:t>
      </w:r>
      <w:hyperlink r:id="rId49" w:anchor="2017" w:history="1">
        <w:proofErr w:type="spellStart"/>
        <w:r w:rsidRPr="0055198C">
          <w:rPr>
            <w:rStyle w:val="Hiperpovezava"/>
          </w:rPr>
          <w:t>Culture</w:t>
        </w:r>
        <w:proofErr w:type="spellEnd"/>
        <w:r w:rsidRPr="0055198C">
          <w:rPr>
            <w:rStyle w:val="Hiperpovezava"/>
          </w:rPr>
          <w:t>.si</w:t>
        </w:r>
      </w:hyperlink>
      <w:r w:rsidR="003A0D51">
        <w:t>.</w:t>
      </w:r>
    </w:p>
    <w:p w:rsidR="00EE0D1F" w:rsidRDefault="00EE0D1F" w:rsidP="00EE0D1F">
      <w:pPr>
        <w:pStyle w:val="Podpispodtabeloaligrafom"/>
      </w:pPr>
      <w:r>
        <w:t>*</w:t>
      </w:r>
      <w:r w:rsidRPr="00C508FA">
        <w:t xml:space="preserve"> Podatkovna baza </w:t>
      </w:r>
      <w:proofErr w:type="spellStart"/>
      <w:r w:rsidRPr="00C508FA">
        <w:t>Culture.si</w:t>
      </w:r>
      <w:proofErr w:type="spellEnd"/>
      <w:r w:rsidRPr="00C508FA">
        <w:t xml:space="preserve"> ne bel</w:t>
      </w:r>
      <w:r>
        <w:t>eži vseh festivalov v Sloveniji</w:t>
      </w:r>
      <w:r w:rsidR="00AF22D6">
        <w:t xml:space="preserve">, </w:t>
      </w:r>
      <w:r w:rsidRPr="00C508FA">
        <w:t>temveč</w:t>
      </w:r>
      <w:r>
        <w:t xml:space="preserve"> le</w:t>
      </w:r>
      <w:r w:rsidRPr="00C508FA">
        <w:t>: a) fes</w:t>
      </w:r>
      <w:r>
        <w:t xml:space="preserve">tivale z mednarodnim programom, </w:t>
      </w:r>
      <w:r w:rsidRPr="00C508FA">
        <w:t xml:space="preserve">b) </w:t>
      </w:r>
      <w:r>
        <w:t xml:space="preserve">pregledne festivale slovenske produkcije, ki so zanimivi </w:t>
      </w:r>
      <w:r w:rsidRPr="00C508FA">
        <w:t>za tuje producente oz. goste</w:t>
      </w:r>
      <w:r>
        <w:t xml:space="preserve"> kot predstavitveno–promocijski (ang. </w:t>
      </w:r>
      <w:proofErr w:type="spellStart"/>
      <w:r>
        <w:t>showcase</w:t>
      </w:r>
      <w:proofErr w:type="spellEnd"/>
      <w:r>
        <w:t>) festivali in c) izbrane festivale nesnovne kulturne dediščine (manjši regionalni festivali niso vključeni)</w:t>
      </w:r>
      <w:r w:rsidRPr="00C508FA">
        <w:t xml:space="preserve">. Na nihanje številk </w:t>
      </w:r>
      <w:r>
        <w:t>– poleg vznikanja</w:t>
      </w:r>
      <w:r w:rsidR="00E12814">
        <w:t>, združevanja</w:t>
      </w:r>
      <w:r>
        <w:t xml:space="preserve"> </w:t>
      </w:r>
      <w:r w:rsidR="00E12814">
        <w:t>in</w:t>
      </w:r>
      <w:r>
        <w:t xml:space="preserve"> prenehanja festivalov – </w:t>
      </w:r>
      <w:r w:rsidRPr="00C508FA">
        <w:t xml:space="preserve">vpliva tudi število bienalnih oz. </w:t>
      </w:r>
      <w:proofErr w:type="spellStart"/>
      <w:r w:rsidRPr="00C508FA">
        <w:t>trienalnih</w:t>
      </w:r>
      <w:proofErr w:type="spellEnd"/>
      <w:r w:rsidRPr="00C508FA">
        <w:t xml:space="preserve"> festivalov (v lihih letih se odvije 13 bie</w:t>
      </w:r>
      <w:r>
        <w:t>nalnih festivalov, v sodih pa 5; v</w:t>
      </w:r>
      <w:r w:rsidRPr="00C508FA">
        <w:t xml:space="preserve"> Sloveniji imamo tudi dva trienala</w:t>
      </w:r>
      <w:r>
        <w:t>)</w:t>
      </w:r>
      <w:r w:rsidRPr="00C508FA">
        <w:t>.</w:t>
      </w:r>
    </w:p>
    <w:p w:rsidR="002F1318" w:rsidRDefault="002F1318" w:rsidP="0055198C"/>
    <w:p w:rsidR="00516E3A" w:rsidRDefault="00516E3A">
      <w:pPr>
        <w:rPr>
          <w:rFonts w:eastAsiaTheme="majorEastAsia" w:cstheme="majorBidi"/>
          <w:i/>
          <w:iCs/>
          <w:color w:val="4F81BD" w:themeColor="accent1"/>
          <w:spacing w:val="15"/>
          <w:sz w:val="24"/>
        </w:rPr>
      </w:pPr>
      <w:bookmarkStart w:id="312" w:name="_Toc489859833"/>
      <w:bookmarkStart w:id="313" w:name="_Toc490047596"/>
      <w:r>
        <w:br w:type="page"/>
      </w:r>
    </w:p>
    <w:p w:rsidR="0029550A" w:rsidRPr="002A6EDF" w:rsidRDefault="0029550A" w:rsidP="00A80465">
      <w:pPr>
        <w:pStyle w:val="Podnaslov"/>
      </w:pPr>
      <w:bookmarkStart w:id="314" w:name="_Toc490599960"/>
      <w:bookmarkStart w:id="315" w:name="_Toc506192090"/>
      <w:r>
        <w:t>Delovno aktivni v kulturi</w:t>
      </w:r>
      <w:bookmarkEnd w:id="312"/>
      <w:bookmarkEnd w:id="313"/>
      <w:bookmarkEnd w:id="314"/>
      <w:bookmarkEnd w:id="315"/>
    </w:p>
    <w:p w:rsidR="00A80465" w:rsidRPr="00D47DF6" w:rsidRDefault="0029550A" w:rsidP="00D47DF6">
      <w:r w:rsidRPr="00353FBB">
        <w:t>Glavn</w:t>
      </w:r>
      <w:r>
        <w:t>a</w:t>
      </w:r>
      <w:r w:rsidRPr="00353FBB">
        <w:t xml:space="preserve"> </w:t>
      </w:r>
      <w:r>
        <w:t xml:space="preserve">splošna </w:t>
      </w:r>
      <w:r w:rsidRPr="00353FBB">
        <w:t>vir</w:t>
      </w:r>
      <w:r>
        <w:t>a</w:t>
      </w:r>
      <w:r w:rsidRPr="00353FBB">
        <w:t xml:space="preserve"> podatkov o zaposlenosti v kulturi sta mednarodna </w:t>
      </w:r>
      <w:r w:rsidRPr="00353FBB">
        <w:rPr>
          <w:i/>
        </w:rPr>
        <w:t>Anketa o delovni sili</w:t>
      </w:r>
      <w:r w:rsidRPr="00353FBB">
        <w:t xml:space="preserve"> in nacionalni </w:t>
      </w:r>
      <w:r w:rsidRPr="00353FBB">
        <w:rPr>
          <w:i/>
        </w:rPr>
        <w:t>Statistični register delovno aktivnega prebivalstva (SRDAP)</w:t>
      </w:r>
      <w:r w:rsidRPr="00353FBB">
        <w:t>, ki pa podatke zbirata in objavljata po</w:t>
      </w:r>
      <w:r>
        <w:t xml:space="preserve"> različnih metodologijah in so si zato različni. Podatke iz </w:t>
      </w:r>
      <w:r w:rsidRPr="00353FBB">
        <w:rPr>
          <w:i/>
        </w:rPr>
        <w:t>Ankete o delovni sili</w:t>
      </w:r>
      <w:r>
        <w:t xml:space="preserve"> bomo uporabili za mednarodno primerjavo slovenske situacije z državami EU. Anketa prikazuje </w:t>
      </w:r>
      <w:r w:rsidRPr="005951AE">
        <w:t>delovno aktivn</w:t>
      </w:r>
      <w:r>
        <w:t>e</w:t>
      </w:r>
      <w:r w:rsidRPr="005951AE">
        <w:t xml:space="preserve"> oseb</w:t>
      </w:r>
      <w:r>
        <w:t>e</w:t>
      </w:r>
      <w:r w:rsidRPr="005951AE">
        <w:t xml:space="preserve"> z izobrazbo oz. poklicem s področja kulture ne glede na dejavnost, v kateri so zaposleni</w:t>
      </w:r>
      <w:r>
        <w:t>.</w:t>
      </w:r>
      <w:r>
        <w:rPr>
          <w:rStyle w:val="Sprotnaopomba-sklic"/>
        </w:rPr>
        <w:footnoteReference w:id="40"/>
      </w:r>
      <w:r w:rsidRPr="00185E33">
        <w:t xml:space="preserve"> </w:t>
      </w:r>
      <w:r w:rsidRPr="00353FBB">
        <w:rPr>
          <w:i/>
        </w:rPr>
        <w:t>Statistični register delovno aktivnega prebivalstva</w:t>
      </w:r>
      <w:r>
        <w:t xml:space="preserve"> beleži delovno aktivne osebe po dejavnostih, zato bomo z njegovo pomočjo ugotavljali stanje v </w:t>
      </w:r>
      <w:r w:rsidRPr="00D47841">
        <w:t>dejavnostih, ki jih uvrščamo na področje kulture</w:t>
      </w:r>
      <w:r>
        <w:t>, pri čemer bomo upoštevali vse osebe, ne glede na vrsto njihove izobrazbe oz. poklica.</w:t>
      </w:r>
      <w:r>
        <w:rPr>
          <w:rStyle w:val="Sprotnaopomba-sklic"/>
        </w:rPr>
        <w:footnoteReference w:id="41"/>
      </w:r>
      <w:r>
        <w:t xml:space="preserve"> Namreč, klasifikacija tega registra tudi na najbolj podrobni ravni ni dovolj natančna, da bi lahko iz nje izluščili le podatke o številu oseb z izobrazbo s področja umetnosti oz. kulture. Klasifikacija omogoča prikaz 32 skupin poklicev, ki so bolj ali manj povezani s kulturo in umetnostjo (npr. igralec, fotograf, knjižničar, notranji oblikovalec pa tudi izdelovalci predmetov domače obrti</w:t>
      </w:r>
      <w:r w:rsidRPr="00067581">
        <w:t>)</w:t>
      </w:r>
      <w:r>
        <w:t xml:space="preserve"> ter 14 skupin poklicev, ki so z njima povezani delno, npr. </w:t>
      </w:r>
      <w:r w:rsidRPr="00067581">
        <w:t xml:space="preserve">ne razlikuje </w:t>
      </w:r>
      <w:r>
        <w:t xml:space="preserve">predmetnega </w:t>
      </w:r>
      <w:r w:rsidRPr="00067581">
        <w:t xml:space="preserve">učitelja likovnega pouka </w:t>
      </w:r>
      <w:r>
        <w:t>od predmetnega učitelja gospodinjstva, arheologa od sociologa, agenta za glasbene prireditve do agenta za šport itn. Druga omejitev prikazovanja podatkov iz Statističnega registra delovno aktivnega prebivalstva (kakor tudi vseh drugih statističnih podatkov) pa je načelo statistične zaupnosti, ki Statistični urad RS omejuje pri posredovanju podatkov, ki bi povečali možnosti razkritja poročevalske enote. Ta nevarnost lahko nastopi v primeru, ko na določenem področju deluje majhno število pravnih subjektov.</w:t>
      </w:r>
      <w:r>
        <w:rPr>
          <w:rStyle w:val="Sprotnaopomba-sklic"/>
        </w:rPr>
        <w:footnoteReference w:id="42"/>
      </w:r>
      <w:r>
        <w:t xml:space="preserve"> Tako pri podatkih o zaposlenosti načelo statistične zaupnosti</w:t>
      </w:r>
      <w:r>
        <w:rPr>
          <w:rStyle w:val="Sprotnaopomba-sklic"/>
        </w:rPr>
        <w:footnoteReference w:id="43"/>
      </w:r>
      <w:r>
        <w:t xml:space="preserve"> preprečuje pridobitev informacije o tem, koliko oseb je bilo zaposlenih v radijski dejavnosti, na področju izdajanja časopisov, v televizijski dejavnosti ter koliko je bilo samozaposlenih na nekaterih področjih (npr. kinematografska dejavnost, izdajanje računalniških iger, trgovina na drobno v specializiranih prodajalna s knjigami). Zato je zaposlitvena situacija predstavljena na višji ravni splošnosti, kot br</w:t>
      </w:r>
      <w:r w:rsidR="00D47DF6">
        <w:t xml:space="preserve">alec te analize morda pričakuje. Poglavje </w:t>
      </w:r>
      <w:proofErr w:type="spellStart"/>
      <w:r w:rsidR="00D47DF6">
        <w:t>zaključemo</w:t>
      </w:r>
      <w:proofErr w:type="spellEnd"/>
      <w:r w:rsidR="00D47DF6">
        <w:t xml:space="preserve"> s še tretjo vrsto podatkov o delovni aktivnosti – s številom zaposlenih v javnih zavodih v kulturi. </w:t>
      </w:r>
    </w:p>
    <w:p w:rsidR="00DE1E54" w:rsidRDefault="00DE1E54" w:rsidP="00A80465">
      <w:pPr>
        <w:pStyle w:val="Podnaslov2"/>
      </w:pPr>
      <w:bookmarkStart w:id="316" w:name="_Toc489859834"/>
      <w:bookmarkStart w:id="317" w:name="_Toc490047597"/>
    </w:p>
    <w:p w:rsidR="0029550A" w:rsidRDefault="0029550A" w:rsidP="00A80465">
      <w:pPr>
        <w:pStyle w:val="Podnaslov2"/>
      </w:pPr>
      <w:bookmarkStart w:id="318" w:name="_Toc490599961"/>
      <w:bookmarkStart w:id="319" w:name="_Toc506192091"/>
      <w:r>
        <w:t>Delovno aktivni v kulturi po Anketi o delovni sili – mednarodno primerjalni pogled</w:t>
      </w:r>
      <w:bookmarkEnd w:id="316"/>
      <w:bookmarkEnd w:id="317"/>
      <w:bookmarkEnd w:id="318"/>
      <w:bookmarkEnd w:id="319"/>
    </w:p>
    <w:p w:rsidR="0029550A" w:rsidRDefault="0029550A" w:rsidP="0029550A">
      <w:pPr>
        <w:spacing w:after="0"/>
        <w:rPr>
          <w:rFonts w:cs="Arial"/>
          <w:szCs w:val="20"/>
        </w:rPr>
      </w:pPr>
      <w:r>
        <w:rPr>
          <w:rFonts w:cs="Arial"/>
          <w:szCs w:val="20"/>
        </w:rPr>
        <w:t xml:space="preserve">Anketa o delovni sili je leta 2015 naštela 32.200 delovno aktivnih v kulturi. </w:t>
      </w:r>
      <w:r w:rsidRPr="00955D47">
        <w:rPr>
          <w:rFonts w:cs="Arial"/>
          <w:szCs w:val="20"/>
        </w:rPr>
        <w:t>Odstotek delovno aktivnih v kulturi</w:t>
      </w:r>
      <w:r w:rsidRPr="00955D47">
        <w:rPr>
          <w:rFonts w:cs="Arial"/>
          <w:szCs w:val="20"/>
          <w:vertAlign w:val="superscript"/>
        </w:rPr>
        <w:footnoteReference w:id="44"/>
      </w:r>
      <w:r w:rsidRPr="00955D47">
        <w:rPr>
          <w:rFonts w:cs="Arial"/>
          <w:szCs w:val="20"/>
        </w:rPr>
        <w:t xml:space="preserve"> v celotnem število delovno aktivnih</w:t>
      </w:r>
      <w:r w:rsidRPr="00955D47">
        <w:rPr>
          <w:rFonts w:cs="Arial"/>
          <w:b/>
          <w:i/>
          <w:szCs w:val="20"/>
        </w:rPr>
        <w:t xml:space="preserve"> </w:t>
      </w:r>
      <w:r w:rsidRPr="00955D47">
        <w:rPr>
          <w:rFonts w:cs="Arial"/>
          <w:szCs w:val="20"/>
        </w:rPr>
        <w:t>je bil po Anketi o delovni sili leta 2015 v Sloveniji višji od povprečja EU</w:t>
      </w:r>
      <w:r>
        <w:rPr>
          <w:rFonts w:cs="Arial"/>
          <w:szCs w:val="20"/>
        </w:rPr>
        <w:t xml:space="preserve">. </w:t>
      </w:r>
      <w:r w:rsidRPr="00955D47">
        <w:rPr>
          <w:rFonts w:cs="Arial"/>
          <w:szCs w:val="20"/>
        </w:rPr>
        <w:t>Znašal je 3,5 %</w:t>
      </w:r>
      <w:r>
        <w:rPr>
          <w:rFonts w:cs="Arial"/>
          <w:szCs w:val="20"/>
        </w:rPr>
        <w:t>,</w:t>
      </w:r>
      <w:r w:rsidRPr="00955D47">
        <w:rPr>
          <w:rFonts w:cs="Arial"/>
          <w:szCs w:val="20"/>
        </w:rPr>
        <w:t xml:space="preserve"> kar je Slovenijo uvrstilo na 10. mesto </w:t>
      </w:r>
      <w:r w:rsidR="001912D3">
        <w:rPr>
          <w:rFonts w:cs="Arial"/>
          <w:szCs w:val="20"/>
        </w:rPr>
        <w:t>med opazovanimi državami (graf 31</w:t>
      </w:r>
      <w:r w:rsidRPr="00955D47">
        <w:rPr>
          <w:rFonts w:cs="Arial"/>
          <w:szCs w:val="20"/>
        </w:rPr>
        <w:t>).</w:t>
      </w:r>
      <w:r>
        <w:rPr>
          <w:rFonts w:cs="Arial"/>
          <w:szCs w:val="20"/>
        </w:rPr>
        <w:t xml:space="preserve"> </w:t>
      </w:r>
      <w:r w:rsidRPr="00955D47">
        <w:rPr>
          <w:rFonts w:cs="Arial"/>
          <w:szCs w:val="20"/>
        </w:rPr>
        <w:t xml:space="preserve">Pri nas je večji odstotek </w:t>
      </w:r>
      <w:r>
        <w:rPr>
          <w:rFonts w:cs="Arial"/>
          <w:szCs w:val="20"/>
        </w:rPr>
        <w:t>teh</w:t>
      </w:r>
      <w:r w:rsidRPr="00955D47">
        <w:rPr>
          <w:rFonts w:cs="Arial"/>
          <w:szCs w:val="20"/>
        </w:rPr>
        <w:t xml:space="preserve"> zaposlitev kot denimo v </w:t>
      </w:r>
      <w:r>
        <w:rPr>
          <w:rFonts w:cs="Arial"/>
          <w:szCs w:val="20"/>
        </w:rPr>
        <w:t xml:space="preserve">Belgiji, Avstriji, </w:t>
      </w:r>
      <w:r w:rsidRPr="00955D47">
        <w:rPr>
          <w:rFonts w:cs="Arial"/>
          <w:szCs w:val="20"/>
        </w:rPr>
        <w:t>Nemčiji, Avstriji, Franciji itd.</w:t>
      </w:r>
    </w:p>
    <w:p w:rsidR="00516E3A" w:rsidRDefault="00516E3A">
      <w:pPr>
        <w:rPr>
          <w:b/>
        </w:rPr>
      </w:pPr>
      <w:bookmarkStart w:id="320" w:name="_Toc490053392"/>
      <w:bookmarkStart w:id="321" w:name="_Toc490053763"/>
      <w:r>
        <w:br w:type="page"/>
      </w:r>
    </w:p>
    <w:p w:rsidR="0029550A" w:rsidRDefault="00DE1E54" w:rsidP="00C64CC4">
      <w:pPr>
        <w:pStyle w:val="Naslovtabele"/>
      </w:pPr>
      <w:bookmarkStart w:id="322" w:name="_Toc490600035"/>
      <w:r>
        <w:t>Graf 31</w:t>
      </w:r>
      <w:r w:rsidR="0029550A" w:rsidRPr="00955D47">
        <w:t xml:space="preserve">: Odstotek delovno aktivnih v kulturi </w:t>
      </w:r>
      <w:r w:rsidR="0029550A">
        <w:t xml:space="preserve">v celotnem številu delovno aktivnih </w:t>
      </w:r>
      <w:r w:rsidR="00E82B18">
        <w:t xml:space="preserve">(evropske države, </w:t>
      </w:r>
      <w:r w:rsidR="0029550A" w:rsidRPr="00955D47">
        <w:t>2008 in 2015</w:t>
      </w:r>
      <w:r w:rsidR="00E82B18">
        <w:t>)</w:t>
      </w:r>
      <w:bookmarkEnd w:id="320"/>
      <w:bookmarkEnd w:id="321"/>
      <w:bookmarkEnd w:id="322"/>
    </w:p>
    <w:p w:rsidR="0029550A" w:rsidRDefault="0029550A" w:rsidP="0029550A">
      <w:pPr>
        <w:spacing w:after="0"/>
        <w:rPr>
          <w:rFonts w:cs="Arial"/>
          <w:szCs w:val="20"/>
        </w:rPr>
      </w:pPr>
      <w:r>
        <w:rPr>
          <w:noProof/>
          <w:lang w:eastAsia="sl-SI"/>
        </w:rPr>
        <w:drawing>
          <wp:inline distT="0" distB="0" distL="0" distR="0" wp14:anchorId="278568B3" wp14:editId="440E71CB">
            <wp:extent cx="5732980" cy="2640458"/>
            <wp:effectExtent l="0" t="0" r="7620" b="1270"/>
            <wp:docPr id="42" name="Grafikon 42"/>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29550A" w:rsidRDefault="0029550A" w:rsidP="0029550A">
      <w:pPr>
        <w:pStyle w:val="Podpispodtabeloaligrafom"/>
      </w:pPr>
      <w:r>
        <w:t xml:space="preserve">Vir: </w:t>
      </w:r>
      <w:hyperlink r:id="rId51" w:history="1">
        <w:proofErr w:type="spellStart"/>
        <w:r w:rsidRPr="00661202">
          <w:rPr>
            <w:rStyle w:val="Hiperpovezava"/>
          </w:rPr>
          <w:t>Eurostat</w:t>
        </w:r>
        <w:proofErr w:type="spellEnd"/>
      </w:hyperlink>
      <w:r>
        <w:t>.</w:t>
      </w:r>
    </w:p>
    <w:p w:rsidR="0029550A" w:rsidRPr="00C74096" w:rsidRDefault="0029550A" w:rsidP="0029550A">
      <w:pPr>
        <w:spacing w:after="0"/>
        <w:rPr>
          <w:rFonts w:cs="Arial"/>
          <w:szCs w:val="20"/>
        </w:rPr>
      </w:pPr>
      <w:r>
        <w:rPr>
          <w:rFonts w:cs="Arial"/>
          <w:szCs w:val="20"/>
        </w:rPr>
        <w:t xml:space="preserve">Med delovno aktivnimi v kulturi je bilo pri nas nekaj več moških (16.400 oz. 51 %) kot žensk (15.800 oz. 49 %), kar je boljše razmerje kot v vseh dejavnostih skupaj, kjer je delovno aktivnih 10 % več moških kot žensk (M: 55 %, Ž: 45 %). V baltiških državah je razmerje med delovno aktivnimi v kulturi v prid ženskam (pribl. 60 % jih je), v Avstriji in </w:t>
      </w:r>
      <w:r w:rsidR="00E82B18">
        <w:rPr>
          <w:rFonts w:cs="Arial"/>
          <w:szCs w:val="20"/>
        </w:rPr>
        <w:t>Veliki Britaniji</w:t>
      </w:r>
      <w:r>
        <w:rPr>
          <w:rFonts w:cs="Arial"/>
          <w:szCs w:val="20"/>
        </w:rPr>
        <w:t xml:space="preserve"> pa je ravno obratno – v kulturi dela 58 % moških in 4</w:t>
      </w:r>
      <w:r w:rsidR="00D573B0">
        <w:rPr>
          <w:rFonts w:cs="Arial"/>
          <w:szCs w:val="20"/>
        </w:rPr>
        <w:t xml:space="preserve">2 % žensk. </w:t>
      </w:r>
      <w:r w:rsidR="00D573B0" w:rsidRPr="006025F6">
        <w:rPr>
          <w:rFonts w:cs="Arial"/>
          <w:szCs w:val="20"/>
        </w:rPr>
        <w:t>(</w:t>
      </w:r>
      <w:proofErr w:type="spellStart"/>
      <w:r w:rsidR="00D573B0" w:rsidRPr="006025F6">
        <w:rPr>
          <w:rFonts w:cs="Arial"/>
          <w:szCs w:val="20"/>
        </w:rPr>
        <w:t>Culture</w:t>
      </w:r>
      <w:proofErr w:type="spellEnd"/>
      <w:r w:rsidR="00D573B0" w:rsidRPr="006025F6">
        <w:rPr>
          <w:rFonts w:cs="Arial"/>
          <w:szCs w:val="20"/>
        </w:rPr>
        <w:t xml:space="preserve"> </w:t>
      </w:r>
      <w:proofErr w:type="spellStart"/>
      <w:r w:rsidR="00D573B0" w:rsidRPr="006025F6">
        <w:rPr>
          <w:rFonts w:cs="Arial"/>
          <w:szCs w:val="20"/>
        </w:rPr>
        <w:t>statistics</w:t>
      </w:r>
      <w:proofErr w:type="spellEnd"/>
      <w:r w:rsidR="00D573B0" w:rsidRPr="006025F6">
        <w:rPr>
          <w:rFonts w:cs="Arial"/>
          <w:szCs w:val="20"/>
        </w:rPr>
        <w:t xml:space="preserve">, </w:t>
      </w:r>
      <w:r w:rsidRPr="006025F6">
        <w:rPr>
          <w:rFonts w:cs="Arial"/>
          <w:szCs w:val="20"/>
        </w:rPr>
        <w:t>2016, str. 64).</w:t>
      </w:r>
      <w:r w:rsidR="006025F6" w:rsidRPr="006025F6">
        <w:rPr>
          <w:rStyle w:val="Sprotnaopomba-sklic"/>
          <w:rFonts w:cs="Arial"/>
          <w:szCs w:val="20"/>
        </w:rPr>
        <w:footnoteReference w:id="45"/>
      </w:r>
      <w:r>
        <w:rPr>
          <w:rFonts w:cs="Arial"/>
          <w:szCs w:val="20"/>
        </w:rPr>
        <w:t xml:space="preserve"> Med delovno aktivnimi v kulturi tako v Evropi (61,1 %) kot v Sloveniji (55,9 %) prevladujejo visoko izobraženi. </w:t>
      </w:r>
      <w:proofErr w:type="spellStart"/>
      <w:r>
        <w:rPr>
          <w:rFonts w:cs="Arial"/>
          <w:szCs w:val="20"/>
        </w:rPr>
        <w:t>Topogledno</w:t>
      </w:r>
      <w:proofErr w:type="spellEnd"/>
      <w:r>
        <w:rPr>
          <w:rFonts w:cs="Arial"/>
          <w:szCs w:val="20"/>
        </w:rPr>
        <w:t xml:space="preserve"> so prve tri države Luksemburg (79 %), Španija (76,6) in Litva (73,7 %), zadnje tri pa Turčija (35,8 %), Italija (45,1 %) in Malta (45,5 %).</w:t>
      </w:r>
      <w:r>
        <w:rPr>
          <w:rStyle w:val="Sprotnaopomba-sklic"/>
          <w:rFonts w:cs="Arial"/>
          <w:szCs w:val="20"/>
        </w:rPr>
        <w:footnoteReference w:id="46"/>
      </w:r>
      <w:r>
        <w:rPr>
          <w:rFonts w:cs="Arial"/>
          <w:szCs w:val="20"/>
        </w:rPr>
        <w:t xml:space="preserve"> </w:t>
      </w:r>
    </w:p>
    <w:p w:rsidR="0029550A" w:rsidRDefault="006D2D21" w:rsidP="0029550A">
      <w:pPr>
        <w:pStyle w:val="Naslovtabele"/>
      </w:pPr>
      <w:bookmarkStart w:id="323" w:name="_Toc490053393"/>
      <w:bookmarkStart w:id="324" w:name="_Toc490053764"/>
      <w:bookmarkStart w:id="325" w:name="_Toc490600036"/>
      <w:r>
        <w:t>Tabela 27</w:t>
      </w:r>
      <w:r w:rsidR="0029550A">
        <w:t xml:space="preserve">: </w:t>
      </w:r>
      <w:proofErr w:type="spellStart"/>
      <w:r w:rsidR="0029550A">
        <w:t>Socialnodemografske</w:t>
      </w:r>
      <w:proofErr w:type="spellEnd"/>
      <w:r w:rsidR="0029550A">
        <w:t xml:space="preserve"> značilno</w:t>
      </w:r>
      <w:r w:rsidR="00550891">
        <w:t>sti delovno aktivnih v kulturi (</w:t>
      </w:r>
      <w:r w:rsidR="0029550A">
        <w:t>Slovenija</w:t>
      </w:r>
      <w:r w:rsidR="00550891">
        <w:t>,</w:t>
      </w:r>
      <w:r w:rsidR="0029550A">
        <w:t xml:space="preserve"> 2015</w:t>
      </w:r>
      <w:r w:rsidR="00550891">
        <w:t>)</w:t>
      </w:r>
      <w:bookmarkEnd w:id="323"/>
      <w:bookmarkEnd w:id="324"/>
      <w:bookmarkEnd w:id="325"/>
    </w:p>
    <w:tbl>
      <w:tblPr>
        <w:tblStyle w:val="Svetelseznampoudarek3"/>
        <w:tblW w:w="5000" w:type="pct"/>
        <w:tblLook w:val="04A0" w:firstRow="1" w:lastRow="0" w:firstColumn="1" w:lastColumn="0" w:noHBand="0" w:noVBand="1"/>
      </w:tblPr>
      <w:tblGrid>
        <w:gridCol w:w="7054"/>
        <w:gridCol w:w="2235"/>
      </w:tblGrid>
      <w:tr w:rsidR="0029550A" w:rsidRPr="001C2B30" w:rsidTr="00FE7E14">
        <w:trPr>
          <w:cnfStyle w:val="100000000000" w:firstRow="1" w:lastRow="0" w:firstColumn="0" w:lastColumn="0" w:oddVBand="0" w:evenVBand="0" w:oddHBand="0" w:evenHBand="0" w:firstRowFirstColumn="0" w:firstRowLastColumn="0" w:lastRowFirstColumn="0" w:lastRowLastColumn="0"/>
          <w:trHeight w:hRule="exact" w:val="312"/>
        </w:trPr>
        <w:tc>
          <w:tcPr>
            <w:cnfStyle w:val="001000000000" w:firstRow="0" w:lastRow="0" w:firstColumn="1" w:lastColumn="0" w:oddVBand="0" w:evenVBand="0" w:oddHBand="0" w:evenHBand="0" w:firstRowFirstColumn="0" w:firstRowLastColumn="0" w:lastRowFirstColumn="0" w:lastRowLastColumn="0"/>
            <w:tcW w:w="3797" w:type="pct"/>
            <w:noWrap/>
            <w:hideMark/>
          </w:tcPr>
          <w:p w:rsidR="0029550A" w:rsidRPr="00C74096" w:rsidRDefault="0029550A" w:rsidP="00516E3A">
            <w:pPr>
              <w:rPr>
                <w:rFonts w:cs="Arial"/>
                <w:b w:val="0"/>
                <w:sz w:val="16"/>
                <w:szCs w:val="16"/>
              </w:rPr>
            </w:pPr>
            <w:r w:rsidRPr="00C74096">
              <w:rPr>
                <w:rFonts w:cs="Arial"/>
                <w:b w:val="0"/>
                <w:sz w:val="16"/>
                <w:szCs w:val="16"/>
              </w:rPr>
              <w:t>Socialno-demografska značilnost</w:t>
            </w:r>
          </w:p>
        </w:tc>
        <w:tc>
          <w:tcPr>
            <w:tcW w:w="1203" w:type="pct"/>
            <w:noWrap/>
            <w:hideMark/>
          </w:tcPr>
          <w:p w:rsidR="0029550A" w:rsidRPr="00DF2FCA" w:rsidRDefault="0029550A" w:rsidP="00516E3A">
            <w:pPr>
              <w:cnfStyle w:val="100000000000" w:firstRow="1" w:lastRow="0" w:firstColumn="0" w:lastColumn="0" w:oddVBand="0" w:evenVBand="0" w:oddHBand="0" w:evenHBand="0" w:firstRowFirstColumn="0" w:firstRowLastColumn="0" w:lastRowFirstColumn="0" w:lastRowLastColumn="0"/>
              <w:rPr>
                <w:rFonts w:cs="Arial"/>
                <w:sz w:val="16"/>
                <w:szCs w:val="16"/>
              </w:rPr>
            </w:pPr>
            <w:r w:rsidRPr="00DF2FCA">
              <w:rPr>
                <w:rFonts w:cs="Arial"/>
                <w:sz w:val="16"/>
                <w:szCs w:val="16"/>
              </w:rPr>
              <w:t>%</w:t>
            </w:r>
          </w:p>
        </w:tc>
      </w:tr>
      <w:tr w:rsidR="0029550A" w:rsidRPr="001C2B30" w:rsidTr="00516E3A">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5000" w:type="pct"/>
            <w:gridSpan w:val="2"/>
            <w:shd w:val="clear" w:color="auto" w:fill="EAF1DD" w:themeFill="accent3" w:themeFillTint="33"/>
            <w:noWrap/>
          </w:tcPr>
          <w:p w:rsidR="0029550A" w:rsidRPr="00C74096" w:rsidRDefault="0029550A" w:rsidP="00516E3A">
            <w:pPr>
              <w:spacing w:after="0"/>
              <w:rPr>
                <w:rFonts w:cs="Arial"/>
                <w:sz w:val="16"/>
                <w:szCs w:val="16"/>
              </w:rPr>
            </w:pPr>
            <w:r w:rsidRPr="00C74096">
              <w:rPr>
                <w:rFonts w:cs="Arial"/>
                <w:sz w:val="16"/>
                <w:szCs w:val="16"/>
              </w:rPr>
              <w:t>Spol</w:t>
            </w:r>
          </w:p>
        </w:tc>
      </w:tr>
      <w:tr w:rsidR="0029550A" w:rsidRPr="001C2B30" w:rsidTr="00516E3A">
        <w:trPr>
          <w:trHeight w:val="102"/>
        </w:trPr>
        <w:tc>
          <w:tcPr>
            <w:cnfStyle w:val="001000000000" w:firstRow="0" w:lastRow="0" w:firstColumn="1" w:lastColumn="0" w:oddVBand="0" w:evenVBand="0" w:oddHBand="0" w:evenHBand="0" w:firstRowFirstColumn="0" w:firstRowLastColumn="0" w:lastRowFirstColumn="0" w:lastRowLastColumn="0"/>
            <w:tcW w:w="3797" w:type="pct"/>
            <w:noWrap/>
            <w:hideMark/>
          </w:tcPr>
          <w:p w:rsidR="0029550A" w:rsidRPr="00C74096" w:rsidRDefault="0029550A" w:rsidP="00516E3A">
            <w:pPr>
              <w:spacing w:after="0"/>
              <w:rPr>
                <w:rFonts w:cs="Arial"/>
                <w:b w:val="0"/>
                <w:sz w:val="16"/>
                <w:szCs w:val="16"/>
              </w:rPr>
            </w:pPr>
            <w:r w:rsidRPr="00C74096">
              <w:rPr>
                <w:rFonts w:cs="Arial"/>
                <w:b w:val="0"/>
                <w:sz w:val="16"/>
                <w:szCs w:val="16"/>
              </w:rPr>
              <w:t>moški</w:t>
            </w:r>
          </w:p>
        </w:tc>
        <w:tc>
          <w:tcPr>
            <w:tcW w:w="1203" w:type="pct"/>
            <w:noWrap/>
            <w:hideMark/>
          </w:tcPr>
          <w:p w:rsidR="0029550A" w:rsidRPr="001C2B30" w:rsidRDefault="0029550A" w:rsidP="00516E3A">
            <w:pPr>
              <w:spacing w:after="0"/>
              <w:cnfStyle w:val="000000000000" w:firstRow="0" w:lastRow="0" w:firstColumn="0" w:lastColumn="0" w:oddVBand="0" w:evenVBand="0" w:oddHBand="0" w:evenHBand="0" w:firstRowFirstColumn="0" w:firstRowLastColumn="0" w:lastRowFirstColumn="0" w:lastRowLastColumn="0"/>
              <w:rPr>
                <w:rFonts w:cs="Arial"/>
                <w:sz w:val="16"/>
                <w:szCs w:val="16"/>
              </w:rPr>
            </w:pPr>
            <w:r w:rsidRPr="001C2B30">
              <w:rPr>
                <w:rFonts w:cs="Arial"/>
                <w:sz w:val="16"/>
                <w:szCs w:val="16"/>
              </w:rPr>
              <w:t>51</w:t>
            </w:r>
          </w:p>
        </w:tc>
      </w:tr>
      <w:tr w:rsidR="0029550A" w:rsidRPr="001C2B30" w:rsidTr="00516E3A">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3797" w:type="pct"/>
            <w:noWrap/>
            <w:hideMark/>
          </w:tcPr>
          <w:p w:rsidR="0029550A" w:rsidRPr="00C74096" w:rsidRDefault="0029550A" w:rsidP="00516E3A">
            <w:pPr>
              <w:spacing w:after="0"/>
              <w:rPr>
                <w:rFonts w:cs="Arial"/>
                <w:b w:val="0"/>
                <w:sz w:val="16"/>
                <w:szCs w:val="16"/>
              </w:rPr>
            </w:pPr>
            <w:r w:rsidRPr="00C74096">
              <w:rPr>
                <w:rFonts w:cs="Arial"/>
                <w:b w:val="0"/>
                <w:sz w:val="16"/>
                <w:szCs w:val="16"/>
              </w:rPr>
              <w:t>ženski</w:t>
            </w:r>
          </w:p>
        </w:tc>
        <w:tc>
          <w:tcPr>
            <w:tcW w:w="1203" w:type="pct"/>
            <w:noWrap/>
            <w:hideMark/>
          </w:tcPr>
          <w:p w:rsidR="0029550A" w:rsidRPr="001C2B30" w:rsidRDefault="0029550A" w:rsidP="00516E3A">
            <w:pPr>
              <w:spacing w:after="0"/>
              <w:cnfStyle w:val="000000100000" w:firstRow="0" w:lastRow="0" w:firstColumn="0" w:lastColumn="0" w:oddVBand="0" w:evenVBand="0" w:oddHBand="1" w:evenHBand="0" w:firstRowFirstColumn="0" w:firstRowLastColumn="0" w:lastRowFirstColumn="0" w:lastRowLastColumn="0"/>
              <w:rPr>
                <w:rFonts w:cs="Arial"/>
                <w:sz w:val="16"/>
                <w:szCs w:val="16"/>
              </w:rPr>
            </w:pPr>
            <w:r w:rsidRPr="001C2B30">
              <w:rPr>
                <w:rFonts w:cs="Arial"/>
                <w:sz w:val="16"/>
                <w:szCs w:val="16"/>
              </w:rPr>
              <w:t>49</w:t>
            </w:r>
          </w:p>
        </w:tc>
      </w:tr>
      <w:tr w:rsidR="0029550A" w:rsidRPr="001C2B30" w:rsidTr="00516E3A">
        <w:trPr>
          <w:trHeight w:val="102"/>
        </w:trPr>
        <w:tc>
          <w:tcPr>
            <w:cnfStyle w:val="001000000000" w:firstRow="0" w:lastRow="0" w:firstColumn="1" w:lastColumn="0" w:oddVBand="0" w:evenVBand="0" w:oddHBand="0" w:evenHBand="0" w:firstRowFirstColumn="0" w:firstRowLastColumn="0" w:lastRowFirstColumn="0" w:lastRowLastColumn="0"/>
            <w:tcW w:w="5000" w:type="pct"/>
            <w:gridSpan w:val="2"/>
            <w:shd w:val="clear" w:color="auto" w:fill="EAF1DD" w:themeFill="accent3" w:themeFillTint="33"/>
            <w:noWrap/>
            <w:hideMark/>
          </w:tcPr>
          <w:p w:rsidR="0029550A" w:rsidRPr="00C74096" w:rsidRDefault="0029550A" w:rsidP="00516E3A">
            <w:pPr>
              <w:spacing w:after="0"/>
              <w:rPr>
                <w:rFonts w:cs="Arial"/>
                <w:sz w:val="16"/>
                <w:szCs w:val="16"/>
              </w:rPr>
            </w:pPr>
            <w:r w:rsidRPr="00C74096">
              <w:rPr>
                <w:rFonts w:cs="Arial"/>
                <w:sz w:val="16"/>
                <w:szCs w:val="16"/>
              </w:rPr>
              <w:t>Izobrazba</w:t>
            </w:r>
          </w:p>
        </w:tc>
      </w:tr>
      <w:tr w:rsidR="0029550A" w:rsidRPr="001C2B30" w:rsidTr="00516E3A">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3797" w:type="pct"/>
            <w:noWrap/>
            <w:hideMark/>
          </w:tcPr>
          <w:p w:rsidR="0029550A" w:rsidRPr="00C74096" w:rsidRDefault="0029550A" w:rsidP="00516E3A">
            <w:pPr>
              <w:spacing w:after="0"/>
              <w:rPr>
                <w:rFonts w:cs="Arial"/>
                <w:b w:val="0"/>
                <w:sz w:val="16"/>
                <w:szCs w:val="16"/>
              </w:rPr>
            </w:pPr>
            <w:r w:rsidRPr="00C74096">
              <w:rPr>
                <w:rFonts w:cs="Arial"/>
                <w:b w:val="0"/>
                <w:sz w:val="16"/>
                <w:szCs w:val="16"/>
              </w:rPr>
              <w:t>osnovnošolska in manj</w:t>
            </w:r>
          </w:p>
        </w:tc>
        <w:tc>
          <w:tcPr>
            <w:tcW w:w="1203" w:type="pct"/>
            <w:noWrap/>
            <w:hideMark/>
          </w:tcPr>
          <w:p w:rsidR="0029550A" w:rsidRPr="001C2B30" w:rsidRDefault="0029550A" w:rsidP="00516E3A">
            <w:pPr>
              <w:spacing w:after="0"/>
              <w:cnfStyle w:val="000000100000" w:firstRow="0" w:lastRow="0" w:firstColumn="0" w:lastColumn="0" w:oddVBand="0" w:evenVBand="0" w:oddHBand="1" w:evenHBand="0" w:firstRowFirstColumn="0" w:firstRowLastColumn="0" w:lastRowFirstColumn="0" w:lastRowLastColumn="0"/>
              <w:rPr>
                <w:rFonts w:cs="Arial"/>
                <w:sz w:val="16"/>
                <w:szCs w:val="16"/>
              </w:rPr>
            </w:pPr>
            <w:r w:rsidRPr="001C2B30">
              <w:rPr>
                <w:rFonts w:cs="Arial"/>
                <w:sz w:val="16"/>
                <w:szCs w:val="16"/>
              </w:rPr>
              <w:t>2,48</w:t>
            </w:r>
          </w:p>
        </w:tc>
      </w:tr>
      <w:tr w:rsidR="0029550A" w:rsidRPr="001C2B30" w:rsidTr="00516E3A">
        <w:trPr>
          <w:trHeight w:val="102"/>
        </w:trPr>
        <w:tc>
          <w:tcPr>
            <w:cnfStyle w:val="001000000000" w:firstRow="0" w:lastRow="0" w:firstColumn="1" w:lastColumn="0" w:oddVBand="0" w:evenVBand="0" w:oddHBand="0" w:evenHBand="0" w:firstRowFirstColumn="0" w:firstRowLastColumn="0" w:lastRowFirstColumn="0" w:lastRowLastColumn="0"/>
            <w:tcW w:w="3797" w:type="pct"/>
            <w:noWrap/>
            <w:hideMark/>
          </w:tcPr>
          <w:p w:rsidR="0029550A" w:rsidRPr="00C74096" w:rsidRDefault="0029550A" w:rsidP="00516E3A">
            <w:pPr>
              <w:spacing w:after="0"/>
              <w:rPr>
                <w:rFonts w:cs="Arial"/>
                <w:b w:val="0"/>
                <w:sz w:val="16"/>
                <w:szCs w:val="16"/>
              </w:rPr>
            </w:pPr>
            <w:r w:rsidRPr="00C74096">
              <w:rPr>
                <w:rFonts w:cs="Arial"/>
                <w:b w:val="0"/>
                <w:sz w:val="16"/>
                <w:szCs w:val="16"/>
              </w:rPr>
              <w:t>srednješolska in višješolska</w:t>
            </w:r>
          </w:p>
        </w:tc>
        <w:tc>
          <w:tcPr>
            <w:tcW w:w="1203" w:type="pct"/>
            <w:noWrap/>
            <w:hideMark/>
          </w:tcPr>
          <w:p w:rsidR="0029550A" w:rsidRPr="001C2B30" w:rsidRDefault="0029550A" w:rsidP="00516E3A">
            <w:pPr>
              <w:spacing w:after="0"/>
              <w:cnfStyle w:val="000000000000" w:firstRow="0" w:lastRow="0" w:firstColumn="0" w:lastColumn="0" w:oddVBand="0" w:evenVBand="0" w:oddHBand="0" w:evenHBand="0" w:firstRowFirstColumn="0" w:firstRowLastColumn="0" w:lastRowFirstColumn="0" w:lastRowLastColumn="0"/>
              <w:rPr>
                <w:rFonts w:cs="Arial"/>
                <w:sz w:val="16"/>
                <w:szCs w:val="16"/>
              </w:rPr>
            </w:pPr>
            <w:r w:rsidRPr="001C2B30">
              <w:rPr>
                <w:rFonts w:cs="Arial"/>
                <w:sz w:val="16"/>
                <w:szCs w:val="16"/>
              </w:rPr>
              <w:t>41,62</w:t>
            </w:r>
          </w:p>
        </w:tc>
      </w:tr>
      <w:tr w:rsidR="0029550A" w:rsidRPr="001C2B30" w:rsidTr="00516E3A">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3797" w:type="pct"/>
            <w:noWrap/>
            <w:hideMark/>
          </w:tcPr>
          <w:p w:rsidR="0029550A" w:rsidRPr="00C74096" w:rsidRDefault="0029550A" w:rsidP="00516E3A">
            <w:pPr>
              <w:spacing w:after="0"/>
              <w:rPr>
                <w:rFonts w:cs="Arial"/>
                <w:b w:val="0"/>
                <w:sz w:val="16"/>
                <w:szCs w:val="16"/>
              </w:rPr>
            </w:pPr>
            <w:r w:rsidRPr="00C74096">
              <w:rPr>
                <w:rFonts w:cs="Arial"/>
                <w:b w:val="0"/>
                <w:sz w:val="16"/>
                <w:szCs w:val="16"/>
              </w:rPr>
              <w:t>visokošolska in več</w:t>
            </w:r>
          </w:p>
        </w:tc>
        <w:tc>
          <w:tcPr>
            <w:tcW w:w="1203" w:type="pct"/>
            <w:noWrap/>
            <w:hideMark/>
          </w:tcPr>
          <w:p w:rsidR="0029550A" w:rsidRPr="001C2B30" w:rsidRDefault="0029550A" w:rsidP="00516E3A">
            <w:pPr>
              <w:spacing w:after="0"/>
              <w:cnfStyle w:val="000000100000" w:firstRow="0" w:lastRow="0" w:firstColumn="0" w:lastColumn="0" w:oddVBand="0" w:evenVBand="0" w:oddHBand="1" w:evenHBand="0" w:firstRowFirstColumn="0" w:firstRowLastColumn="0" w:lastRowFirstColumn="0" w:lastRowLastColumn="0"/>
              <w:rPr>
                <w:rFonts w:cs="Arial"/>
                <w:sz w:val="16"/>
                <w:szCs w:val="16"/>
              </w:rPr>
            </w:pPr>
            <w:r w:rsidRPr="001C2B30">
              <w:rPr>
                <w:rFonts w:cs="Arial"/>
                <w:sz w:val="16"/>
                <w:szCs w:val="16"/>
              </w:rPr>
              <w:t>55,9</w:t>
            </w:r>
          </w:p>
        </w:tc>
      </w:tr>
      <w:tr w:rsidR="0029550A" w:rsidRPr="001C2B30" w:rsidTr="00516E3A">
        <w:trPr>
          <w:trHeight w:val="102"/>
        </w:trPr>
        <w:tc>
          <w:tcPr>
            <w:cnfStyle w:val="001000000000" w:firstRow="0" w:lastRow="0" w:firstColumn="1" w:lastColumn="0" w:oddVBand="0" w:evenVBand="0" w:oddHBand="0" w:evenHBand="0" w:firstRowFirstColumn="0" w:firstRowLastColumn="0" w:lastRowFirstColumn="0" w:lastRowLastColumn="0"/>
            <w:tcW w:w="5000" w:type="pct"/>
            <w:gridSpan w:val="2"/>
            <w:shd w:val="clear" w:color="auto" w:fill="EAF1DD" w:themeFill="accent3" w:themeFillTint="33"/>
            <w:noWrap/>
            <w:hideMark/>
          </w:tcPr>
          <w:p w:rsidR="0029550A" w:rsidRPr="00C74096" w:rsidRDefault="0029550A" w:rsidP="00516E3A">
            <w:pPr>
              <w:spacing w:after="0"/>
              <w:rPr>
                <w:rFonts w:cs="Arial"/>
                <w:sz w:val="16"/>
                <w:szCs w:val="16"/>
              </w:rPr>
            </w:pPr>
            <w:r w:rsidRPr="00C74096">
              <w:rPr>
                <w:rFonts w:cs="Arial"/>
                <w:sz w:val="16"/>
                <w:szCs w:val="16"/>
              </w:rPr>
              <w:t>Starost</w:t>
            </w:r>
          </w:p>
        </w:tc>
      </w:tr>
      <w:tr w:rsidR="0029550A" w:rsidRPr="001C2B30" w:rsidTr="00516E3A">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3797" w:type="pct"/>
            <w:noWrap/>
            <w:hideMark/>
          </w:tcPr>
          <w:p w:rsidR="0029550A" w:rsidRPr="00C74096" w:rsidRDefault="0029550A" w:rsidP="00516E3A">
            <w:pPr>
              <w:spacing w:after="0"/>
              <w:rPr>
                <w:rFonts w:cs="Arial"/>
                <w:b w:val="0"/>
                <w:sz w:val="16"/>
                <w:szCs w:val="16"/>
              </w:rPr>
            </w:pPr>
            <w:r w:rsidRPr="00C74096">
              <w:rPr>
                <w:rFonts w:cs="Arial"/>
                <w:b w:val="0"/>
                <w:sz w:val="16"/>
                <w:szCs w:val="16"/>
              </w:rPr>
              <w:t>15–29 let</w:t>
            </w:r>
          </w:p>
        </w:tc>
        <w:tc>
          <w:tcPr>
            <w:tcW w:w="1203" w:type="pct"/>
            <w:noWrap/>
            <w:hideMark/>
          </w:tcPr>
          <w:p w:rsidR="0029550A" w:rsidRPr="001C2B30" w:rsidRDefault="0029550A" w:rsidP="00516E3A">
            <w:pPr>
              <w:spacing w:after="0"/>
              <w:cnfStyle w:val="000000100000" w:firstRow="0" w:lastRow="0" w:firstColumn="0" w:lastColumn="0" w:oddVBand="0" w:evenVBand="0" w:oddHBand="1" w:evenHBand="0" w:firstRowFirstColumn="0" w:firstRowLastColumn="0" w:lastRowFirstColumn="0" w:lastRowLastColumn="0"/>
              <w:rPr>
                <w:rFonts w:cs="Arial"/>
                <w:sz w:val="16"/>
                <w:szCs w:val="16"/>
              </w:rPr>
            </w:pPr>
            <w:r w:rsidRPr="001C2B30">
              <w:rPr>
                <w:rFonts w:cs="Arial"/>
                <w:sz w:val="16"/>
                <w:szCs w:val="16"/>
              </w:rPr>
              <w:t>20,12</w:t>
            </w:r>
          </w:p>
        </w:tc>
      </w:tr>
      <w:tr w:rsidR="0029550A" w:rsidRPr="001C2B30" w:rsidTr="00516E3A">
        <w:trPr>
          <w:trHeight w:val="102"/>
        </w:trPr>
        <w:tc>
          <w:tcPr>
            <w:cnfStyle w:val="001000000000" w:firstRow="0" w:lastRow="0" w:firstColumn="1" w:lastColumn="0" w:oddVBand="0" w:evenVBand="0" w:oddHBand="0" w:evenHBand="0" w:firstRowFirstColumn="0" w:firstRowLastColumn="0" w:lastRowFirstColumn="0" w:lastRowLastColumn="0"/>
            <w:tcW w:w="3797" w:type="pct"/>
            <w:noWrap/>
            <w:hideMark/>
          </w:tcPr>
          <w:p w:rsidR="0029550A" w:rsidRPr="00C74096" w:rsidRDefault="0029550A" w:rsidP="00516E3A">
            <w:pPr>
              <w:spacing w:after="0"/>
              <w:rPr>
                <w:rFonts w:cs="Arial"/>
                <w:b w:val="0"/>
                <w:sz w:val="16"/>
                <w:szCs w:val="16"/>
              </w:rPr>
            </w:pPr>
            <w:r w:rsidRPr="00C74096">
              <w:rPr>
                <w:rFonts w:cs="Arial"/>
                <w:b w:val="0"/>
                <w:sz w:val="16"/>
                <w:szCs w:val="16"/>
              </w:rPr>
              <w:t>30–39 let</w:t>
            </w:r>
          </w:p>
        </w:tc>
        <w:tc>
          <w:tcPr>
            <w:tcW w:w="1203" w:type="pct"/>
            <w:noWrap/>
            <w:hideMark/>
          </w:tcPr>
          <w:p w:rsidR="0029550A" w:rsidRPr="001C2B30" w:rsidRDefault="0029550A" w:rsidP="00516E3A">
            <w:pPr>
              <w:spacing w:after="0"/>
              <w:cnfStyle w:val="000000000000" w:firstRow="0" w:lastRow="0" w:firstColumn="0" w:lastColumn="0" w:oddVBand="0" w:evenVBand="0" w:oddHBand="0" w:evenHBand="0" w:firstRowFirstColumn="0" w:firstRowLastColumn="0" w:lastRowFirstColumn="0" w:lastRowLastColumn="0"/>
              <w:rPr>
                <w:rFonts w:cs="Arial"/>
                <w:sz w:val="16"/>
                <w:szCs w:val="16"/>
              </w:rPr>
            </w:pPr>
            <w:r w:rsidRPr="001C2B30">
              <w:rPr>
                <w:rFonts w:cs="Arial"/>
                <w:sz w:val="16"/>
                <w:szCs w:val="16"/>
              </w:rPr>
              <w:t>32,82</w:t>
            </w:r>
          </w:p>
        </w:tc>
      </w:tr>
      <w:tr w:rsidR="0029550A" w:rsidRPr="001C2B30" w:rsidTr="00516E3A">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3797" w:type="pct"/>
            <w:noWrap/>
            <w:hideMark/>
          </w:tcPr>
          <w:p w:rsidR="0029550A" w:rsidRPr="00C74096" w:rsidRDefault="0029550A" w:rsidP="00516E3A">
            <w:pPr>
              <w:spacing w:after="0"/>
              <w:rPr>
                <w:rFonts w:cs="Arial"/>
                <w:b w:val="0"/>
                <w:sz w:val="16"/>
                <w:szCs w:val="16"/>
              </w:rPr>
            </w:pPr>
            <w:r w:rsidRPr="00C74096">
              <w:rPr>
                <w:rFonts w:cs="Arial"/>
                <w:b w:val="0"/>
                <w:sz w:val="16"/>
                <w:szCs w:val="16"/>
              </w:rPr>
              <w:t>40–49 let</w:t>
            </w:r>
          </w:p>
        </w:tc>
        <w:tc>
          <w:tcPr>
            <w:tcW w:w="1203" w:type="pct"/>
            <w:noWrap/>
            <w:hideMark/>
          </w:tcPr>
          <w:p w:rsidR="0029550A" w:rsidRPr="001C2B30" w:rsidRDefault="0029550A" w:rsidP="00516E3A">
            <w:pPr>
              <w:spacing w:after="0"/>
              <w:cnfStyle w:val="000000100000" w:firstRow="0" w:lastRow="0" w:firstColumn="0" w:lastColumn="0" w:oddVBand="0" w:evenVBand="0" w:oddHBand="1" w:evenHBand="0" w:firstRowFirstColumn="0" w:firstRowLastColumn="0" w:lastRowFirstColumn="0" w:lastRowLastColumn="0"/>
              <w:rPr>
                <w:rFonts w:cs="Arial"/>
                <w:sz w:val="16"/>
                <w:szCs w:val="16"/>
              </w:rPr>
            </w:pPr>
            <w:r w:rsidRPr="001C2B30">
              <w:rPr>
                <w:rFonts w:cs="Arial"/>
                <w:sz w:val="16"/>
                <w:szCs w:val="16"/>
              </w:rPr>
              <w:t>26,63</w:t>
            </w:r>
          </w:p>
        </w:tc>
      </w:tr>
      <w:tr w:rsidR="0029550A" w:rsidRPr="001C2B30" w:rsidTr="00516E3A">
        <w:trPr>
          <w:trHeight w:val="102"/>
        </w:trPr>
        <w:tc>
          <w:tcPr>
            <w:cnfStyle w:val="001000000000" w:firstRow="0" w:lastRow="0" w:firstColumn="1" w:lastColumn="0" w:oddVBand="0" w:evenVBand="0" w:oddHBand="0" w:evenHBand="0" w:firstRowFirstColumn="0" w:firstRowLastColumn="0" w:lastRowFirstColumn="0" w:lastRowLastColumn="0"/>
            <w:tcW w:w="3797" w:type="pct"/>
            <w:noWrap/>
            <w:hideMark/>
          </w:tcPr>
          <w:p w:rsidR="0029550A" w:rsidRPr="00C74096" w:rsidRDefault="0029550A" w:rsidP="00516E3A">
            <w:pPr>
              <w:spacing w:after="0"/>
              <w:rPr>
                <w:rFonts w:cs="Arial"/>
                <w:b w:val="0"/>
                <w:sz w:val="16"/>
                <w:szCs w:val="16"/>
              </w:rPr>
            </w:pPr>
            <w:r w:rsidRPr="00C74096">
              <w:rPr>
                <w:rFonts w:cs="Arial"/>
                <w:b w:val="0"/>
                <w:sz w:val="16"/>
                <w:szCs w:val="16"/>
              </w:rPr>
              <w:t>50–59 let</w:t>
            </w:r>
          </w:p>
        </w:tc>
        <w:tc>
          <w:tcPr>
            <w:tcW w:w="1203" w:type="pct"/>
            <w:noWrap/>
            <w:hideMark/>
          </w:tcPr>
          <w:p w:rsidR="0029550A" w:rsidRPr="001C2B30" w:rsidRDefault="0029550A" w:rsidP="00516E3A">
            <w:pPr>
              <w:spacing w:after="0"/>
              <w:cnfStyle w:val="000000000000" w:firstRow="0" w:lastRow="0" w:firstColumn="0" w:lastColumn="0" w:oddVBand="0" w:evenVBand="0" w:oddHBand="0" w:evenHBand="0" w:firstRowFirstColumn="0" w:firstRowLastColumn="0" w:lastRowFirstColumn="0" w:lastRowLastColumn="0"/>
              <w:rPr>
                <w:rFonts w:cs="Arial"/>
                <w:sz w:val="16"/>
                <w:szCs w:val="16"/>
              </w:rPr>
            </w:pPr>
            <w:r w:rsidRPr="001C2B30">
              <w:rPr>
                <w:rFonts w:cs="Arial"/>
                <w:sz w:val="16"/>
                <w:szCs w:val="16"/>
              </w:rPr>
              <w:t>17,96</w:t>
            </w:r>
          </w:p>
        </w:tc>
      </w:tr>
      <w:tr w:rsidR="0029550A" w:rsidRPr="001C2B30" w:rsidTr="00516E3A">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3797" w:type="pct"/>
            <w:noWrap/>
            <w:hideMark/>
          </w:tcPr>
          <w:p w:rsidR="0029550A" w:rsidRPr="00C74096" w:rsidRDefault="0029550A" w:rsidP="00516E3A">
            <w:pPr>
              <w:spacing w:after="0"/>
              <w:rPr>
                <w:rFonts w:cs="Arial"/>
                <w:b w:val="0"/>
                <w:sz w:val="16"/>
                <w:szCs w:val="16"/>
              </w:rPr>
            </w:pPr>
            <w:r w:rsidRPr="00C74096">
              <w:rPr>
                <w:rFonts w:cs="Arial"/>
                <w:b w:val="0"/>
                <w:sz w:val="16"/>
                <w:szCs w:val="16"/>
              </w:rPr>
              <w:t>60 let in več</w:t>
            </w:r>
          </w:p>
        </w:tc>
        <w:tc>
          <w:tcPr>
            <w:tcW w:w="1203" w:type="pct"/>
            <w:noWrap/>
            <w:hideMark/>
          </w:tcPr>
          <w:p w:rsidR="0029550A" w:rsidRPr="001C2B30" w:rsidRDefault="0029550A" w:rsidP="00516E3A">
            <w:pPr>
              <w:spacing w:after="0"/>
              <w:cnfStyle w:val="000000100000" w:firstRow="0" w:lastRow="0" w:firstColumn="0" w:lastColumn="0" w:oddVBand="0" w:evenVBand="0" w:oddHBand="1" w:evenHBand="0" w:firstRowFirstColumn="0" w:firstRowLastColumn="0" w:lastRowFirstColumn="0" w:lastRowLastColumn="0"/>
              <w:rPr>
                <w:rFonts w:cs="Arial"/>
                <w:sz w:val="16"/>
                <w:szCs w:val="16"/>
              </w:rPr>
            </w:pPr>
            <w:r w:rsidRPr="001C2B30">
              <w:rPr>
                <w:rFonts w:cs="Arial"/>
                <w:sz w:val="16"/>
                <w:szCs w:val="16"/>
              </w:rPr>
              <w:t>2,48</w:t>
            </w:r>
          </w:p>
        </w:tc>
      </w:tr>
    </w:tbl>
    <w:p w:rsidR="0029550A" w:rsidRDefault="0029550A" w:rsidP="0029550A">
      <w:pPr>
        <w:pStyle w:val="Podpispodtabeloaligrafom"/>
      </w:pPr>
      <w:r>
        <w:t xml:space="preserve">Vir: </w:t>
      </w:r>
      <w:hyperlink r:id="rId52" w:history="1">
        <w:proofErr w:type="spellStart"/>
        <w:r w:rsidRPr="00661202">
          <w:rPr>
            <w:rStyle w:val="Hiperpovezava"/>
          </w:rPr>
          <w:t>Eurostat</w:t>
        </w:r>
        <w:proofErr w:type="spellEnd"/>
      </w:hyperlink>
      <w:r>
        <w:rPr>
          <w:rStyle w:val="Hiperpovezava"/>
        </w:rPr>
        <w:t>.</w:t>
      </w:r>
    </w:p>
    <w:p w:rsidR="0029550A" w:rsidRDefault="0029550A" w:rsidP="00DE1E54">
      <w:pPr>
        <w:spacing w:after="0"/>
        <w:rPr>
          <w:rFonts w:cs="Arial"/>
          <w:szCs w:val="20"/>
        </w:rPr>
      </w:pPr>
      <w:r w:rsidRPr="004200F8">
        <w:rPr>
          <w:rFonts w:cs="Arial"/>
          <w:szCs w:val="20"/>
        </w:rPr>
        <w:t xml:space="preserve">Starostna struktura delovno aktivnih v kulturi je v Sloveniji </w:t>
      </w:r>
      <w:r>
        <w:rPr>
          <w:rFonts w:cs="Arial"/>
          <w:szCs w:val="20"/>
        </w:rPr>
        <w:t xml:space="preserve">mlajša, kot je povprečje </w:t>
      </w:r>
      <w:r w:rsidRPr="002D2CEE">
        <w:rPr>
          <w:rFonts w:cs="Arial"/>
          <w:szCs w:val="20"/>
        </w:rPr>
        <w:t>EU-28</w:t>
      </w:r>
      <w:r>
        <w:rPr>
          <w:rFonts w:cs="Arial"/>
          <w:szCs w:val="20"/>
        </w:rPr>
        <w:t xml:space="preserve"> –</w:t>
      </w:r>
      <w:r w:rsidRPr="002D2CEE">
        <w:rPr>
          <w:rFonts w:cs="Arial"/>
          <w:szCs w:val="20"/>
        </w:rPr>
        <w:t xml:space="preserve"> pri nas </w:t>
      </w:r>
      <w:r>
        <w:rPr>
          <w:rFonts w:cs="Arial"/>
          <w:szCs w:val="20"/>
        </w:rPr>
        <w:t xml:space="preserve">je </w:t>
      </w:r>
      <w:r w:rsidRPr="002D2CEE">
        <w:rPr>
          <w:rFonts w:cs="Arial"/>
          <w:szCs w:val="20"/>
        </w:rPr>
        <w:t>dobrih 20 % delovno aktivnih v kulturi starih 50 let in več, v EU-28 pa slabih 30</w:t>
      </w:r>
      <w:r w:rsidR="001912D3">
        <w:rPr>
          <w:rFonts w:cs="Arial"/>
          <w:szCs w:val="20"/>
        </w:rPr>
        <w:t xml:space="preserve"> % (graf 32</w:t>
      </w:r>
      <w:r>
        <w:rPr>
          <w:rFonts w:cs="Arial"/>
          <w:szCs w:val="20"/>
        </w:rPr>
        <w:t xml:space="preserve">). In še v nečem se precej razlikujemo od povprečja – </w:t>
      </w:r>
      <w:r w:rsidRPr="00D643E1">
        <w:rPr>
          <w:rFonts w:cs="Arial"/>
          <w:szCs w:val="20"/>
        </w:rPr>
        <w:t>kriza</w:t>
      </w:r>
      <w:r>
        <w:rPr>
          <w:rFonts w:cs="Arial"/>
          <w:szCs w:val="20"/>
        </w:rPr>
        <w:t xml:space="preserve"> na trgu dela</w:t>
      </w:r>
      <w:r w:rsidRPr="00D643E1">
        <w:rPr>
          <w:rFonts w:cs="Arial"/>
          <w:szCs w:val="20"/>
        </w:rPr>
        <w:t xml:space="preserve"> je najbolj prizadela </w:t>
      </w:r>
      <w:r>
        <w:rPr>
          <w:rFonts w:cs="Arial"/>
          <w:szCs w:val="20"/>
        </w:rPr>
        <w:t>najmlajšo starostno skupino, saj se je v obdobju od 2008 do 2015 v star</w:t>
      </w:r>
      <w:r w:rsidR="00D41D8F">
        <w:rPr>
          <w:rFonts w:cs="Arial"/>
          <w:szCs w:val="20"/>
        </w:rPr>
        <w:t>ostni skupini od 15–</w:t>
      </w:r>
      <w:r>
        <w:rPr>
          <w:rFonts w:cs="Arial"/>
          <w:szCs w:val="20"/>
        </w:rPr>
        <w:t>29 let odstotek delovno aktivnih (glede na vse delovno aktivne v k</w:t>
      </w:r>
      <w:r w:rsidR="001912D3">
        <w:rPr>
          <w:rFonts w:cs="Arial"/>
          <w:szCs w:val="20"/>
        </w:rPr>
        <w:t>ulturi) najbolj zmanjšal (graf 33</w:t>
      </w:r>
      <w:r>
        <w:rPr>
          <w:rFonts w:cs="Arial"/>
          <w:szCs w:val="20"/>
        </w:rPr>
        <w:t>).</w:t>
      </w:r>
    </w:p>
    <w:p w:rsidR="0029550A" w:rsidRPr="008239A1" w:rsidRDefault="00DE1E54" w:rsidP="0029550A">
      <w:pPr>
        <w:pStyle w:val="Naslovtabele"/>
      </w:pPr>
      <w:bookmarkStart w:id="326" w:name="_Toc490053394"/>
      <w:bookmarkStart w:id="327" w:name="_Toc490053765"/>
      <w:bookmarkStart w:id="328" w:name="_Toc490600037"/>
      <w:r>
        <w:t>Graf 32</w:t>
      </w:r>
      <w:r w:rsidR="0029550A" w:rsidRPr="00FB2A38">
        <w:t>: Starostna struk</w:t>
      </w:r>
      <w:r w:rsidR="00550891">
        <w:t>tura delovno aktivnih v kulturi</w:t>
      </w:r>
      <w:r w:rsidR="0029550A" w:rsidRPr="00FB2A38">
        <w:t xml:space="preserve"> </w:t>
      </w:r>
      <w:r w:rsidR="00550891">
        <w:t>(</w:t>
      </w:r>
      <w:r w:rsidR="0029550A" w:rsidRPr="00FB2A38">
        <w:t>Slovenija ns. povprečje EU</w:t>
      </w:r>
      <w:r w:rsidR="001D23A7">
        <w:t>–</w:t>
      </w:r>
      <w:r w:rsidR="0029550A" w:rsidRPr="00FB2A38">
        <w:t>28</w:t>
      </w:r>
      <w:r w:rsidR="0029550A">
        <w:t>, 2015</w:t>
      </w:r>
      <w:r w:rsidR="00550891">
        <w:t>)</w:t>
      </w:r>
      <w:bookmarkEnd w:id="326"/>
      <w:bookmarkEnd w:id="327"/>
      <w:bookmarkEnd w:id="328"/>
    </w:p>
    <w:p w:rsidR="0029550A" w:rsidRDefault="0029550A" w:rsidP="0029550A">
      <w:pPr>
        <w:rPr>
          <w:highlight w:val="yellow"/>
        </w:rPr>
      </w:pPr>
      <w:r>
        <w:rPr>
          <w:noProof/>
          <w:lang w:eastAsia="sl-SI"/>
        </w:rPr>
        <w:drawing>
          <wp:inline distT="0" distB="0" distL="0" distR="0" wp14:anchorId="79305F9F" wp14:editId="4FD13FA9">
            <wp:extent cx="5904854" cy="2743200"/>
            <wp:effectExtent l="0" t="0" r="0" b="0"/>
            <wp:docPr id="43" name="Grafikon 43"/>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rsidR="0029550A" w:rsidRDefault="0029550A" w:rsidP="0029550A">
      <w:pPr>
        <w:pStyle w:val="Podpispodtabeloaligrafom"/>
      </w:pPr>
      <w:r>
        <w:t xml:space="preserve">Vir: </w:t>
      </w:r>
      <w:hyperlink r:id="rId54" w:history="1">
        <w:proofErr w:type="spellStart"/>
        <w:r w:rsidRPr="00661202">
          <w:rPr>
            <w:rStyle w:val="Hiperpovezava"/>
          </w:rPr>
          <w:t>Eurostat</w:t>
        </w:r>
        <w:proofErr w:type="spellEnd"/>
      </w:hyperlink>
      <w:r>
        <w:rPr>
          <w:rStyle w:val="Hiperpovezava"/>
        </w:rPr>
        <w:t>.</w:t>
      </w:r>
    </w:p>
    <w:p w:rsidR="0029550A" w:rsidRDefault="0029550A" w:rsidP="0029550A">
      <w:pPr>
        <w:pStyle w:val="Podpispodtabeloaligrafom"/>
        <w:rPr>
          <w:highlight w:val="yellow"/>
        </w:rPr>
      </w:pPr>
    </w:p>
    <w:p w:rsidR="002C73C9" w:rsidRDefault="00DE1E54" w:rsidP="00C64CC4">
      <w:pPr>
        <w:pStyle w:val="Naslovtabele"/>
      </w:pPr>
      <w:bookmarkStart w:id="329" w:name="_Toc490053395"/>
      <w:bookmarkStart w:id="330" w:name="_Toc490053766"/>
      <w:bookmarkStart w:id="331" w:name="_Toc490600038"/>
      <w:r>
        <w:t>Graf</w:t>
      </w:r>
      <w:r w:rsidR="005F4826">
        <w:t xml:space="preserve"> 33</w:t>
      </w:r>
      <w:r w:rsidR="0029550A" w:rsidRPr="00C67029">
        <w:t xml:space="preserve">: Delovna aktivnost v </w:t>
      </w:r>
      <w:r w:rsidR="00C67029" w:rsidRPr="00C67029">
        <w:t>kultu</w:t>
      </w:r>
      <w:r w:rsidR="00C67029">
        <w:t>ri po starostnih skupinah</w:t>
      </w:r>
      <w:r w:rsidR="002C73C9" w:rsidRPr="00C67029">
        <w:t xml:space="preserve"> </w:t>
      </w:r>
      <w:r w:rsidR="0031631F">
        <w:t>(</w:t>
      </w:r>
      <w:r w:rsidR="0029550A" w:rsidRPr="00C67029">
        <w:t>Slovenija</w:t>
      </w:r>
      <w:r w:rsidR="0031631F">
        <w:t xml:space="preserve">, </w:t>
      </w:r>
      <w:r w:rsidR="00C67029">
        <w:t>2008 in 2015)</w:t>
      </w:r>
      <w:bookmarkEnd w:id="329"/>
      <w:bookmarkEnd w:id="330"/>
      <w:bookmarkEnd w:id="331"/>
    </w:p>
    <w:p w:rsidR="0029550A" w:rsidRDefault="0029550A" w:rsidP="00C64CC4">
      <w:pPr>
        <w:rPr>
          <w:highlight w:val="yellow"/>
        </w:rPr>
      </w:pPr>
      <w:r>
        <w:rPr>
          <w:noProof/>
          <w:lang w:eastAsia="sl-SI"/>
        </w:rPr>
        <w:drawing>
          <wp:inline distT="0" distB="0" distL="0" distR="0" wp14:anchorId="29841BA0" wp14:editId="4C248BD0">
            <wp:extent cx="5753100" cy="2597150"/>
            <wp:effectExtent l="0" t="0" r="0" b="0"/>
            <wp:docPr id="44" name="Grafikon 44"/>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rsidR="0029550A" w:rsidRDefault="0029550A" w:rsidP="0029550A">
      <w:pPr>
        <w:pStyle w:val="Podpispodtabeloaligrafom"/>
      </w:pPr>
      <w:r>
        <w:t xml:space="preserve">Vir: </w:t>
      </w:r>
      <w:hyperlink r:id="rId56" w:history="1">
        <w:proofErr w:type="spellStart"/>
        <w:r w:rsidRPr="001A73AA">
          <w:rPr>
            <w:rStyle w:val="Hiperpovezava"/>
          </w:rPr>
          <w:t>Eurostat</w:t>
        </w:r>
        <w:proofErr w:type="spellEnd"/>
      </w:hyperlink>
      <w:r>
        <w:t>.</w:t>
      </w:r>
    </w:p>
    <w:p w:rsidR="0029550A" w:rsidRDefault="0029550A" w:rsidP="0029550A">
      <w:pPr>
        <w:spacing w:after="0" w:line="240" w:lineRule="auto"/>
      </w:pPr>
      <w:r>
        <w:t>Iz Ankete o delovni sili so na voljo tudi mednarodne primerjave o delovni aktivnosti dveh skupin poklicev v kulturi – »u</w:t>
      </w:r>
      <w:r w:rsidRPr="00B254C9">
        <w:t>metniški ustvarjalci, poustvarjalci</w:t>
      </w:r>
      <w:r>
        <w:t>« ter »pisatelji, novinarji, jezikoslovci«.</w:t>
      </w:r>
      <w:r>
        <w:rPr>
          <w:rStyle w:val="Sprotnaopomba-sklic"/>
        </w:rPr>
        <w:footnoteReference w:id="47"/>
      </w:r>
      <w:r>
        <w:t xml:space="preserve"> Preden jih predstavimo, kaže opozoriti, da imajo slovenski podatki o teh poklicih nizko stopnjo zanesljivosti.</w:t>
      </w:r>
      <w:r>
        <w:rPr>
          <w:rStyle w:val="Sprotnaopomba-sklic"/>
        </w:rPr>
        <w:footnoteReference w:id="48"/>
      </w:r>
    </w:p>
    <w:p w:rsidR="0029550A" w:rsidRDefault="0029550A" w:rsidP="0029550A">
      <w:pPr>
        <w:spacing w:after="0" w:line="240" w:lineRule="auto"/>
      </w:pPr>
    </w:p>
    <w:p w:rsidR="0029550A" w:rsidRDefault="0029550A" w:rsidP="0029550A">
      <w:pPr>
        <w:spacing w:after="0" w:line="240" w:lineRule="auto"/>
      </w:pPr>
      <w:r>
        <w:t xml:space="preserve">Leta 2015 je bilo v Sloveniji </w:t>
      </w:r>
      <w:r w:rsidRPr="00D27684">
        <w:t>9.000</w:t>
      </w:r>
      <w:r>
        <w:t xml:space="preserve"> pisateljev</w:t>
      </w:r>
      <w:r w:rsidRPr="00C00E0A">
        <w:t>,</w:t>
      </w:r>
      <w:r>
        <w:t xml:space="preserve"> novinarjev, jezikoslovcev</w:t>
      </w:r>
      <w:r w:rsidRPr="00C00E0A">
        <w:t>, umetniški</w:t>
      </w:r>
      <w:r>
        <w:t>h</w:t>
      </w:r>
      <w:r w:rsidRPr="00C00E0A">
        <w:t xml:space="preserve"> ustvarjalc</w:t>
      </w:r>
      <w:r>
        <w:t xml:space="preserve">ev in poustvarjalcev, kar predstavlja približno 30 % vseh delovno aktivnih v kulturi, kakršno je tudi povprečje EU-28. </w:t>
      </w:r>
      <w:r w:rsidRPr="006309B8">
        <w:t>Njihovo število se je v primerjavi z letom 2011</w:t>
      </w:r>
      <w:r w:rsidRPr="006309B8">
        <w:rPr>
          <w:rStyle w:val="Sprotnaopomba-sklic"/>
        </w:rPr>
        <w:footnoteReference w:id="49"/>
      </w:r>
      <w:r w:rsidRPr="006309B8">
        <w:t xml:space="preserve"> zmanjšalo za približno 3 %, medtem ko se je v povprečju EU-28 povečalo za približno 10 %. Zmanjšanje pa ni potekalo linearno, saj jih je bilo </w:t>
      </w:r>
      <w:r>
        <w:t>še leta 2014 več kot let</w:t>
      </w:r>
      <w:r w:rsidR="001912D3">
        <w:t>a 2011 (graf 34</w:t>
      </w:r>
      <w:r>
        <w:t xml:space="preserve">). </w:t>
      </w:r>
    </w:p>
    <w:p w:rsidR="0029550A" w:rsidRPr="00113281" w:rsidRDefault="005F4826" w:rsidP="00B20C2E">
      <w:pPr>
        <w:pStyle w:val="Naslovtabele"/>
      </w:pPr>
      <w:bookmarkStart w:id="332" w:name="_Toc490053396"/>
      <w:bookmarkStart w:id="333" w:name="_Toc490053767"/>
      <w:bookmarkStart w:id="334" w:name="_Toc490600039"/>
      <w:r>
        <w:t>Graf 34</w:t>
      </w:r>
      <w:r w:rsidR="0029550A" w:rsidRPr="00113281">
        <w:t>: Delovna aktivnost pisateljev, novinarjev, jezikoslovcev, umetniških ustvarjalcev in poustvarjalcev</w:t>
      </w:r>
      <w:r w:rsidR="00D8609D">
        <w:t xml:space="preserve"> (Slovenija in </w:t>
      </w:r>
      <w:r w:rsidR="00AA664E">
        <w:t xml:space="preserve">povprečje </w:t>
      </w:r>
      <w:r w:rsidR="00D8609D">
        <w:t>EU</w:t>
      </w:r>
      <w:r w:rsidR="00AA664E">
        <w:t>–28,</w:t>
      </w:r>
      <w:r w:rsidR="00D8609D">
        <w:t xml:space="preserve"> 2011–2015)</w:t>
      </w:r>
      <w:bookmarkEnd w:id="332"/>
      <w:bookmarkEnd w:id="333"/>
      <w:bookmarkEnd w:id="334"/>
    </w:p>
    <w:p w:rsidR="0029550A" w:rsidRDefault="0029550A" w:rsidP="0029550A">
      <w:pPr>
        <w:spacing w:after="0" w:line="240" w:lineRule="auto"/>
      </w:pPr>
      <w:r>
        <w:rPr>
          <w:noProof/>
          <w:lang w:eastAsia="sl-SI"/>
        </w:rPr>
        <w:drawing>
          <wp:inline distT="0" distB="0" distL="0" distR="0" wp14:anchorId="3114775E" wp14:editId="79340B97">
            <wp:extent cx="5816600" cy="2438400"/>
            <wp:effectExtent l="0" t="0" r="0" b="0"/>
            <wp:docPr id="45" name="Grafikon 45"/>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rsidR="0029550A" w:rsidRDefault="0029550A" w:rsidP="0029550A">
      <w:pPr>
        <w:pStyle w:val="Podpispodtabeloaligrafom"/>
      </w:pPr>
      <w:r>
        <w:t xml:space="preserve">Vir: </w:t>
      </w:r>
      <w:hyperlink r:id="rId58" w:history="1">
        <w:proofErr w:type="spellStart"/>
        <w:r w:rsidRPr="00871102">
          <w:rPr>
            <w:rStyle w:val="Hiperpovezava"/>
          </w:rPr>
          <w:t>Eurostat</w:t>
        </w:r>
        <w:proofErr w:type="spellEnd"/>
      </w:hyperlink>
      <w:r>
        <w:t>.</w:t>
      </w:r>
    </w:p>
    <w:p w:rsidR="00D41D8F" w:rsidRDefault="00D41D8F" w:rsidP="0029550A">
      <w:pPr>
        <w:spacing w:after="0"/>
      </w:pPr>
    </w:p>
    <w:p w:rsidR="0029550A" w:rsidRDefault="001912D3" w:rsidP="0029550A">
      <w:pPr>
        <w:spacing w:after="0"/>
      </w:pPr>
      <w:r>
        <w:t>Tabela 28</w:t>
      </w:r>
      <w:r w:rsidR="0029550A">
        <w:t xml:space="preserve"> prikazuje razlike med povprečjem EU-28 in Slovenijo za vse delovno aktivne in delovno aktivne pisatelje, novinarje, jezikoslovce, umetniške ustvarjalce in poustvarjalce. Najbolj izrazite so v dveh primerih – pri odstotku visoko izobraženih, ki jih je v Sloveniji bistveno manj, kot je povprečje EU-28 in odstotku zaposlenih za poln delovni čas, ki pa jih je bistveno več.</w:t>
      </w:r>
    </w:p>
    <w:p w:rsidR="0029550A" w:rsidRDefault="0029550A" w:rsidP="0029550A">
      <w:pPr>
        <w:spacing w:after="0" w:line="240" w:lineRule="auto"/>
      </w:pPr>
    </w:p>
    <w:p w:rsidR="0029550A" w:rsidRPr="0078047C" w:rsidRDefault="0029550A" w:rsidP="0029550A">
      <w:pPr>
        <w:pStyle w:val="Naslovtabele"/>
      </w:pPr>
      <w:bookmarkStart w:id="335" w:name="_Toc490053397"/>
      <w:bookmarkStart w:id="336" w:name="_Toc490053768"/>
      <w:bookmarkStart w:id="337" w:name="_Toc490600040"/>
      <w:r w:rsidRPr="0078047C">
        <w:t>Tabela</w:t>
      </w:r>
      <w:r w:rsidR="006D2D21">
        <w:t xml:space="preserve"> 28</w:t>
      </w:r>
      <w:r w:rsidRPr="0078047C">
        <w:t xml:space="preserve">: </w:t>
      </w:r>
      <w:proofErr w:type="spellStart"/>
      <w:r>
        <w:t>S</w:t>
      </w:r>
      <w:r w:rsidRPr="0078047C">
        <w:t>ocialnodemografske</w:t>
      </w:r>
      <w:proofErr w:type="spellEnd"/>
      <w:r w:rsidRPr="0078047C">
        <w:t xml:space="preserve"> značilnosti delovno aktivnih pisateljev, novinarjev, jezikoslovcev, umetniških ustvarjalc</w:t>
      </w:r>
      <w:r w:rsidR="00AA664E">
        <w:t>ev in poustvarjalcev (Slovenija in</w:t>
      </w:r>
      <w:r w:rsidRPr="0078047C">
        <w:t xml:space="preserve"> </w:t>
      </w:r>
      <w:r w:rsidR="00AA664E">
        <w:t xml:space="preserve">povprečje </w:t>
      </w:r>
      <w:r w:rsidRPr="0078047C">
        <w:t>EU</w:t>
      </w:r>
      <w:r w:rsidR="00AA664E">
        <w:t>–</w:t>
      </w:r>
      <w:r w:rsidRPr="0078047C">
        <w:t>28, 2015)</w:t>
      </w:r>
      <w:bookmarkEnd w:id="335"/>
      <w:bookmarkEnd w:id="336"/>
      <w:bookmarkEnd w:id="337"/>
    </w:p>
    <w:tbl>
      <w:tblPr>
        <w:tblStyle w:val="Svetelseznampoudarek3"/>
        <w:tblW w:w="0" w:type="auto"/>
        <w:tblLook w:val="04A0" w:firstRow="1" w:lastRow="0" w:firstColumn="1" w:lastColumn="0" w:noHBand="0" w:noVBand="1"/>
      </w:tblPr>
      <w:tblGrid>
        <w:gridCol w:w="2400"/>
        <w:gridCol w:w="1240"/>
        <w:gridCol w:w="2180"/>
        <w:gridCol w:w="1420"/>
        <w:gridCol w:w="1860"/>
      </w:tblGrid>
      <w:tr w:rsidR="0029550A" w:rsidRPr="00A05B62" w:rsidTr="00FE7E14">
        <w:trPr>
          <w:cnfStyle w:val="100000000000" w:firstRow="1" w:lastRow="0" w:firstColumn="0" w:lastColumn="0" w:oddVBand="0" w:evenVBand="0" w:oddHBand="0" w:evenHBand="0" w:firstRowFirstColumn="0" w:firstRowLastColumn="0" w:lastRowFirstColumn="0" w:lastRowLastColumn="0"/>
          <w:trHeight w:val="705"/>
        </w:trPr>
        <w:tc>
          <w:tcPr>
            <w:cnfStyle w:val="001000000000" w:firstRow="0" w:lastRow="0" w:firstColumn="1" w:lastColumn="0" w:oddVBand="0" w:evenVBand="0" w:oddHBand="0" w:evenHBand="0" w:firstRowFirstColumn="0" w:firstRowLastColumn="0" w:lastRowFirstColumn="0" w:lastRowLastColumn="0"/>
            <w:tcW w:w="2400" w:type="dxa"/>
            <w:vMerge w:val="restart"/>
            <w:hideMark/>
          </w:tcPr>
          <w:p w:rsidR="0029550A" w:rsidRPr="00D8609D" w:rsidRDefault="0029550A" w:rsidP="00FE7E14">
            <w:pPr>
              <w:rPr>
                <w:rFonts w:ascii="Arial Narrow" w:hAnsi="Arial Narrow"/>
                <w:bCs w:val="0"/>
                <w:sz w:val="16"/>
                <w:szCs w:val="16"/>
              </w:rPr>
            </w:pPr>
            <w:r w:rsidRPr="00D8609D">
              <w:rPr>
                <w:rFonts w:ascii="Arial Narrow" w:hAnsi="Arial Narrow"/>
                <w:bCs w:val="0"/>
                <w:sz w:val="16"/>
                <w:szCs w:val="16"/>
              </w:rPr>
              <w:t>2015</w:t>
            </w:r>
          </w:p>
        </w:tc>
        <w:tc>
          <w:tcPr>
            <w:tcW w:w="3420" w:type="dxa"/>
            <w:gridSpan w:val="2"/>
            <w:hideMark/>
          </w:tcPr>
          <w:p w:rsidR="0029550A" w:rsidRPr="00D8609D" w:rsidRDefault="0029550A" w:rsidP="00FE7E14">
            <w:pPr>
              <w:cnfStyle w:val="100000000000" w:firstRow="1" w:lastRow="0" w:firstColumn="0" w:lastColumn="0" w:oddVBand="0" w:evenVBand="0" w:oddHBand="0" w:evenHBand="0" w:firstRowFirstColumn="0" w:firstRowLastColumn="0" w:lastRowFirstColumn="0" w:lastRowLastColumn="0"/>
              <w:rPr>
                <w:rFonts w:ascii="Arial Narrow" w:hAnsi="Arial Narrow"/>
                <w:bCs w:val="0"/>
                <w:sz w:val="16"/>
                <w:szCs w:val="16"/>
              </w:rPr>
            </w:pPr>
            <w:r w:rsidRPr="00D8609D">
              <w:rPr>
                <w:rFonts w:ascii="Arial Narrow" w:hAnsi="Arial Narrow"/>
                <w:bCs w:val="0"/>
                <w:sz w:val="16"/>
                <w:szCs w:val="16"/>
              </w:rPr>
              <w:t>Vsi delovno aktivni</w:t>
            </w:r>
          </w:p>
        </w:tc>
        <w:tc>
          <w:tcPr>
            <w:tcW w:w="3280" w:type="dxa"/>
            <w:gridSpan w:val="2"/>
            <w:hideMark/>
          </w:tcPr>
          <w:p w:rsidR="0029550A" w:rsidRPr="00D8609D" w:rsidRDefault="0029550A" w:rsidP="00FE7E14">
            <w:pPr>
              <w:cnfStyle w:val="100000000000" w:firstRow="1" w:lastRow="0" w:firstColumn="0" w:lastColumn="0" w:oddVBand="0" w:evenVBand="0" w:oddHBand="0" w:evenHBand="0" w:firstRowFirstColumn="0" w:firstRowLastColumn="0" w:lastRowFirstColumn="0" w:lastRowLastColumn="0"/>
              <w:rPr>
                <w:rFonts w:ascii="Arial Narrow" w:hAnsi="Arial Narrow"/>
                <w:bCs w:val="0"/>
                <w:sz w:val="16"/>
                <w:szCs w:val="16"/>
              </w:rPr>
            </w:pPr>
            <w:r w:rsidRPr="00D8609D">
              <w:rPr>
                <w:rFonts w:ascii="Arial Narrow" w:hAnsi="Arial Narrow"/>
                <w:bCs w:val="0"/>
                <w:sz w:val="16"/>
                <w:szCs w:val="16"/>
              </w:rPr>
              <w:t>Delovno aktivni pisatelji, novinarji, jezikoslovci, umetniški ustvarjalci in poustvarjalci</w:t>
            </w:r>
          </w:p>
        </w:tc>
      </w:tr>
      <w:tr w:rsidR="0029550A" w:rsidRPr="00A05B62" w:rsidTr="00516E3A">
        <w:trPr>
          <w:cnfStyle w:val="000000100000" w:firstRow="0" w:lastRow="0" w:firstColumn="0" w:lastColumn="0" w:oddVBand="0" w:evenVBand="0" w:oddHBand="1" w:evenHBand="0" w:firstRowFirstColumn="0" w:firstRowLastColumn="0" w:lastRowFirstColumn="0" w:lastRowLastColumn="0"/>
          <w:trHeight w:val="56"/>
        </w:trPr>
        <w:tc>
          <w:tcPr>
            <w:cnfStyle w:val="001000000000" w:firstRow="0" w:lastRow="0" w:firstColumn="1" w:lastColumn="0" w:oddVBand="0" w:evenVBand="0" w:oddHBand="0" w:evenHBand="0" w:firstRowFirstColumn="0" w:firstRowLastColumn="0" w:lastRowFirstColumn="0" w:lastRowLastColumn="0"/>
            <w:tcW w:w="2400" w:type="dxa"/>
            <w:vMerge/>
            <w:hideMark/>
          </w:tcPr>
          <w:p w:rsidR="0029550A" w:rsidRPr="00D8609D" w:rsidRDefault="0029550A" w:rsidP="00FE7E14">
            <w:pPr>
              <w:spacing w:after="0" w:line="240" w:lineRule="auto"/>
              <w:rPr>
                <w:rFonts w:ascii="Arial Narrow" w:hAnsi="Arial Narrow"/>
                <w:sz w:val="16"/>
                <w:szCs w:val="16"/>
              </w:rPr>
            </w:pPr>
          </w:p>
        </w:tc>
        <w:tc>
          <w:tcPr>
            <w:tcW w:w="1240" w:type="dxa"/>
            <w:shd w:val="clear" w:color="auto" w:fill="76923C" w:themeFill="accent3" w:themeFillShade="BF"/>
            <w:hideMark/>
          </w:tcPr>
          <w:p w:rsidR="0029550A" w:rsidRPr="00D8609D" w:rsidRDefault="0029550A" w:rsidP="00FE7E1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bCs/>
                <w:color w:val="FFFFFF" w:themeColor="background1"/>
                <w:sz w:val="16"/>
                <w:szCs w:val="16"/>
              </w:rPr>
            </w:pPr>
            <w:r w:rsidRPr="00D8609D">
              <w:rPr>
                <w:rFonts w:ascii="Arial Narrow" w:hAnsi="Arial Narrow"/>
                <w:b/>
                <w:bCs/>
                <w:color w:val="FFFFFF" w:themeColor="background1"/>
                <w:sz w:val="16"/>
                <w:szCs w:val="16"/>
              </w:rPr>
              <w:t>EU-28 %</w:t>
            </w:r>
          </w:p>
        </w:tc>
        <w:tc>
          <w:tcPr>
            <w:tcW w:w="2180" w:type="dxa"/>
            <w:shd w:val="clear" w:color="auto" w:fill="76923C" w:themeFill="accent3" w:themeFillShade="BF"/>
            <w:hideMark/>
          </w:tcPr>
          <w:p w:rsidR="0029550A" w:rsidRPr="00D8609D" w:rsidRDefault="0029550A" w:rsidP="00FE7E1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bCs/>
                <w:color w:val="FFFFFF" w:themeColor="background1"/>
                <w:sz w:val="16"/>
                <w:szCs w:val="16"/>
              </w:rPr>
            </w:pPr>
            <w:r w:rsidRPr="00D8609D">
              <w:rPr>
                <w:rFonts w:ascii="Arial Narrow" w:hAnsi="Arial Narrow"/>
                <w:b/>
                <w:bCs/>
                <w:color w:val="FFFFFF" w:themeColor="background1"/>
                <w:sz w:val="16"/>
                <w:szCs w:val="16"/>
              </w:rPr>
              <w:t>Slovenija %</w:t>
            </w:r>
          </w:p>
        </w:tc>
        <w:tc>
          <w:tcPr>
            <w:tcW w:w="1420" w:type="dxa"/>
            <w:shd w:val="clear" w:color="auto" w:fill="76923C" w:themeFill="accent3" w:themeFillShade="BF"/>
            <w:hideMark/>
          </w:tcPr>
          <w:p w:rsidR="0029550A" w:rsidRPr="00D8609D" w:rsidRDefault="0029550A" w:rsidP="00FE7E1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bCs/>
                <w:color w:val="FFFFFF" w:themeColor="background1"/>
                <w:sz w:val="16"/>
                <w:szCs w:val="16"/>
              </w:rPr>
            </w:pPr>
            <w:r w:rsidRPr="00D8609D">
              <w:rPr>
                <w:rFonts w:ascii="Arial Narrow" w:hAnsi="Arial Narrow"/>
                <w:b/>
                <w:bCs/>
                <w:color w:val="FFFFFF" w:themeColor="background1"/>
                <w:sz w:val="16"/>
                <w:szCs w:val="16"/>
              </w:rPr>
              <w:t>EU-28 %</w:t>
            </w:r>
          </w:p>
        </w:tc>
        <w:tc>
          <w:tcPr>
            <w:tcW w:w="1860" w:type="dxa"/>
            <w:shd w:val="clear" w:color="auto" w:fill="76923C" w:themeFill="accent3" w:themeFillShade="BF"/>
            <w:hideMark/>
          </w:tcPr>
          <w:p w:rsidR="0029550A" w:rsidRPr="00D8609D" w:rsidRDefault="0029550A" w:rsidP="00FE7E1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bCs/>
                <w:color w:val="FFFFFF" w:themeColor="background1"/>
                <w:sz w:val="16"/>
                <w:szCs w:val="16"/>
              </w:rPr>
            </w:pPr>
            <w:r w:rsidRPr="00D8609D">
              <w:rPr>
                <w:rFonts w:ascii="Arial Narrow" w:hAnsi="Arial Narrow"/>
                <w:b/>
                <w:bCs/>
                <w:color w:val="FFFFFF" w:themeColor="background1"/>
                <w:sz w:val="16"/>
                <w:szCs w:val="16"/>
              </w:rPr>
              <w:t>Slovenija %</w:t>
            </w:r>
          </w:p>
        </w:tc>
      </w:tr>
      <w:tr w:rsidR="0029550A" w:rsidRPr="00A05B62" w:rsidTr="00516E3A">
        <w:trPr>
          <w:trHeight w:val="280"/>
        </w:trPr>
        <w:tc>
          <w:tcPr>
            <w:cnfStyle w:val="001000000000" w:firstRow="0" w:lastRow="0" w:firstColumn="1" w:lastColumn="0" w:oddVBand="0" w:evenVBand="0" w:oddHBand="0" w:evenHBand="0" w:firstRowFirstColumn="0" w:firstRowLastColumn="0" w:lastRowFirstColumn="0" w:lastRowLastColumn="0"/>
            <w:tcW w:w="2400" w:type="dxa"/>
            <w:hideMark/>
          </w:tcPr>
          <w:p w:rsidR="0029550A" w:rsidRPr="00D8609D" w:rsidRDefault="0029550A" w:rsidP="00FE7E14">
            <w:pPr>
              <w:spacing w:after="0" w:line="240" w:lineRule="auto"/>
              <w:rPr>
                <w:rFonts w:ascii="Arial Narrow" w:hAnsi="Arial Narrow"/>
                <w:b w:val="0"/>
                <w:bCs w:val="0"/>
                <w:sz w:val="16"/>
                <w:szCs w:val="16"/>
              </w:rPr>
            </w:pPr>
            <w:r w:rsidRPr="00D8609D">
              <w:rPr>
                <w:rFonts w:ascii="Arial Narrow" w:hAnsi="Arial Narrow"/>
                <w:b w:val="0"/>
                <w:bCs w:val="0"/>
                <w:sz w:val="16"/>
                <w:szCs w:val="16"/>
              </w:rPr>
              <w:t>Mladi (15-19 let)</w:t>
            </w:r>
          </w:p>
        </w:tc>
        <w:tc>
          <w:tcPr>
            <w:tcW w:w="1240" w:type="dxa"/>
            <w:hideMark/>
          </w:tcPr>
          <w:p w:rsidR="0029550A" w:rsidRPr="00D8609D" w:rsidRDefault="0029550A" w:rsidP="00FE7E1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D8609D">
              <w:rPr>
                <w:rFonts w:ascii="Arial Narrow" w:hAnsi="Arial Narrow"/>
                <w:sz w:val="16"/>
                <w:szCs w:val="16"/>
              </w:rPr>
              <w:t>19</w:t>
            </w:r>
          </w:p>
        </w:tc>
        <w:tc>
          <w:tcPr>
            <w:tcW w:w="2180" w:type="dxa"/>
            <w:hideMark/>
          </w:tcPr>
          <w:p w:rsidR="0029550A" w:rsidRPr="00D8609D" w:rsidRDefault="0029550A" w:rsidP="00FE7E1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D8609D">
              <w:rPr>
                <w:rFonts w:ascii="Arial Narrow" w:hAnsi="Arial Narrow"/>
                <w:sz w:val="16"/>
                <w:szCs w:val="16"/>
              </w:rPr>
              <w:t>17</w:t>
            </w:r>
          </w:p>
        </w:tc>
        <w:tc>
          <w:tcPr>
            <w:tcW w:w="1420" w:type="dxa"/>
            <w:hideMark/>
          </w:tcPr>
          <w:p w:rsidR="0029550A" w:rsidRPr="00D8609D" w:rsidRDefault="0029550A" w:rsidP="00FE7E1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D8609D">
              <w:rPr>
                <w:rFonts w:ascii="Arial Narrow" w:hAnsi="Arial Narrow"/>
                <w:sz w:val="16"/>
                <w:szCs w:val="16"/>
              </w:rPr>
              <w:t>17</w:t>
            </w:r>
          </w:p>
        </w:tc>
        <w:tc>
          <w:tcPr>
            <w:tcW w:w="1860" w:type="dxa"/>
            <w:hideMark/>
          </w:tcPr>
          <w:p w:rsidR="0029550A" w:rsidRPr="00D8609D" w:rsidRDefault="0029550A" w:rsidP="00FE7E1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D8609D">
              <w:rPr>
                <w:rFonts w:ascii="Arial Narrow" w:hAnsi="Arial Narrow"/>
                <w:sz w:val="16"/>
                <w:szCs w:val="16"/>
              </w:rPr>
              <w:t>11</w:t>
            </w:r>
          </w:p>
        </w:tc>
      </w:tr>
      <w:tr w:rsidR="0029550A" w:rsidRPr="00A05B62" w:rsidTr="00516E3A">
        <w:trPr>
          <w:cnfStyle w:val="000000100000" w:firstRow="0" w:lastRow="0" w:firstColumn="0" w:lastColumn="0" w:oddVBand="0" w:evenVBand="0" w:oddHBand="1" w:evenHBand="0" w:firstRowFirstColumn="0" w:firstRowLastColumn="0" w:lastRowFirstColumn="0" w:lastRowLastColumn="0"/>
          <w:trHeight w:val="84"/>
        </w:trPr>
        <w:tc>
          <w:tcPr>
            <w:cnfStyle w:val="001000000000" w:firstRow="0" w:lastRow="0" w:firstColumn="1" w:lastColumn="0" w:oddVBand="0" w:evenVBand="0" w:oddHBand="0" w:evenHBand="0" w:firstRowFirstColumn="0" w:firstRowLastColumn="0" w:lastRowFirstColumn="0" w:lastRowLastColumn="0"/>
            <w:tcW w:w="2400" w:type="dxa"/>
            <w:hideMark/>
          </w:tcPr>
          <w:p w:rsidR="0029550A" w:rsidRPr="00D8609D" w:rsidRDefault="0029550A" w:rsidP="00FE7E14">
            <w:pPr>
              <w:spacing w:after="0" w:line="240" w:lineRule="auto"/>
              <w:rPr>
                <w:rFonts w:ascii="Arial Narrow" w:hAnsi="Arial Narrow"/>
                <w:b w:val="0"/>
                <w:bCs w:val="0"/>
                <w:sz w:val="16"/>
                <w:szCs w:val="16"/>
              </w:rPr>
            </w:pPr>
            <w:r w:rsidRPr="00D8609D">
              <w:rPr>
                <w:rFonts w:ascii="Arial Narrow" w:hAnsi="Arial Narrow"/>
                <w:b w:val="0"/>
                <w:bCs w:val="0"/>
                <w:sz w:val="16"/>
                <w:szCs w:val="16"/>
              </w:rPr>
              <w:t>Visokošolska izobrazba</w:t>
            </w:r>
          </w:p>
        </w:tc>
        <w:tc>
          <w:tcPr>
            <w:tcW w:w="1240" w:type="dxa"/>
            <w:hideMark/>
          </w:tcPr>
          <w:p w:rsidR="0029550A" w:rsidRPr="00D8609D" w:rsidRDefault="0029550A" w:rsidP="00FE7E1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D8609D">
              <w:rPr>
                <w:rFonts w:ascii="Arial Narrow" w:hAnsi="Arial Narrow"/>
                <w:sz w:val="16"/>
                <w:szCs w:val="16"/>
              </w:rPr>
              <w:t>33</w:t>
            </w:r>
          </w:p>
        </w:tc>
        <w:tc>
          <w:tcPr>
            <w:tcW w:w="2180" w:type="dxa"/>
            <w:hideMark/>
          </w:tcPr>
          <w:p w:rsidR="0029550A" w:rsidRPr="00D8609D" w:rsidRDefault="0029550A" w:rsidP="00FE7E1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D8609D">
              <w:rPr>
                <w:rFonts w:ascii="Arial Narrow" w:hAnsi="Arial Narrow"/>
                <w:sz w:val="16"/>
                <w:szCs w:val="16"/>
              </w:rPr>
              <w:t>34</w:t>
            </w:r>
          </w:p>
        </w:tc>
        <w:tc>
          <w:tcPr>
            <w:tcW w:w="1420" w:type="dxa"/>
            <w:hideMark/>
          </w:tcPr>
          <w:p w:rsidR="0029550A" w:rsidRPr="00D8609D" w:rsidRDefault="0029550A" w:rsidP="00FE7E1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sz w:val="16"/>
                <w:szCs w:val="16"/>
              </w:rPr>
            </w:pPr>
            <w:r w:rsidRPr="00D8609D">
              <w:rPr>
                <w:rFonts w:ascii="Arial Narrow" w:hAnsi="Arial Narrow"/>
                <w:b/>
                <w:sz w:val="16"/>
                <w:szCs w:val="16"/>
              </w:rPr>
              <w:t>72</w:t>
            </w:r>
          </w:p>
        </w:tc>
        <w:tc>
          <w:tcPr>
            <w:tcW w:w="1860" w:type="dxa"/>
            <w:hideMark/>
          </w:tcPr>
          <w:p w:rsidR="0029550A" w:rsidRPr="00D8609D" w:rsidRDefault="0029550A" w:rsidP="00FE7E1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sz w:val="16"/>
                <w:szCs w:val="16"/>
              </w:rPr>
            </w:pPr>
            <w:r w:rsidRPr="00516E3A">
              <w:rPr>
                <w:rFonts w:ascii="Arial Narrow" w:hAnsi="Arial Narrow"/>
                <w:b/>
                <w:color w:val="4F81BD" w:themeColor="accent1"/>
                <w:sz w:val="16"/>
                <w:szCs w:val="16"/>
              </w:rPr>
              <w:t>64</w:t>
            </w:r>
          </w:p>
        </w:tc>
      </w:tr>
      <w:tr w:rsidR="0029550A" w:rsidRPr="00A05B62" w:rsidTr="00516E3A">
        <w:trPr>
          <w:trHeight w:val="50"/>
        </w:trPr>
        <w:tc>
          <w:tcPr>
            <w:cnfStyle w:val="001000000000" w:firstRow="0" w:lastRow="0" w:firstColumn="1" w:lastColumn="0" w:oddVBand="0" w:evenVBand="0" w:oddHBand="0" w:evenHBand="0" w:firstRowFirstColumn="0" w:firstRowLastColumn="0" w:lastRowFirstColumn="0" w:lastRowLastColumn="0"/>
            <w:tcW w:w="2400" w:type="dxa"/>
            <w:hideMark/>
          </w:tcPr>
          <w:p w:rsidR="0029550A" w:rsidRPr="00D8609D" w:rsidRDefault="0029550A" w:rsidP="00FE7E14">
            <w:pPr>
              <w:spacing w:after="0" w:line="240" w:lineRule="auto"/>
              <w:rPr>
                <w:rFonts w:ascii="Arial Narrow" w:hAnsi="Arial Narrow"/>
                <w:b w:val="0"/>
                <w:bCs w:val="0"/>
                <w:sz w:val="16"/>
                <w:szCs w:val="16"/>
              </w:rPr>
            </w:pPr>
            <w:r w:rsidRPr="00D8609D">
              <w:rPr>
                <w:rFonts w:ascii="Arial Narrow" w:hAnsi="Arial Narrow"/>
                <w:b w:val="0"/>
                <w:bCs w:val="0"/>
                <w:sz w:val="16"/>
                <w:szCs w:val="16"/>
              </w:rPr>
              <w:t>Stalna zaposlitev (oz. za nedoločen čas)</w:t>
            </w:r>
          </w:p>
        </w:tc>
        <w:tc>
          <w:tcPr>
            <w:tcW w:w="1240" w:type="dxa"/>
            <w:hideMark/>
          </w:tcPr>
          <w:p w:rsidR="0029550A" w:rsidRPr="00D8609D" w:rsidRDefault="0029550A" w:rsidP="00FE7E1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D8609D">
              <w:rPr>
                <w:rFonts w:ascii="Arial Narrow" w:hAnsi="Arial Narrow"/>
                <w:sz w:val="16"/>
                <w:szCs w:val="16"/>
              </w:rPr>
              <w:t>86</w:t>
            </w:r>
          </w:p>
        </w:tc>
        <w:tc>
          <w:tcPr>
            <w:tcW w:w="2180" w:type="dxa"/>
            <w:hideMark/>
          </w:tcPr>
          <w:p w:rsidR="0029550A" w:rsidRPr="00D8609D" w:rsidRDefault="0029550A" w:rsidP="00FE7E1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D8609D">
              <w:rPr>
                <w:rFonts w:ascii="Arial Narrow" w:hAnsi="Arial Narrow"/>
                <w:sz w:val="16"/>
                <w:szCs w:val="16"/>
              </w:rPr>
              <w:t>82</w:t>
            </w:r>
          </w:p>
        </w:tc>
        <w:tc>
          <w:tcPr>
            <w:tcW w:w="1420" w:type="dxa"/>
            <w:hideMark/>
          </w:tcPr>
          <w:p w:rsidR="0029550A" w:rsidRPr="00D8609D" w:rsidRDefault="0029550A" w:rsidP="00FE7E1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D8609D">
              <w:rPr>
                <w:rFonts w:ascii="Arial Narrow" w:hAnsi="Arial Narrow"/>
                <w:sz w:val="16"/>
                <w:szCs w:val="16"/>
              </w:rPr>
              <w:t>77</w:t>
            </w:r>
          </w:p>
        </w:tc>
        <w:tc>
          <w:tcPr>
            <w:tcW w:w="1860" w:type="dxa"/>
            <w:hideMark/>
          </w:tcPr>
          <w:p w:rsidR="0029550A" w:rsidRPr="00D8609D" w:rsidRDefault="0029550A" w:rsidP="00FE7E1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D8609D">
              <w:rPr>
                <w:rFonts w:ascii="Arial Narrow" w:hAnsi="Arial Narrow"/>
                <w:sz w:val="16"/>
                <w:szCs w:val="16"/>
              </w:rPr>
              <w:t>73</w:t>
            </w:r>
          </w:p>
        </w:tc>
      </w:tr>
      <w:tr w:rsidR="0029550A" w:rsidRPr="00A05B62" w:rsidTr="00516E3A">
        <w:trPr>
          <w:cnfStyle w:val="000000100000" w:firstRow="0" w:lastRow="0" w:firstColumn="0" w:lastColumn="0" w:oddVBand="0" w:evenVBand="0" w:oddHBand="1" w:evenHBand="0" w:firstRowFirstColumn="0" w:firstRowLastColumn="0" w:lastRowFirstColumn="0" w:lastRowLastColumn="0"/>
          <w:trHeight w:val="50"/>
        </w:trPr>
        <w:tc>
          <w:tcPr>
            <w:cnfStyle w:val="001000000000" w:firstRow="0" w:lastRow="0" w:firstColumn="1" w:lastColumn="0" w:oddVBand="0" w:evenVBand="0" w:oddHBand="0" w:evenHBand="0" w:firstRowFirstColumn="0" w:firstRowLastColumn="0" w:lastRowFirstColumn="0" w:lastRowLastColumn="0"/>
            <w:tcW w:w="2400" w:type="dxa"/>
            <w:hideMark/>
          </w:tcPr>
          <w:p w:rsidR="0029550A" w:rsidRPr="00D8609D" w:rsidRDefault="0029550A" w:rsidP="00FE7E14">
            <w:pPr>
              <w:spacing w:after="0" w:line="240" w:lineRule="auto"/>
              <w:rPr>
                <w:rFonts w:ascii="Arial Narrow" w:hAnsi="Arial Narrow"/>
                <w:b w:val="0"/>
                <w:bCs w:val="0"/>
                <w:sz w:val="16"/>
                <w:szCs w:val="16"/>
              </w:rPr>
            </w:pPr>
            <w:r w:rsidRPr="00D8609D">
              <w:rPr>
                <w:rFonts w:ascii="Arial Narrow" w:hAnsi="Arial Narrow"/>
                <w:b w:val="0"/>
                <w:bCs w:val="0"/>
                <w:sz w:val="16"/>
                <w:szCs w:val="16"/>
              </w:rPr>
              <w:t>Samozaposleni</w:t>
            </w:r>
          </w:p>
        </w:tc>
        <w:tc>
          <w:tcPr>
            <w:tcW w:w="1240" w:type="dxa"/>
            <w:hideMark/>
          </w:tcPr>
          <w:p w:rsidR="0029550A" w:rsidRPr="00D8609D" w:rsidRDefault="0029550A" w:rsidP="00FE7E1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D8609D">
              <w:rPr>
                <w:rFonts w:ascii="Arial Narrow" w:hAnsi="Arial Narrow"/>
                <w:sz w:val="16"/>
                <w:szCs w:val="16"/>
              </w:rPr>
              <w:t>15</w:t>
            </w:r>
          </w:p>
        </w:tc>
        <w:tc>
          <w:tcPr>
            <w:tcW w:w="2180" w:type="dxa"/>
            <w:hideMark/>
          </w:tcPr>
          <w:p w:rsidR="0029550A" w:rsidRPr="00D8609D" w:rsidRDefault="0029550A" w:rsidP="00FE7E1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D8609D">
              <w:rPr>
                <w:rFonts w:ascii="Arial Narrow" w:hAnsi="Arial Narrow"/>
                <w:sz w:val="16"/>
                <w:szCs w:val="16"/>
              </w:rPr>
              <w:t>13</w:t>
            </w:r>
          </w:p>
        </w:tc>
        <w:tc>
          <w:tcPr>
            <w:tcW w:w="1420" w:type="dxa"/>
            <w:hideMark/>
          </w:tcPr>
          <w:p w:rsidR="0029550A" w:rsidRPr="00D8609D" w:rsidRDefault="0029550A" w:rsidP="00FE7E1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D8609D">
              <w:rPr>
                <w:rFonts w:ascii="Arial Narrow" w:hAnsi="Arial Narrow"/>
                <w:sz w:val="16"/>
                <w:szCs w:val="16"/>
              </w:rPr>
              <w:t>48</w:t>
            </w:r>
          </w:p>
        </w:tc>
        <w:tc>
          <w:tcPr>
            <w:tcW w:w="1860" w:type="dxa"/>
            <w:hideMark/>
          </w:tcPr>
          <w:p w:rsidR="0029550A" w:rsidRPr="00D8609D" w:rsidRDefault="0029550A" w:rsidP="00FE7E1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D8609D">
              <w:rPr>
                <w:rFonts w:ascii="Arial Narrow" w:hAnsi="Arial Narrow"/>
                <w:sz w:val="16"/>
                <w:szCs w:val="16"/>
              </w:rPr>
              <w:t>42</w:t>
            </w:r>
          </w:p>
        </w:tc>
      </w:tr>
      <w:tr w:rsidR="0029550A" w:rsidRPr="00A05B62" w:rsidTr="00516E3A">
        <w:trPr>
          <w:trHeight w:val="50"/>
        </w:trPr>
        <w:tc>
          <w:tcPr>
            <w:cnfStyle w:val="001000000000" w:firstRow="0" w:lastRow="0" w:firstColumn="1" w:lastColumn="0" w:oddVBand="0" w:evenVBand="0" w:oddHBand="0" w:evenHBand="0" w:firstRowFirstColumn="0" w:firstRowLastColumn="0" w:lastRowFirstColumn="0" w:lastRowLastColumn="0"/>
            <w:tcW w:w="2400" w:type="dxa"/>
            <w:hideMark/>
          </w:tcPr>
          <w:p w:rsidR="0029550A" w:rsidRPr="00D8609D" w:rsidRDefault="0029550A" w:rsidP="00FE7E14">
            <w:pPr>
              <w:spacing w:after="0" w:line="240" w:lineRule="auto"/>
              <w:rPr>
                <w:rFonts w:ascii="Arial Narrow" w:hAnsi="Arial Narrow"/>
                <w:b w:val="0"/>
                <w:bCs w:val="0"/>
                <w:sz w:val="16"/>
                <w:szCs w:val="16"/>
              </w:rPr>
            </w:pPr>
            <w:r w:rsidRPr="00D8609D">
              <w:rPr>
                <w:rFonts w:ascii="Arial Narrow" w:hAnsi="Arial Narrow"/>
                <w:b w:val="0"/>
                <w:bCs w:val="0"/>
                <w:sz w:val="16"/>
                <w:szCs w:val="16"/>
              </w:rPr>
              <w:t>Poln delovni čas</w:t>
            </w:r>
          </w:p>
        </w:tc>
        <w:tc>
          <w:tcPr>
            <w:tcW w:w="1240" w:type="dxa"/>
            <w:hideMark/>
          </w:tcPr>
          <w:p w:rsidR="0029550A" w:rsidRPr="00D8609D" w:rsidRDefault="0029550A" w:rsidP="00FE7E1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sz w:val="16"/>
                <w:szCs w:val="16"/>
              </w:rPr>
            </w:pPr>
            <w:r w:rsidRPr="00D8609D">
              <w:rPr>
                <w:rFonts w:ascii="Arial Narrow" w:hAnsi="Arial Narrow"/>
                <w:b/>
                <w:sz w:val="16"/>
                <w:szCs w:val="16"/>
              </w:rPr>
              <w:t>80</w:t>
            </w:r>
          </w:p>
        </w:tc>
        <w:tc>
          <w:tcPr>
            <w:tcW w:w="2180" w:type="dxa"/>
            <w:hideMark/>
          </w:tcPr>
          <w:p w:rsidR="0029550A" w:rsidRPr="00516E3A" w:rsidRDefault="0029550A" w:rsidP="00FE7E1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color w:val="4F81BD" w:themeColor="accent1"/>
                <w:sz w:val="16"/>
                <w:szCs w:val="16"/>
              </w:rPr>
            </w:pPr>
            <w:r w:rsidRPr="00516E3A">
              <w:rPr>
                <w:rFonts w:ascii="Arial Narrow" w:hAnsi="Arial Narrow"/>
                <w:b/>
                <w:color w:val="4F81BD" w:themeColor="accent1"/>
                <w:sz w:val="16"/>
                <w:szCs w:val="16"/>
              </w:rPr>
              <w:t>89</w:t>
            </w:r>
          </w:p>
        </w:tc>
        <w:tc>
          <w:tcPr>
            <w:tcW w:w="1420" w:type="dxa"/>
            <w:hideMark/>
          </w:tcPr>
          <w:p w:rsidR="0029550A" w:rsidRPr="00D8609D" w:rsidRDefault="0029550A" w:rsidP="00FE7E1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sz w:val="16"/>
                <w:szCs w:val="16"/>
              </w:rPr>
            </w:pPr>
            <w:r w:rsidRPr="00D8609D">
              <w:rPr>
                <w:rFonts w:ascii="Arial Narrow" w:hAnsi="Arial Narrow"/>
                <w:b/>
                <w:sz w:val="16"/>
                <w:szCs w:val="16"/>
              </w:rPr>
              <w:t>70</w:t>
            </w:r>
          </w:p>
        </w:tc>
        <w:tc>
          <w:tcPr>
            <w:tcW w:w="1860" w:type="dxa"/>
            <w:hideMark/>
          </w:tcPr>
          <w:p w:rsidR="0029550A" w:rsidRPr="00D8609D" w:rsidRDefault="0029550A" w:rsidP="00FE7E14">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sz w:val="16"/>
                <w:szCs w:val="16"/>
              </w:rPr>
            </w:pPr>
            <w:r w:rsidRPr="00516E3A">
              <w:rPr>
                <w:rFonts w:ascii="Arial Narrow" w:hAnsi="Arial Narrow"/>
                <w:b/>
                <w:color w:val="4F81BD" w:themeColor="accent1"/>
                <w:sz w:val="16"/>
                <w:szCs w:val="16"/>
              </w:rPr>
              <w:t>91</w:t>
            </w:r>
          </w:p>
        </w:tc>
      </w:tr>
      <w:tr w:rsidR="0029550A" w:rsidRPr="00A05B62" w:rsidTr="00516E3A">
        <w:trPr>
          <w:cnfStyle w:val="000000100000" w:firstRow="0" w:lastRow="0" w:firstColumn="0" w:lastColumn="0" w:oddVBand="0" w:evenVBand="0" w:oddHBand="1" w:evenHBand="0" w:firstRowFirstColumn="0" w:firstRowLastColumn="0" w:lastRowFirstColumn="0" w:lastRowLastColumn="0"/>
          <w:trHeight w:val="50"/>
        </w:trPr>
        <w:tc>
          <w:tcPr>
            <w:cnfStyle w:val="001000000000" w:firstRow="0" w:lastRow="0" w:firstColumn="1" w:lastColumn="0" w:oddVBand="0" w:evenVBand="0" w:oddHBand="0" w:evenHBand="0" w:firstRowFirstColumn="0" w:firstRowLastColumn="0" w:lastRowFirstColumn="0" w:lastRowLastColumn="0"/>
            <w:tcW w:w="2400" w:type="dxa"/>
            <w:hideMark/>
          </w:tcPr>
          <w:p w:rsidR="0029550A" w:rsidRPr="00D8609D" w:rsidRDefault="0029550A" w:rsidP="00FE7E14">
            <w:pPr>
              <w:spacing w:after="0" w:line="240" w:lineRule="auto"/>
              <w:rPr>
                <w:rFonts w:ascii="Arial Narrow" w:hAnsi="Arial Narrow"/>
                <w:b w:val="0"/>
                <w:bCs w:val="0"/>
                <w:sz w:val="16"/>
                <w:szCs w:val="16"/>
              </w:rPr>
            </w:pPr>
            <w:r w:rsidRPr="00D8609D">
              <w:rPr>
                <w:rFonts w:ascii="Arial Narrow" w:hAnsi="Arial Narrow"/>
                <w:b w:val="0"/>
                <w:bCs w:val="0"/>
                <w:sz w:val="16"/>
                <w:szCs w:val="16"/>
              </w:rPr>
              <w:t>Ena zaposlitev/služba</w:t>
            </w:r>
          </w:p>
        </w:tc>
        <w:tc>
          <w:tcPr>
            <w:tcW w:w="1240" w:type="dxa"/>
            <w:hideMark/>
          </w:tcPr>
          <w:p w:rsidR="0029550A" w:rsidRPr="00D8609D" w:rsidRDefault="0029550A" w:rsidP="00FE7E1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D8609D">
              <w:rPr>
                <w:rFonts w:ascii="Arial Narrow" w:hAnsi="Arial Narrow"/>
                <w:sz w:val="16"/>
                <w:szCs w:val="16"/>
              </w:rPr>
              <w:t>96</w:t>
            </w:r>
          </w:p>
        </w:tc>
        <w:tc>
          <w:tcPr>
            <w:tcW w:w="2180" w:type="dxa"/>
            <w:hideMark/>
          </w:tcPr>
          <w:p w:rsidR="0029550A" w:rsidRPr="00D8609D" w:rsidRDefault="0029550A" w:rsidP="00FE7E1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D8609D">
              <w:rPr>
                <w:rFonts w:ascii="Arial Narrow" w:hAnsi="Arial Narrow"/>
                <w:sz w:val="16"/>
                <w:szCs w:val="16"/>
              </w:rPr>
              <w:t>97</w:t>
            </w:r>
          </w:p>
        </w:tc>
        <w:tc>
          <w:tcPr>
            <w:tcW w:w="1420" w:type="dxa"/>
            <w:hideMark/>
          </w:tcPr>
          <w:p w:rsidR="0029550A" w:rsidRPr="00D8609D" w:rsidRDefault="0029550A" w:rsidP="00FE7E1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D8609D">
              <w:rPr>
                <w:rFonts w:ascii="Arial Narrow" w:hAnsi="Arial Narrow"/>
                <w:sz w:val="16"/>
                <w:szCs w:val="16"/>
              </w:rPr>
              <w:t>90</w:t>
            </w:r>
          </w:p>
        </w:tc>
        <w:tc>
          <w:tcPr>
            <w:tcW w:w="1860" w:type="dxa"/>
            <w:hideMark/>
          </w:tcPr>
          <w:p w:rsidR="0029550A" w:rsidRPr="00D8609D" w:rsidRDefault="0029550A" w:rsidP="00FE7E14">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D8609D">
              <w:rPr>
                <w:rFonts w:ascii="Arial Narrow" w:hAnsi="Arial Narrow"/>
                <w:sz w:val="16"/>
                <w:szCs w:val="16"/>
              </w:rPr>
              <w:t>95</w:t>
            </w:r>
          </w:p>
        </w:tc>
      </w:tr>
    </w:tbl>
    <w:p w:rsidR="0029550A" w:rsidRDefault="0029550A" w:rsidP="0029550A">
      <w:pPr>
        <w:pStyle w:val="Podpispodtabeloaligrafom"/>
      </w:pPr>
      <w:r>
        <w:t xml:space="preserve">Vir: </w:t>
      </w:r>
      <w:hyperlink r:id="rId59" w:history="1">
        <w:proofErr w:type="spellStart"/>
        <w:r w:rsidRPr="00871102">
          <w:rPr>
            <w:rStyle w:val="Hiperpovezava"/>
          </w:rPr>
          <w:t>Eurostat</w:t>
        </w:r>
        <w:proofErr w:type="spellEnd"/>
      </w:hyperlink>
      <w:r>
        <w:t>.</w:t>
      </w:r>
    </w:p>
    <w:p w:rsidR="0029550A" w:rsidRDefault="0029550A" w:rsidP="0029550A">
      <w:pPr>
        <w:spacing w:after="0" w:line="240" w:lineRule="auto"/>
      </w:pPr>
    </w:p>
    <w:p w:rsidR="0029550A" w:rsidRPr="003F3CB2" w:rsidRDefault="0029550A" w:rsidP="00A80465">
      <w:pPr>
        <w:pStyle w:val="Podnaslov2"/>
      </w:pPr>
      <w:bookmarkStart w:id="338" w:name="_Toc489859835"/>
      <w:bookmarkStart w:id="339" w:name="_Toc490047598"/>
      <w:bookmarkStart w:id="340" w:name="_Toc490599962"/>
      <w:bookmarkStart w:id="341" w:name="_Toc506192092"/>
      <w:r w:rsidRPr="003F3CB2">
        <w:t>Delovno aktivni v kulturi po Statističnem registru delovno aktivnega prebivalstva</w:t>
      </w:r>
      <w:bookmarkEnd w:id="338"/>
      <w:bookmarkEnd w:id="339"/>
      <w:bookmarkEnd w:id="340"/>
      <w:bookmarkEnd w:id="341"/>
    </w:p>
    <w:p w:rsidR="0029550A" w:rsidRDefault="00AA664E" w:rsidP="0029550A">
      <w:r>
        <w:t xml:space="preserve">Slovenski </w:t>
      </w:r>
      <w:r w:rsidR="0029550A">
        <w:t xml:space="preserve">Statistični register delovno aktivnega prebivalstva (SRDAP) je konec leta 2015 beležil </w:t>
      </w:r>
      <w:r w:rsidR="0029550A" w:rsidRPr="001E6411">
        <w:t xml:space="preserve">25.282 </w:t>
      </w:r>
      <w:r w:rsidR="0029550A">
        <w:t xml:space="preserve">delovno aktivnih v kulturi. Kot rečeno </w:t>
      </w:r>
      <w:r w:rsidR="0029550A" w:rsidRPr="0037430B">
        <w:t xml:space="preserve">uporablja register drugačno metodologijo </w:t>
      </w:r>
      <w:r w:rsidR="0029550A">
        <w:t>od</w:t>
      </w:r>
      <w:r w:rsidR="0029550A" w:rsidRPr="0037430B">
        <w:t xml:space="preserve"> Anket</w:t>
      </w:r>
      <w:r w:rsidR="0029550A">
        <w:t>e</w:t>
      </w:r>
      <w:r w:rsidR="0029550A" w:rsidRPr="0037430B">
        <w:t xml:space="preserve"> o delovni sili, zato se njuni podatki razlikujejo. Ključna razlika med njimi v pričujoči analizi je, da anketa med delovno aktivne v kulturi šteje osebe, ki imajo izobrazbo s področja kulture oz. umetnosti ne glede na dejavnost</w:t>
      </w:r>
      <w:r w:rsidR="0029550A">
        <w:t>,</w:t>
      </w:r>
      <w:r w:rsidR="0029550A" w:rsidRPr="0037430B">
        <w:t xml:space="preserve"> v kateri so zaposleni, registrski podatki pa se nanašajo na vse delovne aktivne v dejavnostih, ki jih (na podlagi priporočil projekta </w:t>
      </w:r>
      <w:proofErr w:type="spellStart"/>
      <w:r w:rsidR="0029550A" w:rsidRPr="0037430B">
        <w:t>ESSnet</w:t>
      </w:r>
      <w:proofErr w:type="spellEnd"/>
      <w:r w:rsidR="0029550A" w:rsidRPr="0037430B">
        <w:t>)</w:t>
      </w:r>
      <w:r w:rsidR="0029550A" w:rsidRPr="0037430B">
        <w:rPr>
          <w:rStyle w:val="Sprotnaopomba-sklic"/>
        </w:rPr>
        <w:footnoteReference w:id="50"/>
      </w:r>
      <w:r w:rsidR="0029550A" w:rsidRPr="0037430B">
        <w:t xml:space="preserve"> uvrščamo na področje kulture.</w:t>
      </w:r>
    </w:p>
    <w:p w:rsidR="0029550A" w:rsidRDefault="00C13ADD" w:rsidP="0029550A">
      <w:pPr>
        <w:sectPr w:rsidR="0029550A" w:rsidSect="00454DA6">
          <w:pgSz w:w="11907" w:h="16839" w:code="9"/>
          <w:pgMar w:top="1417" w:right="1417" w:bottom="1417" w:left="1417" w:header="708" w:footer="708" w:gutter="0"/>
          <w:cols w:space="708"/>
          <w:docGrid w:linePitch="360"/>
        </w:sectPr>
      </w:pPr>
      <w:r>
        <w:t>V tabeli 29</w:t>
      </w:r>
      <w:r w:rsidR="0029550A">
        <w:t xml:space="preserve"> vidimo, da se je </w:t>
      </w:r>
      <w:r w:rsidR="0029550A" w:rsidRPr="0037430B">
        <w:t>štev</w:t>
      </w:r>
      <w:r w:rsidR="0029550A">
        <w:t xml:space="preserve">ilo delovno aktivnih v kulturi v Sloveniji </w:t>
      </w:r>
      <w:r w:rsidR="0029550A" w:rsidRPr="0037430B">
        <w:t xml:space="preserve">v obdobju </w:t>
      </w:r>
      <w:r w:rsidR="0029550A">
        <w:t xml:space="preserve">od leta 2008 do leta </w:t>
      </w:r>
      <w:r w:rsidR="0029550A" w:rsidRPr="0037430B">
        <w:t>2015 povečalo</w:t>
      </w:r>
      <w:r w:rsidR="0029550A">
        <w:t xml:space="preserve"> iz 24.234</w:t>
      </w:r>
      <w:r w:rsidR="0029550A" w:rsidRPr="00C83B71">
        <w:t xml:space="preserve"> oseb na </w:t>
      </w:r>
      <w:r w:rsidR="0029550A">
        <w:t>25.282</w:t>
      </w:r>
      <w:r w:rsidR="0029550A" w:rsidRPr="00C83B71">
        <w:t xml:space="preserve"> oseb oz. za </w:t>
      </w:r>
      <w:r w:rsidR="0029550A">
        <w:t>4,3</w:t>
      </w:r>
      <w:r w:rsidR="0029550A" w:rsidRPr="00C83B71">
        <w:t xml:space="preserve"> %,</w:t>
      </w:r>
      <w:r w:rsidR="0029550A">
        <w:t xml:space="preserve"> medtem, ko se je število vseh delovno aktivnih v vseh dejavnostih skupaj zmanjšalo iz </w:t>
      </w:r>
      <w:r w:rsidR="0029550A" w:rsidRPr="007A6052">
        <w:t>880.252 na 803.644 oseb</w:t>
      </w:r>
      <w:r w:rsidR="0029550A">
        <w:t xml:space="preserve"> oziroma </w:t>
      </w:r>
      <w:r w:rsidR="0029550A" w:rsidRPr="00DF0DB9">
        <w:t xml:space="preserve">za </w:t>
      </w:r>
      <w:r w:rsidR="0029550A">
        <w:t>8,7</w:t>
      </w:r>
      <w:r w:rsidR="0029550A" w:rsidRPr="00DF0DB9">
        <w:t xml:space="preserve"> %.</w:t>
      </w:r>
      <w:r w:rsidR="0029550A" w:rsidRPr="00DF0DB9">
        <w:rPr>
          <w:rStyle w:val="Sprotnaopomba-sklic"/>
        </w:rPr>
        <w:footnoteReference w:id="51"/>
      </w:r>
      <w:r w:rsidR="0029550A">
        <w:t xml:space="preserve"> Število delovno aktivnih v kulturi se je zvišalo</w:t>
      </w:r>
      <w:r w:rsidR="0029550A">
        <w:rPr>
          <w:rStyle w:val="Sprotnaopomba-sklic"/>
        </w:rPr>
        <w:footnoteReference w:id="52"/>
      </w:r>
      <w:r w:rsidR="0029550A">
        <w:t xml:space="preserve"> na večini področij, razen v enem ali dveh, kjer se je zmanjšalo. Zagotovo se je zmanjšalo na področju arhitekture in urbanizma, verjetno pa tudi na področju knjige in tiska. Namreč, </w:t>
      </w:r>
      <w:proofErr w:type="spellStart"/>
      <w:r w:rsidR="0029550A">
        <w:rPr>
          <w:lang w:val="en-US"/>
        </w:rPr>
        <w:t>ker</w:t>
      </w:r>
      <w:proofErr w:type="spellEnd"/>
      <w:r w:rsidR="0029550A">
        <w:rPr>
          <w:lang w:val="en-US"/>
        </w:rPr>
        <w:t xml:space="preserve"> je </w:t>
      </w:r>
      <w:proofErr w:type="spellStart"/>
      <w:r w:rsidR="0029550A">
        <w:rPr>
          <w:lang w:val="en-US"/>
        </w:rPr>
        <w:t>podatek</w:t>
      </w:r>
      <w:proofErr w:type="spellEnd"/>
      <w:r w:rsidR="0029550A">
        <w:rPr>
          <w:lang w:val="en-US"/>
        </w:rPr>
        <w:t xml:space="preserve"> </w:t>
      </w:r>
      <w:proofErr w:type="spellStart"/>
      <w:r w:rsidR="0029550A">
        <w:rPr>
          <w:lang w:val="en-US"/>
        </w:rPr>
        <w:t>za</w:t>
      </w:r>
      <w:proofErr w:type="spellEnd"/>
      <w:r w:rsidR="0029550A">
        <w:rPr>
          <w:lang w:val="en-US"/>
        </w:rPr>
        <w:t xml:space="preserve"> </w:t>
      </w:r>
      <w:proofErr w:type="spellStart"/>
      <w:r w:rsidR="0029550A">
        <w:rPr>
          <w:lang w:val="en-US"/>
        </w:rPr>
        <w:t>leto</w:t>
      </w:r>
      <w:proofErr w:type="spellEnd"/>
      <w:r w:rsidR="0029550A">
        <w:rPr>
          <w:lang w:val="en-US"/>
        </w:rPr>
        <w:t xml:space="preserve"> 2015 </w:t>
      </w:r>
      <w:proofErr w:type="spellStart"/>
      <w:r w:rsidR="0029550A">
        <w:rPr>
          <w:lang w:val="en-US"/>
        </w:rPr>
        <w:t>za</w:t>
      </w:r>
      <w:proofErr w:type="spellEnd"/>
      <w:r w:rsidR="0029550A">
        <w:rPr>
          <w:lang w:val="en-US"/>
        </w:rPr>
        <w:t xml:space="preserve"> </w:t>
      </w:r>
      <w:proofErr w:type="spellStart"/>
      <w:r w:rsidR="0029550A">
        <w:rPr>
          <w:lang w:val="en-US"/>
        </w:rPr>
        <w:t>dejavnost</w:t>
      </w:r>
      <w:proofErr w:type="spellEnd"/>
      <w:r w:rsidR="0029550A">
        <w:rPr>
          <w:lang w:val="en-US"/>
        </w:rPr>
        <w:t xml:space="preserve"> </w:t>
      </w:r>
      <w:proofErr w:type="spellStart"/>
      <w:r w:rsidR="0029550A">
        <w:rPr>
          <w:lang w:val="en-US"/>
        </w:rPr>
        <w:t>Izdajanje</w:t>
      </w:r>
      <w:proofErr w:type="spellEnd"/>
      <w:r w:rsidR="0029550A">
        <w:rPr>
          <w:lang w:val="en-US"/>
        </w:rPr>
        <w:t xml:space="preserve"> </w:t>
      </w:r>
      <w:proofErr w:type="spellStart"/>
      <w:r w:rsidR="0029550A">
        <w:rPr>
          <w:lang w:val="en-US"/>
        </w:rPr>
        <w:t>časopisov</w:t>
      </w:r>
      <w:proofErr w:type="spellEnd"/>
      <w:r w:rsidR="0029550A">
        <w:rPr>
          <w:lang w:val="en-US"/>
        </w:rPr>
        <w:t xml:space="preserve"> </w:t>
      </w:r>
      <w:proofErr w:type="spellStart"/>
      <w:r w:rsidR="0029550A">
        <w:rPr>
          <w:lang w:val="en-US"/>
        </w:rPr>
        <w:t>statistično</w:t>
      </w:r>
      <w:proofErr w:type="spellEnd"/>
      <w:r w:rsidR="0029550A">
        <w:rPr>
          <w:lang w:val="en-US"/>
        </w:rPr>
        <w:t xml:space="preserve"> </w:t>
      </w:r>
      <w:proofErr w:type="spellStart"/>
      <w:r w:rsidR="0029550A">
        <w:rPr>
          <w:lang w:val="en-US"/>
        </w:rPr>
        <w:t>zaupen</w:t>
      </w:r>
      <w:proofErr w:type="spellEnd"/>
      <w:r w:rsidR="0029550A">
        <w:rPr>
          <w:lang w:val="en-US"/>
        </w:rPr>
        <w:t xml:space="preserve">, ne </w:t>
      </w:r>
      <w:proofErr w:type="spellStart"/>
      <w:r w:rsidR="0029550A">
        <w:rPr>
          <w:lang w:val="en-US"/>
        </w:rPr>
        <w:t>vemo</w:t>
      </w:r>
      <w:proofErr w:type="spellEnd"/>
      <w:r w:rsidR="0029550A">
        <w:rPr>
          <w:lang w:val="en-US"/>
        </w:rPr>
        <w:t xml:space="preserve">, </w:t>
      </w:r>
      <w:proofErr w:type="spellStart"/>
      <w:r w:rsidR="0029550A">
        <w:rPr>
          <w:lang w:val="en-US"/>
        </w:rPr>
        <w:t>za</w:t>
      </w:r>
      <w:proofErr w:type="spellEnd"/>
      <w:r w:rsidR="0029550A">
        <w:rPr>
          <w:lang w:val="en-US"/>
        </w:rPr>
        <w:t xml:space="preserve"> </w:t>
      </w:r>
      <w:proofErr w:type="spellStart"/>
      <w:r w:rsidR="0029550A">
        <w:rPr>
          <w:lang w:val="en-US"/>
        </w:rPr>
        <w:t>koliko</w:t>
      </w:r>
      <w:proofErr w:type="spellEnd"/>
      <w:r w:rsidR="0029550A">
        <w:rPr>
          <w:lang w:val="en-US"/>
        </w:rPr>
        <w:t xml:space="preserve"> se je </w:t>
      </w:r>
      <w:proofErr w:type="spellStart"/>
      <w:r w:rsidR="0029550A">
        <w:rPr>
          <w:lang w:val="en-US"/>
        </w:rPr>
        <w:t>spremenilo</w:t>
      </w:r>
      <w:proofErr w:type="spellEnd"/>
      <w:r w:rsidR="0029550A">
        <w:rPr>
          <w:lang w:val="en-US"/>
        </w:rPr>
        <w:t xml:space="preserve"> </w:t>
      </w:r>
      <w:proofErr w:type="spellStart"/>
      <w:r w:rsidR="0029550A">
        <w:rPr>
          <w:lang w:val="en-US"/>
        </w:rPr>
        <w:t>skupno</w:t>
      </w:r>
      <w:proofErr w:type="spellEnd"/>
      <w:r w:rsidR="0029550A">
        <w:rPr>
          <w:lang w:val="en-US"/>
        </w:rPr>
        <w:t xml:space="preserve"> </w:t>
      </w:r>
      <w:proofErr w:type="spellStart"/>
      <w:r w:rsidR="0029550A">
        <w:rPr>
          <w:lang w:val="en-US"/>
        </w:rPr>
        <w:t>število</w:t>
      </w:r>
      <w:proofErr w:type="spellEnd"/>
      <w:r w:rsidR="0029550A">
        <w:rPr>
          <w:lang w:val="en-US"/>
        </w:rPr>
        <w:t xml:space="preserve"> </w:t>
      </w:r>
      <w:proofErr w:type="spellStart"/>
      <w:r w:rsidR="0029550A">
        <w:rPr>
          <w:lang w:val="en-US"/>
        </w:rPr>
        <w:t>zaposlenih</w:t>
      </w:r>
      <w:proofErr w:type="spellEnd"/>
      <w:r w:rsidR="0029550A">
        <w:rPr>
          <w:lang w:val="en-US"/>
        </w:rPr>
        <w:t xml:space="preserve"> </w:t>
      </w:r>
      <w:proofErr w:type="spellStart"/>
      <w:r w:rsidR="0029550A">
        <w:rPr>
          <w:lang w:val="en-US"/>
        </w:rPr>
        <w:t>na</w:t>
      </w:r>
      <w:proofErr w:type="spellEnd"/>
      <w:r w:rsidR="0029550A">
        <w:rPr>
          <w:lang w:val="en-US"/>
        </w:rPr>
        <w:t xml:space="preserve"> </w:t>
      </w:r>
      <w:proofErr w:type="spellStart"/>
      <w:r w:rsidR="0029550A">
        <w:rPr>
          <w:lang w:val="en-US"/>
        </w:rPr>
        <w:t>področju</w:t>
      </w:r>
      <w:proofErr w:type="spellEnd"/>
      <w:r w:rsidR="0029550A">
        <w:rPr>
          <w:lang w:val="en-US"/>
        </w:rPr>
        <w:t xml:space="preserve"> </w:t>
      </w:r>
      <w:proofErr w:type="spellStart"/>
      <w:r w:rsidR="0029550A">
        <w:rPr>
          <w:lang w:val="en-US"/>
        </w:rPr>
        <w:t>Knjige</w:t>
      </w:r>
      <w:proofErr w:type="spellEnd"/>
      <w:r w:rsidR="0029550A">
        <w:rPr>
          <w:lang w:val="en-US"/>
        </w:rPr>
        <w:t xml:space="preserve"> in </w:t>
      </w:r>
      <w:proofErr w:type="spellStart"/>
      <w:r w:rsidR="0029550A">
        <w:rPr>
          <w:lang w:val="en-US"/>
        </w:rPr>
        <w:t>tiska</w:t>
      </w:r>
      <w:proofErr w:type="spellEnd"/>
      <w:r w:rsidR="0029550A">
        <w:rPr>
          <w:lang w:val="en-US"/>
        </w:rPr>
        <w:t>.</w:t>
      </w:r>
      <w:r w:rsidR="000E54E2">
        <w:rPr>
          <w:rStyle w:val="Sprotnaopomba-sklic"/>
          <w:lang w:val="en-US"/>
        </w:rPr>
        <w:footnoteReference w:id="53"/>
      </w:r>
      <w:r w:rsidR="0029550A">
        <w:t xml:space="preserve"> </w:t>
      </w:r>
    </w:p>
    <w:p w:rsidR="0029550A" w:rsidRDefault="006D2D21" w:rsidP="0029550A">
      <w:pPr>
        <w:pStyle w:val="Naslovtabele"/>
      </w:pPr>
      <w:bookmarkStart w:id="342" w:name="_Toc477339496"/>
      <w:bookmarkStart w:id="343" w:name="_Toc477339752"/>
      <w:bookmarkStart w:id="344" w:name="_Toc477339920"/>
      <w:bookmarkStart w:id="345" w:name="_Toc490053398"/>
      <w:bookmarkStart w:id="346" w:name="_Toc490053769"/>
      <w:bookmarkStart w:id="347" w:name="_Toc490600041"/>
      <w:r>
        <w:t>Tabela 29</w:t>
      </w:r>
      <w:r w:rsidR="0029550A" w:rsidRPr="008200A6">
        <w:t>: Del</w:t>
      </w:r>
      <w:r w:rsidR="005437FC" w:rsidRPr="008200A6">
        <w:t xml:space="preserve">ovno aktivni v </w:t>
      </w:r>
      <w:r w:rsidR="009A504D">
        <w:t>kulturnih dejavnostih</w:t>
      </w:r>
      <w:r w:rsidR="005437FC" w:rsidRPr="008200A6">
        <w:t xml:space="preserve"> po </w:t>
      </w:r>
      <w:r w:rsidR="0031631F">
        <w:t>Statističnem regist</w:t>
      </w:r>
      <w:r w:rsidR="0031631F" w:rsidRPr="0031631F">
        <w:t>r</w:t>
      </w:r>
      <w:r w:rsidR="0031631F">
        <w:t>u</w:t>
      </w:r>
      <w:r w:rsidR="0031631F" w:rsidRPr="0031631F">
        <w:t xml:space="preserve"> delovno aktivnega prebivalstva</w:t>
      </w:r>
      <w:r w:rsidR="0029550A" w:rsidRPr="008200A6">
        <w:t xml:space="preserve"> </w:t>
      </w:r>
      <w:r w:rsidR="005437FC" w:rsidRPr="008200A6">
        <w:t>(</w:t>
      </w:r>
      <w:r w:rsidR="0029550A" w:rsidRPr="008200A6">
        <w:t>2008–2015</w:t>
      </w:r>
      <w:bookmarkEnd w:id="342"/>
      <w:bookmarkEnd w:id="343"/>
      <w:bookmarkEnd w:id="344"/>
      <w:r w:rsidR="005437FC" w:rsidRPr="008200A6">
        <w:t>)</w:t>
      </w:r>
      <w:bookmarkEnd w:id="345"/>
      <w:bookmarkEnd w:id="346"/>
      <w:bookmarkEnd w:id="347"/>
    </w:p>
    <w:p w:rsidR="0029550A" w:rsidRPr="00CC1495" w:rsidRDefault="0029550A" w:rsidP="0029550A">
      <w:pPr>
        <w:spacing w:after="0" w:line="240" w:lineRule="auto"/>
        <w:rPr>
          <w:b/>
        </w:rPr>
      </w:pPr>
    </w:p>
    <w:tbl>
      <w:tblPr>
        <w:tblStyle w:val="ListTable3-Accent31"/>
        <w:tblW w:w="4806" w:type="pct"/>
        <w:tblLayout w:type="fixed"/>
        <w:tblLook w:val="04A0" w:firstRow="1" w:lastRow="0" w:firstColumn="1" w:lastColumn="0" w:noHBand="0" w:noVBand="1"/>
      </w:tblPr>
      <w:tblGrid>
        <w:gridCol w:w="1701"/>
        <w:gridCol w:w="1080"/>
        <w:gridCol w:w="2426"/>
        <w:gridCol w:w="1145"/>
        <w:gridCol w:w="1277"/>
        <w:gridCol w:w="1280"/>
        <w:gridCol w:w="1136"/>
        <w:gridCol w:w="1139"/>
        <w:gridCol w:w="1418"/>
        <w:gridCol w:w="1280"/>
        <w:gridCol w:w="1109"/>
      </w:tblGrid>
      <w:tr w:rsidR="008200A6" w:rsidRPr="00CC1495" w:rsidTr="00C2798B">
        <w:trPr>
          <w:cnfStyle w:val="100000000000" w:firstRow="1" w:lastRow="0" w:firstColumn="0" w:lastColumn="0" w:oddVBand="0" w:evenVBand="0" w:oddHBand="0" w:evenHBand="0" w:firstRowFirstColumn="0" w:firstRowLastColumn="0" w:lastRowFirstColumn="0" w:lastRowLastColumn="0"/>
          <w:trHeight w:val="1134"/>
          <w:tblHeader/>
        </w:trPr>
        <w:tc>
          <w:tcPr>
            <w:cnfStyle w:val="001000000100" w:firstRow="0" w:lastRow="0" w:firstColumn="1" w:lastColumn="0" w:oddVBand="0" w:evenVBand="0" w:oddHBand="0" w:evenHBand="0" w:firstRowFirstColumn="1" w:firstRowLastColumn="0" w:lastRowFirstColumn="0" w:lastRowLastColumn="0"/>
            <w:tcW w:w="567" w:type="pct"/>
            <w:hideMark/>
          </w:tcPr>
          <w:p w:rsidR="008200A6" w:rsidRPr="004C5725" w:rsidRDefault="008200A6" w:rsidP="00C2798B">
            <w:pPr>
              <w:spacing w:after="0" w:line="240" w:lineRule="auto"/>
              <w:rPr>
                <w:rFonts w:ascii="Arial Narrow" w:hAnsi="Arial Narrow"/>
                <w:bCs w:val="0"/>
                <w:sz w:val="16"/>
                <w:szCs w:val="16"/>
                <w:lang w:eastAsia="sl-SI"/>
              </w:rPr>
            </w:pPr>
            <w:r w:rsidRPr="004C5725">
              <w:rPr>
                <w:rFonts w:ascii="Arial Narrow" w:hAnsi="Arial Narrow"/>
                <w:bCs w:val="0"/>
                <w:sz w:val="16"/>
                <w:szCs w:val="16"/>
                <w:lang w:eastAsia="sl-SI"/>
              </w:rPr>
              <w:t>Podro</w:t>
            </w:r>
            <w:r w:rsidRPr="004C5725">
              <w:rPr>
                <w:rFonts w:ascii="Calibri" w:eastAsia="Calibri" w:hAnsi="Calibri" w:cs="Calibri"/>
                <w:bCs w:val="0"/>
                <w:sz w:val="16"/>
                <w:szCs w:val="16"/>
                <w:lang w:eastAsia="sl-SI"/>
              </w:rPr>
              <w:t>č</w:t>
            </w:r>
            <w:r w:rsidRPr="004C5725">
              <w:rPr>
                <w:rFonts w:ascii="Arial Narrow" w:hAnsi="Arial Narrow"/>
                <w:bCs w:val="0"/>
                <w:sz w:val="16"/>
                <w:szCs w:val="16"/>
                <w:lang w:eastAsia="sl-SI"/>
              </w:rPr>
              <w:t>je</w:t>
            </w:r>
            <w:r w:rsidR="00A00BF0">
              <w:rPr>
                <w:rFonts w:ascii="Arial Narrow" w:hAnsi="Arial Narrow"/>
                <w:bCs w:val="0"/>
                <w:sz w:val="16"/>
                <w:szCs w:val="16"/>
                <w:lang w:eastAsia="sl-SI"/>
              </w:rPr>
              <w:t>*</w:t>
            </w:r>
          </w:p>
        </w:tc>
        <w:tc>
          <w:tcPr>
            <w:tcW w:w="360" w:type="pct"/>
            <w:hideMark/>
          </w:tcPr>
          <w:p w:rsidR="008200A6" w:rsidRPr="00CD50A1" w:rsidRDefault="008200A6" w:rsidP="00C2798B">
            <w:pPr>
              <w:spacing w:after="0" w:line="240" w:lineRule="auto"/>
              <w:cnfStyle w:val="100000000000" w:firstRow="1" w:lastRow="0" w:firstColumn="0" w:lastColumn="0" w:oddVBand="0" w:evenVBand="0" w:oddHBand="0" w:evenHBand="0" w:firstRowFirstColumn="0" w:firstRowLastColumn="0" w:lastRowFirstColumn="0" w:lastRowLastColumn="0"/>
              <w:rPr>
                <w:rFonts w:ascii="Arial Narrow" w:hAnsi="Arial Narrow"/>
                <w:bCs w:val="0"/>
                <w:sz w:val="16"/>
                <w:szCs w:val="16"/>
                <w:lang w:eastAsia="sl-SI"/>
              </w:rPr>
            </w:pPr>
            <w:r w:rsidRPr="00CD50A1">
              <w:rPr>
                <w:rFonts w:ascii="Arial Narrow" w:hAnsi="Arial Narrow"/>
                <w:bCs w:val="0"/>
                <w:sz w:val="16"/>
                <w:szCs w:val="16"/>
                <w:lang w:eastAsia="sl-SI"/>
              </w:rPr>
              <w:t>Razred SKD 2008</w:t>
            </w:r>
          </w:p>
        </w:tc>
        <w:tc>
          <w:tcPr>
            <w:tcW w:w="809" w:type="pct"/>
            <w:hideMark/>
          </w:tcPr>
          <w:p w:rsidR="008200A6" w:rsidRPr="00CD50A1" w:rsidRDefault="008200A6" w:rsidP="00C2798B">
            <w:pPr>
              <w:spacing w:after="0" w:line="240" w:lineRule="auto"/>
              <w:cnfStyle w:val="100000000000" w:firstRow="1" w:lastRow="0" w:firstColumn="0" w:lastColumn="0" w:oddVBand="0" w:evenVBand="0" w:oddHBand="0" w:evenHBand="0" w:firstRowFirstColumn="0" w:firstRowLastColumn="0" w:lastRowFirstColumn="0" w:lastRowLastColumn="0"/>
              <w:rPr>
                <w:rFonts w:ascii="Arial Narrow" w:hAnsi="Arial Narrow"/>
                <w:bCs w:val="0"/>
                <w:sz w:val="16"/>
                <w:szCs w:val="16"/>
                <w:lang w:eastAsia="sl-SI"/>
              </w:rPr>
            </w:pPr>
            <w:r w:rsidRPr="00CD50A1">
              <w:rPr>
                <w:rFonts w:ascii="Arial Narrow" w:hAnsi="Arial Narrow"/>
                <w:bCs w:val="0"/>
                <w:sz w:val="16"/>
                <w:szCs w:val="16"/>
                <w:lang w:eastAsia="sl-SI"/>
              </w:rPr>
              <w:t>Ime razreda SKD 2008</w:t>
            </w:r>
          </w:p>
        </w:tc>
        <w:tc>
          <w:tcPr>
            <w:tcW w:w="382" w:type="pct"/>
            <w:textDirection w:val="btLr"/>
            <w:hideMark/>
          </w:tcPr>
          <w:p w:rsidR="008200A6" w:rsidRPr="00CD50A1" w:rsidRDefault="008200A6" w:rsidP="00C2798B">
            <w:pPr>
              <w:spacing w:after="0" w:line="240" w:lineRule="auto"/>
              <w:ind w:left="113" w:right="113"/>
              <w:jc w:val="right"/>
              <w:cnfStyle w:val="100000000000" w:firstRow="1" w:lastRow="0" w:firstColumn="0" w:lastColumn="0" w:oddVBand="0" w:evenVBand="0" w:oddHBand="0" w:evenHBand="0" w:firstRowFirstColumn="0" w:firstRowLastColumn="0" w:lastRowFirstColumn="0" w:lastRowLastColumn="0"/>
              <w:rPr>
                <w:rFonts w:ascii="Arial Narrow" w:hAnsi="Arial Narrow"/>
                <w:bCs w:val="0"/>
                <w:sz w:val="16"/>
                <w:szCs w:val="16"/>
                <w:lang w:eastAsia="sl-SI"/>
              </w:rPr>
            </w:pPr>
            <w:r w:rsidRPr="00CD50A1">
              <w:rPr>
                <w:rFonts w:ascii="Arial Narrow" w:hAnsi="Arial Narrow"/>
                <w:bCs w:val="0"/>
                <w:sz w:val="16"/>
                <w:szCs w:val="16"/>
                <w:lang w:eastAsia="sl-SI"/>
              </w:rPr>
              <w:t>2008</w:t>
            </w:r>
          </w:p>
        </w:tc>
        <w:tc>
          <w:tcPr>
            <w:tcW w:w="426" w:type="pct"/>
            <w:textDirection w:val="btLr"/>
            <w:hideMark/>
          </w:tcPr>
          <w:p w:rsidR="008200A6" w:rsidRPr="00CD50A1" w:rsidRDefault="008200A6" w:rsidP="00C2798B">
            <w:pPr>
              <w:spacing w:after="0" w:line="240" w:lineRule="auto"/>
              <w:ind w:left="113" w:right="113"/>
              <w:jc w:val="right"/>
              <w:cnfStyle w:val="100000000000" w:firstRow="1" w:lastRow="0" w:firstColumn="0" w:lastColumn="0" w:oddVBand="0" w:evenVBand="0" w:oddHBand="0" w:evenHBand="0" w:firstRowFirstColumn="0" w:firstRowLastColumn="0" w:lastRowFirstColumn="0" w:lastRowLastColumn="0"/>
              <w:rPr>
                <w:rFonts w:ascii="Arial Narrow" w:hAnsi="Arial Narrow"/>
                <w:bCs w:val="0"/>
                <w:sz w:val="16"/>
                <w:szCs w:val="16"/>
                <w:lang w:eastAsia="sl-SI"/>
              </w:rPr>
            </w:pPr>
            <w:r w:rsidRPr="00CD50A1">
              <w:rPr>
                <w:rFonts w:ascii="Arial Narrow" w:hAnsi="Arial Narrow"/>
                <w:bCs w:val="0"/>
                <w:sz w:val="16"/>
                <w:szCs w:val="16"/>
                <w:lang w:eastAsia="sl-SI"/>
              </w:rPr>
              <w:t>2009</w:t>
            </w:r>
          </w:p>
        </w:tc>
        <w:tc>
          <w:tcPr>
            <w:tcW w:w="427" w:type="pct"/>
            <w:textDirection w:val="btLr"/>
            <w:hideMark/>
          </w:tcPr>
          <w:p w:rsidR="008200A6" w:rsidRPr="00CD50A1" w:rsidRDefault="008200A6" w:rsidP="00C2798B">
            <w:pPr>
              <w:spacing w:after="0" w:line="240" w:lineRule="auto"/>
              <w:ind w:left="113" w:right="113"/>
              <w:jc w:val="right"/>
              <w:cnfStyle w:val="100000000000" w:firstRow="1" w:lastRow="0" w:firstColumn="0" w:lastColumn="0" w:oddVBand="0" w:evenVBand="0" w:oddHBand="0" w:evenHBand="0" w:firstRowFirstColumn="0" w:firstRowLastColumn="0" w:lastRowFirstColumn="0" w:lastRowLastColumn="0"/>
              <w:rPr>
                <w:rFonts w:ascii="Arial Narrow" w:hAnsi="Arial Narrow"/>
                <w:bCs w:val="0"/>
                <w:sz w:val="16"/>
                <w:szCs w:val="16"/>
                <w:lang w:eastAsia="sl-SI"/>
              </w:rPr>
            </w:pPr>
            <w:r w:rsidRPr="00CD50A1">
              <w:rPr>
                <w:rFonts w:ascii="Arial Narrow" w:hAnsi="Arial Narrow"/>
                <w:bCs w:val="0"/>
                <w:sz w:val="16"/>
                <w:szCs w:val="16"/>
                <w:lang w:eastAsia="sl-SI"/>
              </w:rPr>
              <w:t>2010</w:t>
            </w:r>
          </w:p>
        </w:tc>
        <w:tc>
          <w:tcPr>
            <w:tcW w:w="379" w:type="pct"/>
            <w:textDirection w:val="btLr"/>
            <w:hideMark/>
          </w:tcPr>
          <w:p w:rsidR="008200A6" w:rsidRPr="00CD50A1" w:rsidRDefault="008200A6" w:rsidP="00C2798B">
            <w:pPr>
              <w:spacing w:after="0" w:line="240" w:lineRule="auto"/>
              <w:ind w:left="113" w:right="113"/>
              <w:jc w:val="right"/>
              <w:cnfStyle w:val="100000000000" w:firstRow="1" w:lastRow="0" w:firstColumn="0" w:lastColumn="0" w:oddVBand="0" w:evenVBand="0" w:oddHBand="0" w:evenHBand="0" w:firstRowFirstColumn="0" w:firstRowLastColumn="0" w:lastRowFirstColumn="0" w:lastRowLastColumn="0"/>
              <w:rPr>
                <w:rFonts w:ascii="Arial Narrow" w:hAnsi="Arial Narrow"/>
                <w:bCs w:val="0"/>
                <w:sz w:val="16"/>
                <w:szCs w:val="16"/>
                <w:lang w:eastAsia="sl-SI"/>
              </w:rPr>
            </w:pPr>
            <w:r w:rsidRPr="00CD50A1">
              <w:rPr>
                <w:rFonts w:ascii="Arial Narrow" w:hAnsi="Arial Narrow"/>
                <w:bCs w:val="0"/>
                <w:sz w:val="16"/>
                <w:szCs w:val="16"/>
                <w:lang w:eastAsia="sl-SI"/>
              </w:rPr>
              <w:t>2011</w:t>
            </w:r>
          </w:p>
        </w:tc>
        <w:tc>
          <w:tcPr>
            <w:tcW w:w="380" w:type="pct"/>
            <w:textDirection w:val="btLr"/>
            <w:hideMark/>
          </w:tcPr>
          <w:p w:rsidR="008200A6" w:rsidRPr="00CD50A1" w:rsidRDefault="008200A6" w:rsidP="00C2798B">
            <w:pPr>
              <w:spacing w:after="0" w:line="240" w:lineRule="auto"/>
              <w:ind w:left="113" w:right="113"/>
              <w:jc w:val="right"/>
              <w:cnfStyle w:val="100000000000" w:firstRow="1" w:lastRow="0" w:firstColumn="0" w:lastColumn="0" w:oddVBand="0" w:evenVBand="0" w:oddHBand="0" w:evenHBand="0" w:firstRowFirstColumn="0" w:firstRowLastColumn="0" w:lastRowFirstColumn="0" w:lastRowLastColumn="0"/>
              <w:rPr>
                <w:rFonts w:ascii="Arial Narrow" w:hAnsi="Arial Narrow"/>
                <w:bCs w:val="0"/>
                <w:sz w:val="16"/>
                <w:szCs w:val="16"/>
                <w:lang w:eastAsia="sl-SI"/>
              </w:rPr>
            </w:pPr>
            <w:r w:rsidRPr="00CD50A1">
              <w:rPr>
                <w:rFonts w:ascii="Arial Narrow" w:hAnsi="Arial Narrow"/>
                <w:bCs w:val="0"/>
                <w:sz w:val="16"/>
                <w:szCs w:val="16"/>
                <w:lang w:eastAsia="sl-SI"/>
              </w:rPr>
              <w:t>2012</w:t>
            </w:r>
          </w:p>
        </w:tc>
        <w:tc>
          <w:tcPr>
            <w:tcW w:w="473" w:type="pct"/>
            <w:textDirection w:val="btLr"/>
            <w:hideMark/>
          </w:tcPr>
          <w:p w:rsidR="008200A6" w:rsidRPr="00CD50A1" w:rsidRDefault="008200A6" w:rsidP="00C2798B">
            <w:pPr>
              <w:spacing w:after="0" w:line="240" w:lineRule="auto"/>
              <w:ind w:left="113" w:right="113"/>
              <w:jc w:val="right"/>
              <w:cnfStyle w:val="100000000000" w:firstRow="1" w:lastRow="0" w:firstColumn="0" w:lastColumn="0" w:oddVBand="0" w:evenVBand="0" w:oddHBand="0" w:evenHBand="0" w:firstRowFirstColumn="0" w:firstRowLastColumn="0" w:lastRowFirstColumn="0" w:lastRowLastColumn="0"/>
              <w:rPr>
                <w:rFonts w:ascii="Arial Narrow" w:hAnsi="Arial Narrow"/>
                <w:bCs w:val="0"/>
                <w:sz w:val="16"/>
                <w:szCs w:val="16"/>
                <w:lang w:eastAsia="sl-SI"/>
              </w:rPr>
            </w:pPr>
            <w:r w:rsidRPr="00CD50A1">
              <w:rPr>
                <w:rFonts w:ascii="Arial Narrow" w:hAnsi="Arial Narrow"/>
                <w:bCs w:val="0"/>
                <w:sz w:val="16"/>
                <w:szCs w:val="16"/>
                <w:lang w:eastAsia="sl-SI"/>
              </w:rPr>
              <w:t>2013</w:t>
            </w:r>
          </w:p>
        </w:tc>
        <w:tc>
          <w:tcPr>
            <w:tcW w:w="427" w:type="pct"/>
            <w:textDirection w:val="btLr"/>
            <w:hideMark/>
          </w:tcPr>
          <w:p w:rsidR="008200A6" w:rsidRPr="00CD50A1" w:rsidRDefault="008200A6" w:rsidP="00C2798B">
            <w:pPr>
              <w:spacing w:after="0" w:line="240" w:lineRule="auto"/>
              <w:ind w:left="113" w:right="113"/>
              <w:jc w:val="right"/>
              <w:cnfStyle w:val="100000000000" w:firstRow="1" w:lastRow="0" w:firstColumn="0" w:lastColumn="0" w:oddVBand="0" w:evenVBand="0" w:oddHBand="0" w:evenHBand="0" w:firstRowFirstColumn="0" w:firstRowLastColumn="0" w:lastRowFirstColumn="0" w:lastRowLastColumn="0"/>
              <w:rPr>
                <w:rFonts w:ascii="Arial Narrow" w:hAnsi="Arial Narrow"/>
                <w:bCs w:val="0"/>
                <w:sz w:val="16"/>
                <w:szCs w:val="16"/>
                <w:lang w:eastAsia="sl-SI"/>
              </w:rPr>
            </w:pPr>
            <w:r w:rsidRPr="00CD50A1">
              <w:rPr>
                <w:rFonts w:ascii="Arial Narrow" w:hAnsi="Arial Narrow"/>
                <w:bCs w:val="0"/>
                <w:sz w:val="16"/>
                <w:szCs w:val="16"/>
                <w:lang w:eastAsia="sl-SI"/>
              </w:rPr>
              <w:t>2014</w:t>
            </w:r>
          </w:p>
        </w:tc>
        <w:tc>
          <w:tcPr>
            <w:tcW w:w="370" w:type="pct"/>
            <w:textDirection w:val="btLr"/>
            <w:hideMark/>
          </w:tcPr>
          <w:p w:rsidR="008200A6" w:rsidRPr="00CD50A1" w:rsidRDefault="008200A6" w:rsidP="00C2798B">
            <w:pPr>
              <w:spacing w:after="0" w:line="240" w:lineRule="auto"/>
              <w:ind w:left="113" w:right="113"/>
              <w:jc w:val="right"/>
              <w:cnfStyle w:val="100000000000" w:firstRow="1" w:lastRow="0" w:firstColumn="0" w:lastColumn="0" w:oddVBand="0" w:evenVBand="0" w:oddHBand="0" w:evenHBand="0" w:firstRowFirstColumn="0" w:firstRowLastColumn="0" w:lastRowFirstColumn="0" w:lastRowLastColumn="0"/>
              <w:rPr>
                <w:rFonts w:ascii="Arial Narrow" w:hAnsi="Arial Narrow"/>
                <w:bCs w:val="0"/>
                <w:sz w:val="16"/>
                <w:szCs w:val="16"/>
                <w:lang w:eastAsia="sl-SI"/>
              </w:rPr>
            </w:pPr>
            <w:r w:rsidRPr="00CD50A1">
              <w:rPr>
                <w:rFonts w:ascii="Arial Narrow" w:hAnsi="Arial Narrow"/>
                <w:bCs w:val="0"/>
                <w:sz w:val="16"/>
                <w:szCs w:val="16"/>
                <w:lang w:eastAsia="sl-SI"/>
              </w:rPr>
              <w:t>2015</w:t>
            </w:r>
          </w:p>
        </w:tc>
      </w:tr>
      <w:tr w:rsidR="008200A6" w:rsidRPr="00CC1495" w:rsidTr="004C5725">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567" w:type="pct"/>
            <w:vMerge w:val="restart"/>
            <w:hideMark/>
          </w:tcPr>
          <w:p w:rsidR="008200A6" w:rsidRPr="004C5725" w:rsidRDefault="008200A6" w:rsidP="00C2798B">
            <w:pPr>
              <w:spacing w:after="0" w:line="240" w:lineRule="auto"/>
              <w:rPr>
                <w:rFonts w:ascii="Arial Narrow" w:hAnsi="Arial Narrow"/>
                <w:bCs w:val="0"/>
                <w:sz w:val="16"/>
                <w:szCs w:val="16"/>
                <w:lang w:eastAsia="sl-SI"/>
              </w:rPr>
            </w:pPr>
            <w:r w:rsidRPr="004C5725">
              <w:rPr>
                <w:rFonts w:ascii="Arial Narrow" w:hAnsi="Arial Narrow"/>
                <w:bCs w:val="0"/>
                <w:sz w:val="16"/>
                <w:szCs w:val="16"/>
                <w:lang w:eastAsia="sl-SI"/>
              </w:rPr>
              <w:t>Dediš</w:t>
            </w:r>
            <w:r w:rsidRPr="004C5725">
              <w:rPr>
                <w:rFonts w:ascii="Calibri" w:eastAsia="Calibri" w:hAnsi="Calibri" w:cs="Calibri"/>
                <w:bCs w:val="0"/>
                <w:sz w:val="16"/>
                <w:szCs w:val="16"/>
                <w:lang w:eastAsia="sl-SI"/>
              </w:rPr>
              <w:t>č</w:t>
            </w:r>
            <w:r w:rsidRPr="004C5725">
              <w:rPr>
                <w:rFonts w:ascii="Arial Narrow" w:hAnsi="Arial Narrow"/>
                <w:bCs w:val="0"/>
                <w:sz w:val="16"/>
                <w:szCs w:val="16"/>
                <w:lang w:eastAsia="sl-SI"/>
              </w:rPr>
              <w:t>ina</w:t>
            </w:r>
            <w:r w:rsidRPr="004C5725">
              <w:rPr>
                <w:rFonts w:ascii="Arial Narrow" w:hAnsi="Arial Narrow"/>
                <w:bCs w:val="0"/>
                <w:sz w:val="16"/>
                <w:szCs w:val="16"/>
                <w:lang w:eastAsia="sl-SI"/>
              </w:rPr>
              <w:br/>
              <w:t>Arhivi</w:t>
            </w:r>
            <w:r w:rsidRPr="004C5725">
              <w:rPr>
                <w:rFonts w:ascii="Arial Narrow" w:hAnsi="Arial Narrow"/>
                <w:bCs w:val="0"/>
                <w:sz w:val="16"/>
                <w:szCs w:val="16"/>
                <w:lang w:eastAsia="sl-SI"/>
              </w:rPr>
              <w:br/>
              <w:t>Knji</w:t>
            </w:r>
            <w:r w:rsidRPr="004C5725">
              <w:rPr>
                <w:rFonts w:ascii="Calibri" w:eastAsia="Calibri" w:hAnsi="Calibri" w:cs="Calibri"/>
                <w:bCs w:val="0"/>
                <w:sz w:val="16"/>
                <w:szCs w:val="16"/>
                <w:lang w:eastAsia="sl-SI"/>
              </w:rPr>
              <w:t>ž</w:t>
            </w:r>
            <w:r w:rsidRPr="004C5725">
              <w:rPr>
                <w:rFonts w:ascii="Arial Narrow" w:hAnsi="Arial Narrow"/>
                <w:bCs w:val="0"/>
                <w:sz w:val="16"/>
                <w:szCs w:val="16"/>
                <w:lang w:eastAsia="sl-SI"/>
              </w:rPr>
              <w:t>nice</w:t>
            </w:r>
          </w:p>
        </w:tc>
        <w:tc>
          <w:tcPr>
            <w:tcW w:w="360"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Cs/>
                <w:sz w:val="16"/>
                <w:szCs w:val="16"/>
                <w:lang w:eastAsia="sl-SI"/>
              </w:rPr>
            </w:pPr>
            <w:r w:rsidRPr="00CC1495">
              <w:rPr>
                <w:rFonts w:ascii="Arial Narrow" w:hAnsi="Arial Narrow"/>
                <w:bCs/>
                <w:sz w:val="16"/>
                <w:szCs w:val="16"/>
                <w:lang w:eastAsia="sl-SI"/>
              </w:rPr>
              <w:t>91.01</w:t>
            </w:r>
          </w:p>
        </w:tc>
        <w:tc>
          <w:tcPr>
            <w:tcW w:w="809"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Dejavnost knjižnic in arhivov</w:t>
            </w:r>
          </w:p>
        </w:tc>
        <w:tc>
          <w:tcPr>
            <w:tcW w:w="382"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1.765</w:t>
            </w:r>
          </w:p>
        </w:tc>
        <w:tc>
          <w:tcPr>
            <w:tcW w:w="426"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1.772</w:t>
            </w:r>
          </w:p>
        </w:tc>
        <w:tc>
          <w:tcPr>
            <w:tcW w:w="427"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1.813</w:t>
            </w:r>
          </w:p>
        </w:tc>
        <w:tc>
          <w:tcPr>
            <w:tcW w:w="379"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1.757</w:t>
            </w:r>
          </w:p>
        </w:tc>
        <w:tc>
          <w:tcPr>
            <w:tcW w:w="380"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1.747</w:t>
            </w:r>
          </w:p>
        </w:tc>
        <w:tc>
          <w:tcPr>
            <w:tcW w:w="473"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1.743</w:t>
            </w:r>
          </w:p>
        </w:tc>
        <w:tc>
          <w:tcPr>
            <w:tcW w:w="427"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1.770</w:t>
            </w:r>
          </w:p>
        </w:tc>
        <w:tc>
          <w:tcPr>
            <w:tcW w:w="370"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1.781</w:t>
            </w:r>
          </w:p>
        </w:tc>
      </w:tr>
      <w:tr w:rsidR="008200A6" w:rsidRPr="00CC1495" w:rsidTr="004C5725">
        <w:trPr>
          <w:trHeight w:val="102"/>
        </w:trPr>
        <w:tc>
          <w:tcPr>
            <w:cnfStyle w:val="001000000000" w:firstRow="0" w:lastRow="0" w:firstColumn="1" w:lastColumn="0" w:oddVBand="0" w:evenVBand="0" w:oddHBand="0" w:evenHBand="0" w:firstRowFirstColumn="0" w:firstRowLastColumn="0" w:lastRowFirstColumn="0" w:lastRowLastColumn="0"/>
            <w:tcW w:w="567" w:type="pct"/>
            <w:vMerge/>
            <w:hideMark/>
          </w:tcPr>
          <w:p w:rsidR="008200A6" w:rsidRPr="004C5725" w:rsidRDefault="008200A6" w:rsidP="00C2798B">
            <w:pPr>
              <w:spacing w:after="0" w:line="240" w:lineRule="auto"/>
              <w:rPr>
                <w:rFonts w:ascii="Arial Narrow" w:hAnsi="Arial Narrow"/>
                <w:bCs w:val="0"/>
                <w:sz w:val="16"/>
                <w:szCs w:val="16"/>
                <w:lang w:eastAsia="sl-SI"/>
              </w:rPr>
            </w:pPr>
          </w:p>
        </w:tc>
        <w:tc>
          <w:tcPr>
            <w:tcW w:w="360"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Cs/>
                <w:sz w:val="16"/>
                <w:szCs w:val="16"/>
                <w:lang w:eastAsia="sl-SI"/>
              </w:rPr>
            </w:pPr>
            <w:r w:rsidRPr="00CC1495">
              <w:rPr>
                <w:rFonts w:ascii="Arial Narrow" w:hAnsi="Arial Narrow"/>
                <w:bCs/>
                <w:sz w:val="16"/>
                <w:szCs w:val="16"/>
                <w:lang w:eastAsia="sl-SI"/>
              </w:rPr>
              <w:t>91.02</w:t>
            </w:r>
          </w:p>
        </w:tc>
        <w:tc>
          <w:tcPr>
            <w:tcW w:w="809"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Dejavnost muzejev</w:t>
            </w:r>
          </w:p>
        </w:tc>
        <w:tc>
          <w:tcPr>
            <w:tcW w:w="382"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876</w:t>
            </w:r>
          </w:p>
        </w:tc>
        <w:tc>
          <w:tcPr>
            <w:tcW w:w="426"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899</w:t>
            </w:r>
          </w:p>
        </w:tc>
        <w:tc>
          <w:tcPr>
            <w:tcW w:w="427"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922</w:t>
            </w:r>
          </w:p>
        </w:tc>
        <w:tc>
          <w:tcPr>
            <w:tcW w:w="379"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888</w:t>
            </w:r>
          </w:p>
        </w:tc>
        <w:tc>
          <w:tcPr>
            <w:tcW w:w="380"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921</w:t>
            </w:r>
          </w:p>
        </w:tc>
        <w:tc>
          <w:tcPr>
            <w:tcW w:w="473"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935</w:t>
            </w:r>
          </w:p>
        </w:tc>
        <w:tc>
          <w:tcPr>
            <w:tcW w:w="427"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942</w:t>
            </w:r>
          </w:p>
        </w:tc>
        <w:tc>
          <w:tcPr>
            <w:tcW w:w="370"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919</w:t>
            </w:r>
          </w:p>
        </w:tc>
      </w:tr>
      <w:tr w:rsidR="008200A6" w:rsidRPr="00CC1495" w:rsidTr="004C5725">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567" w:type="pct"/>
            <w:vMerge/>
            <w:hideMark/>
          </w:tcPr>
          <w:p w:rsidR="008200A6" w:rsidRPr="004C5725" w:rsidRDefault="008200A6" w:rsidP="00C2798B">
            <w:pPr>
              <w:spacing w:after="0" w:line="240" w:lineRule="auto"/>
              <w:rPr>
                <w:rFonts w:ascii="Arial Narrow" w:hAnsi="Arial Narrow"/>
                <w:bCs w:val="0"/>
                <w:sz w:val="16"/>
                <w:szCs w:val="16"/>
                <w:lang w:eastAsia="sl-SI"/>
              </w:rPr>
            </w:pPr>
          </w:p>
        </w:tc>
        <w:tc>
          <w:tcPr>
            <w:tcW w:w="360"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Cs/>
                <w:sz w:val="16"/>
                <w:szCs w:val="16"/>
                <w:lang w:eastAsia="sl-SI"/>
              </w:rPr>
            </w:pPr>
            <w:r w:rsidRPr="00CC1495">
              <w:rPr>
                <w:rFonts w:ascii="Arial Narrow" w:hAnsi="Arial Narrow"/>
                <w:bCs/>
                <w:sz w:val="16"/>
                <w:szCs w:val="16"/>
                <w:lang w:eastAsia="sl-SI"/>
              </w:rPr>
              <w:t>91.03</w:t>
            </w:r>
          </w:p>
        </w:tc>
        <w:tc>
          <w:tcPr>
            <w:tcW w:w="809"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Varstvo kulturne dediščine</w:t>
            </w:r>
          </w:p>
        </w:tc>
        <w:tc>
          <w:tcPr>
            <w:tcW w:w="382"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339</w:t>
            </w:r>
          </w:p>
        </w:tc>
        <w:tc>
          <w:tcPr>
            <w:tcW w:w="426"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359</w:t>
            </w:r>
          </w:p>
        </w:tc>
        <w:tc>
          <w:tcPr>
            <w:tcW w:w="427"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370</w:t>
            </w:r>
          </w:p>
        </w:tc>
        <w:tc>
          <w:tcPr>
            <w:tcW w:w="379"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458</w:t>
            </w:r>
          </w:p>
        </w:tc>
        <w:tc>
          <w:tcPr>
            <w:tcW w:w="380"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453</w:t>
            </w:r>
          </w:p>
        </w:tc>
        <w:tc>
          <w:tcPr>
            <w:tcW w:w="473"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446</w:t>
            </w:r>
          </w:p>
        </w:tc>
        <w:tc>
          <w:tcPr>
            <w:tcW w:w="427"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437</w:t>
            </w:r>
          </w:p>
        </w:tc>
        <w:tc>
          <w:tcPr>
            <w:tcW w:w="370"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422</w:t>
            </w:r>
          </w:p>
        </w:tc>
      </w:tr>
      <w:tr w:rsidR="008200A6" w:rsidRPr="00CC1495" w:rsidTr="004C5725">
        <w:trPr>
          <w:trHeight w:val="102"/>
        </w:trPr>
        <w:tc>
          <w:tcPr>
            <w:cnfStyle w:val="001000000000" w:firstRow="0" w:lastRow="0" w:firstColumn="1" w:lastColumn="0" w:oddVBand="0" w:evenVBand="0" w:oddHBand="0" w:evenHBand="0" w:firstRowFirstColumn="0" w:firstRowLastColumn="0" w:lastRowFirstColumn="0" w:lastRowLastColumn="0"/>
            <w:tcW w:w="567" w:type="pct"/>
            <w:vMerge w:val="restart"/>
            <w:hideMark/>
          </w:tcPr>
          <w:p w:rsidR="008200A6" w:rsidRPr="004C5725" w:rsidRDefault="008200A6" w:rsidP="00C2798B">
            <w:pPr>
              <w:spacing w:after="0" w:line="240" w:lineRule="auto"/>
              <w:rPr>
                <w:rFonts w:ascii="Arial Narrow" w:hAnsi="Arial Narrow"/>
                <w:bCs w:val="0"/>
                <w:sz w:val="16"/>
                <w:szCs w:val="16"/>
                <w:lang w:eastAsia="sl-SI"/>
              </w:rPr>
            </w:pPr>
            <w:r w:rsidRPr="004C5725">
              <w:rPr>
                <w:rFonts w:ascii="Arial Narrow" w:hAnsi="Arial Narrow"/>
                <w:bCs w:val="0"/>
                <w:sz w:val="16"/>
                <w:szCs w:val="16"/>
                <w:lang w:eastAsia="sl-SI"/>
              </w:rPr>
              <w:t>Knjige in tisk</w:t>
            </w:r>
          </w:p>
        </w:tc>
        <w:tc>
          <w:tcPr>
            <w:tcW w:w="360"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Cs/>
                <w:sz w:val="16"/>
                <w:szCs w:val="16"/>
                <w:lang w:eastAsia="sl-SI"/>
              </w:rPr>
            </w:pPr>
            <w:r w:rsidRPr="00CC1495">
              <w:rPr>
                <w:rFonts w:ascii="Arial Narrow" w:hAnsi="Arial Narrow"/>
                <w:bCs/>
                <w:sz w:val="16"/>
                <w:szCs w:val="16"/>
                <w:lang w:eastAsia="sl-SI"/>
              </w:rPr>
              <w:t>58.11</w:t>
            </w:r>
          </w:p>
        </w:tc>
        <w:tc>
          <w:tcPr>
            <w:tcW w:w="809"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Izdajanje knjig</w:t>
            </w:r>
          </w:p>
        </w:tc>
        <w:tc>
          <w:tcPr>
            <w:tcW w:w="382"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1.055</w:t>
            </w:r>
          </w:p>
        </w:tc>
        <w:tc>
          <w:tcPr>
            <w:tcW w:w="426"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1.050</w:t>
            </w:r>
          </w:p>
        </w:tc>
        <w:tc>
          <w:tcPr>
            <w:tcW w:w="427"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1.065</w:t>
            </w:r>
          </w:p>
        </w:tc>
        <w:tc>
          <w:tcPr>
            <w:tcW w:w="379"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1.019</w:t>
            </w:r>
          </w:p>
        </w:tc>
        <w:tc>
          <w:tcPr>
            <w:tcW w:w="380"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941</w:t>
            </w:r>
          </w:p>
        </w:tc>
        <w:tc>
          <w:tcPr>
            <w:tcW w:w="473"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865</w:t>
            </w:r>
          </w:p>
        </w:tc>
        <w:tc>
          <w:tcPr>
            <w:tcW w:w="427"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836</w:t>
            </w:r>
          </w:p>
        </w:tc>
        <w:tc>
          <w:tcPr>
            <w:tcW w:w="370"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746</w:t>
            </w:r>
          </w:p>
        </w:tc>
      </w:tr>
      <w:tr w:rsidR="008200A6" w:rsidRPr="00CC1495" w:rsidTr="004C5725">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567" w:type="pct"/>
            <w:vMerge/>
            <w:hideMark/>
          </w:tcPr>
          <w:p w:rsidR="008200A6" w:rsidRPr="004C5725" w:rsidRDefault="008200A6" w:rsidP="00C2798B">
            <w:pPr>
              <w:spacing w:after="0" w:line="240" w:lineRule="auto"/>
              <w:rPr>
                <w:rFonts w:ascii="Arial Narrow" w:hAnsi="Arial Narrow"/>
                <w:bCs w:val="0"/>
                <w:sz w:val="16"/>
                <w:szCs w:val="16"/>
                <w:lang w:eastAsia="sl-SI"/>
              </w:rPr>
            </w:pPr>
          </w:p>
        </w:tc>
        <w:tc>
          <w:tcPr>
            <w:tcW w:w="360"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Cs/>
                <w:sz w:val="16"/>
                <w:szCs w:val="16"/>
                <w:lang w:eastAsia="sl-SI"/>
              </w:rPr>
            </w:pPr>
            <w:r w:rsidRPr="00CC1495">
              <w:rPr>
                <w:rFonts w:ascii="Arial Narrow" w:hAnsi="Arial Narrow"/>
                <w:bCs/>
                <w:sz w:val="16"/>
                <w:szCs w:val="16"/>
                <w:lang w:eastAsia="sl-SI"/>
              </w:rPr>
              <w:t>58.13</w:t>
            </w:r>
          </w:p>
        </w:tc>
        <w:tc>
          <w:tcPr>
            <w:tcW w:w="809"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Izdajanje časopisov</w:t>
            </w:r>
          </w:p>
        </w:tc>
        <w:tc>
          <w:tcPr>
            <w:tcW w:w="382"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1.512</w:t>
            </w:r>
          </w:p>
        </w:tc>
        <w:tc>
          <w:tcPr>
            <w:tcW w:w="426"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1.451</w:t>
            </w:r>
          </w:p>
        </w:tc>
        <w:tc>
          <w:tcPr>
            <w:tcW w:w="427"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1.406</w:t>
            </w:r>
          </w:p>
        </w:tc>
        <w:tc>
          <w:tcPr>
            <w:tcW w:w="379"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1.358</w:t>
            </w:r>
          </w:p>
        </w:tc>
        <w:tc>
          <w:tcPr>
            <w:tcW w:w="380"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1.253</w:t>
            </w:r>
          </w:p>
        </w:tc>
        <w:tc>
          <w:tcPr>
            <w:tcW w:w="473"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1.184</w:t>
            </w:r>
          </w:p>
        </w:tc>
        <w:tc>
          <w:tcPr>
            <w:tcW w:w="427"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1.088</w:t>
            </w:r>
          </w:p>
        </w:tc>
        <w:tc>
          <w:tcPr>
            <w:tcW w:w="370"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z</w:t>
            </w:r>
          </w:p>
        </w:tc>
      </w:tr>
      <w:tr w:rsidR="008200A6" w:rsidRPr="00CC1495" w:rsidTr="004C5725">
        <w:trPr>
          <w:trHeight w:val="102"/>
        </w:trPr>
        <w:tc>
          <w:tcPr>
            <w:cnfStyle w:val="001000000000" w:firstRow="0" w:lastRow="0" w:firstColumn="1" w:lastColumn="0" w:oddVBand="0" w:evenVBand="0" w:oddHBand="0" w:evenHBand="0" w:firstRowFirstColumn="0" w:firstRowLastColumn="0" w:lastRowFirstColumn="0" w:lastRowLastColumn="0"/>
            <w:tcW w:w="567" w:type="pct"/>
            <w:vMerge/>
            <w:hideMark/>
          </w:tcPr>
          <w:p w:rsidR="008200A6" w:rsidRPr="004C5725" w:rsidRDefault="008200A6" w:rsidP="00C2798B">
            <w:pPr>
              <w:spacing w:after="0" w:line="240" w:lineRule="auto"/>
              <w:rPr>
                <w:rFonts w:ascii="Arial Narrow" w:hAnsi="Arial Narrow"/>
                <w:bCs w:val="0"/>
                <w:sz w:val="16"/>
                <w:szCs w:val="16"/>
                <w:lang w:eastAsia="sl-SI"/>
              </w:rPr>
            </w:pPr>
          </w:p>
        </w:tc>
        <w:tc>
          <w:tcPr>
            <w:tcW w:w="360"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Cs/>
                <w:sz w:val="16"/>
                <w:szCs w:val="16"/>
                <w:lang w:eastAsia="sl-SI"/>
              </w:rPr>
            </w:pPr>
            <w:r w:rsidRPr="00CC1495">
              <w:rPr>
                <w:rFonts w:ascii="Arial Narrow" w:hAnsi="Arial Narrow"/>
                <w:bCs/>
                <w:sz w:val="16"/>
                <w:szCs w:val="16"/>
                <w:lang w:eastAsia="sl-SI"/>
              </w:rPr>
              <w:t>58.14</w:t>
            </w:r>
          </w:p>
        </w:tc>
        <w:tc>
          <w:tcPr>
            <w:tcW w:w="809"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Izdajanje revij in druge periodike</w:t>
            </w:r>
          </w:p>
        </w:tc>
        <w:tc>
          <w:tcPr>
            <w:tcW w:w="382"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646</w:t>
            </w:r>
          </w:p>
        </w:tc>
        <w:tc>
          <w:tcPr>
            <w:tcW w:w="426"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614</w:t>
            </w:r>
          </w:p>
        </w:tc>
        <w:tc>
          <w:tcPr>
            <w:tcW w:w="427"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570</w:t>
            </w:r>
          </w:p>
        </w:tc>
        <w:tc>
          <w:tcPr>
            <w:tcW w:w="379"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513</w:t>
            </w:r>
          </w:p>
        </w:tc>
        <w:tc>
          <w:tcPr>
            <w:tcW w:w="380"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497</w:t>
            </w:r>
          </w:p>
        </w:tc>
        <w:tc>
          <w:tcPr>
            <w:tcW w:w="473"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470</w:t>
            </w:r>
          </w:p>
        </w:tc>
        <w:tc>
          <w:tcPr>
            <w:tcW w:w="427"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421</w:t>
            </w:r>
          </w:p>
        </w:tc>
        <w:tc>
          <w:tcPr>
            <w:tcW w:w="370"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446</w:t>
            </w:r>
          </w:p>
        </w:tc>
      </w:tr>
      <w:tr w:rsidR="008200A6" w:rsidRPr="00CC1495" w:rsidTr="004C5725">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567" w:type="pct"/>
            <w:vMerge/>
            <w:hideMark/>
          </w:tcPr>
          <w:p w:rsidR="008200A6" w:rsidRPr="004C5725" w:rsidRDefault="008200A6" w:rsidP="00C2798B">
            <w:pPr>
              <w:spacing w:after="0" w:line="240" w:lineRule="auto"/>
              <w:rPr>
                <w:rFonts w:ascii="Arial Narrow" w:hAnsi="Arial Narrow"/>
                <w:bCs w:val="0"/>
                <w:sz w:val="16"/>
                <w:szCs w:val="16"/>
                <w:lang w:eastAsia="sl-SI"/>
              </w:rPr>
            </w:pPr>
          </w:p>
        </w:tc>
        <w:tc>
          <w:tcPr>
            <w:tcW w:w="360"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Cs/>
                <w:sz w:val="16"/>
                <w:szCs w:val="16"/>
                <w:lang w:eastAsia="sl-SI"/>
              </w:rPr>
            </w:pPr>
            <w:r w:rsidRPr="00CC1495">
              <w:rPr>
                <w:rFonts w:ascii="Arial Narrow" w:hAnsi="Arial Narrow"/>
                <w:bCs/>
                <w:sz w:val="16"/>
                <w:szCs w:val="16"/>
                <w:lang w:eastAsia="sl-SI"/>
              </w:rPr>
              <w:t>63.91</w:t>
            </w:r>
          </w:p>
        </w:tc>
        <w:tc>
          <w:tcPr>
            <w:tcW w:w="809"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Dejavnost tiskovnih agencij</w:t>
            </w:r>
          </w:p>
        </w:tc>
        <w:tc>
          <w:tcPr>
            <w:tcW w:w="382"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188</w:t>
            </w:r>
          </w:p>
        </w:tc>
        <w:tc>
          <w:tcPr>
            <w:tcW w:w="426"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178</w:t>
            </w:r>
          </w:p>
        </w:tc>
        <w:tc>
          <w:tcPr>
            <w:tcW w:w="427"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170</w:t>
            </w:r>
          </w:p>
        </w:tc>
        <w:tc>
          <w:tcPr>
            <w:tcW w:w="379"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168</w:t>
            </w:r>
          </w:p>
        </w:tc>
        <w:tc>
          <w:tcPr>
            <w:tcW w:w="380"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156</w:t>
            </w:r>
          </w:p>
        </w:tc>
        <w:tc>
          <w:tcPr>
            <w:tcW w:w="473"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154</w:t>
            </w:r>
          </w:p>
        </w:tc>
        <w:tc>
          <w:tcPr>
            <w:tcW w:w="427"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195</w:t>
            </w:r>
          </w:p>
        </w:tc>
        <w:tc>
          <w:tcPr>
            <w:tcW w:w="370"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154</w:t>
            </w:r>
          </w:p>
        </w:tc>
      </w:tr>
      <w:tr w:rsidR="008200A6" w:rsidRPr="00CC1495" w:rsidTr="004C5725">
        <w:trPr>
          <w:trHeight w:val="102"/>
        </w:trPr>
        <w:tc>
          <w:tcPr>
            <w:cnfStyle w:val="001000000000" w:firstRow="0" w:lastRow="0" w:firstColumn="1" w:lastColumn="0" w:oddVBand="0" w:evenVBand="0" w:oddHBand="0" w:evenHBand="0" w:firstRowFirstColumn="0" w:firstRowLastColumn="0" w:lastRowFirstColumn="0" w:lastRowLastColumn="0"/>
            <w:tcW w:w="567" w:type="pct"/>
            <w:vMerge/>
            <w:hideMark/>
          </w:tcPr>
          <w:p w:rsidR="008200A6" w:rsidRPr="004C5725" w:rsidRDefault="008200A6" w:rsidP="00C2798B">
            <w:pPr>
              <w:spacing w:after="0" w:line="240" w:lineRule="auto"/>
              <w:rPr>
                <w:rFonts w:ascii="Arial Narrow" w:hAnsi="Arial Narrow"/>
                <w:bCs w:val="0"/>
                <w:sz w:val="16"/>
                <w:szCs w:val="16"/>
                <w:lang w:eastAsia="sl-SI"/>
              </w:rPr>
            </w:pPr>
          </w:p>
        </w:tc>
        <w:tc>
          <w:tcPr>
            <w:tcW w:w="360"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47.610</w:t>
            </w:r>
          </w:p>
        </w:tc>
        <w:tc>
          <w:tcPr>
            <w:tcW w:w="809"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Trgovina na drobno v specializiranih prodajalnah s knjigami</w:t>
            </w:r>
          </w:p>
        </w:tc>
        <w:tc>
          <w:tcPr>
            <w:tcW w:w="382"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390</w:t>
            </w:r>
          </w:p>
        </w:tc>
        <w:tc>
          <w:tcPr>
            <w:tcW w:w="426"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393</w:t>
            </w:r>
          </w:p>
        </w:tc>
        <w:tc>
          <w:tcPr>
            <w:tcW w:w="427"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384</w:t>
            </w:r>
          </w:p>
        </w:tc>
        <w:tc>
          <w:tcPr>
            <w:tcW w:w="379"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384</w:t>
            </w:r>
          </w:p>
        </w:tc>
        <w:tc>
          <w:tcPr>
            <w:tcW w:w="380"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350</w:t>
            </w:r>
          </w:p>
        </w:tc>
        <w:tc>
          <w:tcPr>
            <w:tcW w:w="473"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286</w:t>
            </w:r>
          </w:p>
        </w:tc>
        <w:tc>
          <w:tcPr>
            <w:tcW w:w="427"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282</w:t>
            </w:r>
          </w:p>
        </w:tc>
        <w:tc>
          <w:tcPr>
            <w:tcW w:w="370"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421</w:t>
            </w:r>
          </w:p>
        </w:tc>
      </w:tr>
      <w:tr w:rsidR="008200A6" w:rsidRPr="00CC1495" w:rsidTr="004C5725">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567" w:type="pct"/>
            <w:vMerge/>
            <w:hideMark/>
          </w:tcPr>
          <w:p w:rsidR="008200A6" w:rsidRPr="004C5725" w:rsidRDefault="008200A6" w:rsidP="00C2798B">
            <w:pPr>
              <w:spacing w:after="0" w:line="240" w:lineRule="auto"/>
              <w:rPr>
                <w:rFonts w:ascii="Arial Narrow" w:hAnsi="Arial Narrow"/>
                <w:bCs w:val="0"/>
                <w:sz w:val="16"/>
                <w:szCs w:val="16"/>
                <w:lang w:eastAsia="sl-SI"/>
              </w:rPr>
            </w:pPr>
          </w:p>
        </w:tc>
        <w:tc>
          <w:tcPr>
            <w:tcW w:w="360"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47.62</w:t>
            </w:r>
          </w:p>
        </w:tc>
        <w:tc>
          <w:tcPr>
            <w:tcW w:w="809"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Trgovina na drobno v specializiranih prodajalnah s časopisi, revijami, papirjem, pisalnimi potrebščinami</w:t>
            </w:r>
          </w:p>
        </w:tc>
        <w:tc>
          <w:tcPr>
            <w:tcW w:w="382"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998</w:t>
            </w:r>
          </w:p>
        </w:tc>
        <w:tc>
          <w:tcPr>
            <w:tcW w:w="426"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930</w:t>
            </w:r>
          </w:p>
        </w:tc>
        <w:tc>
          <w:tcPr>
            <w:tcW w:w="427"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858</w:t>
            </w:r>
          </w:p>
        </w:tc>
        <w:tc>
          <w:tcPr>
            <w:tcW w:w="379"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799</w:t>
            </w:r>
          </w:p>
        </w:tc>
        <w:tc>
          <w:tcPr>
            <w:tcW w:w="380"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762</w:t>
            </w:r>
          </w:p>
        </w:tc>
        <w:tc>
          <w:tcPr>
            <w:tcW w:w="473"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679</w:t>
            </w:r>
          </w:p>
        </w:tc>
        <w:tc>
          <w:tcPr>
            <w:tcW w:w="427"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680</w:t>
            </w:r>
          </w:p>
        </w:tc>
        <w:tc>
          <w:tcPr>
            <w:tcW w:w="370"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629</w:t>
            </w:r>
          </w:p>
        </w:tc>
      </w:tr>
      <w:tr w:rsidR="008200A6" w:rsidRPr="00CC1495" w:rsidTr="004C5725">
        <w:trPr>
          <w:trHeight w:val="102"/>
        </w:trPr>
        <w:tc>
          <w:tcPr>
            <w:cnfStyle w:val="001000000000" w:firstRow="0" w:lastRow="0" w:firstColumn="1" w:lastColumn="0" w:oddVBand="0" w:evenVBand="0" w:oddHBand="0" w:evenHBand="0" w:firstRowFirstColumn="0" w:firstRowLastColumn="0" w:lastRowFirstColumn="0" w:lastRowLastColumn="0"/>
            <w:tcW w:w="567" w:type="pct"/>
            <w:vMerge/>
            <w:hideMark/>
          </w:tcPr>
          <w:p w:rsidR="008200A6" w:rsidRPr="004C5725" w:rsidRDefault="008200A6" w:rsidP="00C2798B">
            <w:pPr>
              <w:spacing w:after="0" w:line="240" w:lineRule="auto"/>
              <w:rPr>
                <w:rFonts w:ascii="Arial Narrow" w:hAnsi="Arial Narrow"/>
                <w:bCs w:val="0"/>
                <w:sz w:val="16"/>
                <w:szCs w:val="16"/>
                <w:lang w:eastAsia="sl-SI"/>
              </w:rPr>
            </w:pPr>
          </w:p>
        </w:tc>
        <w:tc>
          <w:tcPr>
            <w:tcW w:w="360"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74.300</w:t>
            </w:r>
          </w:p>
        </w:tc>
        <w:tc>
          <w:tcPr>
            <w:tcW w:w="809"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Prevajanje in tolmačenje</w:t>
            </w:r>
          </w:p>
        </w:tc>
        <w:tc>
          <w:tcPr>
            <w:tcW w:w="382"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665</w:t>
            </w:r>
          </w:p>
        </w:tc>
        <w:tc>
          <w:tcPr>
            <w:tcW w:w="426"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799</w:t>
            </w:r>
          </w:p>
        </w:tc>
        <w:tc>
          <w:tcPr>
            <w:tcW w:w="427"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870</w:t>
            </w:r>
          </w:p>
        </w:tc>
        <w:tc>
          <w:tcPr>
            <w:tcW w:w="379"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899</w:t>
            </w:r>
          </w:p>
        </w:tc>
        <w:tc>
          <w:tcPr>
            <w:tcW w:w="380"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920</w:t>
            </w:r>
          </w:p>
        </w:tc>
        <w:tc>
          <w:tcPr>
            <w:tcW w:w="473"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1.013</w:t>
            </w:r>
          </w:p>
        </w:tc>
        <w:tc>
          <w:tcPr>
            <w:tcW w:w="427"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1.076</w:t>
            </w:r>
          </w:p>
        </w:tc>
        <w:tc>
          <w:tcPr>
            <w:tcW w:w="370"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1.096</w:t>
            </w:r>
          </w:p>
        </w:tc>
      </w:tr>
      <w:tr w:rsidR="008200A6" w:rsidRPr="00CC1495" w:rsidTr="004C5725">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567" w:type="pct"/>
            <w:vMerge w:val="restart"/>
            <w:hideMark/>
          </w:tcPr>
          <w:p w:rsidR="008200A6" w:rsidRPr="004C5725" w:rsidRDefault="008200A6" w:rsidP="00C2798B">
            <w:pPr>
              <w:pStyle w:val="Podpispodtabeloaligrafom"/>
              <w:spacing w:after="0"/>
            </w:pPr>
            <w:r w:rsidRPr="004C5725">
              <w:rPr>
                <w:bCs w:val="0"/>
                <w:lang w:eastAsia="sl-SI"/>
              </w:rPr>
              <w:t>Vizualne umetnosti</w:t>
            </w:r>
          </w:p>
          <w:p w:rsidR="008200A6" w:rsidRPr="004C5725" w:rsidRDefault="008200A6" w:rsidP="00C2798B">
            <w:pPr>
              <w:spacing w:after="0" w:line="240" w:lineRule="auto"/>
              <w:rPr>
                <w:rFonts w:ascii="Arial Narrow" w:hAnsi="Arial Narrow"/>
                <w:bCs w:val="0"/>
                <w:sz w:val="16"/>
                <w:szCs w:val="16"/>
                <w:lang w:eastAsia="sl-SI"/>
              </w:rPr>
            </w:pPr>
          </w:p>
        </w:tc>
        <w:tc>
          <w:tcPr>
            <w:tcW w:w="360"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Cs/>
                <w:sz w:val="16"/>
                <w:szCs w:val="16"/>
                <w:lang w:eastAsia="sl-SI"/>
              </w:rPr>
            </w:pPr>
            <w:r w:rsidRPr="00CC1495">
              <w:rPr>
                <w:rFonts w:ascii="Arial Narrow" w:hAnsi="Arial Narrow"/>
                <w:bCs/>
                <w:sz w:val="16"/>
                <w:szCs w:val="16"/>
                <w:lang w:eastAsia="sl-SI"/>
              </w:rPr>
              <w:t>90.03</w:t>
            </w:r>
          </w:p>
        </w:tc>
        <w:tc>
          <w:tcPr>
            <w:tcW w:w="809"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Umetniško ustvarjanje</w:t>
            </w:r>
            <w:r w:rsidR="00C14091">
              <w:rPr>
                <w:rFonts w:ascii="Arial Narrow" w:hAnsi="Arial Narrow"/>
                <w:sz w:val="16"/>
                <w:szCs w:val="16"/>
                <w:lang w:eastAsia="sl-SI"/>
              </w:rPr>
              <w:t>*</w:t>
            </w:r>
            <w:r w:rsidR="00A00BF0">
              <w:rPr>
                <w:rFonts w:ascii="Arial Narrow" w:hAnsi="Arial Narrow"/>
                <w:sz w:val="16"/>
                <w:szCs w:val="16"/>
                <w:lang w:eastAsia="sl-SI"/>
              </w:rPr>
              <w:t>*</w:t>
            </w:r>
          </w:p>
        </w:tc>
        <w:tc>
          <w:tcPr>
            <w:tcW w:w="382"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2.702</w:t>
            </w:r>
          </w:p>
        </w:tc>
        <w:tc>
          <w:tcPr>
            <w:tcW w:w="426"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2.783</w:t>
            </w:r>
          </w:p>
        </w:tc>
        <w:tc>
          <w:tcPr>
            <w:tcW w:w="427"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2.827</w:t>
            </w:r>
          </w:p>
        </w:tc>
        <w:tc>
          <w:tcPr>
            <w:tcW w:w="379"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2.793</w:t>
            </w:r>
          </w:p>
        </w:tc>
        <w:tc>
          <w:tcPr>
            <w:tcW w:w="380"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2.721</w:t>
            </w:r>
          </w:p>
        </w:tc>
        <w:tc>
          <w:tcPr>
            <w:tcW w:w="473"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2.746</w:t>
            </w:r>
          </w:p>
        </w:tc>
        <w:tc>
          <w:tcPr>
            <w:tcW w:w="427"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2.907</w:t>
            </w:r>
          </w:p>
        </w:tc>
        <w:tc>
          <w:tcPr>
            <w:tcW w:w="370"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3.017</w:t>
            </w:r>
          </w:p>
        </w:tc>
      </w:tr>
      <w:tr w:rsidR="008200A6" w:rsidRPr="00CC1495" w:rsidTr="004C5725">
        <w:trPr>
          <w:trHeight w:val="102"/>
        </w:trPr>
        <w:tc>
          <w:tcPr>
            <w:cnfStyle w:val="001000000000" w:firstRow="0" w:lastRow="0" w:firstColumn="1" w:lastColumn="0" w:oddVBand="0" w:evenVBand="0" w:oddHBand="0" w:evenHBand="0" w:firstRowFirstColumn="0" w:firstRowLastColumn="0" w:lastRowFirstColumn="0" w:lastRowLastColumn="0"/>
            <w:tcW w:w="567" w:type="pct"/>
            <w:vMerge/>
            <w:hideMark/>
          </w:tcPr>
          <w:p w:rsidR="008200A6" w:rsidRPr="004C5725" w:rsidRDefault="008200A6" w:rsidP="00C2798B">
            <w:pPr>
              <w:spacing w:after="0" w:line="240" w:lineRule="auto"/>
              <w:rPr>
                <w:rFonts w:ascii="Arial Narrow" w:hAnsi="Arial Narrow"/>
                <w:bCs w:val="0"/>
                <w:sz w:val="16"/>
                <w:szCs w:val="16"/>
                <w:lang w:eastAsia="sl-SI"/>
              </w:rPr>
            </w:pPr>
          </w:p>
        </w:tc>
        <w:tc>
          <w:tcPr>
            <w:tcW w:w="360"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74.200</w:t>
            </w:r>
          </w:p>
        </w:tc>
        <w:tc>
          <w:tcPr>
            <w:tcW w:w="809"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Fotografska dejavnost</w:t>
            </w:r>
          </w:p>
        </w:tc>
        <w:tc>
          <w:tcPr>
            <w:tcW w:w="382"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587</w:t>
            </w:r>
          </w:p>
        </w:tc>
        <w:tc>
          <w:tcPr>
            <w:tcW w:w="426"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556</w:t>
            </w:r>
          </w:p>
        </w:tc>
        <w:tc>
          <w:tcPr>
            <w:tcW w:w="427"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510</w:t>
            </w:r>
          </w:p>
        </w:tc>
        <w:tc>
          <w:tcPr>
            <w:tcW w:w="379"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511</w:t>
            </w:r>
          </w:p>
        </w:tc>
        <w:tc>
          <w:tcPr>
            <w:tcW w:w="380"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485</w:t>
            </w:r>
          </w:p>
        </w:tc>
        <w:tc>
          <w:tcPr>
            <w:tcW w:w="473"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480</w:t>
            </w:r>
          </w:p>
        </w:tc>
        <w:tc>
          <w:tcPr>
            <w:tcW w:w="427"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494</w:t>
            </w:r>
          </w:p>
        </w:tc>
        <w:tc>
          <w:tcPr>
            <w:tcW w:w="370"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542</w:t>
            </w:r>
          </w:p>
        </w:tc>
      </w:tr>
      <w:tr w:rsidR="008200A6" w:rsidRPr="00CC1495" w:rsidTr="004C5725">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567" w:type="pct"/>
            <w:vMerge/>
            <w:hideMark/>
          </w:tcPr>
          <w:p w:rsidR="008200A6" w:rsidRPr="004C5725" w:rsidRDefault="008200A6" w:rsidP="00C2798B">
            <w:pPr>
              <w:spacing w:after="0" w:line="240" w:lineRule="auto"/>
              <w:rPr>
                <w:rFonts w:ascii="Arial Narrow" w:hAnsi="Arial Narrow"/>
                <w:bCs w:val="0"/>
                <w:sz w:val="16"/>
                <w:szCs w:val="16"/>
                <w:lang w:eastAsia="sl-SI"/>
              </w:rPr>
            </w:pPr>
          </w:p>
        </w:tc>
        <w:tc>
          <w:tcPr>
            <w:tcW w:w="360"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Cs/>
                <w:sz w:val="16"/>
                <w:szCs w:val="16"/>
                <w:lang w:eastAsia="sl-SI"/>
              </w:rPr>
            </w:pPr>
            <w:r w:rsidRPr="00CC1495">
              <w:rPr>
                <w:rFonts w:ascii="Arial Narrow" w:hAnsi="Arial Narrow"/>
                <w:bCs/>
                <w:sz w:val="16"/>
                <w:szCs w:val="16"/>
                <w:lang w:eastAsia="sl-SI"/>
              </w:rPr>
              <w:t>74.10</w:t>
            </w:r>
          </w:p>
        </w:tc>
        <w:tc>
          <w:tcPr>
            <w:tcW w:w="809"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 xml:space="preserve">Oblikovanje, </w:t>
            </w:r>
            <w:proofErr w:type="spellStart"/>
            <w:r w:rsidRPr="00CC1495">
              <w:rPr>
                <w:rFonts w:ascii="Arial Narrow" w:hAnsi="Arial Narrow"/>
                <w:sz w:val="16"/>
                <w:szCs w:val="16"/>
                <w:lang w:eastAsia="sl-SI"/>
              </w:rPr>
              <w:t>aranžerstvo</w:t>
            </w:r>
            <w:proofErr w:type="spellEnd"/>
            <w:r w:rsidRPr="00CC1495">
              <w:rPr>
                <w:rFonts w:ascii="Arial Narrow" w:hAnsi="Arial Narrow"/>
                <w:sz w:val="16"/>
                <w:szCs w:val="16"/>
                <w:lang w:eastAsia="sl-SI"/>
              </w:rPr>
              <w:t xml:space="preserve">, </w:t>
            </w:r>
            <w:proofErr w:type="spellStart"/>
            <w:r w:rsidRPr="00CC1495">
              <w:rPr>
                <w:rFonts w:ascii="Arial Narrow" w:hAnsi="Arial Narrow"/>
                <w:sz w:val="16"/>
                <w:szCs w:val="16"/>
                <w:lang w:eastAsia="sl-SI"/>
              </w:rPr>
              <w:t>dekoraterstvo</w:t>
            </w:r>
            <w:proofErr w:type="spellEnd"/>
          </w:p>
        </w:tc>
        <w:tc>
          <w:tcPr>
            <w:tcW w:w="382"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620</w:t>
            </w:r>
          </w:p>
        </w:tc>
        <w:tc>
          <w:tcPr>
            <w:tcW w:w="426"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774</w:t>
            </w:r>
          </w:p>
        </w:tc>
        <w:tc>
          <w:tcPr>
            <w:tcW w:w="427"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835</w:t>
            </w:r>
          </w:p>
        </w:tc>
        <w:tc>
          <w:tcPr>
            <w:tcW w:w="379"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889</w:t>
            </w:r>
          </w:p>
        </w:tc>
        <w:tc>
          <w:tcPr>
            <w:tcW w:w="380"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936</w:t>
            </w:r>
          </w:p>
        </w:tc>
        <w:tc>
          <w:tcPr>
            <w:tcW w:w="473"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1.017</w:t>
            </w:r>
          </w:p>
        </w:tc>
        <w:tc>
          <w:tcPr>
            <w:tcW w:w="427"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1.104</w:t>
            </w:r>
          </w:p>
        </w:tc>
        <w:tc>
          <w:tcPr>
            <w:tcW w:w="370"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1.244</w:t>
            </w:r>
          </w:p>
        </w:tc>
      </w:tr>
      <w:tr w:rsidR="008200A6" w:rsidRPr="00CC1495" w:rsidTr="004C5725">
        <w:trPr>
          <w:trHeight w:val="102"/>
        </w:trPr>
        <w:tc>
          <w:tcPr>
            <w:cnfStyle w:val="001000000000" w:firstRow="0" w:lastRow="0" w:firstColumn="1" w:lastColumn="0" w:oddVBand="0" w:evenVBand="0" w:oddHBand="0" w:evenHBand="0" w:firstRowFirstColumn="0" w:firstRowLastColumn="0" w:lastRowFirstColumn="0" w:lastRowLastColumn="0"/>
            <w:tcW w:w="567" w:type="pct"/>
            <w:hideMark/>
          </w:tcPr>
          <w:p w:rsidR="008200A6" w:rsidRPr="004C5725" w:rsidRDefault="008200A6" w:rsidP="00C2798B">
            <w:pPr>
              <w:spacing w:after="0" w:line="240" w:lineRule="auto"/>
              <w:rPr>
                <w:rFonts w:ascii="Arial Narrow" w:hAnsi="Arial Narrow"/>
                <w:bCs w:val="0"/>
                <w:sz w:val="16"/>
                <w:szCs w:val="16"/>
                <w:lang w:eastAsia="sl-SI"/>
              </w:rPr>
            </w:pPr>
            <w:r w:rsidRPr="004C5725">
              <w:rPr>
                <w:rFonts w:ascii="Arial Narrow" w:hAnsi="Arial Narrow"/>
                <w:bCs w:val="0"/>
                <w:sz w:val="16"/>
                <w:szCs w:val="16"/>
                <w:lang w:eastAsia="sl-SI"/>
              </w:rPr>
              <w:t>Arhitektura</w:t>
            </w:r>
          </w:p>
        </w:tc>
        <w:tc>
          <w:tcPr>
            <w:tcW w:w="360"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Cs/>
                <w:sz w:val="16"/>
                <w:szCs w:val="16"/>
                <w:lang w:eastAsia="sl-SI"/>
              </w:rPr>
            </w:pPr>
            <w:r w:rsidRPr="00CC1495">
              <w:rPr>
                <w:rFonts w:ascii="Arial Narrow" w:hAnsi="Arial Narrow"/>
                <w:bCs/>
                <w:sz w:val="16"/>
                <w:szCs w:val="16"/>
                <w:lang w:eastAsia="sl-SI"/>
              </w:rPr>
              <w:t>71.11</w:t>
            </w:r>
          </w:p>
        </w:tc>
        <w:tc>
          <w:tcPr>
            <w:tcW w:w="809"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Arhitekturna in urbanistična dejavnost</w:t>
            </w:r>
          </w:p>
        </w:tc>
        <w:tc>
          <w:tcPr>
            <w:tcW w:w="382"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2.728</w:t>
            </w:r>
          </w:p>
        </w:tc>
        <w:tc>
          <w:tcPr>
            <w:tcW w:w="426"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2.852</w:t>
            </w:r>
          </w:p>
        </w:tc>
        <w:tc>
          <w:tcPr>
            <w:tcW w:w="427"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2.726</w:t>
            </w:r>
          </w:p>
        </w:tc>
        <w:tc>
          <w:tcPr>
            <w:tcW w:w="379"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2.644</w:t>
            </w:r>
          </w:p>
        </w:tc>
        <w:tc>
          <w:tcPr>
            <w:tcW w:w="380"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2.453</w:t>
            </w:r>
          </w:p>
        </w:tc>
        <w:tc>
          <w:tcPr>
            <w:tcW w:w="473"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2.398</w:t>
            </w:r>
          </w:p>
        </w:tc>
        <w:tc>
          <w:tcPr>
            <w:tcW w:w="427"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2.395</w:t>
            </w:r>
          </w:p>
        </w:tc>
        <w:tc>
          <w:tcPr>
            <w:tcW w:w="370"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2.381</w:t>
            </w:r>
          </w:p>
        </w:tc>
      </w:tr>
      <w:tr w:rsidR="008200A6" w:rsidRPr="00CC1495" w:rsidTr="004C5725">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567" w:type="pct"/>
            <w:vMerge w:val="restart"/>
            <w:hideMark/>
          </w:tcPr>
          <w:p w:rsidR="008200A6" w:rsidRPr="004C5725" w:rsidRDefault="008200A6" w:rsidP="00C2798B">
            <w:pPr>
              <w:spacing w:after="0" w:line="240" w:lineRule="auto"/>
              <w:rPr>
                <w:rFonts w:ascii="Arial Narrow" w:hAnsi="Arial Narrow"/>
                <w:bCs w:val="0"/>
                <w:sz w:val="16"/>
                <w:szCs w:val="16"/>
                <w:lang w:eastAsia="sl-SI"/>
              </w:rPr>
            </w:pPr>
            <w:r w:rsidRPr="004C5725">
              <w:rPr>
                <w:rFonts w:ascii="Arial Narrow" w:hAnsi="Arial Narrow"/>
                <w:bCs w:val="0"/>
                <w:sz w:val="16"/>
                <w:szCs w:val="16"/>
                <w:lang w:eastAsia="sl-SI"/>
              </w:rPr>
              <w:t>Zvok, slika &amp; multimedija</w:t>
            </w:r>
          </w:p>
        </w:tc>
        <w:tc>
          <w:tcPr>
            <w:tcW w:w="360"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Cs/>
                <w:sz w:val="16"/>
                <w:szCs w:val="16"/>
                <w:lang w:eastAsia="sl-SI"/>
              </w:rPr>
            </w:pPr>
            <w:r w:rsidRPr="00CC1495">
              <w:rPr>
                <w:rFonts w:ascii="Arial Narrow" w:hAnsi="Arial Narrow"/>
                <w:bCs/>
                <w:sz w:val="16"/>
                <w:szCs w:val="16"/>
                <w:lang w:eastAsia="sl-SI"/>
              </w:rPr>
              <w:t>59.11</w:t>
            </w:r>
          </w:p>
        </w:tc>
        <w:tc>
          <w:tcPr>
            <w:tcW w:w="809"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Produkcija filmov, video filmov, televizijskih oddaj</w:t>
            </w:r>
          </w:p>
        </w:tc>
        <w:tc>
          <w:tcPr>
            <w:tcW w:w="382"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593</w:t>
            </w:r>
          </w:p>
        </w:tc>
        <w:tc>
          <w:tcPr>
            <w:tcW w:w="426"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635</w:t>
            </w:r>
          </w:p>
        </w:tc>
        <w:tc>
          <w:tcPr>
            <w:tcW w:w="427"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704</w:t>
            </w:r>
          </w:p>
        </w:tc>
        <w:tc>
          <w:tcPr>
            <w:tcW w:w="379"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755</w:t>
            </w:r>
          </w:p>
        </w:tc>
        <w:tc>
          <w:tcPr>
            <w:tcW w:w="380"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765</w:t>
            </w:r>
          </w:p>
        </w:tc>
        <w:tc>
          <w:tcPr>
            <w:tcW w:w="473"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911</w:t>
            </w:r>
          </w:p>
        </w:tc>
        <w:tc>
          <w:tcPr>
            <w:tcW w:w="427"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946</w:t>
            </w:r>
          </w:p>
        </w:tc>
        <w:tc>
          <w:tcPr>
            <w:tcW w:w="370"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968</w:t>
            </w:r>
          </w:p>
        </w:tc>
      </w:tr>
      <w:tr w:rsidR="008200A6" w:rsidRPr="00CC1495" w:rsidTr="004C5725">
        <w:trPr>
          <w:trHeight w:val="102"/>
        </w:trPr>
        <w:tc>
          <w:tcPr>
            <w:cnfStyle w:val="001000000000" w:firstRow="0" w:lastRow="0" w:firstColumn="1" w:lastColumn="0" w:oddVBand="0" w:evenVBand="0" w:oddHBand="0" w:evenHBand="0" w:firstRowFirstColumn="0" w:firstRowLastColumn="0" w:lastRowFirstColumn="0" w:lastRowLastColumn="0"/>
            <w:tcW w:w="567" w:type="pct"/>
            <w:vMerge/>
            <w:hideMark/>
          </w:tcPr>
          <w:p w:rsidR="008200A6" w:rsidRPr="004C5725" w:rsidRDefault="008200A6" w:rsidP="00C2798B">
            <w:pPr>
              <w:spacing w:after="0" w:line="240" w:lineRule="auto"/>
              <w:rPr>
                <w:rFonts w:ascii="Arial Narrow" w:hAnsi="Arial Narrow"/>
                <w:bCs w:val="0"/>
                <w:sz w:val="16"/>
                <w:szCs w:val="16"/>
                <w:lang w:eastAsia="sl-SI"/>
              </w:rPr>
            </w:pPr>
          </w:p>
        </w:tc>
        <w:tc>
          <w:tcPr>
            <w:tcW w:w="360"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Cs/>
                <w:sz w:val="16"/>
                <w:szCs w:val="16"/>
                <w:lang w:eastAsia="sl-SI"/>
              </w:rPr>
            </w:pPr>
            <w:r w:rsidRPr="00CC1495">
              <w:rPr>
                <w:rFonts w:ascii="Arial Narrow" w:hAnsi="Arial Narrow"/>
                <w:bCs/>
                <w:sz w:val="16"/>
                <w:szCs w:val="16"/>
                <w:lang w:eastAsia="sl-SI"/>
              </w:rPr>
              <w:t>59.12</w:t>
            </w:r>
          </w:p>
        </w:tc>
        <w:tc>
          <w:tcPr>
            <w:tcW w:w="809"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Post produkcijske dejavnosti pri izdelavi filmov, video filmov, televizijskih oddaj</w:t>
            </w:r>
          </w:p>
        </w:tc>
        <w:tc>
          <w:tcPr>
            <w:tcW w:w="382"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41</w:t>
            </w:r>
          </w:p>
        </w:tc>
        <w:tc>
          <w:tcPr>
            <w:tcW w:w="426"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57</w:t>
            </w:r>
          </w:p>
        </w:tc>
        <w:tc>
          <w:tcPr>
            <w:tcW w:w="427"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73</w:t>
            </w:r>
          </w:p>
        </w:tc>
        <w:tc>
          <w:tcPr>
            <w:tcW w:w="379"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85</w:t>
            </w:r>
          </w:p>
        </w:tc>
        <w:tc>
          <w:tcPr>
            <w:tcW w:w="380"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83</w:t>
            </w:r>
          </w:p>
        </w:tc>
        <w:tc>
          <w:tcPr>
            <w:tcW w:w="473"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84</w:t>
            </w:r>
          </w:p>
        </w:tc>
        <w:tc>
          <w:tcPr>
            <w:tcW w:w="427"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105</w:t>
            </w:r>
          </w:p>
        </w:tc>
        <w:tc>
          <w:tcPr>
            <w:tcW w:w="370"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116</w:t>
            </w:r>
          </w:p>
        </w:tc>
      </w:tr>
      <w:tr w:rsidR="008200A6" w:rsidRPr="00CC1495" w:rsidTr="004C5725">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567" w:type="pct"/>
            <w:vMerge/>
            <w:hideMark/>
          </w:tcPr>
          <w:p w:rsidR="008200A6" w:rsidRPr="004C5725" w:rsidRDefault="008200A6" w:rsidP="00C2798B">
            <w:pPr>
              <w:spacing w:after="0" w:line="240" w:lineRule="auto"/>
              <w:rPr>
                <w:rFonts w:ascii="Arial Narrow" w:hAnsi="Arial Narrow"/>
                <w:bCs w:val="0"/>
                <w:sz w:val="16"/>
                <w:szCs w:val="16"/>
                <w:lang w:eastAsia="sl-SI"/>
              </w:rPr>
            </w:pPr>
          </w:p>
        </w:tc>
        <w:tc>
          <w:tcPr>
            <w:tcW w:w="360"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Cs/>
                <w:sz w:val="16"/>
                <w:szCs w:val="16"/>
                <w:lang w:eastAsia="sl-SI"/>
              </w:rPr>
            </w:pPr>
            <w:r w:rsidRPr="00CC1495">
              <w:rPr>
                <w:rFonts w:ascii="Arial Narrow" w:hAnsi="Arial Narrow"/>
                <w:bCs/>
                <w:sz w:val="16"/>
                <w:szCs w:val="16"/>
                <w:lang w:eastAsia="sl-SI"/>
              </w:rPr>
              <w:t>59.13</w:t>
            </w:r>
          </w:p>
        </w:tc>
        <w:tc>
          <w:tcPr>
            <w:tcW w:w="809"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Distribucija filmov, video filmov, televizijskih oddaj</w:t>
            </w:r>
          </w:p>
        </w:tc>
        <w:tc>
          <w:tcPr>
            <w:tcW w:w="382"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65</w:t>
            </w:r>
          </w:p>
        </w:tc>
        <w:tc>
          <w:tcPr>
            <w:tcW w:w="426"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41</w:t>
            </w:r>
          </w:p>
        </w:tc>
        <w:tc>
          <w:tcPr>
            <w:tcW w:w="427"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41</w:t>
            </w:r>
          </w:p>
        </w:tc>
        <w:tc>
          <w:tcPr>
            <w:tcW w:w="379"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37</w:t>
            </w:r>
          </w:p>
        </w:tc>
        <w:tc>
          <w:tcPr>
            <w:tcW w:w="380"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40</w:t>
            </w:r>
          </w:p>
        </w:tc>
        <w:tc>
          <w:tcPr>
            <w:tcW w:w="473"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26</w:t>
            </w:r>
          </w:p>
        </w:tc>
        <w:tc>
          <w:tcPr>
            <w:tcW w:w="427"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29</w:t>
            </w:r>
          </w:p>
        </w:tc>
        <w:tc>
          <w:tcPr>
            <w:tcW w:w="370"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29</w:t>
            </w:r>
          </w:p>
        </w:tc>
      </w:tr>
      <w:tr w:rsidR="008200A6" w:rsidRPr="00CC1495" w:rsidTr="004C5725">
        <w:trPr>
          <w:trHeight w:val="102"/>
        </w:trPr>
        <w:tc>
          <w:tcPr>
            <w:cnfStyle w:val="001000000000" w:firstRow="0" w:lastRow="0" w:firstColumn="1" w:lastColumn="0" w:oddVBand="0" w:evenVBand="0" w:oddHBand="0" w:evenHBand="0" w:firstRowFirstColumn="0" w:firstRowLastColumn="0" w:lastRowFirstColumn="0" w:lastRowLastColumn="0"/>
            <w:tcW w:w="567" w:type="pct"/>
            <w:vMerge/>
            <w:hideMark/>
          </w:tcPr>
          <w:p w:rsidR="008200A6" w:rsidRPr="004C5725" w:rsidRDefault="008200A6" w:rsidP="00C2798B">
            <w:pPr>
              <w:spacing w:after="0" w:line="240" w:lineRule="auto"/>
              <w:rPr>
                <w:rFonts w:ascii="Arial Narrow" w:hAnsi="Arial Narrow"/>
                <w:bCs w:val="0"/>
                <w:sz w:val="16"/>
                <w:szCs w:val="16"/>
                <w:lang w:eastAsia="sl-SI"/>
              </w:rPr>
            </w:pPr>
          </w:p>
        </w:tc>
        <w:tc>
          <w:tcPr>
            <w:tcW w:w="360"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Cs/>
                <w:sz w:val="16"/>
                <w:szCs w:val="16"/>
                <w:lang w:eastAsia="sl-SI"/>
              </w:rPr>
            </w:pPr>
            <w:r w:rsidRPr="00CC1495">
              <w:rPr>
                <w:rFonts w:ascii="Arial Narrow" w:hAnsi="Arial Narrow"/>
                <w:bCs/>
                <w:sz w:val="16"/>
                <w:szCs w:val="16"/>
                <w:lang w:eastAsia="sl-SI"/>
              </w:rPr>
              <w:t>59.14</w:t>
            </w:r>
          </w:p>
        </w:tc>
        <w:tc>
          <w:tcPr>
            <w:tcW w:w="809"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Kinematografska dejavnost</w:t>
            </w:r>
          </w:p>
        </w:tc>
        <w:tc>
          <w:tcPr>
            <w:tcW w:w="382"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158</w:t>
            </w:r>
          </w:p>
        </w:tc>
        <w:tc>
          <w:tcPr>
            <w:tcW w:w="426"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141</w:t>
            </w:r>
          </w:p>
        </w:tc>
        <w:tc>
          <w:tcPr>
            <w:tcW w:w="427"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158</w:t>
            </w:r>
          </w:p>
        </w:tc>
        <w:tc>
          <w:tcPr>
            <w:tcW w:w="379"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149</w:t>
            </w:r>
          </w:p>
        </w:tc>
        <w:tc>
          <w:tcPr>
            <w:tcW w:w="380"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153</w:t>
            </w:r>
          </w:p>
        </w:tc>
        <w:tc>
          <w:tcPr>
            <w:tcW w:w="473"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144</w:t>
            </w:r>
          </w:p>
        </w:tc>
        <w:tc>
          <w:tcPr>
            <w:tcW w:w="427"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96</w:t>
            </w:r>
          </w:p>
        </w:tc>
        <w:tc>
          <w:tcPr>
            <w:tcW w:w="370"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103</w:t>
            </w:r>
          </w:p>
        </w:tc>
      </w:tr>
      <w:tr w:rsidR="008200A6" w:rsidRPr="00CC1495" w:rsidTr="004C5725">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567" w:type="pct"/>
            <w:vMerge/>
            <w:hideMark/>
          </w:tcPr>
          <w:p w:rsidR="008200A6" w:rsidRPr="004C5725" w:rsidRDefault="008200A6" w:rsidP="00C2798B">
            <w:pPr>
              <w:spacing w:after="0" w:line="240" w:lineRule="auto"/>
              <w:rPr>
                <w:rFonts w:ascii="Arial Narrow" w:hAnsi="Arial Narrow"/>
                <w:bCs w:val="0"/>
                <w:sz w:val="16"/>
                <w:szCs w:val="16"/>
                <w:lang w:eastAsia="sl-SI"/>
              </w:rPr>
            </w:pPr>
          </w:p>
        </w:tc>
        <w:tc>
          <w:tcPr>
            <w:tcW w:w="360"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Cs/>
                <w:sz w:val="16"/>
                <w:szCs w:val="16"/>
                <w:lang w:eastAsia="sl-SI"/>
              </w:rPr>
            </w:pPr>
            <w:r w:rsidRPr="00CC1495">
              <w:rPr>
                <w:rFonts w:ascii="Arial Narrow" w:hAnsi="Arial Narrow"/>
                <w:bCs/>
                <w:sz w:val="16"/>
                <w:szCs w:val="16"/>
                <w:lang w:eastAsia="sl-SI"/>
              </w:rPr>
              <w:t>58.21</w:t>
            </w:r>
          </w:p>
        </w:tc>
        <w:tc>
          <w:tcPr>
            <w:tcW w:w="809"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Izdajanje računalniških iger</w:t>
            </w:r>
          </w:p>
        </w:tc>
        <w:tc>
          <w:tcPr>
            <w:tcW w:w="382"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z</w:t>
            </w:r>
          </w:p>
        </w:tc>
        <w:tc>
          <w:tcPr>
            <w:tcW w:w="426"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z</w:t>
            </w:r>
          </w:p>
        </w:tc>
        <w:tc>
          <w:tcPr>
            <w:tcW w:w="427"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z</w:t>
            </w:r>
          </w:p>
        </w:tc>
        <w:tc>
          <w:tcPr>
            <w:tcW w:w="379"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z</w:t>
            </w:r>
          </w:p>
        </w:tc>
        <w:tc>
          <w:tcPr>
            <w:tcW w:w="380"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z</w:t>
            </w:r>
          </w:p>
        </w:tc>
        <w:tc>
          <w:tcPr>
            <w:tcW w:w="473"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z</w:t>
            </w:r>
          </w:p>
        </w:tc>
        <w:tc>
          <w:tcPr>
            <w:tcW w:w="427"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5</w:t>
            </w:r>
          </w:p>
        </w:tc>
        <w:tc>
          <w:tcPr>
            <w:tcW w:w="370"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7</w:t>
            </w:r>
          </w:p>
        </w:tc>
      </w:tr>
      <w:tr w:rsidR="008200A6" w:rsidRPr="00CC1495" w:rsidTr="004C5725">
        <w:trPr>
          <w:trHeight w:val="102"/>
        </w:trPr>
        <w:tc>
          <w:tcPr>
            <w:cnfStyle w:val="001000000000" w:firstRow="0" w:lastRow="0" w:firstColumn="1" w:lastColumn="0" w:oddVBand="0" w:evenVBand="0" w:oddHBand="0" w:evenHBand="0" w:firstRowFirstColumn="0" w:firstRowLastColumn="0" w:lastRowFirstColumn="0" w:lastRowLastColumn="0"/>
            <w:tcW w:w="567" w:type="pct"/>
            <w:vMerge/>
            <w:hideMark/>
          </w:tcPr>
          <w:p w:rsidR="008200A6" w:rsidRPr="004C5725" w:rsidRDefault="008200A6" w:rsidP="00C2798B">
            <w:pPr>
              <w:spacing w:after="0" w:line="240" w:lineRule="auto"/>
              <w:rPr>
                <w:rFonts w:ascii="Arial Narrow" w:hAnsi="Arial Narrow"/>
                <w:bCs w:val="0"/>
                <w:sz w:val="16"/>
                <w:szCs w:val="16"/>
                <w:lang w:eastAsia="sl-SI"/>
              </w:rPr>
            </w:pPr>
          </w:p>
        </w:tc>
        <w:tc>
          <w:tcPr>
            <w:tcW w:w="360"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Cs/>
                <w:sz w:val="16"/>
                <w:szCs w:val="16"/>
                <w:lang w:eastAsia="sl-SI"/>
              </w:rPr>
            </w:pPr>
            <w:r w:rsidRPr="00CC1495">
              <w:rPr>
                <w:rFonts w:ascii="Arial Narrow" w:hAnsi="Arial Narrow"/>
                <w:bCs/>
                <w:sz w:val="16"/>
                <w:szCs w:val="16"/>
                <w:lang w:eastAsia="sl-SI"/>
              </w:rPr>
              <w:t>59.20</w:t>
            </w:r>
          </w:p>
        </w:tc>
        <w:tc>
          <w:tcPr>
            <w:tcW w:w="809"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Snemanje in izdajanje zvočnih zapisov in muzikalij</w:t>
            </w:r>
          </w:p>
        </w:tc>
        <w:tc>
          <w:tcPr>
            <w:tcW w:w="382"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166</w:t>
            </w:r>
          </w:p>
        </w:tc>
        <w:tc>
          <w:tcPr>
            <w:tcW w:w="426"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159</w:t>
            </w:r>
          </w:p>
        </w:tc>
        <w:tc>
          <w:tcPr>
            <w:tcW w:w="427"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167</w:t>
            </w:r>
          </w:p>
        </w:tc>
        <w:tc>
          <w:tcPr>
            <w:tcW w:w="379"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150</w:t>
            </w:r>
          </w:p>
        </w:tc>
        <w:tc>
          <w:tcPr>
            <w:tcW w:w="380"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141</w:t>
            </w:r>
          </w:p>
        </w:tc>
        <w:tc>
          <w:tcPr>
            <w:tcW w:w="473"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135</w:t>
            </w:r>
          </w:p>
        </w:tc>
        <w:tc>
          <w:tcPr>
            <w:tcW w:w="427"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145</w:t>
            </w:r>
          </w:p>
        </w:tc>
        <w:tc>
          <w:tcPr>
            <w:tcW w:w="370"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125</w:t>
            </w:r>
          </w:p>
        </w:tc>
      </w:tr>
      <w:tr w:rsidR="008200A6" w:rsidRPr="00CC1495" w:rsidTr="004C5725">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567" w:type="pct"/>
            <w:vMerge/>
            <w:hideMark/>
          </w:tcPr>
          <w:p w:rsidR="008200A6" w:rsidRPr="004C5725" w:rsidRDefault="008200A6" w:rsidP="00C2798B">
            <w:pPr>
              <w:spacing w:after="0" w:line="240" w:lineRule="auto"/>
              <w:rPr>
                <w:rFonts w:ascii="Arial Narrow" w:hAnsi="Arial Narrow"/>
                <w:bCs w:val="0"/>
                <w:sz w:val="16"/>
                <w:szCs w:val="16"/>
                <w:lang w:eastAsia="sl-SI"/>
              </w:rPr>
            </w:pPr>
          </w:p>
        </w:tc>
        <w:tc>
          <w:tcPr>
            <w:tcW w:w="360"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Cs/>
                <w:sz w:val="16"/>
                <w:szCs w:val="16"/>
                <w:lang w:eastAsia="sl-SI"/>
              </w:rPr>
            </w:pPr>
            <w:r w:rsidRPr="00CC1495">
              <w:rPr>
                <w:rFonts w:ascii="Arial Narrow" w:hAnsi="Arial Narrow"/>
                <w:bCs/>
                <w:sz w:val="16"/>
                <w:szCs w:val="16"/>
                <w:lang w:eastAsia="sl-SI"/>
              </w:rPr>
              <w:t>60.10</w:t>
            </w:r>
          </w:p>
        </w:tc>
        <w:tc>
          <w:tcPr>
            <w:tcW w:w="809"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Radijska dejavnost</w:t>
            </w:r>
          </w:p>
        </w:tc>
        <w:tc>
          <w:tcPr>
            <w:tcW w:w="382"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864</w:t>
            </w:r>
          </w:p>
        </w:tc>
        <w:tc>
          <w:tcPr>
            <w:tcW w:w="426"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825</w:t>
            </w:r>
          </w:p>
        </w:tc>
        <w:tc>
          <w:tcPr>
            <w:tcW w:w="427"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774</w:t>
            </w:r>
          </w:p>
        </w:tc>
        <w:tc>
          <w:tcPr>
            <w:tcW w:w="379"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801</w:t>
            </w:r>
          </w:p>
        </w:tc>
        <w:tc>
          <w:tcPr>
            <w:tcW w:w="380"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739</w:t>
            </w:r>
          </w:p>
        </w:tc>
        <w:tc>
          <w:tcPr>
            <w:tcW w:w="473"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745</w:t>
            </w:r>
          </w:p>
        </w:tc>
        <w:tc>
          <w:tcPr>
            <w:tcW w:w="427"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755</w:t>
            </w:r>
          </w:p>
        </w:tc>
        <w:tc>
          <w:tcPr>
            <w:tcW w:w="370"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z</w:t>
            </w:r>
          </w:p>
        </w:tc>
      </w:tr>
      <w:tr w:rsidR="008200A6" w:rsidRPr="00CC1495" w:rsidTr="004C5725">
        <w:trPr>
          <w:trHeight w:val="102"/>
        </w:trPr>
        <w:tc>
          <w:tcPr>
            <w:cnfStyle w:val="001000000000" w:firstRow="0" w:lastRow="0" w:firstColumn="1" w:lastColumn="0" w:oddVBand="0" w:evenVBand="0" w:oddHBand="0" w:evenHBand="0" w:firstRowFirstColumn="0" w:firstRowLastColumn="0" w:lastRowFirstColumn="0" w:lastRowLastColumn="0"/>
            <w:tcW w:w="567" w:type="pct"/>
            <w:vMerge/>
            <w:hideMark/>
          </w:tcPr>
          <w:p w:rsidR="008200A6" w:rsidRPr="004C5725" w:rsidRDefault="008200A6" w:rsidP="00C2798B">
            <w:pPr>
              <w:spacing w:after="0" w:line="240" w:lineRule="auto"/>
              <w:rPr>
                <w:rFonts w:ascii="Arial Narrow" w:hAnsi="Arial Narrow"/>
                <w:bCs w:val="0"/>
                <w:sz w:val="16"/>
                <w:szCs w:val="16"/>
                <w:lang w:eastAsia="sl-SI"/>
              </w:rPr>
            </w:pPr>
          </w:p>
        </w:tc>
        <w:tc>
          <w:tcPr>
            <w:tcW w:w="360"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Cs/>
                <w:sz w:val="16"/>
                <w:szCs w:val="16"/>
                <w:lang w:eastAsia="sl-SI"/>
              </w:rPr>
            </w:pPr>
            <w:r w:rsidRPr="00CC1495">
              <w:rPr>
                <w:rFonts w:ascii="Arial Narrow" w:hAnsi="Arial Narrow"/>
                <w:bCs/>
                <w:sz w:val="16"/>
                <w:szCs w:val="16"/>
                <w:lang w:eastAsia="sl-SI"/>
              </w:rPr>
              <w:t>60.20</w:t>
            </w:r>
          </w:p>
        </w:tc>
        <w:tc>
          <w:tcPr>
            <w:tcW w:w="809"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Televizijska dejavnost</w:t>
            </w:r>
          </w:p>
        </w:tc>
        <w:tc>
          <w:tcPr>
            <w:tcW w:w="382"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1.693</w:t>
            </w:r>
          </w:p>
        </w:tc>
        <w:tc>
          <w:tcPr>
            <w:tcW w:w="426"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1.659</w:t>
            </w:r>
          </w:p>
        </w:tc>
        <w:tc>
          <w:tcPr>
            <w:tcW w:w="427"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1.697</w:t>
            </w:r>
          </w:p>
        </w:tc>
        <w:tc>
          <w:tcPr>
            <w:tcW w:w="379"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1.696</w:t>
            </w:r>
          </w:p>
        </w:tc>
        <w:tc>
          <w:tcPr>
            <w:tcW w:w="380"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1.859</w:t>
            </w:r>
          </w:p>
        </w:tc>
        <w:tc>
          <w:tcPr>
            <w:tcW w:w="473"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1.707</w:t>
            </w:r>
          </w:p>
        </w:tc>
        <w:tc>
          <w:tcPr>
            <w:tcW w:w="427"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1.749</w:t>
            </w:r>
          </w:p>
        </w:tc>
        <w:tc>
          <w:tcPr>
            <w:tcW w:w="370"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z</w:t>
            </w:r>
          </w:p>
        </w:tc>
      </w:tr>
      <w:tr w:rsidR="008200A6" w:rsidRPr="00CC1495" w:rsidTr="004C5725">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567" w:type="pct"/>
            <w:vMerge/>
            <w:hideMark/>
          </w:tcPr>
          <w:p w:rsidR="008200A6" w:rsidRPr="004C5725" w:rsidRDefault="008200A6" w:rsidP="00C2798B">
            <w:pPr>
              <w:spacing w:after="0" w:line="240" w:lineRule="auto"/>
              <w:rPr>
                <w:rFonts w:ascii="Arial Narrow" w:hAnsi="Arial Narrow"/>
                <w:bCs w:val="0"/>
                <w:sz w:val="16"/>
                <w:szCs w:val="16"/>
                <w:lang w:eastAsia="sl-SI"/>
              </w:rPr>
            </w:pPr>
          </w:p>
        </w:tc>
        <w:tc>
          <w:tcPr>
            <w:tcW w:w="360"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Cs/>
                <w:sz w:val="16"/>
                <w:szCs w:val="16"/>
                <w:lang w:eastAsia="sl-SI"/>
              </w:rPr>
            </w:pPr>
            <w:r w:rsidRPr="00CC1495">
              <w:rPr>
                <w:rFonts w:ascii="Arial Narrow" w:hAnsi="Arial Narrow"/>
                <w:bCs/>
                <w:sz w:val="16"/>
                <w:szCs w:val="16"/>
                <w:lang w:eastAsia="sl-SI"/>
              </w:rPr>
              <w:t> </w:t>
            </w:r>
          </w:p>
        </w:tc>
        <w:tc>
          <w:tcPr>
            <w:tcW w:w="809"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Radijska dejavnost in televizijska dejavnost</w:t>
            </w:r>
          </w:p>
        </w:tc>
        <w:tc>
          <w:tcPr>
            <w:tcW w:w="382" w:type="pct"/>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p>
        </w:tc>
        <w:tc>
          <w:tcPr>
            <w:tcW w:w="426" w:type="pct"/>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p>
        </w:tc>
        <w:tc>
          <w:tcPr>
            <w:tcW w:w="427" w:type="pct"/>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p>
        </w:tc>
        <w:tc>
          <w:tcPr>
            <w:tcW w:w="379" w:type="pct"/>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p>
        </w:tc>
        <w:tc>
          <w:tcPr>
            <w:tcW w:w="380" w:type="pct"/>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p>
        </w:tc>
        <w:tc>
          <w:tcPr>
            <w:tcW w:w="473" w:type="pct"/>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p>
        </w:tc>
        <w:tc>
          <w:tcPr>
            <w:tcW w:w="427" w:type="pct"/>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p>
        </w:tc>
        <w:tc>
          <w:tcPr>
            <w:tcW w:w="370"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2.528</w:t>
            </w:r>
          </w:p>
        </w:tc>
      </w:tr>
      <w:tr w:rsidR="008200A6" w:rsidRPr="00CC1495" w:rsidTr="004C5725">
        <w:trPr>
          <w:trHeight w:val="102"/>
        </w:trPr>
        <w:tc>
          <w:tcPr>
            <w:cnfStyle w:val="001000000000" w:firstRow="0" w:lastRow="0" w:firstColumn="1" w:lastColumn="0" w:oddVBand="0" w:evenVBand="0" w:oddHBand="0" w:evenHBand="0" w:firstRowFirstColumn="0" w:firstRowLastColumn="0" w:lastRowFirstColumn="0" w:lastRowLastColumn="0"/>
            <w:tcW w:w="567" w:type="pct"/>
            <w:vMerge/>
            <w:hideMark/>
          </w:tcPr>
          <w:p w:rsidR="008200A6" w:rsidRPr="004C5725" w:rsidRDefault="008200A6" w:rsidP="00C2798B">
            <w:pPr>
              <w:spacing w:after="0" w:line="240" w:lineRule="auto"/>
              <w:rPr>
                <w:rFonts w:ascii="Arial Narrow" w:hAnsi="Arial Narrow"/>
                <w:bCs w:val="0"/>
                <w:sz w:val="16"/>
                <w:szCs w:val="16"/>
                <w:lang w:eastAsia="sl-SI"/>
              </w:rPr>
            </w:pPr>
          </w:p>
        </w:tc>
        <w:tc>
          <w:tcPr>
            <w:tcW w:w="360"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47.630</w:t>
            </w:r>
          </w:p>
        </w:tc>
        <w:tc>
          <w:tcPr>
            <w:tcW w:w="809"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Trgovina na drobno v specializiranih prodajalnah z glasbenimi in video zapisi</w:t>
            </w:r>
          </w:p>
        </w:tc>
        <w:tc>
          <w:tcPr>
            <w:tcW w:w="382"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z</w:t>
            </w:r>
          </w:p>
        </w:tc>
        <w:tc>
          <w:tcPr>
            <w:tcW w:w="426"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z</w:t>
            </w:r>
          </w:p>
        </w:tc>
        <w:tc>
          <w:tcPr>
            <w:tcW w:w="427"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z</w:t>
            </w:r>
          </w:p>
        </w:tc>
        <w:tc>
          <w:tcPr>
            <w:tcW w:w="379"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z</w:t>
            </w:r>
          </w:p>
        </w:tc>
        <w:tc>
          <w:tcPr>
            <w:tcW w:w="380"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z</w:t>
            </w:r>
          </w:p>
        </w:tc>
        <w:tc>
          <w:tcPr>
            <w:tcW w:w="473"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z</w:t>
            </w:r>
          </w:p>
        </w:tc>
        <w:tc>
          <w:tcPr>
            <w:tcW w:w="427"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7</w:t>
            </w:r>
          </w:p>
        </w:tc>
        <w:tc>
          <w:tcPr>
            <w:tcW w:w="370"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5</w:t>
            </w:r>
          </w:p>
        </w:tc>
      </w:tr>
      <w:tr w:rsidR="008200A6" w:rsidRPr="00CC1495" w:rsidTr="004C5725">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567" w:type="pct"/>
            <w:vMerge/>
            <w:hideMark/>
          </w:tcPr>
          <w:p w:rsidR="008200A6" w:rsidRPr="004C5725" w:rsidRDefault="008200A6" w:rsidP="00C2798B">
            <w:pPr>
              <w:spacing w:after="0" w:line="240" w:lineRule="auto"/>
              <w:rPr>
                <w:rFonts w:ascii="Arial Narrow" w:hAnsi="Arial Narrow"/>
                <w:bCs w:val="0"/>
                <w:sz w:val="16"/>
                <w:szCs w:val="16"/>
                <w:lang w:eastAsia="sl-SI"/>
              </w:rPr>
            </w:pPr>
          </w:p>
        </w:tc>
        <w:tc>
          <w:tcPr>
            <w:tcW w:w="360"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77.220</w:t>
            </w:r>
          </w:p>
        </w:tc>
        <w:tc>
          <w:tcPr>
            <w:tcW w:w="809"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Dajanje videokaset in plošč v najem</w:t>
            </w:r>
          </w:p>
        </w:tc>
        <w:tc>
          <w:tcPr>
            <w:tcW w:w="382"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66</w:t>
            </w:r>
          </w:p>
        </w:tc>
        <w:tc>
          <w:tcPr>
            <w:tcW w:w="426"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60</w:t>
            </w:r>
          </w:p>
        </w:tc>
        <w:tc>
          <w:tcPr>
            <w:tcW w:w="427"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50</w:t>
            </w:r>
          </w:p>
        </w:tc>
        <w:tc>
          <w:tcPr>
            <w:tcW w:w="379"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27</w:t>
            </w:r>
          </w:p>
        </w:tc>
        <w:tc>
          <w:tcPr>
            <w:tcW w:w="380"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15</w:t>
            </w:r>
          </w:p>
        </w:tc>
        <w:tc>
          <w:tcPr>
            <w:tcW w:w="473"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12</w:t>
            </w:r>
          </w:p>
        </w:tc>
        <w:tc>
          <w:tcPr>
            <w:tcW w:w="427"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13</w:t>
            </w:r>
          </w:p>
        </w:tc>
        <w:tc>
          <w:tcPr>
            <w:tcW w:w="370"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11</w:t>
            </w:r>
          </w:p>
        </w:tc>
      </w:tr>
      <w:tr w:rsidR="008200A6" w:rsidRPr="00CC1495" w:rsidTr="004C5725">
        <w:trPr>
          <w:trHeight w:val="102"/>
        </w:trPr>
        <w:tc>
          <w:tcPr>
            <w:cnfStyle w:val="001000000000" w:firstRow="0" w:lastRow="0" w:firstColumn="1" w:lastColumn="0" w:oddVBand="0" w:evenVBand="0" w:oddHBand="0" w:evenHBand="0" w:firstRowFirstColumn="0" w:firstRowLastColumn="0" w:lastRowFirstColumn="0" w:lastRowLastColumn="0"/>
            <w:tcW w:w="567" w:type="pct"/>
            <w:hideMark/>
          </w:tcPr>
          <w:p w:rsidR="008200A6" w:rsidRPr="004C5725" w:rsidRDefault="008200A6" w:rsidP="00C2798B">
            <w:pPr>
              <w:spacing w:after="0" w:line="240" w:lineRule="auto"/>
              <w:rPr>
                <w:rFonts w:ascii="Arial Narrow" w:hAnsi="Arial Narrow"/>
                <w:bCs w:val="0"/>
                <w:sz w:val="16"/>
                <w:szCs w:val="16"/>
                <w:lang w:eastAsia="sl-SI"/>
              </w:rPr>
            </w:pPr>
            <w:r w:rsidRPr="004C5725">
              <w:rPr>
                <w:rFonts w:ascii="Arial Narrow" w:hAnsi="Arial Narrow"/>
                <w:bCs w:val="0"/>
                <w:sz w:val="16"/>
                <w:szCs w:val="16"/>
                <w:lang w:eastAsia="sl-SI"/>
              </w:rPr>
              <w:t>Oglaševanje</w:t>
            </w:r>
          </w:p>
        </w:tc>
        <w:tc>
          <w:tcPr>
            <w:tcW w:w="360"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73.110</w:t>
            </w:r>
          </w:p>
        </w:tc>
        <w:tc>
          <w:tcPr>
            <w:tcW w:w="809"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Dejavnost oglaševalskih agencij</w:t>
            </w:r>
          </w:p>
        </w:tc>
        <w:tc>
          <w:tcPr>
            <w:tcW w:w="382"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1.700</w:t>
            </w:r>
          </w:p>
        </w:tc>
        <w:tc>
          <w:tcPr>
            <w:tcW w:w="426"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1.660</w:t>
            </w:r>
          </w:p>
        </w:tc>
        <w:tc>
          <w:tcPr>
            <w:tcW w:w="427"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1.700</w:t>
            </w:r>
          </w:p>
        </w:tc>
        <w:tc>
          <w:tcPr>
            <w:tcW w:w="379"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1.653</w:t>
            </w:r>
          </w:p>
        </w:tc>
        <w:tc>
          <w:tcPr>
            <w:tcW w:w="380"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1.657</w:t>
            </w:r>
          </w:p>
        </w:tc>
        <w:tc>
          <w:tcPr>
            <w:tcW w:w="473"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1.695</w:t>
            </w:r>
          </w:p>
        </w:tc>
        <w:tc>
          <w:tcPr>
            <w:tcW w:w="427"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1.659</w:t>
            </w:r>
          </w:p>
        </w:tc>
        <w:tc>
          <w:tcPr>
            <w:tcW w:w="370"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1.759</w:t>
            </w:r>
          </w:p>
        </w:tc>
      </w:tr>
      <w:tr w:rsidR="008200A6" w:rsidRPr="00CC1495" w:rsidTr="004C5725">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567" w:type="pct"/>
            <w:hideMark/>
          </w:tcPr>
          <w:p w:rsidR="008200A6" w:rsidRPr="004C5725" w:rsidRDefault="008200A6" w:rsidP="00C2798B">
            <w:pPr>
              <w:spacing w:after="0" w:line="240" w:lineRule="auto"/>
              <w:rPr>
                <w:rFonts w:ascii="Arial Narrow" w:hAnsi="Arial Narrow"/>
                <w:bCs w:val="0"/>
                <w:sz w:val="16"/>
                <w:szCs w:val="16"/>
                <w:lang w:eastAsia="sl-SI"/>
              </w:rPr>
            </w:pPr>
            <w:r w:rsidRPr="004C5725">
              <w:rPr>
                <w:rFonts w:ascii="Arial Narrow" w:hAnsi="Arial Narrow"/>
                <w:bCs w:val="0"/>
                <w:sz w:val="16"/>
                <w:szCs w:val="16"/>
                <w:lang w:eastAsia="sl-SI"/>
              </w:rPr>
              <w:t>Usposabljanje</w:t>
            </w:r>
          </w:p>
        </w:tc>
        <w:tc>
          <w:tcPr>
            <w:tcW w:w="360"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Cs/>
                <w:sz w:val="16"/>
                <w:szCs w:val="16"/>
                <w:lang w:eastAsia="sl-SI"/>
              </w:rPr>
            </w:pPr>
            <w:r w:rsidRPr="00CC1495">
              <w:rPr>
                <w:rFonts w:ascii="Arial Narrow" w:hAnsi="Arial Narrow"/>
                <w:bCs/>
                <w:sz w:val="16"/>
                <w:szCs w:val="16"/>
                <w:lang w:eastAsia="sl-SI"/>
              </w:rPr>
              <w:t>85.52</w:t>
            </w:r>
          </w:p>
        </w:tc>
        <w:tc>
          <w:tcPr>
            <w:tcW w:w="809"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Izobraževanje, izpopolnjevanje in usposabljanje na področju kulture in umetnosti</w:t>
            </w:r>
          </w:p>
        </w:tc>
        <w:tc>
          <w:tcPr>
            <w:tcW w:w="382"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1.642</w:t>
            </w:r>
          </w:p>
        </w:tc>
        <w:tc>
          <w:tcPr>
            <w:tcW w:w="426"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1.722</w:t>
            </w:r>
          </w:p>
        </w:tc>
        <w:tc>
          <w:tcPr>
            <w:tcW w:w="427"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1.842</w:t>
            </w:r>
          </w:p>
        </w:tc>
        <w:tc>
          <w:tcPr>
            <w:tcW w:w="379"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1.968</w:t>
            </w:r>
          </w:p>
        </w:tc>
        <w:tc>
          <w:tcPr>
            <w:tcW w:w="380"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1.990</w:t>
            </w:r>
          </w:p>
        </w:tc>
        <w:tc>
          <w:tcPr>
            <w:tcW w:w="473"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2.037</w:t>
            </w:r>
          </w:p>
        </w:tc>
        <w:tc>
          <w:tcPr>
            <w:tcW w:w="427"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2.066</w:t>
            </w:r>
          </w:p>
        </w:tc>
        <w:tc>
          <w:tcPr>
            <w:tcW w:w="370"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2.114</w:t>
            </w:r>
          </w:p>
        </w:tc>
      </w:tr>
      <w:tr w:rsidR="008200A6" w:rsidRPr="00CC1495" w:rsidTr="004C5725">
        <w:trPr>
          <w:trHeight w:val="102"/>
        </w:trPr>
        <w:tc>
          <w:tcPr>
            <w:cnfStyle w:val="001000000000" w:firstRow="0" w:lastRow="0" w:firstColumn="1" w:lastColumn="0" w:oddVBand="0" w:evenVBand="0" w:oddHBand="0" w:evenHBand="0" w:firstRowFirstColumn="0" w:firstRowLastColumn="0" w:lastRowFirstColumn="0" w:lastRowLastColumn="0"/>
            <w:tcW w:w="567" w:type="pct"/>
            <w:vMerge w:val="restart"/>
            <w:hideMark/>
          </w:tcPr>
          <w:p w:rsidR="008200A6" w:rsidRPr="004C5725" w:rsidRDefault="008200A6" w:rsidP="00C14091">
            <w:pPr>
              <w:pStyle w:val="Podpispodtabeloaligrafom"/>
              <w:spacing w:after="0"/>
            </w:pPr>
            <w:r w:rsidRPr="004C5725">
              <w:rPr>
                <w:bCs w:val="0"/>
                <w:lang w:eastAsia="sl-SI"/>
              </w:rPr>
              <w:t>Uprizoritvene umetnosti</w:t>
            </w:r>
          </w:p>
        </w:tc>
        <w:tc>
          <w:tcPr>
            <w:tcW w:w="360"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Cs/>
                <w:sz w:val="16"/>
                <w:szCs w:val="16"/>
                <w:lang w:eastAsia="sl-SI"/>
              </w:rPr>
            </w:pPr>
            <w:r w:rsidRPr="00CC1495">
              <w:rPr>
                <w:rFonts w:ascii="Arial Narrow" w:hAnsi="Arial Narrow"/>
                <w:bCs/>
                <w:sz w:val="16"/>
                <w:szCs w:val="16"/>
                <w:lang w:eastAsia="sl-SI"/>
              </w:rPr>
              <w:t>90.01</w:t>
            </w:r>
          </w:p>
        </w:tc>
        <w:tc>
          <w:tcPr>
            <w:tcW w:w="809"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Umetniško uprizarjanje</w:t>
            </w:r>
            <w:r w:rsidR="00C14091">
              <w:rPr>
                <w:rFonts w:ascii="Arial Narrow" w:hAnsi="Arial Narrow"/>
                <w:sz w:val="16"/>
                <w:szCs w:val="16"/>
                <w:lang w:eastAsia="sl-SI"/>
              </w:rPr>
              <w:t>**</w:t>
            </w:r>
            <w:r w:rsidR="00A00BF0">
              <w:rPr>
                <w:rFonts w:ascii="Arial Narrow" w:hAnsi="Arial Narrow"/>
                <w:sz w:val="16"/>
                <w:szCs w:val="16"/>
                <w:lang w:eastAsia="sl-SI"/>
              </w:rPr>
              <w:t>*</w:t>
            </w:r>
          </w:p>
        </w:tc>
        <w:tc>
          <w:tcPr>
            <w:tcW w:w="382"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1.369</w:t>
            </w:r>
          </w:p>
        </w:tc>
        <w:tc>
          <w:tcPr>
            <w:tcW w:w="426"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1.451</w:t>
            </w:r>
          </w:p>
        </w:tc>
        <w:tc>
          <w:tcPr>
            <w:tcW w:w="427"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1.475</w:t>
            </w:r>
          </w:p>
        </w:tc>
        <w:tc>
          <w:tcPr>
            <w:tcW w:w="379"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1.535</w:t>
            </w:r>
          </w:p>
        </w:tc>
        <w:tc>
          <w:tcPr>
            <w:tcW w:w="380"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1.551</w:t>
            </w:r>
          </w:p>
        </w:tc>
        <w:tc>
          <w:tcPr>
            <w:tcW w:w="473"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1.591</w:t>
            </w:r>
          </w:p>
        </w:tc>
        <w:tc>
          <w:tcPr>
            <w:tcW w:w="427"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1.675</w:t>
            </w:r>
          </w:p>
        </w:tc>
        <w:tc>
          <w:tcPr>
            <w:tcW w:w="370"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1.796</w:t>
            </w:r>
          </w:p>
        </w:tc>
      </w:tr>
      <w:tr w:rsidR="008200A6" w:rsidRPr="00CC1495" w:rsidTr="004C5725">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567" w:type="pct"/>
            <w:vMerge/>
            <w:hideMark/>
          </w:tcPr>
          <w:p w:rsidR="008200A6" w:rsidRPr="004C5725" w:rsidRDefault="008200A6" w:rsidP="00C2798B">
            <w:pPr>
              <w:spacing w:after="0" w:line="240" w:lineRule="auto"/>
              <w:rPr>
                <w:rFonts w:ascii="Arial Narrow" w:hAnsi="Arial Narrow"/>
                <w:bCs w:val="0"/>
                <w:sz w:val="16"/>
                <w:szCs w:val="16"/>
                <w:lang w:eastAsia="sl-SI"/>
              </w:rPr>
            </w:pPr>
          </w:p>
        </w:tc>
        <w:tc>
          <w:tcPr>
            <w:tcW w:w="360"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Cs/>
                <w:sz w:val="16"/>
                <w:szCs w:val="16"/>
                <w:lang w:eastAsia="sl-SI"/>
              </w:rPr>
            </w:pPr>
            <w:r w:rsidRPr="00CC1495">
              <w:rPr>
                <w:rFonts w:ascii="Arial Narrow" w:hAnsi="Arial Narrow"/>
                <w:bCs/>
                <w:sz w:val="16"/>
                <w:szCs w:val="16"/>
                <w:lang w:eastAsia="sl-SI"/>
              </w:rPr>
              <w:t>90.02</w:t>
            </w:r>
          </w:p>
        </w:tc>
        <w:tc>
          <w:tcPr>
            <w:tcW w:w="809"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Spremljajoče dejavnosti za umetniško uprizarjanje</w:t>
            </w:r>
          </w:p>
        </w:tc>
        <w:tc>
          <w:tcPr>
            <w:tcW w:w="382"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298</w:t>
            </w:r>
          </w:p>
        </w:tc>
        <w:tc>
          <w:tcPr>
            <w:tcW w:w="426"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315</w:t>
            </w:r>
          </w:p>
        </w:tc>
        <w:tc>
          <w:tcPr>
            <w:tcW w:w="427"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349</w:t>
            </w:r>
          </w:p>
        </w:tc>
        <w:tc>
          <w:tcPr>
            <w:tcW w:w="379"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372</w:t>
            </w:r>
          </w:p>
        </w:tc>
        <w:tc>
          <w:tcPr>
            <w:tcW w:w="380"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378</w:t>
            </w:r>
          </w:p>
        </w:tc>
        <w:tc>
          <w:tcPr>
            <w:tcW w:w="473"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399</w:t>
            </w:r>
          </w:p>
        </w:tc>
        <w:tc>
          <w:tcPr>
            <w:tcW w:w="427"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465</w:t>
            </w:r>
          </w:p>
        </w:tc>
        <w:tc>
          <w:tcPr>
            <w:tcW w:w="370"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509</w:t>
            </w:r>
          </w:p>
        </w:tc>
      </w:tr>
      <w:tr w:rsidR="008200A6" w:rsidRPr="00CC1495" w:rsidTr="004C5725">
        <w:trPr>
          <w:trHeight w:val="102"/>
        </w:trPr>
        <w:tc>
          <w:tcPr>
            <w:cnfStyle w:val="001000000000" w:firstRow="0" w:lastRow="0" w:firstColumn="1" w:lastColumn="0" w:oddVBand="0" w:evenVBand="0" w:oddHBand="0" w:evenHBand="0" w:firstRowFirstColumn="0" w:firstRowLastColumn="0" w:lastRowFirstColumn="0" w:lastRowLastColumn="0"/>
            <w:tcW w:w="567" w:type="pct"/>
            <w:vMerge/>
            <w:hideMark/>
          </w:tcPr>
          <w:p w:rsidR="008200A6" w:rsidRPr="004C5725" w:rsidRDefault="008200A6" w:rsidP="00C2798B">
            <w:pPr>
              <w:spacing w:after="0" w:line="240" w:lineRule="auto"/>
              <w:rPr>
                <w:rFonts w:ascii="Arial Narrow" w:hAnsi="Arial Narrow"/>
                <w:bCs w:val="0"/>
                <w:sz w:val="16"/>
                <w:szCs w:val="16"/>
                <w:lang w:eastAsia="sl-SI"/>
              </w:rPr>
            </w:pPr>
          </w:p>
        </w:tc>
        <w:tc>
          <w:tcPr>
            <w:tcW w:w="360"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Cs/>
                <w:sz w:val="16"/>
                <w:szCs w:val="16"/>
                <w:lang w:eastAsia="sl-SI"/>
              </w:rPr>
            </w:pPr>
            <w:r w:rsidRPr="00CC1495">
              <w:rPr>
                <w:rFonts w:ascii="Arial Narrow" w:hAnsi="Arial Narrow"/>
                <w:bCs/>
                <w:sz w:val="16"/>
                <w:szCs w:val="16"/>
                <w:lang w:eastAsia="sl-SI"/>
              </w:rPr>
              <w:t>90.04</w:t>
            </w:r>
          </w:p>
        </w:tc>
        <w:tc>
          <w:tcPr>
            <w:tcW w:w="809"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Obratovanje objektov za kulturne prireditve</w:t>
            </w:r>
          </w:p>
        </w:tc>
        <w:tc>
          <w:tcPr>
            <w:tcW w:w="382"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494</w:t>
            </w:r>
          </w:p>
        </w:tc>
        <w:tc>
          <w:tcPr>
            <w:tcW w:w="426"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493</w:t>
            </w:r>
          </w:p>
        </w:tc>
        <w:tc>
          <w:tcPr>
            <w:tcW w:w="427"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501</w:t>
            </w:r>
          </w:p>
        </w:tc>
        <w:tc>
          <w:tcPr>
            <w:tcW w:w="379"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516</w:t>
            </w:r>
          </w:p>
        </w:tc>
        <w:tc>
          <w:tcPr>
            <w:tcW w:w="380"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515</w:t>
            </w:r>
          </w:p>
        </w:tc>
        <w:tc>
          <w:tcPr>
            <w:tcW w:w="473"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525</w:t>
            </w:r>
          </w:p>
        </w:tc>
        <w:tc>
          <w:tcPr>
            <w:tcW w:w="427"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552</w:t>
            </w:r>
          </w:p>
        </w:tc>
        <w:tc>
          <w:tcPr>
            <w:tcW w:w="370" w:type="pct"/>
            <w:hideMark/>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lang w:eastAsia="sl-SI"/>
              </w:rPr>
            </w:pPr>
            <w:r w:rsidRPr="00CC1495">
              <w:rPr>
                <w:rFonts w:ascii="Arial Narrow" w:hAnsi="Arial Narrow"/>
                <w:sz w:val="16"/>
                <w:szCs w:val="16"/>
                <w:lang w:eastAsia="sl-SI"/>
              </w:rPr>
              <w:t>527</w:t>
            </w:r>
          </w:p>
        </w:tc>
      </w:tr>
      <w:tr w:rsidR="008200A6" w:rsidRPr="00CC1495" w:rsidTr="004C5725">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1736" w:type="pct"/>
            <w:gridSpan w:val="3"/>
            <w:hideMark/>
          </w:tcPr>
          <w:p w:rsidR="008200A6" w:rsidRPr="004C5725" w:rsidRDefault="008200A6" w:rsidP="00C2798B">
            <w:pPr>
              <w:spacing w:after="0" w:line="240" w:lineRule="auto"/>
              <w:rPr>
                <w:rFonts w:ascii="Arial Narrow" w:hAnsi="Arial Narrow"/>
                <w:sz w:val="16"/>
                <w:szCs w:val="16"/>
                <w:lang w:eastAsia="sl-SI"/>
              </w:rPr>
            </w:pPr>
            <w:r w:rsidRPr="004C5725">
              <w:rPr>
                <w:rFonts w:ascii="Arial Narrow" w:hAnsi="Arial Narrow"/>
                <w:sz w:val="16"/>
                <w:szCs w:val="16"/>
                <w:lang w:eastAsia="sl-SI"/>
              </w:rPr>
              <w:t>Skupaj delovno aktivni v kulturi</w:t>
            </w:r>
          </w:p>
        </w:tc>
        <w:tc>
          <w:tcPr>
            <w:tcW w:w="382"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sz w:val="16"/>
                <w:szCs w:val="16"/>
                <w:lang w:eastAsia="sl-SI"/>
              </w:rPr>
            </w:pPr>
            <w:r w:rsidRPr="00CC1495">
              <w:rPr>
                <w:rFonts w:ascii="Arial Narrow" w:hAnsi="Arial Narrow"/>
                <w:b/>
                <w:sz w:val="16"/>
                <w:szCs w:val="16"/>
                <w:lang w:eastAsia="sl-SI"/>
              </w:rPr>
              <w:t>24.234</w:t>
            </w:r>
          </w:p>
        </w:tc>
        <w:tc>
          <w:tcPr>
            <w:tcW w:w="426"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sz w:val="16"/>
                <w:szCs w:val="16"/>
                <w:lang w:eastAsia="sl-SI"/>
              </w:rPr>
            </w:pPr>
            <w:r w:rsidRPr="00CC1495">
              <w:rPr>
                <w:rFonts w:ascii="Arial Narrow" w:hAnsi="Arial Narrow"/>
                <w:b/>
                <w:sz w:val="16"/>
                <w:szCs w:val="16"/>
                <w:lang w:eastAsia="sl-SI"/>
              </w:rPr>
              <w:t>24.636</w:t>
            </w:r>
          </w:p>
        </w:tc>
        <w:tc>
          <w:tcPr>
            <w:tcW w:w="427"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sz w:val="16"/>
                <w:szCs w:val="16"/>
                <w:lang w:eastAsia="sl-SI"/>
              </w:rPr>
            </w:pPr>
            <w:r w:rsidRPr="00CC1495">
              <w:rPr>
                <w:rFonts w:ascii="Arial Narrow" w:hAnsi="Arial Narrow"/>
                <w:b/>
                <w:sz w:val="16"/>
                <w:szCs w:val="16"/>
                <w:lang w:eastAsia="sl-SI"/>
              </w:rPr>
              <w:t>24.866</w:t>
            </w:r>
          </w:p>
        </w:tc>
        <w:tc>
          <w:tcPr>
            <w:tcW w:w="379"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sz w:val="16"/>
                <w:szCs w:val="16"/>
                <w:lang w:eastAsia="sl-SI"/>
              </w:rPr>
            </w:pPr>
            <w:r w:rsidRPr="00CC1495">
              <w:rPr>
                <w:rFonts w:ascii="Arial Narrow" w:hAnsi="Arial Narrow"/>
                <w:b/>
                <w:sz w:val="16"/>
                <w:szCs w:val="16"/>
                <w:lang w:eastAsia="sl-SI"/>
              </w:rPr>
              <w:t>24.832</w:t>
            </w:r>
          </w:p>
        </w:tc>
        <w:tc>
          <w:tcPr>
            <w:tcW w:w="380"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sz w:val="16"/>
                <w:szCs w:val="16"/>
                <w:lang w:eastAsia="sl-SI"/>
              </w:rPr>
            </w:pPr>
            <w:r w:rsidRPr="00CC1495">
              <w:rPr>
                <w:rFonts w:ascii="Arial Narrow" w:hAnsi="Arial Narrow"/>
                <w:b/>
                <w:sz w:val="16"/>
                <w:szCs w:val="16"/>
                <w:lang w:eastAsia="sl-SI"/>
              </w:rPr>
              <w:t>24.493</w:t>
            </w:r>
          </w:p>
        </w:tc>
        <w:tc>
          <w:tcPr>
            <w:tcW w:w="473"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sz w:val="16"/>
                <w:szCs w:val="16"/>
                <w:lang w:eastAsia="sl-SI"/>
              </w:rPr>
            </w:pPr>
            <w:r w:rsidRPr="00CC1495">
              <w:rPr>
                <w:rFonts w:ascii="Arial Narrow" w:hAnsi="Arial Narrow"/>
                <w:b/>
                <w:sz w:val="16"/>
                <w:szCs w:val="16"/>
                <w:lang w:eastAsia="sl-SI"/>
              </w:rPr>
              <w:t>24.436</w:t>
            </w:r>
          </w:p>
        </w:tc>
        <w:tc>
          <w:tcPr>
            <w:tcW w:w="427"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sz w:val="16"/>
                <w:szCs w:val="16"/>
                <w:lang w:eastAsia="sl-SI"/>
              </w:rPr>
            </w:pPr>
            <w:r w:rsidRPr="00CC1495">
              <w:rPr>
                <w:rFonts w:ascii="Arial Narrow" w:hAnsi="Arial Narrow"/>
                <w:b/>
                <w:sz w:val="16"/>
                <w:szCs w:val="16"/>
                <w:lang w:eastAsia="sl-SI"/>
              </w:rPr>
              <w:t>24.894</w:t>
            </w:r>
          </w:p>
        </w:tc>
        <w:tc>
          <w:tcPr>
            <w:tcW w:w="370" w:type="pct"/>
            <w:hideMark/>
          </w:tcPr>
          <w:p w:rsidR="008200A6" w:rsidRPr="00CC1495" w:rsidRDefault="008200A6" w:rsidP="00C2798B">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sz w:val="16"/>
                <w:szCs w:val="16"/>
                <w:lang w:eastAsia="sl-SI"/>
              </w:rPr>
            </w:pPr>
            <w:r w:rsidRPr="00CC1495">
              <w:rPr>
                <w:rFonts w:ascii="Arial Narrow" w:hAnsi="Arial Narrow"/>
                <w:b/>
                <w:sz w:val="16"/>
                <w:szCs w:val="16"/>
                <w:lang w:eastAsia="sl-SI"/>
              </w:rPr>
              <w:t>25.282</w:t>
            </w:r>
          </w:p>
        </w:tc>
      </w:tr>
      <w:tr w:rsidR="008200A6" w:rsidRPr="00CC1495" w:rsidTr="004C5725">
        <w:trPr>
          <w:trHeight w:val="102"/>
        </w:trPr>
        <w:tc>
          <w:tcPr>
            <w:cnfStyle w:val="001000000000" w:firstRow="0" w:lastRow="0" w:firstColumn="1" w:lastColumn="0" w:oddVBand="0" w:evenVBand="0" w:oddHBand="0" w:evenHBand="0" w:firstRowFirstColumn="0" w:firstRowLastColumn="0" w:lastRowFirstColumn="0" w:lastRowLastColumn="0"/>
            <w:tcW w:w="1736" w:type="pct"/>
            <w:gridSpan w:val="3"/>
          </w:tcPr>
          <w:p w:rsidR="008200A6" w:rsidRPr="004C5725" w:rsidRDefault="008200A6" w:rsidP="00C2798B">
            <w:pPr>
              <w:spacing w:after="0" w:line="240" w:lineRule="auto"/>
              <w:rPr>
                <w:rFonts w:ascii="Arial Narrow" w:hAnsi="Arial Narrow"/>
                <w:sz w:val="16"/>
                <w:szCs w:val="16"/>
              </w:rPr>
            </w:pPr>
            <w:r w:rsidRPr="004C5725">
              <w:rPr>
                <w:rFonts w:ascii="Arial Narrow" w:hAnsi="Arial Narrow"/>
                <w:sz w:val="16"/>
                <w:szCs w:val="16"/>
              </w:rPr>
              <w:t>Delovno aktivni v vseh dejavnostih skupaj*</w:t>
            </w:r>
          </w:p>
        </w:tc>
        <w:tc>
          <w:tcPr>
            <w:tcW w:w="382" w:type="pct"/>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sz w:val="16"/>
                <w:szCs w:val="16"/>
                <w:lang w:eastAsia="sl-SI"/>
              </w:rPr>
            </w:pPr>
            <w:r w:rsidRPr="00CC1495">
              <w:rPr>
                <w:rFonts w:ascii="Arial Narrow" w:hAnsi="Arial Narrow"/>
                <w:b/>
                <w:sz w:val="16"/>
                <w:szCs w:val="16"/>
                <w:lang w:eastAsia="sl-SI"/>
              </w:rPr>
              <w:t>880.252</w:t>
            </w:r>
          </w:p>
        </w:tc>
        <w:tc>
          <w:tcPr>
            <w:tcW w:w="426" w:type="pct"/>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sz w:val="16"/>
                <w:szCs w:val="16"/>
                <w:lang w:eastAsia="sl-SI"/>
              </w:rPr>
            </w:pPr>
            <w:r w:rsidRPr="00CC1495">
              <w:rPr>
                <w:rFonts w:ascii="Arial Narrow" w:hAnsi="Arial Narrow"/>
                <w:b/>
                <w:sz w:val="16"/>
                <w:szCs w:val="16"/>
                <w:lang w:eastAsia="sl-SI"/>
              </w:rPr>
              <w:t>844.655</w:t>
            </w:r>
          </w:p>
        </w:tc>
        <w:tc>
          <w:tcPr>
            <w:tcW w:w="427" w:type="pct"/>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sz w:val="16"/>
                <w:szCs w:val="16"/>
                <w:lang w:eastAsia="sl-SI"/>
              </w:rPr>
            </w:pPr>
            <w:r w:rsidRPr="00CC1495">
              <w:rPr>
                <w:rFonts w:ascii="Arial Narrow" w:hAnsi="Arial Narrow"/>
                <w:b/>
                <w:sz w:val="16"/>
                <w:szCs w:val="16"/>
                <w:lang w:eastAsia="sl-SI"/>
              </w:rPr>
              <w:t>818.975</w:t>
            </w:r>
          </w:p>
        </w:tc>
        <w:tc>
          <w:tcPr>
            <w:tcW w:w="379" w:type="pct"/>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sz w:val="16"/>
                <w:szCs w:val="16"/>
                <w:lang w:eastAsia="sl-SI"/>
              </w:rPr>
            </w:pPr>
            <w:r w:rsidRPr="00CC1495">
              <w:rPr>
                <w:rFonts w:ascii="Arial Narrow" w:hAnsi="Arial Narrow"/>
                <w:b/>
                <w:sz w:val="16"/>
                <w:szCs w:val="16"/>
                <w:lang w:eastAsia="sl-SI"/>
              </w:rPr>
              <w:t>817.311</w:t>
            </w:r>
          </w:p>
        </w:tc>
        <w:tc>
          <w:tcPr>
            <w:tcW w:w="380" w:type="pct"/>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sz w:val="16"/>
                <w:szCs w:val="16"/>
                <w:lang w:eastAsia="sl-SI"/>
              </w:rPr>
            </w:pPr>
            <w:r w:rsidRPr="00CC1495">
              <w:rPr>
                <w:rFonts w:ascii="Arial Narrow" w:hAnsi="Arial Narrow"/>
                <w:b/>
                <w:sz w:val="16"/>
                <w:szCs w:val="16"/>
                <w:lang w:eastAsia="sl-SI"/>
              </w:rPr>
              <w:t>792.948</w:t>
            </w:r>
          </w:p>
        </w:tc>
        <w:tc>
          <w:tcPr>
            <w:tcW w:w="473" w:type="pct"/>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sz w:val="16"/>
                <w:szCs w:val="16"/>
                <w:lang w:eastAsia="sl-SI"/>
              </w:rPr>
            </w:pPr>
            <w:r w:rsidRPr="00CC1495">
              <w:rPr>
                <w:rFonts w:ascii="Arial Narrow" w:hAnsi="Arial Narrow"/>
                <w:b/>
                <w:sz w:val="16"/>
                <w:szCs w:val="16"/>
                <w:lang w:eastAsia="sl-SI"/>
              </w:rPr>
              <w:t>791.323</w:t>
            </w:r>
          </w:p>
        </w:tc>
        <w:tc>
          <w:tcPr>
            <w:tcW w:w="427" w:type="pct"/>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sz w:val="16"/>
                <w:szCs w:val="16"/>
                <w:lang w:eastAsia="sl-SI"/>
              </w:rPr>
            </w:pPr>
            <w:r w:rsidRPr="00CC1495">
              <w:rPr>
                <w:rFonts w:ascii="Arial Narrow" w:hAnsi="Arial Narrow"/>
                <w:b/>
                <w:sz w:val="16"/>
                <w:szCs w:val="16"/>
                <w:lang w:eastAsia="sl-SI"/>
              </w:rPr>
              <w:t>799.958</w:t>
            </w:r>
          </w:p>
        </w:tc>
        <w:tc>
          <w:tcPr>
            <w:tcW w:w="370" w:type="pct"/>
          </w:tcPr>
          <w:p w:rsidR="008200A6" w:rsidRPr="00CC1495" w:rsidRDefault="008200A6" w:rsidP="00C2798B">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b/>
                <w:sz w:val="16"/>
                <w:szCs w:val="16"/>
                <w:lang w:eastAsia="sl-SI"/>
              </w:rPr>
            </w:pPr>
            <w:r w:rsidRPr="00CC1495">
              <w:rPr>
                <w:rFonts w:ascii="Arial Narrow" w:hAnsi="Arial Narrow"/>
                <w:b/>
                <w:sz w:val="16"/>
                <w:szCs w:val="16"/>
                <w:lang w:eastAsia="sl-SI"/>
              </w:rPr>
              <w:t>803.644</w:t>
            </w:r>
          </w:p>
        </w:tc>
      </w:tr>
    </w:tbl>
    <w:p w:rsidR="0029550A" w:rsidRDefault="0029550A" w:rsidP="004C5725">
      <w:pPr>
        <w:pStyle w:val="Podpispodtabeloaligrafom"/>
        <w:spacing w:after="0"/>
      </w:pPr>
      <w:r w:rsidRPr="007C21A8">
        <w:t xml:space="preserve">Vir: Statistični register delovno aktivnega prebivalstva, </w:t>
      </w:r>
      <w:r>
        <w:t>Statistični urad RS, stanje na dan 31. 12. v posameznem letu.</w:t>
      </w:r>
    </w:p>
    <w:p w:rsidR="0029550A" w:rsidRDefault="0029550A" w:rsidP="0029550A">
      <w:pPr>
        <w:pStyle w:val="Podpispodtabeloaligrafom"/>
      </w:pPr>
      <w:r w:rsidRPr="00EC511C">
        <w:t>V določenih celicah, kjer je pojav manjši od praga zaupnosti, so podatki nadomeščeni z znakom "</w:t>
      </w:r>
      <w:r>
        <w:t>z", a vsote (zadnji vrstici »Skupaj«) so kljub temu pravilne, saj vključujejo absolutne vrednosti, ki so zakrite z znakom »z«.</w:t>
      </w:r>
    </w:p>
    <w:p w:rsidR="00A00BF0" w:rsidRDefault="00A00BF0" w:rsidP="0029550A">
      <w:pPr>
        <w:pStyle w:val="Podpispodtabeloaligrafom"/>
      </w:pPr>
      <w:r>
        <w:t xml:space="preserve">*Imena področij </w:t>
      </w:r>
      <w:r w:rsidR="008F11E9">
        <w:t xml:space="preserve">sledijo priporočilu projekta </w:t>
      </w:r>
      <w:proofErr w:type="spellStart"/>
      <w:r w:rsidR="008F11E9">
        <w:t>ESSnet</w:t>
      </w:r>
      <w:proofErr w:type="spellEnd"/>
      <w:r w:rsidR="008F11E9">
        <w:t xml:space="preserve">: </w:t>
      </w:r>
      <w:hyperlink r:id="rId60" w:history="1">
        <w:proofErr w:type="spellStart"/>
        <w:r w:rsidR="008F11E9" w:rsidRPr="0037430B">
          <w:rPr>
            <w:rStyle w:val="Hiperpovezava"/>
          </w:rPr>
          <w:t>ESSnet</w:t>
        </w:r>
        <w:proofErr w:type="spellEnd"/>
        <w:r w:rsidR="008F11E9" w:rsidRPr="0037430B">
          <w:rPr>
            <w:rStyle w:val="Hiperpovezava"/>
            <w:rFonts w:ascii="Cambria Math" w:hAnsi="Cambria Math" w:cs="Cambria Math"/>
          </w:rPr>
          <w:t>‐</w:t>
        </w:r>
        <w:r w:rsidR="008F11E9" w:rsidRPr="0037430B">
          <w:rPr>
            <w:rStyle w:val="Hiperpovezava"/>
          </w:rPr>
          <w:t xml:space="preserve">CULTURE, </w:t>
        </w:r>
        <w:proofErr w:type="spellStart"/>
        <w:r w:rsidR="008F11E9" w:rsidRPr="0037430B">
          <w:rPr>
            <w:rStyle w:val="Hiperpovezava"/>
          </w:rPr>
          <w:t>European</w:t>
        </w:r>
        <w:proofErr w:type="spellEnd"/>
        <w:r w:rsidR="008F11E9" w:rsidRPr="0037430B">
          <w:rPr>
            <w:rStyle w:val="Hiperpovezava"/>
          </w:rPr>
          <w:t xml:space="preserve"> </w:t>
        </w:r>
        <w:proofErr w:type="spellStart"/>
        <w:r w:rsidR="008F11E9" w:rsidRPr="0037430B">
          <w:rPr>
            <w:rStyle w:val="Hiperpovezava"/>
          </w:rPr>
          <w:t>Statistical</w:t>
        </w:r>
        <w:proofErr w:type="spellEnd"/>
        <w:r w:rsidR="008F11E9" w:rsidRPr="0037430B">
          <w:rPr>
            <w:rStyle w:val="Hiperpovezava"/>
          </w:rPr>
          <w:t xml:space="preserve"> </w:t>
        </w:r>
        <w:proofErr w:type="spellStart"/>
        <w:r w:rsidR="008F11E9" w:rsidRPr="0037430B">
          <w:rPr>
            <w:rStyle w:val="Hiperpovezava"/>
          </w:rPr>
          <w:t>System</w:t>
        </w:r>
        <w:proofErr w:type="spellEnd"/>
        <w:r w:rsidR="008F11E9" w:rsidRPr="0037430B">
          <w:rPr>
            <w:rStyle w:val="Hiperpovezava"/>
          </w:rPr>
          <w:t xml:space="preserve"> </w:t>
        </w:r>
        <w:proofErr w:type="spellStart"/>
        <w:r w:rsidR="008F11E9" w:rsidRPr="0037430B">
          <w:rPr>
            <w:rStyle w:val="Hiperpovezava"/>
          </w:rPr>
          <w:t>Network</w:t>
        </w:r>
        <w:proofErr w:type="spellEnd"/>
        <w:r w:rsidR="008F11E9" w:rsidRPr="0037430B">
          <w:rPr>
            <w:rStyle w:val="Hiperpovezava"/>
          </w:rPr>
          <w:t xml:space="preserve"> on </w:t>
        </w:r>
        <w:proofErr w:type="spellStart"/>
        <w:r w:rsidR="008F11E9" w:rsidRPr="0037430B">
          <w:rPr>
            <w:rStyle w:val="Hiperpovezava"/>
          </w:rPr>
          <w:t>Culture</w:t>
        </w:r>
        <w:proofErr w:type="spellEnd"/>
        <w:r w:rsidR="008F11E9" w:rsidRPr="0037430B">
          <w:rPr>
            <w:rStyle w:val="Hiperpovezava"/>
          </w:rPr>
          <w:t xml:space="preserve">, </w:t>
        </w:r>
        <w:proofErr w:type="spellStart"/>
        <w:r w:rsidR="008F11E9" w:rsidRPr="0037430B">
          <w:rPr>
            <w:rStyle w:val="Hiperpovezava"/>
          </w:rPr>
          <w:t>Final</w:t>
        </w:r>
        <w:proofErr w:type="spellEnd"/>
        <w:r w:rsidR="008F11E9" w:rsidRPr="0037430B">
          <w:rPr>
            <w:rStyle w:val="Hiperpovezava"/>
          </w:rPr>
          <w:t xml:space="preserve"> </w:t>
        </w:r>
        <w:proofErr w:type="spellStart"/>
        <w:r w:rsidR="008F11E9" w:rsidRPr="0037430B">
          <w:rPr>
            <w:rStyle w:val="Hiperpovezava"/>
          </w:rPr>
          <w:t>Report</w:t>
        </w:r>
        <w:proofErr w:type="spellEnd"/>
      </w:hyperlink>
      <w:r w:rsidR="008F11E9">
        <w:t>, 2012, str. 64–67.</w:t>
      </w:r>
    </w:p>
    <w:p w:rsidR="00C14091" w:rsidRDefault="00C14091" w:rsidP="0029550A">
      <w:pPr>
        <w:pStyle w:val="Podpispodtabeloaligrafom"/>
      </w:pPr>
      <w:r>
        <w:t>*</w:t>
      </w:r>
      <w:r w:rsidR="00A00BF0">
        <w:t>*</w:t>
      </w:r>
      <w:r w:rsidRPr="00C14091">
        <w:t>Glede področja »Vizualne umetnosti« kaže opozoriti, da dejavnost, ki jo vključuje – umetniško ustvarjanje – obsega tudi dejavnosti, ki ne sodijo med vizualne umetnosti, saj poleg dejavnosti vizualnih umetnikov, vključuje tudi dejavnost samostojnih avtorjev za različna področja, tako za leposlovje kot tehniko ter dejavnost samostojnih novinarjev (</w:t>
      </w:r>
      <w:r w:rsidR="004C6845">
        <w:t xml:space="preserve">glej </w:t>
      </w:r>
      <w:r w:rsidRPr="00C14091">
        <w:t>str. 179 v Pojasnilih k standardni klas</w:t>
      </w:r>
      <w:r w:rsidR="004C6845">
        <w:t>ifikaciji dejavnosti – SKD 2008</w:t>
      </w:r>
      <w:r w:rsidRPr="00C14091">
        <w:t>).</w:t>
      </w:r>
    </w:p>
    <w:p w:rsidR="00C14091" w:rsidRDefault="00C14091" w:rsidP="0029550A">
      <w:pPr>
        <w:pStyle w:val="Podpispodtabeloaligrafom"/>
      </w:pPr>
      <w:r>
        <w:t>**</w:t>
      </w:r>
      <w:r w:rsidR="00A00BF0">
        <w:t>*</w:t>
      </w:r>
      <w:r w:rsidRPr="00C14091">
        <w:t>Sem spada: priprava in izvedba gledaliških, opernih ali plesnih predstav, koncertov, lutkovnih predstav ter drugih odrskih prireditev; dejavnost gledaliških in cirkuških skupin, ansamblov, orkestrov ipd.; dejavnost samostojnih umetnikov, kot so igralci, plesalci, glasbeniki, govorniki, predavatelji; dejavnost voditeljev preds</w:t>
      </w:r>
      <w:r w:rsidR="004C6845">
        <w:t xml:space="preserve">tav in prireditev, </w:t>
      </w:r>
      <w:proofErr w:type="spellStart"/>
      <w:r w:rsidR="004C6845">
        <w:t>diskdžokejev</w:t>
      </w:r>
      <w:proofErr w:type="spellEnd"/>
      <w:r w:rsidR="004C6845">
        <w:t xml:space="preserve"> (glej </w:t>
      </w:r>
      <w:r w:rsidR="004C6845" w:rsidRPr="00C14091">
        <w:t>str. 179 v Pojasnilih k standardni klas</w:t>
      </w:r>
      <w:r w:rsidR="004C6845">
        <w:t>ifikaciji dejavnosti – SKD 2008</w:t>
      </w:r>
      <w:r w:rsidR="004C6845" w:rsidRPr="00C14091">
        <w:t>).</w:t>
      </w:r>
      <w:r w:rsidR="004C6845">
        <w:t xml:space="preserve"> </w:t>
      </w:r>
    </w:p>
    <w:p w:rsidR="00C14091" w:rsidRDefault="00C14091" w:rsidP="0029550A">
      <w:pPr>
        <w:pStyle w:val="Podpispodtabeloaligrafom"/>
      </w:pPr>
    </w:p>
    <w:p w:rsidR="0029550A" w:rsidRDefault="0029550A" w:rsidP="0029550A">
      <w:pPr>
        <w:sectPr w:rsidR="0029550A" w:rsidSect="00272636">
          <w:pgSz w:w="16820" w:h="11900" w:orient="landscape" w:code="9"/>
          <w:pgMar w:top="720" w:right="720" w:bottom="720" w:left="720" w:header="708" w:footer="708" w:gutter="0"/>
          <w:cols w:space="708"/>
          <w:docGrid w:linePitch="360"/>
        </w:sectPr>
      </w:pPr>
    </w:p>
    <w:p w:rsidR="0029550A" w:rsidRDefault="0029550A" w:rsidP="0029550A">
      <w:r w:rsidRPr="00F60DF6">
        <w:t xml:space="preserve">V kulturi je odstotek samozaposlenih višji kot v drugih dejavnostih. Leta 2015 je v povprečju </w:t>
      </w:r>
      <w:r>
        <w:t xml:space="preserve">znašal </w:t>
      </w:r>
      <w:r w:rsidRPr="00F60DF6">
        <w:t xml:space="preserve">približno eno tretjino, v vseh dejavnostih </w:t>
      </w:r>
      <w:r w:rsidR="001912D3">
        <w:t>skupaj pa dobro desetino (graf 35</w:t>
      </w:r>
      <w:r w:rsidRPr="00F60DF6">
        <w:t>).</w:t>
      </w:r>
      <w:r>
        <w:t xml:space="preserve"> Daleč največ samozaposlenih je na področju vizualnih umetnosti, a tako je tudi zato, ker se v razred Standardne klasifikacije dejavnosti »umetniško ustvarjanje« (poleg slikarjev in kiparjev) uvršča tudi literarno ustvarjanje in samostojno novinarstvo, kjer samozaposleni prevladujejo.</w:t>
      </w:r>
      <w:r>
        <w:rPr>
          <w:rStyle w:val="Sprotnaopomba-sklic"/>
        </w:rPr>
        <w:footnoteReference w:id="54"/>
      </w:r>
    </w:p>
    <w:p w:rsidR="0029550A" w:rsidRDefault="005F4826" w:rsidP="0029550A">
      <w:pPr>
        <w:pStyle w:val="Naslovtabele"/>
      </w:pPr>
      <w:bookmarkStart w:id="348" w:name="_Toc490053399"/>
      <w:bookmarkStart w:id="349" w:name="_Toc490053770"/>
      <w:bookmarkStart w:id="350" w:name="_Toc490600042"/>
      <w:r>
        <w:t>Graf 35</w:t>
      </w:r>
      <w:r w:rsidR="0029550A">
        <w:t>: Razmerje med samozaposlenimi</w:t>
      </w:r>
      <w:r w:rsidR="005437FC">
        <w:t xml:space="preserve"> </w:t>
      </w:r>
      <w:r w:rsidR="0031631F">
        <w:t xml:space="preserve">in zaposlenimi </w:t>
      </w:r>
      <w:r w:rsidR="009A504D">
        <w:t>v kulturnih dejavnostih</w:t>
      </w:r>
      <w:r w:rsidR="0031631F">
        <w:t xml:space="preserve"> </w:t>
      </w:r>
      <w:r w:rsidR="005437FC">
        <w:t>(</w:t>
      </w:r>
      <w:r w:rsidR="0029550A">
        <w:t>2015</w:t>
      </w:r>
      <w:r w:rsidR="005437FC">
        <w:t>)</w:t>
      </w:r>
      <w:r w:rsidR="0031631F">
        <w:t>*</w:t>
      </w:r>
      <w:bookmarkEnd w:id="348"/>
      <w:bookmarkEnd w:id="349"/>
      <w:bookmarkEnd w:id="350"/>
    </w:p>
    <w:p w:rsidR="0029550A" w:rsidRDefault="0029550A" w:rsidP="0029550A">
      <w:r>
        <w:rPr>
          <w:noProof/>
          <w:lang w:eastAsia="sl-SI"/>
        </w:rPr>
        <w:drawing>
          <wp:inline distT="0" distB="0" distL="0" distR="0" wp14:anchorId="5CAD93C5" wp14:editId="0A0AC669">
            <wp:extent cx="5797550" cy="2743200"/>
            <wp:effectExtent l="0" t="0" r="0" b="0"/>
            <wp:docPr id="46" name="Grafikon 46"/>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p>
    <w:p w:rsidR="0029550A" w:rsidRDefault="0029550A" w:rsidP="0029550A">
      <w:pPr>
        <w:pStyle w:val="Podpispodtabeloaligrafom"/>
      </w:pPr>
      <w:r>
        <w:t>Vir: Statistični register delovno aktivnega prebivalstva, Statistični urad Republike Slovenije.</w:t>
      </w:r>
    </w:p>
    <w:p w:rsidR="0029550A" w:rsidRDefault="0031631F" w:rsidP="0029550A">
      <w:pPr>
        <w:pStyle w:val="Podpispodtabeloaligrafom"/>
      </w:pPr>
      <w:r>
        <w:t>* V tem primeru SURS med samozaposlene osebe šteje tudi samostojne podjetnike.</w:t>
      </w:r>
    </w:p>
    <w:p w:rsidR="0031631F" w:rsidRDefault="0031631F" w:rsidP="008200A6">
      <w:pPr>
        <w:pStyle w:val="Podnaslov2"/>
      </w:pPr>
      <w:bookmarkStart w:id="351" w:name="_Toc489859836"/>
      <w:bookmarkStart w:id="352" w:name="_Toc490047599"/>
    </w:p>
    <w:p w:rsidR="008200A6" w:rsidRDefault="008200A6" w:rsidP="008200A6">
      <w:pPr>
        <w:pStyle w:val="Podnaslov2"/>
      </w:pPr>
      <w:bookmarkStart w:id="353" w:name="_Toc490599963"/>
      <w:bookmarkStart w:id="354" w:name="_Toc506192093"/>
      <w:r>
        <w:t xml:space="preserve">Zaposleni v javnih zavodih </w:t>
      </w:r>
      <w:r w:rsidR="00D47DF6">
        <w:t>v kulturi</w:t>
      </w:r>
      <w:bookmarkEnd w:id="351"/>
      <w:bookmarkEnd w:id="352"/>
      <w:bookmarkEnd w:id="353"/>
      <w:bookmarkEnd w:id="354"/>
    </w:p>
    <w:p w:rsidR="005E2FE9" w:rsidRPr="009C6814" w:rsidRDefault="00D65B43" w:rsidP="005E2FE9">
      <w:r>
        <w:t>Na koncu si oglejmo še delovno aktivnost v javnem sektorju v kulturi v obdobju 2008–2015.</w:t>
      </w:r>
      <w:r w:rsidR="009C6814">
        <w:t xml:space="preserve"> Število zaposlenih (na podlagi opravljenih delovnih ur) je zlagoma naraščalo vse do leta 2011</w:t>
      </w:r>
      <w:r w:rsidR="00D51B7F">
        <w:t>, ko jih je bilo 6.344</w:t>
      </w:r>
      <w:r w:rsidR="009C6814">
        <w:t xml:space="preserve">. Padec v letu 2012 </w:t>
      </w:r>
      <w:r w:rsidR="00D51B7F">
        <w:t xml:space="preserve">in vse nadaljnje do leta 2015, ko je bilo zaposlenih 6.167, </w:t>
      </w:r>
      <w:r w:rsidR="009C6814">
        <w:t xml:space="preserve">kaže pripisati </w:t>
      </w:r>
      <w:r w:rsidR="009C6814" w:rsidRPr="009C6814">
        <w:t>Zakon</w:t>
      </w:r>
      <w:r w:rsidR="009C6814">
        <w:t>u</w:t>
      </w:r>
      <w:r w:rsidR="009C6814" w:rsidRPr="009C6814">
        <w:t xml:space="preserve"> za uravnoteženje javnih financ</w:t>
      </w:r>
      <w:r w:rsidR="009C6814">
        <w:t>, ki je zač</w:t>
      </w:r>
      <w:r w:rsidR="001912D3">
        <w:t>el veljati 31. maja 2012 (graf 36</w:t>
      </w:r>
      <w:r w:rsidR="009C6814">
        <w:t xml:space="preserve">). </w:t>
      </w:r>
    </w:p>
    <w:p w:rsidR="00D65B43" w:rsidRDefault="001D14C6" w:rsidP="00D65B43">
      <w:pPr>
        <w:pStyle w:val="Naslovtabele"/>
      </w:pPr>
      <w:bookmarkStart w:id="355" w:name="_Toc490053400"/>
      <w:bookmarkStart w:id="356" w:name="_Toc490053771"/>
      <w:bookmarkStart w:id="357" w:name="_Toc490600043"/>
      <w:r>
        <w:t>Graf 36</w:t>
      </w:r>
      <w:r w:rsidR="00D65B43">
        <w:t xml:space="preserve">: </w:t>
      </w:r>
      <w:r w:rsidR="0031631F">
        <w:t>Število zaposlenih</w:t>
      </w:r>
      <w:r w:rsidR="009C6814">
        <w:t xml:space="preserve"> v javnih zavodih v kulturi (2008–2015)</w:t>
      </w:r>
      <w:r w:rsidR="0031631F">
        <w:t>*</w:t>
      </w:r>
      <w:bookmarkEnd w:id="355"/>
      <w:bookmarkEnd w:id="356"/>
      <w:bookmarkEnd w:id="357"/>
    </w:p>
    <w:p w:rsidR="008200A6" w:rsidRDefault="001F02B5" w:rsidP="0029550A">
      <w:pPr>
        <w:pStyle w:val="Podpispodtabeloaligrafom"/>
      </w:pPr>
      <w:r>
        <w:rPr>
          <w:noProof/>
          <w:lang w:eastAsia="sl-SI"/>
        </w:rPr>
        <w:drawing>
          <wp:inline distT="0" distB="0" distL="0" distR="0" wp14:anchorId="5A6A5574" wp14:editId="3C5D1C88">
            <wp:extent cx="5833277" cy="1811020"/>
            <wp:effectExtent l="0" t="0" r="8890" b="0"/>
            <wp:docPr id="22" name="Grafikon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p>
    <w:p w:rsidR="00D65B43" w:rsidRDefault="009C6814" w:rsidP="001D14C6">
      <w:pPr>
        <w:pStyle w:val="Podpispodtabeloaligrafom"/>
        <w:spacing w:after="0"/>
      </w:pPr>
      <w:r>
        <w:t>Vir: p</w:t>
      </w:r>
      <w:r w:rsidR="00D65B43">
        <w:t xml:space="preserve">odatki </w:t>
      </w:r>
      <w:r>
        <w:t>za leta 2008–2014</w:t>
      </w:r>
      <w:r w:rsidR="00D65B43">
        <w:t xml:space="preserve"> </w:t>
      </w:r>
      <w:r>
        <w:t>so</w:t>
      </w:r>
      <w:r w:rsidR="007F1C17">
        <w:t xml:space="preserve"> </w:t>
      </w:r>
      <w:r w:rsidR="00D65B43">
        <w:t xml:space="preserve">pridobljeni s spletne strani </w:t>
      </w:r>
      <w:r w:rsidR="00EA14AF">
        <w:t>Agencije RA</w:t>
      </w:r>
      <w:r w:rsidR="00EA14AF" w:rsidRPr="00EA14AF">
        <w:t xml:space="preserve"> za javnopravne evidence in storitve</w:t>
      </w:r>
      <w:r w:rsidR="00D65B43">
        <w:t xml:space="preserve">/ Plače v javnem sektorju </w:t>
      </w:r>
      <w:hyperlink r:id="rId63" w:anchor="b291" w:history="1">
        <w:r w:rsidRPr="0076267F">
          <w:rPr>
            <w:rStyle w:val="Hiperpovezava"/>
          </w:rPr>
          <w:t>https://www.ajpes.si/Statistike/Place_v_javnem_sektorju/Porocila#b291</w:t>
        </w:r>
      </w:hyperlink>
      <w:r>
        <w:t xml:space="preserve">. </w:t>
      </w:r>
      <w:r w:rsidR="00D65B43">
        <w:t xml:space="preserve">Podatki za leto 2015 </w:t>
      </w:r>
      <w:r>
        <w:t xml:space="preserve">pa </w:t>
      </w:r>
      <w:r w:rsidR="00D65B43">
        <w:t xml:space="preserve">so pridobljeni s portala OPSI </w:t>
      </w:r>
      <w:hyperlink r:id="rId64" w:history="1">
        <w:r w:rsidR="007A182D" w:rsidRPr="0076267F">
          <w:rPr>
            <w:rStyle w:val="Hiperpovezava"/>
          </w:rPr>
          <w:t>https://podatki.gov.si/dataset/stevilo-zaposlenih-na-podlagi-opravljenih-ur</w:t>
        </w:r>
      </w:hyperlink>
      <w:r>
        <w:t>.</w:t>
      </w:r>
      <w:r w:rsidR="007A182D">
        <w:t xml:space="preserve"> </w:t>
      </w:r>
    </w:p>
    <w:p w:rsidR="005E2FE9" w:rsidRDefault="009C6814" w:rsidP="001D14C6">
      <w:pPr>
        <w:pStyle w:val="Podpispodtabeloaligrafom"/>
      </w:pPr>
      <w:r>
        <w:t xml:space="preserve">* </w:t>
      </w:r>
      <w:r w:rsidR="004D66AC">
        <w:t>Število zaposlenih je izračunano iz ur v decembru, za katere je bila obračunana plača oziroma nadomestilo v breme delodajalca.</w:t>
      </w:r>
      <w:r w:rsidR="007A182D">
        <w:t xml:space="preserve"> Podatki se nanašajo na podskupino proračunskih uporabnikov 3.4.</w:t>
      </w:r>
      <w:r w:rsidR="005E2FE9">
        <w:t xml:space="preserve"> </w:t>
      </w:r>
      <w:r w:rsidR="005E2FE9" w:rsidRPr="005E2FE9">
        <w:t>3.4. Javni zavodi in drugi izvajalci javnih služb s področja kulture</w:t>
      </w:r>
      <w:r w:rsidR="005E2FE9">
        <w:t>.</w:t>
      </w:r>
    </w:p>
    <w:p w:rsidR="0029550A" w:rsidRDefault="00BD52E1" w:rsidP="00BD52E1">
      <w:pPr>
        <w:pStyle w:val="Podnaslov"/>
      </w:pPr>
      <w:bookmarkStart w:id="358" w:name="_Toc489859837"/>
      <w:bookmarkStart w:id="359" w:name="_Toc490047600"/>
      <w:bookmarkStart w:id="360" w:name="_Toc490599964"/>
      <w:bookmarkStart w:id="361" w:name="_Toc506192094"/>
      <w:r>
        <w:t>Prihodki v kulturnih dejavnostih</w:t>
      </w:r>
      <w:bookmarkEnd w:id="358"/>
      <w:bookmarkEnd w:id="359"/>
      <w:bookmarkEnd w:id="360"/>
      <w:bookmarkEnd w:id="361"/>
    </w:p>
    <w:p w:rsidR="005B1E59" w:rsidRDefault="00AC32ED" w:rsidP="00CC1DD9">
      <w:r w:rsidRPr="005E2FE9">
        <w:t xml:space="preserve">Za celovitejši vpogled v </w:t>
      </w:r>
      <w:r w:rsidR="005B1E59">
        <w:t>materialni položaj kulture</w:t>
      </w:r>
      <w:r w:rsidRPr="005E2FE9">
        <w:t xml:space="preserve"> si kaže ogledati tudi </w:t>
      </w:r>
      <w:r w:rsidR="005B1E59">
        <w:t>prihodke v kulturnih dejavnostih. Informacijo o njih je mogoče dobiti iz poslovnih poročil poslovnih subjektov, ki pa jih ni treba oddati vsem</w:t>
      </w:r>
      <w:r w:rsidR="0059699B">
        <w:t xml:space="preserve"> (npr. samozaposlenim v kulturi, </w:t>
      </w:r>
      <w:r w:rsidR="006011FD">
        <w:t xml:space="preserve">samostojnim novinarjem, </w:t>
      </w:r>
      <w:r w:rsidR="0059699B">
        <w:t>samostojnim podjetnikom, ki so obdavčeni na podlagi ugotovljenega dobička z upoštevanjem normiranih odhodkov)</w:t>
      </w:r>
      <w:r w:rsidR="005B1E59">
        <w:t>.</w:t>
      </w:r>
      <w:r w:rsidR="005B1E59">
        <w:rPr>
          <w:rStyle w:val="Sprotnaopomba-sklic"/>
          <w:rFonts w:cs="Arial"/>
          <w:szCs w:val="20"/>
        </w:rPr>
        <w:footnoteReference w:id="55"/>
      </w:r>
      <w:r w:rsidR="005B1E59">
        <w:t xml:space="preserve"> V nadaljevanju s </w:t>
      </w:r>
      <w:r w:rsidR="0059699B">
        <w:t>to omejitvijo podatkov</w:t>
      </w:r>
      <w:r w:rsidR="005B1E59">
        <w:t xml:space="preserve"> v mislih predstavljamo podatke o prihodkih na področju kulture.</w:t>
      </w:r>
      <w:r w:rsidR="005B1E59">
        <w:rPr>
          <w:rStyle w:val="Sprotnaopomba-sklic"/>
        </w:rPr>
        <w:footnoteReference w:id="56"/>
      </w:r>
    </w:p>
    <w:p w:rsidR="004A363C" w:rsidRDefault="005B1E59" w:rsidP="00CC1DD9">
      <w:r>
        <w:t>Leta</w:t>
      </w:r>
      <w:r w:rsidR="00AC32ED">
        <w:t xml:space="preserve"> 2015</w:t>
      </w:r>
      <w:r>
        <w:t xml:space="preserve"> je poslovna poročila oddalo </w:t>
      </w:r>
      <w:r w:rsidR="004A363C">
        <w:t xml:space="preserve">8.903 </w:t>
      </w:r>
      <w:r>
        <w:t>poslovnih subjektov</w:t>
      </w:r>
      <w:r w:rsidR="000F67E6">
        <w:t xml:space="preserve"> v kulturi</w:t>
      </w:r>
      <w:r w:rsidR="000141C9">
        <w:t>, od tega je bilo</w:t>
      </w:r>
      <w:r w:rsidR="00095D52">
        <w:t xml:space="preserve"> </w:t>
      </w:r>
      <w:r w:rsidR="004A363C">
        <w:t>največ samostojnih podjetnikov – 50 %</w:t>
      </w:r>
      <w:r w:rsidR="000141C9">
        <w:t>, 33 % je bilo gospodarskih družb, po 7 % društev in pravnih oseb zasebnega prava (v glavnem so bili to zasebni zavodi) ter 3 % oseb javnega prava (praviloma javni zavodi).</w:t>
      </w:r>
    </w:p>
    <w:p w:rsidR="00C211E3" w:rsidRDefault="00C211E3" w:rsidP="00CC1DD9">
      <w:r>
        <w:t xml:space="preserve">Leta 2015 je </w:t>
      </w:r>
      <w:r w:rsidRPr="00672A71">
        <w:t>največ</w:t>
      </w:r>
      <w:r w:rsidRPr="00672A71">
        <w:rPr>
          <w:b/>
        </w:rPr>
        <w:t xml:space="preserve"> samostojnih podjetnikov</w:t>
      </w:r>
      <w:r>
        <w:t xml:space="preserve"> delovalo v dejavnostih »umetniško ustvarjanje« (629 oseb</w:t>
      </w:r>
      <w:r w:rsidR="00B87C28">
        <w:t>;</w:t>
      </w:r>
      <w:r>
        <w:t xml:space="preserve"> pri čemer osebe s </w:t>
      </w:r>
      <w:r w:rsidRPr="00B87C28">
        <w:t xml:space="preserve">statusom »samozaposleni </w:t>
      </w:r>
      <w:r w:rsidR="00B87C28" w:rsidRPr="00B87C28">
        <w:t>v kulturi</w:t>
      </w:r>
      <w:r w:rsidRPr="00B87C28">
        <w:t>« niso vštet</w:t>
      </w:r>
      <w:r w:rsidR="00672A71">
        <w:t>e</w:t>
      </w:r>
      <w:r>
        <w:t>), »o</w:t>
      </w:r>
      <w:r w:rsidRPr="00C211E3">
        <w:t xml:space="preserve">blikovanje, </w:t>
      </w:r>
      <w:proofErr w:type="spellStart"/>
      <w:r w:rsidRPr="00C211E3">
        <w:t>aranžerstvo</w:t>
      </w:r>
      <w:proofErr w:type="spellEnd"/>
      <w:r w:rsidRPr="00C211E3">
        <w:t xml:space="preserve">, </w:t>
      </w:r>
      <w:proofErr w:type="spellStart"/>
      <w:r w:rsidRPr="00C211E3">
        <w:t>dekoraterstvo</w:t>
      </w:r>
      <w:proofErr w:type="spellEnd"/>
      <w:r>
        <w:t>« (532 oseb) ter »prevajanje in tolmačenje (530 oseb).</w:t>
      </w:r>
      <w:r w:rsidR="003B4DF3">
        <w:t xml:space="preserve"> Največ </w:t>
      </w:r>
      <w:r w:rsidR="003B4DF3" w:rsidRPr="00672A71">
        <w:rPr>
          <w:b/>
        </w:rPr>
        <w:t>gospodarskih družb</w:t>
      </w:r>
      <w:r w:rsidR="003B4DF3">
        <w:t xml:space="preserve"> je bilo v dejavnostih »arhitekturno projektiranje« (638</w:t>
      </w:r>
      <w:r w:rsidR="005D28AC">
        <w:t xml:space="preserve"> družb</w:t>
      </w:r>
      <w:r w:rsidR="003B4DF3">
        <w:t xml:space="preserve">) in </w:t>
      </w:r>
      <w:r w:rsidR="003B4DF3" w:rsidRPr="003B4DF3">
        <w:t>»</w:t>
      </w:r>
      <w:r w:rsidR="003B4DF3">
        <w:t>dejavnost oglaševalskih agencij</w:t>
      </w:r>
      <w:r w:rsidR="003B4DF3" w:rsidRPr="003B4DF3">
        <w:t>«</w:t>
      </w:r>
      <w:r w:rsidR="003B4DF3">
        <w:t xml:space="preserve"> (596</w:t>
      </w:r>
      <w:r w:rsidR="005D28AC">
        <w:t xml:space="preserve"> družb</w:t>
      </w:r>
      <w:r w:rsidR="003B4DF3">
        <w:t xml:space="preserve">), 92 % </w:t>
      </w:r>
      <w:r w:rsidR="003B4DF3" w:rsidRPr="00672A71">
        <w:rPr>
          <w:b/>
        </w:rPr>
        <w:t>društev</w:t>
      </w:r>
      <w:r w:rsidR="003B4DF3">
        <w:t xml:space="preserve"> je delovalo v dejavnostih »umetniško ustvarjanje«</w:t>
      </w:r>
      <w:r w:rsidR="005D28AC">
        <w:t xml:space="preserve"> </w:t>
      </w:r>
      <w:r w:rsidR="005D28AC" w:rsidRPr="00AC7FFA">
        <w:t>(</w:t>
      </w:r>
      <w:r w:rsidR="00AC7FFA" w:rsidRPr="00AC7FFA">
        <w:t>297</w:t>
      </w:r>
      <w:r w:rsidR="005D28AC" w:rsidRPr="00AC7FFA">
        <w:t xml:space="preserve"> društev)</w:t>
      </w:r>
      <w:r w:rsidR="003B4DF3" w:rsidRPr="00AC7FFA">
        <w:t xml:space="preserve"> in »umetniško uprizarjanje«</w:t>
      </w:r>
      <w:r w:rsidR="005D28AC" w:rsidRPr="00AC7FFA">
        <w:t xml:space="preserve"> (</w:t>
      </w:r>
      <w:r w:rsidR="00AC7FFA" w:rsidRPr="00AC7FFA">
        <w:t>251</w:t>
      </w:r>
      <w:r w:rsidR="005D28AC" w:rsidRPr="00AC7FFA">
        <w:t xml:space="preserve"> društev)</w:t>
      </w:r>
      <w:r w:rsidR="003B4DF3" w:rsidRPr="00AC7FFA">
        <w:t xml:space="preserve">, </w:t>
      </w:r>
      <w:r w:rsidR="003B4DF3" w:rsidRPr="00672A71">
        <w:rPr>
          <w:b/>
        </w:rPr>
        <w:t>zasebni zavod</w:t>
      </w:r>
      <w:r w:rsidR="00AC7FFA" w:rsidRPr="00672A71">
        <w:rPr>
          <w:b/>
        </w:rPr>
        <w:t>i</w:t>
      </w:r>
      <w:r w:rsidR="00AC7FFA">
        <w:t xml:space="preserve"> so najpogosteje delovali na področjih</w:t>
      </w:r>
      <w:r w:rsidR="00AC7FFA" w:rsidRPr="00AC7FFA">
        <w:t xml:space="preserve"> »izobraževanje, izpopolnjevanje in usposabljanje na področju kulture in umetnosti« (146 zavodov) ter »umetniško ustvarjanje« (133 zavodov)</w:t>
      </w:r>
      <w:r w:rsidR="003B4DF3" w:rsidRPr="00AC7FFA">
        <w:t xml:space="preserve">, </w:t>
      </w:r>
      <w:r w:rsidR="003B4DF3" w:rsidRPr="00672A71">
        <w:rPr>
          <w:b/>
        </w:rPr>
        <w:t xml:space="preserve">javni </w:t>
      </w:r>
      <w:r w:rsidR="00672A71" w:rsidRPr="00672A71">
        <w:rPr>
          <w:b/>
        </w:rPr>
        <w:t xml:space="preserve">zavodi </w:t>
      </w:r>
      <w:r w:rsidR="003B4DF3" w:rsidRPr="00EE3077">
        <w:t>pa</w:t>
      </w:r>
      <w:r w:rsidR="003B4DF3">
        <w:t xml:space="preserve"> </w:t>
      </w:r>
      <w:r w:rsidR="00FB74C2">
        <w:t>na treh področjih: »dejavnost knjižnic« (59 zavodov), »i</w:t>
      </w:r>
      <w:r w:rsidR="00FB74C2" w:rsidRPr="00FB74C2">
        <w:t>zobraževanje, izpopolnjevanje in usposabljanje na področju kulture in umetnosti</w:t>
      </w:r>
      <w:r w:rsidR="00FB74C2">
        <w:t>«</w:t>
      </w:r>
      <w:r w:rsidR="00FC4310">
        <w:t xml:space="preserve"> (54 zav</w:t>
      </w:r>
      <w:r w:rsidR="00FB74C2">
        <w:t>od</w:t>
      </w:r>
      <w:r w:rsidR="00FC4310">
        <w:t>o</w:t>
      </w:r>
      <w:r w:rsidR="00FB74C2">
        <w:t>v) ter »dejavnost muzejev« (50).</w:t>
      </w:r>
    </w:p>
    <w:p w:rsidR="00137425" w:rsidRDefault="00F50874" w:rsidP="00CC1DD9">
      <w:r>
        <w:t xml:space="preserve">Primerjava števila </w:t>
      </w:r>
      <w:r w:rsidR="00C37950">
        <w:t>poslovnih</w:t>
      </w:r>
      <w:r>
        <w:t xml:space="preserve"> subjektov </w:t>
      </w:r>
      <w:r w:rsidR="00415C56">
        <w:t xml:space="preserve">(ki so oddali poslovna poročila) </w:t>
      </w:r>
      <w:r>
        <w:t xml:space="preserve">po </w:t>
      </w:r>
      <w:r w:rsidR="00C37950">
        <w:t>skupinah</w:t>
      </w:r>
      <w:r>
        <w:t xml:space="preserve"> med letoma 2008 in 2015 kaže, da se je povečalo število vseh, a najbolj</w:t>
      </w:r>
      <w:r w:rsidR="00137425">
        <w:t xml:space="preserve"> –</w:t>
      </w:r>
      <w:r>
        <w:t xml:space="preserve"> za dvakrat</w:t>
      </w:r>
      <w:r w:rsidR="00137425">
        <w:t>,</w:t>
      </w:r>
      <w:r>
        <w:t xml:space="preserve"> je naraslo število zasebnih zavodov.</w:t>
      </w:r>
      <w:r w:rsidR="00153A4D">
        <w:t xml:space="preserve"> </w:t>
      </w:r>
      <w:r w:rsidR="00153A4D" w:rsidRPr="00255C1B">
        <w:t xml:space="preserve">Tem se je v opazovanem obdobju </w:t>
      </w:r>
      <w:r w:rsidR="00137425">
        <w:t xml:space="preserve">za približno ena in </w:t>
      </w:r>
      <w:proofErr w:type="spellStart"/>
      <w:r w:rsidR="00137425">
        <w:t>polkrat</w:t>
      </w:r>
      <w:proofErr w:type="spellEnd"/>
      <w:r w:rsidR="00137425">
        <w:t xml:space="preserve"> </w:t>
      </w:r>
      <w:r w:rsidR="00153A4D" w:rsidRPr="00255C1B">
        <w:t xml:space="preserve">povečal tudi prihodek od </w:t>
      </w:r>
      <w:r w:rsidR="00137425">
        <w:t xml:space="preserve">poslovanja, ki se je sicer drugim zmanjšal (podjetja in društva) ali povečal le malo (samostojni podjetniki in javni zavodi). V zasebnih zavodih se je v obdobju 2008–2015 bolj kot </w:t>
      </w:r>
      <w:r w:rsidR="00C37950">
        <w:t>pri</w:t>
      </w:r>
      <w:r w:rsidR="00137425">
        <w:t xml:space="preserve"> vseh drugih </w:t>
      </w:r>
      <w:r w:rsidR="00C37950">
        <w:t>poslovnih subjektih</w:t>
      </w:r>
      <w:r w:rsidR="005437FC">
        <w:t xml:space="preserve"> povečala tudi povprečna plača</w:t>
      </w:r>
      <w:r w:rsidR="001912D3">
        <w:t xml:space="preserve"> (grafi 37, 38 in 39</w:t>
      </w:r>
      <w:r w:rsidR="007E6684">
        <w:t>)</w:t>
      </w:r>
      <w:r w:rsidR="005437FC">
        <w:t>.</w:t>
      </w:r>
    </w:p>
    <w:p w:rsidR="00C41251" w:rsidRDefault="007E6684" w:rsidP="00CC1DD9">
      <w:r>
        <w:t>Gospodarske družbe,</w:t>
      </w:r>
      <w:r w:rsidR="00383416">
        <w:t xml:space="preserve"> ki delujejo v </w:t>
      </w:r>
      <w:r w:rsidR="005437FC">
        <w:t>kulturnih dejavnosti</w:t>
      </w:r>
      <w:r w:rsidR="00C41251">
        <w:t>h,</w:t>
      </w:r>
      <w:r w:rsidR="005437FC">
        <w:t xml:space="preserve"> </w:t>
      </w:r>
      <w:r w:rsidR="00BE6CCB">
        <w:t xml:space="preserve">so imele leta 2015 </w:t>
      </w:r>
      <w:r w:rsidR="00AC4A2C">
        <w:t xml:space="preserve">približno </w:t>
      </w:r>
      <w:r w:rsidR="00BE6CCB">
        <w:t>milijardo evrov čistih prihodkov</w:t>
      </w:r>
      <w:r>
        <w:t xml:space="preserve"> od prodaje</w:t>
      </w:r>
      <w:r w:rsidR="00255C1B">
        <w:t xml:space="preserve">, vse </w:t>
      </w:r>
      <w:r w:rsidR="0059699B">
        <w:t>poslovne</w:t>
      </w:r>
      <w:r w:rsidR="00255C1B">
        <w:t xml:space="preserve"> osebe skupaj pa </w:t>
      </w:r>
      <w:r w:rsidR="008E45DC">
        <w:t>približno milijardo in pol.</w:t>
      </w:r>
      <w:r w:rsidR="00383416">
        <w:t xml:space="preserve"> </w:t>
      </w:r>
    </w:p>
    <w:p w:rsidR="00C41251" w:rsidRDefault="00C41251" w:rsidP="00CC1DD9">
      <w:r>
        <w:t>Glede na to, da so gospodarske družbe ustvarile večino prihodkov, si jih oglejmo nekoliko podrobneje:</w:t>
      </w:r>
    </w:p>
    <w:p w:rsidR="007E6684" w:rsidRDefault="00A3325D" w:rsidP="00CC1DD9">
      <w:pPr>
        <w:pStyle w:val="Odstavekseznama"/>
        <w:numPr>
          <w:ilvl w:val="0"/>
          <w:numId w:val="19"/>
        </w:numPr>
      </w:pPr>
      <w:r w:rsidRPr="00C41251">
        <w:t xml:space="preserve">Dejavnosti z največjim čistim prihodkom od prodaje so bile oglaševanje (596 </w:t>
      </w:r>
      <w:r w:rsidR="007E6684" w:rsidRPr="00C41251">
        <w:t>gospod. družb</w:t>
      </w:r>
      <w:r w:rsidRPr="00C41251">
        <w:t xml:space="preserve"> je ustvarilo pribl. 232 milijonov evrov), arhitekturno projektiranje (638 </w:t>
      </w:r>
      <w:r w:rsidR="007E6684" w:rsidRPr="00C41251">
        <w:t xml:space="preserve">gospod. družb </w:t>
      </w:r>
      <w:r w:rsidRPr="00C41251">
        <w:t xml:space="preserve">je ustvarilo pribl. 108 milijonov evrov) in produkcija filmov, video filmov in televizijskih oddaj (182 </w:t>
      </w:r>
      <w:r w:rsidR="007E6684" w:rsidRPr="00C41251">
        <w:t xml:space="preserve">gospod. družb </w:t>
      </w:r>
      <w:r w:rsidRPr="00C41251">
        <w:t xml:space="preserve">je imelo pribl. 104 milijone </w:t>
      </w:r>
      <w:proofErr w:type="spellStart"/>
      <w:r w:rsidRPr="00C41251">
        <w:t>verov</w:t>
      </w:r>
      <w:proofErr w:type="spellEnd"/>
      <w:r w:rsidR="00C41251">
        <w:t xml:space="preserve"> čistih prihodkov od prodaje).</w:t>
      </w:r>
    </w:p>
    <w:p w:rsidR="00A3325D" w:rsidRDefault="00A3325D" w:rsidP="00CC1DD9">
      <w:pPr>
        <w:pStyle w:val="Odstavekseznama"/>
        <w:numPr>
          <w:ilvl w:val="0"/>
          <w:numId w:val="19"/>
        </w:numPr>
      </w:pPr>
      <w:r w:rsidRPr="00C41251">
        <w:t xml:space="preserve">Ker lahko na višino skupnih </w:t>
      </w:r>
      <w:r w:rsidR="00C41251">
        <w:t xml:space="preserve">čistih </w:t>
      </w:r>
      <w:r w:rsidRPr="00C41251">
        <w:t xml:space="preserve">prihodkov v dejavnosti </w:t>
      </w:r>
      <w:proofErr w:type="spellStart"/>
      <w:r w:rsidRPr="00C41251">
        <w:t>znantno</w:t>
      </w:r>
      <w:proofErr w:type="spellEnd"/>
      <w:r w:rsidRPr="00C41251">
        <w:t xml:space="preserve"> vpliva število podjetij, ki delujejo v njej, si oglejmo</w:t>
      </w:r>
      <w:r w:rsidR="007E6684" w:rsidRPr="00C41251">
        <w:t xml:space="preserve"> </w:t>
      </w:r>
      <w:r w:rsidRPr="00C41251">
        <w:t>čiste prihodke od proda</w:t>
      </w:r>
      <w:r w:rsidR="00C41251">
        <w:t xml:space="preserve">je še glede na število podjetij: </w:t>
      </w:r>
      <w:r w:rsidR="00C41251" w:rsidRPr="00C41251">
        <w:t>v</w:t>
      </w:r>
      <w:r w:rsidRPr="00C41251">
        <w:t xml:space="preserve"> tem primeru </w:t>
      </w:r>
      <w:r w:rsidR="007E6684" w:rsidRPr="00C41251">
        <w:t>sta</w:t>
      </w:r>
      <w:r w:rsidRPr="00C41251">
        <w:t xml:space="preserve"> na </w:t>
      </w:r>
      <w:r w:rsidR="007E6684" w:rsidRPr="00C41251">
        <w:t>vrhu</w:t>
      </w:r>
      <w:r w:rsidRPr="00C41251">
        <w:t xml:space="preserve"> </w:t>
      </w:r>
      <w:r w:rsidR="007E6684" w:rsidRPr="00C41251">
        <w:t>trgovina na drobno v specializiranih prodajalnah s knjigami (slabih 59 milijonov evrov je ustvarilo 14 gospodarskih družb) in trgovina na drobno v specializiranih prodajalnah s časopisi in revijami (slabih 46 milijonov evrov je ustvarilo 11 gospodarskih družb), sledita dejavnost izdajanja časopisov (dobrih 87 milijonov je ustvarilo 42 gospodarskih družb) in kinematografska dejavnost (slabih 13 milijonov je ustvarilo 14 gospodarskih družb).</w:t>
      </w:r>
    </w:p>
    <w:p w:rsidR="00672A71" w:rsidRPr="00672A71" w:rsidRDefault="00672A71" w:rsidP="00CC1DD9">
      <w:pPr>
        <w:pStyle w:val="Odstavekseznama"/>
        <w:numPr>
          <w:ilvl w:val="0"/>
          <w:numId w:val="19"/>
        </w:numPr>
      </w:pPr>
      <w:r>
        <w:t xml:space="preserve">Najnižje čiste prihodke od prodaje </w:t>
      </w:r>
      <w:r w:rsidR="00CC7A0A">
        <w:t xml:space="preserve">(manj kot 300.000,00 evrov) </w:t>
      </w:r>
      <w:r>
        <w:t>so imele gospodarske družbe v treh dejavnostih: i</w:t>
      </w:r>
      <w:r w:rsidRPr="00672A71">
        <w:t>zdajanje računalniških iger</w:t>
      </w:r>
      <w:r>
        <w:t xml:space="preserve">, </w:t>
      </w:r>
      <w:r w:rsidRPr="00672A71">
        <w:t>dajanje videokaset in plošč v najem</w:t>
      </w:r>
      <w:r>
        <w:t xml:space="preserve">, </w:t>
      </w:r>
      <w:r w:rsidR="00CC7A0A">
        <w:t>ter</w:t>
      </w:r>
      <w:r>
        <w:t xml:space="preserve"> </w:t>
      </w:r>
      <w:r w:rsidR="00CC7A0A">
        <w:t>t</w:t>
      </w:r>
      <w:r w:rsidRPr="00672A71">
        <w:t>rgovina na drobno v specializiranih prodajalnah z glasbenimi in video zapisi</w:t>
      </w:r>
      <w:r w:rsidR="00CC7A0A">
        <w:t xml:space="preserve"> – upoštevajoč ali </w:t>
      </w:r>
      <w:proofErr w:type="spellStart"/>
      <w:r w:rsidR="00CC7A0A">
        <w:t>neupošteva</w:t>
      </w:r>
      <w:r w:rsidR="00C543C4">
        <w:t>j</w:t>
      </w:r>
      <w:r w:rsidR="00CC7A0A">
        <w:t>oč</w:t>
      </w:r>
      <w:proofErr w:type="spellEnd"/>
      <w:r w:rsidR="00CC7A0A">
        <w:t xml:space="preserve"> število družb v dejavnosti.</w:t>
      </w:r>
    </w:p>
    <w:p w:rsidR="009D517C" w:rsidRDefault="001D14C6" w:rsidP="00F50874">
      <w:pPr>
        <w:pStyle w:val="Naslovtabele"/>
      </w:pPr>
      <w:bookmarkStart w:id="362" w:name="_Toc490053401"/>
      <w:bookmarkStart w:id="363" w:name="_Toc490053772"/>
      <w:bookmarkStart w:id="364" w:name="_Toc490600044"/>
      <w:r>
        <w:t>Graf 37</w:t>
      </w:r>
      <w:r w:rsidR="00F50874">
        <w:t xml:space="preserve">: </w:t>
      </w:r>
      <w:r w:rsidR="00095D52">
        <w:t>Poslovni</w:t>
      </w:r>
      <w:r w:rsidR="005F150A">
        <w:t xml:space="preserve"> subjekt</w:t>
      </w:r>
      <w:r w:rsidR="00095D52">
        <w:t>i (ki so oddali po</w:t>
      </w:r>
      <w:r w:rsidR="0031631F">
        <w:t>slovno poročilo)</w:t>
      </w:r>
      <w:r w:rsidR="000B423A">
        <w:t xml:space="preserve"> </w:t>
      </w:r>
      <w:r w:rsidR="00095D52">
        <w:t>glede na pravno-organizacijsko obliko</w:t>
      </w:r>
      <w:r w:rsidR="000B423A">
        <w:t xml:space="preserve"> </w:t>
      </w:r>
      <w:r w:rsidR="00BE2F23">
        <w:t>(2008 in 2015)</w:t>
      </w:r>
      <w:r w:rsidR="0031631F">
        <w:t>*</w:t>
      </w:r>
      <w:bookmarkEnd w:id="362"/>
      <w:bookmarkEnd w:id="363"/>
      <w:bookmarkEnd w:id="364"/>
    </w:p>
    <w:p w:rsidR="00BD52E1" w:rsidRDefault="00AC32ED" w:rsidP="0029550A">
      <w:pPr>
        <w:spacing w:line="240" w:lineRule="auto"/>
        <w:jc w:val="both"/>
        <w:rPr>
          <w:rFonts w:cs="Arial"/>
          <w:szCs w:val="20"/>
        </w:rPr>
      </w:pPr>
      <w:r>
        <w:rPr>
          <w:noProof/>
          <w:lang w:eastAsia="sl-SI"/>
        </w:rPr>
        <w:drawing>
          <wp:inline distT="0" distB="0" distL="0" distR="0" wp14:anchorId="5B1C5BA1" wp14:editId="69F4219A">
            <wp:extent cx="5896610" cy="2860040"/>
            <wp:effectExtent l="0" t="0" r="0" b="10160"/>
            <wp:docPr id="3" name="Grafikon 3"/>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inline>
        </w:drawing>
      </w:r>
    </w:p>
    <w:p w:rsidR="00BE2F23" w:rsidRDefault="00AC4A2C" w:rsidP="00A933FD">
      <w:pPr>
        <w:pStyle w:val="Podpispodtabeloaligrafom"/>
        <w:spacing w:after="0"/>
      </w:pPr>
      <w:r w:rsidRPr="00AC4A2C">
        <w:t xml:space="preserve">Vir: </w:t>
      </w:r>
      <w:r w:rsidR="00EA14AF" w:rsidRPr="00EA14AF">
        <w:t xml:space="preserve">Agencija </w:t>
      </w:r>
      <w:r w:rsidR="00EA14AF">
        <w:t>RS</w:t>
      </w:r>
      <w:r w:rsidR="00EA14AF" w:rsidRPr="00EA14AF">
        <w:t xml:space="preserve"> za javnopravne evidence in storitve</w:t>
      </w:r>
      <w:r w:rsidRPr="00AC4A2C">
        <w:t xml:space="preserve"> – </w:t>
      </w:r>
      <w:r w:rsidR="006775BB" w:rsidRPr="006775BB">
        <w:t>Letna poročila za leto 2008 in za leto 2015</w:t>
      </w:r>
      <w:r w:rsidRPr="00AC4A2C">
        <w:t>.</w:t>
      </w:r>
    </w:p>
    <w:p w:rsidR="00095D52" w:rsidRPr="00A933FD" w:rsidRDefault="00095D52" w:rsidP="00A933FD">
      <w:pPr>
        <w:pStyle w:val="Podpispodtabeloaligrafom"/>
      </w:pPr>
      <w:r w:rsidRPr="00957551">
        <w:t>* Prikaz ne vključuje</w:t>
      </w:r>
      <w:r w:rsidR="00612EBC">
        <w:t xml:space="preserve"> poslovnih subjektov, ki poslovnih poročil niso oddali kljub predpisu ter tistih, ki jim tega ni treba storiti (</w:t>
      </w:r>
      <w:r w:rsidR="00612EBC" w:rsidRPr="00957551">
        <w:t>oseb s statusom samozaposlenih v kulturi, samostojnih novinarjev in samostojnih podjetnikov, ki so obdavčeni na podlagi ugotovljenega dobička z u</w:t>
      </w:r>
      <w:r w:rsidR="00612EBC">
        <w:t>poštevanjem normiranih odhodkov).</w:t>
      </w:r>
    </w:p>
    <w:p w:rsidR="00A933FD" w:rsidRDefault="00A933FD" w:rsidP="00C64CC4">
      <w:pPr>
        <w:pStyle w:val="Naslovtabele"/>
      </w:pPr>
      <w:bookmarkStart w:id="365" w:name="_Toc490053402"/>
      <w:bookmarkStart w:id="366" w:name="_Toc490053773"/>
    </w:p>
    <w:p w:rsidR="00BC39FB" w:rsidRDefault="00BC39FB">
      <w:pPr>
        <w:rPr>
          <w:b/>
        </w:rPr>
      </w:pPr>
      <w:bookmarkStart w:id="367" w:name="_Toc490600045"/>
      <w:r>
        <w:br w:type="page"/>
      </w:r>
    </w:p>
    <w:p w:rsidR="00BE2F23" w:rsidRPr="00BE2F23" w:rsidRDefault="00BE2F23" w:rsidP="00C64CC4">
      <w:pPr>
        <w:pStyle w:val="Naslovtabele"/>
      </w:pPr>
      <w:r w:rsidRPr="00BE2F23">
        <w:t>Graf</w:t>
      </w:r>
      <w:r w:rsidR="00A933FD">
        <w:t xml:space="preserve"> 38</w:t>
      </w:r>
      <w:r w:rsidRPr="00BE2F23">
        <w:t xml:space="preserve">: Čisti prihodki od prodaje, donosi od dejavnosti oz. prihodki od poslovanja v </w:t>
      </w:r>
      <w:r w:rsidR="00095D52">
        <w:t>poslovnih subjektih (ki so oddali poslovno poročilo) v kulturnih dejavnostih</w:t>
      </w:r>
      <w:r w:rsidRPr="00BE2F23">
        <w:t xml:space="preserve"> (2008 in 2015)</w:t>
      </w:r>
      <w:r w:rsidR="0031631F">
        <w:t>*</w:t>
      </w:r>
      <w:bookmarkEnd w:id="365"/>
      <w:bookmarkEnd w:id="366"/>
      <w:bookmarkEnd w:id="367"/>
    </w:p>
    <w:p w:rsidR="00BE2F23" w:rsidRDefault="00BE2F23" w:rsidP="0029550A">
      <w:pPr>
        <w:spacing w:line="240" w:lineRule="auto"/>
        <w:jc w:val="both"/>
        <w:rPr>
          <w:rFonts w:cs="Arial"/>
          <w:szCs w:val="20"/>
        </w:rPr>
      </w:pPr>
      <w:r>
        <w:rPr>
          <w:noProof/>
          <w:lang w:eastAsia="sl-SI"/>
        </w:rPr>
        <w:drawing>
          <wp:inline distT="0" distB="0" distL="0" distR="0" wp14:anchorId="55BA0349" wp14:editId="5C1CE867">
            <wp:extent cx="5744308" cy="2801816"/>
            <wp:effectExtent l="0" t="0" r="0" b="0"/>
            <wp:docPr id="12" name="Grafikon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66"/>
              </a:graphicData>
            </a:graphic>
          </wp:inline>
        </w:drawing>
      </w:r>
    </w:p>
    <w:p w:rsidR="006775BB" w:rsidRDefault="006775BB" w:rsidP="00A933FD">
      <w:pPr>
        <w:pStyle w:val="Podpispodtabeloaligrafom"/>
        <w:spacing w:after="0"/>
      </w:pPr>
      <w:r w:rsidRPr="00AC4A2C">
        <w:t xml:space="preserve">Vir: </w:t>
      </w:r>
      <w:r w:rsidR="00EA14AF" w:rsidRPr="00EA14AF">
        <w:t xml:space="preserve">Agencija </w:t>
      </w:r>
      <w:r w:rsidR="00EA14AF">
        <w:t>RS</w:t>
      </w:r>
      <w:r w:rsidR="00EA14AF" w:rsidRPr="00EA14AF">
        <w:t xml:space="preserve"> za javnopravne evidence in storitve</w:t>
      </w:r>
      <w:r w:rsidRPr="00AC4A2C">
        <w:t xml:space="preserve"> – </w:t>
      </w:r>
      <w:r w:rsidRPr="006775BB">
        <w:t>Letna poročila za leto 2008 in za leto 2015</w:t>
      </w:r>
      <w:r w:rsidRPr="00AC4A2C">
        <w:t>.</w:t>
      </w:r>
    </w:p>
    <w:p w:rsidR="00BE2F23" w:rsidRPr="00C2798B" w:rsidRDefault="00612EBC" w:rsidP="00C2798B">
      <w:pPr>
        <w:pStyle w:val="Podpispodtabeloaligrafom"/>
      </w:pPr>
      <w:r w:rsidRPr="00957551">
        <w:t>* Prikaz ne vključuje</w:t>
      </w:r>
      <w:r>
        <w:t xml:space="preserve"> poslovnih subjektov, ki poslovnih poročil niso oddali kljub predpisu ter tistih, ki jim tega ni treba storiti (</w:t>
      </w:r>
      <w:r w:rsidRPr="00957551">
        <w:t>oseb s statusom samozaposlenih v kulturi, samostojnih novinarjev in samostojnih podjetnikov, ki so obdavčeni na podlagi ugotovljenega dobička z u</w:t>
      </w:r>
      <w:r>
        <w:t>poštevanjem normiranih odhodkov).</w:t>
      </w:r>
    </w:p>
    <w:p w:rsidR="00BC39FB" w:rsidRDefault="00BC39FB" w:rsidP="00BC39FB">
      <w:bookmarkStart w:id="368" w:name="_Toc490053403"/>
      <w:bookmarkStart w:id="369" w:name="_Toc490053774"/>
      <w:bookmarkStart w:id="370" w:name="_Toc490600046"/>
    </w:p>
    <w:p w:rsidR="005437FC" w:rsidRPr="00BC39FB" w:rsidRDefault="00A933FD" w:rsidP="00BC39FB">
      <w:pPr>
        <w:rPr>
          <w:b/>
        </w:rPr>
      </w:pPr>
      <w:r>
        <w:t>Graf 39</w:t>
      </w:r>
      <w:r w:rsidR="005437FC" w:rsidRPr="005437FC">
        <w:t xml:space="preserve">: Povprečna </w:t>
      </w:r>
      <w:r w:rsidR="000B423A">
        <w:t xml:space="preserve">bruto mesečna </w:t>
      </w:r>
      <w:r w:rsidR="00095D52">
        <w:t xml:space="preserve">plača pri poslovnih subjektih (ki so oddali poslovno poročilo) v </w:t>
      </w:r>
      <w:r w:rsidR="005437FC" w:rsidRPr="005437FC">
        <w:t>kulturnih dejavnosti</w:t>
      </w:r>
      <w:r w:rsidR="00095D52">
        <w:t>h</w:t>
      </w:r>
      <w:r w:rsidR="005437FC" w:rsidRPr="005437FC">
        <w:t xml:space="preserve"> (2008</w:t>
      </w:r>
      <w:r w:rsidR="007A5678">
        <w:t xml:space="preserve"> in </w:t>
      </w:r>
      <w:r w:rsidR="005437FC" w:rsidRPr="005437FC">
        <w:t>2015)</w:t>
      </w:r>
      <w:r w:rsidR="009A504D">
        <w:t>*</w:t>
      </w:r>
      <w:bookmarkEnd w:id="368"/>
      <w:bookmarkEnd w:id="369"/>
      <w:bookmarkEnd w:id="370"/>
    </w:p>
    <w:p w:rsidR="00BE2F23" w:rsidRDefault="005437FC" w:rsidP="0029550A">
      <w:pPr>
        <w:spacing w:line="240" w:lineRule="auto"/>
        <w:jc w:val="both"/>
        <w:rPr>
          <w:rFonts w:cs="Arial"/>
          <w:szCs w:val="20"/>
        </w:rPr>
      </w:pPr>
      <w:r>
        <w:rPr>
          <w:noProof/>
          <w:lang w:eastAsia="sl-SI"/>
        </w:rPr>
        <w:drawing>
          <wp:inline distT="0" distB="0" distL="0" distR="0" wp14:anchorId="5C0C8BF0" wp14:editId="68614BD4">
            <wp:extent cx="5826369" cy="3130062"/>
            <wp:effectExtent l="0" t="0" r="0" b="0"/>
            <wp:docPr id="15" name="Grafikon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67"/>
              </a:graphicData>
            </a:graphic>
          </wp:inline>
        </w:drawing>
      </w:r>
    </w:p>
    <w:p w:rsidR="006775BB" w:rsidRDefault="006775BB" w:rsidP="00A933FD">
      <w:pPr>
        <w:pStyle w:val="Podpispodtabeloaligrafom"/>
        <w:spacing w:after="0"/>
      </w:pPr>
      <w:r w:rsidRPr="00AC4A2C">
        <w:t xml:space="preserve">Vir: </w:t>
      </w:r>
      <w:r w:rsidR="00EA14AF" w:rsidRPr="00EA14AF">
        <w:t>Agencija RS za javnopravne evidence in storitve</w:t>
      </w:r>
      <w:r w:rsidRPr="00AC4A2C">
        <w:t xml:space="preserve"> – </w:t>
      </w:r>
      <w:r w:rsidRPr="006775BB">
        <w:t>Letna poročila za leto 2008 in za leto 2015</w:t>
      </w:r>
      <w:r w:rsidRPr="00AC4A2C">
        <w:t>.</w:t>
      </w:r>
    </w:p>
    <w:p w:rsidR="00612EBC" w:rsidRDefault="00612EBC" w:rsidP="00612EBC">
      <w:pPr>
        <w:pStyle w:val="Podpispodtabeloaligrafom"/>
      </w:pPr>
      <w:r w:rsidRPr="00957551">
        <w:t>* Prikaz ne vključuje</w:t>
      </w:r>
      <w:r>
        <w:t xml:space="preserve"> poslovnih subjektov, ki poslovnih poročil niso oddali kljub predpisu ter tistih, ki jim tega ni treba storiti (</w:t>
      </w:r>
      <w:r w:rsidRPr="00957551">
        <w:t>oseb s statusom samozaposlenih v kulturi, samostojnih novinarjev in samostojnih podjetnikov, ki so obdavčeni na podlagi ugotovljenega dobička z u</w:t>
      </w:r>
      <w:r>
        <w:t>poštevanjem normiranih odhodkov).</w:t>
      </w:r>
    </w:p>
    <w:p w:rsidR="00AC4A2C" w:rsidRDefault="00AC4A2C" w:rsidP="00AC4A2C"/>
    <w:p w:rsidR="0004651A" w:rsidRPr="0004651A" w:rsidRDefault="00397BDE" w:rsidP="00AC4A2C">
      <w:r>
        <w:t>Povprečna bruto mesečna plača na zaposlenega delavca v kulturnih dejavnostih je znašala od slabih 900 evrov do nekaj manj kot 1.800 evrov. Najvišje povprečne plače so imeli v javnih zavodih, najnižje pa zaposleni pri</w:t>
      </w:r>
      <w:r w:rsidR="001912D3">
        <w:t xml:space="preserve"> samostojnih podjetnikih (graf 39</w:t>
      </w:r>
      <w:r>
        <w:t>). Glede na vrsto dejavnosti</w:t>
      </w:r>
      <w:r w:rsidR="00A9412A">
        <w:t xml:space="preserve"> in pravno-organizacijsko obliko</w:t>
      </w:r>
      <w:r>
        <w:t xml:space="preserve">, pa so imeli najvišjo povprečno bruto mesečno plačo v </w:t>
      </w:r>
      <w:r w:rsidRPr="00B16CEF">
        <w:rPr>
          <w:b/>
        </w:rPr>
        <w:t>gospodarskih družbah</w:t>
      </w:r>
      <w:r>
        <w:t xml:space="preserve"> s področja izdajanja časopisov (</w:t>
      </w:r>
      <w:r w:rsidRPr="00B16CEF">
        <w:t>2.392</w:t>
      </w:r>
      <w:r>
        <w:t xml:space="preserve">,00 EUR), pri </w:t>
      </w:r>
      <w:r w:rsidRPr="00B16CEF">
        <w:rPr>
          <w:b/>
        </w:rPr>
        <w:t>samostojnih podjetnikih</w:t>
      </w:r>
      <w:r>
        <w:t xml:space="preserve">, ki delujejo v kinematografski dejavnosti (1.143,00 EUR), v </w:t>
      </w:r>
      <w:r w:rsidRPr="00B16CEF">
        <w:rPr>
          <w:b/>
        </w:rPr>
        <w:t>društvih</w:t>
      </w:r>
      <w:r>
        <w:t xml:space="preserve"> s področja umetniškega uprizarjanja</w:t>
      </w:r>
      <w:r w:rsidR="00642FD9">
        <w:rPr>
          <w:rStyle w:val="Sprotnaopomba-sklic"/>
        </w:rPr>
        <w:footnoteReference w:id="57"/>
      </w:r>
      <w:r>
        <w:t xml:space="preserve"> (1.701,00 EUR), v </w:t>
      </w:r>
      <w:r w:rsidRPr="00C543C4">
        <w:rPr>
          <w:b/>
        </w:rPr>
        <w:t>zasebnih zavodih</w:t>
      </w:r>
      <w:r>
        <w:t xml:space="preserve"> s področja izdajanja revij in druge periodike (2.740,00 EUR), v </w:t>
      </w:r>
      <w:r w:rsidRPr="00C543C4">
        <w:rPr>
          <w:b/>
        </w:rPr>
        <w:t>javnih zavodih</w:t>
      </w:r>
      <w:r>
        <w:t xml:space="preserve"> pa s področja televizijske dejavnosti (2.075,00 EUR). </w:t>
      </w:r>
      <w:r w:rsidR="000B423A">
        <w:t>V letu</w:t>
      </w:r>
      <w:r w:rsidR="0004651A" w:rsidRPr="0004651A">
        <w:t xml:space="preserve"> 2015 je </w:t>
      </w:r>
      <w:r w:rsidR="000B423A">
        <w:t xml:space="preserve">bila </w:t>
      </w:r>
      <w:r w:rsidR="0004651A" w:rsidRPr="0004651A">
        <w:t xml:space="preserve">povprečna </w:t>
      </w:r>
      <w:r w:rsidR="000B423A">
        <w:t xml:space="preserve">bruto mesečna </w:t>
      </w:r>
      <w:r w:rsidR="0004651A" w:rsidRPr="0004651A">
        <w:t>plača na zaposlenega delavca v gospodarskih družbah v vseh dejavn</w:t>
      </w:r>
      <w:r w:rsidR="0004651A">
        <w:t>ostih skupaj 1.504 evr</w:t>
      </w:r>
      <w:r w:rsidR="000B423A">
        <w:t>ov. V tem</w:t>
      </w:r>
      <w:r w:rsidR="00AC4A2C">
        <w:t xml:space="preserve"> letu </w:t>
      </w:r>
      <w:r w:rsidR="000B423A" w:rsidRPr="000B423A">
        <w:t>so najvišjo povprečno mesečno plačo na zaposlenega imele družbe s področja oskrbe z elekt</w:t>
      </w:r>
      <w:r w:rsidR="000B423A">
        <w:t>rično energijo, plinom in paro (</w:t>
      </w:r>
      <w:r w:rsidR="000B423A" w:rsidRPr="000B423A">
        <w:t>2.339 evrov</w:t>
      </w:r>
      <w:r w:rsidR="000B423A">
        <w:t>) ter</w:t>
      </w:r>
      <w:r w:rsidR="000B423A" w:rsidRPr="000B423A">
        <w:t xml:space="preserve"> </w:t>
      </w:r>
      <w:r w:rsidR="000B423A">
        <w:t>v</w:t>
      </w:r>
      <w:r w:rsidR="000B423A" w:rsidRPr="000B423A">
        <w:t xml:space="preserve"> informacijsk</w:t>
      </w:r>
      <w:r w:rsidR="000B423A">
        <w:t>ih in komunikacijskih dejavnostih (</w:t>
      </w:r>
      <w:r w:rsidR="000B423A" w:rsidRPr="000B423A">
        <w:t>2.177 evrov</w:t>
      </w:r>
      <w:r w:rsidR="000B423A">
        <w:t>)</w:t>
      </w:r>
      <w:r w:rsidR="000B423A" w:rsidRPr="000B423A">
        <w:t>.</w:t>
      </w:r>
      <w:r w:rsidR="000B423A">
        <w:t xml:space="preserve"> </w:t>
      </w:r>
      <w:r w:rsidR="000B423A" w:rsidRPr="000B423A">
        <w:t xml:space="preserve">(Vir: </w:t>
      </w:r>
      <w:r w:rsidR="00EA14AF" w:rsidRPr="00EA14AF">
        <w:t>Agencija RS za javnopravne evidence in storitve</w:t>
      </w:r>
      <w:r w:rsidR="000B423A" w:rsidRPr="000B423A">
        <w:t xml:space="preserve">, Informacija o poslovanju gospodarskih družb v Republiki Sloveniji v letu 2015, Ljubljana, maj 2016, str. </w:t>
      </w:r>
      <w:r w:rsidR="000B423A">
        <w:t>1</w:t>
      </w:r>
      <w:r w:rsidR="000B423A" w:rsidRPr="000B423A">
        <w:t>3).</w:t>
      </w:r>
    </w:p>
    <w:p w:rsidR="000B423A" w:rsidRDefault="000B423A">
      <w:pPr>
        <w:spacing w:after="0" w:line="240" w:lineRule="auto"/>
      </w:pPr>
    </w:p>
    <w:p w:rsidR="008E6C60" w:rsidRPr="0095212C" w:rsidRDefault="008E6C60" w:rsidP="0095212C">
      <w:pPr>
        <w:pStyle w:val="Podpispodtabeloaligrafom"/>
      </w:pPr>
      <w:r w:rsidRPr="007650C6">
        <w:br w:type="page"/>
      </w:r>
    </w:p>
    <w:p w:rsidR="00156F31" w:rsidRDefault="000B163D" w:rsidP="00166120">
      <w:pPr>
        <w:pStyle w:val="Podnaslov"/>
      </w:pPr>
      <w:bookmarkStart w:id="371" w:name="_Toc489859838"/>
      <w:bookmarkStart w:id="372" w:name="_Toc490047601"/>
      <w:bookmarkStart w:id="373" w:name="_Toc490599965"/>
      <w:bookmarkStart w:id="374" w:name="_Toc506192095"/>
      <w:r>
        <w:t xml:space="preserve">Prejemniki </w:t>
      </w:r>
      <w:r w:rsidR="006C0C92">
        <w:t>sredstev</w:t>
      </w:r>
      <w:r>
        <w:t xml:space="preserve"> iz</w:t>
      </w:r>
      <w:r w:rsidR="0029550A">
        <w:t xml:space="preserve"> proračun</w:t>
      </w:r>
      <w:r>
        <w:t>a</w:t>
      </w:r>
      <w:r w:rsidR="0029550A">
        <w:t xml:space="preserve"> Ministrstva za kulturo</w:t>
      </w:r>
      <w:bookmarkEnd w:id="371"/>
      <w:bookmarkEnd w:id="372"/>
      <w:bookmarkEnd w:id="373"/>
      <w:bookmarkEnd w:id="374"/>
    </w:p>
    <w:p w:rsidR="00514D5F" w:rsidRDefault="00A03981" w:rsidP="00327039">
      <w:r>
        <w:t>Podatki, k</w:t>
      </w:r>
      <w:r w:rsidR="004C5725">
        <w:t>i smo jih predstavili</w:t>
      </w:r>
      <w:r w:rsidR="00262B41">
        <w:t xml:space="preserve"> v poglavju </w:t>
      </w:r>
      <w:r w:rsidR="00262B41" w:rsidRPr="00262B41">
        <w:t>Obseg kulturne in umetniške dejavnosti</w:t>
      </w:r>
      <w:r w:rsidR="004C5725">
        <w:t>,</w:t>
      </w:r>
      <w:r>
        <w:t xml:space="preserve"> </w:t>
      </w:r>
      <w:r w:rsidR="00262B41">
        <w:t>za večino področij kažejo</w:t>
      </w:r>
      <w:r>
        <w:t xml:space="preserve"> </w:t>
      </w:r>
      <w:r w:rsidR="003007C4">
        <w:t xml:space="preserve">naraščanje kulturne produkcije in števila kulturnih producentov. Zdaj pa </w:t>
      </w:r>
      <w:r w:rsidR="00BD52E1">
        <w:t>bomo preverili</w:t>
      </w:r>
      <w:r w:rsidR="00514D5F">
        <w:t xml:space="preserve">, ali se to odraža tudi v večanju števila </w:t>
      </w:r>
      <w:r w:rsidR="003007C4">
        <w:t xml:space="preserve">prejemnikov proračunskih sredstev Ministrstva za kulturo. </w:t>
      </w:r>
      <w:r w:rsidR="00514D5F">
        <w:t>Primerjali bomo število prejemnikov v let</w:t>
      </w:r>
      <w:r w:rsidR="008E6C60">
        <w:t>ih</w:t>
      </w:r>
      <w:r w:rsidR="00514D5F">
        <w:t xml:space="preserve"> 2002 (to</w:t>
      </w:r>
      <w:r w:rsidR="009161B5">
        <w:t xml:space="preserve"> je bilo prvo celo leto, ko je M</w:t>
      </w:r>
      <w:r w:rsidR="00514D5F">
        <w:t xml:space="preserve">inistrstvo za kulturo uporabljalo </w:t>
      </w:r>
      <w:r w:rsidR="00514D5F" w:rsidRPr="00514D5F">
        <w:t>elektronski finančno računovodski sistem MFERAC, ki omogoč</w:t>
      </w:r>
      <w:r w:rsidR="00514D5F">
        <w:t>a podrobnejše preglede izplačil) in 2015.</w:t>
      </w:r>
      <w:r w:rsidR="00AA664E">
        <w:t xml:space="preserve"> Osredotočili se bomo samo na </w:t>
      </w:r>
      <w:r w:rsidR="004D5ABB">
        <w:t>izvajalce</w:t>
      </w:r>
      <w:r w:rsidR="00AA664E">
        <w:t xml:space="preserve">, ki so prejeli sredstva za izvajanje </w:t>
      </w:r>
      <w:r w:rsidR="00DB515E">
        <w:t>nalog, programov oz. projektov</w:t>
      </w:r>
      <w:r w:rsidR="00AA664E">
        <w:t xml:space="preserve"> na področju kulture</w:t>
      </w:r>
      <w:r w:rsidR="004D5ABB">
        <w:t>, izključili pa prejemnike, v glavnem so to gospodarske družbe, ki so izvajale storitve ali dobavljale blago za delovanje ministrstva.</w:t>
      </w:r>
      <w:r w:rsidR="00DB515E">
        <w:rPr>
          <w:rStyle w:val="Sprotnaopomba-sklic"/>
        </w:rPr>
        <w:footnoteReference w:id="58"/>
      </w:r>
    </w:p>
    <w:p w:rsidR="009D2088" w:rsidRDefault="00514D5F" w:rsidP="002C29F2">
      <w:r>
        <w:t xml:space="preserve">V </w:t>
      </w:r>
      <w:r w:rsidR="00FD3E5C">
        <w:t>tabeli</w:t>
      </w:r>
      <w:r w:rsidR="005E1D0E">
        <w:t xml:space="preserve"> 30</w:t>
      </w:r>
      <w:r>
        <w:t xml:space="preserve"> vidimo, da je bil proračun Ministrstva za kulturo leta 2015 za 38 % višji od proračuna v letu 2002,</w:t>
      </w:r>
      <w:r w:rsidR="00307813">
        <w:t xml:space="preserve"> </w:t>
      </w:r>
      <w:r>
        <w:t xml:space="preserve">število njegovih </w:t>
      </w:r>
      <w:r w:rsidR="00514EBE">
        <w:t>osrednjih</w:t>
      </w:r>
      <w:r>
        <w:t xml:space="preserve"> prejemnikov pa je naraslo za </w:t>
      </w:r>
      <w:r w:rsidR="00514EBE" w:rsidRPr="002934BE">
        <w:t>več kot dvakrat. P</w:t>
      </w:r>
      <w:r w:rsidR="00514EBE">
        <w:t>osledica tega je razpršitev sredstev oz. nižanje količine sredstev na posameznega prejemnika.</w:t>
      </w:r>
      <w:r w:rsidR="00FD3E5C">
        <w:t xml:space="preserve"> Čeprav je bilo skupno število prejemnikov leta 2015 večje kot leta 2002, se niso </w:t>
      </w:r>
      <w:r w:rsidR="001046C5">
        <w:t>povečale</w:t>
      </w:r>
      <w:r w:rsidR="00FD3E5C">
        <w:t xml:space="preserve"> vse skupine prejemnikov</w:t>
      </w:r>
      <w:r w:rsidR="00AF22D6">
        <w:t>,</w:t>
      </w:r>
      <w:r w:rsidR="00262B41">
        <w:t xml:space="preserve"> temveč le nekatere.</w:t>
      </w:r>
    </w:p>
    <w:p w:rsidR="009D2088" w:rsidRDefault="00262B41" w:rsidP="00262B41">
      <w:r>
        <w:t>L</w:t>
      </w:r>
      <w:r w:rsidR="00FD3E5C">
        <w:t xml:space="preserve">eta 2015 je proračunske sredstva prejelo </w:t>
      </w:r>
      <w:r w:rsidR="007A0C8F">
        <w:t>bistveno</w:t>
      </w:r>
      <w:r w:rsidR="00FD3E5C">
        <w:t xml:space="preserve"> več – za skoraj devetkrat več –</w:t>
      </w:r>
      <w:r w:rsidR="007F1C17">
        <w:t xml:space="preserve"> </w:t>
      </w:r>
      <w:r w:rsidR="009D2088">
        <w:t>posameznikov kot leta 2002. Razlogi za povečanje števila posameznikov – prejemnikov sredstev so pretežno v povečanju števila odobrenih individualnih projektov na razpisih in v uvedbi knjižničnega nadomestila za avtorje del, ki se izposojajo v knjižnicah. Leta 2015 je bilo (za leto 2014) izplačano knjižnično nadomestilo 907 avtorjem.</w:t>
      </w:r>
    </w:p>
    <w:p w:rsidR="009D2088" w:rsidRDefault="00262B41" w:rsidP="00262B41">
      <w:r>
        <w:t>P</w:t>
      </w:r>
      <w:r w:rsidR="004F1A5E">
        <w:t xml:space="preserve">ovečalo se je število financiranih agencij (ustanovljena </w:t>
      </w:r>
      <w:r w:rsidR="0019092C">
        <w:t xml:space="preserve">je bila </w:t>
      </w:r>
      <w:r w:rsidR="004F1A5E">
        <w:t>Javna agencija za knjigo), ter za nekaj odstotkov tudi število</w:t>
      </w:r>
      <w:r w:rsidR="00FD3E5C">
        <w:t xml:space="preserve"> nevladnih</w:t>
      </w:r>
      <w:r w:rsidR="00333F86">
        <w:t>/neprofitnih</w:t>
      </w:r>
      <w:r w:rsidR="00FD3E5C">
        <w:t xml:space="preserve"> organizacij (društva, zasebni zavodi,</w:t>
      </w:r>
      <w:r w:rsidR="008F4CBF">
        <w:t xml:space="preserve"> ustanove in zbornice</w:t>
      </w:r>
      <w:r>
        <w:t>).</w:t>
      </w:r>
    </w:p>
    <w:p w:rsidR="00715915" w:rsidRDefault="00262B41" w:rsidP="00262B41">
      <w:r>
        <w:t>M</w:t>
      </w:r>
      <w:r w:rsidR="00715915">
        <w:t xml:space="preserve">edtem ko se je število vseh javnih zavodov, ki so prejeli </w:t>
      </w:r>
      <w:r w:rsidR="002C29F2">
        <w:t>kakršnakoli</w:t>
      </w:r>
      <w:r w:rsidR="00715915">
        <w:t xml:space="preserve"> sredstva iz proračuna Ministrstva za kulturo</w:t>
      </w:r>
      <w:r w:rsidR="00866580">
        <w:t>,</w:t>
      </w:r>
      <w:r w:rsidR="00715915">
        <w:t xml:space="preserve"> povečalo za 4 %, je Ministrstvo za kulturo leta 2015 redno financiralo 10 javnih zavodov več, kar predstavlja 16 % rast.</w:t>
      </w:r>
      <w:r w:rsidR="002C29F2">
        <w:t xml:space="preserve"> </w:t>
      </w:r>
      <w:r w:rsidR="00715915">
        <w:t xml:space="preserve">Redno financiranje zavoda </w:t>
      </w:r>
      <w:r w:rsidR="005A5EE2">
        <w:t xml:space="preserve">poteka prek </w:t>
      </w:r>
      <w:r w:rsidR="00CE28A6">
        <w:t>neposrednega</w:t>
      </w:r>
      <w:r w:rsidR="005A5EE2">
        <w:t xml:space="preserve"> poziva in </w:t>
      </w:r>
      <w:r w:rsidR="00715915">
        <w:t xml:space="preserve">praviloma </w:t>
      </w:r>
      <w:r w:rsidR="005812B3">
        <w:t xml:space="preserve">pomeni tudi večinsko financiranje </w:t>
      </w:r>
      <w:r w:rsidR="005A5EE2">
        <w:t>ter</w:t>
      </w:r>
      <w:r w:rsidR="005812B3">
        <w:t xml:space="preserve"> </w:t>
      </w:r>
      <w:r w:rsidR="002C29F2">
        <w:t>vključuje</w:t>
      </w:r>
      <w:r w:rsidR="00715915">
        <w:t xml:space="preserve"> financiranje </w:t>
      </w:r>
      <w:r w:rsidR="002C29F2">
        <w:t>plač, splošnih stroškov delovanja, materialni</w:t>
      </w:r>
      <w:r w:rsidR="00951DEE">
        <w:t>h</w:t>
      </w:r>
      <w:r w:rsidR="002C29F2">
        <w:t xml:space="preserve"> stroškov za izvedbo programa ter stroškov investicijskega vzdrževanja in nakupa opreme</w:t>
      </w:r>
      <w:r w:rsidR="005812B3">
        <w:t>.</w:t>
      </w:r>
      <w:r w:rsidR="002C29F2">
        <w:t xml:space="preserve"> </w:t>
      </w:r>
      <w:r w:rsidR="00FD1609">
        <w:t>Nekaterim</w:t>
      </w:r>
      <w:r w:rsidR="002C29F2">
        <w:t xml:space="preserve"> občinski</w:t>
      </w:r>
      <w:r w:rsidR="00FD1609">
        <w:t>m</w:t>
      </w:r>
      <w:r w:rsidR="002C29F2">
        <w:t xml:space="preserve"> zavodo</w:t>
      </w:r>
      <w:r w:rsidR="005A5EE2">
        <w:t>m</w:t>
      </w:r>
      <w:r w:rsidR="002C29F2">
        <w:t xml:space="preserve"> se redno </w:t>
      </w:r>
      <w:r w:rsidR="005812B3">
        <w:t>(so)</w:t>
      </w:r>
      <w:r w:rsidR="002C29F2">
        <w:t>financira le materialne stroške</w:t>
      </w:r>
      <w:r w:rsidR="005A5EE2">
        <w:t xml:space="preserve"> za izvedbo programa</w:t>
      </w:r>
      <w:r w:rsidR="00951DEE">
        <w:t>, splošnim knjižnicam pa nakup knjižničnega gradiva in posebne naloge (npr. posebne naloge za narodne skupnosti, posebne naloge na obmejnih območjih itd.)</w:t>
      </w:r>
      <w:r w:rsidR="005812B3">
        <w:t xml:space="preserve">. </w:t>
      </w:r>
      <w:r w:rsidR="002C29F2">
        <w:t xml:space="preserve">Ti javni zavodi, pa tudi drugi, ki se jih ne financira redno, </w:t>
      </w:r>
      <w:r w:rsidR="00FD1609">
        <w:t xml:space="preserve">lahko </w:t>
      </w:r>
      <w:r w:rsidR="002C29F2">
        <w:t xml:space="preserve">proračunska sredstva Ministrstva za kulturo </w:t>
      </w:r>
      <w:r w:rsidR="00FD1609">
        <w:t>prejmejo (še)</w:t>
      </w:r>
      <w:r w:rsidR="002C29F2">
        <w:t xml:space="preserve"> prek </w:t>
      </w:r>
      <w:r w:rsidR="005A5EE2">
        <w:t xml:space="preserve">javnih </w:t>
      </w:r>
      <w:r w:rsidR="002C29F2">
        <w:t>razpisov za projekte.</w:t>
      </w:r>
      <w:r w:rsidR="005812B3">
        <w:t xml:space="preserve"> Od tod izhajata dva podatka o financ</w:t>
      </w:r>
      <w:r w:rsidR="00307813">
        <w:t>iranju javnih zavodov v tabeli 30.</w:t>
      </w:r>
      <w:r w:rsidR="005812B3">
        <w:t xml:space="preserve"> Eden se nanaša </w:t>
      </w:r>
      <w:r w:rsidR="00FD1609">
        <w:t xml:space="preserve">na vse javne zavode, ki so prejeli sredstva, </w:t>
      </w:r>
      <w:r w:rsidR="005812B3">
        <w:t xml:space="preserve">drugi pa </w:t>
      </w:r>
      <w:r w:rsidR="00FD1609">
        <w:t>samo na tiste</w:t>
      </w:r>
      <w:r w:rsidR="005812B3">
        <w:t xml:space="preserve">, ki jih Ministrstvo za kulturo financira </w:t>
      </w:r>
      <w:r w:rsidR="0030427A">
        <w:t xml:space="preserve">prek </w:t>
      </w:r>
      <w:r w:rsidR="00CE28A6">
        <w:t>neposrednih</w:t>
      </w:r>
      <w:r w:rsidR="0030427A">
        <w:t xml:space="preserve"> pozivov oz. </w:t>
      </w:r>
      <w:r w:rsidR="005812B3">
        <w:t>red</w:t>
      </w:r>
      <w:r w:rsidR="0030427A">
        <w:t>no.</w:t>
      </w:r>
    </w:p>
    <w:p w:rsidR="00CA0B9F" w:rsidRDefault="004F1A5E" w:rsidP="00327039">
      <w:r w:rsidRPr="00001CF1">
        <w:t xml:space="preserve">Število financiranih verskih organizacij se je zmanjšalo za 80 %, več kot prepolovilo </w:t>
      </w:r>
      <w:r w:rsidR="0019092C" w:rsidRPr="00001CF1">
        <w:t xml:space="preserve">se je </w:t>
      </w:r>
      <w:r w:rsidRPr="00001CF1">
        <w:t>število občin ter za nekaj odstotkov zmanjšalo število podjetij.</w:t>
      </w:r>
      <w:r w:rsidR="0019092C" w:rsidRPr="00001CF1">
        <w:t xml:space="preserve"> Razlogi </w:t>
      </w:r>
      <w:r w:rsidR="009D2088">
        <w:t xml:space="preserve">za </w:t>
      </w:r>
      <w:r w:rsidR="0019092C" w:rsidRPr="00001CF1">
        <w:t xml:space="preserve">financiranje </w:t>
      </w:r>
      <w:r w:rsidR="00001CF1" w:rsidRPr="00001CF1">
        <w:t xml:space="preserve">manjšega števila </w:t>
      </w:r>
      <w:r w:rsidR="008D728F">
        <w:t>verskih organizacij, ki so bili</w:t>
      </w:r>
      <w:r w:rsidR="0019092C" w:rsidRPr="00001CF1">
        <w:t xml:space="preserve"> leta 2002 v glavnem župnijski uradi</w:t>
      </w:r>
      <w:r w:rsidR="001046C5" w:rsidRPr="00001CF1">
        <w:t xml:space="preserve"> in župnije</w:t>
      </w:r>
      <w:r w:rsidR="0019092C" w:rsidRPr="00001CF1">
        <w:t xml:space="preserve"> katoliške cerkve</w:t>
      </w:r>
      <w:r w:rsidR="00C94659" w:rsidRPr="00001CF1">
        <w:t>,</w:t>
      </w:r>
      <w:r w:rsidR="0019092C" w:rsidRPr="00001CF1">
        <w:t xml:space="preserve"> so v zmanjšanju sredstev za obnovo kulturnih spomenikov iz integralnega proračuna. Večina sredstev za obnovo kulturnih spomenikov je leta 2002 prihajala iz integralnega proračuna, precej tudi </w:t>
      </w:r>
      <w:r w:rsidR="00FD227C" w:rsidRPr="00001CF1">
        <w:t xml:space="preserve">zaradi </w:t>
      </w:r>
      <w:r w:rsidR="003A441F" w:rsidRPr="00001CF1">
        <w:t>Zakona o zagotavljanju sredstev za nekatere nujne programe RS v kulturi – znanega kot zakon o kulturnem tolarju, leta 2015 pa</w:t>
      </w:r>
      <w:r w:rsidR="003A441F">
        <w:t xml:space="preserve"> iz sredstev kohezijske politike, </w:t>
      </w:r>
      <w:r w:rsidR="00001CF1">
        <w:t xml:space="preserve">ki pa so namenjena </w:t>
      </w:r>
      <w:r w:rsidR="00FD227C">
        <w:t xml:space="preserve">projektom celovitih obnov, katerih posledica bodo nova delovna mesta, večanje turističnega obiska ipd. </w:t>
      </w:r>
      <w:r w:rsidR="00C94659">
        <w:t>Podobno velja za občine – v</w:t>
      </w:r>
      <w:r w:rsidR="00FD227C">
        <w:t xml:space="preserve">ečina </w:t>
      </w:r>
      <w:r w:rsidR="00207F73">
        <w:t xml:space="preserve">občin prejemnic </w:t>
      </w:r>
      <w:r w:rsidR="00001CF1">
        <w:t>proračunskih sredstev leta 2002</w:t>
      </w:r>
      <w:r w:rsidR="00207F73">
        <w:t xml:space="preserve"> je le-ta prejela na račun zakona o kulturnem tolarju, in sicer </w:t>
      </w:r>
      <w:r w:rsidR="00714D69">
        <w:t>za gradnjo</w:t>
      </w:r>
      <w:r w:rsidR="006A3DAD">
        <w:t xml:space="preserve"> in obnovo kulturnih inštitucij</w:t>
      </w:r>
      <w:r w:rsidR="00001CF1">
        <w:t xml:space="preserve">. </w:t>
      </w:r>
    </w:p>
    <w:p w:rsidR="00714D69" w:rsidRDefault="001046C5" w:rsidP="00327039">
      <w:r>
        <w:t xml:space="preserve">Ker način </w:t>
      </w:r>
      <w:r w:rsidR="000F67E6">
        <w:t>hranjenja</w:t>
      </w:r>
      <w:r>
        <w:t xml:space="preserve"> podatkov o s</w:t>
      </w:r>
      <w:r w:rsidRPr="001046C5">
        <w:t>amozaposleni</w:t>
      </w:r>
      <w:r>
        <w:t>h</w:t>
      </w:r>
      <w:r w:rsidRPr="001046C5">
        <w:t>, s pravico do plačila prispevkov za socialno varnost iz proračuna</w:t>
      </w:r>
      <w:r>
        <w:t xml:space="preserve"> in prejemnikih republiških zavarovalnin za leto 2002 ne omogoča podrobnejše analize,</w:t>
      </w:r>
      <w:r>
        <w:rPr>
          <w:rStyle w:val="Sprotnaopomba-sklic"/>
        </w:rPr>
        <w:footnoteReference w:id="59"/>
      </w:r>
      <w:r>
        <w:t xml:space="preserve"> v </w:t>
      </w:r>
      <w:r w:rsidR="00D14D6F">
        <w:t>tabeli 30</w:t>
      </w:r>
      <w:r>
        <w:t xml:space="preserve"> prikazujemo njihovo število ločeno od posameznikov, ki so prejeli sredstva za izvedbo projektov in štipendistov</w:t>
      </w:r>
      <w:r w:rsidR="00D14D6F">
        <w:t>. Podatki v tabeli 30</w:t>
      </w:r>
      <w:r w:rsidR="00E14EB6">
        <w:t xml:space="preserve"> kažejo, da je bilo leta 2015 v primerjavi z letom 2002 dobrih 20 % več oseb s pravico do plačila socialnih prispevkov iz državnega proračuna za kulturo, število prejemnikov republiških priznavalnin pa </w:t>
      </w:r>
      <w:r w:rsidR="00AA7F01">
        <w:t>se je potrojilo.</w:t>
      </w:r>
      <w:r w:rsidR="008F1021">
        <w:t xml:space="preserve"> </w:t>
      </w:r>
      <w:r w:rsidR="008F1021" w:rsidRPr="008F1021">
        <w:t>V letu 2013 je bila za samozaposlene v kulturi uvedena nova socialna pravica – dnevno nadomestilo za čas zadržanosti od dela zaradi bolezni,</w:t>
      </w:r>
      <w:r w:rsidR="008F1021">
        <w:t xml:space="preserve"> ki se izvaja prekratek čas, da bi </w:t>
      </w:r>
      <w:r w:rsidR="006D0478">
        <w:t>lahko sklepali o trendu.</w:t>
      </w:r>
      <w:r w:rsidR="008F1021">
        <w:t xml:space="preserve"> </w:t>
      </w:r>
    </w:p>
    <w:p w:rsidR="00221E6B" w:rsidRPr="00AF2158" w:rsidRDefault="006D2D21" w:rsidP="00221E6B">
      <w:pPr>
        <w:pStyle w:val="Naslovtabele"/>
      </w:pPr>
      <w:bookmarkStart w:id="375" w:name="_Toc490053404"/>
      <w:bookmarkStart w:id="376" w:name="_Toc490053775"/>
      <w:bookmarkStart w:id="377" w:name="_Toc490600047"/>
      <w:r>
        <w:t>Tabela 30:</w:t>
      </w:r>
      <w:r w:rsidR="00221E6B" w:rsidRPr="00AF2158">
        <w:t xml:space="preserve"> </w:t>
      </w:r>
      <w:r w:rsidR="00AA664E">
        <w:t>Prejemniki</w:t>
      </w:r>
      <w:r w:rsidR="00221E6B" w:rsidRPr="00AF2158">
        <w:t xml:space="preserve"> proračunskih sredstev Ministrstva </w:t>
      </w:r>
      <w:r w:rsidR="00033F43">
        <w:t xml:space="preserve">za kulturo </w:t>
      </w:r>
      <w:r w:rsidR="00AA664E">
        <w:t>(2002 in 2015)*</w:t>
      </w:r>
      <w:bookmarkEnd w:id="375"/>
      <w:bookmarkEnd w:id="376"/>
      <w:bookmarkEnd w:id="377"/>
    </w:p>
    <w:tbl>
      <w:tblPr>
        <w:tblStyle w:val="ListTable3-Accent31"/>
        <w:tblW w:w="5000" w:type="pct"/>
        <w:tblLook w:val="04A0" w:firstRow="1" w:lastRow="0" w:firstColumn="1" w:lastColumn="0" w:noHBand="0" w:noVBand="1"/>
      </w:tblPr>
      <w:tblGrid>
        <w:gridCol w:w="5924"/>
        <w:gridCol w:w="992"/>
        <w:gridCol w:w="996"/>
        <w:gridCol w:w="1377"/>
      </w:tblGrid>
      <w:tr w:rsidR="00262B41" w:rsidRPr="00221E6B" w:rsidTr="00262B41">
        <w:trPr>
          <w:cnfStyle w:val="100000000000" w:firstRow="1" w:lastRow="0" w:firstColumn="0" w:lastColumn="0" w:oddVBand="0" w:evenVBand="0" w:oddHBand="0" w:evenHBand="0" w:firstRowFirstColumn="0" w:firstRowLastColumn="0" w:lastRowFirstColumn="0" w:lastRowLastColumn="0"/>
          <w:trHeight w:val="102"/>
        </w:trPr>
        <w:tc>
          <w:tcPr>
            <w:cnfStyle w:val="001000000100" w:firstRow="0" w:lastRow="0" w:firstColumn="1" w:lastColumn="0" w:oddVBand="0" w:evenVBand="0" w:oddHBand="0" w:evenHBand="0" w:firstRowFirstColumn="1" w:firstRowLastColumn="0" w:lastRowFirstColumn="0" w:lastRowLastColumn="0"/>
            <w:tcW w:w="3189" w:type="pct"/>
            <w:hideMark/>
          </w:tcPr>
          <w:p w:rsidR="00221E6B" w:rsidRPr="00221E6B" w:rsidRDefault="006737FB" w:rsidP="004F1A5E">
            <w:pPr>
              <w:spacing w:after="0" w:line="240" w:lineRule="auto"/>
              <w:rPr>
                <w:rFonts w:ascii="Arial Narrow" w:hAnsi="Arial Narrow" w:cs="Arial"/>
                <w:color w:val="FFFFFF"/>
                <w:sz w:val="16"/>
                <w:szCs w:val="16"/>
                <w:lang w:eastAsia="sl-SI"/>
              </w:rPr>
            </w:pPr>
            <w:r>
              <w:rPr>
                <w:rFonts w:ascii="Arial Narrow" w:hAnsi="Arial Narrow" w:cs="Arial"/>
                <w:color w:val="FFFFFF"/>
                <w:sz w:val="16"/>
                <w:szCs w:val="16"/>
                <w:lang w:eastAsia="sl-SI"/>
              </w:rPr>
              <w:t xml:space="preserve">Neposredni </w:t>
            </w:r>
            <w:r w:rsidR="00221E6B" w:rsidRPr="00221E6B">
              <w:rPr>
                <w:rFonts w:ascii="Arial Narrow" w:hAnsi="Arial Narrow" w:cs="Arial"/>
                <w:color w:val="FFFFFF"/>
                <w:sz w:val="16"/>
                <w:szCs w:val="16"/>
                <w:lang w:eastAsia="sl-SI"/>
              </w:rPr>
              <w:t xml:space="preserve">pozivi, </w:t>
            </w:r>
            <w:r>
              <w:rPr>
                <w:rFonts w:ascii="Arial Narrow" w:hAnsi="Arial Narrow" w:cs="Arial"/>
                <w:color w:val="FFFFFF"/>
                <w:sz w:val="16"/>
                <w:szCs w:val="16"/>
                <w:lang w:eastAsia="sl-SI"/>
              </w:rPr>
              <w:t xml:space="preserve">javni pozivi, </w:t>
            </w:r>
            <w:r w:rsidR="00221E6B" w:rsidRPr="00221E6B">
              <w:rPr>
                <w:rFonts w:ascii="Arial Narrow" w:hAnsi="Arial Narrow" w:cs="Arial"/>
                <w:color w:val="FFFFFF"/>
                <w:sz w:val="16"/>
                <w:szCs w:val="16"/>
                <w:lang w:eastAsia="sl-SI"/>
              </w:rPr>
              <w:t>javni razpisi in javna naročila</w:t>
            </w:r>
            <w:r w:rsidR="00B15468" w:rsidRPr="00B15468">
              <w:rPr>
                <w:rFonts w:ascii="Arial Narrow" w:hAnsi="Arial Narrow" w:cs="Arial"/>
                <w:color w:val="FFFFFF"/>
                <w:sz w:val="16"/>
                <w:szCs w:val="16"/>
                <w:vertAlign w:val="superscript"/>
                <w:lang w:eastAsia="sl-SI"/>
              </w:rPr>
              <w:t>1</w:t>
            </w:r>
          </w:p>
        </w:tc>
        <w:tc>
          <w:tcPr>
            <w:tcW w:w="534" w:type="pct"/>
            <w:hideMark/>
          </w:tcPr>
          <w:p w:rsidR="00221E6B" w:rsidRPr="00221E6B" w:rsidRDefault="00221E6B" w:rsidP="004F1A5E">
            <w:pPr>
              <w:spacing w:after="0" w:line="240" w:lineRule="auto"/>
              <w:cnfStyle w:val="100000000000" w:firstRow="1" w:lastRow="0" w:firstColumn="0" w:lastColumn="0" w:oddVBand="0" w:evenVBand="0" w:oddHBand="0" w:evenHBand="0" w:firstRowFirstColumn="0" w:firstRowLastColumn="0" w:lastRowFirstColumn="0" w:lastRowLastColumn="0"/>
              <w:rPr>
                <w:rFonts w:ascii="Arial Narrow" w:hAnsi="Arial Narrow" w:cs="Arial"/>
                <w:color w:val="FFFFFF"/>
                <w:sz w:val="16"/>
                <w:szCs w:val="16"/>
                <w:lang w:eastAsia="sl-SI"/>
              </w:rPr>
            </w:pPr>
            <w:r w:rsidRPr="00221E6B">
              <w:rPr>
                <w:rFonts w:ascii="Arial Narrow" w:hAnsi="Arial Narrow" w:cs="Arial"/>
                <w:color w:val="FFFFFF"/>
                <w:sz w:val="16"/>
                <w:szCs w:val="16"/>
                <w:lang w:eastAsia="sl-SI"/>
              </w:rPr>
              <w:t>2002</w:t>
            </w:r>
          </w:p>
        </w:tc>
        <w:tc>
          <w:tcPr>
            <w:tcW w:w="536" w:type="pct"/>
            <w:hideMark/>
          </w:tcPr>
          <w:p w:rsidR="00221E6B" w:rsidRPr="00221E6B" w:rsidRDefault="00221E6B" w:rsidP="004F1A5E">
            <w:pPr>
              <w:spacing w:after="0" w:line="240" w:lineRule="auto"/>
              <w:cnfStyle w:val="100000000000" w:firstRow="1" w:lastRow="0" w:firstColumn="0" w:lastColumn="0" w:oddVBand="0" w:evenVBand="0" w:oddHBand="0" w:evenHBand="0" w:firstRowFirstColumn="0" w:firstRowLastColumn="0" w:lastRowFirstColumn="0" w:lastRowLastColumn="0"/>
              <w:rPr>
                <w:rFonts w:ascii="Arial Narrow" w:hAnsi="Arial Narrow" w:cs="Arial"/>
                <w:color w:val="FFFFFF"/>
                <w:sz w:val="16"/>
                <w:szCs w:val="16"/>
                <w:lang w:eastAsia="sl-SI"/>
              </w:rPr>
            </w:pPr>
            <w:r w:rsidRPr="00221E6B">
              <w:rPr>
                <w:rFonts w:ascii="Arial Narrow" w:hAnsi="Arial Narrow" w:cs="Arial"/>
                <w:color w:val="FFFFFF"/>
                <w:sz w:val="16"/>
                <w:szCs w:val="16"/>
                <w:lang w:eastAsia="sl-SI"/>
              </w:rPr>
              <w:t>2015</w:t>
            </w:r>
            <w:r w:rsidR="00B15468" w:rsidRPr="00B15468">
              <w:rPr>
                <w:rFonts w:ascii="Arial Narrow" w:hAnsi="Arial Narrow" w:cs="Arial"/>
                <w:color w:val="FFFFFF"/>
                <w:sz w:val="16"/>
                <w:szCs w:val="16"/>
                <w:vertAlign w:val="superscript"/>
                <w:lang w:eastAsia="sl-SI"/>
              </w:rPr>
              <w:t>5</w:t>
            </w:r>
          </w:p>
        </w:tc>
        <w:tc>
          <w:tcPr>
            <w:tcW w:w="741" w:type="pct"/>
            <w:hideMark/>
          </w:tcPr>
          <w:p w:rsidR="00221E6B" w:rsidRPr="00221E6B" w:rsidRDefault="00221E6B" w:rsidP="00E73C2F">
            <w:pPr>
              <w:spacing w:after="0" w:line="240" w:lineRule="auto"/>
              <w:cnfStyle w:val="100000000000" w:firstRow="1" w:lastRow="0" w:firstColumn="0" w:lastColumn="0" w:oddVBand="0" w:evenVBand="0" w:oddHBand="0" w:evenHBand="0" w:firstRowFirstColumn="0" w:firstRowLastColumn="0" w:lastRowFirstColumn="0" w:lastRowLastColumn="0"/>
              <w:rPr>
                <w:rFonts w:ascii="Arial Narrow" w:hAnsi="Arial Narrow" w:cs="Arial"/>
                <w:color w:val="FFFFFF"/>
                <w:sz w:val="16"/>
                <w:szCs w:val="16"/>
                <w:lang w:eastAsia="sl-SI"/>
              </w:rPr>
            </w:pPr>
            <w:r w:rsidRPr="00221E6B">
              <w:rPr>
                <w:rFonts w:ascii="Arial Narrow" w:hAnsi="Arial Narrow" w:cs="Arial"/>
                <w:color w:val="FFFFFF"/>
                <w:sz w:val="16"/>
                <w:szCs w:val="16"/>
                <w:lang w:eastAsia="sl-SI"/>
              </w:rPr>
              <w:t>Indeks 2015</w:t>
            </w:r>
            <w:r w:rsidR="00E73C2F">
              <w:rPr>
                <w:rFonts w:ascii="Arial Narrow" w:hAnsi="Arial Narrow" w:cs="Arial"/>
                <w:color w:val="FFFFFF"/>
                <w:sz w:val="16"/>
                <w:szCs w:val="16"/>
                <w:lang w:eastAsia="sl-SI"/>
              </w:rPr>
              <w:t>–</w:t>
            </w:r>
            <w:r w:rsidRPr="00221E6B">
              <w:rPr>
                <w:rFonts w:ascii="Arial Narrow" w:hAnsi="Arial Narrow" w:cs="Arial"/>
                <w:color w:val="FFFFFF"/>
                <w:sz w:val="16"/>
                <w:szCs w:val="16"/>
                <w:lang w:eastAsia="sl-SI"/>
              </w:rPr>
              <w:t>2002</w:t>
            </w:r>
          </w:p>
        </w:tc>
      </w:tr>
      <w:tr w:rsidR="00262B41" w:rsidRPr="00221E6B" w:rsidTr="00262B41">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3189" w:type="pct"/>
            <w:hideMark/>
          </w:tcPr>
          <w:p w:rsidR="00221E6B" w:rsidRPr="00514EBE" w:rsidRDefault="00221E6B" w:rsidP="00C41251">
            <w:pPr>
              <w:pStyle w:val="Odstavekseznama"/>
              <w:numPr>
                <w:ilvl w:val="0"/>
                <w:numId w:val="13"/>
              </w:numPr>
              <w:spacing w:after="0" w:line="240" w:lineRule="auto"/>
              <w:rPr>
                <w:rFonts w:ascii="Arial Narrow" w:hAnsi="Arial Narrow" w:cs="Arial"/>
                <w:color w:val="000000"/>
                <w:sz w:val="16"/>
                <w:szCs w:val="16"/>
                <w:lang w:eastAsia="sl-SI"/>
              </w:rPr>
            </w:pPr>
            <w:r w:rsidRPr="00514EBE">
              <w:rPr>
                <w:rFonts w:ascii="Arial Narrow" w:hAnsi="Arial Narrow" w:cs="Arial"/>
                <w:color w:val="000000"/>
                <w:sz w:val="16"/>
                <w:szCs w:val="16"/>
                <w:lang w:eastAsia="sl-SI"/>
              </w:rPr>
              <w:t>Javni agenciji in javni sklad</w:t>
            </w:r>
            <w:r w:rsidR="00B15468" w:rsidRPr="00B15468">
              <w:rPr>
                <w:rFonts w:ascii="Arial Narrow" w:hAnsi="Arial Narrow" w:cs="Arial"/>
                <w:color w:val="000000"/>
                <w:sz w:val="16"/>
                <w:szCs w:val="16"/>
                <w:vertAlign w:val="superscript"/>
                <w:lang w:eastAsia="sl-SI"/>
              </w:rPr>
              <w:t>2</w:t>
            </w:r>
          </w:p>
        </w:tc>
        <w:tc>
          <w:tcPr>
            <w:tcW w:w="534" w:type="pct"/>
            <w:hideMark/>
          </w:tcPr>
          <w:p w:rsidR="00221E6B" w:rsidRPr="00221E6B" w:rsidRDefault="00221E6B" w:rsidP="004F1A5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s="Arial"/>
                <w:color w:val="000000"/>
                <w:sz w:val="16"/>
                <w:szCs w:val="16"/>
                <w:lang w:eastAsia="sl-SI"/>
              </w:rPr>
            </w:pPr>
            <w:r w:rsidRPr="00221E6B">
              <w:rPr>
                <w:rFonts w:ascii="Arial Narrow" w:hAnsi="Arial Narrow" w:cs="Arial"/>
                <w:color w:val="000000"/>
                <w:sz w:val="16"/>
                <w:szCs w:val="16"/>
                <w:lang w:eastAsia="sl-SI"/>
              </w:rPr>
              <w:t>2</w:t>
            </w:r>
          </w:p>
        </w:tc>
        <w:tc>
          <w:tcPr>
            <w:tcW w:w="536" w:type="pct"/>
            <w:hideMark/>
          </w:tcPr>
          <w:p w:rsidR="00221E6B" w:rsidRPr="00221E6B" w:rsidRDefault="00221E6B" w:rsidP="004F1A5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s="Arial"/>
                <w:color w:val="000000"/>
                <w:sz w:val="16"/>
                <w:szCs w:val="16"/>
                <w:lang w:eastAsia="sl-SI"/>
              </w:rPr>
            </w:pPr>
            <w:r w:rsidRPr="00221E6B">
              <w:rPr>
                <w:rFonts w:ascii="Arial Narrow" w:hAnsi="Arial Narrow" w:cs="Arial"/>
                <w:color w:val="000000"/>
                <w:sz w:val="16"/>
                <w:szCs w:val="16"/>
                <w:lang w:eastAsia="sl-SI"/>
              </w:rPr>
              <w:t>3</w:t>
            </w:r>
          </w:p>
        </w:tc>
        <w:tc>
          <w:tcPr>
            <w:tcW w:w="741" w:type="pct"/>
            <w:hideMark/>
          </w:tcPr>
          <w:p w:rsidR="00221E6B" w:rsidRPr="00E448A4" w:rsidRDefault="00221E6B" w:rsidP="004F1A5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s="Arial"/>
                <w:bCs/>
                <w:sz w:val="16"/>
                <w:szCs w:val="16"/>
                <w:lang w:eastAsia="sl-SI"/>
              </w:rPr>
            </w:pPr>
            <w:r w:rsidRPr="00E448A4">
              <w:rPr>
                <w:rFonts w:ascii="Arial Narrow" w:hAnsi="Arial Narrow" w:cs="Arial"/>
                <w:bCs/>
                <w:sz w:val="16"/>
                <w:szCs w:val="16"/>
                <w:lang w:eastAsia="sl-SI"/>
              </w:rPr>
              <w:t>150</w:t>
            </w:r>
          </w:p>
        </w:tc>
      </w:tr>
      <w:tr w:rsidR="00262B41" w:rsidRPr="00221E6B" w:rsidTr="00262B41">
        <w:trPr>
          <w:trHeight w:val="102"/>
        </w:trPr>
        <w:tc>
          <w:tcPr>
            <w:cnfStyle w:val="001000000000" w:firstRow="0" w:lastRow="0" w:firstColumn="1" w:lastColumn="0" w:oddVBand="0" w:evenVBand="0" w:oddHBand="0" w:evenHBand="0" w:firstRowFirstColumn="0" w:firstRowLastColumn="0" w:lastRowFirstColumn="0" w:lastRowLastColumn="0"/>
            <w:tcW w:w="3189" w:type="pct"/>
            <w:hideMark/>
          </w:tcPr>
          <w:p w:rsidR="00221E6B" w:rsidRPr="00514EBE" w:rsidRDefault="00221E6B" w:rsidP="00C41251">
            <w:pPr>
              <w:pStyle w:val="Odstavekseznama"/>
              <w:numPr>
                <w:ilvl w:val="0"/>
                <w:numId w:val="13"/>
              </w:numPr>
              <w:spacing w:after="0" w:line="240" w:lineRule="auto"/>
              <w:rPr>
                <w:rFonts w:ascii="Arial Narrow" w:hAnsi="Arial Narrow" w:cs="Arial"/>
                <w:color w:val="000000"/>
                <w:sz w:val="16"/>
                <w:szCs w:val="16"/>
                <w:lang w:eastAsia="sl-SI"/>
              </w:rPr>
            </w:pPr>
            <w:r w:rsidRPr="00514EBE">
              <w:rPr>
                <w:rFonts w:ascii="Arial Narrow" w:hAnsi="Arial Narrow" w:cs="Arial"/>
                <w:color w:val="000000"/>
                <w:sz w:val="16"/>
                <w:szCs w:val="16"/>
                <w:lang w:eastAsia="sl-SI"/>
              </w:rPr>
              <w:t>Javni zavodi</w:t>
            </w:r>
          </w:p>
        </w:tc>
        <w:tc>
          <w:tcPr>
            <w:tcW w:w="534" w:type="pct"/>
            <w:hideMark/>
          </w:tcPr>
          <w:p w:rsidR="00221E6B" w:rsidRPr="00221E6B" w:rsidRDefault="00221E6B" w:rsidP="004F1A5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s="Arial"/>
                <w:color w:val="000000"/>
                <w:sz w:val="16"/>
                <w:szCs w:val="16"/>
                <w:lang w:eastAsia="sl-SI"/>
              </w:rPr>
            </w:pPr>
            <w:r w:rsidRPr="00221E6B">
              <w:rPr>
                <w:rFonts w:ascii="Arial Narrow" w:hAnsi="Arial Narrow" w:cs="Arial"/>
                <w:color w:val="000000"/>
                <w:sz w:val="16"/>
                <w:szCs w:val="16"/>
                <w:lang w:eastAsia="sl-SI"/>
              </w:rPr>
              <w:t>165</w:t>
            </w:r>
          </w:p>
        </w:tc>
        <w:tc>
          <w:tcPr>
            <w:tcW w:w="536" w:type="pct"/>
            <w:hideMark/>
          </w:tcPr>
          <w:p w:rsidR="00221E6B" w:rsidRPr="00221E6B" w:rsidRDefault="00221E6B" w:rsidP="004F1A5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s="Arial"/>
                <w:color w:val="000000"/>
                <w:sz w:val="16"/>
                <w:szCs w:val="16"/>
                <w:lang w:eastAsia="sl-SI"/>
              </w:rPr>
            </w:pPr>
            <w:r w:rsidRPr="00221E6B">
              <w:rPr>
                <w:rFonts w:ascii="Arial Narrow" w:hAnsi="Arial Narrow" w:cs="Arial"/>
                <w:color w:val="000000"/>
                <w:sz w:val="16"/>
                <w:szCs w:val="16"/>
                <w:lang w:eastAsia="sl-SI"/>
              </w:rPr>
              <w:t>172</w:t>
            </w:r>
          </w:p>
        </w:tc>
        <w:tc>
          <w:tcPr>
            <w:tcW w:w="741" w:type="pct"/>
            <w:hideMark/>
          </w:tcPr>
          <w:p w:rsidR="00221E6B" w:rsidRPr="00E448A4" w:rsidRDefault="00221E6B" w:rsidP="004F1A5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s="Arial"/>
                <w:bCs/>
                <w:sz w:val="16"/>
                <w:szCs w:val="16"/>
                <w:lang w:eastAsia="sl-SI"/>
              </w:rPr>
            </w:pPr>
            <w:r w:rsidRPr="00E448A4">
              <w:rPr>
                <w:rFonts w:ascii="Arial Narrow" w:hAnsi="Arial Narrow" w:cs="Arial"/>
                <w:bCs/>
                <w:sz w:val="16"/>
                <w:szCs w:val="16"/>
                <w:lang w:eastAsia="sl-SI"/>
              </w:rPr>
              <w:t>104</w:t>
            </w:r>
          </w:p>
        </w:tc>
      </w:tr>
      <w:tr w:rsidR="00262B41" w:rsidRPr="00221E6B" w:rsidTr="00262B41">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3189" w:type="pct"/>
          </w:tcPr>
          <w:p w:rsidR="009E718D" w:rsidRPr="00514EBE" w:rsidRDefault="00304BD3" w:rsidP="00715915">
            <w:pPr>
              <w:pStyle w:val="Odstavekseznama"/>
              <w:spacing w:after="0" w:line="240" w:lineRule="auto"/>
              <w:ind w:left="1080"/>
              <w:rPr>
                <w:rFonts w:ascii="Arial Narrow" w:hAnsi="Arial Narrow" w:cs="Arial"/>
                <w:color w:val="000000"/>
                <w:sz w:val="16"/>
                <w:szCs w:val="16"/>
                <w:lang w:eastAsia="sl-SI"/>
              </w:rPr>
            </w:pPr>
            <w:r>
              <w:rPr>
                <w:rFonts w:ascii="Arial Narrow" w:hAnsi="Arial Narrow" w:cs="Arial"/>
                <w:color w:val="000000"/>
                <w:sz w:val="16"/>
                <w:szCs w:val="16"/>
                <w:lang w:eastAsia="sl-SI"/>
              </w:rPr>
              <w:t xml:space="preserve">2.1. </w:t>
            </w:r>
            <w:r w:rsidR="00715915">
              <w:rPr>
                <w:rFonts w:ascii="Arial Narrow" w:hAnsi="Arial Narrow" w:cs="Arial"/>
                <w:color w:val="000000"/>
                <w:sz w:val="16"/>
                <w:szCs w:val="16"/>
                <w:lang w:eastAsia="sl-SI"/>
              </w:rPr>
              <w:t>Od tega redno financirani JZ (na podlagi neposrednega poziva)</w:t>
            </w:r>
          </w:p>
        </w:tc>
        <w:tc>
          <w:tcPr>
            <w:tcW w:w="534" w:type="pct"/>
          </w:tcPr>
          <w:p w:rsidR="009E718D" w:rsidRPr="00221E6B" w:rsidRDefault="00715915" w:rsidP="004F1A5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s="Arial"/>
                <w:color w:val="000000"/>
                <w:sz w:val="16"/>
                <w:szCs w:val="16"/>
                <w:lang w:eastAsia="sl-SI"/>
              </w:rPr>
            </w:pPr>
            <w:r>
              <w:rPr>
                <w:rFonts w:ascii="Arial Narrow" w:hAnsi="Arial Narrow" w:cs="Arial"/>
                <w:color w:val="000000"/>
                <w:sz w:val="16"/>
                <w:szCs w:val="16"/>
                <w:lang w:eastAsia="sl-SI"/>
              </w:rPr>
              <w:t>62</w:t>
            </w:r>
          </w:p>
        </w:tc>
        <w:tc>
          <w:tcPr>
            <w:tcW w:w="536" w:type="pct"/>
          </w:tcPr>
          <w:p w:rsidR="009E718D" w:rsidRPr="00221E6B" w:rsidRDefault="00715915" w:rsidP="004F1A5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s="Arial"/>
                <w:color w:val="000000"/>
                <w:sz w:val="16"/>
                <w:szCs w:val="16"/>
                <w:lang w:eastAsia="sl-SI"/>
              </w:rPr>
            </w:pPr>
            <w:r>
              <w:rPr>
                <w:rFonts w:ascii="Arial Narrow" w:hAnsi="Arial Narrow" w:cs="Arial"/>
                <w:color w:val="000000"/>
                <w:sz w:val="16"/>
                <w:szCs w:val="16"/>
                <w:lang w:eastAsia="sl-SI"/>
              </w:rPr>
              <w:t>72</w:t>
            </w:r>
          </w:p>
        </w:tc>
        <w:tc>
          <w:tcPr>
            <w:tcW w:w="741" w:type="pct"/>
          </w:tcPr>
          <w:p w:rsidR="009E718D" w:rsidRPr="00E448A4" w:rsidRDefault="00715915" w:rsidP="004F1A5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s="Arial"/>
                <w:bCs/>
                <w:sz w:val="16"/>
                <w:szCs w:val="16"/>
                <w:lang w:eastAsia="sl-SI"/>
              </w:rPr>
            </w:pPr>
            <w:r w:rsidRPr="00E448A4">
              <w:rPr>
                <w:rFonts w:ascii="Arial Narrow" w:hAnsi="Arial Narrow" w:cs="Arial"/>
                <w:bCs/>
                <w:sz w:val="16"/>
                <w:szCs w:val="16"/>
                <w:lang w:eastAsia="sl-SI"/>
              </w:rPr>
              <w:t>116</w:t>
            </w:r>
          </w:p>
        </w:tc>
      </w:tr>
      <w:tr w:rsidR="00262B41" w:rsidRPr="00221E6B" w:rsidTr="00262B41">
        <w:trPr>
          <w:trHeight w:val="102"/>
        </w:trPr>
        <w:tc>
          <w:tcPr>
            <w:cnfStyle w:val="001000000000" w:firstRow="0" w:lastRow="0" w:firstColumn="1" w:lastColumn="0" w:oddVBand="0" w:evenVBand="0" w:oddHBand="0" w:evenHBand="0" w:firstRowFirstColumn="0" w:firstRowLastColumn="0" w:lastRowFirstColumn="0" w:lastRowLastColumn="0"/>
            <w:tcW w:w="3189" w:type="pct"/>
            <w:hideMark/>
          </w:tcPr>
          <w:p w:rsidR="00221E6B" w:rsidRPr="00514EBE" w:rsidRDefault="00221E6B" w:rsidP="00C41251">
            <w:pPr>
              <w:pStyle w:val="Odstavekseznama"/>
              <w:numPr>
                <w:ilvl w:val="0"/>
                <w:numId w:val="17"/>
              </w:numPr>
              <w:spacing w:after="0" w:line="240" w:lineRule="auto"/>
              <w:rPr>
                <w:rFonts w:ascii="Arial Narrow" w:hAnsi="Arial Narrow" w:cs="Arial"/>
                <w:color w:val="000000"/>
                <w:sz w:val="16"/>
                <w:szCs w:val="16"/>
                <w:lang w:eastAsia="sl-SI"/>
              </w:rPr>
            </w:pPr>
            <w:r w:rsidRPr="00514EBE">
              <w:rPr>
                <w:rFonts w:ascii="Arial Narrow" w:hAnsi="Arial Narrow" w:cs="Arial"/>
                <w:color w:val="000000"/>
                <w:sz w:val="16"/>
                <w:szCs w:val="16"/>
                <w:lang w:eastAsia="sl-SI"/>
              </w:rPr>
              <w:t>Občine</w:t>
            </w:r>
          </w:p>
        </w:tc>
        <w:tc>
          <w:tcPr>
            <w:tcW w:w="534" w:type="pct"/>
            <w:hideMark/>
          </w:tcPr>
          <w:p w:rsidR="00221E6B" w:rsidRPr="00221E6B" w:rsidRDefault="00221E6B" w:rsidP="004F1A5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s="Arial"/>
                <w:color w:val="000000"/>
                <w:sz w:val="16"/>
                <w:szCs w:val="16"/>
                <w:lang w:eastAsia="sl-SI"/>
              </w:rPr>
            </w:pPr>
            <w:r w:rsidRPr="00221E6B">
              <w:rPr>
                <w:rFonts w:ascii="Arial Narrow" w:hAnsi="Arial Narrow" w:cs="Arial"/>
                <w:color w:val="000000"/>
                <w:sz w:val="16"/>
                <w:szCs w:val="16"/>
                <w:lang w:eastAsia="sl-SI"/>
              </w:rPr>
              <w:t>44</w:t>
            </w:r>
          </w:p>
        </w:tc>
        <w:tc>
          <w:tcPr>
            <w:tcW w:w="536" w:type="pct"/>
            <w:hideMark/>
          </w:tcPr>
          <w:p w:rsidR="00221E6B" w:rsidRPr="00221E6B" w:rsidRDefault="00221E6B" w:rsidP="004F1A5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s="Arial"/>
                <w:color w:val="000000"/>
                <w:sz w:val="16"/>
                <w:szCs w:val="16"/>
                <w:lang w:eastAsia="sl-SI"/>
              </w:rPr>
            </w:pPr>
            <w:r w:rsidRPr="00221E6B">
              <w:rPr>
                <w:rFonts w:ascii="Arial Narrow" w:hAnsi="Arial Narrow" w:cs="Arial"/>
                <w:color w:val="000000"/>
                <w:sz w:val="16"/>
                <w:szCs w:val="16"/>
                <w:lang w:eastAsia="sl-SI"/>
              </w:rPr>
              <w:t>17</w:t>
            </w:r>
          </w:p>
        </w:tc>
        <w:tc>
          <w:tcPr>
            <w:tcW w:w="741" w:type="pct"/>
            <w:hideMark/>
          </w:tcPr>
          <w:p w:rsidR="00221E6B" w:rsidRPr="00E448A4" w:rsidRDefault="00221E6B" w:rsidP="004F1A5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s="Arial"/>
                <w:bCs/>
                <w:sz w:val="16"/>
                <w:szCs w:val="16"/>
                <w:lang w:eastAsia="sl-SI"/>
              </w:rPr>
            </w:pPr>
            <w:r w:rsidRPr="00E448A4">
              <w:rPr>
                <w:rFonts w:ascii="Arial Narrow" w:hAnsi="Arial Narrow" w:cs="Arial"/>
                <w:bCs/>
                <w:sz w:val="16"/>
                <w:szCs w:val="16"/>
                <w:lang w:eastAsia="sl-SI"/>
              </w:rPr>
              <w:t>39</w:t>
            </w:r>
          </w:p>
        </w:tc>
      </w:tr>
      <w:tr w:rsidR="00262B41" w:rsidRPr="00221E6B" w:rsidTr="00262B41">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3189" w:type="pct"/>
            <w:hideMark/>
          </w:tcPr>
          <w:p w:rsidR="00221E6B" w:rsidRPr="00514EBE" w:rsidRDefault="00333F86" w:rsidP="00C41251">
            <w:pPr>
              <w:pStyle w:val="Odstavekseznama"/>
              <w:numPr>
                <w:ilvl w:val="0"/>
                <w:numId w:val="17"/>
              </w:numPr>
              <w:spacing w:after="0" w:line="240" w:lineRule="auto"/>
              <w:rPr>
                <w:rFonts w:ascii="Arial Narrow" w:hAnsi="Arial Narrow" w:cs="Arial"/>
                <w:color w:val="000000"/>
                <w:sz w:val="16"/>
                <w:szCs w:val="16"/>
                <w:lang w:eastAsia="sl-SI"/>
              </w:rPr>
            </w:pPr>
            <w:r>
              <w:rPr>
                <w:rFonts w:ascii="Arial Narrow" w:hAnsi="Arial Narrow" w:cs="Arial"/>
                <w:color w:val="000000"/>
                <w:sz w:val="16"/>
                <w:szCs w:val="16"/>
                <w:lang w:eastAsia="sl-SI"/>
              </w:rPr>
              <w:t>Nevladne/neprofitne org.</w:t>
            </w:r>
            <w:r w:rsidR="00221E6B" w:rsidRPr="00514EBE">
              <w:rPr>
                <w:rFonts w:ascii="Arial Narrow" w:hAnsi="Arial Narrow" w:cs="Arial"/>
                <w:color w:val="000000"/>
                <w:sz w:val="16"/>
                <w:szCs w:val="16"/>
                <w:lang w:eastAsia="sl-SI"/>
              </w:rPr>
              <w:t>: društva, zasebni zavodi, ustanove, zbornice</w:t>
            </w:r>
            <w:r w:rsidR="00B15468" w:rsidRPr="00B15468">
              <w:rPr>
                <w:rFonts w:ascii="Arial Narrow" w:hAnsi="Arial Narrow" w:cs="Arial"/>
                <w:color w:val="000000"/>
                <w:sz w:val="16"/>
                <w:szCs w:val="16"/>
                <w:vertAlign w:val="superscript"/>
                <w:lang w:eastAsia="sl-SI"/>
              </w:rPr>
              <w:t>3</w:t>
            </w:r>
            <w:r w:rsidR="00221E6B" w:rsidRPr="00514EBE">
              <w:rPr>
                <w:rFonts w:ascii="Arial Narrow" w:hAnsi="Arial Narrow" w:cs="Arial"/>
                <w:color w:val="000000"/>
                <w:sz w:val="16"/>
                <w:szCs w:val="16"/>
                <w:lang w:eastAsia="sl-SI"/>
              </w:rPr>
              <w:t xml:space="preserve"> </w:t>
            </w:r>
          </w:p>
        </w:tc>
        <w:tc>
          <w:tcPr>
            <w:tcW w:w="534" w:type="pct"/>
            <w:hideMark/>
          </w:tcPr>
          <w:p w:rsidR="00221E6B" w:rsidRPr="00E61F65" w:rsidRDefault="00E61F65" w:rsidP="004F1A5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s="Arial"/>
                <w:color w:val="000000"/>
                <w:sz w:val="16"/>
                <w:szCs w:val="16"/>
                <w:lang w:eastAsia="sl-SI"/>
              </w:rPr>
            </w:pPr>
            <w:r w:rsidRPr="00E61F65">
              <w:rPr>
                <w:rFonts w:ascii="Arial Narrow" w:hAnsi="Arial Narrow" w:cs="Arial"/>
                <w:color w:val="000000"/>
                <w:sz w:val="16"/>
                <w:szCs w:val="16"/>
                <w:lang w:eastAsia="sl-SI"/>
              </w:rPr>
              <w:t>294</w:t>
            </w:r>
          </w:p>
        </w:tc>
        <w:tc>
          <w:tcPr>
            <w:tcW w:w="536" w:type="pct"/>
            <w:hideMark/>
          </w:tcPr>
          <w:p w:rsidR="00221E6B" w:rsidRPr="00E61F65" w:rsidRDefault="00221E6B" w:rsidP="004F1A5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s="Arial"/>
                <w:color w:val="000000"/>
                <w:sz w:val="16"/>
                <w:szCs w:val="16"/>
                <w:lang w:eastAsia="sl-SI"/>
              </w:rPr>
            </w:pPr>
            <w:r w:rsidRPr="00E61F65">
              <w:rPr>
                <w:rFonts w:ascii="Arial Narrow" w:hAnsi="Arial Narrow" w:cs="Arial"/>
                <w:color w:val="000000"/>
                <w:sz w:val="16"/>
                <w:szCs w:val="16"/>
                <w:lang w:eastAsia="sl-SI"/>
              </w:rPr>
              <w:t>318</w:t>
            </w:r>
          </w:p>
        </w:tc>
        <w:tc>
          <w:tcPr>
            <w:tcW w:w="741" w:type="pct"/>
            <w:hideMark/>
          </w:tcPr>
          <w:p w:rsidR="00221E6B" w:rsidRPr="00E448A4" w:rsidRDefault="00E61F65" w:rsidP="004F1A5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s="Arial"/>
                <w:bCs/>
                <w:sz w:val="16"/>
                <w:szCs w:val="16"/>
                <w:lang w:eastAsia="sl-SI"/>
              </w:rPr>
            </w:pPr>
            <w:r w:rsidRPr="00E448A4">
              <w:rPr>
                <w:rFonts w:ascii="Arial Narrow" w:hAnsi="Arial Narrow" w:cs="Arial"/>
                <w:bCs/>
                <w:sz w:val="16"/>
                <w:szCs w:val="16"/>
                <w:lang w:eastAsia="sl-SI"/>
              </w:rPr>
              <w:t>108</w:t>
            </w:r>
          </w:p>
        </w:tc>
      </w:tr>
      <w:tr w:rsidR="00262B41" w:rsidRPr="00221E6B" w:rsidTr="00262B41">
        <w:trPr>
          <w:trHeight w:val="102"/>
        </w:trPr>
        <w:tc>
          <w:tcPr>
            <w:cnfStyle w:val="001000000000" w:firstRow="0" w:lastRow="0" w:firstColumn="1" w:lastColumn="0" w:oddVBand="0" w:evenVBand="0" w:oddHBand="0" w:evenHBand="0" w:firstRowFirstColumn="0" w:firstRowLastColumn="0" w:lastRowFirstColumn="0" w:lastRowLastColumn="0"/>
            <w:tcW w:w="3189" w:type="pct"/>
            <w:hideMark/>
          </w:tcPr>
          <w:p w:rsidR="00221E6B" w:rsidRPr="00514EBE" w:rsidRDefault="00221E6B" w:rsidP="00C41251">
            <w:pPr>
              <w:pStyle w:val="Odstavekseznama"/>
              <w:numPr>
                <w:ilvl w:val="0"/>
                <w:numId w:val="17"/>
              </w:numPr>
              <w:spacing w:after="0" w:line="240" w:lineRule="auto"/>
              <w:rPr>
                <w:rFonts w:ascii="Arial Narrow" w:hAnsi="Arial Narrow" w:cs="Arial"/>
                <w:color w:val="000000"/>
                <w:sz w:val="16"/>
                <w:szCs w:val="16"/>
                <w:lang w:eastAsia="sl-SI"/>
              </w:rPr>
            </w:pPr>
            <w:r w:rsidRPr="00514EBE">
              <w:rPr>
                <w:rFonts w:ascii="Arial Narrow" w:hAnsi="Arial Narrow" w:cs="Arial"/>
                <w:color w:val="000000"/>
                <w:sz w:val="16"/>
                <w:szCs w:val="16"/>
                <w:lang w:eastAsia="sl-SI"/>
              </w:rPr>
              <w:t>Verske organizacije</w:t>
            </w:r>
            <w:r w:rsidR="00B15468" w:rsidRPr="00B15468">
              <w:rPr>
                <w:rFonts w:ascii="Arial Narrow" w:hAnsi="Arial Narrow" w:cs="Arial"/>
                <w:color w:val="000000"/>
                <w:sz w:val="16"/>
                <w:szCs w:val="16"/>
                <w:vertAlign w:val="superscript"/>
                <w:lang w:eastAsia="sl-SI"/>
              </w:rPr>
              <w:t>4</w:t>
            </w:r>
          </w:p>
        </w:tc>
        <w:tc>
          <w:tcPr>
            <w:tcW w:w="534" w:type="pct"/>
            <w:hideMark/>
          </w:tcPr>
          <w:p w:rsidR="00221E6B" w:rsidRPr="00221E6B" w:rsidRDefault="00221E6B" w:rsidP="004F1A5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s="Arial"/>
                <w:color w:val="000000"/>
                <w:sz w:val="16"/>
                <w:szCs w:val="16"/>
                <w:lang w:eastAsia="sl-SI"/>
              </w:rPr>
            </w:pPr>
            <w:r w:rsidRPr="00221E6B">
              <w:rPr>
                <w:rFonts w:ascii="Arial Narrow" w:hAnsi="Arial Narrow" w:cs="Arial"/>
                <w:color w:val="000000"/>
                <w:sz w:val="16"/>
                <w:szCs w:val="16"/>
                <w:lang w:eastAsia="sl-SI"/>
              </w:rPr>
              <w:t>55</w:t>
            </w:r>
          </w:p>
        </w:tc>
        <w:tc>
          <w:tcPr>
            <w:tcW w:w="536" w:type="pct"/>
            <w:noWrap/>
            <w:hideMark/>
          </w:tcPr>
          <w:p w:rsidR="00221E6B" w:rsidRPr="00221E6B" w:rsidRDefault="00221E6B" w:rsidP="004F1A5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s="Arial"/>
                <w:color w:val="000000"/>
                <w:sz w:val="16"/>
                <w:szCs w:val="16"/>
                <w:lang w:eastAsia="sl-SI"/>
              </w:rPr>
            </w:pPr>
            <w:r w:rsidRPr="00221E6B">
              <w:rPr>
                <w:rFonts w:ascii="Arial Narrow" w:hAnsi="Arial Narrow" w:cs="Arial"/>
                <w:color w:val="000000"/>
                <w:sz w:val="16"/>
                <w:szCs w:val="16"/>
                <w:lang w:eastAsia="sl-SI"/>
              </w:rPr>
              <w:t>11</w:t>
            </w:r>
          </w:p>
        </w:tc>
        <w:tc>
          <w:tcPr>
            <w:tcW w:w="741" w:type="pct"/>
            <w:hideMark/>
          </w:tcPr>
          <w:p w:rsidR="00221E6B" w:rsidRPr="00E448A4" w:rsidRDefault="00221E6B" w:rsidP="004F1A5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s="Arial"/>
                <w:bCs/>
                <w:sz w:val="16"/>
                <w:szCs w:val="16"/>
                <w:lang w:eastAsia="sl-SI"/>
              </w:rPr>
            </w:pPr>
            <w:r w:rsidRPr="00E448A4">
              <w:rPr>
                <w:rFonts w:ascii="Arial Narrow" w:hAnsi="Arial Narrow" w:cs="Arial"/>
                <w:bCs/>
                <w:sz w:val="16"/>
                <w:szCs w:val="16"/>
                <w:lang w:eastAsia="sl-SI"/>
              </w:rPr>
              <w:t>20</w:t>
            </w:r>
          </w:p>
        </w:tc>
      </w:tr>
      <w:tr w:rsidR="00262B41" w:rsidRPr="00221E6B" w:rsidTr="00262B41">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3189" w:type="pct"/>
            <w:hideMark/>
          </w:tcPr>
          <w:p w:rsidR="00221E6B" w:rsidRPr="00514EBE" w:rsidRDefault="00221E6B" w:rsidP="00C41251">
            <w:pPr>
              <w:pStyle w:val="Odstavekseznama"/>
              <w:numPr>
                <w:ilvl w:val="0"/>
                <w:numId w:val="17"/>
              </w:numPr>
              <w:spacing w:after="0" w:line="240" w:lineRule="auto"/>
              <w:rPr>
                <w:rFonts w:ascii="Arial Narrow" w:hAnsi="Arial Narrow" w:cs="Arial"/>
                <w:color w:val="000000"/>
                <w:sz w:val="16"/>
                <w:szCs w:val="16"/>
                <w:lang w:eastAsia="sl-SI"/>
              </w:rPr>
            </w:pPr>
            <w:r w:rsidRPr="00514EBE">
              <w:rPr>
                <w:rFonts w:ascii="Arial Narrow" w:hAnsi="Arial Narrow" w:cs="Arial"/>
                <w:color w:val="000000"/>
                <w:sz w:val="16"/>
                <w:szCs w:val="16"/>
                <w:lang w:eastAsia="sl-SI"/>
              </w:rPr>
              <w:t>Podjetja in samostojni podjetniki</w:t>
            </w:r>
          </w:p>
        </w:tc>
        <w:tc>
          <w:tcPr>
            <w:tcW w:w="534" w:type="pct"/>
            <w:hideMark/>
          </w:tcPr>
          <w:p w:rsidR="00221E6B" w:rsidRPr="00221E6B" w:rsidRDefault="00221E6B" w:rsidP="004F1A5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s="Arial"/>
                <w:color w:val="000000"/>
                <w:sz w:val="16"/>
                <w:szCs w:val="16"/>
                <w:lang w:eastAsia="sl-SI"/>
              </w:rPr>
            </w:pPr>
            <w:r w:rsidRPr="00221E6B">
              <w:rPr>
                <w:rFonts w:ascii="Arial Narrow" w:hAnsi="Arial Narrow" w:cs="Arial"/>
                <w:color w:val="000000"/>
                <w:sz w:val="16"/>
                <w:szCs w:val="16"/>
                <w:lang w:eastAsia="sl-SI"/>
              </w:rPr>
              <w:t>143</w:t>
            </w:r>
          </w:p>
        </w:tc>
        <w:tc>
          <w:tcPr>
            <w:tcW w:w="536" w:type="pct"/>
            <w:noWrap/>
            <w:hideMark/>
          </w:tcPr>
          <w:p w:rsidR="00221E6B" w:rsidRPr="00221E6B" w:rsidRDefault="00221E6B" w:rsidP="004F1A5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s="Arial"/>
                <w:color w:val="000000"/>
                <w:sz w:val="16"/>
                <w:szCs w:val="16"/>
                <w:lang w:eastAsia="sl-SI"/>
              </w:rPr>
            </w:pPr>
            <w:r w:rsidRPr="00221E6B">
              <w:rPr>
                <w:rFonts w:ascii="Arial Narrow" w:hAnsi="Arial Narrow" w:cs="Arial"/>
                <w:color w:val="000000"/>
                <w:sz w:val="16"/>
                <w:szCs w:val="16"/>
                <w:lang w:eastAsia="sl-SI"/>
              </w:rPr>
              <w:t>137</w:t>
            </w:r>
          </w:p>
        </w:tc>
        <w:tc>
          <w:tcPr>
            <w:tcW w:w="741" w:type="pct"/>
            <w:hideMark/>
          </w:tcPr>
          <w:p w:rsidR="00221E6B" w:rsidRPr="00E448A4" w:rsidRDefault="00221E6B" w:rsidP="004F1A5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s="Arial"/>
                <w:bCs/>
                <w:sz w:val="16"/>
                <w:szCs w:val="16"/>
                <w:lang w:eastAsia="sl-SI"/>
              </w:rPr>
            </w:pPr>
            <w:r w:rsidRPr="00E448A4">
              <w:rPr>
                <w:rFonts w:ascii="Arial Narrow" w:hAnsi="Arial Narrow" w:cs="Arial"/>
                <w:bCs/>
                <w:sz w:val="16"/>
                <w:szCs w:val="16"/>
                <w:lang w:eastAsia="sl-SI"/>
              </w:rPr>
              <w:t>96</w:t>
            </w:r>
          </w:p>
        </w:tc>
      </w:tr>
      <w:tr w:rsidR="00262B41" w:rsidRPr="00221E6B" w:rsidTr="00262B41">
        <w:trPr>
          <w:trHeight w:val="102"/>
        </w:trPr>
        <w:tc>
          <w:tcPr>
            <w:cnfStyle w:val="001000000000" w:firstRow="0" w:lastRow="0" w:firstColumn="1" w:lastColumn="0" w:oddVBand="0" w:evenVBand="0" w:oddHBand="0" w:evenHBand="0" w:firstRowFirstColumn="0" w:firstRowLastColumn="0" w:lastRowFirstColumn="0" w:lastRowLastColumn="0"/>
            <w:tcW w:w="3189" w:type="pct"/>
          </w:tcPr>
          <w:p w:rsidR="00E61F65" w:rsidRPr="00E61F65" w:rsidRDefault="00E61F65" w:rsidP="00C41251">
            <w:pPr>
              <w:pStyle w:val="Odstavekseznama"/>
              <w:numPr>
                <w:ilvl w:val="0"/>
                <w:numId w:val="17"/>
              </w:numPr>
              <w:spacing w:after="0" w:line="240" w:lineRule="auto"/>
              <w:rPr>
                <w:rFonts w:ascii="Arial Narrow" w:hAnsi="Arial Narrow" w:cs="Arial"/>
                <w:color w:val="000000"/>
                <w:sz w:val="16"/>
                <w:szCs w:val="16"/>
                <w:lang w:eastAsia="sl-SI"/>
              </w:rPr>
            </w:pPr>
            <w:r w:rsidRPr="00E61F65">
              <w:rPr>
                <w:rFonts w:ascii="Arial Narrow" w:hAnsi="Arial Narrow" w:cs="Arial"/>
                <w:color w:val="000000"/>
                <w:sz w:val="16"/>
                <w:szCs w:val="16"/>
                <w:lang w:eastAsia="sl-SI"/>
              </w:rPr>
              <w:t>Fakultete v tujini</w:t>
            </w:r>
            <w:r w:rsidRPr="00E61F65">
              <w:rPr>
                <w:rFonts w:ascii="Arial Narrow" w:hAnsi="Arial Narrow" w:cs="Arial"/>
                <w:b w:val="0"/>
                <w:color w:val="000000"/>
                <w:sz w:val="16"/>
                <w:szCs w:val="16"/>
                <w:vertAlign w:val="superscript"/>
                <w:lang w:eastAsia="sl-SI"/>
              </w:rPr>
              <w:t>11</w:t>
            </w:r>
          </w:p>
        </w:tc>
        <w:tc>
          <w:tcPr>
            <w:tcW w:w="534" w:type="pct"/>
          </w:tcPr>
          <w:p w:rsidR="00E61F65" w:rsidRPr="00E61F65" w:rsidRDefault="00E61F65" w:rsidP="004F1A5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s="Arial"/>
                <w:color w:val="000000"/>
                <w:sz w:val="16"/>
                <w:szCs w:val="16"/>
                <w:lang w:eastAsia="sl-SI"/>
              </w:rPr>
            </w:pPr>
            <w:r w:rsidRPr="00E61F65">
              <w:rPr>
                <w:rFonts w:ascii="Arial Narrow" w:hAnsi="Arial Narrow" w:cs="Arial"/>
                <w:color w:val="000000"/>
                <w:sz w:val="16"/>
                <w:szCs w:val="16"/>
                <w:lang w:eastAsia="sl-SI"/>
              </w:rPr>
              <w:t>19</w:t>
            </w:r>
          </w:p>
        </w:tc>
        <w:tc>
          <w:tcPr>
            <w:tcW w:w="536" w:type="pct"/>
            <w:noWrap/>
          </w:tcPr>
          <w:p w:rsidR="00E61F65" w:rsidRPr="00E61F65" w:rsidRDefault="00E61F65" w:rsidP="004F1A5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s="Arial"/>
                <w:color w:val="000000"/>
                <w:sz w:val="16"/>
                <w:szCs w:val="16"/>
                <w:lang w:eastAsia="sl-SI"/>
              </w:rPr>
            </w:pPr>
            <w:r w:rsidRPr="00E61F65">
              <w:rPr>
                <w:rFonts w:ascii="Arial Narrow" w:hAnsi="Arial Narrow" w:cs="Arial"/>
                <w:color w:val="000000"/>
                <w:sz w:val="16"/>
                <w:szCs w:val="16"/>
                <w:lang w:eastAsia="sl-SI"/>
              </w:rPr>
              <w:t>0</w:t>
            </w:r>
          </w:p>
        </w:tc>
        <w:tc>
          <w:tcPr>
            <w:tcW w:w="741" w:type="pct"/>
          </w:tcPr>
          <w:p w:rsidR="00E61F65" w:rsidRPr="00E448A4" w:rsidRDefault="00E61F65" w:rsidP="004F1A5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s="Arial"/>
                <w:bCs/>
                <w:sz w:val="16"/>
                <w:szCs w:val="16"/>
                <w:lang w:eastAsia="sl-SI"/>
              </w:rPr>
            </w:pPr>
            <w:r w:rsidRPr="00E448A4">
              <w:rPr>
                <w:rFonts w:ascii="Arial Narrow" w:hAnsi="Arial Narrow" w:cs="Arial"/>
                <w:bCs/>
                <w:sz w:val="16"/>
                <w:szCs w:val="16"/>
                <w:lang w:eastAsia="sl-SI"/>
              </w:rPr>
              <w:t>0</w:t>
            </w:r>
          </w:p>
        </w:tc>
      </w:tr>
      <w:tr w:rsidR="00262B41" w:rsidRPr="00221E6B" w:rsidTr="00262B41">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3189" w:type="pct"/>
            <w:hideMark/>
          </w:tcPr>
          <w:p w:rsidR="00221E6B" w:rsidRPr="00514EBE" w:rsidRDefault="00221E6B" w:rsidP="00C41251">
            <w:pPr>
              <w:pStyle w:val="Odstavekseznama"/>
              <w:numPr>
                <w:ilvl w:val="0"/>
                <w:numId w:val="17"/>
              </w:numPr>
              <w:spacing w:after="0" w:line="240" w:lineRule="auto"/>
              <w:rPr>
                <w:rFonts w:ascii="Arial Narrow" w:hAnsi="Arial Narrow" w:cs="Arial"/>
                <w:color w:val="000000"/>
                <w:sz w:val="16"/>
                <w:szCs w:val="16"/>
                <w:lang w:eastAsia="sl-SI"/>
              </w:rPr>
            </w:pPr>
            <w:r w:rsidRPr="00514EBE">
              <w:rPr>
                <w:rFonts w:ascii="Arial Narrow" w:hAnsi="Arial Narrow" w:cs="Arial"/>
                <w:color w:val="000000"/>
                <w:sz w:val="16"/>
                <w:szCs w:val="16"/>
                <w:lang w:eastAsia="sl-SI"/>
              </w:rPr>
              <w:t xml:space="preserve">Posamezniki </w:t>
            </w:r>
            <w:r w:rsidRPr="00E14EB6">
              <w:rPr>
                <w:rFonts w:ascii="Arial Narrow" w:hAnsi="Arial Narrow" w:cs="Arial"/>
                <w:b w:val="0"/>
                <w:color w:val="000000"/>
                <w:sz w:val="16"/>
                <w:szCs w:val="16"/>
                <w:lang w:eastAsia="sl-SI"/>
              </w:rPr>
              <w:t xml:space="preserve">(ki so prejeli sredstva za izvedbo projektov in štipendisti ter </w:t>
            </w:r>
            <w:r w:rsidR="001046C5" w:rsidRPr="00E14EB6">
              <w:rPr>
                <w:rFonts w:ascii="Arial Narrow" w:hAnsi="Arial Narrow" w:cs="Arial"/>
                <w:b w:val="0"/>
                <w:color w:val="000000"/>
                <w:sz w:val="16"/>
                <w:szCs w:val="16"/>
                <w:lang w:eastAsia="sl-SI"/>
              </w:rPr>
              <w:t xml:space="preserve">v letu 2015 tudi </w:t>
            </w:r>
            <w:r w:rsidRPr="00E14EB6">
              <w:rPr>
                <w:rFonts w:ascii="Arial Narrow" w:hAnsi="Arial Narrow" w:cs="Arial"/>
                <w:b w:val="0"/>
                <w:color w:val="000000"/>
                <w:sz w:val="16"/>
                <w:szCs w:val="16"/>
                <w:lang w:eastAsia="sl-SI"/>
              </w:rPr>
              <w:t>prejemniki knjižničnega nadomestila)</w:t>
            </w:r>
            <w:r w:rsidR="00A505DB" w:rsidRPr="00A505DB">
              <w:rPr>
                <w:rFonts w:ascii="Arial Narrow" w:hAnsi="Arial Narrow" w:cs="Arial"/>
                <w:b w:val="0"/>
                <w:color w:val="000000"/>
                <w:sz w:val="16"/>
                <w:szCs w:val="16"/>
                <w:vertAlign w:val="superscript"/>
                <w:lang w:eastAsia="sl-SI"/>
              </w:rPr>
              <w:t>6</w:t>
            </w:r>
          </w:p>
        </w:tc>
        <w:tc>
          <w:tcPr>
            <w:tcW w:w="534" w:type="pct"/>
            <w:hideMark/>
          </w:tcPr>
          <w:p w:rsidR="00221E6B" w:rsidRPr="00221E6B" w:rsidRDefault="00221E6B" w:rsidP="004F1A5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s="Arial"/>
                <w:color w:val="000000"/>
                <w:sz w:val="16"/>
                <w:szCs w:val="16"/>
                <w:lang w:eastAsia="sl-SI"/>
              </w:rPr>
            </w:pPr>
            <w:r w:rsidRPr="00221E6B">
              <w:rPr>
                <w:rFonts w:ascii="Arial Narrow" w:hAnsi="Arial Narrow" w:cs="Arial"/>
                <w:color w:val="000000"/>
                <w:sz w:val="16"/>
                <w:szCs w:val="16"/>
                <w:lang w:eastAsia="sl-SI"/>
              </w:rPr>
              <w:t>136</w:t>
            </w:r>
          </w:p>
        </w:tc>
        <w:tc>
          <w:tcPr>
            <w:tcW w:w="536" w:type="pct"/>
            <w:noWrap/>
            <w:hideMark/>
          </w:tcPr>
          <w:p w:rsidR="00221E6B" w:rsidRPr="00221E6B" w:rsidRDefault="00221E6B" w:rsidP="004F1A5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s="Arial"/>
                <w:color w:val="000000"/>
                <w:sz w:val="16"/>
                <w:szCs w:val="16"/>
                <w:lang w:eastAsia="sl-SI"/>
              </w:rPr>
            </w:pPr>
            <w:r w:rsidRPr="00221E6B">
              <w:rPr>
                <w:rFonts w:ascii="Arial Narrow" w:hAnsi="Arial Narrow" w:cs="Arial"/>
                <w:color w:val="000000"/>
                <w:sz w:val="16"/>
                <w:szCs w:val="16"/>
                <w:lang w:eastAsia="sl-SI"/>
              </w:rPr>
              <w:t>1200</w:t>
            </w:r>
          </w:p>
        </w:tc>
        <w:tc>
          <w:tcPr>
            <w:tcW w:w="741" w:type="pct"/>
            <w:hideMark/>
          </w:tcPr>
          <w:p w:rsidR="00221E6B" w:rsidRPr="00E448A4" w:rsidRDefault="00221E6B" w:rsidP="004F1A5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s="Arial"/>
                <w:bCs/>
                <w:sz w:val="16"/>
                <w:szCs w:val="16"/>
                <w:lang w:eastAsia="sl-SI"/>
              </w:rPr>
            </w:pPr>
            <w:r w:rsidRPr="00E448A4">
              <w:rPr>
                <w:rFonts w:ascii="Arial Narrow" w:hAnsi="Arial Narrow" w:cs="Arial"/>
                <w:bCs/>
                <w:sz w:val="16"/>
                <w:szCs w:val="16"/>
                <w:lang w:eastAsia="sl-SI"/>
              </w:rPr>
              <w:t>882</w:t>
            </w:r>
          </w:p>
        </w:tc>
      </w:tr>
      <w:tr w:rsidR="00262B41" w:rsidRPr="00221E6B" w:rsidTr="00262B41">
        <w:trPr>
          <w:trHeight w:val="102"/>
        </w:trPr>
        <w:tc>
          <w:tcPr>
            <w:cnfStyle w:val="001000000000" w:firstRow="0" w:lastRow="0" w:firstColumn="1" w:lastColumn="0" w:oddVBand="0" w:evenVBand="0" w:oddHBand="0" w:evenHBand="0" w:firstRowFirstColumn="0" w:firstRowLastColumn="0" w:lastRowFirstColumn="0" w:lastRowLastColumn="0"/>
            <w:tcW w:w="3189" w:type="pct"/>
            <w:hideMark/>
          </w:tcPr>
          <w:p w:rsidR="00221E6B" w:rsidRPr="00514EBE" w:rsidRDefault="00221E6B" w:rsidP="00C41251">
            <w:pPr>
              <w:pStyle w:val="Odstavekseznama"/>
              <w:numPr>
                <w:ilvl w:val="0"/>
                <w:numId w:val="17"/>
              </w:numPr>
              <w:spacing w:after="0" w:line="240" w:lineRule="auto"/>
              <w:rPr>
                <w:rFonts w:ascii="Arial Narrow" w:hAnsi="Arial Narrow" w:cs="Arial"/>
                <w:color w:val="000000"/>
                <w:sz w:val="16"/>
                <w:szCs w:val="16"/>
                <w:lang w:eastAsia="sl-SI"/>
              </w:rPr>
            </w:pPr>
            <w:r w:rsidRPr="00514EBE">
              <w:rPr>
                <w:rFonts w:ascii="Arial Narrow" w:hAnsi="Arial Narrow" w:cs="Arial"/>
                <w:color w:val="000000"/>
                <w:sz w:val="16"/>
                <w:szCs w:val="16"/>
                <w:lang w:eastAsia="sl-SI"/>
              </w:rPr>
              <w:t>Skupaj</w:t>
            </w:r>
          </w:p>
        </w:tc>
        <w:tc>
          <w:tcPr>
            <w:tcW w:w="534" w:type="pct"/>
            <w:hideMark/>
          </w:tcPr>
          <w:p w:rsidR="00221E6B" w:rsidRPr="00221E6B" w:rsidRDefault="00221E6B" w:rsidP="004F1A5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s="Arial"/>
                <w:color w:val="000000"/>
                <w:sz w:val="16"/>
                <w:szCs w:val="16"/>
                <w:lang w:eastAsia="sl-SI"/>
              </w:rPr>
            </w:pPr>
            <w:r w:rsidRPr="00221E6B">
              <w:rPr>
                <w:rFonts w:ascii="Arial Narrow" w:hAnsi="Arial Narrow" w:cs="Arial"/>
                <w:color w:val="000000"/>
                <w:sz w:val="16"/>
                <w:szCs w:val="16"/>
                <w:lang w:eastAsia="sl-SI"/>
              </w:rPr>
              <w:t>858</w:t>
            </w:r>
          </w:p>
        </w:tc>
        <w:tc>
          <w:tcPr>
            <w:tcW w:w="536" w:type="pct"/>
            <w:hideMark/>
          </w:tcPr>
          <w:p w:rsidR="00221E6B" w:rsidRPr="00221E6B" w:rsidRDefault="00221E6B" w:rsidP="004F1A5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s="Arial"/>
                <w:color w:val="000000"/>
                <w:sz w:val="16"/>
                <w:szCs w:val="16"/>
                <w:lang w:eastAsia="sl-SI"/>
              </w:rPr>
            </w:pPr>
            <w:r w:rsidRPr="00221E6B">
              <w:rPr>
                <w:rFonts w:ascii="Arial Narrow" w:hAnsi="Arial Narrow" w:cs="Arial"/>
                <w:color w:val="000000"/>
                <w:sz w:val="16"/>
                <w:szCs w:val="16"/>
                <w:lang w:eastAsia="sl-SI"/>
              </w:rPr>
              <w:t>1858</w:t>
            </w:r>
          </w:p>
        </w:tc>
        <w:tc>
          <w:tcPr>
            <w:tcW w:w="741" w:type="pct"/>
            <w:hideMark/>
          </w:tcPr>
          <w:p w:rsidR="00221E6B" w:rsidRPr="00E448A4" w:rsidRDefault="00221E6B" w:rsidP="004F1A5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s="Arial"/>
                <w:bCs/>
                <w:sz w:val="16"/>
                <w:szCs w:val="16"/>
                <w:lang w:eastAsia="sl-SI"/>
              </w:rPr>
            </w:pPr>
            <w:r w:rsidRPr="00E448A4">
              <w:rPr>
                <w:rFonts w:ascii="Arial Narrow" w:hAnsi="Arial Narrow" w:cs="Arial"/>
                <w:bCs/>
                <w:sz w:val="16"/>
                <w:szCs w:val="16"/>
                <w:lang w:eastAsia="sl-SI"/>
              </w:rPr>
              <w:t>217</w:t>
            </w:r>
          </w:p>
        </w:tc>
      </w:tr>
      <w:tr w:rsidR="00262B41" w:rsidRPr="00221E6B" w:rsidTr="00262B41">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3189" w:type="pct"/>
            <w:shd w:val="clear" w:color="auto" w:fill="9BBB59" w:themeFill="accent3"/>
            <w:hideMark/>
          </w:tcPr>
          <w:p w:rsidR="00221E6B" w:rsidRPr="00221E6B" w:rsidRDefault="00221E6B" w:rsidP="004F1A5E">
            <w:pPr>
              <w:spacing w:after="0" w:line="240" w:lineRule="auto"/>
              <w:rPr>
                <w:rFonts w:ascii="Arial Narrow" w:hAnsi="Arial Narrow" w:cs="Arial"/>
                <w:color w:val="FFFFFF"/>
                <w:sz w:val="16"/>
                <w:szCs w:val="16"/>
                <w:lang w:eastAsia="sl-SI"/>
              </w:rPr>
            </w:pPr>
            <w:r w:rsidRPr="00221E6B">
              <w:rPr>
                <w:rFonts w:ascii="Arial Narrow" w:hAnsi="Arial Narrow" w:cs="Arial"/>
                <w:color w:val="FFFFFF"/>
                <w:sz w:val="16"/>
                <w:szCs w:val="16"/>
                <w:lang w:eastAsia="sl-SI"/>
              </w:rPr>
              <w:t>Upravni del Ministrstva za kulturo</w:t>
            </w:r>
          </w:p>
        </w:tc>
        <w:tc>
          <w:tcPr>
            <w:tcW w:w="534" w:type="pct"/>
            <w:shd w:val="clear" w:color="auto" w:fill="9BBB59" w:themeFill="accent3"/>
            <w:hideMark/>
          </w:tcPr>
          <w:p w:rsidR="00221E6B" w:rsidRPr="00221E6B" w:rsidRDefault="00221E6B" w:rsidP="004F1A5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s="Arial"/>
                <w:b/>
                <w:bCs/>
                <w:color w:val="FFFFFF"/>
                <w:sz w:val="16"/>
                <w:szCs w:val="16"/>
                <w:lang w:eastAsia="sl-SI"/>
              </w:rPr>
            </w:pPr>
            <w:r w:rsidRPr="00221E6B">
              <w:rPr>
                <w:rFonts w:ascii="Arial Narrow" w:hAnsi="Arial Narrow" w:cs="Arial"/>
                <w:b/>
                <w:bCs/>
                <w:color w:val="FFFFFF"/>
                <w:sz w:val="16"/>
                <w:szCs w:val="16"/>
                <w:lang w:eastAsia="sl-SI"/>
              </w:rPr>
              <w:t>2002</w:t>
            </w:r>
          </w:p>
        </w:tc>
        <w:tc>
          <w:tcPr>
            <w:tcW w:w="536" w:type="pct"/>
            <w:shd w:val="clear" w:color="auto" w:fill="9BBB59" w:themeFill="accent3"/>
            <w:hideMark/>
          </w:tcPr>
          <w:p w:rsidR="00221E6B" w:rsidRPr="00221E6B" w:rsidRDefault="00221E6B" w:rsidP="004F1A5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s="Arial"/>
                <w:b/>
                <w:bCs/>
                <w:color w:val="FFFFFF"/>
                <w:sz w:val="16"/>
                <w:szCs w:val="16"/>
                <w:lang w:eastAsia="sl-SI"/>
              </w:rPr>
            </w:pPr>
            <w:r w:rsidRPr="00221E6B">
              <w:rPr>
                <w:rFonts w:ascii="Arial Narrow" w:hAnsi="Arial Narrow" w:cs="Arial"/>
                <w:b/>
                <w:bCs/>
                <w:color w:val="FFFFFF"/>
                <w:sz w:val="16"/>
                <w:szCs w:val="16"/>
                <w:lang w:eastAsia="sl-SI"/>
              </w:rPr>
              <w:t>2015</w:t>
            </w:r>
          </w:p>
        </w:tc>
        <w:tc>
          <w:tcPr>
            <w:tcW w:w="741" w:type="pct"/>
            <w:shd w:val="clear" w:color="auto" w:fill="9BBB59" w:themeFill="accent3"/>
            <w:hideMark/>
          </w:tcPr>
          <w:p w:rsidR="00221E6B" w:rsidRPr="00221E6B" w:rsidRDefault="00221E6B" w:rsidP="00E73C2F">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s="Arial"/>
                <w:b/>
                <w:bCs/>
                <w:color w:val="FFFFFF"/>
                <w:sz w:val="16"/>
                <w:szCs w:val="16"/>
                <w:lang w:eastAsia="sl-SI"/>
              </w:rPr>
            </w:pPr>
            <w:r w:rsidRPr="00221E6B">
              <w:rPr>
                <w:rFonts w:ascii="Arial Narrow" w:hAnsi="Arial Narrow" w:cs="Arial"/>
                <w:b/>
                <w:bCs/>
                <w:color w:val="FFFFFF"/>
                <w:sz w:val="16"/>
                <w:szCs w:val="16"/>
                <w:lang w:eastAsia="sl-SI"/>
              </w:rPr>
              <w:t>Indeks 2015</w:t>
            </w:r>
            <w:r w:rsidR="00E73C2F">
              <w:rPr>
                <w:rFonts w:ascii="Arial Narrow" w:hAnsi="Arial Narrow" w:cs="Arial"/>
                <w:b/>
                <w:bCs/>
                <w:color w:val="FFFFFF"/>
                <w:sz w:val="16"/>
                <w:szCs w:val="16"/>
                <w:lang w:eastAsia="sl-SI"/>
              </w:rPr>
              <w:t>–</w:t>
            </w:r>
            <w:r w:rsidRPr="00221E6B">
              <w:rPr>
                <w:rFonts w:ascii="Arial Narrow" w:hAnsi="Arial Narrow" w:cs="Arial"/>
                <w:b/>
                <w:bCs/>
                <w:color w:val="FFFFFF"/>
                <w:sz w:val="16"/>
                <w:szCs w:val="16"/>
                <w:lang w:eastAsia="sl-SI"/>
              </w:rPr>
              <w:t>2002</w:t>
            </w:r>
          </w:p>
        </w:tc>
      </w:tr>
      <w:tr w:rsidR="00262B41" w:rsidRPr="00221E6B" w:rsidTr="00262B41">
        <w:trPr>
          <w:trHeight w:val="102"/>
        </w:trPr>
        <w:tc>
          <w:tcPr>
            <w:cnfStyle w:val="001000000000" w:firstRow="0" w:lastRow="0" w:firstColumn="1" w:lastColumn="0" w:oddVBand="0" w:evenVBand="0" w:oddHBand="0" w:evenHBand="0" w:firstRowFirstColumn="0" w:firstRowLastColumn="0" w:lastRowFirstColumn="0" w:lastRowLastColumn="0"/>
            <w:tcW w:w="3189" w:type="pct"/>
            <w:hideMark/>
          </w:tcPr>
          <w:p w:rsidR="00221E6B" w:rsidRPr="00514EBE" w:rsidRDefault="00221E6B" w:rsidP="00160C09">
            <w:pPr>
              <w:pStyle w:val="Odstavekseznama"/>
              <w:numPr>
                <w:ilvl w:val="0"/>
                <w:numId w:val="14"/>
              </w:numPr>
              <w:spacing w:after="0" w:line="240" w:lineRule="auto"/>
              <w:rPr>
                <w:rFonts w:ascii="Arial Narrow" w:hAnsi="Arial Narrow" w:cs="Arial"/>
                <w:color w:val="000000"/>
                <w:sz w:val="16"/>
                <w:szCs w:val="16"/>
                <w:lang w:eastAsia="sl-SI"/>
              </w:rPr>
            </w:pPr>
            <w:r w:rsidRPr="00514EBE">
              <w:rPr>
                <w:rFonts w:ascii="Arial Narrow" w:hAnsi="Arial Narrow" w:cs="Arial"/>
                <w:color w:val="000000"/>
                <w:sz w:val="16"/>
                <w:szCs w:val="16"/>
                <w:lang w:eastAsia="sl-SI"/>
              </w:rPr>
              <w:t xml:space="preserve">Zaposleni na </w:t>
            </w:r>
            <w:r w:rsidR="00160C09">
              <w:rPr>
                <w:rFonts w:ascii="Arial Narrow" w:hAnsi="Arial Narrow" w:cs="Arial"/>
                <w:color w:val="000000"/>
                <w:sz w:val="16"/>
                <w:szCs w:val="16"/>
                <w:lang w:eastAsia="sl-SI"/>
              </w:rPr>
              <w:t>Ministrstvu za kulturo</w:t>
            </w:r>
            <w:r w:rsidRPr="00514EBE">
              <w:rPr>
                <w:rFonts w:ascii="Arial Narrow" w:hAnsi="Arial Narrow" w:cs="Arial"/>
                <w:color w:val="000000"/>
                <w:sz w:val="16"/>
                <w:szCs w:val="16"/>
                <w:lang w:eastAsia="sl-SI"/>
              </w:rPr>
              <w:t xml:space="preserve"> in v organih v sestavi</w:t>
            </w:r>
          </w:p>
        </w:tc>
        <w:tc>
          <w:tcPr>
            <w:tcW w:w="534" w:type="pct"/>
            <w:hideMark/>
          </w:tcPr>
          <w:p w:rsidR="00221E6B" w:rsidRPr="00221E6B" w:rsidRDefault="00221E6B" w:rsidP="004F1A5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s="Arial"/>
                <w:bCs/>
                <w:color w:val="000000"/>
                <w:sz w:val="16"/>
                <w:szCs w:val="16"/>
                <w:lang w:eastAsia="sl-SI"/>
              </w:rPr>
            </w:pPr>
            <w:r w:rsidRPr="00221E6B">
              <w:rPr>
                <w:rFonts w:ascii="Arial Narrow" w:hAnsi="Arial Narrow" w:cs="Arial"/>
                <w:bCs/>
                <w:color w:val="000000"/>
                <w:sz w:val="16"/>
                <w:szCs w:val="16"/>
                <w:lang w:eastAsia="sl-SI"/>
              </w:rPr>
              <w:t>199</w:t>
            </w:r>
          </w:p>
        </w:tc>
        <w:tc>
          <w:tcPr>
            <w:tcW w:w="536" w:type="pct"/>
            <w:hideMark/>
          </w:tcPr>
          <w:p w:rsidR="00221E6B" w:rsidRPr="00E448A4" w:rsidRDefault="00221E6B" w:rsidP="004F1A5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s="Arial"/>
                <w:sz w:val="16"/>
                <w:szCs w:val="16"/>
                <w:lang w:eastAsia="sl-SI"/>
              </w:rPr>
            </w:pPr>
            <w:r w:rsidRPr="00E448A4">
              <w:rPr>
                <w:rFonts w:ascii="Arial Narrow" w:hAnsi="Arial Narrow" w:cs="Arial"/>
                <w:sz w:val="16"/>
                <w:szCs w:val="16"/>
                <w:lang w:eastAsia="sl-SI"/>
              </w:rPr>
              <w:t>198</w:t>
            </w:r>
          </w:p>
        </w:tc>
        <w:tc>
          <w:tcPr>
            <w:tcW w:w="741" w:type="pct"/>
            <w:hideMark/>
          </w:tcPr>
          <w:p w:rsidR="00221E6B" w:rsidRPr="00E448A4" w:rsidRDefault="00221E6B" w:rsidP="004F1A5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s="Arial"/>
                <w:bCs/>
                <w:sz w:val="16"/>
                <w:szCs w:val="16"/>
                <w:lang w:eastAsia="sl-SI"/>
              </w:rPr>
            </w:pPr>
            <w:r w:rsidRPr="00E448A4">
              <w:rPr>
                <w:rFonts w:ascii="Arial Narrow" w:hAnsi="Arial Narrow" w:cs="Arial"/>
                <w:bCs/>
                <w:sz w:val="16"/>
                <w:szCs w:val="16"/>
                <w:lang w:eastAsia="sl-SI"/>
              </w:rPr>
              <w:t>99</w:t>
            </w:r>
          </w:p>
        </w:tc>
      </w:tr>
      <w:tr w:rsidR="00262B41" w:rsidRPr="00221E6B" w:rsidTr="00262B41">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3189" w:type="pct"/>
            <w:shd w:val="clear" w:color="auto" w:fill="9BBB59" w:themeFill="accent3"/>
            <w:hideMark/>
          </w:tcPr>
          <w:p w:rsidR="00221E6B" w:rsidRPr="00221E6B" w:rsidRDefault="00221E6B" w:rsidP="004F1A5E">
            <w:pPr>
              <w:spacing w:after="0" w:line="240" w:lineRule="auto"/>
              <w:rPr>
                <w:rFonts w:ascii="Arial Narrow" w:hAnsi="Arial Narrow" w:cs="Arial"/>
                <w:color w:val="FFFFFF"/>
                <w:sz w:val="16"/>
                <w:szCs w:val="16"/>
                <w:lang w:eastAsia="sl-SI"/>
              </w:rPr>
            </w:pPr>
            <w:r w:rsidRPr="00221E6B">
              <w:rPr>
                <w:rFonts w:ascii="Arial Narrow" w:hAnsi="Arial Narrow" w:cs="Arial"/>
                <w:color w:val="FFFFFF"/>
                <w:sz w:val="16"/>
                <w:szCs w:val="16"/>
                <w:lang w:eastAsia="sl-SI"/>
              </w:rPr>
              <w:t>Socialne pravice</w:t>
            </w:r>
          </w:p>
        </w:tc>
        <w:tc>
          <w:tcPr>
            <w:tcW w:w="534" w:type="pct"/>
            <w:shd w:val="clear" w:color="auto" w:fill="9BBB59" w:themeFill="accent3"/>
            <w:hideMark/>
          </w:tcPr>
          <w:p w:rsidR="00221E6B" w:rsidRPr="00221E6B" w:rsidRDefault="00221E6B" w:rsidP="004F1A5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s="Arial"/>
                <w:b/>
                <w:bCs/>
                <w:color w:val="FFFFFF"/>
                <w:sz w:val="16"/>
                <w:szCs w:val="16"/>
                <w:lang w:eastAsia="sl-SI"/>
              </w:rPr>
            </w:pPr>
            <w:r w:rsidRPr="00221E6B">
              <w:rPr>
                <w:rFonts w:ascii="Arial Narrow" w:hAnsi="Arial Narrow" w:cs="Arial"/>
                <w:b/>
                <w:bCs/>
                <w:color w:val="FFFFFF"/>
                <w:sz w:val="16"/>
                <w:szCs w:val="16"/>
                <w:lang w:eastAsia="sl-SI"/>
              </w:rPr>
              <w:t>2002</w:t>
            </w:r>
          </w:p>
        </w:tc>
        <w:tc>
          <w:tcPr>
            <w:tcW w:w="536" w:type="pct"/>
            <w:shd w:val="clear" w:color="auto" w:fill="9BBB59" w:themeFill="accent3"/>
            <w:hideMark/>
          </w:tcPr>
          <w:p w:rsidR="00221E6B" w:rsidRPr="00221E6B" w:rsidRDefault="00221E6B" w:rsidP="004F1A5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s="Arial"/>
                <w:b/>
                <w:bCs/>
                <w:color w:val="FFFFFF"/>
                <w:sz w:val="16"/>
                <w:szCs w:val="16"/>
                <w:lang w:eastAsia="sl-SI"/>
              </w:rPr>
            </w:pPr>
            <w:r w:rsidRPr="00221E6B">
              <w:rPr>
                <w:rFonts w:ascii="Arial Narrow" w:hAnsi="Arial Narrow" w:cs="Arial"/>
                <w:b/>
                <w:bCs/>
                <w:color w:val="FFFFFF"/>
                <w:sz w:val="16"/>
                <w:szCs w:val="16"/>
                <w:lang w:eastAsia="sl-SI"/>
              </w:rPr>
              <w:t>2015</w:t>
            </w:r>
          </w:p>
        </w:tc>
        <w:tc>
          <w:tcPr>
            <w:tcW w:w="741" w:type="pct"/>
            <w:shd w:val="clear" w:color="auto" w:fill="9BBB59" w:themeFill="accent3"/>
            <w:hideMark/>
          </w:tcPr>
          <w:p w:rsidR="00221E6B" w:rsidRPr="00221E6B" w:rsidRDefault="00221E6B" w:rsidP="00E73C2F">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s="Arial"/>
                <w:b/>
                <w:bCs/>
                <w:color w:val="FFFFFF"/>
                <w:sz w:val="16"/>
                <w:szCs w:val="16"/>
                <w:lang w:eastAsia="sl-SI"/>
              </w:rPr>
            </w:pPr>
            <w:r w:rsidRPr="00221E6B">
              <w:rPr>
                <w:rFonts w:ascii="Arial Narrow" w:hAnsi="Arial Narrow" w:cs="Arial"/>
                <w:b/>
                <w:bCs/>
                <w:color w:val="FFFFFF"/>
                <w:sz w:val="16"/>
                <w:szCs w:val="16"/>
                <w:lang w:eastAsia="sl-SI"/>
              </w:rPr>
              <w:t>Indeks 2015</w:t>
            </w:r>
            <w:r w:rsidR="00E73C2F">
              <w:rPr>
                <w:rFonts w:ascii="Arial Narrow" w:hAnsi="Arial Narrow" w:cs="Arial"/>
                <w:b/>
                <w:bCs/>
                <w:color w:val="FFFFFF"/>
                <w:sz w:val="16"/>
                <w:szCs w:val="16"/>
                <w:lang w:eastAsia="sl-SI"/>
              </w:rPr>
              <w:t>–</w:t>
            </w:r>
            <w:r w:rsidRPr="00221E6B">
              <w:rPr>
                <w:rFonts w:ascii="Arial Narrow" w:hAnsi="Arial Narrow" w:cs="Arial"/>
                <w:b/>
                <w:bCs/>
                <w:color w:val="FFFFFF"/>
                <w:sz w:val="16"/>
                <w:szCs w:val="16"/>
                <w:lang w:eastAsia="sl-SI"/>
              </w:rPr>
              <w:t>2002</w:t>
            </w:r>
          </w:p>
        </w:tc>
      </w:tr>
      <w:tr w:rsidR="00262B41" w:rsidRPr="00221E6B" w:rsidTr="00262B41">
        <w:trPr>
          <w:trHeight w:val="102"/>
        </w:trPr>
        <w:tc>
          <w:tcPr>
            <w:cnfStyle w:val="001000000000" w:firstRow="0" w:lastRow="0" w:firstColumn="1" w:lastColumn="0" w:oddVBand="0" w:evenVBand="0" w:oddHBand="0" w:evenHBand="0" w:firstRowFirstColumn="0" w:firstRowLastColumn="0" w:lastRowFirstColumn="0" w:lastRowLastColumn="0"/>
            <w:tcW w:w="3189" w:type="pct"/>
            <w:hideMark/>
          </w:tcPr>
          <w:p w:rsidR="00221E6B" w:rsidRPr="00514EBE" w:rsidRDefault="007A0C8F" w:rsidP="00C41251">
            <w:pPr>
              <w:pStyle w:val="Odstavekseznama"/>
              <w:numPr>
                <w:ilvl w:val="0"/>
                <w:numId w:val="15"/>
              </w:numPr>
              <w:spacing w:after="0" w:line="240" w:lineRule="auto"/>
              <w:rPr>
                <w:rFonts w:ascii="Arial Narrow" w:hAnsi="Arial Narrow" w:cs="Arial"/>
                <w:color w:val="000000"/>
                <w:sz w:val="16"/>
                <w:szCs w:val="16"/>
                <w:lang w:eastAsia="sl-SI"/>
              </w:rPr>
            </w:pPr>
            <w:r>
              <w:rPr>
                <w:rFonts w:ascii="Arial Narrow" w:hAnsi="Arial Narrow" w:cs="Arial"/>
                <w:color w:val="000000"/>
                <w:sz w:val="16"/>
                <w:szCs w:val="16"/>
                <w:lang w:eastAsia="sl-SI"/>
              </w:rPr>
              <w:t>Samozaposleni</w:t>
            </w:r>
            <w:r w:rsidR="00221E6B" w:rsidRPr="00514EBE">
              <w:rPr>
                <w:rFonts w:ascii="Arial Narrow" w:hAnsi="Arial Narrow" w:cs="Arial"/>
                <w:color w:val="000000"/>
                <w:sz w:val="16"/>
                <w:szCs w:val="16"/>
                <w:lang w:eastAsia="sl-SI"/>
              </w:rPr>
              <w:t xml:space="preserve"> s pravico do plačila prispevkov za socialno varnost iz proračuna</w:t>
            </w:r>
            <w:r w:rsidR="00A505DB" w:rsidRPr="00A505DB">
              <w:rPr>
                <w:rFonts w:ascii="Arial Narrow" w:hAnsi="Arial Narrow" w:cs="Arial"/>
                <w:color w:val="000000"/>
                <w:sz w:val="16"/>
                <w:szCs w:val="16"/>
                <w:vertAlign w:val="superscript"/>
                <w:lang w:eastAsia="sl-SI"/>
              </w:rPr>
              <w:t>7</w:t>
            </w:r>
          </w:p>
        </w:tc>
        <w:tc>
          <w:tcPr>
            <w:tcW w:w="534" w:type="pct"/>
            <w:hideMark/>
          </w:tcPr>
          <w:p w:rsidR="00221E6B" w:rsidRPr="00221E6B" w:rsidRDefault="00221E6B" w:rsidP="004F1A5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s="Arial"/>
                <w:color w:val="000000"/>
                <w:sz w:val="16"/>
                <w:szCs w:val="16"/>
                <w:lang w:eastAsia="sl-SI"/>
              </w:rPr>
            </w:pPr>
            <w:r w:rsidRPr="00221E6B">
              <w:rPr>
                <w:rFonts w:ascii="Arial Narrow" w:hAnsi="Arial Narrow" w:cs="Arial"/>
                <w:color w:val="000000"/>
                <w:sz w:val="16"/>
                <w:szCs w:val="16"/>
                <w:lang w:eastAsia="sl-SI"/>
              </w:rPr>
              <w:t>1377</w:t>
            </w:r>
          </w:p>
        </w:tc>
        <w:tc>
          <w:tcPr>
            <w:tcW w:w="536" w:type="pct"/>
            <w:hideMark/>
          </w:tcPr>
          <w:p w:rsidR="00221E6B" w:rsidRPr="00221E6B" w:rsidRDefault="00221E6B" w:rsidP="004F1A5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s="Arial"/>
                <w:color w:val="000000"/>
                <w:sz w:val="16"/>
                <w:szCs w:val="16"/>
                <w:lang w:eastAsia="sl-SI"/>
              </w:rPr>
            </w:pPr>
            <w:r w:rsidRPr="00221E6B">
              <w:rPr>
                <w:rFonts w:ascii="Arial Narrow" w:hAnsi="Arial Narrow" w:cs="Arial"/>
                <w:color w:val="000000"/>
                <w:sz w:val="16"/>
                <w:szCs w:val="16"/>
                <w:lang w:eastAsia="sl-SI"/>
              </w:rPr>
              <w:t>1693</w:t>
            </w:r>
          </w:p>
        </w:tc>
        <w:tc>
          <w:tcPr>
            <w:tcW w:w="741" w:type="pct"/>
            <w:hideMark/>
          </w:tcPr>
          <w:p w:rsidR="00221E6B" w:rsidRPr="00E448A4" w:rsidRDefault="00221E6B" w:rsidP="004F1A5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s="Arial"/>
                <w:bCs/>
                <w:sz w:val="16"/>
                <w:szCs w:val="16"/>
                <w:lang w:eastAsia="sl-SI"/>
              </w:rPr>
            </w:pPr>
            <w:r w:rsidRPr="00E448A4">
              <w:rPr>
                <w:rFonts w:ascii="Arial Narrow" w:hAnsi="Arial Narrow" w:cs="Arial"/>
                <w:bCs/>
                <w:sz w:val="16"/>
                <w:szCs w:val="16"/>
                <w:lang w:eastAsia="sl-SI"/>
              </w:rPr>
              <w:t>123</w:t>
            </w:r>
          </w:p>
        </w:tc>
      </w:tr>
      <w:tr w:rsidR="00262B41" w:rsidRPr="00221E6B" w:rsidTr="00262B41">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3189" w:type="pct"/>
            <w:hideMark/>
          </w:tcPr>
          <w:p w:rsidR="00221E6B" w:rsidRPr="00514EBE" w:rsidRDefault="00221E6B" w:rsidP="00C41251">
            <w:pPr>
              <w:pStyle w:val="Odstavekseznama"/>
              <w:numPr>
                <w:ilvl w:val="0"/>
                <w:numId w:val="15"/>
              </w:numPr>
              <w:spacing w:after="0" w:line="240" w:lineRule="auto"/>
              <w:rPr>
                <w:rFonts w:ascii="Arial Narrow" w:hAnsi="Arial Narrow" w:cs="Arial"/>
                <w:color w:val="000000"/>
                <w:sz w:val="16"/>
                <w:szCs w:val="16"/>
                <w:lang w:eastAsia="sl-SI"/>
              </w:rPr>
            </w:pPr>
            <w:r w:rsidRPr="00514EBE">
              <w:rPr>
                <w:rFonts w:ascii="Arial Narrow" w:hAnsi="Arial Narrow" w:cs="Arial"/>
                <w:color w:val="000000"/>
                <w:sz w:val="16"/>
                <w:szCs w:val="16"/>
                <w:lang w:eastAsia="sl-SI"/>
              </w:rPr>
              <w:t>Prejemniki boleznin</w:t>
            </w:r>
            <w:r w:rsidR="00A505DB" w:rsidRPr="00A505DB">
              <w:rPr>
                <w:rFonts w:ascii="Arial Narrow" w:hAnsi="Arial Narrow" w:cs="Arial"/>
                <w:color w:val="000000"/>
                <w:sz w:val="16"/>
                <w:szCs w:val="16"/>
                <w:vertAlign w:val="superscript"/>
                <w:lang w:eastAsia="sl-SI"/>
              </w:rPr>
              <w:t>8</w:t>
            </w:r>
          </w:p>
        </w:tc>
        <w:tc>
          <w:tcPr>
            <w:tcW w:w="534" w:type="pct"/>
            <w:hideMark/>
          </w:tcPr>
          <w:p w:rsidR="00221E6B" w:rsidRPr="00221E6B" w:rsidRDefault="00221E6B" w:rsidP="004F1A5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s="Arial"/>
                <w:color w:val="000000"/>
                <w:sz w:val="16"/>
                <w:szCs w:val="16"/>
                <w:lang w:eastAsia="sl-SI"/>
              </w:rPr>
            </w:pPr>
            <w:r w:rsidRPr="00221E6B">
              <w:rPr>
                <w:rFonts w:ascii="Arial Narrow" w:hAnsi="Arial Narrow" w:cs="Arial"/>
                <w:color w:val="000000"/>
                <w:sz w:val="16"/>
                <w:szCs w:val="16"/>
                <w:lang w:eastAsia="sl-SI"/>
              </w:rPr>
              <w:t>0</w:t>
            </w:r>
          </w:p>
        </w:tc>
        <w:tc>
          <w:tcPr>
            <w:tcW w:w="536" w:type="pct"/>
            <w:hideMark/>
          </w:tcPr>
          <w:p w:rsidR="00221E6B" w:rsidRPr="00221E6B" w:rsidRDefault="00221E6B" w:rsidP="004F1A5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s="Arial"/>
                <w:color w:val="000000"/>
                <w:sz w:val="16"/>
                <w:szCs w:val="16"/>
                <w:lang w:eastAsia="sl-SI"/>
              </w:rPr>
            </w:pPr>
            <w:r w:rsidRPr="00221E6B">
              <w:rPr>
                <w:rFonts w:ascii="Arial Narrow" w:hAnsi="Arial Narrow" w:cs="Arial"/>
                <w:color w:val="000000"/>
                <w:sz w:val="16"/>
                <w:szCs w:val="16"/>
                <w:lang w:eastAsia="sl-SI"/>
              </w:rPr>
              <w:t>20</w:t>
            </w:r>
          </w:p>
        </w:tc>
        <w:tc>
          <w:tcPr>
            <w:tcW w:w="741" w:type="pct"/>
            <w:hideMark/>
          </w:tcPr>
          <w:p w:rsidR="00221E6B" w:rsidRPr="00E448A4" w:rsidRDefault="00221E6B" w:rsidP="004F1A5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s="Arial"/>
                <w:sz w:val="16"/>
                <w:szCs w:val="16"/>
                <w:lang w:eastAsia="sl-SI"/>
              </w:rPr>
            </w:pPr>
            <w:r w:rsidRPr="00E448A4">
              <w:rPr>
                <w:rFonts w:ascii="Arial Narrow" w:hAnsi="Arial Narrow" w:cs="Arial"/>
                <w:sz w:val="16"/>
                <w:szCs w:val="16"/>
                <w:lang w:eastAsia="sl-SI"/>
              </w:rPr>
              <w:t>/</w:t>
            </w:r>
          </w:p>
        </w:tc>
      </w:tr>
      <w:tr w:rsidR="00262B41" w:rsidRPr="00221E6B" w:rsidTr="00262B41">
        <w:trPr>
          <w:trHeight w:val="102"/>
        </w:trPr>
        <w:tc>
          <w:tcPr>
            <w:cnfStyle w:val="001000000000" w:firstRow="0" w:lastRow="0" w:firstColumn="1" w:lastColumn="0" w:oddVBand="0" w:evenVBand="0" w:oddHBand="0" w:evenHBand="0" w:firstRowFirstColumn="0" w:firstRowLastColumn="0" w:lastRowFirstColumn="0" w:lastRowLastColumn="0"/>
            <w:tcW w:w="3189" w:type="pct"/>
            <w:hideMark/>
          </w:tcPr>
          <w:p w:rsidR="00221E6B" w:rsidRPr="00514EBE" w:rsidRDefault="00221E6B" w:rsidP="00C41251">
            <w:pPr>
              <w:pStyle w:val="Odstavekseznama"/>
              <w:numPr>
                <w:ilvl w:val="0"/>
                <w:numId w:val="15"/>
              </w:numPr>
              <w:spacing w:after="0" w:line="240" w:lineRule="auto"/>
              <w:rPr>
                <w:rFonts w:ascii="Arial Narrow" w:hAnsi="Arial Narrow" w:cs="Arial"/>
                <w:color w:val="000000"/>
                <w:sz w:val="16"/>
                <w:szCs w:val="16"/>
                <w:lang w:eastAsia="sl-SI"/>
              </w:rPr>
            </w:pPr>
            <w:r w:rsidRPr="00514EBE">
              <w:rPr>
                <w:rFonts w:ascii="Arial Narrow" w:hAnsi="Arial Narrow" w:cs="Arial"/>
                <w:color w:val="000000"/>
                <w:sz w:val="16"/>
                <w:szCs w:val="16"/>
                <w:lang w:eastAsia="sl-SI"/>
              </w:rPr>
              <w:t>Prejemniki republiških priznavalnin</w:t>
            </w:r>
            <w:r w:rsidR="00A505DB" w:rsidRPr="00A505DB">
              <w:rPr>
                <w:rFonts w:ascii="Arial Narrow" w:hAnsi="Arial Narrow" w:cs="Arial"/>
                <w:color w:val="000000"/>
                <w:sz w:val="16"/>
                <w:szCs w:val="16"/>
                <w:vertAlign w:val="superscript"/>
                <w:lang w:eastAsia="sl-SI"/>
              </w:rPr>
              <w:t>9</w:t>
            </w:r>
          </w:p>
        </w:tc>
        <w:tc>
          <w:tcPr>
            <w:tcW w:w="534" w:type="pct"/>
            <w:hideMark/>
          </w:tcPr>
          <w:p w:rsidR="00221E6B" w:rsidRPr="00221E6B" w:rsidRDefault="00221E6B" w:rsidP="004F1A5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s="Arial"/>
                <w:color w:val="000000"/>
                <w:sz w:val="16"/>
                <w:szCs w:val="16"/>
                <w:lang w:eastAsia="sl-SI"/>
              </w:rPr>
            </w:pPr>
            <w:r w:rsidRPr="00221E6B">
              <w:rPr>
                <w:rFonts w:ascii="Arial Narrow" w:hAnsi="Arial Narrow" w:cs="Arial"/>
                <w:color w:val="000000"/>
                <w:sz w:val="16"/>
                <w:szCs w:val="16"/>
                <w:lang w:eastAsia="sl-SI"/>
              </w:rPr>
              <w:t>57</w:t>
            </w:r>
          </w:p>
        </w:tc>
        <w:tc>
          <w:tcPr>
            <w:tcW w:w="536" w:type="pct"/>
            <w:hideMark/>
          </w:tcPr>
          <w:p w:rsidR="00221E6B" w:rsidRPr="00221E6B" w:rsidRDefault="00221E6B" w:rsidP="004F1A5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s="Arial"/>
                <w:color w:val="000000"/>
                <w:sz w:val="16"/>
                <w:szCs w:val="16"/>
                <w:lang w:eastAsia="sl-SI"/>
              </w:rPr>
            </w:pPr>
            <w:r w:rsidRPr="00221E6B">
              <w:rPr>
                <w:rFonts w:ascii="Arial Narrow" w:hAnsi="Arial Narrow" w:cs="Arial"/>
                <w:color w:val="000000"/>
                <w:sz w:val="16"/>
                <w:szCs w:val="16"/>
                <w:lang w:eastAsia="sl-SI"/>
              </w:rPr>
              <w:t>177</w:t>
            </w:r>
          </w:p>
        </w:tc>
        <w:tc>
          <w:tcPr>
            <w:tcW w:w="741" w:type="pct"/>
            <w:hideMark/>
          </w:tcPr>
          <w:p w:rsidR="00221E6B" w:rsidRPr="00E448A4" w:rsidRDefault="00221E6B" w:rsidP="004F1A5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s="Arial"/>
                <w:bCs/>
                <w:sz w:val="16"/>
                <w:szCs w:val="16"/>
                <w:lang w:eastAsia="sl-SI"/>
              </w:rPr>
            </w:pPr>
            <w:r w:rsidRPr="00E448A4">
              <w:rPr>
                <w:rFonts w:ascii="Arial Narrow" w:hAnsi="Arial Narrow" w:cs="Arial"/>
                <w:bCs/>
                <w:sz w:val="16"/>
                <w:szCs w:val="16"/>
                <w:lang w:eastAsia="sl-SI"/>
              </w:rPr>
              <w:t>311</w:t>
            </w:r>
          </w:p>
        </w:tc>
      </w:tr>
      <w:tr w:rsidR="00262B41" w:rsidRPr="00221E6B" w:rsidTr="00262B41">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3189" w:type="pct"/>
            <w:shd w:val="clear" w:color="auto" w:fill="9BBB59" w:themeFill="accent3"/>
            <w:hideMark/>
          </w:tcPr>
          <w:p w:rsidR="00221E6B" w:rsidRPr="00221E6B" w:rsidRDefault="00221E6B" w:rsidP="004F1A5E">
            <w:pPr>
              <w:spacing w:after="0" w:line="240" w:lineRule="auto"/>
              <w:rPr>
                <w:rFonts w:ascii="Arial Narrow" w:hAnsi="Arial Narrow" w:cs="Arial"/>
                <w:color w:val="FFFFFF"/>
                <w:sz w:val="16"/>
                <w:szCs w:val="16"/>
                <w:lang w:eastAsia="sl-SI"/>
              </w:rPr>
            </w:pPr>
            <w:r w:rsidRPr="00221E6B">
              <w:rPr>
                <w:rFonts w:ascii="Arial Narrow" w:hAnsi="Arial Narrow" w:cs="Arial"/>
                <w:color w:val="FFFFFF"/>
                <w:sz w:val="16"/>
                <w:szCs w:val="16"/>
                <w:lang w:eastAsia="sl-SI"/>
              </w:rPr>
              <w:t>Proračunska sredstva</w:t>
            </w:r>
          </w:p>
        </w:tc>
        <w:tc>
          <w:tcPr>
            <w:tcW w:w="534" w:type="pct"/>
            <w:shd w:val="clear" w:color="auto" w:fill="9BBB59" w:themeFill="accent3"/>
            <w:hideMark/>
          </w:tcPr>
          <w:p w:rsidR="00221E6B" w:rsidRPr="00221E6B" w:rsidRDefault="00221E6B" w:rsidP="004F1A5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s="Arial"/>
                <w:b/>
                <w:bCs/>
                <w:color w:val="FFFFFF"/>
                <w:sz w:val="16"/>
                <w:szCs w:val="16"/>
                <w:lang w:eastAsia="sl-SI"/>
              </w:rPr>
            </w:pPr>
            <w:r w:rsidRPr="00221E6B">
              <w:rPr>
                <w:rFonts w:ascii="Arial Narrow" w:hAnsi="Arial Narrow" w:cs="Arial"/>
                <w:b/>
                <w:bCs/>
                <w:color w:val="FFFFFF"/>
                <w:sz w:val="16"/>
                <w:szCs w:val="16"/>
                <w:lang w:eastAsia="sl-SI"/>
              </w:rPr>
              <w:t>2002</w:t>
            </w:r>
          </w:p>
        </w:tc>
        <w:tc>
          <w:tcPr>
            <w:tcW w:w="536" w:type="pct"/>
            <w:shd w:val="clear" w:color="auto" w:fill="9BBB59" w:themeFill="accent3"/>
            <w:hideMark/>
          </w:tcPr>
          <w:p w:rsidR="00221E6B" w:rsidRPr="00221E6B" w:rsidRDefault="00221E6B" w:rsidP="004F1A5E">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s="Arial"/>
                <w:b/>
                <w:bCs/>
                <w:color w:val="FFFFFF"/>
                <w:sz w:val="16"/>
                <w:szCs w:val="16"/>
                <w:lang w:eastAsia="sl-SI"/>
              </w:rPr>
            </w:pPr>
            <w:r w:rsidRPr="00221E6B">
              <w:rPr>
                <w:rFonts w:ascii="Arial Narrow" w:hAnsi="Arial Narrow" w:cs="Arial"/>
                <w:b/>
                <w:bCs/>
                <w:color w:val="FFFFFF"/>
                <w:sz w:val="16"/>
                <w:szCs w:val="16"/>
                <w:lang w:eastAsia="sl-SI"/>
              </w:rPr>
              <w:t>2015</w:t>
            </w:r>
          </w:p>
        </w:tc>
        <w:tc>
          <w:tcPr>
            <w:tcW w:w="741" w:type="pct"/>
            <w:shd w:val="clear" w:color="auto" w:fill="9BBB59" w:themeFill="accent3"/>
            <w:hideMark/>
          </w:tcPr>
          <w:p w:rsidR="00221E6B" w:rsidRPr="00221E6B" w:rsidRDefault="00221E6B" w:rsidP="00E73C2F">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s="Arial"/>
                <w:b/>
                <w:bCs/>
                <w:color w:val="FFFFFF"/>
                <w:sz w:val="16"/>
                <w:szCs w:val="16"/>
                <w:lang w:eastAsia="sl-SI"/>
              </w:rPr>
            </w:pPr>
            <w:r w:rsidRPr="00221E6B">
              <w:rPr>
                <w:rFonts w:ascii="Arial Narrow" w:hAnsi="Arial Narrow" w:cs="Arial"/>
                <w:b/>
                <w:bCs/>
                <w:color w:val="FFFFFF"/>
                <w:sz w:val="16"/>
                <w:szCs w:val="16"/>
                <w:lang w:eastAsia="sl-SI"/>
              </w:rPr>
              <w:t>Indeks 2015</w:t>
            </w:r>
            <w:r w:rsidR="00E73C2F">
              <w:rPr>
                <w:rFonts w:ascii="Arial Narrow" w:hAnsi="Arial Narrow" w:cs="Arial"/>
                <w:b/>
                <w:bCs/>
                <w:color w:val="FFFFFF"/>
                <w:sz w:val="16"/>
                <w:szCs w:val="16"/>
                <w:lang w:eastAsia="sl-SI"/>
              </w:rPr>
              <w:t>–</w:t>
            </w:r>
            <w:r w:rsidRPr="00221E6B">
              <w:rPr>
                <w:rFonts w:ascii="Arial Narrow" w:hAnsi="Arial Narrow" w:cs="Arial"/>
                <w:b/>
                <w:bCs/>
                <w:color w:val="FFFFFF"/>
                <w:sz w:val="16"/>
                <w:szCs w:val="16"/>
                <w:lang w:eastAsia="sl-SI"/>
              </w:rPr>
              <w:t>2002</w:t>
            </w:r>
          </w:p>
        </w:tc>
      </w:tr>
      <w:tr w:rsidR="00262B41" w:rsidRPr="00221E6B" w:rsidTr="00262B41">
        <w:trPr>
          <w:trHeight w:val="102"/>
        </w:trPr>
        <w:tc>
          <w:tcPr>
            <w:cnfStyle w:val="001000000000" w:firstRow="0" w:lastRow="0" w:firstColumn="1" w:lastColumn="0" w:oddVBand="0" w:evenVBand="0" w:oddHBand="0" w:evenHBand="0" w:firstRowFirstColumn="0" w:firstRowLastColumn="0" w:lastRowFirstColumn="0" w:lastRowLastColumn="0"/>
            <w:tcW w:w="3189" w:type="pct"/>
            <w:hideMark/>
          </w:tcPr>
          <w:p w:rsidR="00221E6B" w:rsidRPr="00514EBE" w:rsidRDefault="00221E6B" w:rsidP="004C5725">
            <w:pPr>
              <w:pStyle w:val="Odstavekseznama"/>
              <w:numPr>
                <w:ilvl w:val="0"/>
                <w:numId w:val="16"/>
              </w:numPr>
              <w:spacing w:after="0" w:line="240" w:lineRule="auto"/>
              <w:rPr>
                <w:rFonts w:ascii="Arial Narrow" w:hAnsi="Arial Narrow" w:cs="Arial"/>
                <w:color w:val="000000"/>
                <w:sz w:val="16"/>
                <w:szCs w:val="16"/>
                <w:lang w:eastAsia="sl-SI"/>
              </w:rPr>
            </w:pPr>
            <w:r w:rsidRPr="00514EBE">
              <w:rPr>
                <w:rFonts w:ascii="Arial Narrow" w:hAnsi="Arial Narrow" w:cs="Arial"/>
                <w:color w:val="000000"/>
                <w:sz w:val="16"/>
                <w:szCs w:val="16"/>
                <w:lang w:eastAsia="sl-SI"/>
              </w:rPr>
              <w:t xml:space="preserve">Proračun </w:t>
            </w:r>
            <w:r w:rsidR="004C5725">
              <w:rPr>
                <w:rFonts w:ascii="Arial Narrow" w:hAnsi="Arial Narrow" w:cs="Arial"/>
                <w:color w:val="000000"/>
                <w:sz w:val="16"/>
                <w:szCs w:val="16"/>
                <w:lang w:eastAsia="sl-SI"/>
              </w:rPr>
              <w:t>Ministrstva za kulturo</w:t>
            </w:r>
          </w:p>
        </w:tc>
        <w:tc>
          <w:tcPr>
            <w:tcW w:w="534" w:type="pct"/>
            <w:hideMark/>
          </w:tcPr>
          <w:p w:rsidR="00221E6B" w:rsidRPr="00221E6B" w:rsidRDefault="00221E6B" w:rsidP="004F1A5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s="Arial"/>
                <w:color w:val="000000"/>
                <w:sz w:val="16"/>
                <w:szCs w:val="16"/>
                <w:lang w:eastAsia="sl-SI"/>
              </w:rPr>
            </w:pPr>
            <w:r w:rsidRPr="00221E6B">
              <w:rPr>
                <w:rFonts w:ascii="Arial Narrow" w:hAnsi="Arial Narrow" w:cs="Arial"/>
                <w:color w:val="000000"/>
                <w:sz w:val="16"/>
                <w:szCs w:val="16"/>
                <w:lang w:eastAsia="sl-SI"/>
              </w:rPr>
              <w:t>€115.344,00</w:t>
            </w:r>
          </w:p>
        </w:tc>
        <w:tc>
          <w:tcPr>
            <w:tcW w:w="536" w:type="pct"/>
            <w:hideMark/>
          </w:tcPr>
          <w:p w:rsidR="00221E6B" w:rsidRPr="00221E6B" w:rsidRDefault="00221E6B" w:rsidP="004F1A5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s="Arial"/>
                <w:color w:val="000000"/>
                <w:sz w:val="16"/>
                <w:szCs w:val="16"/>
                <w:lang w:eastAsia="sl-SI"/>
              </w:rPr>
            </w:pPr>
            <w:r w:rsidRPr="00221E6B">
              <w:rPr>
                <w:rFonts w:ascii="Arial Narrow" w:hAnsi="Arial Narrow" w:cs="Arial"/>
                <w:color w:val="000000"/>
                <w:sz w:val="16"/>
                <w:szCs w:val="16"/>
                <w:lang w:eastAsia="sl-SI"/>
              </w:rPr>
              <w:t>€159.440,00</w:t>
            </w:r>
          </w:p>
        </w:tc>
        <w:tc>
          <w:tcPr>
            <w:tcW w:w="741" w:type="pct"/>
            <w:hideMark/>
          </w:tcPr>
          <w:p w:rsidR="00221E6B" w:rsidRPr="00E448A4" w:rsidRDefault="00221E6B" w:rsidP="004F1A5E">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s="Arial"/>
                <w:bCs/>
                <w:sz w:val="16"/>
                <w:szCs w:val="16"/>
                <w:lang w:eastAsia="sl-SI"/>
              </w:rPr>
            </w:pPr>
            <w:r w:rsidRPr="00E448A4">
              <w:rPr>
                <w:rFonts w:ascii="Arial Narrow" w:hAnsi="Arial Narrow" w:cs="Arial"/>
                <w:bCs/>
                <w:sz w:val="16"/>
                <w:szCs w:val="16"/>
                <w:lang w:eastAsia="sl-SI"/>
              </w:rPr>
              <w:t>138</w:t>
            </w:r>
          </w:p>
        </w:tc>
      </w:tr>
    </w:tbl>
    <w:p w:rsidR="00262B41" w:rsidRDefault="00262B41" w:rsidP="00872645">
      <w:pPr>
        <w:pStyle w:val="Podpispodtabeloaligrafom"/>
        <w:spacing w:after="0"/>
      </w:pPr>
    </w:p>
    <w:p w:rsidR="00EA497E" w:rsidRDefault="0025597B" w:rsidP="00872645">
      <w:pPr>
        <w:pStyle w:val="Podpispodtabeloaligrafom"/>
        <w:spacing w:after="0"/>
      </w:pPr>
      <w:r w:rsidRPr="0025597B">
        <w:t>Vir : Ministrstvo za kulturo</w:t>
      </w:r>
      <w:r w:rsidR="0004610C">
        <w:t xml:space="preserve"> in Javna agencija RS za knjigo.</w:t>
      </w:r>
    </w:p>
    <w:p w:rsidR="003913E2" w:rsidRDefault="00640F44" w:rsidP="00872645">
      <w:pPr>
        <w:pStyle w:val="Podpispodtabeloaligrafom"/>
        <w:spacing w:after="0"/>
      </w:pPr>
      <w:r>
        <w:rPr>
          <w:vertAlign w:val="superscript"/>
        </w:rPr>
        <w:t xml:space="preserve">* </w:t>
      </w:r>
      <w:r>
        <w:t>Upoštevani so naslednji izplačevalci: a) v letu 2002: Ministrstvo z</w:t>
      </w:r>
      <w:r w:rsidR="004A27A0">
        <w:t xml:space="preserve">a kulturo in </w:t>
      </w:r>
      <w:r>
        <w:t xml:space="preserve">Uprava RS za kulturno dediščino </w:t>
      </w:r>
      <w:r w:rsidR="004A27A0">
        <w:t>(njena sredstva so bila že pred letom 2004, ko je bila ukinjena in je njeno delo prevzelo Ministrstvo za kulturo, formalni del njegovega</w:t>
      </w:r>
      <w:r w:rsidR="00A47669">
        <w:t xml:space="preserve"> </w:t>
      </w:r>
      <w:r w:rsidR="004A27A0">
        <w:t xml:space="preserve">proračuna, iz katerega se je financiralo področje kulturne dediščine). </w:t>
      </w:r>
      <w:r w:rsidR="00415852">
        <w:t>2) v letu 2015: Ministrstvo za kulturo in</w:t>
      </w:r>
      <w:r>
        <w:t xml:space="preserve"> </w:t>
      </w:r>
      <w:r w:rsidR="004A27A0">
        <w:t>Javna</w:t>
      </w:r>
      <w:r w:rsidR="00A47669">
        <w:t xml:space="preserve"> </w:t>
      </w:r>
      <w:r w:rsidR="004A27A0">
        <w:t xml:space="preserve">agencija za knjigo. Njena izplačila smo v letu 2015 upoštevali zato, ker je njeno delo (vključno s financiranjem projektov in programov posameznikov in založb ter društev) v letu 2002 </w:t>
      </w:r>
      <w:r w:rsidR="003913E2">
        <w:t xml:space="preserve">še </w:t>
      </w:r>
      <w:r w:rsidR="004A27A0">
        <w:t>opravljalo Ministrstvo za kulturo.</w:t>
      </w:r>
      <w:r w:rsidR="003913E2">
        <w:t xml:space="preserve"> </w:t>
      </w:r>
    </w:p>
    <w:p w:rsidR="00640F44" w:rsidRPr="00640F44" w:rsidRDefault="003913E2" w:rsidP="00872645">
      <w:pPr>
        <w:pStyle w:val="Podpispodtabeloaligrafom"/>
        <w:spacing w:after="0"/>
      </w:pPr>
      <w:r>
        <w:t>Ker sta</w:t>
      </w:r>
      <w:r w:rsidR="00A47669">
        <w:t xml:space="preserve"> </w:t>
      </w:r>
      <w:proofErr w:type="spellStart"/>
      <w:r>
        <w:t>današnji</w:t>
      </w:r>
      <w:r w:rsidRPr="003913E2">
        <w:t>Javni</w:t>
      </w:r>
      <w:proofErr w:type="spellEnd"/>
      <w:r w:rsidRPr="003913E2">
        <w:t xml:space="preserve"> sklad </w:t>
      </w:r>
      <w:r w:rsidR="008B1980">
        <w:t xml:space="preserve">RS </w:t>
      </w:r>
      <w:r w:rsidRPr="003913E2">
        <w:t xml:space="preserve">za </w:t>
      </w:r>
      <w:r w:rsidR="008B1980">
        <w:t>kulturne dejavnosti</w:t>
      </w:r>
      <w:r w:rsidRPr="003913E2">
        <w:t xml:space="preserve"> in </w:t>
      </w:r>
      <w:r>
        <w:t>Slovenski filmski center</w:t>
      </w:r>
      <w:r w:rsidR="00AC45B4">
        <w:t>, javna agencija RS</w:t>
      </w:r>
      <w:r>
        <w:t xml:space="preserve"> (prej </w:t>
      </w:r>
      <w:r w:rsidRPr="003913E2">
        <w:t xml:space="preserve">Filmski sklad RS </w:t>
      </w:r>
      <w:r>
        <w:t xml:space="preserve">) leta 2002 </w:t>
      </w:r>
      <w:r w:rsidRPr="003913E2">
        <w:t>že obstajala in razpise tudi že izvajala, prejemnikov sredstev na njunih razpisih nismo prišteli niti k prejemnikom v letu 2002 niti v letu 2015.</w:t>
      </w:r>
    </w:p>
    <w:p w:rsidR="00FA4493" w:rsidRDefault="00FA4493" w:rsidP="00872645">
      <w:pPr>
        <w:pStyle w:val="Podpispodtabeloaligrafom"/>
        <w:spacing w:after="0"/>
      </w:pPr>
      <w:r w:rsidRPr="003C78F1">
        <w:rPr>
          <w:vertAlign w:val="superscript"/>
        </w:rPr>
        <w:t>1</w:t>
      </w:r>
      <w:r>
        <w:t xml:space="preserve"> Vsak prejemnik je štet samo enkrat tudi, če</w:t>
      </w:r>
      <w:r w:rsidR="008F1021">
        <w:t xml:space="preserve"> je prejel več različnih plačil od Ministrstva za kulturo oz. </w:t>
      </w:r>
      <w:r w:rsidR="00073584">
        <w:t xml:space="preserve">oz. Uprave RS za kulturno dediščino </w:t>
      </w:r>
      <w:r w:rsidR="000861FE">
        <w:t>(njena sredstva so bila že pred njeno ukinitvijo –</w:t>
      </w:r>
      <w:r w:rsidR="00A47669">
        <w:t xml:space="preserve"> </w:t>
      </w:r>
      <w:r w:rsidR="000861FE">
        <w:t>leta 2004 – uradni del proračuna Ministrstva za kulturo)</w:t>
      </w:r>
      <w:r w:rsidR="00A47669">
        <w:t xml:space="preserve"> </w:t>
      </w:r>
      <w:r w:rsidR="00073584">
        <w:t xml:space="preserve">oz. </w:t>
      </w:r>
      <w:r w:rsidR="008F1021">
        <w:t xml:space="preserve">Javne </w:t>
      </w:r>
      <w:r w:rsidR="00B15468">
        <w:t>agencije</w:t>
      </w:r>
      <w:r w:rsidR="007F1C17">
        <w:t xml:space="preserve"> </w:t>
      </w:r>
      <w:r w:rsidR="00780F72">
        <w:t xml:space="preserve">za knjigo, </w:t>
      </w:r>
      <w:r w:rsidR="00304BD3">
        <w:t xml:space="preserve">le </w:t>
      </w:r>
      <w:r w:rsidR="00F01BE2">
        <w:t xml:space="preserve">številka </w:t>
      </w:r>
      <w:r w:rsidR="00304BD3">
        <w:t xml:space="preserve">v rubriki 2. </w:t>
      </w:r>
      <w:r w:rsidR="00F01BE2">
        <w:t>vsebuje tudi število</w:t>
      </w:r>
      <w:r w:rsidR="00304BD3">
        <w:t xml:space="preserve"> javni</w:t>
      </w:r>
      <w:r w:rsidR="00780F72">
        <w:t>h zavodov</w:t>
      </w:r>
      <w:r w:rsidR="00304BD3">
        <w:t xml:space="preserve"> iz rubrike 2.1.</w:t>
      </w:r>
    </w:p>
    <w:p w:rsidR="00FA4493" w:rsidRDefault="00FA4493" w:rsidP="00872645">
      <w:pPr>
        <w:pStyle w:val="Podpispodtabeloaligrafom"/>
        <w:spacing w:after="0"/>
      </w:pPr>
      <w:r w:rsidRPr="003C78F1">
        <w:rPr>
          <w:vertAlign w:val="superscript"/>
        </w:rPr>
        <w:t>2</w:t>
      </w:r>
      <w:r>
        <w:t xml:space="preserve"> Leta 2002 Javna agencija za knjigo RS še ni bila ustanovljena, delovala pa sta že Filmski sklad </w:t>
      </w:r>
      <w:r w:rsidR="00F733D7">
        <w:t xml:space="preserve">RS </w:t>
      </w:r>
      <w:r>
        <w:t>(danes Slovenski filmski center</w:t>
      </w:r>
      <w:r w:rsidR="00AC45B4">
        <w:t>, javna agencija RS</w:t>
      </w:r>
      <w:r>
        <w:t>) in Javni sklad RS za kulturne dejavnosti.</w:t>
      </w:r>
    </w:p>
    <w:p w:rsidR="002D518D" w:rsidRDefault="00F733D7" w:rsidP="00872645">
      <w:pPr>
        <w:pStyle w:val="Podpispodtabeloaligrafom"/>
        <w:spacing w:after="0"/>
      </w:pPr>
      <w:r w:rsidRPr="003C78F1">
        <w:rPr>
          <w:vertAlign w:val="superscript"/>
        </w:rPr>
        <w:t>3</w:t>
      </w:r>
      <w:r>
        <w:t xml:space="preserve"> V letu 2002</w:t>
      </w:r>
      <w:r w:rsidR="007F1C17">
        <w:t xml:space="preserve"> </w:t>
      </w:r>
      <w:r>
        <w:t>je vštetih tudi</w:t>
      </w:r>
      <w:r w:rsidR="007F1C17">
        <w:t xml:space="preserve"> </w:t>
      </w:r>
      <w:r w:rsidR="000018D9">
        <w:t>52</w:t>
      </w:r>
      <w:r w:rsidR="007F1C17">
        <w:t xml:space="preserve"> </w:t>
      </w:r>
      <w:r w:rsidR="007010D5">
        <w:t xml:space="preserve">slovenskih </w:t>
      </w:r>
      <w:r w:rsidR="000D7D44">
        <w:t xml:space="preserve">kulturnih </w:t>
      </w:r>
      <w:r w:rsidR="007010D5">
        <w:t xml:space="preserve">društev, ki delujejo v tujini in so bila financirana s </w:t>
      </w:r>
      <w:r w:rsidR="00612BAB">
        <w:t xml:space="preserve">proračunske </w:t>
      </w:r>
      <w:r w:rsidR="007010D5">
        <w:t>postavke</w:t>
      </w:r>
      <w:r w:rsidR="00E51544">
        <w:t xml:space="preserve"> Kultura za Slovence zunaj RS,</w:t>
      </w:r>
      <w:r w:rsidR="007F1C17">
        <w:t xml:space="preserve"> </w:t>
      </w:r>
      <w:r w:rsidR="00E51544">
        <w:t xml:space="preserve">ki je bila </w:t>
      </w:r>
      <w:r w:rsidR="00612BAB">
        <w:t>pozneje</w:t>
      </w:r>
      <w:r w:rsidR="00E51544">
        <w:t xml:space="preserve"> </w:t>
      </w:r>
      <w:proofErr w:type="spellStart"/>
      <w:r w:rsidR="00E51544">
        <w:t>prenešena</w:t>
      </w:r>
      <w:proofErr w:type="spellEnd"/>
      <w:r w:rsidR="00E51544">
        <w:t xml:space="preserve"> na Urad za Slovence </w:t>
      </w:r>
      <w:r w:rsidR="00612BAB">
        <w:t xml:space="preserve">v zamejstvu in po svetu. </w:t>
      </w:r>
    </w:p>
    <w:p w:rsidR="00FA4493" w:rsidRDefault="002D518D" w:rsidP="00872645">
      <w:pPr>
        <w:pStyle w:val="Podpispodtabeloaligrafom"/>
        <w:spacing w:after="0"/>
      </w:pPr>
      <w:r w:rsidRPr="003C78F1">
        <w:rPr>
          <w:vertAlign w:val="superscript"/>
        </w:rPr>
        <w:t>4</w:t>
      </w:r>
      <w:r>
        <w:t xml:space="preserve"> </w:t>
      </w:r>
      <w:r w:rsidR="00711640">
        <w:t>Večina verskih organizacij je bila leta</w:t>
      </w:r>
      <w:r w:rsidR="00116347" w:rsidRPr="00025706">
        <w:t xml:space="preserve"> 2002 </w:t>
      </w:r>
      <w:r w:rsidR="00711640">
        <w:t>financirana</w:t>
      </w:r>
      <w:r w:rsidR="0012593F" w:rsidRPr="00025706">
        <w:t xml:space="preserve"> s proračunskih postavk 5672 Kulturni tolar</w:t>
      </w:r>
      <w:r w:rsidR="00711640">
        <w:t xml:space="preserve"> – spomeniki in 8594 Spomeniki, l</w:t>
      </w:r>
      <w:r w:rsidR="0012593F" w:rsidRPr="00025706">
        <w:t xml:space="preserve">eta 2015 pa iz </w:t>
      </w:r>
      <w:r w:rsidR="00F06258" w:rsidRPr="00025706">
        <w:t xml:space="preserve">proračunske postavke </w:t>
      </w:r>
      <w:r w:rsidR="00782983" w:rsidRPr="00025706">
        <w:t xml:space="preserve">131101 </w:t>
      </w:r>
      <w:r w:rsidR="00F06258" w:rsidRPr="00025706">
        <w:t>Pomoč za plačilo</w:t>
      </w:r>
      <w:r w:rsidR="00711640">
        <w:t xml:space="preserve"> prispevkov verskim uslužbencem. </w:t>
      </w:r>
      <w:r w:rsidR="000018D9">
        <w:t>Namreč, l</w:t>
      </w:r>
      <w:r w:rsidR="00711640">
        <w:t>eta</w:t>
      </w:r>
      <w:r w:rsidR="00F06258" w:rsidRPr="00025706">
        <w:t xml:space="preserve"> </w:t>
      </w:r>
      <w:r w:rsidR="003C78F1" w:rsidRPr="00025706">
        <w:t xml:space="preserve">2013 </w:t>
      </w:r>
      <w:r w:rsidR="00711640">
        <w:t xml:space="preserve">je </w:t>
      </w:r>
      <w:r w:rsidR="003C78F1" w:rsidRPr="00025706">
        <w:t>Ministrstvo za kulturo prevzelo naloge nekdaj samostojnega</w:t>
      </w:r>
      <w:r w:rsidRPr="00025706">
        <w:t xml:space="preserve"> </w:t>
      </w:r>
      <w:r w:rsidR="003C78F1" w:rsidRPr="00025706">
        <w:t xml:space="preserve">Urada </w:t>
      </w:r>
      <w:r w:rsidRPr="00025706">
        <w:t xml:space="preserve">za verske skupnosti, ki </w:t>
      </w:r>
      <w:r w:rsidR="00430ED4" w:rsidRPr="00025706">
        <w:t xml:space="preserve">na podlagi Zakona o verski svobodi </w:t>
      </w:r>
      <w:r w:rsidR="00B15468">
        <w:t xml:space="preserve">verskim skupnostim </w:t>
      </w:r>
      <w:r w:rsidRPr="00025706">
        <w:t xml:space="preserve">financira socialne prispevke </w:t>
      </w:r>
      <w:r w:rsidR="00B15468">
        <w:t>njihovih</w:t>
      </w:r>
      <w:r w:rsidR="000018D9">
        <w:t xml:space="preserve"> uslužbencev</w:t>
      </w:r>
      <w:r w:rsidR="003C78F1" w:rsidRPr="00025706">
        <w:t>.</w:t>
      </w:r>
      <w:r w:rsidR="00495197" w:rsidRPr="00025706">
        <w:t xml:space="preserve"> </w:t>
      </w:r>
    </w:p>
    <w:p w:rsidR="00B15468" w:rsidRDefault="00DC3F2D" w:rsidP="00872645">
      <w:pPr>
        <w:pStyle w:val="Podpispodtabeloaligrafom"/>
        <w:spacing w:after="0"/>
      </w:pPr>
      <w:r w:rsidRPr="003C78F1">
        <w:rPr>
          <w:vertAlign w:val="superscript"/>
        </w:rPr>
        <w:t>5</w:t>
      </w:r>
      <w:r>
        <w:t xml:space="preserve"> </w:t>
      </w:r>
      <w:r w:rsidR="00FA4493">
        <w:t>Razpise za projekte in programe s področja knjige oz. založništva je leta 2002 financiralo Ministrstvo za kulturo, leta 2015 pa Javna agencija za knjigo</w:t>
      </w:r>
      <w:r>
        <w:t xml:space="preserve"> RS</w:t>
      </w:r>
      <w:r w:rsidR="00F01BE2">
        <w:t>, medtem ko so bila</w:t>
      </w:r>
      <w:r w:rsidR="00FA4493">
        <w:t xml:space="preserve"> </w:t>
      </w:r>
      <w:r w:rsidR="00F01BE2">
        <w:t>s</w:t>
      </w:r>
      <w:r w:rsidR="00FA4493">
        <w:t xml:space="preserve">redstva za založništvo v obeh letih del proračuna </w:t>
      </w:r>
      <w:r>
        <w:t>Ministrstva za kulturo</w:t>
      </w:r>
      <w:r w:rsidR="00FA4493">
        <w:t xml:space="preserve">. Prejemnike sredstev na razpisih Javne agencije za knjigo </w:t>
      </w:r>
      <w:r>
        <w:t xml:space="preserve">RS v letu 2015 smo </w:t>
      </w:r>
      <w:r w:rsidR="00F01BE2">
        <w:t>prišteli</w:t>
      </w:r>
      <w:r w:rsidR="00FA4493">
        <w:t xml:space="preserve"> k prejemnikom na razpisih Ministrstva za kulturo v letu 2015, saj so založbe, literati, literarna društva in drugi izvajalci na področju založništva vključeni med prejemnike v letu 2002, ko je razpise zanje izvajalo Ministrstvo za kulturo. </w:t>
      </w:r>
    </w:p>
    <w:p w:rsidR="00CE55DE" w:rsidRDefault="00CE55DE" w:rsidP="00872645">
      <w:pPr>
        <w:pStyle w:val="Podpispodtabeloaligrafom"/>
        <w:spacing w:after="0"/>
      </w:pPr>
      <w:r w:rsidRPr="00CE55DE">
        <w:rPr>
          <w:vertAlign w:val="superscript"/>
        </w:rPr>
        <w:t>6</w:t>
      </w:r>
      <w:r>
        <w:t xml:space="preserve"> </w:t>
      </w:r>
      <w:r w:rsidR="00BB57D8" w:rsidRPr="00BB57D8">
        <w:t xml:space="preserve">Pravica </w:t>
      </w:r>
      <w:r w:rsidR="00A505DB">
        <w:t xml:space="preserve">do knjižničnega nadomestila se je </w:t>
      </w:r>
      <w:r w:rsidR="009E3362">
        <w:t>z</w:t>
      </w:r>
      <w:r w:rsidR="00A505DB">
        <w:t xml:space="preserve">a avtorje začela izvajati </w:t>
      </w:r>
      <w:r w:rsidR="00BB57D8" w:rsidRPr="00BB57D8">
        <w:t xml:space="preserve">leta 2004. Več o njej je opisano </w:t>
      </w:r>
      <w:r w:rsidR="00BB57D8" w:rsidRPr="00B15468">
        <w:t xml:space="preserve">na </w:t>
      </w:r>
      <w:hyperlink r:id="rId68" w:history="1">
        <w:r w:rsidR="00BB57D8" w:rsidRPr="00B15468">
          <w:rPr>
            <w:rStyle w:val="Hiperpovezava"/>
          </w:rPr>
          <w:t>spletni strani</w:t>
        </w:r>
      </w:hyperlink>
      <w:r w:rsidR="00BB57D8" w:rsidRPr="00BB57D8">
        <w:t xml:space="preserve"> Javne agencije za knjigo.</w:t>
      </w:r>
      <w:r w:rsidR="00BB57D8">
        <w:t xml:space="preserve"> </w:t>
      </w:r>
      <w:r>
        <w:t>Leta 2015 je bilo (za leto 2014) izplačano knjižnično nadomestilo 907 avtorjem.</w:t>
      </w:r>
    </w:p>
    <w:p w:rsidR="00304BD3" w:rsidRPr="00304BD3" w:rsidRDefault="00304BD3" w:rsidP="00872645">
      <w:pPr>
        <w:pStyle w:val="Podpispodtabeloaligrafom"/>
        <w:spacing w:after="0"/>
      </w:pPr>
      <w:r w:rsidRPr="00304BD3">
        <w:rPr>
          <w:vertAlign w:val="superscript"/>
        </w:rPr>
        <w:t xml:space="preserve">7 </w:t>
      </w:r>
      <w:r w:rsidRPr="00304BD3">
        <w:t>»</w:t>
      </w:r>
      <w:r>
        <w:t>Skupaj« je vsota rubrik 1, 2, 3,4, 5, in 7, rubrika 2.1 pa v vsoto ni vključena.</w:t>
      </w:r>
    </w:p>
    <w:p w:rsidR="00FA4493" w:rsidRDefault="00304BD3" w:rsidP="00872645">
      <w:pPr>
        <w:pStyle w:val="Podpispodtabeloaligrafom"/>
        <w:spacing w:after="0"/>
      </w:pPr>
      <w:r>
        <w:rPr>
          <w:vertAlign w:val="superscript"/>
        </w:rPr>
        <w:t>8</w:t>
      </w:r>
      <w:r w:rsidR="00DC3F2D">
        <w:t xml:space="preserve"> </w:t>
      </w:r>
      <w:r w:rsidR="00FA4493">
        <w:t>Podatek za leto 2002 je na razpolago samo z dne 13. junija 2002, podatek za leto 2015 pa z dne 31. 12. 2015.</w:t>
      </w:r>
    </w:p>
    <w:p w:rsidR="00156F31" w:rsidRDefault="00304BD3" w:rsidP="00872645">
      <w:pPr>
        <w:pStyle w:val="Podpispodtabeloaligrafom"/>
        <w:spacing w:after="0"/>
      </w:pPr>
      <w:r>
        <w:rPr>
          <w:vertAlign w:val="superscript"/>
        </w:rPr>
        <w:t>9</w:t>
      </w:r>
      <w:r w:rsidR="00B266F7">
        <w:t xml:space="preserve"> </w:t>
      </w:r>
      <w:r w:rsidR="00FA4493" w:rsidRPr="00A505DB">
        <w:t xml:space="preserve">Ministrstvo za kulturo je začelo izplačevati </w:t>
      </w:r>
      <w:r w:rsidR="006D0478" w:rsidRPr="00A505DB">
        <w:t xml:space="preserve">dnevno nadomestilo za čas zadržanosti od dela zaradi bolezni leta </w:t>
      </w:r>
      <w:r w:rsidR="00FA4493" w:rsidRPr="00A505DB">
        <w:t>2014 (na podlagi spremembe Zakona o uresničevanju javnega interesa za kulturo, ki je začela veljati konec leta 2013).</w:t>
      </w:r>
    </w:p>
    <w:p w:rsidR="00CE55DE" w:rsidRPr="00CE55DE" w:rsidRDefault="00304BD3" w:rsidP="00872645">
      <w:pPr>
        <w:pStyle w:val="Podpispodtabeloaligrafom"/>
        <w:spacing w:after="0"/>
      </w:pPr>
      <w:r>
        <w:rPr>
          <w:vertAlign w:val="superscript"/>
        </w:rPr>
        <w:t>10</w:t>
      </w:r>
      <w:r w:rsidR="00CE55DE">
        <w:rPr>
          <w:vertAlign w:val="superscript"/>
        </w:rPr>
        <w:t xml:space="preserve"> </w:t>
      </w:r>
      <w:r w:rsidR="00CE55DE" w:rsidRPr="00CE55DE">
        <w:t xml:space="preserve">Republiška priznavalnina, je pravica, ki se jo lahko dodeli upokojenemu ustvarjalcu na področju kulture, ki je posebej pomembno prispeval k slovenski kulturi, njegova pokojnina pa ni ustrezna danemu prispevku. Po trenutni ureditvi je republiška priznavalnina enaka razliki med zneskom 771,62 EUR in višino predlagateljeve </w:t>
      </w:r>
      <w:proofErr w:type="spellStart"/>
      <w:r w:rsidR="00CE55DE" w:rsidRPr="00CE55DE">
        <w:t>izplačevane</w:t>
      </w:r>
      <w:proofErr w:type="spellEnd"/>
      <w:r w:rsidR="00CE55DE" w:rsidRPr="00CE55DE">
        <w:t xml:space="preserve"> pokojnine v Republiki Sloveniji in v drugih državah. Sredstva zanjo zagotavlja proračun Ministrstva za kulturo.</w:t>
      </w:r>
    </w:p>
    <w:p w:rsidR="00661FD7" w:rsidRPr="00E61F65" w:rsidRDefault="00E61F65" w:rsidP="00E61F65">
      <w:pPr>
        <w:pStyle w:val="Podpispodtabeloaligrafom"/>
      </w:pPr>
      <w:r w:rsidRPr="00E61F65">
        <w:rPr>
          <w:vertAlign w:val="superscript"/>
        </w:rPr>
        <w:t>11</w:t>
      </w:r>
      <w:r w:rsidR="00033F43">
        <w:rPr>
          <w:vertAlign w:val="superscript"/>
        </w:rPr>
        <w:t xml:space="preserve"> </w:t>
      </w:r>
      <w:r>
        <w:t>Gre za fakultete</w:t>
      </w:r>
      <w:r w:rsidR="001D018F">
        <w:t xml:space="preserve"> v tujini</w:t>
      </w:r>
      <w:r>
        <w:t xml:space="preserve">, ki jim je </w:t>
      </w:r>
      <w:r w:rsidRPr="00E61F65">
        <w:t xml:space="preserve">Ministrstvo za kulturo </w:t>
      </w:r>
      <w:r w:rsidR="004E5F82">
        <w:t xml:space="preserve">leta 2002 </w:t>
      </w:r>
      <w:r w:rsidRPr="00E61F65">
        <w:t>nakazalo šolnino za štipendiste.</w:t>
      </w:r>
    </w:p>
    <w:p w:rsidR="00FA4493" w:rsidRDefault="00FA4493" w:rsidP="00A065CF"/>
    <w:p w:rsidR="00AF237D" w:rsidRDefault="00AF237D" w:rsidP="00632308">
      <w:r>
        <w:t>V nadaljevanju sledi nekoliko podrobnejši prikaz financiranja treh večjih skupin prejemnikov – javnih zavodov, nevladnih</w:t>
      </w:r>
      <w:r w:rsidR="00843511">
        <w:t>/neprofitnih</w:t>
      </w:r>
      <w:r>
        <w:t xml:space="preserve"> organizacij in </w:t>
      </w:r>
      <w:r w:rsidR="00AC04C9">
        <w:t>posameznikov</w:t>
      </w:r>
      <w:r>
        <w:t xml:space="preserve">. Pred tem pa si na kratko oglejmo še financiranje festivalov, </w:t>
      </w:r>
      <w:r w:rsidR="007A0C8F">
        <w:t xml:space="preserve">ki sicer </w:t>
      </w:r>
      <w:r>
        <w:t xml:space="preserve">ne sodijo v nobeno od </w:t>
      </w:r>
      <w:proofErr w:type="spellStart"/>
      <w:r>
        <w:t>dosedaj</w:t>
      </w:r>
      <w:proofErr w:type="spellEnd"/>
      <w:r>
        <w:t xml:space="preserve"> obravnavanih skupin</w:t>
      </w:r>
      <w:r w:rsidR="009A504D">
        <w:t xml:space="preserve"> povsem</w:t>
      </w:r>
      <w:r>
        <w:t>, saj jih organizirajo tako javni zavodi kot nevladne organizacije.</w:t>
      </w:r>
    </w:p>
    <w:p w:rsidR="00AF237D" w:rsidRDefault="00AF237D" w:rsidP="00AF237D">
      <w:pPr>
        <w:pStyle w:val="Podnaslov2"/>
      </w:pPr>
      <w:bookmarkStart w:id="378" w:name="_Toc489859839"/>
      <w:bookmarkStart w:id="379" w:name="_Toc490047602"/>
      <w:bookmarkStart w:id="380" w:name="_Toc490599966"/>
      <w:bookmarkStart w:id="381" w:name="_Toc506192096"/>
      <w:r>
        <w:t>Festivali</w:t>
      </w:r>
      <w:bookmarkEnd w:id="378"/>
      <w:bookmarkEnd w:id="379"/>
      <w:bookmarkEnd w:id="380"/>
      <w:bookmarkEnd w:id="381"/>
    </w:p>
    <w:p w:rsidR="00EC2409" w:rsidRDefault="00222F69" w:rsidP="001334B7">
      <w:r>
        <w:t xml:space="preserve">Primerjava financiranja festivalov iz proračuna Ministrstva za kulturo med letoma 2002 in 2015 kaže, da </w:t>
      </w:r>
      <w:r w:rsidR="00EC2409">
        <w:t xml:space="preserve">se je precej </w:t>
      </w:r>
      <w:r w:rsidR="00CD3F26">
        <w:t>razširilo</w:t>
      </w:r>
      <w:r w:rsidR="00EC2409">
        <w:t xml:space="preserve">; leta 2015 je bilo sofinanciranih 124 festivalov, kar je skoraj </w:t>
      </w:r>
      <w:proofErr w:type="spellStart"/>
      <w:r w:rsidR="00EC2409">
        <w:t>dvainpolkrat</w:t>
      </w:r>
      <w:proofErr w:type="spellEnd"/>
      <w:r w:rsidR="00EC2409">
        <w:t xml:space="preserve"> več kot leta 2002. Med </w:t>
      </w:r>
      <w:proofErr w:type="spellStart"/>
      <w:r w:rsidR="00EC2409">
        <w:t>sofinancirami</w:t>
      </w:r>
      <w:proofErr w:type="spellEnd"/>
      <w:r w:rsidR="00EC2409">
        <w:t xml:space="preserve"> festivali se je najbolj </w:t>
      </w:r>
      <w:r w:rsidR="00885E9A">
        <w:t xml:space="preserve">– za petkrat – </w:t>
      </w:r>
      <w:r w:rsidR="00EC2409">
        <w:t xml:space="preserve">povečalo število literarnih festivalov (in večjih dogodkov) ter </w:t>
      </w:r>
      <w:r w:rsidR="00885E9A">
        <w:t xml:space="preserve">število festivalov s področij </w:t>
      </w:r>
      <w:r w:rsidR="00E06A75">
        <w:t xml:space="preserve">filma ter </w:t>
      </w:r>
      <w:r w:rsidR="00885E9A">
        <w:t>novih medijev in vizualnih</w:t>
      </w:r>
      <w:r w:rsidR="001912D3">
        <w:t xml:space="preserve"> umetnosti (za več kot trikrat). M</w:t>
      </w:r>
      <w:r w:rsidR="00885E9A">
        <w:t>ed vsemi festivali, ki ji</w:t>
      </w:r>
      <w:r w:rsidR="009161B5">
        <w:t>h M</w:t>
      </w:r>
      <w:r w:rsidR="00885E9A">
        <w:t>inistrstvo za kulturo sofinancira, pa je največ glasbenih.</w:t>
      </w:r>
    </w:p>
    <w:p w:rsidR="00E06A75" w:rsidRDefault="00872645" w:rsidP="00162CF6">
      <w:pPr>
        <w:pStyle w:val="Naslovtabele"/>
      </w:pPr>
      <w:bookmarkStart w:id="382" w:name="_Toc490053405"/>
      <w:bookmarkStart w:id="383" w:name="_Toc490053776"/>
      <w:bookmarkStart w:id="384" w:name="_Toc490600048"/>
      <w:r>
        <w:t>Graf 40</w:t>
      </w:r>
      <w:r w:rsidR="00EC2409" w:rsidRPr="00885E9A">
        <w:t xml:space="preserve">: Financiranje festivalov iz proračuna Ministrstva za kulturo </w:t>
      </w:r>
      <w:r w:rsidR="000F1897">
        <w:t>(</w:t>
      </w:r>
      <w:r w:rsidR="00EC2409" w:rsidRPr="00885E9A">
        <w:t>2002 in 2015</w:t>
      </w:r>
      <w:r w:rsidR="000F1897">
        <w:t>)*</w:t>
      </w:r>
      <w:bookmarkEnd w:id="382"/>
      <w:bookmarkEnd w:id="383"/>
      <w:bookmarkEnd w:id="384"/>
    </w:p>
    <w:p w:rsidR="00E06A75" w:rsidRDefault="00E06A75" w:rsidP="00162CF6">
      <w:r>
        <w:rPr>
          <w:noProof/>
          <w:lang w:eastAsia="sl-SI"/>
        </w:rPr>
        <w:drawing>
          <wp:inline distT="0" distB="0" distL="0" distR="0" wp14:anchorId="77A6F574" wp14:editId="5B23637E">
            <wp:extent cx="5808133" cy="2743200"/>
            <wp:effectExtent l="0" t="0" r="8890" b="0"/>
            <wp:docPr id="13" name="Grafikon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69"/>
              </a:graphicData>
            </a:graphic>
          </wp:inline>
        </w:drawing>
      </w:r>
    </w:p>
    <w:p w:rsidR="00AF237D" w:rsidRPr="00632308" w:rsidRDefault="00885E9A" w:rsidP="00872645">
      <w:pPr>
        <w:pStyle w:val="Podpispodtabeloaligrafom"/>
        <w:spacing w:after="0"/>
      </w:pPr>
      <w:r>
        <w:t>Vi</w:t>
      </w:r>
      <w:r w:rsidR="00553348">
        <w:t>r: Ministrstvo za kulturo, Javn</w:t>
      </w:r>
      <w:r>
        <w:t>a agencija za knjigo</w:t>
      </w:r>
      <w:r w:rsidR="00AC45B4">
        <w:t xml:space="preserve"> RS</w:t>
      </w:r>
      <w:r>
        <w:t>, Slovenski filmski center</w:t>
      </w:r>
      <w:r w:rsidR="00AC45B4">
        <w:t>, javna agencija RS</w:t>
      </w:r>
      <w:r>
        <w:t>.</w:t>
      </w:r>
    </w:p>
    <w:p w:rsidR="00885E9A" w:rsidRDefault="00885E9A" w:rsidP="00162CF6">
      <w:pPr>
        <w:pStyle w:val="Podpispodtabeloaligrafom"/>
      </w:pPr>
      <w:bookmarkStart w:id="385" w:name="_Toc477339484"/>
      <w:bookmarkStart w:id="386" w:name="_Toc477339740"/>
      <w:bookmarkStart w:id="387" w:name="_Toc477339908"/>
      <w:bookmarkEnd w:id="201"/>
      <w:bookmarkEnd w:id="202"/>
      <w:bookmarkEnd w:id="203"/>
      <w:r>
        <w:t>* Upoštevani so tako festivali, ki jih organizirajo j</w:t>
      </w:r>
      <w:r w:rsidR="001603A5">
        <w:t xml:space="preserve">avni zavodi kot nevladni sektor in jih sofinancirajo Ministrstvo za kulturo, Javna agencija za knjigo </w:t>
      </w:r>
      <w:r w:rsidR="00AC45B4">
        <w:t xml:space="preserve">RS </w:t>
      </w:r>
      <w:r w:rsidR="001603A5">
        <w:t xml:space="preserve">oz. </w:t>
      </w:r>
      <w:r w:rsidR="00AC45B4">
        <w:t>Slovenski f</w:t>
      </w:r>
      <w:r w:rsidR="001603A5">
        <w:t>ilmski center.</w:t>
      </w:r>
      <w:r w:rsidR="00AC45B4">
        <w:t>, javna agencija RS.</w:t>
      </w:r>
      <w:r w:rsidR="009B1C04">
        <w:t xml:space="preserve"> </w:t>
      </w:r>
      <w:r w:rsidR="001603A5">
        <w:t>F</w:t>
      </w:r>
      <w:r>
        <w:t xml:space="preserve">estivali, ki jih </w:t>
      </w:r>
      <w:r w:rsidR="009B1C04">
        <w:t>so</w:t>
      </w:r>
      <w:r>
        <w:t xml:space="preserve">financira Javni sklad RS za </w:t>
      </w:r>
      <w:r w:rsidR="00E83540">
        <w:t>kulturne</w:t>
      </w:r>
      <w:r>
        <w:t xml:space="preserve"> dejavnosti, </w:t>
      </w:r>
      <w:r w:rsidR="001603A5">
        <w:t>pa v prikaz niso vključeni.</w:t>
      </w:r>
    </w:p>
    <w:p w:rsidR="00262B41" w:rsidRDefault="00262B41" w:rsidP="00F27FDF">
      <w:pPr>
        <w:pStyle w:val="Podnaslov2"/>
      </w:pPr>
      <w:bookmarkStart w:id="388" w:name="_Toc489859846"/>
      <w:bookmarkStart w:id="389" w:name="_Toc490047603"/>
      <w:bookmarkEnd w:id="385"/>
      <w:bookmarkEnd w:id="386"/>
      <w:bookmarkEnd w:id="387"/>
    </w:p>
    <w:p w:rsidR="00F27FDF" w:rsidRDefault="00843511" w:rsidP="00F27FDF">
      <w:pPr>
        <w:pStyle w:val="Podnaslov2"/>
      </w:pPr>
      <w:bookmarkStart w:id="390" w:name="_Toc490599967"/>
      <w:bookmarkStart w:id="391" w:name="_Toc506192097"/>
      <w:r>
        <w:t>Nevladne/n</w:t>
      </w:r>
      <w:r w:rsidR="00EA72BC">
        <w:t xml:space="preserve">eprofitne </w:t>
      </w:r>
      <w:r w:rsidR="00C31456">
        <w:t>organizacije</w:t>
      </w:r>
      <w:bookmarkEnd w:id="388"/>
      <w:bookmarkEnd w:id="389"/>
      <w:bookmarkEnd w:id="390"/>
      <w:bookmarkEnd w:id="391"/>
    </w:p>
    <w:p w:rsidR="00187CB0" w:rsidRPr="00E54DCB" w:rsidRDefault="009027BB" w:rsidP="00291768">
      <w:r w:rsidRPr="00E54DCB">
        <w:t xml:space="preserve">Do sedaj smo podatke o financiranju nevladnih/neprofitnih organizacij prikazali z </w:t>
      </w:r>
      <w:r w:rsidR="00187CB0" w:rsidRPr="00E54DCB">
        <w:t>dveh vidikov:</w:t>
      </w:r>
    </w:p>
    <w:p w:rsidR="00187CB0" w:rsidRDefault="00187CB0" w:rsidP="00261CB0">
      <w:pPr>
        <w:pStyle w:val="Odstavekseznama"/>
        <w:numPr>
          <w:ilvl w:val="0"/>
          <w:numId w:val="25"/>
        </w:numPr>
      </w:pPr>
      <w:r w:rsidRPr="00E54DCB">
        <w:t>glede na strukturo realizacije proračuna Ministrstva za kulturo v obdobju 2002–2015 po izvajalcih oz. pr</w:t>
      </w:r>
      <w:r w:rsidR="00D7563C" w:rsidRPr="00E54DCB">
        <w:t>ejemnikih proračunskih sredstev</w:t>
      </w:r>
      <w:r w:rsidR="000B1BE4" w:rsidRPr="00E54DCB">
        <w:t xml:space="preserve"> (</w:t>
      </w:r>
      <w:r w:rsidR="00D14D6F">
        <w:t>tabela 11</w:t>
      </w:r>
      <w:r w:rsidR="000B1BE4" w:rsidRPr="00E54DCB">
        <w:t>)</w:t>
      </w:r>
      <w:r w:rsidR="00D7563C" w:rsidRPr="00E54DCB">
        <w:t xml:space="preserve">, </w:t>
      </w:r>
      <w:r w:rsidR="00261CB0">
        <w:t xml:space="preserve">ki pa se od leta 2013 naprej računa pod drugačni metodologiji kot v obdobju 2002–2012. Po novem se </w:t>
      </w:r>
      <w:r w:rsidR="00D7563C" w:rsidRPr="00E54DCB">
        <w:t xml:space="preserve">k sredstvom </w:t>
      </w:r>
      <w:r w:rsidR="00A144AF" w:rsidRPr="00E54DCB">
        <w:t>nevladnih/neprofitnih organizacij</w:t>
      </w:r>
      <w:r w:rsidR="00D7563C" w:rsidRPr="00E54DCB">
        <w:t>, ki</w:t>
      </w:r>
      <w:r w:rsidR="00A144AF" w:rsidRPr="00E54DCB">
        <w:t xml:space="preserve"> jim jih je nakazalo Minist</w:t>
      </w:r>
      <w:r w:rsidR="00D7563C" w:rsidRPr="00E54DCB">
        <w:t>r</w:t>
      </w:r>
      <w:r w:rsidR="00A144AF" w:rsidRPr="00E54DCB">
        <w:t>s</w:t>
      </w:r>
      <w:r w:rsidR="00D7563C" w:rsidRPr="00E54DCB">
        <w:t>tvo za kulturo,</w:t>
      </w:r>
      <w:r w:rsidRPr="00E54DCB">
        <w:t xml:space="preserve"> </w:t>
      </w:r>
      <w:r w:rsidR="00261CB0">
        <w:t>prišteje</w:t>
      </w:r>
      <w:r w:rsidR="00A144AF" w:rsidRPr="00E54DCB">
        <w:t xml:space="preserve"> tudi sredstva, ki so jim jih nakazali Slovenski filmski center, javna agencija RS, Javna agencija za knjigo RS in Javni sklad </w:t>
      </w:r>
      <w:r w:rsidR="008B1980">
        <w:t xml:space="preserve">RS </w:t>
      </w:r>
      <w:r w:rsidR="00A144AF" w:rsidRPr="00E54DCB">
        <w:t>za kulturne dejavnosti. Sprememba metodologije je bila smiselna z vidika celovitosti informacije o financiranju nevladne scene</w:t>
      </w:r>
      <w:r w:rsidR="00261CB0">
        <w:t xml:space="preserve">, </w:t>
      </w:r>
      <w:r w:rsidR="00A144AF" w:rsidRPr="00E54DCB">
        <w:t xml:space="preserve">se je pa </w:t>
      </w:r>
      <w:r w:rsidR="00261CB0">
        <w:t>zaradi tega</w:t>
      </w:r>
      <w:r w:rsidR="00A144AF" w:rsidRPr="00E54DCB">
        <w:t xml:space="preserve"> izgubila informacija o dinamiki financiranja – tj. za koliko je zares naraslo v opazovanem obdobju.</w:t>
      </w:r>
      <w:r w:rsidR="0069275D" w:rsidRPr="00E54DCB">
        <w:t xml:space="preserve"> Zagotovo pa je nedvoumen </w:t>
      </w:r>
      <w:r w:rsidR="00E54DCB" w:rsidRPr="00E54DCB">
        <w:t xml:space="preserve">naveden </w:t>
      </w:r>
      <w:r w:rsidR="0069275D" w:rsidRPr="00E54DCB">
        <w:t>podatek iz leta 2015, ki pravi, da so sredstva, ki so bila izp</w:t>
      </w:r>
      <w:r w:rsidR="00261CB0">
        <w:t xml:space="preserve">lačana neprofitnim/nevladnim organizacijam </w:t>
      </w:r>
      <w:r w:rsidR="0069275D" w:rsidRPr="00E54DCB">
        <w:t>iz proračuna ministrstva</w:t>
      </w:r>
      <w:r w:rsidR="00517A32">
        <w:t xml:space="preserve"> – torej tudi prek obeh agencij in javnega sklada</w:t>
      </w:r>
      <w:r w:rsidR="0069275D" w:rsidRPr="00E54DCB">
        <w:t xml:space="preserve">, znašala 14,3 milijone evrov oz. </w:t>
      </w:r>
      <w:r w:rsidR="00E54DCB">
        <w:t xml:space="preserve">9 % proračuna </w:t>
      </w:r>
      <w:r w:rsidR="00757A76">
        <w:t>Ministrstva za kulturo.</w:t>
      </w:r>
    </w:p>
    <w:p w:rsidR="00E54DCB" w:rsidRPr="00E54DCB" w:rsidRDefault="00E54DCB" w:rsidP="00E54DCB">
      <w:pPr>
        <w:pStyle w:val="Odstavekseznama"/>
      </w:pPr>
    </w:p>
    <w:p w:rsidR="00187CB0" w:rsidRPr="00E54DCB" w:rsidRDefault="00261CB0" w:rsidP="00261CB0">
      <w:pPr>
        <w:pStyle w:val="Odstavekseznama"/>
        <w:numPr>
          <w:ilvl w:val="0"/>
          <w:numId w:val="25"/>
        </w:numPr>
      </w:pPr>
      <w:r>
        <w:t>glede na število</w:t>
      </w:r>
      <w:r w:rsidR="009027BB" w:rsidRPr="00E54DCB">
        <w:t xml:space="preserve"> financiranih organizacij v le</w:t>
      </w:r>
      <w:r w:rsidR="000B1BE4" w:rsidRPr="00E54DCB">
        <w:t>tih 2002 in 2015</w:t>
      </w:r>
      <w:r>
        <w:t xml:space="preserve">. V tabeli </w:t>
      </w:r>
      <w:r w:rsidR="00A154EE">
        <w:t xml:space="preserve">30 </w:t>
      </w:r>
      <w:r w:rsidR="00A154EE">
        <w:rPr>
          <w:i/>
        </w:rPr>
        <w:t>Prejemniki</w:t>
      </w:r>
      <w:r w:rsidRPr="00261CB0">
        <w:rPr>
          <w:i/>
        </w:rPr>
        <w:t xml:space="preserve"> proračunskih sredstev Ministrstva za kulturo (2002 in 2015)</w:t>
      </w:r>
      <w:r>
        <w:t xml:space="preserve"> smo prikazali</w:t>
      </w:r>
      <w:r w:rsidR="000B1BE4" w:rsidRPr="00E54DCB">
        <w:t xml:space="preserve">, </w:t>
      </w:r>
      <w:r w:rsidR="005F194C" w:rsidRPr="00E54DCB">
        <w:t>da se je število financiranih nevladnih/neprofitnih organizacij v opazovanem obdobju povečalo iz 294 na 318</w:t>
      </w:r>
      <w:r w:rsidR="00E54DCB" w:rsidRPr="00E54DCB">
        <w:t xml:space="preserve"> oz. za 8 %</w:t>
      </w:r>
      <w:r w:rsidR="005F194C" w:rsidRPr="00E54DCB">
        <w:t>.</w:t>
      </w:r>
      <w:r w:rsidR="00E54DCB" w:rsidRPr="00E54DCB">
        <w:t xml:space="preserve"> Pri izračunu tega podatka </w:t>
      </w:r>
      <w:r w:rsidR="000B1BE4" w:rsidRPr="00E54DCB">
        <w:t>smo se osredotočili samo na organizacije, ki so leta 2002 prejele sredstva neposredno od Ministrstva za kulturo in Uprave RS za kulturno dediščino, leta 2015 pa od Ministrstva za kulturo in Javnega agencije za knjigo. Naloge Uprave RS za kulturno dediščino je</w:t>
      </w:r>
      <w:r w:rsidR="00AD2203" w:rsidRPr="00E54DCB">
        <w:t xml:space="preserve"> namreč</w:t>
      </w:r>
      <w:r w:rsidR="000B1BE4" w:rsidRPr="00E54DCB">
        <w:t xml:space="preserve"> leta 2004 prevzelo Ministrstvo za kulturo</w:t>
      </w:r>
      <w:r w:rsidR="00AD2203" w:rsidRPr="00E54DCB">
        <w:t xml:space="preserve">, zato je bilo treba njene transakcije upoštevati tudi v letu 2002, naloge Javne agencije za knjigo RS pa je leta 2002 </w:t>
      </w:r>
      <w:r w:rsidR="005F194C" w:rsidRPr="00E54DCB">
        <w:t xml:space="preserve">še </w:t>
      </w:r>
      <w:r w:rsidR="00AD2203" w:rsidRPr="00E54DCB">
        <w:t>opravljalo Ministrstvo za kulturo, kar je vodilo v upoštevanje njenih izplačil v letu 2015. Izplačil Slovenskega filmskega centra – javne agencije RS in izplačil Javnega sklada RS za kulturne dejavnosti nismo upoštevali v nobenem letu, ker sta v obeh letih delovala samostojno in tudi zaradi nedostopnosti celovitih podatkov.</w:t>
      </w:r>
      <w:r w:rsidR="005F194C" w:rsidRPr="00E54DCB">
        <w:t xml:space="preserve"> </w:t>
      </w:r>
      <w:r w:rsidR="00A154EE">
        <w:t>To pomeni, da tabeli 11 in 30</w:t>
      </w:r>
      <w:r>
        <w:t xml:space="preserve"> nista zares primerljivi.</w:t>
      </w:r>
    </w:p>
    <w:p w:rsidR="008A2DA5" w:rsidRDefault="00756854" w:rsidP="00291768">
      <w:r>
        <w:t xml:space="preserve">V tem poglavju bomo </w:t>
      </w:r>
      <w:r w:rsidR="00E54DCB">
        <w:t>sledili metodologiji, ki smo jo uporabili za preštevanje financiranih nevladnih/neprofitnih organizacij in je opisana v zgornji drugi točki</w:t>
      </w:r>
      <w:r w:rsidR="00175F32">
        <w:t xml:space="preserve">. </w:t>
      </w:r>
      <w:r w:rsidR="00E54DCB">
        <w:t>F</w:t>
      </w:r>
      <w:r w:rsidR="00EA72BC">
        <w:t>inanciranje</w:t>
      </w:r>
      <w:r w:rsidR="008A2DA5">
        <w:t xml:space="preserve"> </w:t>
      </w:r>
      <w:r w:rsidR="00E54DCB">
        <w:t xml:space="preserve">bomo </w:t>
      </w:r>
      <w:r w:rsidR="008A2DA5">
        <w:t xml:space="preserve">prikazali po področjih </w:t>
      </w:r>
      <w:r w:rsidR="00EC1250">
        <w:t>delovanja</w:t>
      </w:r>
      <w:r>
        <w:t xml:space="preserve"> </w:t>
      </w:r>
      <w:r w:rsidR="008A2DA5">
        <w:t xml:space="preserve">in deloma tudi glede na državo delovanja, saj je leta 2002 Ministrstvo za kulturo financiralo tudi dejavnosti </w:t>
      </w:r>
      <w:r>
        <w:t xml:space="preserve">zamejskih in </w:t>
      </w:r>
      <w:r w:rsidR="008A2DA5">
        <w:t xml:space="preserve">izseljenskih </w:t>
      </w:r>
      <w:r>
        <w:t>društev</w:t>
      </w:r>
      <w:r w:rsidR="00966907">
        <w:t xml:space="preserve"> v tujini</w:t>
      </w:r>
      <w:r>
        <w:t xml:space="preserve">, medtem ko od leta </w:t>
      </w:r>
      <w:r w:rsidR="00735B96">
        <w:t>2006</w:t>
      </w:r>
      <w:r>
        <w:t xml:space="preserve"> naprej to počne </w:t>
      </w:r>
      <w:r w:rsidRPr="00756854">
        <w:t>Urad za Slovence v zamejstvu in po svetu</w:t>
      </w:r>
      <w:r w:rsidR="00735B96">
        <w:t>.</w:t>
      </w:r>
      <w:r w:rsidR="00735B96">
        <w:rPr>
          <w:rStyle w:val="Sprotnaopomba-sklic"/>
        </w:rPr>
        <w:footnoteReference w:id="60"/>
      </w:r>
    </w:p>
    <w:p w:rsidR="00003572" w:rsidRDefault="004931DD" w:rsidP="00E10EA8">
      <w:r>
        <w:t xml:space="preserve">Nevladne/neprofitne organizacije prejemajo sredstva praviloma na podlagi javnih razpisov. </w:t>
      </w:r>
      <w:r w:rsidR="00E10EA8">
        <w:t xml:space="preserve">Primerjava podatkov o </w:t>
      </w:r>
      <w:r>
        <w:t>izplačilih v letih</w:t>
      </w:r>
      <w:r w:rsidR="00E10EA8">
        <w:t xml:space="preserve"> 2002 in 2015 </w:t>
      </w:r>
      <w:r w:rsidR="00A154EE">
        <w:t>(tabela 31</w:t>
      </w:r>
      <w:r w:rsidR="00175F32">
        <w:t xml:space="preserve">) </w:t>
      </w:r>
      <w:r w:rsidR="00E10EA8">
        <w:t>pokaže, da je danes nekoliko večji odstotek sredstev namenjen organizacijam, ki delujejo na (širšem) področju umetnosti, in da se je</w:t>
      </w:r>
      <w:r w:rsidR="00FD2B6A">
        <w:t>, gledano z vidika celote sredstev za nevladne/neprofitne organizacije,</w:t>
      </w:r>
      <w:r w:rsidR="00E10EA8">
        <w:t xml:space="preserve"> več kot prepolovil odstotek za organizacije s (širšega) področja kulturne dediščine. Veliko manj kot nekoč se financira tudi organizacije, ki delujejo v tujini, a razlog za to je v prenosu pristojnosti iz Ministrstva za kulturo na Urad za Slovence v zamejs</w:t>
      </w:r>
      <w:r w:rsidR="00A154EE">
        <w:t>tvu in po svetu.</w:t>
      </w:r>
    </w:p>
    <w:p w:rsidR="00175F32" w:rsidRPr="000A3183" w:rsidRDefault="00E10EA8" w:rsidP="00291768">
      <w:r>
        <w:t xml:space="preserve">Višina financiranja verskih organizacij se na prvi pogled ni spremenila, se je pa njihov namen. Leta 2002 so večino sredstev prejeli samostani, župnije in župnijski uradi za obnovo kulturnih spomenikov, leta 2015 pa sedem verskih skupnosti – </w:t>
      </w:r>
      <w:r w:rsidR="00660383">
        <w:t xml:space="preserve">Katoliška cerkev, Evangeličanska cerkev v RS, Evangelijska binkoštna cerkev, Srbska pravoslavna cerkev, Krščanska adventistična cerkev, Islamska skupnost v RS in Slovenska muslimanska skupnost – </w:t>
      </w:r>
      <w:r>
        <w:t>za socialne prispevke njihovih verskih uslužbencev.</w:t>
      </w:r>
    </w:p>
    <w:p w:rsidR="004835E5" w:rsidRPr="00175F32" w:rsidRDefault="00EC1250" w:rsidP="00FB67F9">
      <w:pPr>
        <w:pStyle w:val="Naslovtabele"/>
      </w:pPr>
      <w:bookmarkStart w:id="392" w:name="_Toc490053406"/>
      <w:bookmarkStart w:id="393" w:name="_Toc490053777"/>
      <w:bookmarkStart w:id="394" w:name="_Toc490600049"/>
      <w:r w:rsidRPr="008B6314">
        <w:t>Tab</w:t>
      </w:r>
      <w:r w:rsidR="00C75E6E">
        <w:t>ela 31</w:t>
      </w:r>
      <w:r w:rsidRPr="008B6314">
        <w:t>: Struktura financiranja nevladnih/neprofitnih organizacij</w:t>
      </w:r>
      <w:r w:rsidR="00026CB7" w:rsidRPr="008B6314">
        <w:t>*</w:t>
      </w:r>
      <w:r w:rsidRPr="008B6314">
        <w:t xml:space="preserve"> </w:t>
      </w:r>
      <w:r w:rsidR="00FD692F" w:rsidRPr="008B6314">
        <w:t xml:space="preserve">iz proračuna Ministrstva za kulturo </w:t>
      </w:r>
      <w:r w:rsidR="00026CB7" w:rsidRPr="008B6314">
        <w:t>po</w:t>
      </w:r>
      <w:r w:rsidRPr="008B6314">
        <w:t xml:space="preserve"> </w:t>
      </w:r>
      <w:r w:rsidR="00026CB7" w:rsidRPr="008B6314">
        <w:t>področju</w:t>
      </w:r>
      <w:r w:rsidRPr="008B6314">
        <w:t xml:space="preserve"> delovanja</w:t>
      </w:r>
      <w:r w:rsidR="00FD692F" w:rsidRPr="008B6314">
        <w:t xml:space="preserve"> </w:t>
      </w:r>
      <w:r w:rsidR="00026CB7" w:rsidRPr="008B6314">
        <w:t>(</w:t>
      </w:r>
      <w:r w:rsidR="00FD692F" w:rsidRPr="008B6314">
        <w:t>2002 in 2015</w:t>
      </w:r>
      <w:r w:rsidR="00026CB7" w:rsidRPr="008B6314">
        <w:t>)</w:t>
      </w:r>
      <w:r w:rsidR="00046A1F" w:rsidRPr="008B6314">
        <w:t>*</w:t>
      </w:r>
      <w:bookmarkEnd w:id="392"/>
      <w:bookmarkEnd w:id="393"/>
      <w:bookmarkEnd w:id="394"/>
    </w:p>
    <w:tbl>
      <w:tblPr>
        <w:tblStyle w:val="Svetelseznampoudarek3"/>
        <w:tblW w:w="9289" w:type="dxa"/>
        <w:tblLook w:val="04A0" w:firstRow="1" w:lastRow="0" w:firstColumn="1" w:lastColumn="0" w:noHBand="0" w:noVBand="1"/>
      </w:tblPr>
      <w:tblGrid>
        <w:gridCol w:w="4903"/>
        <w:gridCol w:w="1238"/>
        <w:gridCol w:w="1043"/>
        <w:gridCol w:w="1062"/>
        <w:gridCol w:w="1043"/>
      </w:tblGrid>
      <w:tr w:rsidR="00434352" w:rsidRPr="00FD692F" w:rsidTr="00434352">
        <w:trPr>
          <w:cnfStyle w:val="100000000000" w:firstRow="1" w:lastRow="0" w:firstColumn="0" w:lastColumn="0" w:oddVBand="0" w:evenVBand="0" w:oddHBand="0" w:evenHBand="0" w:firstRowFirstColumn="0" w:firstRowLastColumn="0" w:lastRowFirstColumn="0" w:lastRowLastColumn="0"/>
          <w:trHeight w:val="520"/>
        </w:trPr>
        <w:tc>
          <w:tcPr>
            <w:cnfStyle w:val="001000000000" w:firstRow="0" w:lastRow="0" w:firstColumn="1" w:lastColumn="0" w:oddVBand="0" w:evenVBand="0" w:oddHBand="0" w:evenHBand="0" w:firstRowFirstColumn="0" w:firstRowLastColumn="0" w:lastRowFirstColumn="0" w:lastRowLastColumn="0"/>
            <w:tcW w:w="5039" w:type="dxa"/>
          </w:tcPr>
          <w:p w:rsidR="00434352" w:rsidRPr="00FD692F" w:rsidRDefault="00434352" w:rsidP="00FD692F">
            <w:pPr>
              <w:rPr>
                <w:rFonts w:ascii="Arial Narrow" w:hAnsi="Arial Narrow" w:cs="Arial"/>
                <w:bCs w:val="0"/>
                <w:sz w:val="16"/>
                <w:szCs w:val="16"/>
                <w:lang w:eastAsia="sl-SI"/>
              </w:rPr>
            </w:pPr>
          </w:p>
        </w:tc>
        <w:tc>
          <w:tcPr>
            <w:tcW w:w="1062" w:type="dxa"/>
          </w:tcPr>
          <w:p w:rsidR="00434352" w:rsidRPr="00B25CE2" w:rsidRDefault="00434352" w:rsidP="00FD692F">
            <w:pPr>
              <w:cnfStyle w:val="100000000000" w:firstRow="1" w:lastRow="0" w:firstColumn="0" w:lastColumn="0" w:oddVBand="0" w:evenVBand="0" w:oddHBand="0" w:evenHBand="0" w:firstRowFirstColumn="0" w:firstRowLastColumn="0" w:lastRowFirstColumn="0" w:lastRowLastColumn="0"/>
              <w:rPr>
                <w:rFonts w:ascii="Arial Narrow" w:hAnsi="Arial Narrow" w:cs="Arial"/>
                <w:bCs w:val="0"/>
                <w:sz w:val="16"/>
                <w:szCs w:val="16"/>
                <w:lang w:eastAsia="sl-SI"/>
              </w:rPr>
            </w:pPr>
            <w:r w:rsidRPr="00B25CE2">
              <w:rPr>
                <w:rFonts w:ascii="Arial Narrow" w:hAnsi="Arial Narrow" w:cs="Arial"/>
                <w:bCs w:val="0"/>
                <w:sz w:val="16"/>
                <w:szCs w:val="16"/>
                <w:lang w:eastAsia="sl-SI"/>
              </w:rPr>
              <w:t>2002 (SIT)</w:t>
            </w:r>
          </w:p>
        </w:tc>
        <w:tc>
          <w:tcPr>
            <w:tcW w:w="1063" w:type="dxa"/>
          </w:tcPr>
          <w:p w:rsidR="00434352" w:rsidRPr="00FD692F" w:rsidRDefault="00434352" w:rsidP="00FD692F">
            <w:pPr>
              <w:cnfStyle w:val="100000000000" w:firstRow="1" w:lastRow="0" w:firstColumn="0" w:lastColumn="0" w:oddVBand="0" w:evenVBand="0" w:oddHBand="0" w:evenHBand="0" w:firstRowFirstColumn="0" w:firstRowLastColumn="0" w:lastRowFirstColumn="0" w:lastRowLastColumn="0"/>
              <w:rPr>
                <w:rFonts w:ascii="Arial Narrow" w:hAnsi="Arial Narrow" w:cs="Arial"/>
                <w:bCs w:val="0"/>
                <w:sz w:val="16"/>
                <w:szCs w:val="16"/>
                <w:lang w:eastAsia="sl-SI"/>
              </w:rPr>
            </w:pPr>
            <w:r w:rsidRPr="00FD692F">
              <w:rPr>
                <w:rFonts w:ascii="Arial Narrow" w:hAnsi="Arial Narrow" w:cs="Arial"/>
                <w:bCs w:val="0"/>
                <w:sz w:val="16"/>
                <w:szCs w:val="16"/>
                <w:lang w:eastAsia="sl-SI"/>
              </w:rPr>
              <w:t>2002 (%)</w:t>
            </w:r>
          </w:p>
        </w:tc>
        <w:tc>
          <w:tcPr>
            <w:tcW w:w="1062" w:type="dxa"/>
          </w:tcPr>
          <w:p w:rsidR="00434352" w:rsidRPr="00B25CE2" w:rsidRDefault="00434352" w:rsidP="00FD692F">
            <w:pPr>
              <w:cnfStyle w:val="100000000000" w:firstRow="1" w:lastRow="0" w:firstColumn="0" w:lastColumn="0" w:oddVBand="0" w:evenVBand="0" w:oddHBand="0" w:evenHBand="0" w:firstRowFirstColumn="0" w:firstRowLastColumn="0" w:lastRowFirstColumn="0" w:lastRowLastColumn="0"/>
              <w:rPr>
                <w:rFonts w:ascii="Arial Narrow" w:hAnsi="Arial Narrow" w:cs="Arial"/>
                <w:bCs w:val="0"/>
                <w:sz w:val="16"/>
                <w:szCs w:val="16"/>
                <w:lang w:eastAsia="sl-SI"/>
              </w:rPr>
            </w:pPr>
            <w:r w:rsidRPr="00B25CE2">
              <w:rPr>
                <w:rFonts w:ascii="Arial Narrow" w:hAnsi="Arial Narrow" w:cs="Arial"/>
                <w:bCs w:val="0"/>
                <w:sz w:val="16"/>
                <w:szCs w:val="16"/>
                <w:lang w:eastAsia="sl-SI"/>
              </w:rPr>
              <w:t>2015 (EUR)</w:t>
            </w:r>
          </w:p>
        </w:tc>
        <w:tc>
          <w:tcPr>
            <w:tcW w:w="1063" w:type="dxa"/>
          </w:tcPr>
          <w:p w:rsidR="00434352" w:rsidRPr="00DD1026" w:rsidRDefault="00434352" w:rsidP="00FD692F">
            <w:pPr>
              <w:cnfStyle w:val="100000000000" w:firstRow="1" w:lastRow="0" w:firstColumn="0" w:lastColumn="0" w:oddVBand="0" w:evenVBand="0" w:oddHBand="0" w:evenHBand="0" w:firstRowFirstColumn="0" w:firstRowLastColumn="0" w:lastRowFirstColumn="0" w:lastRowLastColumn="0"/>
              <w:rPr>
                <w:rFonts w:ascii="Arial Narrow" w:hAnsi="Arial Narrow" w:cs="Arial"/>
                <w:bCs w:val="0"/>
                <w:sz w:val="16"/>
                <w:szCs w:val="16"/>
                <w:lang w:eastAsia="sl-SI"/>
              </w:rPr>
            </w:pPr>
            <w:r w:rsidRPr="00DD1026">
              <w:rPr>
                <w:rFonts w:ascii="Arial Narrow" w:hAnsi="Arial Narrow" w:cs="Arial"/>
                <w:bCs w:val="0"/>
                <w:sz w:val="16"/>
                <w:szCs w:val="16"/>
                <w:lang w:eastAsia="sl-SI"/>
              </w:rPr>
              <w:t>2015 (%)</w:t>
            </w:r>
          </w:p>
        </w:tc>
      </w:tr>
      <w:tr w:rsidR="00434352" w:rsidRPr="00FD692F" w:rsidTr="00434352">
        <w:trPr>
          <w:cnfStyle w:val="000000100000" w:firstRow="0" w:lastRow="0" w:firstColumn="0" w:lastColumn="0" w:oddVBand="0" w:evenVBand="0" w:oddHBand="1" w:evenHBand="0" w:firstRowFirstColumn="0" w:firstRowLastColumn="0" w:lastRowFirstColumn="0" w:lastRowLastColumn="0"/>
          <w:trHeight w:val="236"/>
        </w:trPr>
        <w:tc>
          <w:tcPr>
            <w:cnfStyle w:val="001000000000" w:firstRow="0" w:lastRow="0" w:firstColumn="1" w:lastColumn="0" w:oddVBand="0" w:evenVBand="0" w:oddHBand="0" w:evenHBand="0" w:firstRowFirstColumn="0" w:firstRowLastColumn="0" w:lastRowFirstColumn="0" w:lastRowLastColumn="0"/>
            <w:tcW w:w="5039" w:type="dxa"/>
            <w:shd w:val="clear" w:color="auto" w:fill="D6E3BC" w:themeFill="accent3" w:themeFillTint="66"/>
            <w:hideMark/>
          </w:tcPr>
          <w:p w:rsidR="00434352" w:rsidRPr="00FD692F" w:rsidRDefault="00434352" w:rsidP="00FD692F">
            <w:pPr>
              <w:spacing w:after="0" w:line="240" w:lineRule="auto"/>
              <w:rPr>
                <w:rFonts w:ascii="Arial Narrow" w:hAnsi="Arial Narrow" w:cs="Arial"/>
                <w:sz w:val="16"/>
                <w:szCs w:val="16"/>
                <w:lang w:eastAsia="sl-SI"/>
              </w:rPr>
            </w:pPr>
            <w:r w:rsidRPr="00FD692F">
              <w:rPr>
                <w:rFonts w:ascii="Arial Narrow" w:hAnsi="Arial Narrow" w:cs="Arial"/>
                <w:sz w:val="16"/>
                <w:szCs w:val="16"/>
                <w:lang w:eastAsia="sl-SI"/>
              </w:rPr>
              <w:t>Nevladne/neprofitne org. (zasebni zavodi, društva, ustanove), ki delujejo v Sloveniji</w:t>
            </w:r>
          </w:p>
        </w:tc>
        <w:tc>
          <w:tcPr>
            <w:tcW w:w="1062" w:type="dxa"/>
            <w:shd w:val="clear" w:color="auto" w:fill="D6E3BC" w:themeFill="accent3" w:themeFillTint="66"/>
          </w:tcPr>
          <w:p w:rsidR="00434352" w:rsidRPr="00FD692F" w:rsidRDefault="00434352" w:rsidP="00FD692F">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s="Arial"/>
                <w:b/>
                <w:bCs/>
                <w:sz w:val="16"/>
                <w:szCs w:val="16"/>
                <w:lang w:eastAsia="sl-SI"/>
              </w:rPr>
            </w:pPr>
          </w:p>
        </w:tc>
        <w:tc>
          <w:tcPr>
            <w:tcW w:w="1063" w:type="dxa"/>
            <w:shd w:val="clear" w:color="auto" w:fill="D6E3BC" w:themeFill="accent3" w:themeFillTint="66"/>
            <w:hideMark/>
          </w:tcPr>
          <w:p w:rsidR="00434352" w:rsidRPr="00FD692F" w:rsidRDefault="00434352" w:rsidP="00FD692F">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s="Arial"/>
                <w:b/>
                <w:bCs/>
                <w:sz w:val="16"/>
                <w:szCs w:val="16"/>
                <w:lang w:eastAsia="sl-SI"/>
              </w:rPr>
            </w:pPr>
          </w:p>
        </w:tc>
        <w:tc>
          <w:tcPr>
            <w:tcW w:w="1062" w:type="dxa"/>
            <w:shd w:val="clear" w:color="auto" w:fill="D6E3BC" w:themeFill="accent3" w:themeFillTint="66"/>
          </w:tcPr>
          <w:p w:rsidR="00434352" w:rsidRPr="00DD1026" w:rsidRDefault="00434352" w:rsidP="00FD692F">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s="Arial"/>
                <w:b/>
                <w:bCs/>
                <w:sz w:val="16"/>
                <w:szCs w:val="16"/>
                <w:lang w:eastAsia="sl-SI"/>
              </w:rPr>
            </w:pPr>
          </w:p>
        </w:tc>
        <w:tc>
          <w:tcPr>
            <w:tcW w:w="1063" w:type="dxa"/>
            <w:shd w:val="clear" w:color="auto" w:fill="D6E3BC" w:themeFill="accent3" w:themeFillTint="66"/>
          </w:tcPr>
          <w:p w:rsidR="00434352" w:rsidRPr="00DD1026" w:rsidRDefault="00434352" w:rsidP="00FD692F">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s="Arial"/>
                <w:b/>
                <w:bCs/>
                <w:sz w:val="16"/>
                <w:szCs w:val="16"/>
                <w:lang w:eastAsia="sl-SI"/>
              </w:rPr>
            </w:pPr>
          </w:p>
        </w:tc>
      </w:tr>
      <w:tr w:rsidR="00434352" w:rsidRPr="00FD692F" w:rsidTr="00434352">
        <w:trPr>
          <w:trHeight w:val="250"/>
        </w:trPr>
        <w:tc>
          <w:tcPr>
            <w:cnfStyle w:val="001000000000" w:firstRow="0" w:lastRow="0" w:firstColumn="1" w:lastColumn="0" w:oddVBand="0" w:evenVBand="0" w:oddHBand="0" w:evenHBand="0" w:firstRowFirstColumn="0" w:firstRowLastColumn="0" w:lastRowFirstColumn="0" w:lastRowLastColumn="0"/>
            <w:tcW w:w="5039" w:type="dxa"/>
            <w:hideMark/>
          </w:tcPr>
          <w:p w:rsidR="00434352" w:rsidRPr="00FD692F" w:rsidRDefault="00434352" w:rsidP="00FD692F">
            <w:pPr>
              <w:spacing w:after="0" w:line="240" w:lineRule="auto"/>
              <w:rPr>
                <w:rFonts w:ascii="Arial Narrow" w:hAnsi="Arial Narrow" w:cs="Arial"/>
                <w:sz w:val="16"/>
                <w:szCs w:val="16"/>
                <w:lang w:eastAsia="sl-SI"/>
              </w:rPr>
            </w:pPr>
            <w:r w:rsidRPr="00FD692F">
              <w:rPr>
                <w:rFonts w:ascii="Arial Narrow" w:hAnsi="Arial Narrow" w:cs="Arial"/>
                <w:sz w:val="16"/>
                <w:szCs w:val="16"/>
                <w:lang w:eastAsia="sl-SI"/>
              </w:rPr>
              <w:t xml:space="preserve">na </w:t>
            </w:r>
            <w:r>
              <w:rPr>
                <w:rFonts w:ascii="Arial Narrow" w:hAnsi="Arial Narrow" w:cs="Arial"/>
                <w:sz w:val="16"/>
                <w:szCs w:val="16"/>
                <w:lang w:eastAsia="sl-SI"/>
              </w:rPr>
              <w:t>(</w:t>
            </w:r>
            <w:r w:rsidRPr="00FD692F">
              <w:rPr>
                <w:rFonts w:ascii="Arial Narrow" w:hAnsi="Arial Narrow" w:cs="Arial"/>
                <w:sz w:val="16"/>
                <w:szCs w:val="16"/>
                <w:lang w:eastAsia="sl-SI"/>
              </w:rPr>
              <w:t>širšem</w:t>
            </w:r>
            <w:r>
              <w:rPr>
                <w:rFonts w:ascii="Arial Narrow" w:hAnsi="Arial Narrow" w:cs="Arial"/>
                <w:sz w:val="16"/>
                <w:szCs w:val="16"/>
                <w:lang w:eastAsia="sl-SI"/>
              </w:rPr>
              <w:t>)</w:t>
            </w:r>
            <w:r w:rsidRPr="00FD692F">
              <w:rPr>
                <w:rFonts w:ascii="Arial Narrow" w:hAnsi="Arial Narrow" w:cs="Arial"/>
                <w:sz w:val="16"/>
                <w:szCs w:val="16"/>
                <w:lang w:eastAsia="sl-SI"/>
              </w:rPr>
              <w:t xml:space="preserve"> področju umetnosti</w:t>
            </w:r>
          </w:p>
        </w:tc>
        <w:tc>
          <w:tcPr>
            <w:tcW w:w="1062" w:type="dxa"/>
          </w:tcPr>
          <w:p w:rsidR="00434352" w:rsidRPr="00FD692F" w:rsidRDefault="00FE3462" w:rsidP="00FD692F">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s="Arial"/>
                <w:sz w:val="16"/>
                <w:szCs w:val="16"/>
                <w:lang w:eastAsia="sl-SI"/>
              </w:rPr>
            </w:pPr>
            <w:r w:rsidRPr="00FE3462">
              <w:rPr>
                <w:rFonts w:ascii="Arial Narrow" w:hAnsi="Arial Narrow" w:cs="Arial"/>
                <w:sz w:val="16"/>
                <w:szCs w:val="16"/>
                <w:lang w:eastAsia="sl-SI"/>
              </w:rPr>
              <w:t>716.897.421,00</w:t>
            </w:r>
          </w:p>
        </w:tc>
        <w:tc>
          <w:tcPr>
            <w:tcW w:w="1063" w:type="dxa"/>
            <w:hideMark/>
          </w:tcPr>
          <w:p w:rsidR="00434352" w:rsidRPr="00FD692F" w:rsidRDefault="00434352" w:rsidP="00FD692F">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s="Arial"/>
                <w:sz w:val="16"/>
                <w:szCs w:val="16"/>
                <w:lang w:eastAsia="sl-SI"/>
              </w:rPr>
            </w:pPr>
            <w:r w:rsidRPr="00FD692F">
              <w:rPr>
                <w:rFonts w:ascii="Arial Narrow" w:hAnsi="Arial Narrow" w:cs="Arial"/>
                <w:sz w:val="16"/>
                <w:szCs w:val="16"/>
                <w:lang w:eastAsia="sl-SI"/>
              </w:rPr>
              <w:t>50,66</w:t>
            </w:r>
          </w:p>
        </w:tc>
        <w:tc>
          <w:tcPr>
            <w:tcW w:w="1062" w:type="dxa"/>
          </w:tcPr>
          <w:p w:rsidR="00434352" w:rsidRPr="00DD1026" w:rsidRDefault="00FE3462" w:rsidP="00FD692F">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FE3462">
              <w:rPr>
                <w:rFonts w:ascii="Arial Narrow" w:hAnsi="Arial Narrow"/>
                <w:sz w:val="16"/>
                <w:szCs w:val="16"/>
              </w:rPr>
              <w:t>7.453.447,36</w:t>
            </w:r>
          </w:p>
        </w:tc>
        <w:tc>
          <w:tcPr>
            <w:tcW w:w="1063" w:type="dxa"/>
          </w:tcPr>
          <w:p w:rsidR="00434352" w:rsidRPr="00DD1026" w:rsidRDefault="00434352" w:rsidP="00FD692F">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s="Arial"/>
                <w:sz w:val="16"/>
                <w:szCs w:val="16"/>
                <w:lang w:eastAsia="sl-SI"/>
              </w:rPr>
            </w:pPr>
            <w:r w:rsidRPr="00DD1026">
              <w:rPr>
                <w:rFonts w:ascii="Arial Narrow" w:hAnsi="Arial Narrow"/>
                <w:sz w:val="16"/>
                <w:szCs w:val="16"/>
              </w:rPr>
              <w:t>59,98</w:t>
            </w:r>
          </w:p>
        </w:tc>
      </w:tr>
      <w:tr w:rsidR="00434352" w:rsidRPr="00FD692F" w:rsidTr="00434352">
        <w:trPr>
          <w:cnfStyle w:val="000000100000" w:firstRow="0" w:lastRow="0" w:firstColumn="0" w:lastColumn="0" w:oddVBand="0" w:evenVBand="0" w:oddHBand="1" w:evenHBand="0" w:firstRowFirstColumn="0" w:firstRowLastColumn="0" w:lastRowFirstColumn="0" w:lastRowLastColumn="0"/>
          <w:trHeight w:val="250"/>
        </w:trPr>
        <w:tc>
          <w:tcPr>
            <w:cnfStyle w:val="001000000000" w:firstRow="0" w:lastRow="0" w:firstColumn="1" w:lastColumn="0" w:oddVBand="0" w:evenVBand="0" w:oddHBand="0" w:evenHBand="0" w:firstRowFirstColumn="0" w:firstRowLastColumn="0" w:lastRowFirstColumn="0" w:lastRowLastColumn="0"/>
            <w:tcW w:w="5039" w:type="dxa"/>
            <w:hideMark/>
          </w:tcPr>
          <w:p w:rsidR="00434352" w:rsidRPr="00FD692F" w:rsidRDefault="00434352" w:rsidP="00FD692F">
            <w:pPr>
              <w:spacing w:after="0" w:line="240" w:lineRule="auto"/>
              <w:rPr>
                <w:rFonts w:ascii="Arial Narrow" w:hAnsi="Arial Narrow" w:cs="Arial"/>
                <w:sz w:val="16"/>
                <w:szCs w:val="16"/>
                <w:lang w:eastAsia="sl-SI"/>
              </w:rPr>
            </w:pPr>
            <w:r w:rsidRPr="00FD692F">
              <w:rPr>
                <w:rFonts w:ascii="Arial Narrow" w:hAnsi="Arial Narrow" w:cs="Arial"/>
                <w:sz w:val="16"/>
                <w:szCs w:val="16"/>
                <w:lang w:eastAsia="sl-SI"/>
              </w:rPr>
              <w:t xml:space="preserve">na </w:t>
            </w:r>
            <w:r>
              <w:rPr>
                <w:rFonts w:ascii="Arial Narrow" w:hAnsi="Arial Narrow" w:cs="Arial"/>
                <w:sz w:val="16"/>
                <w:szCs w:val="16"/>
                <w:lang w:eastAsia="sl-SI"/>
              </w:rPr>
              <w:t>(</w:t>
            </w:r>
            <w:r w:rsidRPr="00FD692F">
              <w:rPr>
                <w:rFonts w:ascii="Arial Narrow" w:hAnsi="Arial Narrow" w:cs="Arial"/>
                <w:sz w:val="16"/>
                <w:szCs w:val="16"/>
                <w:lang w:eastAsia="sl-SI"/>
              </w:rPr>
              <w:t>širšem</w:t>
            </w:r>
            <w:r>
              <w:rPr>
                <w:rFonts w:ascii="Arial Narrow" w:hAnsi="Arial Narrow" w:cs="Arial"/>
                <w:sz w:val="16"/>
                <w:szCs w:val="16"/>
                <w:lang w:eastAsia="sl-SI"/>
              </w:rPr>
              <w:t>)</w:t>
            </w:r>
            <w:r w:rsidRPr="00FD692F">
              <w:rPr>
                <w:rFonts w:ascii="Arial Narrow" w:hAnsi="Arial Narrow" w:cs="Arial"/>
                <w:sz w:val="16"/>
                <w:szCs w:val="16"/>
                <w:lang w:eastAsia="sl-SI"/>
              </w:rPr>
              <w:t xml:space="preserve"> področju kulturne dediščine</w:t>
            </w:r>
          </w:p>
        </w:tc>
        <w:tc>
          <w:tcPr>
            <w:tcW w:w="1062" w:type="dxa"/>
          </w:tcPr>
          <w:p w:rsidR="00434352" w:rsidRPr="00FD692F" w:rsidRDefault="00B25CE2" w:rsidP="00FD692F">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s="Arial"/>
                <w:sz w:val="16"/>
                <w:szCs w:val="16"/>
                <w:lang w:eastAsia="sl-SI"/>
              </w:rPr>
            </w:pPr>
            <w:r w:rsidRPr="00B25CE2">
              <w:rPr>
                <w:rFonts w:ascii="Arial Narrow" w:hAnsi="Arial Narrow" w:cs="Arial"/>
                <w:sz w:val="16"/>
                <w:szCs w:val="16"/>
                <w:lang w:eastAsia="sl-SI"/>
              </w:rPr>
              <w:t>53.623.624,18</w:t>
            </w:r>
          </w:p>
        </w:tc>
        <w:tc>
          <w:tcPr>
            <w:tcW w:w="1063" w:type="dxa"/>
            <w:hideMark/>
          </w:tcPr>
          <w:p w:rsidR="00434352" w:rsidRPr="00FD692F" w:rsidRDefault="00434352" w:rsidP="00FD692F">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s="Arial"/>
                <w:sz w:val="16"/>
                <w:szCs w:val="16"/>
                <w:lang w:eastAsia="sl-SI"/>
              </w:rPr>
            </w:pPr>
            <w:r w:rsidRPr="00FD692F">
              <w:rPr>
                <w:rFonts w:ascii="Arial Narrow" w:hAnsi="Arial Narrow" w:cs="Arial"/>
                <w:sz w:val="16"/>
                <w:szCs w:val="16"/>
                <w:lang w:eastAsia="sl-SI"/>
              </w:rPr>
              <w:t>3,79</w:t>
            </w:r>
          </w:p>
        </w:tc>
        <w:tc>
          <w:tcPr>
            <w:tcW w:w="1062" w:type="dxa"/>
          </w:tcPr>
          <w:p w:rsidR="00434352" w:rsidRPr="00DD1026" w:rsidRDefault="00FE3462" w:rsidP="00FD692F">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sidRPr="00FE3462">
              <w:rPr>
                <w:rFonts w:ascii="Arial Narrow" w:hAnsi="Arial Narrow"/>
                <w:sz w:val="16"/>
                <w:szCs w:val="16"/>
              </w:rPr>
              <w:t>149.069,00</w:t>
            </w:r>
          </w:p>
        </w:tc>
        <w:tc>
          <w:tcPr>
            <w:tcW w:w="1063" w:type="dxa"/>
          </w:tcPr>
          <w:p w:rsidR="00434352" w:rsidRPr="00DD1026" w:rsidRDefault="00434352" w:rsidP="00FD692F">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s="Arial"/>
                <w:sz w:val="16"/>
                <w:szCs w:val="16"/>
                <w:lang w:eastAsia="sl-SI"/>
              </w:rPr>
            </w:pPr>
            <w:r w:rsidRPr="00DD1026">
              <w:rPr>
                <w:rFonts w:ascii="Arial Narrow" w:hAnsi="Arial Narrow"/>
                <w:sz w:val="16"/>
                <w:szCs w:val="16"/>
              </w:rPr>
              <w:t>1,2</w:t>
            </w:r>
          </w:p>
        </w:tc>
      </w:tr>
      <w:tr w:rsidR="00434352" w:rsidRPr="00FD692F" w:rsidTr="00434352">
        <w:trPr>
          <w:trHeight w:val="550"/>
        </w:trPr>
        <w:tc>
          <w:tcPr>
            <w:cnfStyle w:val="001000000000" w:firstRow="0" w:lastRow="0" w:firstColumn="1" w:lastColumn="0" w:oddVBand="0" w:evenVBand="0" w:oddHBand="0" w:evenHBand="0" w:firstRowFirstColumn="0" w:firstRowLastColumn="0" w:lastRowFirstColumn="0" w:lastRowLastColumn="0"/>
            <w:tcW w:w="5039" w:type="dxa"/>
            <w:hideMark/>
          </w:tcPr>
          <w:p w:rsidR="00434352" w:rsidRPr="00FD692F" w:rsidRDefault="00434352" w:rsidP="00DB3DDD">
            <w:pPr>
              <w:spacing w:after="0" w:line="240" w:lineRule="auto"/>
              <w:rPr>
                <w:rFonts w:ascii="Arial Narrow" w:hAnsi="Arial Narrow" w:cs="Arial"/>
                <w:sz w:val="16"/>
                <w:szCs w:val="16"/>
                <w:lang w:eastAsia="sl-SI"/>
              </w:rPr>
            </w:pPr>
            <w:r w:rsidRPr="00FD692F">
              <w:rPr>
                <w:rFonts w:ascii="Arial Narrow" w:hAnsi="Arial Narrow" w:cs="Arial"/>
                <w:sz w:val="16"/>
                <w:szCs w:val="16"/>
                <w:lang w:eastAsia="sl-SI"/>
              </w:rPr>
              <w:t xml:space="preserve">na drugih področjih (npr. mladina, turizem, </w:t>
            </w:r>
            <w:r>
              <w:rPr>
                <w:rFonts w:ascii="Arial Narrow" w:hAnsi="Arial Narrow" w:cs="Arial"/>
                <w:sz w:val="16"/>
                <w:szCs w:val="16"/>
                <w:lang w:eastAsia="sl-SI"/>
              </w:rPr>
              <w:t xml:space="preserve">založništvo, izobraževanje, </w:t>
            </w:r>
            <w:r w:rsidRPr="00FD692F">
              <w:rPr>
                <w:rFonts w:ascii="Arial Narrow" w:hAnsi="Arial Narrow" w:cs="Arial"/>
                <w:sz w:val="16"/>
                <w:szCs w:val="16"/>
                <w:lang w:eastAsia="sl-SI"/>
              </w:rPr>
              <w:t xml:space="preserve">religija, jezik, bibliotekarstvo, invalidnost, dobrodelnost, </w:t>
            </w:r>
            <w:r>
              <w:rPr>
                <w:rFonts w:ascii="Arial Narrow" w:hAnsi="Arial Narrow" w:cs="Arial"/>
                <w:sz w:val="16"/>
                <w:szCs w:val="16"/>
                <w:lang w:eastAsia="sl-SI"/>
              </w:rPr>
              <w:t>humanistične vede</w:t>
            </w:r>
            <w:r w:rsidRPr="00FD692F">
              <w:rPr>
                <w:rFonts w:ascii="Arial Narrow" w:hAnsi="Arial Narrow" w:cs="Arial"/>
                <w:sz w:val="16"/>
                <w:szCs w:val="16"/>
                <w:lang w:eastAsia="sl-SI"/>
              </w:rPr>
              <w:t xml:space="preserve"> …)</w:t>
            </w:r>
          </w:p>
        </w:tc>
        <w:tc>
          <w:tcPr>
            <w:tcW w:w="1062" w:type="dxa"/>
          </w:tcPr>
          <w:p w:rsidR="00434352" w:rsidRPr="00FD692F" w:rsidRDefault="00B25CE2" w:rsidP="00FD692F">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s="Arial"/>
                <w:sz w:val="16"/>
                <w:szCs w:val="16"/>
                <w:lang w:eastAsia="sl-SI"/>
              </w:rPr>
            </w:pPr>
            <w:r w:rsidRPr="00B25CE2">
              <w:rPr>
                <w:rFonts w:ascii="Arial Narrow" w:hAnsi="Arial Narrow" w:cs="Arial"/>
                <w:sz w:val="16"/>
                <w:szCs w:val="16"/>
                <w:lang w:eastAsia="sl-SI"/>
              </w:rPr>
              <w:t>296.538.905,64</w:t>
            </w:r>
          </w:p>
        </w:tc>
        <w:tc>
          <w:tcPr>
            <w:tcW w:w="1063" w:type="dxa"/>
            <w:hideMark/>
          </w:tcPr>
          <w:p w:rsidR="00434352" w:rsidRPr="00FD692F" w:rsidRDefault="00434352" w:rsidP="00FD692F">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s="Arial"/>
                <w:sz w:val="16"/>
                <w:szCs w:val="16"/>
                <w:lang w:eastAsia="sl-SI"/>
              </w:rPr>
            </w:pPr>
            <w:r w:rsidRPr="00FD692F">
              <w:rPr>
                <w:rFonts w:ascii="Arial Narrow" w:hAnsi="Arial Narrow" w:cs="Arial"/>
                <w:sz w:val="16"/>
                <w:szCs w:val="16"/>
                <w:lang w:eastAsia="sl-SI"/>
              </w:rPr>
              <w:t>20,96</w:t>
            </w:r>
          </w:p>
        </w:tc>
        <w:tc>
          <w:tcPr>
            <w:tcW w:w="1062" w:type="dxa"/>
          </w:tcPr>
          <w:p w:rsidR="00434352" w:rsidRPr="00DD1026" w:rsidRDefault="00FE3462" w:rsidP="00FD692F">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FE3462">
              <w:rPr>
                <w:rFonts w:ascii="Arial Narrow" w:hAnsi="Arial Narrow"/>
                <w:sz w:val="16"/>
                <w:szCs w:val="16"/>
              </w:rPr>
              <w:t>2.535.840,97</w:t>
            </w:r>
          </w:p>
        </w:tc>
        <w:tc>
          <w:tcPr>
            <w:tcW w:w="1063" w:type="dxa"/>
          </w:tcPr>
          <w:p w:rsidR="00434352" w:rsidRPr="00DD1026" w:rsidRDefault="00434352" w:rsidP="00FD692F">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s="Arial"/>
                <w:sz w:val="16"/>
                <w:szCs w:val="16"/>
                <w:lang w:eastAsia="sl-SI"/>
              </w:rPr>
            </w:pPr>
            <w:r w:rsidRPr="00DD1026">
              <w:rPr>
                <w:rFonts w:ascii="Arial Narrow" w:hAnsi="Arial Narrow"/>
                <w:sz w:val="16"/>
                <w:szCs w:val="16"/>
              </w:rPr>
              <w:t>20,41</w:t>
            </w:r>
          </w:p>
        </w:tc>
      </w:tr>
      <w:tr w:rsidR="00434352" w:rsidRPr="00FD692F" w:rsidTr="00434352">
        <w:trPr>
          <w:cnfStyle w:val="000000100000" w:firstRow="0" w:lastRow="0" w:firstColumn="0" w:lastColumn="0" w:oddVBand="0" w:evenVBand="0" w:oddHBand="1" w:evenHBand="0" w:firstRowFirstColumn="0" w:firstRowLastColumn="0" w:lastRowFirstColumn="0" w:lastRowLastColumn="0"/>
          <w:trHeight w:val="270"/>
        </w:trPr>
        <w:tc>
          <w:tcPr>
            <w:cnfStyle w:val="001000000000" w:firstRow="0" w:lastRow="0" w:firstColumn="1" w:lastColumn="0" w:oddVBand="0" w:evenVBand="0" w:oddHBand="0" w:evenHBand="0" w:firstRowFirstColumn="0" w:firstRowLastColumn="0" w:lastRowFirstColumn="0" w:lastRowLastColumn="0"/>
            <w:tcW w:w="5039" w:type="dxa"/>
            <w:shd w:val="clear" w:color="auto" w:fill="D6E3BC" w:themeFill="accent3" w:themeFillTint="66"/>
            <w:hideMark/>
          </w:tcPr>
          <w:p w:rsidR="00434352" w:rsidRPr="00FD692F" w:rsidRDefault="00434352" w:rsidP="00FD692F">
            <w:pPr>
              <w:spacing w:after="0" w:line="240" w:lineRule="auto"/>
              <w:rPr>
                <w:rFonts w:ascii="Arial Narrow" w:hAnsi="Arial Narrow" w:cs="Arial"/>
                <w:sz w:val="16"/>
                <w:szCs w:val="16"/>
                <w:lang w:eastAsia="sl-SI"/>
              </w:rPr>
            </w:pPr>
            <w:r w:rsidRPr="00FD692F">
              <w:rPr>
                <w:rFonts w:ascii="Arial Narrow" w:hAnsi="Arial Narrow" w:cs="Arial"/>
                <w:sz w:val="16"/>
                <w:szCs w:val="16"/>
                <w:lang w:eastAsia="sl-SI"/>
              </w:rPr>
              <w:t>Nevladne/neprofitne org. (zasebni zavodi, društva, ustanove), ki delujejo v tujini</w:t>
            </w:r>
          </w:p>
        </w:tc>
        <w:tc>
          <w:tcPr>
            <w:tcW w:w="1062" w:type="dxa"/>
            <w:shd w:val="clear" w:color="auto" w:fill="D6E3BC" w:themeFill="accent3" w:themeFillTint="66"/>
          </w:tcPr>
          <w:p w:rsidR="00434352" w:rsidRPr="00FD692F" w:rsidRDefault="00434352" w:rsidP="00FD692F">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s="Arial"/>
                <w:sz w:val="16"/>
                <w:szCs w:val="16"/>
                <w:lang w:eastAsia="sl-SI"/>
              </w:rPr>
            </w:pPr>
          </w:p>
        </w:tc>
        <w:tc>
          <w:tcPr>
            <w:tcW w:w="1063" w:type="dxa"/>
            <w:shd w:val="clear" w:color="auto" w:fill="D6E3BC" w:themeFill="accent3" w:themeFillTint="66"/>
            <w:hideMark/>
          </w:tcPr>
          <w:p w:rsidR="00434352" w:rsidRPr="00FD692F" w:rsidRDefault="00434352" w:rsidP="00FD692F">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s="Arial"/>
                <w:sz w:val="16"/>
                <w:szCs w:val="16"/>
                <w:lang w:eastAsia="sl-SI"/>
              </w:rPr>
            </w:pPr>
            <w:r w:rsidRPr="00FD692F">
              <w:rPr>
                <w:rFonts w:ascii="Arial Narrow" w:hAnsi="Arial Narrow" w:cs="Arial"/>
                <w:sz w:val="16"/>
                <w:szCs w:val="16"/>
                <w:lang w:eastAsia="sl-SI"/>
              </w:rPr>
              <w:t> </w:t>
            </w:r>
          </w:p>
        </w:tc>
        <w:tc>
          <w:tcPr>
            <w:tcW w:w="1062" w:type="dxa"/>
            <w:shd w:val="clear" w:color="auto" w:fill="D6E3BC" w:themeFill="accent3" w:themeFillTint="66"/>
          </w:tcPr>
          <w:p w:rsidR="00434352" w:rsidRPr="00DD1026" w:rsidRDefault="00434352" w:rsidP="00FD692F">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s="Arial"/>
                <w:sz w:val="16"/>
                <w:szCs w:val="16"/>
                <w:lang w:eastAsia="sl-SI"/>
              </w:rPr>
            </w:pPr>
          </w:p>
        </w:tc>
        <w:tc>
          <w:tcPr>
            <w:tcW w:w="1063" w:type="dxa"/>
            <w:shd w:val="clear" w:color="auto" w:fill="D6E3BC" w:themeFill="accent3" w:themeFillTint="66"/>
          </w:tcPr>
          <w:p w:rsidR="00434352" w:rsidRPr="00DD1026" w:rsidRDefault="00434352" w:rsidP="00FD692F">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s="Arial"/>
                <w:sz w:val="16"/>
                <w:szCs w:val="16"/>
                <w:lang w:eastAsia="sl-SI"/>
              </w:rPr>
            </w:pPr>
          </w:p>
        </w:tc>
      </w:tr>
      <w:tr w:rsidR="00434352" w:rsidRPr="00FD692F" w:rsidTr="00434352">
        <w:trPr>
          <w:trHeight w:val="250"/>
        </w:trPr>
        <w:tc>
          <w:tcPr>
            <w:cnfStyle w:val="001000000000" w:firstRow="0" w:lastRow="0" w:firstColumn="1" w:lastColumn="0" w:oddVBand="0" w:evenVBand="0" w:oddHBand="0" w:evenHBand="0" w:firstRowFirstColumn="0" w:firstRowLastColumn="0" w:lastRowFirstColumn="0" w:lastRowLastColumn="0"/>
            <w:tcW w:w="5039" w:type="dxa"/>
            <w:hideMark/>
          </w:tcPr>
          <w:p w:rsidR="00434352" w:rsidRPr="00FD692F" w:rsidRDefault="00434352" w:rsidP="00FD692F">
            <w:pPr>
              <w:spacing w:after="0" w:line="240" w:lineRule="auto"/>
              <w:rPr>
                <w:rFonts w:ascii="Arial Narrow" w:hAnsi="Arial Narrow" w:cs="Arial"/>
                <w:sz w:val="16"/>
                <w:szCs w:val="16"/>
                <w:lang w:eastAsia="sl-SI"/>
              </w:rPr>
            </w:pPr>
            <w:r w:rsidRPr="00FD692F">
              <w:rPr>
                <w:rFonts w:ascii="Arial Narrow" w:hAnsi="Arial Narrow" w:cs="Arial"/>
                <w:sz w:val="16"/>
                <w:szCs w:val="16"/>
                <w:lang w:eastAsia="sl-SI"/>
              </w:rPr>
              <w:t xml:space="preserve">na </w:t>
            </w:r>
            <w:r>
              <w:rPr>
                <w:rFonts w:ascii="Arial Narrow" w:hAnsi="Arial Narrow" w:cs="Arial"/>
                <w:sz w:val="16"/>
                <w:szCs w:val="16"/>
                <w:lang w:eastAsia="sl-SI"/>
              </w:rPr>
              <w:t>(</w:t>
            </w:r>
            <w:r w:rsidRPr="00FD692F">
              <w:rPr>
                <w:rFonts w:ascii="Arial Narrow" w:hAnsi="Arial Narrow" w:cs="Arial"/>
                <w:sz w:val="16"/>
                <w:szCs w:val="16"/>
                <w:lang w:eastAsia="sl-SI"/>
              </w:rPr>
              <w:t>širšem</w:t>
            </w:r>
            <w:r>
              <w:rPr>
                <w:rFonts w:ascii="Arial Narrow" w:hAnsi="Arial Narrow" w:cs="Arial"/>
                <w:sz w:val="16"/>
                <w:szCs w:val="16"/>
                <w:lang w:eastAsia="sl-SI"/>
              </w:rPr>
              <w:t>)</w:t>
            </w:r>
            <w:r w:rsidRPr="00FD692F">
              <w:rPr>
                <w:rFonts w:ascii="Arial Narrow" w:hAnsi="Arial Narrow" w:cs="Arial"/>
                <w:sz w:val="16"/>
                <w:szCs w:val="16"/>
                <w:lang w:eastAsia="sl-SI"/>
              </w:rPr>
              <w:t xml:space="preserve"> področju umetnosti</w:t>
            </w:r>
          </w:p>
        </w:tc>
        <w:tc>
          <w:tcPr>
            <w:tcW w:w="1062" w:type="dxa"/>
          </w:tcPr>
          <w:p w:rsidR="00434352" w:rsidRPr="00FD692F" w:rsidRDefault="00B25CE2" w:rsidP="00FD692F">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s="Arial"/>
                <w:sz w:val="16"/>
                <w:szCs w:val="16"/>
                <w:lang w:eastAsia="sl-SI"/>
              </w:rPr>
            </w:pPr>
            <w:r w:rsidRPr="00B25CE2">
              <w:rPr>
                <w:rFonts w:ascii="Arial Narrow" w:hAnsi="Arial Narrow" w:cs="Arial"/>
                <w:sz w:val="16"/>
                <w:szCs w:val="16"/>
                <w:lang w:eastAsia="sl-SI"/>
              </w:rPr>
              <w:t>16.997.426,24</w:t>
            </w:r>
          </w:p>
        </w:tc>
        <w:tc>
          <w:tcPr>
            <w:tcW w:w="1063" w:type="dxa"/>
            <w:hideMark/>
          </w:tcPr>
          <w:p w:rsidR="00434352" w:rsidRPr="00FD692F" w:rsidRDefault="00434352" w:rsidP="00FD692F">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s="Arial"/>
                <w:sz w:val="16"/>
                <w:szCs w:val="16"/>
                <w:lang w:eastAsia="sl-SI"/>
              </w:rPr>
            </w:pPr>
            <w:r w:rsidRPr="00FD692F">
              <w:rPr>
                <w:rFonts w:ascii="Arial Narrow" w:hAnsi="Arial Narrow" w:cs="Arial"/>
                <w:sz w:val="16"/>
                <w:szCs w:val="16"/>
                <w:lang w:eastAsia="sl-SI"/>
              </w:rPr>
              <w:t>1,20</w:t>
            </w:r>
          </w:p>
        </w:tc>
        <w:tc>
          <w:tcPr>
            <w:tcW w:w="1062" w:type="dxa"/>
          </w:tcPr>
          <w:p w:rsidR="00434352" w:rsidRPr="00DD1026" w:rsidRDefault="00FE3462" w:rsidP="00FD692F">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FE3462">
              <w:rPr>
                <w:rFonts w:ascii="Arial Narrow" w:hAnsi="Arial Narrow"/>
                <w:sz w:val="16"/>
                <w:szCs w:val="16"/>
              </w:rPr>
              <w:t>176.896,96</w:t>
            </w:r>
          </w:p>
        </w:tc>
        <w:tc>
          <w:tcPr>
            <w:tcW w:w="1063" w:type="dxa"/>
          </w:tcPr>
          <w:p w:rsidR="00434352" w:rsidRPr="00DD1026" w:rsidRDefault="00434352" w:rsidP="00FD692F">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s="Arial"/>
                <w:sz w:val="16"/>
                <w:szCs w:val="16"/>
                <w:lang w:eastAsia="sl-SI"/>
              </w:rPr>
            </w:pPr>
            <w:r w:rsidRPr="00DD1026">
              <w:rPr>
                <w:rFonts w:ascii="Arial Narrow" w:hAnsi="Arial Narrow"/>
                <w:sz w:val="16"/>
                <w:szCs w:val="16"/>
              </w:rPr>
              <w:t>1,42</w:t>
            </w:r>
          </w:p>
        </w:tc>
      </w:tr>
      <w:tr w:rsidR="00434352" w:rsidRPr="00FD692F" w:rsidTr="00434352">
        <w:trPr>
          <w:cnfStyle w:val="000000100000" w:firstRow="0" w:lastRow="0" w:firstColumn="0" w:lastColumn="0" w:oddVBand="0" w:evenVBand="0" w:oddHBand="1" w:evenHBand="0" w:firstRowFirstColumn="0" w:firstRowLastColumn="0" w:lastRowFirstColumn="0" w:lastRowLastColumn="0"/>
          <w:trHeight w:val="250"/>
        </w:trPr>
        <w:tc>
          <w:tcPr>
            <w:cnfStyle w:val="001000000000" w:firstRow="0" w:lastRow="0" w:firstColumn="1" w:lastColumn="0" w:oddVBand="0" w:evenVBand="0" w:oddHBand="0" w:evenHBand="0" w:firstRowFirstColumn="0" w:firstRowLastColumn="0" w:lastRowFirstColumn="0" w:lastRowLastColumn="0"/>
            <w:tcW w:w="5039" w:type="dxa"/>
            <w:hideMark/>
          </w:tcPr>
          <w:p w:rsidR="00434352" w:rsidRPr="00FD692F" w:rsidRDefault="00434352" w:rsidP="00FD692F">
            <w:pPr>
              <w:spacing w:after="0" w:line="240" w:lineRule="auto"/>
              <w:rPr>
                <w:rFonts w:ascii="Arial Narrow" w:hAnsi="Arial Narrow" w:cs="Arial"/>
                <w:sz w:val="16"/>
                <w:szCs w:val="16"/>
                <w:lang w:eastAsia="sl-SI"/>
              </w:rPr>
            </w:pPr>
            <w:r w:rsidRPr="00FD692F">
              <w:rPr>
                <w:rFonts w:ascii="Arial Narrow" w:hAnsi="Arial Narrow" w:cs="Arial"/>
                <w:sz w:val="16"/>
                <w:szCs w:val="16"/>
                <w:lang w:eastAsia="sl-SI"/>
              </w:rPr>
              <w:t xml:space="preserve">na </w:t>
            </w:r>
            <w:r>
              <w:rPr>
                <w:rFonts w:ascii="Arial Narrow" w:hAnsi="Arial Narrow" w:cs="Arial"/>
                <w:sz w:val="16"/>
                <w:szCs w:val="16"/>
                <w:lang w:eastAsia="sl-SI"/>
              </w:rPr>
              <w:t>(</w:t>
            </w:r>
            <w:r w:rsidRPr="00FD692F">
              <w:rPr>
                <w:rFonts w:ascii="Arial Narrow" w:hAnsi="Arial Narrow" w:cs="Arial"/>
                <w:sz w:val="16"/>
                <w:szCs w:val="16"/>
                <w:lang w:eastAsia="sl-SI"/>
              </w:rPr>
              <w:t>širšem</w:t>
            </w:r>
            <w:r>
              <w:rPr>
                <w:rFonts w:ascii="Arial Narrow" w:hAnsi="Arial Narrow" w:cs="Arial"/>
                <w:sz w:val="16"/>
                <w:szCs w:val="16"/>
                <w:lang w:eastAsia="sl-SI"/>
              </w:rPr>
              <w:t>)</w:t>
            </w:r>
            <w:r w:rsidRPr="00FD692F">
              <w:rPr>
                <w:rFonts w:ascii="Arial Narrow" w:hAnsi="Arial Narrow" w:cs="Arial"/>
                <w:sz w:val="16"/>
                <w:szCs w:val="16"/>
                <w:lang w:eastAsia="sl-SI"/>
              </w:rPr>
              <w:t xml:space="preserve"> področju kulturne dediščine</w:t>
            </w:r>
          </w:p>
        </w:tc>
        <w:tc>
          <w:tcPr>
            <w:tcW w:w="1062" w:type="dxa"/>
          </w:tcPr>
          <w:p w:rsidR="00434352" w:rsidRPr="00FD692F" w:rsidRDefault="00B25CE2" w:rsidP="00FD692F">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s="Arial"/>
                <w:sz w:val="16"/>
                <w:szCs w:val="16"/>
                <w:lang w:eastAsia="sl-SI"/>
              </w:rPr>
            </w:pPr>
            <w:r>
              <w:rPr>
                <w:rFonts w:ascii="Arial Narrow" w:hAnsi="Arial Narrow" w:cs="Arial"/>
                <w:sz w:val="16"/>
                <w:szCs w:val="16"/>
                <w:lang w:eastAsia="sl-SI"/>
              </w:rPr>
              <w:t>0</w:t>
            </w:r>
          </w:p>
        </w:tc>
        <w:tc>
          <w:tcPr>
            <w:tcW w:w="1063" w:type="dxa"/>
            <w:hideMark/>
          </w:tcPr>
          <w:p w:rsidR="00434352" w:rsidRPr="00FD692F" w:rsidRDefault="00434352" w:rsidP="00FD692F">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s="Arial"/>
                <w:sz w:val="16"/>
                <w:szCs w:val="16"/>
                <w:lang w:eastAsia="sl-SI"/>
              </w:rPr>
            </w:pPr>
            <w:r w:rsidRPr="00FD692F">
              <w:rPr>
                <w:rFonts w:ascii="Arial Narrow" w:hAnsi="Arial Narrow" w:cs="Arial"/>
                <w:sz w:val="16"/>
                <w:szCs w:val="16"/>
                <w:lang w:eastAsia="sl-SI"/>
              </w:rPr>
              <w:t>0</w:t>
            </w:r>
          </w:p>
        </w:tc>
        <w:tc>
          <w:tcPr>
            <w:tcW w:w="1062" w:type="dxa"/>
          </w:tcPr>
          <w:p w:rsidR="00434352" w:rsidRPr="00DD1026" w:rsidRDefault="00FE3462" w:rsidP="00FD692F">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sz w:val="16"/>
                <w:szCs w:val="16"/>
              </w:rPr>
            </w:pPr>
            <w:r>
              <w:rPr>
                <w:rFonts w:ascii="Arial Narrow" w:hAnsi="Arial Narrow"/>
                <w:sz w:val="16"/>
                <w:szCs w:val="16"/>
              </w:rPr>
              <w:t>0</w:t>
            </w:r>
          </w:p>
        </w:tc>
        <w:tc>
          <w:tcPr>
            <w:tcW w:w="1063" w:type="dxa"/>
          </w:tcPr>
          <w:p w:rsidR="00434352" w:rsidRPr="00DD1026" w:rsidRDefault="00434352" w:rsidP="00FD692F">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s="Arial"/>
                <w:sz w:val="16"/>
                <w:szCs w:val="16"/>
                <w:lang w:eastAsia="sl-SI"/>
              </w:rPr>
            </w:pPr>
            <w:r w:rsidRPr="00DD1026">
              <w:rPr>
                <w:rFonts w:ascii="Arial Narrow" w:hAnsi="Arial Narrow"/>
                <w:sz w:val="16"/>
                <w:szCs w:val="16"/>
              </w:rPr>
              <w:t>0</w:t>
            </w:r>
          </w:p>
        </w:tc>
      </w:tr>
      <w:tr w:rsidR="00434352" w:rsidRPr="00FD692F" w:rsidTr="00434352">
        <w:trPr>
          <w:trHeight w:val="470"/>
        </w:trPr>
        <w:tc>
          <w:tcPr>
            <w:cnfStyle w:val="001000000000" w:firstRow="0" w:lastRow="0" w:firstColumn="1" w:lastColumn="0" w:oddVBand="0" w:evenVBand="0" w:oddHBand="0" w:evenHBand="0" w:firstRowFirstColumn="0" w:firstRowLastColumn="0" w:lastRowFirstColumn="0" w:lastRowLastColumn="0"/>
            <w:tcW w:w="5039" w:type="dxa"/>
            <w:hideMark/>
          </w:tcPr>
          <w:p w:rsidR="00434352" w:rsidRPr="00FD692F" w:rsidRDefault="00434352" w:rsidP="00C517C4">
            <w:pPr>
              <w:spacing w:after="0" w:line="240" w:lineRule="auto"/>
              <w:rPr>
                <w:rFonts w:ascii="Arial Narrow" w:hAnsi="Arial Narrow" w:cs="Arial"/>
                <w:sz w:val="16"/>
                <w:szCs w:val="16"/>
                <w:lang w:eastAsia="sl-SI"/>
              </w:rPr>
            </w:pPr>
            <w:r w:rsidRPr="00FD692F">
              <w:rPr>
                <w:rFonts w:ascii="Arial Narrow" w:hAnsi="Arial Narrow" w:cs="Arial"/>
                <w:sz w:val="16"/>
                <w:szCs w:val="16"/>
                <w:lang w:eastAsia="sl-SI"/>
              </w:rPr>
              <w:t xml:space="preserve">na drugih področjih (npr. mladina, turizem, </w:t>
            </w:r>
            <w:r>
              <w:rPr>
                <w:rFonts w:ascii="Arial Narrow" w:hAnsi="Arial Narrow" w:cs="Arial"/>
                <w:sz w:val="16"/>
                <w:szCs w:val="16"/>
                <w:lang w:eastAsia="sl-SI"/>
              </w:rPr>
              <w:t xml:space="preserve">založništvo, izobraževanje, </w:t>
            </w:r>
            <w:r w:rsidRPr="00FD692F">
              <w:rPr>
                <w:rFonts w:ascii="Arial Narrow" w:hAnsi="Arial Narrow" w:cs="Arial"/>
                <w:sz w:val="16"/>
                <w:szCs w:val="16"/>
                <w:lang w:eastAsia="sl-SI"/>
              </w:rPr>
              <w:t xml:space="preserve">religija, jezik, bibliotekarstvo, invalidnost, dobrodelnost, </w:t>
            </w:r>
            <w:r>
              <w:rPr>
                <w:rFonts w:ascii="Arial Narrow" w:hAnsi="Arial Narrow" w:cs="Arial"/>
                <w:sz w:val="16"/>
                <w:szCs w:val="16"/>
                <w:lang w:eastAsia="sl-SI"/>
              </w:rPr>
              <w:t xml:space="preserve">humanistične vede, </w:t>
            </w:r>
            <w:r w:rsidRPr="00FD692F">
              <w:rPr>
                <w:rFonts w:ascii="Arial Narrow" w:hAnsi="Arial Narrow" w:cs="Arial"/>
                <w:sz w:val="16"/>
                <w:szCs w:val="16"/>
                <w:lang w:eastAsia="sl-SI"/>
              </w:rPr>
              <w:t>…)</w:t>
            </w:r>
          </w:p>
        </w:tc>
        <w:tc>
          <w:tcPr>
            <w:tcW w:w="1062" w:type="dxa"/>
          </w:tcPr>
          <w:p w:rsidR="00434352" w:rsidRPr="00FD692F" w:rsidRDefault="00B25CE2" w:rsidP="00FD692F">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s="Arial"/>
                <w:sz w:val="16"/>
                <w:szCs w:val="16"/>
                <w:lang w:eastAsia="sl-SI"/>
              </w:rPr>
            </w:pPr>
            <w:r w:rsidRPr="00B25CE2">
              <w:rPr>
                <w:rFonts w:ascii="Arial Narrow" w:hAnsi="Arial Narrow" w:cs="Arial"/>
                <w:sz w:val="16"/>
                <w:szCs w:val="16"/>
                <w:lang w:eastAsia="sl-SI"/>
              </w:rPr>
              <w:t>91.441.440,83</w:t>
            </w:r>
          </w:p>
        </w:tc>
        <w:tc>
          <w:tcPr>
            <w:tcW w:w="1063" w:type="dxa"/>
            <w:hideMark/>
          </w:tcPr>
          <w:p w:rsidR="00434352" w:rsidRPr="00FD692F" w:rsidRDefault="00434352" w:rsidP="00FD692F">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s="Arial"/>
                <w:sz w:val="16"/>
                <w:szCs w:val="16"/>
                <w:lang w:eastAsia="sl-SI"/>
              </w:rPr>
            </w:pPr>
            <w:r w:rsidRPr="00FD692F">
              <w:rPr>
                <w:rFonts w:ascii="Arial Narrow" w:hAnsi="Arial Narrow" w:cs="Arial"/>
                <w:sz w:val="16"/>
                <w:szCs w:val="16"/>
                <w:lang w:eastAsia="sl-SI"/>
              </w:rPr>
              <w:t>6,46</w:t>
            </w:r>
          </w:p>
        </w:tc>
        <w:tc>
          <w:tcPr>
            <w:tcW w:w="1062" w:type="dxa"/>
          </w:tcPr>
          <w:p w:rsidR="00434352" w:rsidRPr="00DD1026" w:rsidRDefault="00FE3462" w:rsidP="00FD692F">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FE3462">
              <w:rPr>
                <w:rFonts w:ascii="Arial Narrow" w:hAnsi="Arial Narrow"/>
                <w:sz w:val="16"/>
                <w:szCs w:val="16"/>
              </w:rPr>
              <w:t>96.950,00</w:t>
            </w:r>
          </w:p>
        </w:tc>
        <w:tc>
          <w:tcPr>
            <w:tcW w:w="1063" w:type="dxa"/>
          </w:tcPr>
          <w:p w:rsidR="00434352" w:rsidRPr="00DD1026" w:rsidRDefault="00434352" w:rsidP="00FD692F">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s="Arial"/>
                <w:sz w:val="16"/>
                <w:szCs w:val="16"/>
                <w:lang w:eastAsia="sl-SI"/>
              </w:rPr>
            </w:pPr>
            <w:r w:rsidRPr="00DD1026">
              <w:rPr>
                <w:rFonts w:ascii="Arial Narrow" w:hAnsi="Arial Narrow"/>
                <w:sz w:val="16"/>
                <w:szCs w:val="16"/>
              </w:rPr>
              <w:t>0,78</w:t>
            </w:r>
          </w:p>
        </w:tc>
      </w:tr>
      <w:tr w:rsidR="00434352" w:rsidRPr="00FD692F" w:rsidTr="00434352">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5039" w:type="dxa"/>
            <w:shd w:val="clear" w:color="auto" w:fill="D6E3BC" w:themeFill="accent3" w:themeFillTint="66"/>
            <w:hideMark/>
          </w:tcPr>
          <w:p w:rsidR="00434352" w:rsidRPr="00FD692F" w:rsidRDefault="00434352" w:rsidP="00FD692F">
            <w:pPr>
              <w:spacing w:after="0" w:line="240" w:lineRule="auto"/>
              <w:rPr>
                <w:rFonts w:ascii="Arial Narrow" w:hAnsi="Arial Narrow" w:cs="Arial"/>
                <w:sz w:val="16"/>
                <w:szCs w:val="16"/>
                <w:lang w:eastAsia="sl-SI"/>
              </w:rPr>
            </w:pPr>
            <w:r w:rsidRPr="00FD692F">
              <w:rPr>
                <w:rFonts w:ascii="Arial Narrow" w:hAnsi="Arial Narrow" w:cs="Arial"/>
                <w:sz w:val="16"/>
                <w:szCs w:val="16"/>
                <w:lang w:eastAsia="sl-SI"/>
              </w:rPr>
              <w:t>Verske organizacije</w:t>
            </w:r>
          </w:p>
        </w:tc>
        <w:tc>
          <w:tcPr>
            <w:tcW w:w="1062" w:type="dxa"/>
            <w:shd w:val="clear" w:color="auto" w:fill="D6E3BC" w:themeFill="accent3" w:themeFillTint="66"/>
          </w:tcPr>
          <w:p w:rsidR="00434352" w:rsidRPr="00FD692F" w:rsidRDefault="00434352" w:rsidP="00FD692F">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s="Arial"/>
                <w:sz w:val="16"/>
                <w:szCs w:val="16"/>
                <w:lang w:eastAsia="sl-SI"/>
              </w:rPr>
            </w:pPr>
          </w:p>
        </w:tc>
        <w:tc>
          <w:tcPr>
            <w:tcW w:w="1063" w:type="dxa"/>
            <w:shd w:val="clear" w:color="auto" w:fill="D6E3BC" w:themeFill="accent3" w:themeFillTint="66"/>
            <w:hideMark/>
          </w:tcPr>
          <w:p w:rsidR="00434352" w:rsidRPr="00FD692F" w:rsidRDefault="00434352" w:rsidP="00FD692F">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s="Arial"/>
                <w:sz w:val="16"/>
                <w:szCs w:val="16"/>
                <w:lang w:eastAsia="sl-SI"/>
              </w:rPr>
            </w:pPr>
            <w:r w:rsidRPr="00FD692F">
              <w:rPr>
                <w:rFonts w:ascii="Arial Narrow" w:hAnsi="Arial Narrow" w:cs="Arial"/>
                <w:sz w:val="16"/>
                <w:szCs w:val="16"/>
                <w:lang w:eastAsia="sl-SI"/>
              </w:rPr>
              <w:t> </w:t>
            </w:r>
          </w:p>
        </w:tc>
        <w:tc>
          <w:tcPr>
            <w:tcW w:w="1062" w:type="dxa"/>
            <w:shd w:val="clear" w:color="auto" w:fill="D6E3BC" w:themeFill="accent3" w:themeFillTint="66"/>
          </w:tcPr>
          <w:p w:rsidR="00434352" w:rsidRPr="00DD1026" w:rsidRDefault="00434352" w:rsidP="00FD692F">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s="Arial"/>
                <w:sz w:val="16"/>
                <w:szCs w:val="16"/>
                <w:lang w:eastAsia="sl-SI"/>
              </w:rPr>
            </w:pPr>
          </w:p>
        </w:tc>
        <w:tc>
          <w:tcPr>
            <w:tcW w:w="1063" w:type="dxa"/>
            <w:shd w:val="clear" w:color="auto" w:fill="D6E3BC" w:themeFill="accent3" w:themeFillTint="66"/>
          </w:tcPr>
          <w:p w:rsidR="00434352" w:rsidRPr="00DD1026" w:rsidRDefault="00434352" w:rsidP="00FD692F">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s="Arial"/>
                <w:sz w:val="16"/>
                <w:szCs w:val="16"/>
                <w:lang w:eastAsia="sl-SI"/>
              </w:rPr>
            </w:pPr>
          </w:p>
        </w:tc>
      </w:tr>
      <w:tr w:rsidR="00434352" w:rsidRPr="00FD692F" w:rsidTr="00434352">
        <w:trPr>
          <w:trHeight w:val="250"/>
        </w:trPr>
        <w:tc>
          <w:tcPr>
            <w:cnfStyle w:val="001000000000" w:firstRow="0" w:lastRow="0" w:firstColumn="1" w:lastColumn="0" w:oddVBand="0" w:evenVBand="0" w:oddHBand="0" w:evenHBand="0" w:firstRowFirstColumn="0" w:firstRowLastColumn="0" w:lastRowFirstColumn="0" w:lastRowLastColumn="0"/>
            <w:tcW w:w="5039" w:type="dxa"/>
            <w:hideMark/>
          </w:tcPr>
          <w:p w:rsidR="00434352" w:rsidRPr="00FD692F" w:rsidRDefault="001D018F" w:rsidP="001D018F">
            <w:pPr>
              <w:spacing w:after="0" w:line="240" w:lineRule="auto"/>
              <w:rPr>
                <w:rFonts w:ascii="Arial Narrow" w:hAnsi="Arial Narrow" w:cs="Arial"/>
                <w:sz w:val="16"/>
                <w:szCs w:val="16"/>
                <w:lang w:eastAsia="sl-SI"/>
              </w:rPr>
            </w:pPr>
            <w:r>
              <w:rPr>
                <w:rFonts w:ascii="Arial Narrow" w:hAnsi="Arial Narrow" w:cs="Arial"/>
                <w:sz w:val="16"/>
                <w:szCs w:val="16"/>
                <w:lang w:eastAsia="sl-SI"/>
              </w:rPr>
              <w:t xml:space="preserve">verske skupnosti, </w:t>
            </w:r>
            <w:r w:rsidR="00434352" w:rsidRPr="00FD692F">
              <w:rPr>
                <w:rFonts w:ascii="Arial Narrow" w:hAnsi="Arial Narrow" w:cs="Arial"/>
                <w:sz w:val="16"/>
                <w:szCs w:val="16"/>
                <w:lang w:eastAsia="sl-SI"/>
              </w:rPr>
              <w:t xml:space="preserve">župnije, župnijski uradi, </w:t>
            </w:r>
            <w:r>
              <w:rPr>
                <w:rFonts w:ascii="Arial Narrow" w:hAnsi="Arial Narrow" w:cs="Arial"/>
                <w:sz w:val="16"/>
                <w:szCs w:val="16"/>
                <w:lang w:eastAsia="sl-SI"/>
              </w:rPr>
              <w:t>samostani …</w:t>
            </w:r>
          </w:p>
        </w:tc>
        <w:tc>
          <w:tcPr>
            <w:tcW w:w="1062" w:type="dxa"/>
          </w:tcPr>
          <w:p w:rsidR="00434352" w:rsidRPr="00FD692F" w:rsidRDefault="00B25CE2" w:rsidP="00FD692F">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s="Arial"/>
                <w:sz w:val="16"/>
                <w:szCs w:val="16"/>
                <w:lang w:eastAsia="sl-SI"/>
              </w:rPr>
            </w:pPr>
            <w:r w:rsidRPr="00B25CE2">
              <w:rPr>
                <w:rFonts w:ascii="Arial Narrow" w:hAnsi="Arial Narrow" w:cs="Arial"/>
                <w:sz w:val="16"/>
                <w:szCs w:val="16"/>
                <w:lang w:eastAsia="sl-SI"/>
              </w:rPr>
              <w:t>239.585.000,70</w:t>
            </w:r>
          </w:p>
        </w:tc>
        <w:tc>
          <w:tcPr>
            <w:tcW w:w="1063" w:type="dxa"/>
            <w:hideMark/>
          </w:tcPr>
          <w:p w:rsidR="00434352" w:rsidRPr="00FD692F" w:rsidRDefault="00434352" w:rsidP="00FD692F">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s="Arial"/>
                <w:sz w:val="16"/>
                <w:szCs w:val="16"/>
                <w:lang w:eastAsia="sl-SI"/>
              </w:rPr>
            </w:pPr>
            <w:r w:rsidRPr="00FD692F">
              <w:rPr>
                <w:rFonts w:ascii="Arial Narrow" w:hAnsi="Arial Narrow" w:cs="Arial"/>
                <w:sz w:val="16"/>
                <w:szCs w:val="16"/>
                <w:lang w:eastAsia="sl-SI"/>
              </w:rPr>
              <w:t>16,93</w:t>
            </w:r>
          </w:p>
        </w:tc>
        <w:tc>
          <w:tcPr>
            <w:tcW w:w="1062" w:type="dxa"/>
          </w:tcPr>
          <w:p w:rsidR="00434352" w:rsidRPr="00DD1026" w:rsidRDefault="00FE3462" w:rsidP="00FD692F">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sz w:val="16"/>
                <w:szCs w:val="16"/>
              </w:rPr>
            </w:pPr>
            <w:r w:rsidRPr="00FE3462">
              <w:rPr>
                <w:rFonts w:ascii="Arial Narrow" w:hAnsi="Arial Narrow"/>
                <w:sz w:val="16"/>
                <w:szCs w:val="16"/>
              </w:rPr>
              <w:t>2.013.763,24</w:t>
            </w:r>
          </w:p>
        </w:tc>
        <w:tc>
          <w:tcPr>
            <w:tcW w:w="1063" w:type="dxa"/>
          </w:tcPr>
          <w:p w:rsidR="00434352" w:rsidRPr="00DD1026" w:rsidRDefault="00434352" w:rsidP="00FD692F">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s="Arial"/>
                <w:sz w:val="16"/>
                <w:szCs w:val="16"/>
                <w:lang w:eastAsia="sl-SI"/>
              </w:rPr>
            </w:pPr>
            <w:r w:rsidRPr="00DD1026">
              <w:rPr>
                <w:rFonts w:ascii="Arial Narrow" w:hAnsi="Arial Narrow"/>
                <w:sz w:val="16"/>
                <w:szCs w:val="16"/>
              </w:rPr>
              <w:t>16,21</w:t>
            </w:r>
          </w:p>
        </w:tc>
      </w:tr>
      <w:tr w:rsidR="00434352" w:rsidRPr="00FD692F" w:rsidTr="00ED1C77">
        <w:trPr>
          <w:cnfStyle w:val="000000100000" w:firstRow="0" w:lastRow="0" w:firstColumn="0" w:lastColumn="0" w:oddVBand="0" w:evenVBand="0" w:oddHBand="1" w:evenHBand="0" w:firstRowFirstColumn="0" w:firstRowLastColumn="0" w:lastRowFirstColumn="0" w:lastRowLastColumn="0"/>
          <w:trHeight w:val="250"/>
        </w:trPr>
        <w:tc>
          <w:tcPr>
            <w:cnfStyle w:val="001000000000" w:firstRow="0" w:lastRow="0" w:firstColumn="1" w:lastColumn="0" w:oddVBand="0" w:evenVBand="0" w:oddHBand="0" w:evenHBand="0" w:firstRowFirstColumn="0" w:firstRowLastColumn="0" w:lastRowFirstColumn="0" w:lastRowLastColumn="0"/>
            <w:tcW w:w="5039" w:type="dxa"/>
            <w:shd w:val="clear" w:color="auto" w:fill="76923C" w:themeFill="accent3" w:themeFillShade="BF"/>
            <w:hideMark/>
          </w:tcPr>
          <w:p w:rsidR="00434352" w:rsidRPr="00ED1C77" w:rsidRDefault="00434352" w:rsidP="00227AB3">
            <w:pPr>
              <w:spacing w:after="0" w:line="240" w:lineRule="auto"/>
              <w:rPr>
                <w:rFonts w:ascii="Arial Narrow" w:hAnsi="Arial Narrow" w:cs="Arial"/>
                <w:color w:val="F2F2F2" w:themeColor="background1" w:themeShade="F2"/>
                <w:sz w:val="16"/>
                <w:szCs w:val="16"/>
                <w:lang w:eastAsia="sl-SI"/>
              </w:rPr>
            </w:pPr>
            <w:r w:rsidRPr="00ED1C77">
              <w:rPr>
                <w:rFonts w:ascii="Arial Narrow" w:hAnsi="Arial Narrow" w:cs="Arial"/>
                <w:color w:val="F2F2F2" w:themeColor="background1" w:themeShade="F2"/>
                <w:sz w:val="16"/>
                <w:szCs w:val="16"/>
                <w:lang w:eastAsia="sl-SI"/>
              </w:rPr>
              <w:t>Skupaj</w:t>
            </w:r>
          </w:p>
        </w:tc>
        <w:tc>
          <w:tcPr>
            <w:tcW w:w="1062" w:type="dxa"/>
            <w:shd w:val="clear" w:color="auto" w:fill="76923C" w:themeFill="accent3" w:themeFillShade="BF"/>
          </w:tcPr>
          <w:p w:rsidR="00434352" w:rsidRPr="00ED1C77" w:rsidRDefault="00B25CE2" w:rsidP="00FD692F">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s="Arial"/>
                <w:b/>
                <w:color w:val="F2F2F2" w:themeColor="background1" w:themeShade="F2"/>
                <w:sz w:val="16"/>
                <w:szCs w:val="16"/>
                <w:lang w:eastAsia="sl-SI"/>
              </w:rPr>
            </w:pPr>
            <w:r w:rsidRPr="00ED1C77">
              <w:rPr>
                <w:rFonts w:ascii="Arial Narrow" w:hAnsi="Arial Narrow" w:cs="Arial"/>
                <w:b/>
                <w:color w:val="F2F2F2" w:themeColor="background1" w:themeShade="F2"/>
                <w:sz w:val="16"/>
                <w:szCs w:val="16"/>
                <w:lang w:eastAsia="sl-SI"/>
              </w:rPr>
              <w:t>1.415.083.818,59</w:t>
            </w:r>
          </w:p>
        </w:tc>
        <w:tc>
          <w:tcPr>
            <w:tcW w:w="1063" w:type="dxa"/>
            <w:shd w:val="clear" w:color="auto" w:fill="76923C" w:themeFill="accent3" w:themeFillShade="BF"/>
            <w:hideMark/>
          </w:tcPr>
          <w:p w:rsidR="00434352" w:rsidRPr="00ED1C77" w:rsidRDefault="00434352" w:rsidP="00FD692F">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s="Arial"/>
                <w:b/>
                <w:color w:val="F2F2F2" w:themeColor="background1" w:themeShade="F2"/>
                <w:sz w:val="16"/>
                <w:szCs w:val="16"/>
                <w:lang w:eastAsia="sl-SI"/>
              </w:rPr>
            </w:pPr>
            <w:r w:rsidRPr="00ED1C77">
              <w:rPr>
                <w:rFonts w:ascii="Arial Narrow" w:hAnsi="Arial Narrow" w:cs="Arial"/>
                <w:b/>
                <w:color w:val="F2F2F2" w:themeColor="background1" w:themeShade="F2"/>
                <w:sz w:val="16"/>
                <w:szCs w:val="16"/>
                <w:lang w:eastAsia="sl-SI"/>
              </w:rPr>
              <w:t>100</w:t>
            </w:r>
          </w:p>
        </w:tc>
        <w:tc>
          <w:tcPr>
            <w:tcW w:w="1062" w:type="dxa"/>
            <w:shd w:val="clear" w:color="auto" w:fill="76923C" w:themeFill="accent3" w:themeFillShade="BF"/>
          </w:tcPr>
          <w:p w:rsidR="00434352" w:rsidRPr="00ED1C77" w:rsidRDefault="00FE3462" w:rsidP="00FD692F">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
                <w:color w:val="F2F2F2" w:themeColor="background1" w:themeShade="F2"/>
                <w:sz w:val="16"/>
                <w:szCs w:val="16"/>
              </w:rPr>
            </w:pPr>
            <w:r w:rsidRPr="00ED1C77">
              <w:rPr>
                <w:rFonts w:ascii="Arial Narrow" w:hAnsi="Arial Narrow"/>
                <w:b/>
                <w:color w:val="F2F2F2" w:themeColor="background1" w:themeShade="F2"/>
                <w:sz w:val="16"/>
                <w:szCs w:val="16"/>
              </w:rPr>
              <w:t>12.425.967,53</w:t>
            </w:r>
          </w:p>
        </w:tc>
        <w:tc>
          <w:tcPr>
            <w:tcW w:w="1063" w:type="dxa"/>
            <w:shd w:val="clear" w:color="auto" w:fill="76923C" w:themeFill="accent3" w:themeFillShade="BF"/>
          </w:tcPr>
          <w:p w:rsidR="00434352" w:rsidRPr="00ED1C77" w:rsidRDefault="00434352" w:rsidP="00FD692F">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s="Arial"/>
                <w:b/>
                <w:color w:val="F2F2F2" w:themeColor="background1" w:themeShade="F2"/>
                <w:sz w:val="16"/>
                <w:szCs w:val="16"/>
                <w:lang w:eastAsia="sl-SI"/>
              </w:rPr>
            </w:pPr>
            <w:r w:rsidRPr="00ED1C77">
              <w:rPr>
                <w:rFonts w:ascii="Arial Narrow" w:hAnsi="Arial Narrow"/>
                <w:b/>
                <w:color w:val="F2F2F2" w:themeColor="background1" w:themeShade="F2"/>
                <w:sz w:val="16"/>
                <w:szCs w:val="16"/>
              </w:rPr>
              <w:t>100</w:t>
            </w:r>
          </w:p>
        </w:tc>
      </w:tr>
    </w:tbl>
    <w:p w:rsidR="00AE73A9" w:rsidRDefault="00FD692F" w:rsidP="00715A47">
      <w:pPr>
        <w:pStyle w:val="Podpispodtabeloaligrafom"/>
        <w:spacing w:after="0"/>
      </w:pPr>
      <w:r>
        <w:t>Vir: M</w:t>
      </w:r>
      <w:r w:rsidR="00367DF7">
        <w:t>inistrstvo za kulturo in Javna agencija RS za knjigo.</w:t>
      </w:r>
    </w:p>
    <w:p w:rsidR="00CC1DD9" w:rsidRDefault="00503245" w:rsidP="000A3183">
      <w:pPr>
        <w:pStyle w:val="Podpispodtabeloaligrafom"/>
      </w:pPr>
      <w:r w:rsidRPr="00503245">
        <w:t>* Upoštevani so naslednji izplačevalci: a) v letu 2002: Ministrstvo za kulturo in Uprava RS za kulturno dediščino (njena sredstva so bila že pred letom 2004, ko je bila ukinjena in je njeno delo prevzelo Ministrstvo za kulturo, formalni del njegovega</w:t>
      </w:r>
      <w:r w:rsidR="00A47669">
        <w:t xml:space="preserve"> </w:t>
      </w:r>
      <w:r w:rsidRPr="00503245">
        <w:t>proračuna, iz katerega se je financiralo področje kulturne dediščine). 2) v letu 2015: Ministrstvo za kulturo in Javna</w:t>
      </w:r>
      <w:r w:rsidR="00A47669">
        <w:t xml:space="preserve"> </w:t>
      </w:r>
      <w:r w:rsidRPr="00503245">
        <w:t>agencija za knjigo. Njena izplačila smo v letu 2015 upoštevali zato, ker je njeno delo (vključno s financiranjem projektov in programov posameznikov in založb ter društev) v letu 2002 še opravljalo Ministrstvo za kulturo.</w:t>
      </w:r>
      <w:r w:rsidR="00481C64">
        <w:t xml:space="preserve"> </w:t>
      </w:r>
      <w:r w:rsidR="00481C64" w:rsidRPr="00481C64">
        <w:t>Izplačil Slovenskega filmskega centra – javne agencije RS in izplačil Javnega sklada RS za kulturne dejavnosti nismo upoštevali v nobenem letu, ker sta v obeh letih delovala samostojno in tudi zaradi nedostopnosti celovitih podatkov</w:t>
      </w:r>
      <w:r w:rsidR="00481C64" w:rsidRPr="001912D3">
        <w:t>.</w:t>
      </w:r>
      <w:r w:rsidR="00175F32" w:rsidRPr="001912D3">
        <w:t xml:space="preserve"> </w:t>
      </w:r>
      <w:r w:rsidR="005B4EF2" w:rsidRPr="001912D3">
        <w:t>Navedeno pomeni, da s to tab</w:t>
      </w:r>
      <w:r w:rsidR="001912D3" w:rsidRPr="001912D3">
        <w:t xml:space="preserve">elo nista primerljiva tabela </w:t>
      </w:r>
      <w:r w:rsidR="001912D3" w:rsidRPr="0098685D">
        <w:rPr>
          <w:i/>
        </w:rPr>
        <w:t>11</w:t>
      </w:r>
      <w:r w:rsidR="005B4EF2" w:rsidRPr="0098685D">
        <w:rPr>
          <w:i/>
        </w:rPr>
        <w:t xml:space="preserve"> Struktura realizacije prora</w:t>
      </w:r>
      <w:r w:rsidR="005B4EF2" w:rsidRPr="0098685D">
        <w:rPr>
          <w:rFonts w:ascii="Calibri" w:eastAsia="Calibri" w:hAnsi="Calibri" w:cs="Calibri"/>
          <w:i/>
        </w:rPr>
        <w:t>č</w:t>
      </w:r>
      <w:r w:rsidR="005B4EF2" w:rsidRPr="0098685D">
        <w:rPr>
          <w:i/>
        </w:rPr>
        <w:t>una Ministrstva za kulturo po prejemnikih sredstev (2002–</w:t>
      </w:r>
      <w:r w:rsidR="001912D3" w:rsidRPr="0098685D">
        <w:rPr>
          <w:i/>
        </w:rPr>
        <w:t>2015)</w:t>
      </w:r>
      <w:r w:rsidR="0098685D">
        <w:t xml:space="preserve"> in graf </w:t>
      </w:r>
      <w:r w:rsidR="001912D3" w:rsidRPr="0098685D">
        <w:rPr>
          <w:i/>
        </w:rPr>
        <w:t>13</w:t>
      </w:r>
      <w:r w:rsidR="005B4EF2" w:rsidRPr="0098685D">
        <w:rPr>
          <w:i/>
        </w:rPr>
        <w:t xml:space="preserve"> Struktura realizacije prora</w:t>
      </w:r>
      <w:r w:rsidR="005B4EF2" w:rsidRPr="0098685D">
        <w:rPr>
          <w:rFonts w:ascii="Calibri" w:eastAsia="Calibri" w:hAnsi="Calibri" w:cs="Calibri"/>
          <w:i/>
        </w:rPr>
        <w:t>č</w:t>
      </w:r>
      <w:r w:rsidR="005B4EF2" w:rsidRPr="0098685D">
        <w:rPr>
          <w:i/>
        </w:rPr>
        <w:t>una Ministrstva za kulturo po prejemnikih sredstev (2015).</w:t>
      </w:r>
    </w:p>
    <w:p w:rsidR="00BB569D" w:rsidRDefault="00AB37CC" w:rsidP="00272636">
      <w:pPr>
        <w:pStyle w:val="Podnaslov2"/>
      </w:pPr>
      <w:bookmarkStart w:id="395" w:name="_Toc489859847"/>
      <w:bookmarkStart w:id="396" w:name="_Toc490047604"/>
      <w:bookmarkStart w:id="397" w:name="_Toc490599968"/>
      <w:bookmarkStart w:id="398" w:name="_Toc506192098"/>
      <w:r>
        <w:t>Posamezniki</w:t>
      </w:r>
      <w:bookmarkEnd w:id="395"/>
      <w:bookmarkEnd w:id="396"/>
      <w:bookmarkEnd w:id="397"/>
      <w:bookmarkEnd w:id="398"/>
    </w:p>
    <w:p w:rsidR="00175F32" w:rsidRDefault="00175F32" w:rsidP="001D1C7A">
      <w:r w:rsidRPr="00175F32">
        <w:t>Tudi p</w:t>
      </w:r>
      <w:r w:rsidR="000A36BA" w:rsidRPr="00175F32">
        <w:t xml:space="preserve">odatke o financiranju posameznikom smo v </w:t>
      </w:r>
      <w:r w:rsidRPr="00175F32">
        <w:t xml:space="preserve">tej </w:t>
      </w:r>
      <w:r w:rsidR="000A36BA" w:rsidRPr="00175F32">
        <w:t xml:space="preserve">analizi </w:t>
      </w:r>
      <w:r w:rsidRPr="00175F32">
        <w:t xml:space="preserve">že </w:t>
      </w:r>
      <w:r w:rsidR="00A154EE">
        <w:t>srečali v tabelah 11 in 30</w:t>
      </w:r>
      <w:r w:rsidR="00ED1C77">
        <w:t xml:space="preserve"> – </w:t>
      </w:r>
      <w:r w:rsidR="00BE6AD6" w:rsidRPr="00175F32">
        <w:rPr>
          <w:i/>
        </w:rPr>
        <w:t>Struktura realizacije proračuna Ministrstva za kulturo glede na prejemnike sredstev (2002–2015)</w:t>
      </w:r>
      <w:r>
        <w:t xml:space="preserve"> in </w:t>
      </w:r>
      <w:r w:rsidR="00A154EE">
        <w:rPr>
          <w:i/>
        </w:rPr>
        <w:t>Prejemniki</w:t>
      </w:r>
      <w:r w:rsidR="002C6666" w:rsidRPr="00175F32">
        <w:rPr>
          <w:i/>
        </w:rPr>
        <w:t xml:space="preserve"> proračunskih sredstev Ministrstva za kulturo </w:t>
      </w:r>
      <w:r w:rsidR="00A154EE">
        <w:rPr>
          <w:i/>
        </w:rPr>
        <w:t>(</w:t>
      </w:r>
      <w:r w:rsidR="002C6666" w:rsidRPr="00175F32">
        <w:rPr>
          <w:i/>
        </w:rPr>
        <w:t>2002 in 2015</w:t>
      </w:r>
      <w:r w:rsidR="00A154EE">
        <w:rPr>
          <w:i/>
        </w:rPr>
        <w:t>)</w:t>
      </w:r>
      <w:r>
        <w:rPr>
          <w:i/>
        </w:rPr>
        <w:t xml:space="preserve"> </w:t>
      </w:r>
      <w:r w:rsidRPr="00175F32">
        <w:t xml:space="preserve">in tudi zanje </w:t>
      </w:r>
      <w:r>
        <w:t xml:space="preserve">veljajo </w:t>
      </w:r>
      <w:r w:rsidR="00A154EE">
        <w:t xml:space="preserve">omejitve, ki smo jih navedli </w:t>
      </w:r>
      <w:r>
        <w:t>za pod</w:t>
      </w:r>
      <w:r w:rsidR="00A154EE">
        <w:t>atke o nevladnih organizacijah.</w:t>
      </w:r>
    </w:p>
    <w:p w:rsidR="00003572" w:rsidRDefault="00175F32" w:rsidP="001D1C7A">
      <w:r>
        <w:t xml:space="preserve">V nadaljevanju se bomo </w:t>
      </w:r>
      <w:proofErr w:type="spellStart"/>
      <w:r>
        <w:t>osredotočli</w:t>
      </w:r>
      <w:proofErr w:type="spellEnd"/>
      <w:r>
        <w:t xml:space="preserve"> na </w:t>
      </w:r>
      <w:r w:rsidR="00ED1C77">
        <w:t>namene</w:t>
      </w:r>
      <w:r>
        <w:t xml:space="preserve"> financiranja posameznikov iz proračuna ministrstva oz. na </w:t>
      </w:r>
      <w:r w:rsidR="00ED1C77">
        <w:t>njihovo</w:t>
      </w:r>
      <w:r>
        <w:t xml:space="preserve"> </w:t>
      </w:r>
      <w:r w:rsidR="00ED1C77">
        <w:t>spremembo</w:t>
      </w:r>
      <w:r>
        <w:t xml:space="preserve"> </w:t>
      </w:r>
      <w:r w:rsidR="00ED1C77">
        <w:t>med letoma</w:t>
      </w:r>
      <w:r>
        <w:t xml:space="preserve"> 2002–2008. </w:t>
      </w:r>
      <w:r w:rsidR="00A154EE">
        <w:t>Iz tabele 32</w:t>
      </w:r>
      <w:r w:rsidR="00A9503F">
        <w:t xml:space="preserve"> je mogoče sklepati, da se je financiranje</w:t>
      </w:r>
      <w:r w:rsidR="002C6666" w:rsidRPr="00A9503F">
        <w:t xml:space="preserve"> posameznikov v obdobju štirinajstih let </w:t>
      </w:r>
      <w:proofErr w:type="spellStart"/>
      <w:r w:rsidR="00A9503F">
        <w:t>diverzificiralo</w:t>
      </w:r>
      <w:proofErr w:type="spellEnd"/>
      <w:r w:rsidR="002C6666" w:rsidRPr="00A9503F">
        <w:t>:</w:t>
      </w:r>
      <w:r w:rsidR="002C6666">
        <w:t xml:space="preserve"> </w:t>
      </w:r>
    </w:p>
    <w:p w:rsidR="00BB0F0E" w:rsidRPr="00BB0F0E" w:rsidRDefault="00BB0F0E" w:rsidP="00BB6F64">
      <w:pPr>
        <w:pStyle w:val="Odstavekseznama"/>
        <w:numPr>
          <w:ilvl w:val="0"/>
          <w:numId w:val="24"/>
        </w:numPr>
      </w:pPr>
      <w:r w:rsidRPr="00BB0F0E">
        <w:t xml:space="preserve">leta 2002 je bilo za financiranje socialnih </w:t>
      </w:r>
      <w:r w:rsidR="002435E6">
        <w:t>prispevkov</w:t>
      </w:r>
      <w:r w:rsidRPr="00BB0F0E">
        <w:t xml:space="preserve"> </w:t>
      </w:r>
      <w:r w:rsidR="002435E6">
        <w:t>samozaposlenih</w:t>
      </w:r>
      <w:r w:rsidRPr="00BB0F0E">
        <w:t xml:space="preserve"> v kulturi namenjenih približno 82 % vseh sredstev</w:t>
      </w:r>
      <w:r w:rsidR="002435E6">
        <w:t>, ki so bila izplačana posameznikom ali zanje,</w:t>
      </w:r>
      <w:r w:rsidRPr="00BB0F0E">
        <w:t xml:space="preserve"> leta 2015 pa p</w:t>
      </w:r>
      <w:r w:rsidR="002435E6">
        <w:t>ribližno 70 %</w:t>
      </w:r>
      <w:r w:rsidR="009961C1">
        <w:t xml:space="preserve"> (hkrati pa nominalni zneski teh sredstev </w:t>
      </w:r>
      <w:r w:rsidR="00242053">
        <w:t>hitro</w:t>
      </w:r>
      <w:r w:rsidR="009961C1">
        <w:t xml:space="preserve"> naraščajo)</w:t>
      </w:r>
      <w:r w:rsidR="002435E6">
        <w:t>;</w:t>
      </w:r>
      <w:r w:rsidR="00242053">
        <w:rPr>
          <w:rStyle w:val="Sprotnaopomba-sklic"/>
        </w:rPr>
        <w:footnoteReference w:id="61"/>
      </w:r>
    </w:p>
    <w:p w:rsidR="00B945B1" w:rsidRDefault="002435E6" w:rsidP="00B945B1">
      <w:pPr>
        <w:pStyle w:val="Odstavekseznama"/>
        <w:numPr>
          <w:ilvl w:val="0"/>
          <w:numId w:val="24"/>
        </w:numPr>
      </w:pPr>
      <w:r>
        <w:t xml:space="preserve">zmanjšalo se je </w:t>
      </w:r>
      <w:r w:rsidR="00BB6F64" w:rsidRPr="00BB6F64">
        <w:t xml:space="preserve">financiranje štipendij </w:t>
      </w:r>
      <w:r>
        <w:t xml:space="preserve">– iz približno </w:t>
      </w:r>
      <w:r w:rsidR="00A154EE">
        <w:t>9 % vseh sredstev na dobrih 5 %</w:t>
      </w:r>
      <w:r>
        <w:t xml:space="preserve"> </w:t>
      </w:r>
      <w:r w:rsidR="00BB6F64">
        <w:t xml:space="preserve">in </w:t>
      </w:r>
      <w:r w:rsidR="00BB6F64" w:rsidRPr="002435E6">
        <w:t>obnove kulturnih spomenikov (</w:t>
      </w:r>
      <w:r w:rsidR="00A154EE">
        <w:t>fizičnim osebam</w:t>
      </w:r>
      <w:r w:rsidR="00BB6F64" w:rsidRPr="002435E6">
        <w:t>)</w:t>
      </w:r>
      <w:r w:rsidRPr="002435E6">
        <w:t xml:space="preserve"> iz dobrih 4 % na </w:t>
      </w:r>
      <w:r w:rsidR="00B945B1">
        <w:t>približno 1 %;</w:t>
      </w:r>
    </w:p>
    <w:p w:rsidR="00B945B1" w:rsidRDefault="00B945B1" w:rsidP="00B945B1">
      <w:pPr>
        <w:pStyle w:val="Odstavekseznama"/>
        <w:numPr>
          <w:ilvl w:val="0"/>
          <w:numId w:val="24"/>
        </w:numPr>
      </w:pPr>
      <w:r>
        <w:t>omenjena zmanjšanja so spremljala povečanja na drugih področjih:</w:t>
      </w:r>
    </w:p>
    <w:p w:rsidR="001D1C7A" w:rsidRDefault="002C6666" w:rsidP="00B945B1">
      <w:pPr>
        <w:pStyle w:val="Odstavekseznama"/>
        <w:numPr>
          <w:ilvl w:val="1"/>
          <w:numId w:val="24"/>
        </w:numPr>
      </w:pPr>
      <w:r>
        <w:t>leta 2002 je bilo komaj kaj sredstev namenjenih financiranju umetniških projektov</w:t>
      </w:r>
      <w:r w:rsidR="00BB6F64">
        <w:t xml:space="preserve"> posameznikov</w:t>
      </w:r>
      <w:r>
        <w:t xml:space="preserve"> (v glavnem je šlo za prevode in založniške projekte)</w:t>
      </w:r>
      <w:r w:rsidR="00367DF7">
        <w:t xml:space="preserve">, medtem ko je bilo leta 2015 </w:t>
      </w:r>
      <w:r w:rsidR="00BB6F64">
        <w:t xml:space="preserve">tem </w:t>
      </w:r>
      <w:r w:rsidR="00367DF7">
        <w:t xml:space="preserve">projektom </w:t>
      </w:r>
      <w:r w:rsidR="00367DF7" w:rsidRPr="00003572">
        <w:t>in knjižničnemu nadomestilu</w:t>
      </w:r>
      <w:r w:rsidR="002435E6">
        <w:t xml:space="preserve"> avtorje</w:t>
      </w:r>
      <w:r w:rsidR="001A61D3">
        <w:t>v</w:t>
      </w:r>
      <w:r w:rsidR="001A61D3">
        <w:rPr>
          <w:rStyle w:val="Sprotnaopomba-sklic"/>
        </w:rPr>
        <w:footnoteReference w:id="62"/>
      </w:r>
      <w:r w:rsidR="001A61D3">
        <w:t xml:space="preserve"> </w:t>
      </w:r>
      <w:r w:rsidR="00367DF7" w:rsidRPr="00003572">
        <w:t>namenjenih d</w:t>
      </w:r>
      <w:r w:rsidR="00003572">
        <w:t>obrih 17 % sredstev;</w:t>
      </w:r>
    </w:p>
    <w:p w:rsidR="00003572" w:rsidRDefault="00003572" w:rsidP="00B945B1">
      <w:pPr>
        <w:pStyle w:val="Odstavekseznama"/>
        <w:numPr>
          <w:ilvl w:val="1"/>
          <w:numId w:val="24"/>
        </w:numPr>
      </w:pPr>
      <w:r>
        <w:t xml:space="preserve">republiške priznavalnine (dodatek k pokojnini, ki ga podrobneje obravnavamo v nadaljevanju) </w:t>
      </w:r>
      <w:r w:rsidR="00B945B1">
        <w:t>so</w:t>
      </w:r>
      <w:r>
        <w:t xml:space="preserve"> leta </w:t>
      </w:r>
      <w:r w:rsidR="00BB6F64">
        <w:t>2002 pomenil</w:t>
      </w:r>
      <w:r w:rsidR="00B945B1">
        <w:t>e</w:t>
      </w:r>
      <w:r w:rsidR="00BB6F64">
        <w:t xml:space="preserve"> 3,31 % sredstev izplačanih posameznikom, leta 2015 pa dvakrat več;</w:t>
      </w:r>
    </w:p>
    <w:p w:rsidR="00BB6F64" w:rsidRDefault="00BB6F64" w:rsidP="00B945B1">
      <w:pPr>
        <w:pStyle w:val="Odstavekseznama"/>
        <w:numPr>
          <w:ilvl w:val="1"/>
          <w:numId w:val="24"/>
        </w:numPr>
      </w:pPr>
      <w:r>
        <w:t xml:space="preserve">leta 2002 samozaposleni še niso imeli pravice do boleznine – </w:t>
      </w:r>
      <w:r w:rsidRPr="00BB6F64">
        <w:t>plačila bolniškega dopusta (tudi za prvi mesec in če hkrati traja več kot mesec dni)</w:t>
      </w:r>
      <w:r w:rsidR="00B945B1">
        <w:t>, leta 2015 pa.</w:t>
      </w:r>
    </w:p>
    <w:p w:rsidR="001D1C7A" w:rsidRDefault="00C75E6E" w:rsidP="001D1C7A">
      <w:pPr>
        <w:pStyle w:val="Naslovtabele"/>
      </w:pPr>
      <w:bookmarkStart w:id="399" w:name="_Toc490053407"/>
      <w:bookmarkStart w:id="400" w:name="_Toc490053778"/>
      <w:bookmarkStart w:id="401" w:name="_Toc490600050"/>
      <w:r>
        <w:t>Tabela 32</w:t>
      </w:r>
      <w:r w:rsidR="001D1C7A" w:rsidRPr="00A9503F">
        <w:t xml:space="preserve">: Struktura financiranja posameznikov iz proračuna Ministrstva za kulturo </w:t>
      </w:r>
      <w:r w:rsidR="008B6314">
        <w:t>po namenu</w:t>
      </w:r>
      <w:r w:rsidR="001D1C7A" w:rsidRPr="00A9503F">
        <w:t xml:space="preserve"> </w:t>
      </w:r>
      <w:r w:rsidR="008B6314">
        <w:t>(2002 in 2015)</w:t>
      </w:r>
      <w:r w:rsidR="00367DF7" w:rsidRPr="00A9503F">
        <w:t>*</w:t>
      </w:r>
      <w:bookmarkEnd w:id="399"/>
      <w:bookmarkEnd w:id="400"/>
      <w:bookmarkEnd w:id="401"/>
    </w:p>
    <w:tbl>
      <w:tblPr>
        <w:tblW w:w="4731" w:type="pct"/>
        <w:tblCellMar>
          <w:left w:w="70" w:type="dxa"/>
          <w:right w:w="70" w:type="dxa"/>
        </w:tblCellMar>
        <w:tblLook w:val="04A0" w:firstRow="1" w:lastRow="0" w:firstColumn="1" w:lastColumn="0" w:noHBand="0" w:noVBand="1"/>
      </w:tblPr>
      <w:tblGrid>
        <w:gridCol w:w="2829"/>
        <w:gridCol w:w="1472"/>
        <w:gridCol w:w="1472"/>
        <w:gridCol w:w="1471"/>
        <w:gridCol w:w="1473"/>
      </w:tblGrid>
      <w:tr w:rsidR="00434352" w:rsidRPr="001D1C7A" w:rsidTr="000A3183">
        <w:trPr>
          <w:trHeight w:val="102"/>
        </w:trPr>
        <w:tc>
          <w:tcPr>
            <w:tcW w:w="1622" w:type="pct"/>
            <w:tcBorders>
              <w:top w:val="single" w:sz="4" w:space="0" w:color="9BBB59"/>
              <w:left w:val="single" w:sz="4" w:space="0" w:color="9BBB59"/>
              <w:bottom w:val="nil"/>
              <w:right w:val="nil"/>
            </w:tcBorders>
            <w:shd w:val="clear" w:color="9BBB59" w:fill="9BBB59"/>
            <w:hideMark/>
          </w:tcPr>
          <w:p w:rsidR="00434352" w:rsidRPr="00F721A0" w:rsidRDefault="00434352" w:rsidP="001D1C7A">
            <w:pPr>
              <w:spacing w:after="0" w:line="240" w:lineRule="auto"/>
              <w:rPr>
                <w:rFonts w:ascii="Arial Narrow" w:hAnsi="Arial Narrow"/>
                <w:b/>
                <w:bCs/>
                <w:color w:val="FFFFFF"/>
                <w:sz w:val="16"/>
                <w:szCs w:val="16"/>
                <w:lang w:eastAsia="sl-SI"/>
              </w:rPr>
            </w:pPr>
            <w:r w:rsidRPr="00F721A0">
              <w:rPr>
                <w:rFonts w:ascii="Arial Narrow" w:hAnsi="Arial Narrow"/>
                <w:b/>
                <w:bCs/>
                <w:color w:val="FFFFFF"/>
                <w:sz w:val="16"/>
                <w:szCs w:val="16"/>
                <w:lang w:eastAsia="sl-SI"/>
              </w:rPr>
              <w:t>Namen</w:t>
            </w:r>
            <w:r w:rsidR="00F721A0" w:rsidRPr="00F721A0">
              <w:rPr>
                <w:rFonts w:ascii="Arial Narrow" w:hAnsi="Arial Narrow"/>
                <w:b/>
                <w:bCs/>
                <w:color w:val="FFFFFF"/>
                <w:sz w:val="16"/>
                <w:szCs w:val="16"/>
                <w:lang w:eastAsia="sl-SI"/>
              </w:rPr>
              <w:t xml:space="preserve"> izplačila posameznikom</w:t>
            </w:r>
          </w:p>
        </w:tc>
        <w:tc>
          <w:tcPr>
            <w:tcW w:w="844" w:type="pct"/>
            <w:tcBorders>
              <w:top w:val="single" w:sz="4" w:space="0" w:color="9BBB59"/>
              <w:left w:val="nil"/>
              <w:bottom w:val="nil"/>
              <w:right w:val="nil"/>
            </w:tcBorders>
            <w:shd w:val="clear" w:color="9BBB59" w:fill="9BBB59"/>
          </w:tcPr>
          <w:p w:rsidR="00434352" w:rsidRPr="00A9503F" w:rsidRDefault="00434352" w:rsidP="001D1C7A">
            <w:pPr>
              <w:spacing w:after="0" w:line="240" w:lineRule="auto"/>
              <w:rPr>
                <w:rFonts w:ascii="Arial Narrow" w:hAnsi="Arial Narrow"/>
                <w:b/>
                <w:bCs/>
                <w:color w:val="FFFFFF"/>
                <w:sz w:val="16"/>
                <w:szCs w:val="16"/>
                <w:lang w:eastAsia="sl-SI"/>
              </w:rPr>
            </w:pPr>
            <w:r w:rsidRPr="00A9503F">
              <w:rPr>
                <w:rFonts w:ascii="Arial Narrow" w:hAnsi="Arial Narrow"/>
                <w:b/>
                <w:bCs/>
                <w:color w:val="FFFFFF"/>
                <w:sz w:val="16"/>
                <w:szCs w:val="16"/>
                <w:lang w:eastAsia="sl-SI"/>
              </w:rPr>
              <w:t>2002 (SIT)</w:t>
            </w:r>
          </w:p>
        </w:tc>
        <w:tc>
          <w:tcPr>
            <w:tcW w:w="844" w:type="pct"/>
            <w:tcBorders>
              <w:top w:val="single" w:sz="4" w:space="0" w:color="9BBB59"/>
              <w:left w:val="nil"/>
              <w:bottom w:val="nil"/>
              <w:right w:val="nil"/>
            </w:tcBorders>
            <w:shd w:val="clear" w:color="9BBB59" w:fill="9BBB59"/>
            <w:hideMark/>
          </w:tcPr>
          <w:p w:rsidR="00434352" w:rsidRPr="00A9503F" w:rsidRDefault="00434352" w:rsidP="001D1C7A">
            <w:pPr>
              <w:spacing w:after="0" w:line="240" w:lineRule="auto"/>
              <w:rPr>
                <w:rFonts w:ascii="Arial Narrow" w:hAnsi="Arial Narrow"/>
                <w:b/>
                <w:bCs/>
                <w:color w:val="FFFFFF"/>
                <w:sz w:val="16"/>
                <w:szCs w:val="16"/>
                <w:lang w:eastAsia="sl-SI"/>
              </w:rPr>
            </w:pPr>
            <w:r w:rsidRPr="00A9503F">
              <w:rPr>
                <w:rFonts w:ascii="Arial Narrow" w:hAnsi="Arial Narrow"/>
                <w:b/>
                <w:bCs/>
                <w:color w:val="FFFFFF"/>
                <w:sz w:val="16"/>
                <w:szCs w:val="16"/>
                <w:lang w:eastAsia="sl-SI"/>
              </w:rPr>
              <w:t>2002 (%)</w:t>
            </w:r>
          </w:p>
        </w:tc>
        <w:tc>
          <w:tcPr>
            <w:tcW w:w="844" w:type="pct"/>
            <w:tcBorders>
              <w:top w:val="single" w:sz="4" w:space="0" w:color="9BBB59"/>
              <w:left w:val="nil"/>
              <w:bottom w:val="nil"/>
              <w:right w:val="nil"/>
            </w:tcBorders>
            <w:shd w:val="clear" w:color="9BBB59" w:fill="9BBB59"/>
          </w:tcPr>
          <w:p w:rsidR="00434352" w:rsidRPr="00A9503F" w:rsidRDefault="00434352" w:rsidP="001D1C7A">
            <w:pPr>
              <w:spacing w:after="0" w:line="240" w:lineRule="auto"/>
              <w:rPr>
                <w:rFonts w:ascii="Arial Narrow" w:hAnsi="Arial Narrow"/>
                <w:b/>
                <w:bCs/>
                <w:color w:val="FFFFFF"/>
                <w:sz w:val="16"/>
                <w:szCs w:val="16"/>
                <w:lang w:eastAsia="sl-SI"/>
              </w:rPr>
            </w:pPr>
            <w:r w:rsidRPr="00A9503F">
              <w:rPr>
                <w:rFonts w:ascii="Arial Narrow" w:hAnsi="Arial Narrow"/>
                <w:b/>
                <w:bCs/>
                <w:color w:val="FFFFFF"/>
                <w:sz w:val="16"/>
                <w:szCs w:val="16"/>
                <w:lang w:eastAsia="sl-SI"/>
              </w:rPr>
              <w:t>2015 (EUR)</w:t>
            </w:r>
          </w:p>
        </w:tc>
        <w:tc>
          <w:tcPr>
            <w:tcW w:w="845" w:type="pct"/>
            <w:tcBorders>
              <w:top w:val="single" w:sz="4" w:space="0" w:color="9BBB59"/>
              <w:left w:val="nil"/>
              <w:bottom w:val="nil"/>
              <w:right w:val="single" w:sz="4" w:space="0" w:color="9BBB59"/>
            </w:tcBorders>
            <w:shd w:val="clear" w:color="9BBB59" w:fill="9BBB59"/>
            <w:hideMark/>
          </w:tcPr>
          <w:p w:rsidR="00434352" w:rsidRPr="00F721A0" w:rsidRDefault="00434352" w:rsidP="001D1C7A">
            <w:pPr>
              <w:spacing w:after="0" w:line="240" w:lineRule="auto"/>
              <w:rPr>
                <w:rFonts w:ascii="Arial Narrow" w:hAnsi="Arial Narrow"/>
                <w:b/>
                <w:bCs/>
                <w:color w:val="FFFFFF"/>
                <w:sz w:val="16"/>
                <w:szCs w:val="16"/>
                <w:lang w:eastAsia="sl-SI"/>
              </w:rPr>
            </w:pPr>
            <w:r w:rsidRPr="00F721A0">
              <w:rPr>
                <w:rFonts w:ascii="Arial Narrow" w:hAnsi="Arial Narrow"/>
                <w:b/>
                <w:bCs/>
                <w:color w:val="FFFFFF"/>
                <w:sz w:val="16"/>
                <w:szCs w:val="16"/>
                <w:lang w:eastAsia="sl-SI"/>
              </w:rPr>
              <w:t>2015 (%)</w:t>
            </w:r>
          </w:p>
        </w:tc>
      </w:tr>
      <w:tr w:rsidR="00434352" w:rsidRPr="001D1C7A" w:rsidTr="000A3183">
        <w:trPr>
          <w:trHeight w:val="102"/>
        </w:trPr>
        <w:tc>
          <w:tcPr>
            <w:tcW w:w="1622" w:type="pct"/>
            <w:tcBorders>
              <w:top w:val="single" w:sz="4" w:space="0" w:color="9BBB59"/>
              <w:left w:val="single" w:sz="4" w:space="0" w:color="9BBB59"/>
              <w:bottom w:val="nil"/>
              <w:right w:val="nil"/>
            </w:tcBorders>
            <w:shd w:val="clear" w:color="auto" w:fill="auto"/>
            <w:hideMark/>
          </w:tcPr>
          <w:p w:rsidR="00434352" w:rsidRPr="001D1C7A" w:rsidRDefault="00434352" w:rsidP="001D1C7A">
            <w:pPr>
              <w:spacing w:after="0" w:line="240" w:lineRule="auto"/>
              <w:rPr>
                <w:rFonts w:ascii="Arial Narrow" w:hAnsi="Arial Narrow"/>
                <w:bCs/>
                <w:color w:val="000000"/>
                <w:sz w:val="16"/>
                <w:szCs w:val="16"/>
                <w:lang w:eastAsia="sl-SI"/>
              </w:rPr>
            </w:pPr>
            <w:r w:rsidRPr="001D1C7A">
              <w:rPr>
                <w:rFonts w:ascii="Arial Narrow" w:hAnsi="Arial Narrow"/>
                <w:bCs/>
                <w:color w:val="000000"/>
                <w:sz w:val="16"/>
                <w:szCs w:val="16"/>
                <w:lang w:eastAsia="sl-SI"/>
              </w:rPr>
              <w:t>Prispevki za samozaposlene v kulturi</w:t>
            </w:r>
          </w:p>
        </w:tc>
        <w:tc>
          <w:tcPr>
            <w:tcW w:w="844" w:type="pct"/>
            <w:tcBorders>
              <w:top w:val="single" w:sz="4" w:space="0" w:color="9BBB59"/>
              <w:left w:val="nil"/>
              <w:bottom w:val="nil"/>
              <w:right w:val="nil"/>
            </w:tcBorders>
          </w:tcPr>
          <w:p w:rsidR="00434352" w:rsidRPr="001D1C7A" w:rsidRDefault="00B25CE2" w:rsidP="001D1C7A">
            <w:pPr>
              <w:spacing w:after="0" w:line="240" w:lineRule="auto"/>
              <w:rPr>
                <w:rFonts w:ascii="Arial Narrow" w:hAnsi="Arial Narrow"/>
                <w:color w:val="000000"/>
                <w:sz w:val="16"/>
                <w:szCs w:val="16"/>
                <w:lang w:eastAsia="sl-SI"/>
              </w:rPr>
            </w:pPr>
            <w:r w:rsidRPr="00B25CE2">
              <w:rPr>
                <w:rFonts w:ascii="Arial Narrow" w:hAnsi="Arial Narrow"/>
                <w:color w:val="000000"/>
                <w:sz w:val="16"/>
                <w:szCs w:val="16"/>
                <w:lang w:eastAsia="sl-SI"/>
              </w:rPr>
              <w:t>802.231.016,91</w:t>
            </w:r>
            <w:r w:rsidR="000A1DD2">
              <w:rPr>
                <w:rFonts w:ascii="Arial Narrow" w:hAnsi="Arial Narrow"/>
                <w:color w:val="000000"/>
                <w:sz w:val="16"/>
                <w:szCs w:val="16"/>
                <w:lang w:eastAsia="sl-SI"/>
              </w:rPr>
              <w:t xml:space="preserve"> </w:t>
            </w:r>
          </w:p>
        </w:tc>
        <w:tc>
          <w:tcPr>
            <w:tcW w:w="844" w:type="pct"/>
            <w:tcBorders>
              <w:top w:val="single" w:sz="4" w:space="0" w:color="9BBB59"/>
              <w:left w:val="nil"/>
              <w:bottom w:val="nil"/>
              <w:right w:val="nil"/>
            </w:tcBorders>
            <w:shd w:val="clear" w:color="auto" w:fill="auto"/>
            <w:hideMark/>
          </w:tcPr>
          <w:p w:rsidR="00434352" w:rsidRPr="001D1C7A" w:rsidRDefault="00434352" w:rsidP="001D1C7A">
            <w:pPr>
              <w:spacing w:after="0" w:line="240" w:lineRule="auto"/>
              <w:rPr>
                <w:rFonts w:ascii="Arial Narrow" w:hAnsi="Arial Narrow"/>
                <w:color w:val="000000"/>
                <w:sz w:val="16"/>
                <w:szCs w:val="16"/>
                <w:lang w:eastAsia="sl-SI"/>
              </w:rPr>
            </w:pPr>
            <w:r w:rsidRPr="001D1C7A">
              <w:rPr>
                <w:rFonts w:ascii="Arial Narrow" w:hAnsi="Arial Narrow"/>
                <w:color w:val="000000"/>
                <w:sz w:val="16"/>
                <w:szCs w:val="16"/>
                <w:lang w:eastAsia="sl-SI"/>
              </w:rPr>
              <w:t>82,35</w:t>
            </w:r>
          </w:p>
        </w:tc>
        <w:tc>
          <w:tcPr>
            <w:tcW w:w="844" w:type="pct"/>
            <w:tcBorders>
              <w:top w:val="single" w:sz="4" w:space="0" w:color="9BBB59"/>
              <w:left w:val="nil"/>
              <w:bottom w:val="nil"/>
              <w:right w:val="nil"/>
            </w:tcBorders>
          </w:tcPr>
          <w:p w:rsidR="00434352" w:rsidRPr="001D1C7A" w:rsidRDefault="00B25CE2" w:rsidP="001D1C7A">
            <w:pPr>
              <w:spacing w:after="0" w:line="240" w:lineRule="auto"/>
              <w:rPr>
                <w:rFonts w:ascii="Arial Narrow" w:hAnsi="Arial Narrow"/>
                <w:color w:val="000000"/>
                <w:sz w:val="16"/>
                <w:szCs w:val="16"/>
                <w:lang w:eastAsia="sl-SI"/>
              </w:rPr>
            </w:pPr>
            <w:r w:rsidRPr="00B25CE2">
              <w:rPr>
                <w:rFonts w:ascii="Arial Narrow" w:hAnsi="Arial Narrow"/>
                <w:color w:val="000000"/>
                <w:sz w:val="16"/>
                <w:szCs w:val="16"/>
                <w:lang w:eastAsia="sl-SI"/>
              </w:rPr>
              <w:t>6.604.625</w:t>
            </w:r>
          </w:p>
        </w:tc>
        <w:tc>
          <w:tcPr>
            <w:tcW w:w="845" w:type="pct"/>
            <w:tcBorders>
              <w:top w:val="single" w:sz="4" w:space="0" w:color="9BBB59"/>
              <w:left w:val="nil"/>
              <w:bottom w:val="nil"/>
              <w:right w:val="single" w:sz="4" w:space="0" w:color="9BBB59"/>
            </w:tcBorders>
            <w:shd w:val="clear" w:color="auto" w:fill="auto"/>
            <w:hideMark/>
          </w:tcPr>
          <w:p w:rsidR="00434352" w:rsidRPr="001D1C7A" w:rsidRDefault="00434352" w:rsidP="001D1C7A">
            <w:pPr>
              <w:spacing w:after="0" w:line="240" w:lineRule="auto"/>
              <w:rPr>
                <w:rFonts w:ascii="Arial Narrow" w:hAnsi="Arial Narrow"/>
                <w:color w:val="000000"/>
                <w:sz w:val="16"/>
                <w:szCs w:val="16"/>
                <w:lang w:eastAsia="sl-SI"/>
              </w:rPr>
            </w:pPr>
            <w:r w:rsidRPr="001D1C7A">
              <w:rPr>
                <w:rFonts w:ascii="Arial Narrow" w:hAnsi="Arial Narrow"/>
                <w:color w:val="000000"/>
                <w:sz w:val="16"/>
                <w:szCs w:val="16"/>
                <w:lang w:eastAsia="sl-SI"/>
              </w:rPr>
              <w:t>69,29</w:t>
            </w:r>
          </w:p>
        </w:tc>
      </w:tr>
      <w:tr w:rsidR="00434352" w:rsidRPr="001D1C7A" w:rsidTr="000A3183">
        <w:trPr>
          <w:trHeight w:val="102"/>
        </w:trPr>
        <w:tc>
          <w:tcPr>
            <w:tcW w:w="1622" w:type="pct"/>
            <w:tcBorders>
              <w:top w:val="single" w:sz="4" w:space="0" w:color="9BBB59"/>
              <w:left w:val="single" w:sz="4" w:space="0" w:color="9BBB59"/>
              <w:bottom w:val="nil"/>
              <w:right w:val="nil"/>
            </w:tcBorders>
            <w:shd w:val="clear" w:color="auto" w:fill="auto"/>
            <w:hideMark/>
          </w:tcPr>
          <w:p w:rsidR="00434352" w:rsidRPr="001D1C7A" w:rsidRDefault="00434352" w:rsidP="001D1C7A">
            <w:pPr>
              <w:spacing w:after="0" w:line="240" w:lineRule="auto"/>
              <w:rPr>
                <w:rFonts w:ascii="Arial Narrow" w:hAnsi="Arial Narrow"/>
                <w:bCs/>
                <w:color w:val="000000"/>
                <w:sz w:val="16"/>
                <w:szCs w:val="16"/>
                <w:lang w:eastAsia="sl-SI"/>
              </w:rPr>
            </w:pPr>
            <w:r w:rsidRPr="001D1C7A">
              <w:rPr>
                <w:rFonts w:ascii="Arial Narrow" w:hAnsi="Arial Narrow"/>
                <w:bCs/>
                <w:color w:val="000000"/>
                <w:sz w:val="16"/>
                <w:szCs w:val="16"/>
                <w:lang w:eastAsia="sl-SI"/>
              </w:rPr>
              <w:t>Republiška priznavalnina (dodatek k pokojnini)</w:t>
            </w:r>
          </w:p>
        </w:tc>
        <w:tc>
          <w:tcPr>
            <w:tcW w:w="844" w:type="pct"/>
            <w:tcBorders>
              <w:top w:val="single" w:sz="4" w:space="0" w:color="9BBB59"/>
              <w:left w:val="nil"/>
              <w:bottom w:val="nil"/>
              <w:right w:val="nil"/>
            </w:tcBorders>
          </w:tcPr>
          <w:p w:rsidR="00434352" w:rsidRPr="001D1C7A" w:rsidRDefault="00B25CE2" w:rsidP="001D1C7A">
            <w:pPr>
              <w:spacing w:after="0" w:line="240" w:lineRule="auto"/>
              <w:rPr>
                <w:rFonts w:ascii="Arial Narrow" w:hAnsi="Arial Narrow"/>
                <w:color w:val="000000"/>
                <w:sz w:val="16"/>
                <w:szCs w:val="16"/>
                <w:lang w:eastAsia="sl-SI"/>
              </w:rPr>
            </w:pPr>
            <w:r w:rsidRPr="00B25CE2">
              <w:rPr>
                <w:rFonts w:ascii="Arial Narrow" w:hAnsi="Arial Narrow"/>
                <w:color w:val="000000"/>
                <w:sz w:val="16"/>
                <w:szCs w:val="16"/>
                <w:lang w:eastAsia="sl-SI"/>
              </w:rPr>
              <w:t>32.198.515,80</w:t>
            </w:r>
            <w:r w:rsidR="000A1DD2">
              <w:rPr>
                <w:rFonts w:ascii="Arial Narrow" w:hAnsi="Arial Narrow"/>
                <w:color w:val="000000"/>
                <w:sz w:val="16"/>
                <w:szCs w:val="16"/>
                <w:lang w:eastAsia="sl-SI"/>
              </w:rPr>
              <w:t xml:space="preserve"> </w:t>
            </w:r>
          </w:p>
        </w:tc>
        <w:tc>
          <w:tcPr>
            <w:tcW w:w="844" w:type="pct"/>
            <w:tcBorders>
              <w:top w:val="single" w:sz="4" w:space="0" w:color="9BBB59"/>
              <w:left w:val="nil"/>
              <w:bottom w:val="nil"/>
              <w:right w:val="nil"/>
            </w:tcBorders>
            <w:shd w:val="clear" w:color="auto" w:fill="auto"/>
            <w:hideMark/>
          </w:tcPr>
          <w:p w:rsidR="00434352" w:rsidRPr="001D1C7A" w:rsidRDefault="00434352" w:rsidP="001D1C7A">
            <w:pPr>
              <w:spacing w:after="0" w:line="240" w:lineRule="auto"/>
              <w:rPr>
                <w:rFonts w:ascii="Arial Narrow" w:hAnsi="Arial Narrow"/>
                <w:color w:val="000000"/>
                <w:sz w:val="16"/>
                <w:szCs w:val="16"/>
                <w:lang w:eastAsia="sl-SI"/>
              </w:rPr>
            </w:pPr>
            <w:r w:rsidRPr="001D1C7A">
              <w:rPr>
                <w:rFonts w:ascii="Arial Narrow" w:hAnsi="Arial Narrow"/>
                <w:color w:val="000000"/>
                <w:sz w:val="16"/>
                <w:szCs w:val="16"/>
                <w:lang w:eastAsia="sl-SI"/>
              </w:rPr>
              <w:t>3,31</w:t>
            </w:r>
          </w:p>
        </w:tc>
        <w:tc>
          <w:tcPr>
            <w:tcW w:w="844" w:type="pct"/>
            <w:tcBorders>
              <w:top w:val="single" w:sz="4" w:space="0" w:color="9BBB59"/>
              <w:left w:val="nil"/>
              <w:bottom w:val="nil"/>
              <w:right w:val="nil"/>
            </w:tcBorders>
          </w:tcPr>
          <w:p w:rsidR="00434352" w:rsidRPr="001D1C7A" w:rsidRDefault="00B25CE2" w:rsidP="001D1C7A">
            <w:pPr>
              <w:spacing w:after="0" w:line="240" w:lineRule="auto"/>
              <w:rPr>
                <w:rFonts w:ascii="Arial Narrow" w:hAnsi="Arial Narrow"/>
                <w:color w:val="000000"/>
                <w:sz w:val="16"/>
                <w:szCs w:val="16"/>
                <w:lang w:eastAsia="sl-SI"/>
              </w:rPr>
            </w:pPr>
            <w:r w:rsidRPr="00B25CE2">
              <w:rPr>
                <w:rFonts w:ascii="Arial Narrow" w:hAnsi="Arial Narrow"/>
                <w:color w:val="000000"/>
                <w:sz w:val="16"/>
                <w:szCs w:val="16"/>
                <w:lang w:eastAsia="sl-SI"/>
              </w:rPr>
              <w:t>627.018</w:t>
            </w:r>
          </w:p>
        </w:tc>
        <w:tc>
          <w:tcPr>
            <w:tcW w:w="845" w:type="pct"/>
            <w:tcBorders>
              <w:top w:val="single" w:sz="4" w:space="0" w:color="9BBB59"/>
              <w:left w:val="nil"/>
              <w:bottom w:val="nil"/>
              <w:right w:val="single" w:sz="4" w:space="0" w:color="9BBB59"/>
            </w:tcBorders>
            <w:shd w:val="clear" w:color="auto" w:fill="auto"/>
            <w:hideMark/>
          </w:tcPr>
          <w:p w:rsidR="00434352" w:rsidRPr="001D1C7A" w:rsidRDefault="00434352" w:rsidP="001D1C7A">
            <w:pPr>
              <w:spacing w:after="0" w:line="240" w:lineRule="auto"/>
              <w:rPr>
                <w:rFonts w:ascii="Arial Narrow" w:hAnsi="Arial Narrow"/>
                <w:color w:val="000000"/>
                <w:sz w:val="16"/>
                <w:szCs w:val="16"/>
                <w:lang w:eastAsia="sl-SI"/>
              </w:rPr>
            </w:pPr>
            <w:r w:rsidRPr="001D1C7A">
              <w:rPr>
                <w:rFonts w:ascii="Arial Narrow" w:hAnsi="Arial Narrow"/>
                <w:color w:val="000000"/>
                <w:sz w:val="16"/>
                <w:szCs w:val="16"/>
                <w:lang w:eastAsia="sl-SI"/>
              </w:rPr>
              <w:t>6,58</w:t>
            </w:r>
          </w:p>
        </w:tc>
      </w:tr>
      <w:tr w:rsidR="00434352" w:rsidRPr="001D1C7A" w:rsidTr="000A3183">
        <w:trPr>
          <w:trHeight w:val="102"/>
        </w:trPr>
        <w:tc>
          <w:tcPr>
            <w:tcW w:w="1622" w:type="pct"/>
            <w:tcBorders>
              <w:top w:val="single" w:sz="4" w:space="0" w:color="9BBB59"/>
              <w:left w:val="single" w:sz="4" w:space="0" w:color="9BBB59"/>
              <w:bottom w:val="nil"/>
              <w:right w:val="nil"/>
            </w:tcBorders>
            <w:shd w:val="clear" w:color="auto" w:fill="auto"/>
            <w:hideMark/>
          </w:tcPr>
          <w:p w:rsidR="00434352" w:rsidRPr="001D1C7A" w:rsidRDefault="00434352" w:rsidP="001D1C7A">
            <w:pPr>
              <w:spacing w:after="0" w:line="240" w:lineRule="auto"/>
              <w:rPr>
                <w:rFonts w:ascii="Arial Narrow" w:hAnsi="Arial Narrow"/>
                <w:bCs/>
                <w:color w:val="000000"/>
                <w:sz w:val="16"/>
                <w:szCs w:val="16"/>
                <w:lang w:eastAsia="sl-SI"/>
              </w:rPr>
            </w:pPr>
            <w:r w:rsidRPr="001D1C7A">
              <w:rPr>
                <w:rFonts w:ascii="Arial Narrow" w:hAnsi="Arial Narrow"/>
                <w:bCs/>
                <w:color w:val="000000"/>
                <w:sz w:val="16"/>
                <w:szCs w:val="16"/>
                <w:lang w:eastAsia="sl-SI"/>
              </w:rPr>
              <w:t>Boleznina</w:t>
            </w:r>
          </w:p>
        </w:tc>
        <w:tc>
          <w:tcPr>
            <w:tcW w:w="844" w:type="pct"/>
            <w:tcBorders>
              <w:top w:val="single" w:sz="4" w:space="0" w:color="9BBB59"/>
              <w:left w:val="nil"/>
              <w:bottom w:val="nil"/>
              <w:right w:val="nil"/>
            </w:tcBorders>
          </w:tcPr>
          <w:p w:rsidR="00434352" w:rsidRPr="001D1C7A" w:rsidRDefault="00B25CE2" w:rsidP="001D1C7A">
            <w:pPr>
              <w:spacing w:after="0" w:line="240" w:lineRule="auto"/>
              <w:rPr>
                <w:rFonts w:ascii="Arial Narrow" w:hAnsi="Arial Narrow"/>
                <w:color w:val="000000"/>
                <w:sz w:val="16"/>
                <w:szCs w:val="16"/>
                <w:lang w:eastAsia="sl-SI"/>
              </w:rPr>
            </w:pPr>
            <w:r>
              <w:rPr>
                <w:rFonts w:ascii="Arial Narrow" w:hAnsi="Arial Narrow"/>
                <w:color w:val="000000"/>
                <w:sz w:val="16"/>
                <w:szCs w:val="16"/>
                <w:lang w:eastAsia="sl-SI"/>
              </w:rPr>
              <w:t>0</w:t>
            </w:r>
          </w:p>
        </w:tc>
        <w:tc>
          <w:tcPr>
            <w:tcW w:w="844" w:type="pct"/>
            <w:tcBorders>
              <w:top w:val="single" w:sz="4" w:space="0" w:color="9BBB59"/>
              <w:left w:val="nil"/>
              <w:bottom w:val="nil"/>
              <w:right w:val="nil"/>
            </w:tcBorders>
            <w:shd w:val="clear" w:color="auto" w:fill="auto"/>
            <w:hideMark/>
          </w:tcPr>
          <w:p w:rsidR="00434352" w:rsidRPr="001D1C7A" w:rsidRDefault="00434352" w:rsidP="001D1C7A">
            <w:pPr>
              <w:spacing w:after="0" w:line="240" w:lineRule="auto"/>
              <w:rPr>
                <w:rFonts w:ascii="Arial Narrow" w:hAnsi="Arial Narrow"/>
                <w:color w:val="000000"/>
                <w:sz w:val="16"/>
                <w:szCs w:val="16"/>
                <w:lang w:eastAsia="sl-SI"/>
              </w:rPr>
            </w:pPr>
            <w:r w:rsidRPr="001D1C7A">
              <w:rPr>
                <w:rFonts w:ascii="Arial Narrow" w:hAnsi="Arial Narrow"/>
                <w:color w:val="000000"/>
                <w:sz w:val="16"/>
                <w:szCs w:val="16"/>
                <w:lang w:eastAsia="sl-SI"/>
              </w:rPr>
              <w:t>0</w:t>
            </w:r>
          </w:p>
        </w:tc>
        <w:tc>
          <w:tcPr>
            <w:tcW w:w="844" w:type="pct"/>
            <w:tcBorders>
              <w:top w:val="single" w:sz="4" w:space="0" w:color="9BBB59"/>
              <w:left w:val="nil"/>
              <w:bottom w:val="nil"/>
              <w:right w:val="nil"/>
            </w:tcBorders>
          </w:tcPr>
          <w:p w:rsidR="00434352" w:rsidRPr="001D1C7A" w:rsidRDefault="00B25CE2" w:rsidP="001D1C7A">
            <w:pPr>
              <w:spacing w:after="0" w:line="240" w:lineRule="auto"/>
              <w:rPr>
                <w:rFonts w:ascii="Arial Narrow" w:hAnsi="Arial Narrow"/>
                <w:color w:val="000000"/>
                <w:sz w:val="16"/>
                <w:szCs w:val="16"/>
                <w:lang w:eastAsia="sl-SI"/>
              </w:rPr>
            </w:pPr>
            <w:r w:rsidRPr="00B25CE2">
              <w:rPr>
                <w:rFonts w:ascii="Arial Narrow" w:hAnsi="Arial Narrow"/>
                <w:color w:val="000000"/>
                <w:sz w:val="16"/>
                <w:szCs w:val="16"/>
                <w:lang w:eastAsia="sl-SI"/>
              </w:rPr>
              <w:t>13.920</w:t>
            </w:r>
          </w:p>
        </w:tc>
        <w:tc>
          <w:tcPr>
            <w:tcW w:w="845" w:type="pct"/>
            <w:tcBorders>
              <w:top w:val="single" w:sz="4" w:space="0" w:color="9BBB59"/>
              <w:left w:val="nil"/>
              <w:bottom w:val="nil"/>
              <w:right w:val="single" w:sz="4" w:space="0" w:color="9BBB59"/>
            </w:tcBorders>
            <w:shd w:val="clear" w:color="auto" w:fill="auto"/>
            <w:hideMark/>
          </w:tcPr>
          <w:p w:rsidR="00434352" w:rsidRPr="001D1C7A" w:rsidRDefault="00434352" w:rsidP="001D1C7A">
            <w:pPr>
              <w:spacing w:after="0" w:line="240" w:lineRule="auto"/>
              <w:rPr>
                <w:rFonts w:ascii="Arial Narrow" w:hAnsi="Arial Narrow"/>
                <w:color w:val="000000"/>
                <w:sz w:val="16"/>
                <w:szCs w:val="16"/>
                <w:lang w:eastAsia="sl-SI"/>
              </w:rPr>
            </w:pPr>
            <w:r w:rsidRPr="001D1C7A">
              <w:rPr>
                <w:rFonts w:ascii="Arial Narrow" w:hAnsi="Arial Narrow"/>
                <w:color w:val="000000"/>
                <w:sz w:val="16"/>
                <w:szCs w:val="16"/>
                <w:lang w:eastAsia="sl-SI"/>
              </w:rPr>
              <w:t>0,15</w:t>
            </w:r>
          </w:p>
        </w:tc>
      </w:tr>
      <w:tr w:rsidR="00434352" w:rsidRPr="001D1C7A" w:rsidTr="000A3183">
        <w:trPr>
          <w:trHeight w:val="102"/>
        </w:trPr>
        <w:tc>
          <w:tcPr>
            <w:tcW w:w="1622" w:type="pct"/>
            <w:tcBorders>
              <w:top w:val="single" w:sz="4" w:space="0" w:color="9BBB59"/>
              <w:left w:val="single" w:sz="4" w:space="0" w:color="9BBB59"/>
              <w:bottom w:val="nil"/>
              <w:right w:val="nil"/>
            </w:tcBorders>
            <w:shd w:val="clear" w:color="auto" w:fill="auto"/>
            <w:hideMark/>
          </w:tcPr>
          <w:p w:rsidR="00434352" w:rsidRPr="001D1C7A" w:rsidRDefault="00434352" w:rsidP="001D1C7A">
            <w:pPr>
              <w:spacing w:after="0" w:line="240" w:lineRule="auto"/>
              <w:rPr>
                <w:rFonts w:ascii="Arial Narrow" w:hAnsi="Arial Narrow"/>
                <w:bCs/>
                <w:color w:val="000000"/>
                <w:sz w:val="16"/>
                <w:szCs w:val="16"/>
                <w:lang w:eastAsia="sl-SI"/>
              </w:rPr>
            </w:pPr>
            <w:r w:rsidRPr="001D1C7A">
              <w:rPr>
                <w:rFonts w:ascii="Arial Narrow" w:hAnsi="Arial Narrow"/>
                <w:bCs/>
                <w:color w:val="000000"/>
                <w:sz w:val="16"/>
                <w:szCs w:val="16"/>
                <w:lang w:eastAsia="sl-SI"/>
              </w:rPr>
              <w:t>Štipendije</w:t>
            </w:r>
          </w:p>
        </w:tc>
        <w:tc>
          <w:tcPr>
            <w:tcW w:w="844" w:type="pct"/>
            <w:tcBorders>
              <w:top w:val="single" w:sz="4" w:space="0" w:color="9BBB59"/>
              <w:left w:val="nil"/>
              <w:bottom w:val="nil"/>
              <w:right w:val="nil"/>
            </w:tcBorders>
          </w:tcPr>
          <w:p w:rsidR="00434352" w:rsidRPr="001D1C7A" w:rsidRDefault="00B25CE2" w:rsidP="001D1C7A">
            <w:pPr>
              <w:spacing w:after="0" w:line="240" w:lineRule="auto"/>
              <w:rPr>
                <w:rFonts w:ascii="Arial Narrow" w:hAnsi="Arial Narrow"/>
                <w:color w:val="000000"/>
                <w:sz w:val="16"/>
                <w:szCs w:val="16"/>
                <w:lang w:eastAsia="sl-SI"/>
              </w:rPr>
            </w:pPr>
            <w:r w:rsidRPr="00B25CE2">
              <w:rPr>
                <w:rFonts w:ascii="Arial Narrow" w:hAnsi="Arial Narrow"/>
                <w:color w:val="000000"/>
                <w:sz w:val="16"/>
                <w:szCs w:val="16"/>
                <w:lang w:eastAsia="sl-SI"/>
              </w:rPr>
              <w:t>90.810.918,95</w:t>
            </w:r>
          </w:p>
        </w:tc>
        <w:tc>
          <w:tcPr>
            <w:tcW w:w="844" w:type="pct"/>
            <w:tcBorders>
              <w:top w:val="single" w:sz="4" w:space="0" w:color="9BBB59"/>
              <w:left w:val="nil"/>
              <w:bottom w:val="nil"/>
              <w:right w:val="nil"/>
            </w:tcBorders>
            <w:shd w:val="clear" w:color="auto" w:fill="auto"/>
            <w:hideMark/>
          </w:tcPr>
          <w:p w:rsidR="00434352" w:rsidRPr="001D1C7A" w:rsidRDefault="00434352" w:rsidP="001D1C7A">
            <w:pPr>
              <w:spacing w:after="0" w:line="240" w:lineRule="auto"/>
              <w:rPr>
                <w:rFonts w:ascii="Arial Narrow" w:hAnsi="Arial Narrow"/>
                <w:color w:val="000000"/>
                <w:sz w:val="16"/>
                <w:szCs w:val="16"/>
                <w:lang w:eastAsia="sl-SI"/>
              </w:rPr>
            </w:pPr>
            <w:r w:rsidRPr="001D1C7A">
              <w:rPr>
                <w:rFonts w:ascii="Arial Narrow" w:hAnsi="Arial Narrow"/>
                <w:color w:val="000000"/>
                <w:sz w:val="16"/>
                <w:szCs w:val="16"/>
                <w:lang w:eastAsia="sl-SI"/>
              </w:rPr>
              <w:t>9,32</w:t>
            </w:r>
          </w:p>
        </w:tc>
        <w:tc>
          <w:tcPr>
            <w:tcW w:w="844" w:type="pct"/>
            <w:tcBorders>
              <w:top w:val="single" w:sz="4" w:space="0" w:color="9BBB59"/>
              <w:left w:val="nil"/>
              <w:bottom w:val="nil"/>
              <w:right w:val="nil"/>
            </w:tcBorders>
          </w:tcPr>
          <w:p w:rsidR="00434352" w:rsidRPr="001D1C7A" w:rsidRDefault="00B25CE2" w:rsidP="001D1C7A">
            <w:pPr>
              <w:spacing w:after="0" w:line="240" w:lineRule="auto"/>
              <w:rPr>
                <w:rFonts w:ascii="Arial Narrow" w:hAnsi="Arial Narrow"/>
                <w:color w:val="000000"/>
                <w:sz w:val="16"/>
                <w:szCs w:val="16"/>
                <w:lang w:eastAsia="sl-SI"/>
              </w:rPr>
            </w:pPr>
            <w:r w:rsidRPr="00B25CE2">
              <w:rPr>
                <w:rFonts w:ascii="Arial Narrow" w:hAnsi="Arial Narrow"/>
                <w:color w:val="000000"/>
                <w:sz w:val="16"/>
                <w:szCs w:val="16"/>
                <w:lang w:eastAsia="sl-SI"/>
              </w:rPr>
              <w:t>523.607</w:t>
            </w:r>
          </w:p>
        </w:tc>
        <w:tc>
          <w:tcPr>
            <w:tcW w:w="845" w:type="pct"/>
            <w:tcBorders>
              <w:top w:val="single" w:sz="4" w:space="0" w:color="9BBB59"/>
              <w:left w:val="nil"/>
              <w:bottom w:val="nil"/>
              <w:right w:val="single" w:sz="4" w:space="0" w:color="9BBB59"/>
            </w:tcBorders>
            <w:shd w:val="clear" w:color="auto" w:fill="auto"/>
            <w:hideMark/>
          </w:tcPr>
          <w:p w:rsidR="00434352" w:rsidRPr="001D1C7A" w:rsidRDefault="00434352" w:rsidP="001D1C7A">
            <w:pPr>
              <w:spacing w:after="0" w:line="240" w:lineRule="auto"/>
              <w:rPr>
                <w:rFonts w:ascii="Arial Narrow" w:hAnsi="Arial Narrow"/>
                <w:color w:val="000000"/>
                <w:sz w:val="16"/>
                <w:szCs w:val="16"/>
                <w:lang w:eastAsia="sl-SI"/>
              </w:rPr>
            </w:pPr>
            <w:r w:rsidRPr="001D1C7A">
              <w:rPr>
                <w:rFonts w:ascii="Arial Narrow" w:hAnsi="Arial Narrow"/>
                <w:color w:val="000000"/>
                <w:sz w:val="16"/>
                <w:szCs w:val="16"/>
                <w:lang w:eastAsia="sl-SI"/>
              </w:rPr>
              <w:t>5,49</w:t>
            </w:r>
          </w:p>
        </w:tc>
      </w:tr>
      <w:tr w:rsidR="00434352" w:rsidRPr="001D1C7A" w:rsidTr="000A3183">
        <w:trPr>
          <w:trHeight w:val="102"/>
        </w:trPr>
        <w:tc>
          <w:tcPr>
            <w:tcW w:w="1622" w:type="pct"/>
            <w:tcBorders>
              <w:top w:val="single" w:sz="4" w:space="0" w:color="9BBB59"/>
              <w:left w:val="single" w:sz="4" w:space="0" w:color="9BBB59"/>
              <w:bottom w:val="nil"/>
              <w:right w:val="nil"/>
            </w:tcBorders>
            <w:shd w:val="clear" w:color="auto" w:fill="auto"/>
            <w:hideMark/>
          </w:tcPr>
          <w:p w:rsidR="00434352" w:rsidRPr="001D1C7A" w:rsidRDefault="00434352" w:rsidP="00B25CE2">
            <w:pPr>
              <w:spacing w:after="0" w:line="240" w:lineRule="auto"/>
              <w:rPr>
                <w:rFonts w:ascii="Arial Narrow" w:hAnsi="Arial Narrow"/>
                <w:bCs/>
                <w:color w:val="000000"/>
                <w:sz w:val="16"/>
                <w:szCs w:val="16"/>
                <w:lang w:eastAsia="sl-SI"/>
              </w:rPr>
            </w:pPr>
            <w:r w:rsidRPr="001D1C7A">
              <w:rPr>
                <w:rFonts w:ascii="Arial Narrow" w:hAnsi="Arial Narrow"/>
                <w:bCs/>
                <w:color w:val="000000"/>
                <w:sz w:val="16"/>
                <w:szCs w:val="16"/>
                <w:lang w:eastAsia="sl-SI"/>
              </w:rPr>
              <w:t>Umetniški projekti in knjižnično nadomestilo</w:t>
            </w:r>
            <w:r w:rsidR="001238AB" w:rsidRPr="001238AB">
              <w:rPr>
                <w:rFonts w:ascii="Arial Narrow" w:hAnsi="Arial Narrow"/>
                <w:bCs/>
                <w:color w:val="000000"/>
                <w:sz w:val="16"/>
                <w:szCs w:val="16"/>
                <w:vertAlign w:val="superscript"/>
                <w:lang w:eastAsia="sl-SI"/>
              </w:rPr>
              <w:t>1</w:t>
            </w:r>
          </w:p>
        </w:tc>
        <w:tc>
          <w:tcPr>
            <w:tcW w:w="844" w:type="pct"/>
            <w:tcBorders>
              <w:top w:val="single" w:sz="4" w:space="0" w:color="9BBB59"/>
              <w:left w:val="nil"/>
              <w:bottom w:val="nil"/>
              <w:right w:val="nil"/>
            </w:tcBorders>
          </w:tcPr>
          <w:p w:rsidR="00434352" w:rsidRPr="001D1C7A" w:rsidRDefault="00B25CE2" w:rsidP="001D1C7A">
            <w:pPr>
              <w:spacing w:after="0" w:line="240" w:lineRule="auto"/>
              <w:rPr>
                <w:rFonts w:ascii="Arial Narrow" w:hAnsi="Arial Narrow"/>
                <w:color w:val="000000"/>
                <w:sz w:val="16"/>
                <w:szCs w:val="16"/>
                <w:lang w:eastAsia="sl-SI"/>
              </w:rPr>
            </w:pPr>
            <w:r w:rsidRPr="00B25CE2">
              <w:rPr>
                <w:rFonts w:ascii="Arial Narrow" w:hAnsi="Arial Narrow"/>
                <w:color w:val="000000"/>
                <w:sz w:val="16"/>
                <w:szCs w:val="16"/>
                <w:lang w:eastAsia="sl-SI"/>
              </w:rPr>
              <w:t>4.891.900,00</w:t>
            </w:r>
          </w:p>
        </w:tc>
        <w:tc>
          <w:tcPr>
            <w:tcW w:w="844" w:type="pct"/>
            <w:tcBorders>
              <w:top w:val="single" w:sz="4" w:space="0" w:color="9BBB59"/>
              <w:left w:val="nil"/>
              <w:bottom w:val="nil"/>
              <w:right w:val="nil"/>
            </w:tcBorders>
            <w:shd w:val="clear" w:color="auto" w:fill="auto"/>
            <w:hideMark/>
          </w:tcPr>
          <w:p w:rsidR="00434352" w:rsidRPr="001D1C7A" w:rsidRDefault="00434352" w:rsidP="001D1C7A">
            <w:pPr>
              <w:spacing w:after="0" w:line="240" w:lineRule="auto"/>
              <w:rPr>
                <w:rFonts w:ascii="Arial Narrow" w:hAnsi="Arial Narrow"/>
                <w:color w:val="000000"/>
                <w:sz w:val="16"/>
                <w:szCs w:val="16"/>
                <w:lang w:eastAsia="sl-SI"/>
              </w:rPr>
            </w:pPr>
            <w:r w:rsidRPr="001D1C7A">
              <w:rPr>
                <w:rFonts w:ascii="Arial Narrow" w:hAnsi="Arial Narrow"/>
                <w:color w:val="000000"/>
                <w:sz w:val="16"/>
                <w:szCs w:val="16"/>
                <w:lang w:eastAsia="sl-SI"/>
              </w:rPr>
              <w:t>0,5</w:t>
            </w:r>
          </w:p>
        </w:tc>
        <w:tc>
          <w:tcPr>
            <w:tcW w:w="844" w:type="pct"/>
            <w:tcBorders>
              <w:top w:val="single" w:sz="4" w:space="0" w:color="9BBB59"/>
              <w:left w:val="nil"/>
              <w:bottom w:val="nil"/>
              <w:right w:val="nil"/>
            </w:tcBorders>
          </w:tcPr>
          <w:p w:rsidR="00434352" w:rsidRPr="001D1C7A" w:rsidRDefault="00B25CE2" w:rsidP="001D1C7A">
            <w:pPr>
              <w:spacing w:after="0" w:line="240" w:lineRule="auto"/>
              <w:rPr>
                <w:rFonts w:ascii="Arial Narrow" w:hAnsi="Arial Narrow"/>
                <w:color w:val="000000"/>
                <w:sz w:val="16"/>
                <w:szCs w:val="16"/>
                <w:lang w:eastAsia="sl-SI"/>
              </w:rPr>
            </w:pPr>
            <w:r w:rsidRPr="00B25CE2">
              <w:rPr>
                <w:rFonts w:ascii="Arial Narrow" w:hAnsi="Arial Narrow"/>
                <w:color w:val="000000"/>
                <w:sz w:val="16"/>
                <w:szCs w:val="16"/>
                <w:lang w:eastAsia="sl-SI"/>
              </w:rPr>
              <w:t>1.651.736</w:t>
            </w:r>
          </w:p>
        </w:tc>
        <w:tc>
          <w:tcPr>
            <w:tcW w:w="845" w:type="pct"/>
            <w:tcBorders>
              <w:top w:val="single" w:sz="4" w:space="0" w:color="9BBB59"/>
              <w:left w:val="nil"/>
              <w:bottom w:val="nil"/>
              <w:right w:val="single" w:sz="4" w:space="0" w:color="9BBB59"/>
            </w:tcBorders>
            <w:shd w:val="clear" w:color="auto" w:fill="auto"/>
            <w:hideMark/>
          </w:tcPr>
          <w:p w:rsidR="00434352" w:rsidRPr="001D1C7A" w:rsidRDefault="00434352" w:rsidP="001D1C7A">
            <w:pPr>
              <w:spacing w:after="0" w:line="240" w:lineRule="auto"/>
              <w:rPr>
                <w:rFonts w:ascii="Arial Narrow" w:hAnsi="Arial Narrow"/>
                <w:color w:val="000000"/>
                <w:sz w:val="16"/>
                <w:szCs w:val="16"/>
                <w:lang w:eastAsia="sl-SI"/>
              </w:rPr>
            </w:pPr>
            <w:r w:rsidRPr="001D1C7A">
              <w:rPr>
                <w:rFonts w:ascii="Arial Narrow" w:hAnsi="Arial Narrow"/>
                <w:color w:val="000000"/>
                <w:sz w:val="16"/>
                <w:szCs w:val="16"/>
                <w:lang w:eastAsia="sl-SI"/>
              </w:rPr>
              <w:t>17,33</w:t>
            </w:r>
          </w:p>
        </w:tc>
      </w:tr>
      <w:tr w:rsidR="00434352" w:rsidRPr="001D1C7A" w:rsidTr="000A3183">
        <w:trPr>
          <w:trHeight w:val="102"/>
        </w:trPr>
        <w:tc>
          <w:tcPr>
            <w:tcW w:w="1622" w:type="pct"/>
            <w:tcBorders>
              <w:top w:val="single" w:sz="4" w:space="0" w:color="9BBB59"/>
              <w:left w:val="single" w:sz="4" w:space="0" w:color="9BBB59"/>
              <w:bottom w:val="nil"/>
              <w:right w:val="nil"/>
            </w:tcBorders>
            <w:shd w:val="clear" w:color="auto" w:fill="auto"/>
            <w:hideMark/>
          </w:tcPr>
          <w:p w:rsidR="00434352" w:rsidRPr="001D1C7A" w:rsidRDefault="00434352" w:rsidP="001D1C7A">
            <w:pPr>
              <w:spacing w:after="0" w:line="240" w:lineRule="auto"/>
              <w:rPr>
                <w:rFonts w:ascii="Arial Narrow" w:hAnsi="Arial Narrow"/>
                <w:bCs/>
                <w:color w:val="000000"/>
                <w:sz w:val="16"/>
                <w:szCs w:val="16"/>
                <w:lang w:eastAsia="sl-SI"/>
              </w:rPr>
            </w:pPr>
            <w:r w:rsidRPr="001D1C7A">
              <w:rPr>
                <w:rFonts w:ascii="Arial Narrow" w:hAnsi="Arial Narrow"/>
                <w:bCs/>
                <w:color w:val="000000"/>
                <w:sz w:val="16"/>
                <w:szCs w:val="16"/>
                <w:lang w:eastAsia="sl-SI"/>
              </w:rPr>
              <w:t>Obnova kulturnih spomenikov</w:t>
            </w:r>
          </w:p>
        </w:tc>
        <w:tc>
          <w:tcPr>
            <w:tcW w:w="844" w:type="pct"/>
            <w:tcBorders>
              <w:top w:val="single" w:sz="4" w:space="0" w:color="9BBB59"/>
              <w:left w:val="nil"/>
              <w:bottom w:val="nil"/>
              <w:right w:val="nil"/>
            </w:tcBorders>
          </w:tcPr>
          <w:p w:rsidR="00434352" w:rsidRPr="001D1C7A" w:rsidRDefault="00B25CE2" w:rsidP="001D1C7A">
            <w:pPr>
              <w:spacing w:after="0" w:line="240" w:lineRule="auto"/>
              <w:rPr>
                <w:rFonts w:ascii="Arial Narrow" w:hAnsi="Arial Narrow"/>
                <w:color w:val="000000"/>
                <w:sz w:val="16"/>
                <w:szCs w:val="16"/>
                <w:lang w:eastAsia="sl-SI"/>
              </w:rPr>
            </w:pPr>
            <w:r w:rsidRPr="00B25CE2">
              <w:rPr>
                <w:rFonts w:ascii="Arial Narrow" w:hAnsi="Arial Narrow"/>
                <w:color w:val="000000"/>
                <w:sz w:val="16"/>
                <w:szCs w:val="16"/>
                <w:lang w:eastAsia="sl-SI"/>
              </w:rPr>
              <w:t>44.059.909,00</w:t>
            </w:r>
          </w:p>
        </w:tc>
        <w:tc>
          <w:tcPr>
            <w:tcW w:w="844" w:type="pct"/>
            <w:tcBorders>
              <w:top w:val="single" w:sz="4" w:space="0" w:color="9BBB59"/>
              <w:left w:val="nil"/>
              <w:bottom w:val="nil"/>
              <w:right w:val="nil"/>
            </w:tcBorders>
            <w:shd w:val="clear" w:color="auto" w:fill="auto"/>
            <w:hideMark/>
          </w:tcPr>
          <w:p w:rsidR="00434352" w:rsidRPr="001D1C7A" w:rsidRDefault="00434352" w:rsidP="001D1C7A">
            <w:pPr>
              <w:spacing w:after="0" w:line="240" w:lineRule="auto"/>
              <w:rPr>
                <w:rFonts w:ascii="Arial Narrow" w:hAnsi="Arial Narrow"/>
                <w:color w:val="000000"/>
                <w:sz w:val="16"/>
                <w:szCs w:val="16"/>
                <w:lang w:eastAsia="sl-SI"/>
              </w:rPr>
            </w:pPr>
            <w:r w:rsidRPr="001D1C7A">
              <w:rPr>
                <w:rFonts w:ascii="Arial Narrow" w:hAnsi="Arial Narrow"/>
                <w:color w:val="000000"/>
                <w:sz w:val="16"/>
                <w:szCs w:val="16"/>
                <w:lang w:eastAsia="sl-SI"/>
              </w:rPr>
              <w:t>4,52</w:t>
            </w:r>
          </w:p>
        </w:tc>
        <w:tc>
          <w:tcPr>
            <w:tcW w:w="844" w:type="pct"/>
            <w:tcBorders>
              <w:top w:val="single" w:sz="4" w:space="0" w:color="9BBB59"/>
              <w:left w:val="nil"/>
              <w:bottom w:val="nil"/>
              <w:right w:val="nil"/>
            </w:tcBorders>
          </w:tcPr>
          <w:p w:rsidR="00434352" w:rsidRPr="001D1C7A" w:rsidRDefault="00B25CE2" w:rsidP="001D1C7A">
            <w:pPr>
              <w:spacing w:after="0" w:line="240" w:lineRule="auto"/>
              <w:rPr>
                <w:rFonts w:ascii="Arial Narrow" w:hAnsi="Arial Narrow"/>
                <w:color w:val="000000"/>
                <w:sz w:val="16"/>
                <w:szCs w:val="16"/>
                <w:lang w:eastAsia="sl-SI"/>
              </w:rPr>
            </w:pPr>
            <w:r w:rsidRPr="00B25CE2">
              <w:rPr>
                <w:rFonts w:ascii="Arial Narrow" w:hAnsi="Arial Narrow"/>
                <w:color w:val="000000"/>
                <w:sz w:val="16"/>
                <w:szCs w:val="16"/>
                <w:lang w:eastAsia="sl-SI"/>
              </w:rPr>
              <w:t>110.759</w:t>
            </w:r>
          </w:p>
        </w:tc>
        <w:tc>
          <w:tcPr>
            <w:tcW w:w="845" w:type="pct"/>
            <w:tcBorders>
              <w:top w:val="single" w:sz="4" w:space="0" w:color="9BBB59"/>
              <w:left w:val="nil"/>
              <w:bottom w:val="nil"/>
              <w:right w:val="single" w:sz="4" w:space="0" w:color="9BBB59"/>
            </w:tcBorders>
            <w:shd w:val="clear" w:color="auto" w:fill="auto"/>
            <w:hideMark/>
          </w:tcPr>
          <w:p w:rsidR="00434352" w:rsidRPr="001D1C7A" w:rsidRDefault="00434352" w:rsidP="001D1C7A">
            <w:pPr>
              <w:spacing w:after="0" w:line="240" w:lineRule="auto"/>
              <w:rPr>
                <w:rFonts w:ascii="Arial Narrow" w:hAnsi="Arial Narrow"/>
                <w:color w:val="000000"/>
                <w:sz w:val="16"/>
                <w:szCs w:val="16"/>
                <w:lang w:eastAsia="sl-SI"/>
              </w:rPr>
            </w:pPr>
            <w:r w:rsidRPr="001D1C7A">
              <w:rPr>
                <w:rFonts w:ascii="Arial Narrow" w:hAnsi="Arial Narrow"/>
                <w:color w:val="000000"/>
                <w:sz w:val="16"/>
                <w:szCs w:val="16"/>
                <w:lang w:eastAsia="sl-SI"/>
              </w:rPr>
              <w:t>1,16</w:t>
            </w:r>
          </w:p>
        </w:tc>
      </w:tr>
      <w:tr w:rsidR="00434352" w:rsidRPr="001D1C7A" w:rsidTr="000A3183">
        <w:trPr>
          <w:trHeight w:val="102"/>
        </w:trPr>
        <w:tc>
          <w:tcPr>
            <w:tcW w:w="1622" w:type="pct"/>
            <w:tcBorders>
              <w:top w:val="single" w:sz="4" w:space="0" w:color="9BBB59"/>
              <w:left w:val="single" w:sz="4" w:space="0" w:color="9BBB59"/>
              <w:bottom w:val="single" w:sz="4" w:space="0" w:color="9BBB59"/>
              <w:right w:val="nil"/>
            </w:tcBorders>
            <w:shd w:val="clear" w:color="auto" w:fill="auto"/>
            <w:hideMark/>
          </w:tcPr>
          <w:p w:rsidR="00434352" w:rsidRPr="00B25CE2" w:rsidRDefault="00434352" w:rsidP="001D1C7A">
            <w:pPr>
              <w:spacing w:after="0" w:line="240" w:lineRule="auto"/>
              <w:rPr>
                <w:rFonts w:ascii="Arial Narrow" w:hAnsi="Arial Narrow"/>
                <w:b/>
                <w:bCs/>
                <w:color w:val="000000"/>
                <w:sz w:val="16"/>
                <w:szCs w:val="16"/>
                <w:lang w:eastAsia="sl-SI"/>
              </w:rPr>
            </w:pPr>
            <w:r w:rsidRPr="00B25CE2">
              <w:rPr>
                <w:rFonts w:ascii="Arial Narrow" w:hAnsi="Arial Narrow"/>
                <w:b/>
                <w:bCs/>
                <w:color w:val="000000"/>
                <w:sz w:val="16"/>
                <w:szCs w:val="16"/>
                <w:lang w:eastAsia="sl-SI"/>
              </w:rPr>
              <w:t>Skupaj</w:t>
            </w:r>
          </w:p>
        </w:tc>
        <w:tc>
          <w:tcPr>
            <w:tcW w:w="844" w:type="pct"/>
            <w:tcBorders>
              <w:top w:val="single" w:sz="4" w:space="0" w:color="9BBB59"/>
              <w:left w:val="nil"/>
              <w:bottom w:val="single" w:sz="4" w:space="0" w:color="9BBB59"/>
              <w:right w:val="nil"/>
            </w:tcBorders>
          </w:tcPr>
          <w:p w:rsidR="00434352" w:rsidRPr="00B25CE2" w:rsidRDefault="00B25CE2" w:rsidP="001D1C7A">
            <w:pPr>
              <w:spacing w:after="0" w:line="240" w:lineRule="auto"/>
              <w:rPr>
                <w:rFonts w:ascii="Arial Narrow" w:hAnsi="Arial Narrow"/>
                <w:b/>
                <w:color w:val="000000"/>
                <w:sz w:val="16"/>
                <w:szCs w:val="16"/>
                <w:lang w:eastAsia="sl-SI"/>
              </w:rPr>
            </w:pPr>
            <w:r w:rsidRPr="00B25CE2">
              <w:rPr>
                <w:rFonts w:ascii="Arial Narrow" w:hAnsi="Arial Narrow"/>
                <w:b/>
                <w:color w:val="000000"/>
                <w:sz w:val="16"/>
                <w:szCs w:val="16"/>
                <w:lang w:eastAsia="sl-SI"/>
              </w:rPr>
              <w:t>974.192.260,66</w:t>
            </w:r>
          </w:p>
        </w:tc>
        <w:tc>
          <w:tcPr>
            <w:tcW w:w="844" w:type="pct"/>
            <w:tcBorders>
              <w:top w:val="single" w:sz="4" w:space="0" w:color="9BBB59"/>
              <w:left w:val="nil"/>
              <w:bottom w:val="single" w:sz="4" w:space="0" w:color="9BBB59"/>
              <w:right w:val="nil"/>
            </w:tcBorders>
            <w:shd w:val="clear" w:color="auto" w:fill="auto"/>
            <w:hideMark/>
          </w:tcPr>
          <w:p w:rsidR="00434352" w:rsidRPr="00B25CE2" w:rsidRDefault="00434352" w:rsidP="001D1C7A">
            <w:pPr>
              <w:spacing w:after="0" w:line="240" w:lineRule="auto"/>
              <w:rPr>
                <w:rFonts w:ascii="Arial Narrow" w:hAnsi="Arial Narrow"/>
                <w:b/>
                <w:color w:val="000000"/>
                <w:sz w:val="16"/>
                <w:szCs w:val="16"/>
                <w:lang w:eastAsia="sl-SI"/>
              </w:rPr>
            </w:pPr>
            <w:r w:rsidRPr="00B25CE2">
              <w:rPr>
                <w:rFonts w:ascii="Arial Narrow" w:hAnsi="Arial Narrow"/>
                <w:b/>
                <w:color w:val="000000"/>
                <w:sz w:val="16"/>
                <w:szCs w:val="16"/>
                <w:lang w:eastAsia="sl-SI"/>
              </w:rPr>
              <w:t>100</w:t>
            </w:r>
          </w:p>
        </w:tc>
        <w:tc>
          <w:tcPr>
            <w:tcW w:w="844" w:type="pct"/>
            <w:tcBorders>
              <w:top w:val="single" w:sz="4" w:space="0" w:color="9BBB59"/>
              <w:left w:val="nil"/>
              <w:bottom w:val="single" w:sz="4" w:space="0" w:color="9BBB59"/>
              <w:right w:val="nil"/>
            </w:tcBorders>
          </w:tcPr>
          <w:p w:rsidR="00434352" w:rsidRPr="00B25CE2" w:rsidRDefault="00B25CE2" w:rsidP="001D1C7A">
            <w:pPr>
              <w:spacing w:after="0" w:line="240" w:lineRule="auto"/>
              <w:rPr>
                <w:rFonts w:ascii="Arial Narrow" w:hAnsi="Arial Narrow"/>
                <w:b/>
                <w:color w:val="000000"/>
                <w:sz w:val="16"/>
                <w:szCs w:val="16"/>
                <w:lang w:eastAsia="sl-SI"/>
              </w:rPr>
            </w:pPr>
            <w:r w:rsidRPr="00B25CE2">
              <w:rPr>
                <w:rFonts w:ascii="Arial Narrow" w:hAnsi="Arial Narrow"/>
                <w:b/>
                <w:color w:val="000000"/>
                <w:sz w:val="16"/>
                <w:szCs w:val="16"/>
                <w:lang w:eastAsia="sl-SI"/>
              </w:rPr>
              <w:t>9.531.664</w:t>
            </w:r>
          </w:p>
        </w:tc>
        <w:tc>
          <w:tcPr>
            <w:tcW w:w="845" w:type="pct"/>
            <w:tcBorders>
              <w:top w:val="single" w:sz="4" w:space="0" w:color="9BBB59"/>
              <w:left w:val="nil"/>
              <w:bottom w:val="single" w:sz="4" w:space="0" w:color="9BBB59"/>
              <w:right w:val="single" w:sz="4" w:space="0" w:color="9BBB59"/>
            </w:tcBorders>
            <w:shd w:val="clear" w:color="auto" w:fill="auto"/>
            <w:hideMark/>
          </w:tcPr>
          <w:p w:rsidR="00434352" w:rsidRPr="00B25CE2" w:rsidRDefault="00434352" w:rsidP="001D1C7A">
            <w:pPr>
              <w:spacing w:after="0" w:line="240" w:lineRule="auto"/>
              <w:rPr>
                <w:rFonts w:ascii="Arial Narrow" w:hAnsi="Arial Narrow"/>
                <w:b/>
                <w:color w:val="000000"/>
                <w:sz w:val="16"/>
                <w:szCs w:val="16"/>
                <w:lang w:eastAsia="sl-SI"/>
              </w:rPr>
            </w:pPr>
            <w:r w:rsidRPr="00B25CE2">
              <w:rPr>
                <w:rFonts w:ascii="Arial Narrow" w:hAnsi="Arial Narrow"/>
                <w:b/>
                <w:color w:val="000000"/>
                <w:sz w:val="16"/>
                <w:szCs w:val="16"/>
                <w:lang w:eastAsia="sl-SI"/>
              </w:rPr>
              <w:t>100</w:t>
            </w:r>
          </w:p>
        </w:tc>
      </w:tr>
    </w:tbl>
    <w:p w:rsidR="00F27FDF" w:rsidRDefault="001D1C7A" w:rsidP="00715A47">
      <w:pPr>
        <w:pStyle w:val="Podpispodtabeloaligrafom"/>
        <w:spacing w:after="0"/>
      </w:pPr>
      <w:r w:rsidRPr="009961C1">
        <w:t>Vir: Ministrstvo za kulturo</w:t>
      </w:r>
      <w:r w:rsidR="00367DF7" w:rsidRPr="009961C1">
        <w:t xml:space="preserve"> in Javna agencija RS za knjigo.</w:t>
      </w:r>
    </w:p>
    <w:p w:rsidR="001D1C7A" w:rsidRDefault="0071341A" w:rsidP="001D1C7A">
      <w:pPr>
        <w:pStyle w:val="Podpispodtabeloaligrafom"/>
      </w:pPr>
      <w:r w:rsidRPr="0071341A">
        <w:t xml:space="preserve">* Upoštevani so naslednji izplačevalci: a) v letu 2002: Ministrstvo za kulturo in Uprava RS za kulturno dediščino (njena sredstva so bila že pred letom 2004, ko je bila ukinjena in je njeno delo prevzelo Ministrstvo za </w:t>
      </w:r>
      <w:r w:rsidR="00F721A0">
        <w:t>kulturo, formalni del njegovega</w:t>
      </w:r>
      <w:r w:rsidRPr="0071341A">
        <w:t xml:space="preserve"> proračuna, iz katerega se je financiralo področje kulturne dediščine). 2) v letu 2015: Ministrstvo za kulturo in Javna</w:t>
      </w:r>
      <w:r w:rsidR="00A47669">
        <w:t xml:space="preserve"> </w:t>
      </w:r>
      <w:r w:rsidRPr="0071341A">
        <w:t>agencija za knjigo. Njena izplačila smo v letu 2015 upoštevali zato, ker je njen</w:t>
      </w:r>
      <w:r w:rsidR="00F721A0">
        <w:t>e</w:t>
      </w:r>
      <w:r w:rsidRPr="0071341A">
        <w:t xml:space="preserve"> </w:t>
      </w:r>
      <w:r w:rsidR="00F721A0">
        <w:t>naloge</w:t>
      </w:r>
      <w:r w:rsidRPr="0071341A">
        <w:t xml:space="preserve"> (vključno s financiranjem projektov in programov posameznikov in založb ter društev) v letu 2002 še opravljalo Ministrstvo za </w:t>
      </w:r>
      <w:r w:rsidRPr="00E93529">
        <w:t>kulturo.</w:t>
      </w:r>
      <w:r w:rsidR="00481C64" w:rsidRPr="00E93529">
        <w:t xml:space="preserve"> Izplačil Slovenskega filmskega centra – javne agencije RS in izplačil Javnega sklada RS za kulturne dejavnosti nismo upoštevali v nobenem letu, ker sta v obeh letih delovala samostojno in tudi zaradi nedostopnosti celovitih podatkov.</w:t>
      </w:r>
      <w:r w:rsidR="00A9503F" w:rsidRPr="00E93529">
        <w:t xml:space="preserve"> Navedeno pomeni, da s to tabelo nista primerljiva tabela</w:t>
      </w:r>
      <w:r w:rsidR="001A3639" w:rsidRPr="00E93529">
        <w:t xml:space="preserve"> </w:t>
      </w:r>
      <w:r w:rsidR="001A3639" w:rsidRPr="00E93529">
        <w:rPr>
          <w:i/>
        </w:rPr>
        <w:t xml:space="preserve">11 </w:t>
      </w:r>
      <w:r w:rsidR="009D2088" w:rsidRPr="00E93529">
        <w:rPr>
          <w:i/>
        </w:rPr>
        <w:t>Struktura realizacije proračuna Ministrstva za kulturo po prejemnikih sredstev (2002–2015)</w:t>
      </w:r>
      <w:r w:rsidR="00A9503F" w:rsidRPr="00E93529">
        <w:t xml:space="preserve"> </w:t>
      </w:r>
      <w:r w:rsidR="00E93529" w:rsidRPr="00E93529">
        <w:t xml:space="preserve">in </w:t>
      </w:r>
      <w:r w:rsidR="00E93529" w:rsidRPr="00E93529">
        <w:rPr>
          <w:i/>
        </w:rPr>
        <w:t>graf 13</w:t>
      </w:r>
      <w:r w:rsidR="009D2088" w:rsidRPr="00E93529">
        <w:rPr>
          <w:i/>
        </w:rPr>
        <w:t xml:space="preserve"> Struktura realizacije proračuna Ministrstva za kulturo po prejemnikih sredstev (2015).</w:t>
      </w:r>
    </w:p>
    <w:p w:rsidR="009961C1" w:rsidRPr="00B25CE2" w:rsidRDefault="00367DF7" w:rsidP="00F721A0">
      <w:pPr>
        <w:pStyle w:val="Podpispodtabeloaligrafom"/>
      </w:pPr>
      <w:r w:rsidRPr="00367DF7">
        <w:rPr>
          <w:vertAlign w:val="superscript"/>
        </w:rPr>
        <w:t>1</w:t>
      </w:r>
      <w:r w:rsidR="00B25CE2">
        <w:t xml:space="preserve">Knjižnično nadomestilo je leta 2015 (za leto 2014) znašalo </w:t>
      </w:r>
      <w:r w:rsidR="00B25CE2" w:rsidRPr="00B25CE2">
        <w:t>288.879,00</w:t>
      </w:r>
      <w:r w:rsidR="00B25CE2">
        <w:t xml:space="preserve"> EUR.</w:t>
      </w:r>
    </w:p>
    <w:p w:rsidR="00A70FBB" w:rsidRDefault="00A70FBB" w:rsidP="00F27FDF">
      <w:pPr>
        <w:pStyle w:val="Podnaslov3"/>
      </w:pPr>
    </w:p>
    <w:p w:rsidR="00B50F5E" w:rsidRPr="00B50F5E" w:rsidRDefault="00B50F5E" w:rsidP="005A1700">
      <w:r>
        <w:t xml:space="preserve">Samostojni ustvarjalci v kulturi imajo možnost pridobiti status samozaposlenega v kulturi, ki ob določenih pogojih </w:t>
      </w:r>
      <w:r w:rsidR="00F45CD2">
        <w:t>(</w:t>
      </w:r>
      <w:r w:rsidR="00DB3390">
        <w:t>izjemna</w:t>
      </w:r>
      <w:r w:rsidR="00F45CD2">
        <w:t xml:space="preserve"> kakovost dela v zadnjih petih letih in dohodki, ki ne zagotavljajo normalnih pogojev za delo)</w:t>
      </w:r>
      <w:r w:rsidR="00F45CD2">
        <w:rPr>
          <w:rStyle w:val="Sprotnaopomba-sklic"/>
        </w:rPr>
        <w:footnoteReference w:id="63"/>
      </w:r>
      <w:r w:rsidR="00F45CD2">
        <w:t xml:space="preserve"> </w:t>
      </w:r>
      <w:r>
        <w:t xml:space="preserve">omogoča tudi </w:t>
      </w:r>
      <w:r w:rsidRPr="0045780A">
        <w:rPr>
          <w:b/>
        </w:rPr>
        <w:t>pravico do plačila prispevkov za socialno varnost iz državnega proračuna</w:t>
      </w:r>
      <w:r>
        <w:t xml:space="preserve">: </w:t>
      </w:r>
      <w:r w:rsidRPr="00B50F5E">
        <w:t>prispevk</w:t>
      </w:r>
      <w:r w:rsidR="00F45CD2">
        <w:t>ov</w:t>
      </w:r>
      <w:r w:rsidRPr="00B50F5E">
        <w:t xml:space="preserve"> za obvezno pokojninsko in invalidsko zavarovanje, za obvezno zdravstveno zavarovanje ter za starševsko varstvo in za zaposlovanje</w:t>
      </w:r>
      <w:r w:rsidR="002E581A">
        <w:t>.</w:t>
      </w:r>
    </w:p>
    <w:p w:rsidR="00DB3390" w:rsidRPr="00DA0B08" w:rsidRDefault="0045780A" w:rsidP="005A1700">
      <w:pPr>
        <w:jc w:val="both"/>
        <w:rPr>
          <w:rFonts w:cs="Arial"/>
          <w:szCs w:val="20"/>
          <w:highlight w:val="cyan"/>
        </w:rPr>
      </w:pPr>
      <w:r w:rsidRPr="00DA0B08">
        <w:rPr>
          <w:rFonts w:cs="Arial"/>
          <w:szCs w:val="20"/>
        </w:rPr>
        <w:t>Samozaposleni v kulturi lahko</w:t>
      </w:r>
      <w:r w:rsidR="00DA0B08">
        <w:rPr>
          <w:rFonts w:cs="Arial"/>
          <w:szCs w:val="20"/>
        </w:rPr>
        <w:t xml:space="preserve"> največ enkrat v letu</w:t>
      </w:r>
      <w:r w:rsidRPr="00DA0B08">
        <w:rPr>
          <w:rFonts w:cs="Arial"/>
          <w:szCs w:val="20"/>
        </w:rPr>
        <w:t xml:space="preserve"> </w:t>
      </w:r>
      <w:r w:rsidRPr="00703035">
        <w:rPr>
          <w:rFonts w:cs="Arial"/>
          <w:b/>
          <w:szCs w:val="20"/>
        </w:rPr>
        <w:t>za čas</w:t>
      </w:r>
      <w:r w:rsidRPr="00DA0B08">
        <w:rPr>
          <w:rFonts w:cs="Arial"/>
          <w:szCs w:val="20"/>
        </w:rPr>
        <w:t xml:space="preserve"> </w:t>
      </w:r>
      <w:r w:rsidRPr="00703035">
        <w:rPr>
          <w:rFonts w:cs="Arial"/>
          <w:b/>
          <w:szCs w:val="20"/>
        </w:rPr>
        <w:t>zadržanosti z dela zaradi bolezni</w:t>
      </w:r>
      <w:r w:rsidRPr="00DA0B08">
        <w:rPr>
          <w:rFonts w:cs="Arial"/>
          <w:szCs w:val="20"/>
        </w:rPr>
        <w:t xml:space="preserve">, ki traja najmanj 31 delovnih dni, prejme </w:t>
      </w:r>
      <w:r w:rsidRPr="00703035">
        <w:rPr>
          <w:rFonts w:cs="Arial"/>
          <w:b/>
          <w:szCs w:val="20"/>
        </w:rPr>
        <w:t>dnevno nadomestilo</w:t>
      </w:r>
      <w:r w:rsidRPr="00DA0B08">
        <w:rPr>
          <w:rFonts w:cs="Arial"/>
          <w:szCs w:val="20"/>
        </w:rPr>
        <w:t xml:space="preserve"> za delovne dni do vklj</w:t>
      </w:r>
      <w:r w:rsidR="00DA0B08">
        <w:rPr>
          <w:rFonts w:cs="Arial"/>
          <w:szCs w:val="20"/>
        </w:rPr>
        <w:t>učno 30. delovnega dne bolezni.</w:t>
      </w:r>
    </w:p>
    <w:p w:rsidR="007B2DFF" w:rsidRDefault="007643CB" w:rsidP="00F32E7C">
      <w:pPr>
        <w:spacing w:line="240" w:lineRule="auto"/>
      </w:pPr>
      <w:r>
        <w:t>Tretja pravica je</w:t>
      </w:r>
      <w:r w:rsidR="007B2DFF" w:rsidRPr="00DA0B08">
        <w:t xml:space="preserve"> </w:t>
      </w:r>
      <w:r w:rsidR="007B2DFF" w:rsidRPr="00703035">
        <w:rPr>
          <w:b/>
        </w:rPr>
        <w:t>republiška priznavalnina,</w:t>
      </w:r>
      <w:r w:rsidR="007B2DFF" w:rsidRPr="00DA0B08">
        <w:t xml:space="preserve"> ki se jo lahko dodeli upokojenemu ustvarjalcu na področju kulture, ki je posebej pomembno prispeval k slovenski kulturi, njegova pokojnina pa ni ustrezna danemu prispevku. Po trenutni ureditvi je republiška priznavalnina enaka razliki med zneskom 771,62 EUR </w:t>
      </w:r>
      <w:r w:rsidR="009961C1">
        <w:t>ter</w:t>
      </w:r>
      <w:r w:rsidR="007B2DFF" w:rsidRPr="00DA0B08">
        <w:t xml:space="preserve"> višino predlagateljeve </w:t>
      </w:r>
      <w:proofErr w:type="spellStart"/>
      <w:r w:rsidR="007B2DFF" w:rsidRPr="00DA0B08">
        <w:t>izplačevane</w:t>
      </w:r>
      <w:proofErr w:type="spellEnd"/>
      <w:r w:rsidR="007B2DFF" w:rsidRPr="00DA0B08">
        <w:t xml:space="preserve"> pokojnine v Republiki Sloveniji in v drugih državah.</w:t>
      </w:r>
    </w:p>
    <w:p w:rsidR="00DA0B08" w:rsidRPr="007B2DFF" w:rsidRDefault="00DA0B08" w:rsidP="00DA0B08">
      <w:r>
        <w:t>Sredstva za vse te tri socialne transfere zagotavlja proračun Ministrstva za kulturo.</w:t>
      </w:r>
    </w:p>
    <w:p w:rsidR="00A70FBB" w:rsidRDefault="00210C20" w:rsidP="00210C20">
      <w:pPr>
        <w:pStyle w:val="Podnaslov3"/>
      </w:pPr>
      <w:bookmarkStart w:id="402" w:name="_Toc489859848"/>
      <w:bookmarkStart w:id="403" w:name="_Toc490047605"/>
      <w:bookmarkStart w:id="404" w:name="_Toc490599969"/>
      <w:bookmarkStart w:id="405" w:name="_Toc506192099"/>
      <w:r>
        <w:t>Dohodki samozaposlenih v kulturi</w:t>
      </w:r>
      <w:bookmarkEnd w:id="402"/>
      <w:bookmarkEnd w:id="403"/>
      <w:bookmarkEnd w:id="404"/>
      <w:bookmarkEnd w:id="405"/>
    </w:p>
    <w:p w:rsidR="005B74B5" w:rsidRDefault="002E581A" w:rsidP="00D06AB1">
      <w:r>
        <w:t>Podatki Finančne uprave RS</w:t>
      </w:r>
      <w:r w:rsidR="00A154EE">
        <w:t xml:space="preserve"> (tabeli 33 in 34</w:t>
      </w:r>
      <w:r w:rsidR="00F32E7C">
        <w:t>)</w:t>
      </w:r>
      <w:r>
        <w:t xml:space="preserve"> za leto 2015 </w:t>
      </w:r>
      <w:r w:rsidRPr="00FA7B64">
        <w:t xml:space="preserve">o </w:t>
      </w:r>
      <w:r w:rsidR="0087782E" w:rsidRPr="00FA7B64">
        <w:t>celoletnih bruto</w:t>
      </w:r>
      <w:r w:rsidR="0087782E">
        <w:t xml:space="preserve"> </w:t>
      </w:r>
      <w:r>
        <w:t xml:space="preserve">dohodkih </w:t>
      </w:r>
      <w:r w:rsidR="006449FE">
        <w:t>2</w:t>
      </w:r>
      <w:r w:rsidR="00A154EE">
        <w:t>.</w:t>
      </w:r>
      <w:r w:rsidR="006449FE">
        <w:t xml:space="preserve">595 </w:t>
      </w:r>
      <w:r>
        <w:t>samozaposlenih v kulturi,</w:t>
      </w:r>
      <w:r w:rsidRPr="00A154EE">
        <w:rPr>
          <w:rStyle w:val="Sprotnaopomba-sklic"/>
        </w:rPr>
        <w:footnoteReference w:id="64"/>
      </w:r>
      <w:r w:rsidRPr="00A154EE">
        <w:t xml:space="preserve"> </w:t>
      </w:r>
      <w:r>
        <w:t>ki so obdavčeni z dohodnino</w:t>
      </w:r>
      <w:r w:rsidR="00243986">
        <w:t>,</w:t>
      </w:r>
      <w:r w:rsidR="00897431" w:rsidRPr="00A154EE">
        <w:rPr>
          <w:rStyle w:val="Sprotnaopomba-sklic"/>
        </w:rPr>
        <w:footnoteReference w:id="65"/>
      </w:r>
      <w:r w:rsidR="00A154EE">
        <w:t xml:space="preserve"> </w:t>
      </w:r>
      <w:r w:rsidR="00F32E7C">
        <w:t xml:space="preserve">kažejo, da </w:t>
      </w:r>
      <w:r w:rsidR="00FA7B64" w:rsidRPr="00F32E7C">
        <w:t xml:space="preserve">120 oseb </w:t>
      </w:r>
      <w:r w:rsidR="00F32E7C">
        <w:t>ni imelo</w:t>
      </w:r>
      <w:r w:rsidR="00FA7B64" w:rsidRPr="00F32E7C">
        <w:t xml:space="preserve"> dohodkov</w:t>
      </w:r>
      <w:r w:rsidR="00122CFE" w:rsidRPr="00F32E7C">
        <w:t>, preostalih</w:t>
      </w:r>
      <w:r w:rsidR="00FA7B64" w:rsidRPr="00F32E7C">
        <w:t xml:space="preserve"> </w:t>
      </w:r>
      <w:r w:rsidR="00122CFE" w:rsidRPr="00F32E7C">
        <w:t>2.475 oseb pa je imelo skupno 33,4 milijone evrov dohodkov</w:t>
      </w:r>
      <w:r w:rsidR="00F32E7C">
        <w:t xml:space="preserve">. Pri slednjih je </w:t>
      </w:r>
      <w:r w:rsidR="00122CFE" w:rsidRPr="00F32E7C">
        <w:t xml:space="preserve">najnižji dohodek znašal 7 evrov, </w:t>
      </w:r>
      <w:r w:rsidR="00FA7B64" w:rsidRPr="00F32E7C">
        <w:t xml:space="preserve">najvišji </w:t>
      </w:r>
      <w:r w:rsidR="00122CFE" w:rsidRPr="00F32E7C">
        <w:t xml:space="preserve">pa </w:t>
      </w:r>
      <w:r w:rsidR="00A154EE">
        <w:t>skoraj</w:t>
      </w:r>
      <w:r w:rsidR="005B74B5" w:rsidRPr="00F32E7C">
        <w:t xml:space="preserve"> 286 tisoč evrov</w:t>
      </w:r>
      <w:r w:rsidR="00F32E7C">
        <w:t>.</w:t>
      </w:r>
    </w:p>
    <w:p w:rsidR="00F32E7C" w:rsidRPr="008B2AF3" w:rsidRDefault="00C75E6E" w:rsidP="00F32E7C">
      <w:pPr>
        <w:pStyle w:val="Naslovtabele"/>
      </w:pPr>
      <w:bookmarkStart w:id="406" w:name="_Toc490053408"/>
      <w:bookmarkStart w:id="407" w:name="_Toc490053779"/>
      <w:bookmarkStart w:id="408" w:name="_Toc490600051"/>
      <w:r>
        <w:t>Tabela 33</w:t>
      </w:r>
      <w:r w:rsidR="00F32E7C">
        <w:t xml:space="preserve">: Bruto letni </w:t>
      </w:r>
      <w:r w:rsidR="007B009F">
        <w:t>dohod</w:t>
      </w:r>
      <w:r w:rsidR="00F32E7C">
        <w:t>k</w:t>
      </w:r>
      <w:r w:rsidR="008B6314">
        <w:t>i</w:t>
      </w:r>
      <w:r w:rsidR="00F32E7C">
        <w:t xml:space="preserve"> samozaposlenih v kulturi – velike skupine (2015)</w:t>
      </w:r>
      <w:r w:rsidR="008B6314">
        <w:t>*</w:t>
      </w:r>
      <w:bookmarkEnd w:id="406"/>
      <w:bookmarkEnd w:id="407"/>
      <w:bookmarkEnd w:id="408"/>
    </w:p>
    <w:tbl>
      <w:tblPr>
        <w:tblStyle w:val="ListTable3-Accent31"/>
        <w:tblW w:w="5000" w:type="pct"/>
        <w:tblLook w:val="04A0" w:firstRow="1" w:lastRow="0" w:firstColumn="1" w:lastColumn="0" w:noHBand="0" w:noVBand="1"/>
      </w:tblPr>
      <w:tblGrid>
        <w:gridCol w:w="7074"/>
        <w:gridCol w:w="1143"/>
        <w:gridCol w:w="1072"/>
      </w:tblGrid>
      <w:tr w:rsidR="00F32E7C" w:rsidRPr="00F32E7C" w:rsidTr="005B4EF2">
        <w:trPr>
          <w:cnfStyle w:val="100000000000" w:firstRow="1" w:lastRow="0" w:firstColumn="0" w:lastColumn="0" w:oddVBand="0" w:evenVBand="0" w:oddHBand="0" w:evenHBand="0" w:firstRowFirstColumn="0" w:firstRowLastColumn="0" w:lastRowFirstColumn="0" w:lastRowLastColumn="0"/>
          <w:trHeight w:val="290"/>
        </w:trPr>
        <w:tc>
          <w:tcPr>
            <w:cnfStyle w:val="001000000100" w:firstRow="0" w:lastRow="0" w:firstColumn="1" w:lastColumn="0" w:oddVBand="0" w:evenVBand="0" w:oddHBand="0" w:evenHBand="0" w:firstRowFirstColumn="1" w:firstRowLastColumn="0" w:lastRowFirstColumn="0" w:lastRowLastColumn="0"/>
            <w:tcW w:w="3808" w:type="pct"/>
            <w:noWrap/>
            <w:hideMark/>
          </w:tcPr>
          <w:p w:rsidR="00F32E7C" w:rsidRPr="005B4EF2" w:rsidRDefault="007B009F" w:rsidP="00F32E7C">
            <w:pPr>
              <w:spacing w:after="0" w:line="240" w:lineRule="auto"/>
              <w:rPr>
                <w:rFonts w:ascii="Arial Narrow" w:hAnsi="Arial Narrow"/>
                <w:bCs w:val="0"/>
                <w:color w:val="FFFFFF"/>
                <w:sz w:val="16"/>
                <w:szCs w:val="16"/>
                <w:lang w:eastAsia="sl-SI"/>
              </w:rPr>
            </w:pPr>
            <w:r w:rsidRPr="005B4EF2">
              <w:rPr>
                <w:rFonts w:ascii="Arial Narrow" w:hAnsi="Arial Narrow"/>
                <w:bCs w:val="0"/>
                <w:color w:val="FFFFFF"/>
                <w:sz w:val="16"/>
                <w:szCs w:val="16"/>
                <w:lang w:eastAsia="sl-SI"/>
              </w:rPr>
              <w:t>Bruto</w:t>
            </w:r>
            <w:r w:rsidR="00A47669" w:rsidRPr="005B4EF2">
              <w:rPr>
                <w:rFonts w:ascii="Arial Narrow" w:hAnsi="Arial Narrow"/>
                <w:bCs w:val="0"/>
                <w:color w:val="FFFFFF"/>
                <w:sz w:val="16"/>
                <w:szCs w:val="16"/>
                <w:lang w:eastAsia="sl-SI"/>
              </w:rPr>
              <w:t xml:space="preserve"> </w:t>
            </w:r>
            <w:r w:rsidRPr="005B4EF2">
              <w:rPr>
                <w:rFonts w:ascii="Arial Narrow" w:hAnsi="Arial Narrow"/>
                <w:bCs w:val="0"/>
                <w:color w:val="FFFFFF"/>
                <w:sz w:val="16"/>
                <w:szCs w:val="16"/>
                <w:lang w:eastAsia="sl-SI"/>
              </w:rPr>
              <w:t>dohodki, ki so obdavčeni z dohodnino</w:t>
            </w:r>
          </w:p>
        </w:tc>
        <w:tc>
          <w:tcPr>
            <w:tcW w:w="615" w:type="pct"/>
            <w:noWrap/>
            <w:hideMark/>
          </w:tcPr>
          <w:p w:rsidR="00F32E7C" w:rsidRPr="005B4EF2" w:rsidRDefault="00F32E7C" w:rsidP="005B4EF2">
            <w:pPr>
              <w:spacing w:after="0" w:line="240" w:lineRule="auto"/>
              <w:cnfStyle w:val="100000000000" w:firstRow="1" w:lastRow="0" w:firstColumn="0" w:lastColumn="0" w:oddVBand="0" w:evenVBand="0" w:oddHBand="0" w:evenHBand="0" w:firstRowFirstColumn="0" w:firstRowLastColumn="0" w:lastRowFirstColumn="0" w:lastRowLastColumn="0"/>
              <w:rPr>
                <w:rFonts w:ascii="Arial Narrow" w:hAnsi="Arial Narrow"/>
                <w:bCs w:val="0"/>
                <w:color w:val="FFFFFF"/>
                <w:sz w:val="16"/>
                <w:szCs w:val="16"/>
                <w:lang w:eastAsia="sl-SI"/>
              </w:rPr>
            </w:pPr>
            <w:r w:rsidRPr="005B4EF2">
              <w:rPr>
                <w:rFonts w:ascii="Arial Narrow" w:hAnsi="Arial Narrow"/>
                <w:bCs w:val="0"/>
                <w:color w:val="FFFFFF"/>
                <w:sz w:val="16"/>
                <w:szCs w:val="16"/>
                <w:lang w:eastAsia="sl-SI"/>
              </w:rPr>
              <w:t>Število</w:t>
            </w:r>
            <w:r w:rsidR="005B4EF2">
              <w:rPr>
                <w:rFonts w:ascii="Arial Narrow" w:hAnsi="Arial Narrow"/>
                <w:bCs w:val="0"/>
                <w:color w:val="FFFFFF"/>
                <w:sz w:val="16"/>
                <w:szCs w:val="16"/>
                <w:lang w:eastAsia="sl-SI"/>
              </w:rPr>
              <w:t xml:space="preserve"> oseb</w:t>
            </w:r>
          </w:p>
        </w:tc>
        <w:tc>
          <w:tcPr>
            <w:tcW w:w="577" w:type="pct"/>
            <w:noWrap/>
            <w:hideMark/>
          </w:tcPr>
          <w:p w:rsidR="00F32E7C" w:rsidRPr="005B4EF2" w:rsidRDefault="00F32E7C" w:rsidP="005B4EF2">
            <w:pPr>
              <w:spacing w:after="0" w:line="240" w:lineRule="auto"/>
              <w:cnfStyle w:val="100000000000" w:firstRow="1" w:lastRow="0" w:firstColumn="0" w:lastColumn="0" w:oddVBand="0" w:evenVBand="0" w:oddHBand="0" w:evenHBand="0" w:firstRowFirstColumn="0" w:firstRowLastColumn="0" w:lastRowFirstColumn="0" w:lastRowLastColumn="0"/>
              <w:rPr>
                <w:rFonts w:ascii="Arial Narrow" w:hAnsi="Arial Narrow"/>
                <w:bCs w:val="0"/>
                <w:color w:val="FFFFFF"/>
                <w:sz w:val="16"/>
                <w:szCs w:val="16"/>
                <w:lang w:eastAsia="sl-SI"/>
              </w:rPr>
            </w:pPr>
            <w:r w:rsidRPr="005B4EF2">
              <w:rPr>
                <w:rFonts w:ascii="Arial Narrow" w:hAnsi="Arial Narrow"/>
                <w:bCs w:val="0"/>
                <w:color w:val="FFFFFF"/>
                <w:sz w:val="16"/>
                <w:szCs w:val="16"/>
                <w:lang w:eastAsia="sl-SI"/>
              </w:rPr>
              <w:t>%</w:t>
            </w:r>
          </w:p>
        </w:tc>
      </w:tr>
      <w:tr w:rsidR="00F32E7C" w:rsidRPr="00F32E7C" w:rsidTr="005B4EF2">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3808" w:type="pct"/>
            <w:noWrap/>
            <w:hideMark/>
          </w:tcPr>
          <w:p w:rsidR="00F32E7C" w:rsidRPr="005B4EF2" w:rsidRDefault="00F32E7C" w:rsidP="00F32E7C">
            <w:pPr>
              <w:spacing w:after="0" w:line="240" w:lineRule="auto"/>
              <w:rPr>
                <w:rFonts w:ascii="Arial Narrow" w:hAnsi="Arial Narrow"/>
                <w:b w:val="0"/>
                <w:color w:val="000000"/>
                <w:sz w:val="16"/>
                <w:szCs w:val="16"/>
                <w:lang w:eastAsia="sl-SI"/>
              </w:rPr>
            </w:pPr>
            <w:r w:rsidRPr="005B4EF2">
              <w:rPr>
                <w:rFonts w:ascii="Arial Narrow" w:hAnsi="Arial Narrow"/>
                <w:b w:val="0"/>
                <w:color w:val="000000"/>
                <w:sz w:val="16"/>
                <w:szCs w:val="16"/>
                <w:lang w:eastAsia="sl-SI"/>
              </w:rPr>
              <w:t>Brez prihodkov, ki so obdavčeni z dohodnino</w:t>
            </w:r>
          </w:p>
        </w:tc>
        <w:tc>
          <w:tcPr>
            <w:tcW w:w="615" w:type="pct"/>
            <w:noWrap/>
            <w:hideMark/>
          </w:tcPr>
          <w:p w:rsidR="00F32E7C" w:rsidRPr="00F32E7C" w:rsidRDefault="00F32E7C" w:rsidP="005B4EF2">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F32E7C">
              <w:rPr>
                <w:rFonts w:ascii="Arial Narrow" w:hAnsi="Arial Narrow"/>
                <w:color w:val="000000"/>
                <w:sz w:val="16"/>
                <w:szCs w:val="16"/>
                <w:lang w:eastAsia="sl-SI"/>
              </w:rPr>
              <w:t>120</w:t>
            </w:r>
          </w:p>
        </w:tc>
        <w:tc>
          <w:tcPr>
            <w:tcW w:w="577" w:type="pct"/>
            <w:noWrap/>
            <w:hideMark/>
          </w:tcPr>
          <w:p w:rsidR="00F32E7C" w:rsidRPr="00F32E7C" w:rsidRDefault="00F32E7C" w:rsidP="005B4EF2">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F32E7C">
              <w:rPr>
                <w:rFonts w:ascii="Arial Narrow" w:hAnsi="Arial Narrow"/>
                <w:color w:val="000000"/>
                <w:sz w:val="16"/>
                <w:szCs w:val="16"/>
                <w:lang w:eastAsia="sl-SI"/>
              </w:rPr>
              <w:t>4,62</w:t>
            </w:r>
            <w:r w:rsidR="005B4EF2">
              <w:rPr>
                <w:rFonts w:ascii="Arial Narrow" w:hAnsi="Arial Narrow"/>
                <w:color w:val="000000"/>
                <w:sz w:val="16"/>
                <w:szCs w:val="16"/>
                <w:lang w:eastAsia="sl-SI"/>
              </w:rPr>
              <w:t xml:space="preserve"> </w:t>
            </w:r>
            <w:r w:rsidRPr="00F32E7C">
              <w:rPr>
                <w:rFonts w:ascii="Arial Narrow" w:hAnsi="Arial Narrow"/>
                <w:color w:val="000000"/>
                <w:sz w:val="16"/>
                <w:szCs w:val="16"/>
                <w:lang w:eastAsia="sl-SI"/>
              </w:rPr>
              <w:t>%</w:t>
            </w:r>
          </w:p>
        </w:tc>
      </w:tr>
      <w:tr w:rsidR="00F32E7C" w:rsidRPr="00F32E7C" w:rsidTr="005B4EF2">
        <w:trPr>
          <w:trHeight w:val="290"/>
        </w:trPr>
        <w:tc>
          <w:tcPr>
            <w:cnfStyle w:val="001000000000" w:firstRow="0" w:lastRow="0" w:firstColumn="1" w:lastColumn="0" w:oddVBand="0" w:evenVBand="0" w:oddHBand="0" w:evenHBand="0" w:firstRowFirstColumn="0" w:firstRowLastColumn="0" w:lastRowFirstColumn="0" w:lastRowLastColumn="0"/>
            <w:tcW w:w="3808" w:type="pct"/>
            <w:noWrap/>
            <w:hideMark/>
          </w:tcPr>
          <w:p w:rsidR="00F32E7C" w:rsidRPr="005B4EF2" w:rsidRDefault="00F32E7C" w:rsidP="00F32E7C">
            <w:pPr>
              <w:spacing w:after="0" w:line="240" w:lineRule="auto"/>
              <w:rPr>
                <w:rFonts w:ascii="Arial Narrow" w:hAnsi="Arial Narrow"/>
                <w:b w:val="0"/>
                <w:color w:val="000000"/>
                <w:sz w:val="16"/>
                <w:szCs w:val="16"/>
                <w:lang w:eastAsia="sl-SI"/>
              </w:rPr>
            </w:pPr>
            <w:r w:rsidRPr="005B4EF2">
              <w:rPr>
                <w:rFonts w:ascii="Arial Narrow" w:hAnsi="Arial Narrow"/>
                <w:b w:val="0"/>
                <w:color w:val="000000"/>
                <w:sz w:val="16"/>
                <w:szCs w:val="16"/>
                <w:lang w:eastAsia="sl-SI"/>
              </w:rPr>
              <w:t>Med 7 EUR in 9.489 EUR (minimalna plača za 12 mesecev)</w:t>
            </w:r>
          </w:p>
        </w:tc>
        <w:tc>
          <w:tcPr>
            <w:tcW w:w="615" w:type="pct"/>
            <w:noWrap/>
            <w:hideMark/>
          </w:tcPr>
          <w:p w:rsidR="00F32E7C" w:rsidRPr="00F32E7C" w:rsidRDefault="00F32E7C" w:rsidP="005B4EF2">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F32E7C">
              <w:rPr>
                <w:rFonts w:ascii="Arial Narrow" w:hAnsi="Arial Narrow"/>
                <w:color w:val="000000"/>
                <w:sz w:val="16"/>
                <w:szCs w:val="16"/>
                <w:lang w:eastAsia="sl-SI"/>
              </w:rPr>
              <w:t>1071</w:t>
            </w:r>
          </w:p>
        </w:tc>
        <w:tc>
          <w:tcPr>
            <w:tcW w:w="577" w:type="pct"/>
            <w:noWrap/>
            <w:hideMark/>
          </w:tcPr>
          <w:p w:rsidR="00F32E7C" w:rsidRPr="00F32E7C" w:rsidRDefault="00F32E7C" w:rsidP="005B4EF2">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F32E7C">
              <w:rPr>
                <w:rFonts w:ascii="Arial Narrow" w:hAnsi="Arial Narrow"/>
                <w:color w:val="000000"/>
                <w:sz w:val="16"/>
                <w:szCs w:val="16"/>
                <w:lang w:eastAsia="sl-SI"/>
              </w:rPr>
              <w:t>41,27</w:t>
            </w:r>
            <w:r w:rsidR="005B4EF2">
              <w:rPr>
                <w:rFonts w:ascii="Arial Narrow" w:hAnsi="Arial Narrow"/>
                <w:color w:val="000000"/>
                <w:sz w:val="16"/>
                <w:szCs w:val="16"/>
                <w:lang w:eastAsia="sl-SI"/>
              </w:rPr>
              <w:t xml:space="preserve"> </w:t>
            </w:r>
            <w:r w:rsidRPr="00F32E7C">
              <w:rPr>
                <w:rFonts w:ascii="Arial Narrow" w:hAnsi="Arial Narrow"/>
                <w:color w:val="000000"/>
                <w:sz w:val="16"/>
                <w:szCs w:val="16"/>
                <w:lang w:eastAsia="sl-SI"/>
              </w:rPr>
              <w:t>%</w:t>
            </w:r>
          </w:p>
        </w:tc>
      </w:tr>
      <w:tr w:rsidR="00F32E7C" w:rsidRPr="00F32E7C" w:rsidTr="005B4EF2">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3808" w:type="pct"/>
            <w:hideMark/>
          </w:tcPr>
          <w:p w:rsidR="00F32E7C" w:rsidRPr="005B4EF2" w:rsidRDefault="00F32E7C" w:rsidP="00F32E7C">
            <w:pPr>
              <w:spacing w:after="0" w:line="240" w:lineRule="auto"/>
              <w:rPr>
                <w:rFonts w:ascii="Arial Narrow" w:hAnsi="Arial Narrow"/>
                <w:b w:val="0"/>
                <w:color w:val="000000"/>
                <w:sz w:val="16"/>
                <w:szCs w:val="16"/>
                <w:lang w:eastAsia="sl-SI"/>
              </w:rPr>
            </w:pPr>
            <w:r w:rsidRPr="005B4EF2">
              <w:rPr>
                <w:rFonts w:ascii="Arial Narrow" w:hAnsi="Arial Narrow"/>
                <w:b w:val="0"/>
                <w:color w:val="000000"/>
                <w:sz w:val="16"/>
                <w:szCs w:val="16"/>
                <w:lang w:eastAsia="sl-SI"/>
              </w:rPr>
              <w:t>Med 9.490 EUR in 19.787 EUR (več kot minimalna in manj kot povprečna plača za 12 mesecev)</w:t>
            </w:r>
          </w:p>
        </w:tc>
        <w:tc>
          <w:tcPr>
            <w:tcW w:w="615" w:type="pct"/>
            <w:noWrap/>
            <w:hideMark/>
          </w:tcPr>
          <w:p w:rsidR="00F32E7C" w:rsidRPr="00F32E7C" w:rsidRDefault="00F32E7C" w:rsidP="005B4EF2">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F32E7C">
              <w:rPr>
                <w:rFonts w:ascii="Arial Narrow" w:hAnsi="Arial Narrow"/>
                <w:color w:val="000000"/>
                <w:sz w:val="16"/>
                <w:szCs w:val="16"/>
                <w:lang w:eastAsia="sl-SI"/>
              </w:rPr>
              <w:t>921</w:t>
            </w:r>
          </w:p>
        </w:tc>
        <w:tc>
          <w:tcPr>
            <w:tcW w:w="577" w:type="pct"/>
            <w:noWrap/>
            <w:hideMark/>
          </w:tcPr>
          <w:p w:rsidR="00F32E7C" w:rsidRPr="00F32E7C" w:rsidRDefault="00F32E7C" w:rsidP="005B4EF2">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sidRPr="00F32E7C">
              <w:rPr>
                <w:rFonts w:ascii="Arial Narrow" w:hAnsi="Arial Narrow"/>
                <w:color w:val="000000"/>
                <w:sz w:val="16"/>
                <w:szCs w:val="16"/>
                <w:lang w:eastAsia="sl-SI"/>
              </w:rPr>
              <w:t>35,49</w:t>
            </w:r>
            <w:r w:rsidR="005B4EF2">
              <w:rPr>
                <w:rFonts w:ascii="Arial Narrow" w:hAnsi="Arial Narrow"/>
                <w:color w:val="000000"/>
                <w:sz w:val="16"/>
                <w:szCs w:val="16"/>
                <w:lang w:eastAsia="sl-SI"/>
              </w:rPr>
              <w:t xml:space="preserve"> </w:t>
            </w:r>
            <w:r w:rsidRPr="00F32E7C">
              <w:rPr>
                <w:rFonts w:ascii="Arial Narrow" w:hAnsi="Arial Narrow"/>
                <w:color w:val="000000"/>
                <w:sz w:val="16"/>
                <w:szCs w:val="16"/>
                <w:lang w:eastAsia="sl-SI"/>
              </w:rPr>
              <w:t>%</w:t>
            </w:r>
          </w:p>
        </w:tc>
      </w:tr>
      <w:tr w:rsidR="00F32E7C" w:rsidRPr="00F32E7C" w:rsidTr="005B4EF2">
        <w:trPr>
          <w:trHeight w:val="290"/>
        </w:trPr>
        <w:tc>
          <w:tcPr>
            <w:cnfStyle w:val="001000000000" w:firstRow="0" w:lastRow="0" w:firstColumn="1" w:lastColumn="0" w:oddVBand="0" w:evenVBand="0" w:oddHBand="0" w:evenHBand="0" w:firstRowFirstColumn="0" w:firstRowLastColumn="0" w:lastRowFirstColumn="0" w:lastRowLastColumn="0"/>
            <w:tcW w:w="3808" w:type="pct"/>
            <w:noWrap/>
            <w:hideMark/>
          </w:tcPr>
          <w:p w:rsidR="00F32E7C" w:rsidRPr="005B4EF2" w:rsidRDefault="00F32E7C" w:rsidP="00F32E7C">
            <w:pPr>
              <w:spacing w:after="0" w:line="240" w:lineRule="auto"/>
              <w:rPr>
                <w:rFonts w:ascii="Arial Narrow" w:hAnsi="Arial Narrow"/>
                <w:b w:val="0"/>
                <w:color w:val="000000"/>
                <w:sz w:val="16"/>
                <w:szCs w:val="16"/>
                <w:lang w:eastAsia="sl-SI"/>
              </w:rPr>
            </w:pPr>
            <w:r w:rsidRPr="005B4EF2">
              <w:rPr>
                <w:rFonts w:ascii="Arial Narrow" w:hAnsi="Arial Narrow"/>
                <w:b w:val="0"/>
                <w:color w:val="000000"/>
                <w:sz w:val="16"/>
                <w:szCs w:val="16"/>
                <w:lang w:eastAsia="sl-SI"/>
              </w:rPr>
              <w:t>19.788,00 EUR (povprečna plača za 12 mesecev) in več</w:t>
            </w:r>
          </w:p>
        </w:tc>
        <w:tc>
          <w:tcPr>
            <w:tcW w:w="615" w:type="pct"/>
            <w:noWrap/>
            <w:hideMark/>
          </w:tcPr>
          <w:p w:rsidR="00F32E7C" w:rsidRPr="00F32E7C" w:rsidRDefault="00F32E7C" w:rsidP="005B4EF2">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F32E7C">
              <w:rPr>
                <w:rFonts w:ascii="Arial Narrow" w:hAnsi="Arial Narrow"/>
                <w:color w:val="000000"/>
                <w:sz w:val="16"/>
                <w:szCs w:val="16"/>
                <w:lang w:eastAsia="sl-SI"/>
              </w:rPr>
              <w:t>483</w:t>
            </w:r>
          </w:p>
        </w:tc>
        <w:tc>
          <w:tcPr>
            <w:tcW w:w="577" w:type="pct"/>
            <w:noWrap/>
            <w:hideMark/>
          </w:tcPr>
          <w:p w:rsidR="00F32E7C" w:rsidRPr="00F32E7C" w:rsidRDefault="00F32E7C" w:rsidP="005B4EF2">
            <w:pPr>
              <w:spacing w:after="0"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sz w:val="16"/>
                <w:szCs w:val="16"/>
                <w:lang w:eastAsia="sl-SI"/>
              </w:rPr>
            </w:pPr>
            <w:r w:rsidRPr="00F32E7C">
              <w:rPr>
                <w:rFonts w:ascii="Arial Narrow" w:hAnsi="Arial Narrow"/>
                <w:color w:val="000000"/>
                <w:sz w:val="16"/>
                <w:szCs w:val="16"/>
                <w:lang w:eastAsia="sl-SI"/>
              </w:rPr>
              <w:t>18,61</w:t>
            </w:r>
            <w:r w:rsidR="005B4EF2">
              <w:rPr>
                <w:rFonts w:ascii="Arial Narrow" w:hAnsi="Arial Narrow"/>
                <w:color w:val="000000"/>
                <w:sz w:val="16"/>
                <w:szCs w:val="16"/>
                <w:lang w:eastAsia="sl-SI"/>
              </w:rPr>
              <w:t xml:space="preserve"> </w:t>
            </w:r>
            <w:r w:rsidRPr="00F32E7C">
              <w:rPr>
                <w:rFonts w:ascii="Arial Narrow" w:hAnsi="Arial Narrow"/>
                <w:color w:val="000000"/>
                <w:sz w:val="16"/>
                <w:szCs w:val="16"/>
                <w:lang w:eastAsia="sl-SI"/>
              </w:rPr>
              <w:t>%</w:t>
            </w:r>
          </w:p>
        </w:tc>
      </w:tr>
      <w:tr w:rsidR="00F32E7C" w:rsidRPr="00F32E7C" w:rsidTr="005B4EF2">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3808" w:type="pct"/>
            <w:noWrap/>
            <w:hideMark/>
          </w:tcPr>
          <w:p w:rsidR="00F32E7C" w:rsidRPr="005B4EF2" w:rsidRDefault="00F32E7C" w:rsidP="00F32E7C">
            <w:pPr>
              <w:spacing w:after="0" w:line="240" w:lineRule="auto"/>
              <w:rPr>
                <w:rFonts w:ascii="Arial Narrow" w:hAnsi="Arial Narrow"/>
                <w:b w:val="0"/>
                <w:color w:val="000000"/>
                <w:sz w:val="16"/>
                <w:szCs w:val="16"/>
                <w:lang w:eastAsia="sl-SI"/>
              </w:rPr>
            </w:pPr>
            <w:r w:rsidRPr="005B4EF2">
              <w:rPr>
                <w:rFonts w:ascii="Arial Narrow" w:hAnsi="Arial Narrow"/>
                <w:b w:val="0"/>
                <w:color w:val="000000"/>
                <w:sz w:val="16"/>
                <w:szCs w:val="16"/>
                <w:lang w:eastAsia="sl-SI"/>
              </w:rPr>
              <w:t>Skupaj</w:t>
            </w:r>
          </w:p>
        </w:tc>
        <w:tc>
          <w:tcPr>
            <w:tcW w:w="615" w:type="pct"/>
            <w:noWrap/>
            <w:hideMark/>
          </w:tcPr>
          <w:p w:rsidR="00F32E7C" w:rsidRPr="005B4EF2" w:rsidRDefault="00F32E7C" w:rsidP="005B4EF2">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bCs/>
                <w:color w:val="000000"/>
                <w:sz w:val="16"/>
                <w:szCs w:val="16"/>
                <w:lang w:eastAsia="sl-SI"/>
              </w:rPr>
            </w:pPr>
            <w:r w:rsidRPr="005B4EF2">
              <w:rPr>
                <w:rFonts w:ascii="Arial Narrow" w:hAnsi="Arial Narrow"/>
                <w:bCs/>
                <w:color w:val="000000"/>
                <w:sz w:val="16"/>
                <w:szCs w:val="16"/>
                <w:lang w:eastAsia="sl-SI"/>
              </w:rPr>
              <w:t>2595</w:t>
            </w:r>
          </w:p>
        </w:tc>
        <w:tc>
          <w:tcPr>
            <w:tcW w:w="577" w:type="pct"/>
            <w:noWrap/>
            <w:hideMark/>
          </w:tcPr>
          <w:p w:rsidR="00F32E7C" w:rsidRPr="00F32E7C" w:rsidRDefault="005B4EF2" w:rsidP="005B4EF2">
            <w:pPr>
              <w:spacing w:after="0"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sz w:val="16"/>
                <w:szCs w:val="16"/>
                <w:lang w:eastAsia="sl-SI"/>
              </w:rPr>
            </w:pPr>
            <w:r>
              <w:rPr>
                <w:rFonts w:ascii="Arial Narrow" w:hAnsi="Arial Narrow"/>
                <w:color w:val="000000"/>
                <w:sz w:val="16"/>
                <w:szCs w:val="16"/>
                <w:lang w:eastAsia="sl-SI"/>
              </w:rPr>
              <w:t xml:space="preserve">100 </w:t>
            </w:r>
            <w:r w:rsidR="00F32E7C" w:rsidRPr="00F32E7C">
              <w:rPr>
                <w:rFonts w:ascii="Arial Narrow" w:hAnsi="Arial Narrow"/>
                <w:color w:val="000000"/>
                <w:sz w:val="16"/>
                <w:szCs w:val="16"/>
                <w:lang w:eastAsia="sl-SI"/>
              </w:rPr>
              <w:t>%</w:t>
            </w:r>
          </w:p>
        </w:tc>
      </w:tr>
    </w:tbl>
    <w:p w:rsidR="00211AF6" w:rsidRDefault="007B009F" w:rsidP="00715A47">
      <w:pPr>
        <w:pStyle w:val="Podpispodtabeloaligrafom"/>
        <w:spacing w:after="0"/>
      </w:pPr>
      <w:r>
        <w:t xml:space="preserve">Vir: Finančna uprava RS, izračuni </w:t>
      </w:r>
      <w:r w:rsidR="00553348">
        <w:t>Ministrstvo za kulturo</w:t>
      </w:r>
      <w:r>
        <w:t>.</w:t>
      </w:r>
    </w:p>
    <w:p w:rsidR="007B009F" w:rsidRDefault="007B009F" w:rsidP="00D06AB1">
      <w:pPr>
        <w:pStyle w:val="Podpispodtabeloaligrafom"/>
      </w:pPr>
      <w:r>
        <w:t>* V tabeli so prikazani samo (bruto) d</w:t>
      </w:r>
      <w:r w:rsidRPr="007B009F">
        <w:t xml:space="preserve">ohodki, ki so </w:t>
      </w:r>
      <w:r>
        <w:t>obdavčeni z dohodnino in ne katerikoli dohodki. P</w:t>
      </w:r>
      <w:r w:rsidRPr="007B009F">
        <w:t xml:space="preserve">lačila dohodnine so </w:t>
      </w:r>
      <w:r>
        <w:t xml:space="preserve">oproščeni </w:t>
      </w:r>
      <w:r w:rsidRPr="007B009F">
        <w:t>npr. otroški dodatek, dodatek za veliko družino, določene pomoči in subvencije itd.</w:t>
      </w:r>
    </w:p>
    <w:p w:rsidR="008B2AF3" w:rsidRDefault="00211AF6" w:rsidP="00D06AB1">
      <w:r>
        <w:t>B</w:t>
      </w:r>
      <w:r w:rsidR="006449FE">
        <w:t>rez dohodkov je bilo 4,6 %</w:t>
      </w:r>
      <w:r>
        <w:t xml:space="preserve"> samozaposlenih</w:t>
      </w:r>
      <w:r w:rsidR="006449FE">
        <w:t>;</w:t>
      </w:r>
      <w:r w:rsidR="00D24D5D">
        <w:t xml:space="preserve"> </w:t>
      </w:r>
      <w:r w:rsidR="006449FE">
        <w:t>dohodke, ki</w:t>
      </w:r>
      <w:r w:rsidR="0087782E">
        <w:t xml:space="preserve"> v povprečju na mesec </w:t>
      </w:r>
      <w:r w:rsidR="006449FE">
        <w:t>niso presegli minimalne plače,</w:t>
      </w:r>
      <w:r w:rsidR="00080211">
        <w:rPr>
          <w:rStyle w:val="Sprotnaopomba-sklic"/>
        </w:rPr>
        <w:footnoteReference w:id="66"/>
      </w:r>
      <w:r w:rsidR="006449FE">
        <w:t xml:space="preserve"> je imelo 41,3 % oseb;</w:t>
      </w:r>
      <w:r w:rsidR="00D24D5D">
        <w:t xml:space="preserve"> </w:t>
      </w:r>
      <w:r w:rsidR="006449FE">
        <w:t>dohodke, ki</w:t>
      </w:r>
      <w:r w:rsidR="0087782E">
        <w:t xml:space="preserve">, </w:t>
      </w:r>
      <w:r w:rsidR="006449FE">
        <w:t>so bili</w:t>
      </w:r>
      <w:r w:rsidR="0087782E">
        <w:t xml:space="preserve"> v pov</w:t>
      </w:r>
      <w:r w:rsidR="00461594">
        <w:t>p</w:t>
      </w:r>
      <w:r w:rsidR="0087782E">
        <w:t xml:space="preserve">rečju na mesec </w:t>
      </w:r>
      <w:r w:rsidR="006449FE">
        <w:t>višji od minimalne plače a manjši od povprečne plače</w:t>
      </w:r>
      <w:r w:rsidR="00EF5CAB">
        <w:t xml:space="preserve"> v Sloveniji</w:t>
      </w:r>
      <w:r w:rsidR="007B009F">
        <w:t>,</w:t>
      </w:r>
      <w:r w:rsidR="00080211">
        <w:rPr>
          <w:rStyle w:val="Sprotnaopomba-sklic"/>
        </w:rPr>
        <w:footnoteReference w:id="67"/>
      </w:r>
      <w:r w:rsidR="006449FE">
        <w:t xml:space="preserve"> je imelo 35,5 % oseb</w:t>
      </w:r>
      <w:r w:rsidR="00D24D5D">
        <w:t xml:space="preserve">, </w:t>
      </w:r>
      <w:r w:rsidR="006449FE">
        <w:t xml:space="preserve">dohodke, ki so bili </w:t>
      </w:r>
      <w:r w:rsidR="0087782E">
        <w:t xml:space="preserve">v povprečju na mesec </w:t>
      </w:r>
      <w:r w:rsidR="006449FE">
        <w:t xml:space="preserve">enaki povprečni plači ali </w:t>
      </w:r>
      <w:r w:rsidR="0087782E">
        <w:t xml:space="preserve">od nje </w:t>
      </w:r>
      <w:r w:rsidR="006449FE">
        <w:t>višji</w:t>
      </w:r>
      <w:r w:rsidR="0087782E">
        <w:t>,</w:t>
      </w:r>
      <w:r w:rsidR="006449FE">
        <w:t xml:space="preserve"> je imelo 18,6 % oseb</w:t>
      </w:r>
      <w:r w:rsidR="00C17030">
        <w:t>.</w:t>
      </w:r>
    </w:p>
    <w:p w:rsidR="00C17030" w:rsidRDefault="00211AF6" w:rsidP="00D06AB1">
      <w:r>
        <w:t>To</w:t>
      </w:r>
      <w:r w:rsidR="00A154EE">
        <w:t xml:space="preserve"> pomeni, da je imelo 81,</w:t>
      </w:r>
      <w:r w:rsidR="00C17030" w:rsidRPr="00C17030">
        <w:t>4 % samozaposlenih v kulturi povprečne mesečne dohodke nižje od povprečne slovenske plače, medtem ko je imelo v letu 2015 plačo nižjo od povprečne 64,9 % vseh zaposlenih v Sloveniji. Če se omejimo samo na odstotek oseb z dohodki do višine minimalne plače, pa je</w:t>
      </w:r>
      <w:r w:rsidR="00C17030">
        <w:t xml:space="preserve"> razmerje takšno: </w:t>
      </w:r>
      <w:r w:rsidR="005B4EF2">
        <w:t xml:space="preserve">med </w:t>
      </w:r>
      <w:r w:rsidR="00C17030">
        <w:t>samozaposleni</w:t>
      </w:r>
      <w:r w:rsidR="005B4EF2">
        <w:t xml:space="preserve">mi </w:t>
      </w:r>
      <w:r w:rsidR="00A154EE">
        <w:t>je imelo</w:t>
      </w:r>
      <w:r w:rsidR="00C17030">
        <w:t xml:space="preserve"> 41,3 %</w:t>
      </w:r>
      <w:r w:rsidR="005B4EF2">
        <w:t xml:space="preserve"> oseb dohodke do višine minimalne plače</w:t>
      </w:r>
      <w:r w:rsidR="00C17030">
        <w:t xml:space="preserve">, </w:t>
      </w:r>
      <w:r w:rsidR="005B4EF2">
        <w:t xml:space="preserve">med </w:t>
      </w:r>
      <w:r w:rsidR="00C17030">
        <w:t>zaposleni</w:t>
      </w:r>
      <w:r w:rsidR="005B4EF2">
        <w:t>mi</w:t>
      </w:r>
      <w:r w:rsidR="00C17030">
        <w:t xml:space="preserve"> po kolektivnih pogodbah v zasebnem</w:t>
      </w:r>
      <w:r>
        <w:t xml:space="preserve"> sektorju</w:t>
      </w:r>
      <w:r w:rsidR="00C17030">
        <w:t xml:space="preserve"> 6,8 %, </w:t>
      </w:r>
      <w:r w:rsidR="005B4EF2">
        <w:t xml:space="preserve">med </w:t>
      </w:r>
      <w:r w:rsidR="00C17030">
        <w:t>zaposleni</w:t>
      </w:r>
      <w:r w:rsidR="005B4EF2">
        <w:t>mi</w:t>
      </w:r>
      <w:r w:rsidR="00C17030">
        <w:t xml:space="preserve"> po kolektivnih pogodbah v javnem sektorju pa 5,4 %.</w:t>
      </w:r>
    </w:p>
    <w:p w:rsidR="008B2AF3" w:rsidRPr="008B2AF3" w:rsidRDefault="008B2AF3" w:rsidP="00D06AB1">
      <w:r>
        <w:t xml:space="preserve">Za celovitejšo sliko </w:t>
      </w:r>
      <w:r w:rsidR="00211AF6">
        <w:t xml:space="preserve">v nadaljevanju </w:t>
      </w:r>
      <w:r>
        <w:t>prika</w:t>
      </w:r>
      <w:r w:rsidR="00211AF6">
        <w:t xml:space="preserve">zujemo </w:t>
      </w:r>
      <w:r>
        <w:t xml:space="preserve">še nekaj drugih statistik, enkrat z upoštevanjem 120-ih oseb, ki dohodkov niso imele in </w:t>
      </w:r>
      <w:r w:rsidR="00122CFE">
        <w:t xml:space="preserve">drugič z njihovim izvzetjem. </w:t>
      </w:r>
      <w:r>
        <w:t xml:space="preserve">K podatkom za leto 2015 dodajamo </w:t>
      </w:r>
      <w:r w:rsidR="00F32E7C">
        <w:t xml:space="preserve">za primerjavo </w:t>
      </w:r>
      <w:r>
        <w:t xml:space="preserve">tudi podatke iz </w:t>
      </w:r>
      <w:r w:rsidR="00621CBC">
        <w:t xml:space="preserve">obdobja 2009–2011 iz </w:t>
      </w:r>
      <w:r>
        <w:t xml:space="preserve">analize </w:t>
      </w:r>
      <w:hyperlink r:id="rId70" w:history="1">
        <w:r w:rsidRPr="00621CBC">
          <w:rPr>
            <w:rStyle w:val="Hiperpovezava"/>
            <w:i/>
          </w:rPr>
          <w:t>Ocena učinkov nove zakonodaje (zakon o dohodnini, zakon o pokojninskem in invalidskem zavarovanju) na samozaposlene v kulturi</w:t>
        </w:r>
      </w:hyperlink>
      <w:r>
        <w:rPr>
          <w:i/>
        </w:rPr>
        <w:t xml:space="preserve">, </w:t>
      </w:r>
      <w:r w:rsidRPr="008B2AF3">
        <w:t>ki sta j</w:t>
      </w:r>
      <w:r w:rsidR="00621CBC">
        <w:t>o</w:t>
      </w:r>
      <w:r w:rsidRPr="008B2AF3">
        <w:t xml:space="preserve"> leta </w:t>
      </w:r>
      <w:r w:rsidR="00621CBC">
        <w:t>2013</w:t>
      </w:r>
      <w:r w:rsidRPr="008B2AF3">
        <w:t xml:space="preserve"> pripravili društvo Asociacija in Odprta zbornica za sodobno umetnost</w:t>
      </w:r>
      <w:r w:rsidR="00122CFE">
        <w:t>.</w:t>
      </w:r>
    </w:p>
    <w:p w:rsidR="005B4EF2" w:rsidRDefault="005B4EF2">
      <w:pPr>
        <w:rPr>
          <w:b/>
        </w:rPr>
      </w:pPr>
      <w:bookmarkStart w:id="409" w:name="_Toc490053409"/>
      <w:bookmarkStart w:id="410" w:name="_Toc490053780"/>
      <w:r>
        <w:br w:type="page"/>
      </w:r>
    </w:p>
    <w:p w:rsidR="008B2AF3" w:rsidRPr="008B2AF3" w:rsidRDefault="00C75E6E" w:rsidP="00243986">
      <w:pPr>
        <w:pStyle w:val="Naslovtabele"/>
      </w:pPr>
      <w:bookmarkStart w:id="411" w:name="_Toc490600052"/>
      <w:r>
        <w:t>Tabela 34</w:t>
      </w:r>
      <w:r w:rsidR="00243986">
        <w:t xml:space="preserve">: Bruto </w:t>
      </w:r>
      <w:r w:rsidR="00F32E7C">
        <w:t xml:space="preserve">letni </w:t>
      </w:r>
      <w:r w:rsidR="00243986">
        <w:t>dohodk</w:t>
      </w:r>
      <w:r w:rsidR="008B6314">
        <w:t>i</w:t>
      </w:r>
      <w:r w:rsidR="00243986">
        <w:t xml:space="preserve"> samozaposlenih v kulturi </w:t>
      </w:r>
      <w:r w:rsidR="00F32E7C">
        <w:t xml:space="preserve">– opisna statistika </w:t>
      </w:r>
      <w:r w:rsidR="00243986">
        <w:t>(2009–2015)</w:t>
      </w:r>
      <w:r w:rsidR="008B6314">
        <w:t>*</w:t>
      </w:r>
      <w:bookmarkEnd w:id="409"/>
      <w:bookmarkEnd w:id="410"/>
      <w:bookmarkEnd w:id="411"/>
    </w:p>
    <w:tbl>
      <w:tblPr>
        <w:tblW w:w="5000" w:type="pct"/>
        <w:tblLayout w:type="fixed"/>
        <w:tblCellMar>
          <w:left w:w="70" w:type="dxa"/>
          <w:right w:w="70" w:type="dxa"/>
        </w:tblCellMar>
        <w:tblLook w:val="04A0" w:firstRow="1" w:lastRow="0" w:firstColumn="1" w:lastColumn="0" w:noHBand="0" w:noVBand="1"/>
      </w:tblPr>
      <w:tblGrid>
        <w:gridCol w:w="2480"/>
        <w:gridCol w:w="1701"/>
        <w:gridCol w:w="1843"/>
        <w:gridCol w:w="1135"/>
        <w:gridCol w:w="991"/>
        <w:gridCol w:w="1063"/>
      </w:tblGrid>
      <w:tr w:rsidR="00211AF6" w:rsidRPr="00080211" w:rsidTr="005B4EF2">
        <w:trPr>
          <w:trHeight w:val="290"/>
          <w:tblHeader/>
        </w:trPr>
        <w:tc>
          <w:tcPr>
            <w:tcW w:w="1346" w:type="pct"/>
            <w:tcBorders>
              <w:top w:val="single" w:sz="4" w:space="0" w:color="9BBB59"/>
              <w:left w:val="single" w:sz="4" w:space="0" w:color="9BBB59"/>
              <w:bottom w:val="nil"/>
              <w:right w:val="nil"/>
            </w:tcBorders>
            <w:shd w:val="clear" w:color="9BBB59" w:fill="9BBB59"/>
            <w:noWrap/>
            <w:hideMark/>
          </w:tcPr>
          <w:p w:rsidR="004B2744" w:rsidRPr="00080211" w:rsidRDefault="004B2744" w:rsidP="00B46B81">
            <w:pPr>
              <w:spacing w:after="0" w:line="240" w:lineRule="auto"/>
              <w:rPr>
                <w:rFonts w:ascii="Arial Narrow" w:hAnsi="Arial Narrow"/>
                <w:b/>
                <w:bCs/>
                <w:color w:val="FFFFFF"/>
                <w:sz w:val="18"/>
                <w:szCs w:val="18"/>
                <w:lang w:eastAsia="sl-SI"/>
              </w:rPr>
            </w:pPr>
            <w:r w:rsidRPr="00080211">
              <w:rPr>
                <w:rFonts w:ascii="Arial Narrow" w:hAnsi="Arial Narrow"/>
                <w:b/>
                <w:bCs/>
                <w:color w:val="FFFFFF"/>
                <w:sz w:val="18"/>
                <w:szCs w:val="18"/>
                <w:lang w:eastAsia="sl-SI"/>
              </w:rPr>
              <w:t>Statistika</w:t>
            </w:r>
          </w:p>
        </w:tc>
        <w:tc>
          <w:tcPr>
            <w:tcW w:w="923" w:type="pct"/>
            <w:tcBorders>
              <w:top w:val="single" w:sz="4" w:space="0" w:color="9BBB59"/>
              <w:left w:val="nil"/>
              <w:bottom w:val="nil"/>
              <w:right w:val="nil"/>
            </w:tcBorders>
            <w:shd w:val="clear" w:color="9BBB59" w:fill="9BBB59"/>
            <w:noWrap/>
            <w:hideMark/>
          </w:tcPr>
          <w:p w:rsidR="00C17030" w:rsidRDefault="004B2744" w:rsidP="00B46B81">
            <w:pPr>
              <w:spacing w:after="0" w:line="240" w:lineRule="auto"/>
              <w:rPr>
                <w:rFonts w:ascii="Arial Narrow" w:hAnsi="Arial Narrow"/>
                <w:b/>
                <w:bCs/>
                <w:color w:val="FFFFFF"/>
                <w:sz w:val="18"/>
                <w:szCs w:val="18"/>
                <w:lang w:eastAsia="sl-SI"/>
              </w:rPr>
            </w:pPr>
            <w:r w:rsidRPr="00B46B81">
              <w:rPr>
                <w:rFonts w:ascii="Arial Narrow" w:hAnsi="Arial Narrow"/>
                <w:b/>
                <w:bCs/>
                <w:color w:val="FFFFFF"/>
                <w:sz w:val="18"/>
                <w:szCs w:val="18"/>
                <w:lang w:eastAsia="sl-SI"/>
              </w:rPr>
              <w:t xml:space="preserve">2015 </w:t>
            </w:r>
          </w:p>
          <w:p w:rsidR="004B2744" w:rsidRDefault="004B2744" w:rsidP="00B46B81">
            <w:pPr>
              <w:spacing w:after="0" w:line="240" w:lineRule="auto"/>
              <w:rPr>
                <w:rFonts w:ascii="Arial Narrow" w:hAnsi="Arial Narrow"/>
                <w:b/>
                <w:bCs/>
                <w:color w:val="FFFFFF"/>
                <w:sz w:val="18"/>
                <w:szCs w:val="18"/>
                <w:lang w:eastAsia="sl-SI"/>
              </w:rPr>
            </w:pPr>
            <w:r w:rsidRPr="00B46B81">
              <w:rPr>
                <w:rFonts w:ascii="Arial Narrow" w:hAnsi="Arial Narrow"/>
                <w:b/>
                <w:bCs/>
                <w:color w:val="FFFFFF"/>
                <w:sz w:val="18"/>
                <w:szCs w:val="18"/>
                <w:lang w:eastAsia="sl-SI"/>
              </w:rPr>
              <w:t>(z upoštevanjem 120</w:t>
            </w:r>
            <w:r w:rsidR="00DE1B13">
              <w:rPr>
                <w:rFonts w:ascii="Arial Narrow" w:hAnsi="Arial Narrow"/>
                <w:b/>
                <w:bCs/>
                <w:color w:val="FFFFFF"/>
                <w:sz w:val="18"/>
                <w:szCs w:val="18"/>
                <w:lang w:eastAsia="sl-SI"/>
              </w:rPr>
              <w:t>-ih</w:t>
            </w:r>
            <w:r w:rsidRPr="00B46B81">
              <w:rPr>
                <w:rFonts w:ascii="Arial Narrow" w:hAnsi="Arial Narrow"/>
                <w:b/>
                <w:bCs/>
                <w:color w:val="FFFFFF"/>
                <w:sz w:val="18"/>
                <w:szCs w:val="18"/>
                <w:lang w:eastAsia="sl-SI"/>
              </w:rPr>
              <w:t xml:space="preserve"> ničelnih dohodkov)</w:t>
            </w:r>
          </w:p>
          <w:p w:rsidR="00C17030" w:rsidRDefault="00C17030" w:rsidP="00B46B81">
            <w:pPr>
              <w:spacing w:after="0" w:line="240" w:lineRule="auto"/>
              <w:rPr>
                <w:rFonts w:ascii="Arial Narrow" w:hAnsi="Arial Narrow"/>
                <w:b/>
                <w:bCs/>
                <w:color w:val="FFFFFF"/>
                <w:sz w:val="18"/>
                <w:szCs w:val="18"/>
                <w:lang w:eastAsia="sl-SI"/>
              </w:rPr>
            </w:pPr>
          </w:p>
          <w:p w:rsidR="0050617F" w:rsidRPr="00080211" w:rsidRDefault="0050617F" w:rsidP="00B46B81">
            <w:pPr>
              <w:spacing w:after="0" w:line="240" w:lineRule="auto"/>
              <w:rPr>
                <w:rFonts w:ascii="Arial Narrow" w:hAnsi="Arial Narrow"/>
                <w:b/>
                <w:bCs/>
                <w:color w:val="FFFFFF"/>
                <w:sz w:val="18"/>
                <w:szCs w:val="18"/>
                <w:lang w:eastAsia="sl-SI"/>
              </w:rPr>
            </w:pPr>
            <w:r>
              <w:rPr>
                <w:rFonts w:ascii="Arial Narrow" w:hAnsi="Arial Narrow"/>
                <w:b/>
                <w:bCs/>
                <w:color w:val="FFFFFF"/>
                <w:sz w:val="18"/>
                <w:szCs w:val="18"/>
                <w:lang w:eastAsia="sl-SI"/>
              </w:rPr>
              <w:t>EUR</w:t>
            </w:r>
          </w:p>
        </w:tc>
        <w:tc>
          <w:tcPr>
            <w:tcW w:w="1000" w:type="pct"/>
            <w:tcBorders>
              <w:top w:val="single" w:sz="4" w:space="0" w:color="9BBB59"/>
              <w:left w:val="nil"/>
              <w:bottom w:val="nil"/>
              <w:right w:val="nil"/>
            </w:tcBorders>
            <w:shd w:val="clear" w:color="9BBB59" w:fill="9BBB59"/>
          </w:tcPr>
          <w:p w:rsidR="00C17030" w:rsidRDefault="004B2744" w:rsidP="00B46B81">
            <w:pPr>
              <w:spacing w:after="0" w:line="240" w:lineRule="auto"/>
              <w:rPr>
                <w:rFonts w:ascii="Arial Narrow" w:hAnsi="Arial Narrow"/>
                <w:b/>
                <w:bCs/>
                <w:color w:val="FFFFFF"/>
                <w:sz w:val="18"/>
                <w:szCs w:val="18"/>
                <w:lang w:eastAsia="sl-SI"/>
              </w:rPr>
            </w:pPr>
            <w:r w:rsidRPr="00B46B81">
              <w:rPr>
                <w:rFonts w:ascii="Arial Narrow" w:hAnsi="Arial Narrow"/>
                <w:b/>
                <w:bCs/>
                <w:color w:val="FFFFFF"/>
                <w:sz w:val="18"/>
                <w:szCs w:val="18"/>
                <w:lang w:eastAsia="sl-SI"/>
              </w:rPr>
              <w:t xml:space="preserve">2015 </w:t>
            </w:r>
          </w:p>
          <w:p w:rsidR="004B2744" w:rsidRDefault="004B2744" w:rsidP="00B46B81">
            <w:pPr>
              <w:spacing w:after="0" w:line="240" w:lineRule="auto"/>
              <w:rPr>
                <w:rFonts w:ascii="Arial Narrow" w:hAnsi="Arial Narrow"/>
                <w:b/>
                <w:bCs/>
                <w:color w:val="FFFFFF"/>
                <w:sz w:val="18"/>
                <w:szCs w:val="18"/>
                <w:lang w:eastAsia="sl-SI"/>
              </w:rPr>
            </w:pPr>
            <w:r w:rsidRPr="00B46B81">
              <w:rPr>
                <w:rFonts w:ascii="Arial Narrow" w:hAnsi="Arial Narrow"/>
                <w:b/>
                <w:bCs/>
                <w:color w:val="FFFFFF"/>
                <w:sz w:val="18"/>
                <w:szCs w:val="18"/>
                <w:lang w:eastAsia="sl-SI"/>
              </w:rPr>
              <w:t>(z izvzetjem ničelnih dohodkov)</w:t>
            </w:r>
            <w:r w:rsidR="0050617F" w:rsidRPr="0050617F">
              <w:rPr>
                <w:rFonts w:ascii="Arial Narrow" w:hAnsi="Arial Narrow"/>
                <w:b/>
                <w:bCs/>
                <w:color w:val="FFFFFF"/>
                <w:sz w:val="18"/>
                <w:szCs w:val="18"/>
                <w:vertAlign w:val="superscript"/>
                <w:lang w:eastAsia="sl-SI"/>
              </w:rPr>
              <w:t>1</w:t>
            </w:r>
          </w:p>
          <w:p w:rsidR="00C17030" w:rsidRDefault="00C17030" w:rsidP="00B46B81">
            <w:pPr>
              <w:spacing w:after="0" w:line="240" w:lineRule="auto"/>
              <w:rPr>
                <w:rFonts w:ascii="Arial Narrow" w:hAnsi="Arial Narrow"/>
                <w:b/>
                <w:bCs/>
                <w:color w:val="FFFFFF"/>
                <w:sz w:val="18"/>
                <w:szCs w:val="18"/>
                <w:lang w:eastAsia="sl-SI"/>
              </w:rPr>
            </w:pPr>
          </w:p>
          <w:p w:rsidR="0050617F" w:rsidRPr="00B46B81" w:rsidRDefault="0050617F" w:rsidP="00B46B81">
            <w:pPr>
              <w:spacing w:after="0" w:line="240" w:lineRule="auto"/>
              <w:rPr>
                <w:rFonts w:ascii="Arial Narrow" w:hAnsi="Arial Narrow"/>
                <w:b/>
                <w:bCs/>
                <w:color w:val="FFFFFF"/>
                <w:sz w:val="18"/>
                <w:szCs w:val="18"/>
                <w:lang w:eastAsia="sl-SI"/>
              </w:rPr>
            </w:pPr>
            <w:r>
              <w:rPr>
                <w:rFonts w:ascii="Arial Narrow" w:hAnsi="Arial Narrow"/>
                <w:b/>
                <w:bCs/>
                <w:color w:val="FFFFFF"/>
                <w:sz w:val="18"/>
                <w:szCs w:val="18"/>
                <w:lang w:eastAsia="sl-SI"/>
              </w:rPr>
              <w:t>EUR</w:t>
            </w:r>
          </w:p>
        </w:tc>
        <w:tc>
          <w:tcPr>
            <w:tcW w:w="616" w:type="pct"/>
            <w:tcBorders>
              <w:top w:val="single" w:sz="4" w:space="0" w:color="9BBB59"/>
              <w:left w:val="nil"/>
              <w:bottom w:val="nil"/>
              <w:right w:val="nil"/>
            </w:tcBorders>
            <w:shd w:val="clear" w:color="9BBB59" w:fill="9BBB59"/>
          </w:tcPr>
          <w:p w:rsidR="004B2744" w:rsidRDefault="004B2744" w:rsidP="00B46B81">
            <w:pPr>
              <w:spacing w:after="0" w:line="240" w:lineRule="auto"/>
              <w:rPr>
                <w:rFonts w:ascii="Arial Narrow" w:hAnsi="Arial Narrow"/>
                <w:b/>
                <w:bCs/>
                <w:color w:val="FFFFFF"/>
                <w:sz w:val="18"/>
                <w:szCs w:val="18"/>
                <w:lang w:eastAsia="sl-SI"/>
              </w:rPr>
            </w:pPr>
            <w:r w:rsidRPr="00B46B81">
              <w:rPr>
                <w:rFonts w:ascii="Arial Narrow" w:hAnsi="Arial Narrow"/>
                <w:b/>
                <w:bCs/>
                <w:color w:val="FFFFFF"/>
                <w:sz w:val="18"/>
                <w:szCs w:val="18"/>
                <w:lang w:eastAsia="sl-SI"/>
              </w:rPr>
              <w:t>2011</w:t>
            </w:r>
          </w:p>
          <w:p w:rsidR="0050617F" w:rsidRDefault="0050617F" w:rsidP="00B46B81">
            <w:pPr>
              <w:spacing w:after="0" w:line="240" w:lineRule="auto"/>
              <w:rPr>
                <w:rFonts w:ascii="Arial Narrow" w:hAnsi="Arial Narrow"/>
                <w:b/>
                <w:bCs/>
                <w:color w:val="FFFFFF"/>
                <w:sz w:val="18"/>
                <w:szCs w:val="18"/>
                <w:lang w:eastAsia="sl-SI"/>
              </w:rPr>
            </w:pPr>
          </w:p>
          <w:p w:rsidR="0050617F" w:rsidRDefault="0050617F" w:rsidP="00B46B81">
            <w:pPr>
              <w:spacing w:after="0" w:line="240" w:lineRule="auto"/>
              <w:rPr>
                <w:rFonts w:ascii="Arial Narrow" w:hAnsi="Arial Narrow"/>
                <w:b/>
                <w:bCs/>
                <w:color w:val="FFFFFF"/>
                <w:sz w:val="18"/>
                <w:szCs w:val="18"/>
                <w:lang w:eastAsia="sl-SI"/>
              </w:rPr>
            </w:pPr>
          </w:p>
          <w:p w:rsidR="0050617F" w:rsidRDefault="0050617F" w:rsidP="00B46B81">
            <w:pPr>
              <w:spacing w:after="0" w:line="240" w:lineRule="auto"/>
              <w:rPr>
                <w:rFonts w:ascii="Arial Narrow" w:hAnsi="Arial Narrow"/>
                <w:b/>
                <w:bCs/>
                <w:color w:val="FFFFFF"/>
                <w:sz w:val="18"/>
                <w:szCs w:val="18"/>
                <w:lang w:eastAsia="sl-SI"/>
              </w:rPr>
            </w:pPr>
          </w:p>
          <w:p w:rsidR="0050617F" w:rsidRPr="00B46B81" w:rsidRDefault="0050617F" w:rsidP="00B46B81">
            <w:pPr>
              <w:spacing w:after="0" w:line="240" w:lineRule="auto"/>
              <w:rPr>
                <w:rFonts w:ascii="Arial Narrow" w:hAnsi="Arial Narrow"/>
                <w:b/>
                <w:bCs/>
                <w:color w:val="FFFFFF"/>
                <w:sz w:val="18"/>
                <w:szCs w:val="18"/>
                <w:lang w:eastAsia="sl-SI"/>
              </w:rPr>
            </w:pPr>
            <w:r>
              <w:rPr>
                <w:rFonts w:ascii="Arial Narrow" w:hAnsi="Arial Narrow"/>
                <w:b/>
                <w:bCs/>
                <w:color w:val="FFFFFF"/>
                <w:sz w:val="18"/>
                <w:szCs w:val="18"/>
                <w:lang w:eastAsia="sl-SI"/>
              </w:rPr>
              <w:t>EUR</w:t>
            </w:r>
          </w:p>
        </w:tc>
        <w:tc>
          <w:tcPr>
            <w:tcW w:w="538" w:type="pct"/>
            <w:tcBorders>
              <w:top w:val="single" w:sz="4" w:space="0" w:color="9BBB59"/>
              <w:left w:val="nil"/>
              <w:bottom w:val="nil"/>
              <w:right w:val="nil"/>
            </w:tcBorders>
            <w:shd w:val="clear" w:color="9BBB59" w:fill="9BBB59"/>
          </w:tcPr>
          <w:p w:rsidR="004B2744" w:rsidRDefault="004B2744" w:rsidP="00B46B81">
            <w:pPr>
              <w:spacing w:after="0" w:line="240" w:lineRule="auto"/>
              <w:rPr>
                <w:rFonts w:ascii="Arial Narrow" w:hAnsi="Arial Narrow"/>
                <w:b/>
                <w:bCs/>
                <w:color w:val="FFFFFF"/>
                <w:sz w:val="18"/>
                <w:szCs w:val="18"/>
                <w:lang w:eastAsia="sl-SI"/>
              </w:rPr>
            </w:pPr>
            <w:r w:rsidRPr="00B46B81">
              <w:rPr>
                <w:rFonts w:ascii="Arial Narrow" w:hAnsi="Arial Narrow"/>
                <w:b/>
                <w:bCs/>
                <w:color w:val="FFFFFF"/>
                <w:sz w:val="18"/>
                <w:szCs w:val="18"/>
                <w:lang w:eastAsia="sl-SI"/>
              </w:rPr>
              <w:t>2010</w:t>
            </w:r>
          </w:p>
          <w:p w:rsidR="0050617F" w:rsidRDefault="0050617F" w:rsidP="00B46B81">
            <w:pPr>
              <w:spacing w:after="0" w:line="240" w:lineRule="auto"/>
              <w:rPr>
                <w:rFonts w:ascii="Arial Narrow" w:hAnsi="Arial Narrow"/>
                <w:b/>
                <w:bCs/>
                <w:color w:val="FFFFFF"/>
                <w:sz w:val="18"/>
                <w:szCs w:val="18"/>
                <w:lang w:eastAsia="sl-SI"/>
              </w:rPr>
            </w:pPr>
          </w:p>
          <w:p w:rsidR="0050617F" w:rsidRDefault="0050617F" w:rsidP="00B46B81">
            <w:pPr>
              <w:spacing w:after="0" w:line="240" w:lineRule="auto"/>
              <w:rPr>
                <w:rFonts w:ascii="Arial Narrow" w:hAnsi="Arial Narrow"/>
                <w:b/>
                <w:bCs/>
                <w:color w:val="FFFFFF"/>
                <w:sz w:val="18"/>
                <w:szCs w:val="18"/>
                <w:lang w:eastAsia="sl-SI"/>
              </w:rPr>
            </w:pPr>
          </w:p>
          <w:p w:rsidR="0050617F" w:rsidRDefault="0050617F" w:rsidP="00B46B81">
            <w:pPr>
              <w:spacing w:after="0" w:line="240" w:lineRule="auto"/>
              <w:rPr>
                <w:rFonts w:ascii="Arial Narrow" w:hAnsi="Arial Narrow"/>
                <w:b/>
                <w:bCs/>
                <w:color w:val="FFFFFF"/>
                <w:sz w:val="18"/>
                <w:szCs w:val="18"/>
                <w:lang w:eastAsia="sl-SI"/>
              </w:rPr>
            </w:pPr>
          </w:p>
          <w:p w:rsidR="0050617F" w:rsidRPr="00B46B81" w:rsidRDefault="0050617F" w:rsidP="00B46B81">
            <w:pPr>
              <w:spacing w:after="0" w:line="240" w:lineRule="auto"/>
              <w:rPr>
                <w:rFonts w:ascii="Arial Narrow" w:hAnsi="Arial Narrow"/>
                <w:b/>
                <w:bCs/>
                <w:color w:val="FFFFFF"/>
                <w:sz w:val="18"/>
                <w:szCs w:val="18"/>
                <w:lang w:eastAsia="sl-SI"/>
              </w:rPr>
            </w:pPr>
            <w:r>
              <w:rPr>
                <w:rFonts w:ascii="Arial Narrow" w:hAnsi="Arial Narrow"/>
                <w:b/>
                <w:bCs/>
                <w:color w:val="FFFFFF"/>
                <w:sz w:val="18"/>
                <w:szCs w:val="18"/>
                <w:lang w:eastAsia="sl-SI"/>
              </w:rPr>
              <w:t>EUR</w:t>
            </w:r>
          </w:p>
        </w:tc>
        <w:tc>
          <w:tcPr>
            <w:tcW w:w="577" w:type="pct"/>
            <w:tcBorders>
              <w:top w:val="single" w:sz="4" w:space="0" w:color="9BBB59"/>
              <w:left w:val="nil"/>
              <w:bottom w:val="nil"/>
              <w:right w:val="nil"/>
            </w:tcBorders>
            <w:shd w:val="clear" w:color="9BBB59" w:fill="9BBB59"/>
          </w:tcPr>
          <w:p w:rsidR="004B2744" w:rsidRDefault="004B2744" w:rsidP="00B46B81">
            <w:pPr>
              <w:spacing w:after="0" w:line="240" w:lineRule="auto"/>
              <w:rPr>
                <w:rFonts w:ascii="Arial Narrow" w:hAnsi="Arial Narrow"/>
                <w:b/>
                <w:bCs/>
                <w:color w:val="FFFFFF"/>
                <w:sz w:val="18"/>
                <w:szCs w:val="18"/>
                <w:lang w:eastAsia="sl-SI"/>
              </w:rPr>
            </w:pPr>
            <w:r w:rsidRPr="00B46B81">
              <w:rPr>
                <w:rFonts w:ascii="Arial Narrow" w:hAnsi="Arial Narrow"/>
                <w:b/>
                <w:bCs/>
                <w:color w:val="FFFFFF"/>
                <w:sz w:val="18"/>
                <w:szCs w:val="18"/>
                <w:lang w:eastAsia="sl-SI"/>
              </w:rPr>
              <w:t>2009</w:t>
            </w:r>
          </w:p>
          <w:p w:rsidR="0050617F" w:rsidRDefault="0050617F" w:rsidP="00B46B81">
            <w:pPr>
              <w:spacing w:after="0" w:line="240" w:lineRule="auto"/>
              <w:rPr>
                <w:rFonts w:ascii="Arial Narrow" w:hAnsi="Arial Narrow"/>
                <w:b/>
                <w:bCs/>
                <w:color w:val="FFFFFF"/>
                <w:sz w:val="18"/>
                <w:szCs w:val="18"/>
                <w:lang w:eastAsia="sl-SI"/>
              </w:rPr>
            </w:pPr>
          </w:p>
          <w:p w:rsidR="0050617F" w:rsidRDefault="0050617F" w:rsidP="00B46B81">
            <w:pPr>
              <w:spacing w:after="0" w:line="240" w:lineRule="auto"/>
              <w:rPr>
                <w:rFonts w:ascii="Arial Narrow" w:hAnsi="Arial Narrow"/>
                <w:b/>
                <w:bCs/>
                <w:color w:val="FFFFFF"/>
                <w:sz w:val="18"/>
                <w:szCs w:val="18"/>
                <w:lang w:eastAsia="sl-SI"/>
              </w:rPr>
            </w:pPr>
          </w:p>
          <w:p w:rsidR="0050617F" w:rsidRDefault="0050617F" w:rsidP="00B46B81">
            <w:pPr>
              <w:spacing w:after="0" w:line="240" w:lineRule="auto"/>
              <w:rPr>
                <w:rFonts w:ascii="Arial Narrow" w:hAnsi="Arial Narrow"/>
                <w:b/>
                <w:bCs/>
                <w:color w:val="FFFFFF"/>
                <w:sz w:val="18"/>
                <w:szCs w:val="18"/>
                <w:lang w:eastAsia="sl-SI"/>
              </w:rPr>
            </w:pPr>
          </w:p>
          <w:p w:rsidR="0050617F" w:rsidRPr="00B46B81" w:rsidRDefault="0050617F" w:rsidP="00B46B81">
            <w:pPr>
              <w:spacing w:after="0" w:line="240" w:lineRule="auto"/>
              <w:rPr>
                <w:rFonts w:ascii="Arial Narrow" w:hAnsi="Arial Narrow"/>
                <w:b/>
                <w:bCs/>
                <w:color w:val="FFFFFF"/>
                <w:sz w:val="18"/>
                <w:szCs w:val="18"/>
                <w:lang w:eastAsia="sl-SI"/>
              </w:rPr>
            </w:pPr>
            <w:r>
              <w:rPr>
                <w:rFonts w:ascii="Arial Narrow" w:hAnsi="Arial Narrow"/>
                <w:b/>
                <w:bCs/>
                <w:color w:val="FFFFFF"/>
                <w:sz w:val="18"/>
                <w:szCs w:val="18"/>
                <w:lang w:eastAsia="sl-SI"/>
              </w:rPr>
              <w:t>EUR</w:t>
            </w:r>
          </w:p>
        </w:tc>
      </w:tr>
      <w:tr w:rsidR="00211AF6" w:rsidRPr="00080211" w:rsidTr="000A3183">
        <w:trPr>
          <w:trHeight w:val="102"/>
        </w:trPr>
        <w:tc>
          <w:tcPr>
            <w:tcW w:w="1346" w:type="pct"/>
            <w:tcBorders>
              <w:top w:val="single" w:sz="4" w:space="0" w:color="9BBB59"/>
              <w:left w:val="single" w:sz="4" w:space="0" w:color="9BBB59"/>
              <w:bottom w:val="nil"/>
              <w:right w:val="nil"/>
            </w:tcBorders>
            <w:shd w:val="clear" w:color="auto" w:fill="auto"/>
            <w:noWrap/>
            <w:hideMark/>
          </w:tcPr>
          <w:p w:rsidR="00B46B81" w:rsidRPr="00080211" w:rsidRDefault="00B46B81" w:rsidP="00F32E7C">
            <w:pPr>
              <w:spacing w:after="0" w:line="240" w:lineRule="auto"/>
              <w:rPr>
                <w:rFonts w:ascii="Arial Narrow" w:hAnsi="Arial Narrow"/>
                <w:color w:val="000000"/>
                <w:sz w:val="18"/>
                <w:szCs w:val="18"/>
                <w:lang w:eastAsia="sl-SI"/>
              </w:rPr>
            </w:pPr>
            <w:r w:rsidRPr="00B46B81">
              <w:rPr>
                <w:rFonts w:ascii="Arial Narrow" w:hAnsi="Arial Narrow"/>
                <w:color w:val="000000"/>
                <w:sz w:val="18"/>
                <w:szCs w:val="18"/>
                <w:lang w:eastAsia="sl-SI"/>
              </w:rPr>
              <w:t>P</w:t>
            </w:r>
            <w:r w:rsidRPr="00080211">
              <w:rPr>
                <w:rFonts w:ascii="Arial Narrow" w:hAnsi="Arial Narrow"/>
                <w:color w:val="000000"/>
                <w:sz w:val="18"/>
                <w:szCs w:val="18"/>
                <w:lang w:eastAsia="sl-SI"/>
              </w:rPr>
              <w:t>ovprečn</w:t>
            </w:r>
            <w:r w:rsidR="00F32E7C">
              <w:rPr>
                <w:rFonts w:ascii="Arial Narrow" w:hAnsi="Arial Narrow"/>
                <w:color w:val="000000"/>
                <w:sz w:val="18"/>
                <w:szCs w:val="18"/>
                <w:lang w:eastAsia="sl-SI"/>
              </w:rPr>
              <w:t>i</w:t>
            </w:r>
            <w:r w:rsidRPr="00080211">
              <w:rPr>
                <w:rFonts w:ascii="Arial Narrow" w:hAnsi="Arial Narrow"/>
                <w:color w:val="000000"/>
                <w:sz w:val="18"/>
                <w:szCs w:val="18"/>
                <w:lang w:eastAsia="sl-SI"/>
              </w:rPr>
              <w:t xml:space="preserve"> </w:t>
            </w:r>
            <w:r w:rsidR="00F32E7C">
              <w:rPr>
                <w:rFonts w:ascii="Arial Narrow" w:hAnsi="Arial Narrow"/>
                <w:color w:val="000000"/>
                <w:sz w:val="18"/>
                <w:szCs w:val="18"/>
                <w:lang w:eastAsia="sl-SI"/>
              </w:rPr>
              <w:t>dohodek</w:t>
            </w:r>
            <w:r w:rsidRPr="00080211">
              <w:rPr>
                <w:rFonts w:ascii="Arial Narrow" w:hAnsi="Arial Narrow"/>
                <w:color w:val="000000"/>
                <w:sz w:val="18"/>
                <w:szCs w:val="18"/>
                <w:lang w:eastAsia="sl-SI"/>
              </w:rPr>
              <w:t xml:space="preserve"> </w:t>
            </w:r>
          </w:p>
        </w:tc>
        <w:tc>
          <w:tcPr>
            <w:tcW w:w="923" w:type="pct"/>
            <w:tcBorders>
              <w:top w:val="single" w:sz="4" w:space="0" w:color="9BBB59"/>
              <w:left w:val="nil"/>
              <w:bottom w:val="nil"/>
              <w:right w:val="nil"/>
            </w:tcBorders>
            <w:shd w:val="clear" w:color="auto" w:fill="auto"/>
            <w:noWrap/>
            <w:hideMark/>
          </w:tcPr>
          <w:p w:rsidR="00B46B81" w:rsidRPr="00080211" w:rsidRDefault="00B46B81" w:rsidP="0050617F">
            <w:pPr>
              <w:spacing w:after="0" w:line="240" w:lineRule="auto"/>
              <w:rPr>
                <w:rFonts w:ascii="Arial Narrow" w:hAnsi="Arial Narrow"/>
                <w:color w:val="1F497D"/>
                <w:sz w:val="18"/>
                <w:szCs w:val="18"/>
                <w:lang w:eastAsia="sl-SI"/>
              </w:rPr>
            </w:pPr>
            <w:r w:rsidRPr="00B46B81">
              <w:rPr>
                <w:rFonts w:ascii="Arial Narrow" w:hAnsi="Arial Narrow"/>
                <w:sz w:val="18"/>
                <w:szCs w:val="18"/>
              </w:rPr>
              <w:t>12.878,36</w:t>
            </w:r>
          </w:p>
        </w:tc>
        <w:tc>
          <w:tcPr>
            <w:tcW w:w="1000" w:type="pct"/>
            <w:tcBorders>
              <w:top w:val="single" w:sz="4" w:space="0" w:color="9BBB59"/>
              <w:left w:val="nil"/>
              <w:bottom w:val="nil"/>
              <w:right w:val="nil"/>
            </w:tcBorders>
          </w:tcPr>
          <w:p w:rsidR="00B46B81" w:rsidRPr="00B46B81" w:rsidRDefault="00DE1B13" w:rsidP="0050617F">
            <w:pPr>
              <w:spacing w:after="0" w:line="240" w:lineRule="auto"/>
              <w:rPr>
                <w:rFonts w:ascii="Arial Narrow" w:hAnsi="Arial Narrow"/>
                <w:sz w:val="18"/>
                <w:szCs w:val="18"/>
                <w:lang w:eastAsia="sl-SI"/>
              </w:rPr>
            </w:pPr>
            <w:r>
              <w:rPr>
                <w:rFonts w:ascii="Arial Narrow" w:hAnsi="Arial Narrow"/>
                <w:sz w:val="18"/>
                <w:szCs w:val="18"/>
                <w:lang w:eastAsia="sl-SI"/>
              </w:rPr>
              <w:t>13.502,77</w:t>
            </w:r>
          </w:p>
        </w:tc>
        <w:tc>
          <w:tcPr>
            <w:tcW w:w="616" w:type="pct"/>
            <w:tcBorders>
              <w:top w:val="single" w:sz="4" w:space="0" w:color="9BBB59"/>
              <w:left w:val="nil"/>
              <w:bottom w:val="nil"/>
              <w:right w:val="nil"/>
            </w:tcBorders>
          </w:tcPr>
          <w:p w:rsidR="00B46B81" w:rsidRPr="00B46B81" w:rsidRDefault="00DE1B13" w:rsidP="0050617F">
            <w:pPr>
              <w:spacing w:after="0" w:line="240" w:lineRule="auto"/>
              <w:rPr>
                <w:rFonts w:ascii="Arial Narrow" w:hAnsi="Arial Narrow"/>
                <w:sz w:val="18"/>
                <w:szCs w:val="18"/>
                <w:lang w:eastAsia="sl-SI"/>
              </w:rPr>
            </w:pPr>
            <w:r w:rsidRPr="00DE1B13">
              <w:rPr>
                <w:rFonts w:ascii="Arial Narrow" w:hAnsi="Arial Narrow"/>
                <w:sz w:val="18"/>
                <w:szCs w:val="18"/>
                <w:lang w:eastAsia="sl-SI"/>
              </w:rPr>
              <w:t>14.056,80</w:t>
            </w:r>
          </w:p>
        </w:tc>
        <w:tc>
          <w:tcPr>
            <w:tcW w:w="538" w:type="pct"/>
            <w:tcBorders>
              <w:top w:val="single" w:sz="4" w:space="0" w:color="9BBB59"/>
              <w:left w:val="nil"/>
              <w:bottom w:val="nil"/>
              <w:right w:val="nil"/>
            </w:tcBorders>
          </w:tcPr>
          <w:p w:rsidR="00B46B81" w:rsidRPr="00B46B81" w:rsidRDefault="00DE1B13" w:rsidP="0050617F">
            <w:pPr>
              <w:spacing w:after="0" w:line="240" w:lineRule="auto"/>
              <w:rPr>
                <w:rFonts w:ascii="Arial Narrow" w:hAnsi="Arial Narrow"/>
                <w:sz w:val="18"/>
                <w:szCs w:val="18"/>
                <w:lang w:eastAsia="sl-SI"/>
              </w:rPr>
            </w:pPr>
            <w:r w:rsidRPr="00DE1B13">
              <w:rPr>
                <w:rFonts w:ascii="Arial Narrow" w:hAnsi="Arial Narrow"/>
                <w:sz w:val="18"/>
                <w:szCs w:val="18"/>
                <w:lang w:eastAsia="sl-SI"/>
              </w:rPr>
              <w:t>14.086,40</w:t>
            </w:r>
          </w:p>
        </w:tc>
        <w:tc>
          <w:tcPr>
            <w:tcW w:w="577" w:type="pct"/>
            <w:tcBorders>
              <w:top w:val="single" w:sz="4" w:space="0" w:color="9BBB59"/>
              <w:left w:val="nil"/>
              <w:bottom w:val="nil"/>
              <w:right w:val="nil"/>
            </w:tcBorders>
          </w:tcPr>
          <w:p w:rsidR="00B46B81" w:rsidRPr="00B46B81" w:rsidRDefault="00DE1B13" w:rsidP="0050617F">
            <w:pPr>
              <w:spacing w:after="0" w:line="240" w:lineRule="auto"/>
              <w:rPr>
                <w:rFonts w:ascii="Arial Narrow" w:hAnsi="Arial Narrow"/>
                <w:sz w:val="18"/>
                <w:szCs w:val="18"/>
                <w:lang w:eastAsia="sl-SI"/>
              </w:rPr>
            </w:pPr>
            <w:r w:rsidRPr="00DE1B13">
              <w:rPr>
                <w:rFonts w:ascii="Arial Narrow" w:hAnsi="Arial Narrow"/>
                <w:sz w:val="18"/>
                <w:szCs w:val="18"/>
                <w:lang w:eastAsia="sl-SI"/>
              </w:rPr>
              <w:t>14.570,80</w:t>
            </w:r>
          </w:p>
        </w:tc>
      </w:tr>
      <w:tr w:rsidR="00211AF6" w:rsidRPr="00080211" w:rsidTr="000A3183">
        <w:trPr>
          <w:trHeight w:val="102"/>
        </w:trPr>
        <w:tc>
          <w:tcPr>
            <w:tcW w:w="1346" w:type="pct"/>
            <w:tcBorders>
              <w:top w:val="single" w:sz="4" w:space="0" w:color="9BBB59"/>
              <w:left w:val="single" w:sz="4" w:space="0" w:color="9BBB59"/>
              <w:bottom w:val="nil"/>
              <w:right w:val="nil"/>
            </w:tcBorders>
            <w:shd w:val="clear" w:color="auto" w:fill="auto"/>
            <w:noWrap/>
            <w:hideMark/>
          </w:tcPr>
          <w:p w:rsidR="00BB6379" w:rsidRPr="00080211" w:rsidRDefault="00BB6379" w:rsidP="00B46B81">
            <w:pPr>
              <w:spacing w:after="0" w:line="240" w:lineRule="auto"/>
              <w:rPr>
                <w:rFonts w:ascii="Arial Narrow" w:hAnsi="Arial Narrow"/>
                <w:color w:val="000000"/>
                <w:sz w:val="18"/>
                <w:szCs w:val="18"/>
                <w:lang w:eastAsia="sl-SI"/>
              </w:rPr>
            </w:pPr>
            <w:r w:rsidRPr="00B46B81">
              <w:rPr>
                <w:rFonts w:ascii="Arial Narrow" w:hAnsi="Arial Narrow"/>
                <w:color w:val="000000"/>
                <w:sz w:val="18"/>
                <w:szCs w:val="18"/>
                <w:lang w:eastAsia="sl-SI"/>
              </w:rPr>
              <w:t>Najvišji dohodek</w:t>
            </w:r>
          </w:p>
        </w:tc>
        <w:tc>
          <w:tcPr>
            <w:tcW w:w="923" w:type="pct"/>
            <w:tcBorders>
              <w:top w:val="single" w:sz="4" w:space="0" w:color="9BBB59"/>
              <w:left w:val="nil"/>
              <w:bottom w:val="nil"/>
              <w:right w:val="nil"/>
            </w:tcBorders>
            <w:shd w:val="clear" w:color="auto" w:fill="auto"/>
            <w:noWrap/>
            <w:hideMark/>
          </w:tcPr>
          <w:p w:rsidR="00BB6379" w:rsidRPr="00080211" w:rsidRDefault="00BB6379" w:rsidP="0050617F">
            <w:pPr>
              <w:spacing w:after="0" w:line="240" w:lineRule="auto"/>
              <w:rPr>
                <w:rFonts w:ascii="Arial Narrow" w:hAnsi="Arial Narrow"/>
                <w:color w:val="000000"/>
                <w:sz w:val="18"/>
                <w:szCs w:val="18"/>
                <w:lang w:eastAsia="sl-SI"/>
              </w:rPr>
            </w:pPr>
            <w:r w:rsidRPr="00B46B81">
              <w:rPr>
                <w:rFonts w:ascii="Arial Narrow" w:hAnsi="Arial Narrow"/>
                <w:sz w:val="18"/>
                <w:szCs w:val="18"/>
              </w:rPr>
              <w:t>285.667</w:t>
            </w:r>
          </w:p>
        </w:tc>
        <w:tc>
          <w:tcPr>
            <w:tcW w:w="1000" w:type="pct"/>
            <w:tcBorders>
              <w:top w:val="single" w:sz="4" w:space="0" w:color="9BBB59"/>
              <w:left w:val="nil"/>
              <w:bottom w:val="nil"/>
              <w:right w:val="nil"/>
            </w:tcBorders>
          </w:tcPr>
          <w:p w:rsidR="00BB6379" w:rsidRPr="00B46B81" w:rsidRDefault="00BB6379" w:rsidP="0050617F">
            <w:pPr>
              <w:spacing w:after="0" w:line="240" w:lineRule="auto"/>
              <w:rPr>
                <w:rFonts w:ascii="Arial Narrow" w:hAnsi="Arial Narrow"/>
                <w:color w:val="000000"/>
                <w:sz w:val="18"/>
                <w:szCs w:val="18"/>
                <w:lang w:eastAsia="sl-SI"/>
              </w:rPr>
            </w:pPr>
            <w:r w:rsidRPr="00B46B81">
              <w:rPr>
                <w:rFonts w:ascii="Arial Narrow" w:hAnsi="Arial Narrow"/>
                <w:sz w:val="18"/>
                <w:szCs w:val="18"/>
              </w:rPr>
              <w:t>285.667</w:t>
            </w:r>
          </w:p>
        </w:tc>
        <w:tc>
          <w:tcPr>
            <w:tcW w:w="616" w:type="pct"/>
            <w:tcBorders>
              <w:top w:val="single" w:sz="4" w:space="0" w:color="9BBB59"/>
              <w:left w:val="nil"/>
              <w:bottom w:val="nil"/>
              <w:right w:val="nil"/>
            </w:tcBorders>
          </w:tcPr>
          <w:p w:rsidR="00BB6379" w:rsidRPr="00B46B81" w:rsidRDefault="00022C5E" w:rsidP="00B46B81">
            <w:pPr>
              <w:spacing w:after="0" w:line="240" w:lineRule="auto"/>
              <w:rPr>
                <w:rFonts w:ascii="Arial Narrow" w:hAnsi="Arial Narrow"/>
                <w:color w:val="000000"/>
                <w:sz w:val="18"/>
                <w:szCs w:val="18"/>
                <w:lang w:eastAsia="sl-SI"/>
              </w:rPr>
            </w:pPr>
            <w:r w:rsidRPr="00022C5E">
              <w:rPr>
                <w:rFonts w:ascii="Arial Narrow" w:hAnsi="Arial Narrow"/>
                <w:color w:val="000000"/>
                <w:sz w:val="18"/>
                <w:szCs w:val="18"/>
                <w:lang w:eastAsia="sl-SI"/>
              </w:rPr>
              <w:t>361.414,00</w:t>
            </w:r>
          </w:p>
        </w:tc>
        <w:tc>
          <w:tcPr>
            <w:tcW w:w="538" w:type="pct"/>
            <w:tcBorders>
              <w:top w:val="single" w:sz="4" w:space="0" w:color="9BBB59"/>
              <w:left w:val="nil"/>
              <w:bottom w:val="nil"/>
              <w:right w:val="nil"/>
            </w:tcBorders>
          </w:tcPr>
          <w:p w:rsidR="00BB6379" w:rsidRPr="00B46B81" w:rsidRDefault="00022C5E" w:rsidP="00B46B81">
            <w:pPr>
              <w:spacing w:after="0" w:line="240" w:lineRule="auto"/>
              <w:rPr>
                <w:rFonts w:ascii="Arial Narrow" w:hAnsi="Arial Narrow"/>
                <w:color w:val="000000"/>
                <w:sz w:val="18"/>
                <w:szCs w:val="18"/>
                <w:lang w:eastAsia="sl-SI"/>
              </w:rPr>
            </w:pPr>
            <w:r w:rsidRPr="00022C5E">
              <w:rPr>
                <w:rFonts w:ascii="Arial Narrow" w:hAnsi="Arial Narrow"/>
                <w:color w:val="000000"/>
                <w:sz w:val="18"/>
                <w:szCs w:val="18"/>
                <w:lang w:eastAsia="sl-SI"/>
              </w:rPr>
              <w:t>200.865,00</w:t>
            </w:r>
          </w:p>
        </w:tc>
        <w:tc>
          <w:tcPr>
            <w:tcW w:w="577" w:type="pct"/>
            <w:tcBorders>
              <w:top w:val="single" w:sz="4" w:space="0" w:color="9BBB59"/>
              <w:left w:val="nil"/>
              <w:bottom w:val="nil"/>
              <w:right w:val="nil"/>
            </w:tcBorders>
          </w:tcPr>
          <w:p w:rsidR="00BB6379" w:rsidRPr="00B46B81" w:rsidRDefault="0050617F" w:rsidP="0050617F">
            <w:pPr>
              <w:spacing w:after="0" w:line="240" w:lineRule="auto"/>
              <w:rPr>
                <w:rFonts w:ascii="Arial Narrow" w:hAnsi="Arial Narrow"/>
                <w:color w:val="000000"/>
                <w:sz w:val="18"/>
                <w:szCs w:val="18"/>
                <w:lang w:eastAsia="sl-SI"/>
              </w:rPr>
            </w:pPr>
            <w:r w:rsidRPr="0050617F">
              <w:rPr>
                <w:rFonts w:ascii="Arial Narrow" w:hAnsi="Arial Narrow"/>
                <w:color w:val="000000"/>
                <w:sz w:val="18"/>
                <w:szCs w:val="18"/>
                <w:lang w:eastAsia="sl-SI"/>
              </w:rPr>
              <w:t>440.993,00</w:t>
            </w:r>
          </w:p>
        </w:tc>
      </w:tr>
      <w:tr w:rsidR="00211AF6" w:rsidRPr="00080211" w:rsidTr="000A3183">
        <w:trPr>
          <w:trHeight w:val="102"/>
        </w:trPr>
        <w:tc>
          <w:tcPr>
            <w:tcW w:w="1346" w:type="pct"/>
            <w:tcBorders>
              <w:top w:val="single" w:sz="4" w:space="0" w:color="9BBB59"/>
              <w:left w:val="single" w:sz="4" w:space="0" w:color="9BBB59"/>
              <w:bottom w:val="nil"/>
              <w:right w:val="nil"/>
            </w:tcBorders>
            <w:shd w:val="clear" w:color="auto" w:fill="FFFFFF" w:themeFill="background1"/>
            <w:noWrap/>
          </w:tcPr>
          <w:p w:rsidR="00BB6379" w:rsidRPr="00B46B81" w:rsidRDefault="00BB6379" w:rsidP="00B46B81">
            <w:pPr>
              <w:spacing w:after="0" w:line="240" w:lineRule="auto"/>
              <w:rPr>
                <w:rFonts w:ascii="Arial Narrow" w:hAnsi="Arial Narrow"/>
                <w:color w:val="000000"/>
                <w:sz w:val="18"/>
                <w:szCs w:val="18"/>
                <w:lang w:eastAsia="sl-SI"/>
              </w:rPr>
            </w:pPr>
            <w:r w:rsidRPr="00B46B81">
              <w:rPr>
                <w:rFonts w:ascii="Arial Narrow" w:hAnsi="Arial Narrow"/>
                <w:color w:val="000000"/>
                <w:sz w:val="18"/>
                <w:szCs w:val="18"/>
                <w:lang w:eastAsia="sl-SI"/>
              </w:rPr>
              <w:t>S</w:t>
            </w:r>
            <w:r w:rsidRPr="00080211">
              <w:rPr>
                <w:rFonts w:ascii="Arial Narrow" w:hAnsi="Arial Narrow"/>
                <w:color w:val="000000"/>
                <w:sz w:val="18"/>
                <w:szCs w:val="18"/>
                <w:lang w:eastAsia="sl-SI"/>
              </w:rPr>
              <w:t>tandardni odklon</w:t>
            </w:r>
          </w:p>
        </w:tc>
        <w:tc>
          <w:tcPr>
            <w:tcW w:w="923" w:type="pct"/>
            <w:tcBorders>
              <w:top w:val="single" w:sz="4" w:space="0" w:color="9BBB59"/>
              <w:left w:val="nil"/>
              <w:bottom w:val="nil"/>
              <w:right w:val="nil"/>
            </w:tcBorders>
            <w:shd w:val="clear" w:color="auto" w:fill="FFFFFF" w:themeFill="background1"/>
            <w:noWrap/>
          </w:tcPr>
          <w:p w:rsidR="00BB6379" w:rsidRPr="00B46B81" w:rsidRDefault="00BB6379" w:rsidP="00B46B81">
            <w:pPr>
              <w:spacing w:after="0" w:line="240" w:lineRule="auto"/>
              <w:rPr>
                <w:rFonts w:ascii="Arial Narrow" w:hAnsi="Arial Narrow"/>
                <w:color w:val="000000"/>
                <w:sz w:val="18"/>
                <w:szCs w:val="18"/>
                <w:lang w:eastAsia="sl-SI"/>
              </w:rPr>
            </w:pPr>
            <w:r w:rsidRPr="00080211">
              <w:rPr>
                <w:rFonts w:ascii="Arial Narrow" w:hAnsi="Arial Narrow"/>
                <w:color w:val="000000"/>
                <w:sz w:val="18"/>
                <w:szCs w:val="18"/>
                <w:lang w:eastAsia="sl-SI"/>
              </w:rPr>
              <w:t>14.</w:t>
            </w:r>
            <w:r w:rsidRPr="00BB6379">
              <w:rPr>
                <w:rFonts w:ascii="Arial Narrow" w:hAnsi="Arial Narrow"/>
                <w:color w:val="000000"/>
                <w:sz w:val="18"/>
                <w:szCs w:val="18"/>
                <w:lang w:eastAsia="sl-SI"/>
              </w:rPr>
              <w:t>093,61</w:t>
            </w:r>
          </w:p>
        </w:tc>
        <w:tc>
          <w:tcPr>
            <w:tcW w:w="1000" w:type="pct"/>
            <w:tcBorders>
              <w:top w:val="single" w:sz="4" w:space="0" w:color="9BBB59"/>
              <w:left w:val="nil"/>
              <w:bottom w:val="nil"/>
              <w:right w:val="nil"/>
            </w:tcBorders>
            <w:shd w:val="clear" w:color="auto" w:fill="FFFFFF" w:themeFill="background1"/>
          </w:tcPr>
          <w:p w:rsidR="00BB6379" w:rsidRPr="00B46B81" w:rsidRDefault="00BB6379" w:rsidP="0050617F">
            <w:pPr>
              <w:spacing w:after="0" w:line="240" w:lineRule="auto"/>
              <w:rPr>
                <w:rFonts w:ascii="Arial Narrow" w:hAnsi="Arial Narrow"/>
                <w:color w:val="000000"/>
                <w:sz w:val="18"/>
                <w:szCs w:val="18"/>
                <w:lang w:eastAsia="sl-SI"/>
              </w:rPr>
            </w:pPr>
            <w:r w:rsidRPr="00BB6379">
              <w:rPr>
                <w:rFonts w:ascii="Arial Narrow" w:hAnsi="Arial Narrow"/>
                <w:color w:val="000000"/>
                <w:sz w:val="18"/>
                <w:szCs w:val="18"/>
                <w:lang w:eastAsia="sl-SI"/>
              </w:rPr>
              <w:t>14.136,09</w:t>
            </w:r>
          </w:p>
        </w:tc>
        <w:tc>
          <w:tcPr>
            <w:tcW w:w="616" w:type="pct"/>
            <w:tcBorders>
              <w:top w:val="single" w:sz="4" w:space="0" w:color="9BBB59"/>
              <w:left w:val="nil"/>
              <w:bottom w:val="nil"/>
              <w:right w:val="nil"/>
            </w:tcBorders>
            <w:shd w:val="clear" w:color="auto" w:fill="FFFFFF" w:themeFill="background1"/>
          </w:tcPr>
          <w:p w:rsidR="00BB6379" w:rsidRPr="00B46B81" w:rsidRDefault="00DE1B13" w:rsidP="00B46B81">
            <w:pPr>
              <w:spacing w:after="0" w:line="240" w:lineRule="auto"/>
              <w:rPr>
                <w:rFonts w:ascii="Arial Narrow" w:hAnsi="Arial Narrow"/>
                <w:color w:val="000000"/>
                <w:sz w:val="18"/>
                <w:szCs w:val="18"/>
                <w:lang w:eastAsia="sl-SI"/>
              </w:rPr>
            </w:pPr>
            <w:r w:rsidRPr="00DE1B13">
              <w:rPr>
                <w:rFonts w:ascii="Arial Narrow" w:hAnsi="Arial Narrow"/>
                <w:color w:val="000000"/>
                <w:sz w:val="18"/>
                <w:szCs w:val="18"/>
                <w:lang w:eastAsia="sl-SI"/>
              </w:rPr>
              <w:t>15.340,80</w:t>
            </w:r>
          </w:p>
        </w:tc>
        <w:tc>
          <w:tcPr>
            <w:tcW w:w="538" w:type="pct"/>
            <w:tcBorders>
              <w:top w:val="single" w:sz="4" w:space="0" w:color="9BBB59"/>
              <w:left w:val="nil"/>
              <w:bottom w:val="nil"/>
              <w:right w:val="nil"/>
            </w:tcBorders>
            <w:shd w:val="clear" w:color="auto" w:fill="FFFFFF" w:themeFill="background1"/>
          </w:tcPr>
          <w:p w:rsidR="00BB6379" w:rsidRPr="00B46B81" w:rsidRDefault="00DE1B13" w:rsidP="0050617F">
            <w:pPr>
              <w:spacing w:after="0" w:line="240" w:lineRule="auto"/>
              <w:rPr>
                <w:rFonts w:ascii="Arial Narrow" w:hAnsi="Arial Narrow"/>
                <w:color w:val="000000"/>
                <w:sz w:val="18"/>
                <w:szCs w:val="18"/>
                <w:lang w:eastAsia="sl-SI"/>
              </w:rPr>
            </w:pPr>
            <w:r w:rsidRPr="00DE1B13">
              <w:rPr>
                <w:rFonts w:ascii="Arial Narrow" w:hAnsi="Arial Narrow"/>
                <w:color w:val="000000"/>
                <w:sz w:val="18"/>
                <w:szCs w:val="18"/>
                <w:lang w:eastAsia="sl-SI"/>
              </w:rPr>
              <w:t>13.426,40</w:t>
            </w:r>
          </w:p>
        </w:tc>
        <w:tc>
          <w:tcPr>
            <w:tcW w:w="577" w:type="pct"/>
            <w:tcBorders>
              <w:top w:val="single" w:sz="4" w:space="0" w:color="9BBB59"/>
              <w:left w:val="nil"/>
              <w:bottom w:val="nil"/>
              <w:right w:val="nil"/>
            </w:tcBorders>
            <w:shd w:val="clear" w:color="auto" w:fill="FFFFFF" w:themeFill="background1"/>
          </w:tcPr>
          <w:p w:rsidR="00BB6379" w:rsidRPr="00B46B81" w:rsidRDefault="00DE1B13" w:rsidP="0050617F">
            <w:pPr>
              <w:spacing w:after="0" w:line="240" w:lineRule="auto"/>
              <w:rPr>
                <w:rFonts w:ascii="Arial Narrow" w:hAnsi="Arial Narrow"/>
                <w:color w:val="000000"/>
                <w:sz w:val="18"/>
                <w:szCs w:val="18"/>
                <w:lang w:eastAsia="sl-SI"/>
              </w:rPr>
            </w:pPr>
            <w:r w:rsidRPr="00DE1B13">
              <w:rPr>
                <w:rFonts w:ascii="Arial Narrow" w:hAnsi="Arial Narrow"/>
                <w:color w:val="000000"/>
                <w:sz w:val="18"/>
                <w:szCs w:val="18"/>
                <w:lang w:eastAsia="sl-SI"/>
              </w:rPr>
              <w:t>18.780,30</w:t>
            </w:r>
          </w:p>
        </w:tc>
      </w:tr>
      <w:tr w:rsidR="00211AF6" w:rsidRPr="00080211" w:rsidTr="000A3183">
        <w:trPr>
          <w:trHeight w:val="102"/>
        </w:trPr>
        <w:tc>
          <w:tcPr>
            <w:tcW w:w="1346" w:type="pct"/>
            <w:tcBorders>
              <w:top w:val="single" w:sz="4" w:space="0" w:color="9BBB59"/>
              <w:left w:val="single" w:sz="4" w:space="0" w:color="9BBB59"/>
              <w:bottom w:val="nil"/>
              <w:right w:val="nil"/>
            </w:tcBorders>
            <w:shd w:val="clear" w:color="auto" w:fill="FFFFFF" w:themeFill="background1"/>
            <w:noWrap/>
            <w:hideMark/>
          </w:tcPr>
          <w:p w:rsidR="00BB6379" w:rsidRDefault="00BB6379" w:rsidP="00B46B81">
            <w:pPr>
              <w:spacing w:after="0" w:line="240" w:lineRule="auto"/>
              <w:rPr>
                <w:rFonts w:ascii="Arial Narrow" w:hAnsi="Arial Narrow"/>
                <w:color w:val="000000"/>
                <w:sz w:val="18"/>
                <w:szCs w:val="18"/>
                <w:lang w:eastAsia="sl-SI"/>
              </w:rPr>
            </w:pPr>
            <w:r w:rsidRPr="00B46B81">
              <w:rPr>
                <w:rFonts w:ascii="Arial Narrow" w:hAnsi="Arial Narrow"/>
                <w:color w:val="000000"/>
                <w:sz w:val="18"/>
                <w:szCs w:val="18"/>
                <w:lang w:eastAsia="sl-SI"/>
              </w:rPr>
              <w:t>M</w:t>
            </w:r>
            <w:r w:rsidRPr="00080211">
              <w:rPr>
                <w:rFonts w:ascii="Arial Narrow" w:hAnsi="Arial Narrow"/>
                <w:color w:val="000000"/>
                <w:sz w:val="18"/>
                <w:szCs w:val="18"/>
                <w:lang w:eastAsia="sl-SI"/>
              </w:rPr>
              <w:t>ediana</w:t>
            </w:r>
            <w:r w:rsidR="00F32E7C">
              <w:rPr>
                <w:rFonts w:ascii="Arial Narrow" w:hAnsi="Arial Narrow"/>
                <w:color w:val="000000"/>
                <w:sz w:val="18"/>
                <w:szCs w:val="18"/>
                <w:lang w:eastAsia="sl-SI"/>
              </w:rPr>
              <w:t xml:space="preserve"> dohodka</w:t>
            </w:r>
          </w:p>
          <w:p w:rsidR="00211AF6" w:rsidRPr="00080211" w:rsidRDefault="00211AF6" w:rsidP="00B46B81">
            <w:pPr>
              <w:spacing w:after="0" w:line="240" w:lineRule="auto"/>
              <w:rPr>
                <w:rFonts w:ascii="Arial Narrow" w:hAnsi="Arial Narrow"/>
                <w:color w:val="000000"/>
                <w:sz w:val="18"/>
                <w:szCs w:val="18"/>
                <w:lang w:eastAsia="sl-SI"/>
              </w:rPr>
            </w:pPr>
            <w:r>
              <w:rPr>
                <w:rFonts w:ascii="Arial Narrow" w:hAnsi="Arial Narrow"/>
                <w:color w:val="000000"/>
                <w:sz w:val="18"/>
                <w:szCs w:val="18"/>
                <w:lang w:eastAsia="sl-SI"/>
              </w:rPr>
              <w:t>(dohodek na sredini lestvice, ki je urejena od najnižjega do najvišjega)</w:t>
            </w:r>
          </w:p>
        </w:tc>
        <w:tc>
          <w:tcPr>
            <w:tcW w:w="923" w:type="pct"/>
            <w:tcBorders>
              <w:top w:val="single" w:sz="4" w:space="0" w:color="9BBB59"/>
              <w:left w:val="nil"/>
              <w:bottom w:val="nil"/>
              <w:right w:val="nil"/>
            </w:tcBorders>
            <w:shd w:val="clear" w:color="auto" w:fill="FFFFFF" w:themeFill="background1"/>
            <w:noWrap/>
            <w:hideMark/>
          </w:tcPr>
          <w:p w:rsidR="00BB6379" w:rsidRPr="00080211" w:rsidRDefault="00BB6379" w:rsidP="0050617F">
            <w:pPr>
              <w:spacing w:after="0" w:line="240" w:lineRule="auto"/>
              <w:rPr>
                <w:rFonts w:ascii="Arial Narrow" w:hAnsi="Arial Narrow"/>
                <w:color w:val="000000"/>
                <w:sz w:val="18"/>
                <w:szCs w:val="18"/>
                <w:lang w:eastAsia="sl-SI"/>
              </w:rPr>
            </w:pPr>
            <w:r w:rsidRPr="00B46B81">
              <w:rPr>
                <w:rFonts w:ascii="Arial Narrow" w:hAnsi="Arial Narrow"/>
                <w:color w:val="000000"/>
                <w:sz w:val="18"/>
                <w:szCs w:val="18"/>
                <w:lang w:eastAsia="sl-SI"/>
              </w:rPr>
              <w:t xml:space="preserve">10.635,38 </w:t>
            </w:r>
          </w:p>
        </w:tc>
        <w:tc>
          <w:tcPr>
            <w:tcW w:w="1000" w:type="pct"/>
            <w:tcBorders>
              <w:top w:val="single" w:sz="4" w:space="0" w:color="9BBB59"/>
              <w:left w:val="nil"/>
              <w:bottom w:val="nil"/>
              <w:right w:val="nil"/>
            </w:tcBorders>
            <w:shd w:val="clear" w:color="auto" w:fill="FFFFFF" w:themeFill="background1"/>
          </w:tcPr>
          <w:p w:rsidR="00BB6379" w:rsidRPr="00B46B81" w:rsidRDefault="00BB6379" w:rsidP="0050617F">
            <w:pPr>
              <w:spacing w:after="0" w:line="240" w:lineRule="auto"/>
              <w:rPr>
                <w:rFonts w:ascii="Arial Narrow" w:hAnsi="Arial Narrow"/>
                <w:color w:val="000000"/>
                <w:sz w:val="18"/>
                <w:szCs w:val="18"/>
                <w:lang w:eastAsia="sl-SI"/>
              </w:rPr>
            </w:pPr>
            <w:r w:rsidRPr="00BB6379">
              <w:rPr>
                <w:rFonts w:ascii="Arial Narrow" w:hAnsi="Arial Narrow"/>
                <w:color w:val="000000"/>
                <w:sz w:val="18"/>
                <w:szCs w:val="18"/>
                <w:lang w:eastAsia="sl-SI"/>
              </w:rPr>
              <w:t>11.160</w:t>
            </w:r>
            <w:r w:rsidR="00C53125">
              <w:rPr>
                <w:rFonts w:ascii="Arial Narrow" w:hAnsi="Arial Narrow"/>
                <w:color w:val="000000"/>
                <w:sz w:val="18"/>
                <w:szCs w:val="18"/>
                <w:lang w:eastAsia="sl-SI"/>
              </w:rPr>
              <w:t>,32</w:t>
            </w:r>
          </w:p>
        </w:tc>
        <w:tc>
          <w:tcPr>
            <w:tcW w:w="616" w:type="pct"/>
            <w:tcBorders>
              <w:top w:val="single" w:sz="4" w:space="0" w:color="9BBB59"/>
              <w:left w:val="nil"/>
              <w:bottom w:val="nil"/>
              <w:right w:val="nil"/>
            </w:tcBorders>
            <w:shd w:val="clear" w:color="auto" w:fill="FFFFFF" w:themeFill="background1"/>
          </w:tcPr>
          <w:p w:rsidR="00BB6379" w:rsidRPr="00B46B81" w:rsidRDefault="00DE1B13" w:rsidP="00B46B81">
            <w:pPr>
              <w:spacing w:after="0" w:line="240" w:lineRule="auto"/>
              <w:rPr>
                <w:rFonts w:ascii="Arial Narrow" w:hAnsi="Arial Narrow"/>
                <w:color w:val="000000"/>
                <w:sz w:val="18"/>
                <w:szCs w:val="18"/>
                <w:lang w:eastAsia="sl-SI"/>
              </w:rPr>
            </w:pPr>
            <w:r w:rsidRPr="00DE1B13">
              <w:rPr>
                <w:rFonts w:ascii="Arial Narrow" w:hAnsi="Arial Narrow"/>
                <w:color w:val="000000"/>
                <w:sz w:val="18"/>
                <w:szCs w:val="18"/>
                <w:lang w:eastAsia="sl-SI"/>
              </w:rPr>
              <w:t>12.464,00</w:t>
            </w:r>
          </w:p>
        </w:tc>
        <w:tc>
          <w:tcPr>
            <w:tcW w:w="538" w:type="pct"/>
            <w:tcBorders>
              <w:top w:val="single" w:sz="4" w:space="0" w:color="9BBB59"/>
              <w:left w:val="nil"/>
              <w:bottom w:val="nil"/>
              <w:right w:val="nil"/>
            </w:tcBorders>
            <w:shd w:val="clear" w:color="auto" w:fill="FFFFFF" w:themeFill="background1"/>
          </w:tcPr>
          <w:p w:rsidR="00BB6379" w:rsidRPr="00B46B81" w:rsidRDefault="00DE1B13" w:rsidP="00B46B81">
            <w:pPr>
              <w:spacing w:after="0" w:line="240" w:lineRule="auto"/>
              <w:rPr>
                <w:rFonts w:ascii="Arial Narrow" w:hAnsi="Arial Narrow"/>
                <w:color w:val="000000"/>
                <w:sz w:val="18"/>
                <w:szCs w:val="18"/>
                <w:lang w:eastAsia="sl-SI"/>
              </w:rPr>
            </w:pPr>
            <w:r w:rsidRPr="00DE1B13">
              <w:rPr>
                <w:rFonts w:ascii="Arial Narrow" w:hAnsi="Arial Narrow"/>
                <w:color w:val="000000"/>
                <w:sz w:val="18"/>
                <w:szCs w:val="18"/>
                <w:lang w:eastAsia="sl-SI"/>
              </w:rPr>
              <w:t>12.505,90</w:t>
            </w:r>
          </w:p>
        </w:tc>
        <w:tc>
          <w:tcPr>
            <w:tcW w:w="577" w:type="pct"/>
            <w:tcBorders>
              <w:top w:val="single" w:sz="4" w:space="0" w:color="9BBB59"/>
              <w:left w:val="nil"/>
              <w:bottom w:val="nil"/>
              <w:right w:val="nil"/>
            </w:tcBorders>
            <w:shd w:val="clear" w:color="auto" w:fill="FFFFFF" w:themeFill="background1"/>
          </w:tcPr>
          <w:p w:rsidR="00BB6379" w:rsidRPr="00B46B81" w:rsidRDefault="00DE1B13" w:rsidP="0050617F">
            <w:pPr>
              <w:spacing w:after="0" w:line="240" w:lineRule="auto"/>
              <w:rPr>
                <w:rFonts w:ascii="Arial Narrow" w:hAnsi="Arial Narrow"/>
                <w:color w:val="000000"/>
                <w:sz w:val="18"/>
                <w:szCs w:val="18"/>
                <w:lang w:eastAsia="sl-SI"/>
              </w:rPr>
            </w:pPr>
            <w:r w:rsidRPr="00DE1B13">
              <w:rPr>
                <w:rFonts w:ascii="Arial Narrow" w:hAnsi="Arial Narrow"/>
                <w:color w:val="000000"/>
                <w:sz w:val="18"/>
                <w:szCs w:val="18"/>
                <w:lang w:eastAsia="sl-SI"/>
              </w:rPr>
              <w:t>12.110,20</w:t>
            </w:r>
          </w:p>
        </w:tc>
      </w:tr>
      <w:tr w:rsidR="00BB6379" w:rsidRPr="00080211" w:rsidTr="000A3183">
        <w:trPr>
          <w:trHeight w:val="102"/>
        </w:trPr>
        <w:tc>
          <w:tcPr>
            <w:tcW w:w="1346" w:type="pct"/>
            <w:tcBorders>
              <w:top w:val="single" w:sz="4" w:space="0" w:color="9BBB59"/>
              <w:left w:val="single" w:sz="4" w:space="0" w:color="9BBB59"/>
              <w:bottom w:val="single" w:sz="4" w:space="0" w:color="9BBB59"/>
              <w:right w:val="nil"/>
            </w:tcBorders>
            <w:shd w:val="clear" w:color="auto" w:fill="FFFFFF" w:themeFill="background1"/>
            <w:noWrap/>
          </w:tcPr>
          <w:p w:rsidR="00211AF6" w:rsidRDefault="00BB6379" w:rsidP="00B46B81">
            <w:pPr>
              <w:spacing w:after="0" w:line="240" w:lineRule="auto"/>
              <w:rPr>
                <w:rFonts w:ascii="Arial Narrow" w:hAnsi="Arial Narrow"/>
                <w:color w:val="000000"/>
                <w:sz w:val="18"/>
                <w:szCs w:val="18"/>
                <w:lang w:eastAsia="sl-SI"/>
              </w:rPr>
            </w:pPr>
            <w:r w:rsidRPr="00B46B81">
              <w:rPr>
                <w:rFonts w:ascii="Arial Narrow" w:hAnsi="Arial Narrow"/>
                <w:color w:val="000000"/>
                <w:sz w:val="18"/>
                <w:szCs w:val="18"/>
                <w:lang w:eastAsia="sl-SI"/>
              </w:rPr>
              <w:t xml:space="preserve">Prvi </w:t>
            </w:r>
            <w:proofErr w:type="spellStart"/>
            <w:r w:rsidRPr="00B46B81">
              <w:rPr>
                <w:rFonts w:ascii="Arial Narrow" w:hAnsi="Arial Narrow"/>
                <w:color w:val="000000"/>
                <w:sz w:val="18"/>
                <w:szCs w:val="18"/>
                <w:lang w:eastAsia="sl-SI"/>
              </w:rPr>
              <w:t>decil</w:t>
            </w:r>
            <w:proofErr w:type="spellEnd"/>
            <w:r w:rsidR="00F32E7C">
              <w:rPr>
                <w:rFonts w:ascii="Arial Narrow" w:hAnsi="Arial Narrow"/>
                <w:color w:val="000000"/>
                <w:sz w:val="18"/>
                <w:szCs w:val="18"/>
                <w:lang w:eastAsia="sl-SI"/>
              </w:rPr>
              <w:t xml:space="preserve"> </w:t>
            </w:r>
          </w:p>
          <w:p w:rsidR="00BB6379" w:rsidRPr="00080211" w:rsidRDefault="00F32E7C" w:rsidP="00B46B81">
            <w:pPr>
              <w:spacing w:after="0" w:line="240" w:lineRule="auto"/>
              <w:rPr>
                <w:rFonts w:ascii="Arial Narrow" w:hAnsi="Arial Narrow"/>
                <w:color w:val="000000"/>
                <w:sz w:val="18"/>
                <w:szCs w:val="18"/>
                <w:lang w:eastAsia="sl-SI"/>
              </w:rPr>
            </w:pPr>
            <w:r>
              <w:rPr>
                <w:rFonts w:ascii="Arial Narrow" w:hAnsi="Arial Narrow"/>
                <w:color w:val="000000"/>
                <w:sz w:val="18"/>
                <w:szCs w:val="18"/>
                <w:lang w:eastAsia="sl-SI"/>
              </w:rPr>
              <w:t>(meja spodnjih 10 % dohodkov)</w:t>
            </w:r>
          </w:p>
        </w:tc>
        <w:tc>
          <w:tcPr>
            <w:tcW w:w="923" w:type="pct"/>
            <w:tcBorders>
              <w:top w:val="single" w:sz="4" w:space="0" w:color="9BBB59"/>
              <w:left w:val="nil"/>
              <w:bottom w:val="single" w:sz="4" w:space="0" w:color="9BBB59"/>
              <w:right w:val="nil"/>
            </w:tcBorders>
            <w:shd w:val="clear" w:color="auto" w:fill="FFFFFF" w:themeFill="background1"/>
            <w:noWrap/>
          </w:tcPr>
          <w:p w:rsidR="00BB6379" w:rsidRPr="00080211" w:rsidRDefault="00EE0113" w:rsidP="00B46B81">
            <w:pPr>
              <w:spacing w:after="0" w:line="240" w:lineRule="auto"/>
              <w:rPr>
                <w:rFonts w:ascii="Arial Narrow" w:hAnsi="Arial Narrow"/>
                <w:color w:val="000000"/>
                <w:sz w:val="18"/>
                <w:szCs w:val="18"/>
                <w:lang w:eastAsia="sl-SI"/>
              </w:rPr>
            </w:pPr>
            <w:r w:rsidRPr="00EE0113">
              <w:rPr>
                <w:rFonts w:ascii="Arial Narrow" w:hAnsi="Arial Narrow"/>
                <w:color w:val="000000"/>
                <w:sz w:val="18"/>
                <w:szCs w:val="18"/>
                <w:lang w:eastAsia="sl-SI"/>
              </w:rPr>
              <w:t>522,284</w:t>
            </w:r>
          </w:p>
        </w:tc>
        <w:tc>
          <w:tcPr>
            <w:tcW w:w="1000" w:type="pct"/>
            <w:tcBorders>
              <w:top w:val="single" w:sz="4" w:space="0" w:color="9BBB59"/>
              <w:left w:val="nil"/>
              <w:bottom w:val="single" w:sz="4" w:space="0" w:color="9BBB59"/>
              <w:right w:val="nil"/>
            </w:tcBorders>
            <w:shd w:val="clear" w:color="auto" w:fill="FFFFFF" w:themeFill="background1"/>
          </w:tcPr>
          <w:p w:rsidR="00BB6379" w:rsidRPr="00B46B81" w:rsidRDefault="00EE0113" w:rsidP="00B46B81">
            <w:pPr>
              <w:spacing w:after="0" w:line="240" w:lineRule="auto"/>
              <w:rPr>
                <w:rFonts w:ascii="Arial Narrow" w:hAnsi="Arial Narrow"/>
                <w:color w:val="000000"/>
                <w:sz w:val="18"/>
                <w:szCs w:val="18"/>
                <w:lang w:eastAsia="sl-SI"/>
              </w:rPr>
            </w:pPr>
            <w:r w:rsidRPr="00EE0113">
              <w:rPr>
                <w:rFonts w:ascii="Arial Narrow" w:hAnsi="Arial Narrow"/>
                <w:color w:val="000000"/>
                <w:sz w:val="18"/>
                <w:szCs w:val="18"/>
                <w:lang w:eastAsia="sl-SI"/>
              </w:rPr>
              <w:t>1</w:t>
            </w:r>
            <w:r>
              <w:rPr>
                <w:rFonts w:ascii="Arial Narrow" w:hAnsi="Arial Narrow"/>
                <w:color w:val="000000"/>
                <w:sz w:val="18"/>
                <w:szCs w:val="18"/>
                <w:lang w:eastAsia="sl-SI"/>
              </w:rPr>
              <w:t>.</w:t>
            </w:r>
            <w:r w:rsidRPr="00EE0113">
              <w:rPr>
                <w:rFonts w:ascii="Arial Narrow" w:hAnsi="Arial Narrow"/>
                <w:color w:val="000000"/>
                <w:sz w:val="18"/>
                <w:szCs w:val="18"/>
                <w:lang w:eastAsia="sl-SI"/>
              </w:rPr>
              <w:t>068,19</w:t>
            </w:r>
          </w:p>
        </w:tc>
        <w:tc>
          <w:tcPr>
            <w:tcW w:w="1731" w:type="pct"/>
            <w:gridSpan w:val="3"/>
            <w:tcBorders>
              <w:top w:val="single" w:sz="4" w:space="0" w:color="9BBB59"/>
              <w:left w:val="nil"/>
              <w:bottom w:val="single" w:sz="4" w:space="0" w:color="9BBB59"/>
              <w:right w:val="nil"/>
            </w:tcBorders>
            <w:shd w:val="clear" w:color="auto" w:fill="EAF1DD" w:themeFill="accent3" w:themeFillTint="33"/>
          </w:tcPr>
          <w:p w:rsidR="00BB6379" w:rsidRPr="00B46B81" w:rsidRDefault="00BB6379" w:rsidP="0050617F">
            <w:pPr>
              <w:spacing w:after="0" w:line="240" w:lineRule="auto"/>
              <w:jc w:val="center"/>
              <w:rPr>
                <w:rFonts w:ascii="Arial Narrow" w:hAnsi="Arial Narrow"/>
                <w:color w:val="000000"/>
                <w:sz w:val="18"/>
                <w:szCs w:val="18"/>
                <w:lang w:eastAsia="sl-SI"/>
              </w:rPr>
            </w:pPr>
            <w:r>
              <w:rPr>
                <w:rFonts w:ascii="Arial Narrow" w:hAnsi="Arial Narrow"/>
                <w:color w:val="000000"/>
                <w:sz w:val="18"/>
                <w:szCs w:val="18"/>
                <w:lang w:eastAsia="sl-SI"/>
              </w:rPr>
              <w:t>3</w:t>
            </w:r>
            <w:r w:rsidR="008554FD">
              <w:rPr>
                <w:rFonts w:ascii="Arial Narrow" w:hAnsi="Arial Narrow"/>
                <w:color w:val="000000"/>
                <w:sz w:val="18"/>
                <w:szCs w:val="18"/>
                <w:lang w:eastAsia="sl-SI"/>
              </w:rPr>
              <w:t>.</w:t>
            </w:r>
            <w:r>
              <w:rPr>
                <w:rFonts w:ascii="Arial Narrow" w:hAnsi="Arial Narrow"/>
                <w:color w:val="000000"/>
                <w:sz w:val="18"/>
                <w:szCs w:val="18"/>
                <w:lang w:eastAsia="sl-SI"/>
              </w:rPr>
              <w:t>378,78</w:t>
            </w:r>
            <w:r w:rsidR="008554FD">
              <w:rPr>
                <w:rFonts w:ascii="Arial Narrow" w:hAnsi="Arial Narrow"/>
                <w:color w:val="000000"/>
                <w:sz w:val="18"/>
                <w:szCs w:val="18"/>
                <w:lang w:eastAsia="sl-SI"/>
              </w:rPr>
              <w:t xml:space="preserve"> </w:t>
            </w:r>
          </w:p>
        </w:tc>
      </w:tr>
      <w:tr w:rsidR="00BB6379" w:rsidRPr="00080211" w:rsidTr="000A3183">
        <w:trPr>
          <w:trHeight w:val="102"/>
        </w:trPr>
        <w:tc>
          <w:tcPr>
            <w:tcW w:w="1346" w:type="pct"/>
            <w:tcBorders>
              <w:top w:val="single" w:sz="4" w:space="0" w:color="9BBB59"/>
              <w:left w:val="single" w:sz="4" w:space="0" w:color="9BBB59"/>
              <w:bottom w:val="single" w:sz="4" w:space="0" w:color="9BBB59"/>
              <w:right w:val="nil"/>
            </w:tcBorders>
            <w:shd w:val="clear" w:color="auto" w:fill="FFFFFF" w:themeFill="background1"/>
            <w:noWrap/>
          </w:tcPr>
          <w:p w:rsidR="00211AF6" w:rsidRDefault="00BB6379" w:rsidP="00B46B81">
            <w:pPr>
              <w:spacing w:after="0" w:line="240" w:lineRule="auto"/>
              <w:rPr>
                <w:rFonts w:ascii="Arial Narrow" w:hAnsi="Arial Narrow"/>
                <w:color w:val="000000"/>
                <w:sz w:val="18"/>
                <w:szCs w:val="18"/>
                <w:lang w:eastAsia="sl-SI"/>
              </w:rPr>
            </w:pPr>
            <w:r w:rsidRPr="00B46B81">
              <w:rPr>
                <w:rFonts w:ascii="Arial Narrow" w:hAnsi="Arial Narrow"/>
                <w:color w:val="000000"/>
                <w:sz w:val="18"/>
                <w:szCs w:val="18"/>
                <w:lang w:eastAsia="sl-SI"/>
              </w:rPr>
              <w:t xml:space="preserve">Deveti </w:t>
            </w:r>
            <w:proofErr w:type="spellStart"/>
            <w:r w:rsidRPr="00B46B81">
              <w:rPr>
                <w:rFonts w:ascii="Arial Narrow" w:hAnsi="Arial Narrow"/>
                <w:color w:val="000000"/>
                <w:sz w:val="18"/>
                <w:szCs w:val="18"/>
                <w:lang w:eastAsia="sl-SI"/>
              </w:rPr>
              <w:t>decil</w:t>
            </w:r>
            <w:proofErr w:type="spellEnd"/>
            <w:r w:rsidR="00F32E7C">
              <w:rPr>
                <w:rFonts w:ascii="Arial Narrow" w:hAnsi="Arial Narrow"/>
                <w:color w:val="000000"/>
                <w:sz w:val="18"/>
                <w:szCs w:val="18"/>
                <w:lang w:eastAsia="sl-SI"/>
              </w:rPr>
              <w:t xml:space="preserve"> </w:t>
            </w:r>
          </w:p>
          <w:p w:rsidR="00BB6379" w:rsidRPr="00B46B81" w:rsidRDefault="00F32E7C" w:rsidP="00B46B81">
            <w:pPr>
              <w:spacing w:after="0" w:line="240" w:lineRule="auto"/>
              <w:rPr>
                <w:rFonts w:ascii="Arial Narrow" w:hAnsi="Arial Narrow"/>
                <w:color w:val="000000"/>
                <w:sz w:val="18"/>
                <w:szCs w:val="18"/>
                <w:lang w:eastAsia="sl-SI"/>
              </w:rPr>
            </w:pPr>
            <w:r>
              <w:rPr>
                <w:rFonts w:ascii="Arial Narrow" w:hAnsi="Arial Narrow"/>
                <w:color w:val="000000"/>
                <w:sz w:val="18"/>
                <w:szCs w:val="18"/>
                <w:lang w:eastAsia="sl-SI"/>
              </w:rPr>
              <w:t>(meja spodnjih 90 % dohodkov)</w:t>
            </w:r>
          </w:p>
        </w:tc>
        <w:tc>
          <w:tcPr>
            <w:tcW w:w="923" w:type="pct"/>
            <w:tcBorders>
              <w:top w:val="single" w:sz="4" w:space="0" w:color="9BBB59"/>
              <w:left w:val="nil"/>
              <w:bottom w:val="single" w:sz="4" w:space="0" w:color="9BBB59"/>
              <w:right w:val="nil"/>
            </w:tcBorders>
            <w:shd w:val="clear" w:color="auto" w:fill="FFFFFF" w:themeFill="background1"/>
            <w:noWrap/>
          </w:tcPr>
          <w:p w:rsidR="00BB6379" w:rsidRPr="00B46B81" w:rsidRDefault="00EE0113" w:rsidP="00B46B81">
            <w:pPr>
              <w:spacing w:after="0" w:line="240" w:lineRule="auto"/>
              <w:rPr>
                <w:rFonts w:ascii="Arial Narrow" w:hAnsi="Arial Narrow"/>
                <w:color w:val="000000"/>
                <w:sz w:val="18"/>
                <w:szCs w:val="18"/>
                <w:lang w:eastAsia="sl-SI"/>
              </w:rPr>
            </w:pPr>
            <w:r w:rsidRPr="00EE0113">
              <w:rPr>
                <w:rFonts w:ascii="Arial Narrow" w:hAnsi="Arial Narrow"/>
                <w:color w:val="000000"/>
                <w:sz w:val="18"/>
                <w:szCs w:val="18"/>
                <w:lang w:eastAsia="sl-SI"/>
              </w:rPr>
              <w:t>26</w:t>
            </w:r>
            <w:r>
              <w:rPr>
                <w:rFonts w:ascii="Arial Narrow" w:hAnsi="Arial Narrow"/>
                <w:color w:val="000000"/>
                <w:sz w:val="18"/>
                <w:szCs w:val="18"/>
                <w:lang w:eastAsia="sl-SI"/>
              </w:rPr>
              <w:t>.</w:t>
            </w:r>
            <w:r w:rsidRPr="00EE0113">
              <w:rPr>
                <w:rFonts w:ascii="Arial Narrow" w:hAnsi="Arial Narrow"/>
                <w:color w:val="000000"/>
                <w:sz w:val="18"/>
                <w:szCs w:val="18"/>
                <w:lang w:eastAsia="sl-SI"/>
              </w:rPr>
              <w:t>045,36</w:t>
            </w:r>
          </w:p>
        </w:tc>
        <w:tc>
          <w:tcPr>
            <w:tcW w:w="1000" w:type="pct"/>
            <w:tcBorders>
              <w:top w:val="single" w:sz="4" w:space="0" w:color="9BBB59"/>
              <w:left w:val="nil"/>
              <w:bottom w:val="single" w:sz="4" w:space="0" w:color="9BBB59"/>
              <w:right w:val="nil"/>
            </w:tcBorders>
            <w:shd w:val="clear" w:color="auto" w:fill="FFFFFF" w:themeFill="background1"/>
          </w:tcPr>
          <w:p w:rsidR="00BB6379" w:rsidRPr="00B46B81" w:rsidRDefault="00EE0113" w:rsidP="00B46B81">
            <w:pPr>
              <w:spacing w:after="0" w:line="240" w:lineRule="auto"/>
              <w:rPr>
                <w:rFonts w:ascii="Arial Narrow" w:hAnsi="Arial Narrow"/>
                <w:color w:val="000000"/>
                <w:sz w:val="18"/>
                <w:szCs w:val="18"/>
                <w:lang w:eastAsia="sl-SI"/>
              </w:rPr>
            </w:pPr>
            <w:r w:rsidRPr="00EE0113">
              <w:rPr>
                <w:rFonts w:ascii="Arial Narrow" w:hAnsi="Arial Narrow"/>
                <w:color w:val="000000"/>
                <w:sz w:val="18"/>
                <w:szCs w:val="18"/>
                <w:lang w:eastAsia="sl-SI"/>
              </w:rPr>
              <w:t>26</w:t>
            </w:r>
            <w:r>
              <w:rPr>
                <w:rFonts w:ascii="Arial Narrow" w:hAnsi="Arial Narrow"/>
                <w:color w:val="000000"/>
                <w:sz w:val="18"/>
                <w:szCs w:val="18"/>
                <w:lang w:eastAsia="sl-SI"/>
              </w:rPr>
              <w:t>.</w:t>
            </w:r>
            <w:r w:rsidRPr="00EE0113">
              <w:rPr>
                <w:rFonts w:ascii="Arial Narrow" w:hAnsi="Arial Narrow"/>
                <w:color w:val="000000"/>
                <w:sz w:val="18"/>
                <w:szCs w:val="18"/>
                <w:lang w:eastAsia="sl-SI"/>
              </w:rPr>
              <w:t>664,636</w:t>
            </w:r>
          </w:p>
        </w:tc>
        <w:tc>
          <w:tcPr>
            <w:tcW w:w="1731" w:type="pct"/>
            <w:gridSpan w:val="3"/>
            <w:tcBorders>
              <w:top w:val="single" w:sz="4" w:space="0" w:color="9BBB59"/>
              <w:left w:val="nil"/>
              <w:bottom w:val="single" w:sz="4" w:space="0" w:color="9BBB59"/>
              <w:right w:val="nil"/>
            </w:tcBorders>
            <w:shd w:val="clear" w:color="auto" w:fill="EAF1DD" w:themeFill="accent3" w:themeFillTint="33"/>
          </w:tcPr>
          <w:p w:rsidR="00BB6379" w:rsidRPr="00B46B81" w:rsidRDefault="008554FD" w:rsidP="0050617F">
            <w:pPr>
              <w:spacing w:after="0" w:line="240" w:lineRule="auto"/>
              <w:jc w:val="center"/>
              <w:rPr>
                <w:rFonts w:ascii="Arial Narrow" w:hAnsi="Arial Narrow"/>
                <w:color w:val="000000"/>
                <w:sz w:val="18"/>
                <w:szCs w:val="18"/>
                <w:lang w:eastAsia="sl-SI"/>
              </w:rPr>
            </w:pPr>
            <w:r>
              <w:rPr>
                <w:rFonts w:ascii="Arial Narrow" w:hAnsi="Arial Narrow"/>
                <w:color w:val="000000"/>
                <w:sz w:val="18"/>
                <w:szCs w:val="18"/>
                <w:lang w:eastAsia="sl-SI"/>
              </w:rPr>
              <w:t xml:space="preserve">23.332,5 </w:t>
            </w:r>
          </w:p>
        </w:tc>
      </w:tr>
    </w:tbl>
    <w:p w:rsidR="008B2AF3" w:rsidRDefault="00DE1B13" w:rsidP="00715A47">
      <w:pPr>
        <w:pStyle w:val="Podpispodtabeloaligrafom"/>
        <w:spacing w:after="0"/>
      </w:pPr>
      <w:r>
        <w:t xml:space="preserve">Vir: 1) za leto 2015: Finančna uprava RS, preračuni </w:t>
      </w:r>
      <w:r w:rsidR="00553348">
        <w:t xml:space="preserve">Ministrstvo za kulturo; </w:t>
      </w:r>
      <w:r>
        <w:t xml:space="preserve">2) za leta 2009, 2010 in 2011: </w:t>
      </w:r>
      <w:hyperlink r:id="rId71" w:history="1">
        <w:r w:rsidRPr="00DE1B13">
          <w:rPr>
            <w:rStyle w:val="Hiperpovezava"/>
          </w:rPr>
          <w:t>Ocena učinkov nove zakonodaje (zakon o dohodnini, zakon o pokojninskem in invalidskem zavarovanju) na samozaposlene v kulturi</w:t>
        </w:r>
      </w:hyperlink>
      <w:r w:rsidRPr="00DE1B13">
        <w:t xml:space="preserve"> (2013). Ljubljana: Asociacija in Odpr</w:t>
      </w:r>
      <w:r>
        <w:t>ta zbornica za sodobno umetnost, str. 4–5.</w:t>
      </w:r>
    </w:p>
    <w:p w:rsidR="007B009F" w:rsidRDefault="007B009F" w:rsidP="00715A47">
      <w:pPr>
        <w:pStyle w:val="Podpispodtabeloaligrafom"/>
        <w:spacing w:after="0"/>
      </w:pPr>
      <w:r>
        <w:t>* V tabeli so prikazani samo (bruto) d</w:t>
      </w:r>
      <w:r w:rsidRPr="007B009F">
        <w:t xml:space="preserve">ohodki, ki so </w:t>
      </w:r>
      <w:r>
        <w:t>obdavčeni z dohodnino in ne katerikoli dohodki. P</w:t>
      </w:r>
      <w:r w:rsidRPr="007B009F">
        <w:t xml:space="preserve">lačila dohodnine so </w:t>
      </w:r>
      <w:r>
        <w:t xml:space="preserve">oproščeni </w:t>
      </w:r>
      <w:r w:rsidRPr="007B009F">
        <w:t>npr. otroški dodatek, dodatek za veliko družino, določene pomoči in subvencije itd.</w:t>
      </w:r>
    </w:p>
    <w:p w:rsidR="0050617F" w:rsidRDefault="0050617F" w:rsidP="0050617F">
      <w:pPr>
        <w:pStyle w:val="Podpispodtabeloaligrafom"/>
        <w:rPr>
          <w:b/>
        </w:rPr>
      </w:pPr>
      <w:r w:rsidRPr="0050617F">
        <w:t>1) Avtorji analize</w:t>
      </w:r>
      <w:r>
        <w:rPr>
          <w:b/>
        </w:rPr>
        <w:t xml:space="preserve"> </w:t>
      </w:r>
      <w:r w:rsidRPr="00022C5E">
        <w:rPr>
          <w:i/>
        </w:rPr>
        <w:t>Ocena učinkov nove zakonodaje (zakon o dohodnini, zakon o pokojninskem in invalidskem zavarovanju) na samozaposlene v kulturi</w:t>
      </w:r>
      <w:r>
        <w:t xml:space="preserve"> so iz analize izključili osebe, katerih</w:t>
      </w:r>
      <w:r w:rsidR="00211AF6">
        <w:t xml:space="preserve"> vrednost dohodka je v obdobju 2009–2011 znašala 0, zato jih, da bi bili rezultati primerljivi, </w:t>
      </w:r>
      <w:r>
        <w:t xml:space="preserve">prikazujemo tudi na takšen način. </w:t>
      </w:r>
    </w:p>
    <w:p w:rsidR="00243986" w:rsidRDefault="00243986" w:rsidP="0050617F">
      <w:pPr>
        <w:rPr>
          <w:highlight w:val="yellow"/>
        </w:rPr>
      </w:pPr>
    </w:p>
    <w:p w:rsidR="00932519" w:rsidRDefault="00243986" w:rsidP="0050617F">
      <w:r w:rsidRPr="00243986">
        <w:t xml:space="preserve">Podatki </w:t>
      </w:r>
      <w:r>
        <w:t xml:space="preserve">kažejo, da so se </w:t>
      </w:r>
      <w:r w:rsidR="007B009F">
        <w:t>dohodki</w:t>
      </w:r>
      <w:r>
        <w:t xml:space="preserve"> samozaposlenih v obdobju 2009–2015 zmanjšali (nižja sta tako povprečni dohodek kot mediana</w:t>
      </w:r>
      <w:r w:rsidR="007B009F">
        <w:t xml:space="preserve"> dohodka</w:t>
      </w:r>
      <w:r w:rsidR="00224551">
        <w:t>),</w:t>
      </w:r>
      <w:r>
        <w:rPr>
          <w:rStyle w:val="Sprotnaopomba-sklic"/>
        </w:rPr>
        <w:footnoteReference w:id="68"/>
      </w:r>
      <w:r w:rsidR="00224551">
        <w:t xml:space="preserve"> da so </w:t>
      </w:r>
      <w:r w:rsidR="00C02B4F">
        <w:t xml:space="preserve">razlike med dohodki </w:t>
      </w:r>
      <w:r w:rsidR="00224551">
        <w:t xml:space="preserve">manjše (vrednost standardnega odklona je v letu 2015 manjša kot v letu 2009), ki pa </w:t>
      </w:r>
      <w:r w:rsidR="00182357">
        <w:t xml:space="preserve">so </w:t>
      </w:r>
      <w:r w:rsidR="00C02B4F">
        <w:t>še vedno</w:t>
      </w:r>
      <w:r w:rsidR="00224551">
        <w:t xml:space="preserve"> velike. Slednje </w:t>
      </w:r>
      <w:r w:rsidR="007B009F">
        <w:t>ugotovimo</w:t>
      </w:r>
      <w:r w:rsidR="00224551">
        <w:t xml:space="preserve"> predvsem iz dveh podatkov: iz najvišjega dohodka, ki je znašal </w:t>
      </w:r>
      <w:r w:rsidR="00667D1D" w:rsidRPr="00667D1D">
        <w:t>285.667</w:t>
      </w:r>
      <w:r w:rsidR="00667D1D">
        <w:t xml:space="preserve"> EUR </w:t>
      </w:r>
      <w:r w:rsidR="00182357">
        <w:t>(skoraj 24 tisoč evrov mesečno)</w:t>
      </w:r>
      <w:r w:rsidR="00224551">
        <w:t xml:space="preserve"> in iz vrednosti devetega </w:t>
      </w:r>
      <w:proofErr w:type="spellStart"/>
      <w:r w:rsidR="00224551">
        <w:t>decila</w:t>
      </w:r>
      <w:proofErr w:type="spellEnd"/>
      <w:r w:rsidR="00C02B4F">
        <w:t>,</w:t>
      </w:r>
      <w:r w:rsidR="00224551">
        <w:t xml:space="preserve"> </w:t>
      </w:r>
      <w:r w:rsidR="00182357">
        <w:t xml:space="preserve">ki pove, da </w:t>
      </w:r>
      <w:r w:rsidR="00C02B4F">
        <w:t xml:space="preserve">ima </w:t>
      </w:r>
      <w:r w:rsidR="00182357">
        <w:t xml:space="preserve">90 % samozaposlenih </w:t>
      </w:r>
      <w:r w:rsidR="00C02B4F">
        <w:t>dohodek</w:t>
      </w:r>
      <w:r w:rsidR="00C02B4F" w:rsidRPr="00667D1D">
        <w:t xml:space="preserve">, ki je nižji </w:t>
      </w:r>
      <w:r w:rsidR="00667D1D" w:rsidRPr="00667D1D">
        <w:t>od</w:t>
      </w:r>
      <w:r w:rsidR="00C02B4F" w:rsidRPr="00667D1D">
        <w:t xml:space="preserve"> </w:t>
      </w:r>
      <w:r w:rsidR="003F60DF" w:rsidRPr="003F60DF">
        <w:t>26.045,36</w:t>
      </w:r>
      <w:r w:rsidR="003F60DF">
        <w:t xml:space="preserve"> evrov</w:t>
      </w:r>
      <w:r w:rsidR="00C02B4F">
        <w:t xml:space="preserve">. </w:t>
      </w:r>
      <w:r w:rsidR="004A16B3">
        <w:t xml:space="preserve">Velika razlika med vrednostjo devetega </w:t>
      </w:r>
      <w:proofErr w:type="spellStart"/>
      <w:r w:rsidR="004A16B3">
        <w:t>decila</w:t>
      </w:r>
      <w:proofErr w:type="spellEnd"/>
      <w:r w:rsidR="004A16B3">
        <w:t xml:space="preserve"> in največjim dohodko</w:t>
      </w:r>
      <w:r w:rsidR="00BE333F">
        <w:t>m</w:t>
      </w:r>
      <w:r w:rsidR="004A16B3">
        <w:t xml:space="preserve"> kaže tudi, da ima zelo visoke dohodke</w:t>
      </w:r>
      <w:r w:rsidR="00BE333F">
        <w:t xml:space="preserve"> le malo samozaposlenih v kulturi, dejstvo, da je vrednost mediane nižja od povprečne vrednosti pa še, kar smo sicer </w:t>
      </w:r>
      <w:r w:rsidR="007B009F">
        <w:t>omenili</w:t>
      </w:r>
      <w:r w:rsidR="00BE333F">
        <w:t xml:space="preserve"> že zgoraj, da ima večina samozaposlenih nizke dohodke.</w:t>
      </w:r>
      <w:r w:rsidR="00932519">
        <w:t xml:space="preserve"> </w:t>
      </w:r>
    </w:p>
    <w:p w:rsidR="00243986" w:rsidRPr="005B4EF2" w:rsidRDefault="00A24693" w:rsidP="0050617F">
      <w:r>
        <w:t xml:space="preserve">Veljavnega podatka o odstotku </w:t>
      </w:r>
      <w:r w:rsidR="00932519">
        <w:t>samozaposlenih v kulturi</w:t>
      </w:r>
      <w:r>
        <w:t>, ki</w:t>
      </w:r>
      <w:r w:rsidR="00932519">
        <w:t xml:space="preserve"> živi</w:t>
      </w:r>
      <w:r>
        <w:t>jo</w:t>
      </w:r>
      <w:r w:rsidR="00932519">
        <w:t xml:space="preserve"> pod pragom </w:t>
      </w:r>
      <w:r w:rsidR="007674B2">
        <w:t xml:space="preserve">tveganja </w:t>
      </w:r>
      <w:r w:rsidR="00932519">
        <w:t>revščine,</w:t>
      </w:r>
      <w:r w:rsidR="007674B2">
        <w:rPr>
          <w:rStyle w:val="Sprotnaopomba-sklic"/>
        </w:rPr>
        <w:footnoteReference w:id="69"/>
      </w:r>
      <w:r>
        <w:t xml:space="preserve"> </w:t>
      </w:r>
      <w:r w:rsidR="009F091C">
        <w:t>ni</w:t>
      </w:r>
      <w:r>
        <w:t xml:space="preserve">. </w:t>
      </w:r>
      <w:r w:rsidR="00932519">
        <w:t>Podatek, ki krož</w:t>
      </w:r>
      <w:r w:rsidR="00661E17">
        <w:t xml:space="preserve">i v kulturni </w:t>
      </w:r>
      <w:r w:rsidR="007674B2">
        <w:t>javnosti</w:t>
      </w:r>
      <w:r>
        <w:t xml:space="preserve"> </w:t>
      </w:r>
      <w:r w:rsidR="00661E17">
        <w:t xml:space="preserve">in </w:t>
      </w:r>
      <w:r w:rsidR="00E92EC0">
        <w:t xml:space="preserve">v medijih </w:t>
      </w:r>
      <w:r w:rsidR="00661E17">
        <w:t xml:space="preserve">pravi, da </w:t>
      </w:r>
      <w:r w:rsidR="009F091C">
        <w:t xml:space="preserve">znaša stopnja tveganja revščine med samozaposlenimi v kulturi </w:t>
      </w:r>
      <w:r w:rsidR="00661E17">
        <w:t xml:space="preserve">približno </w:t>
      </w:r>
      <w:r w:rsidR="009F091C">
        <w:t>30 %</w:t>
      </w:r>
      <w:r w:rsidR="00661E17">
        <w:t>, je izračunan na podlagi predpostavke, da vsi samozaposleni v kulturi živij</w:t>
      </w:r>
      <w:r w:rsidR="007674B2">
        <w:t>o v enočlanskih gospodinjstvih</w:t>
      </w:r>
      <w:r w:rsidR="009F091C">
        <w:t>,</w:t>
      </w:r>
      <w:r w:rsidR="007674B2">
        <w:t xml:space="preserve"> </w:t>
      </w:r>
      <w:r w:rsidR="009F091C">
        <w:t>medtem ko</w:t>
      </w:r>
      <w:r w:rsidR="00210C20">
        <w:t xml:space="preserve"> p</w:t>
      </w:r>
      <w:r w:rsidR="00661E17">
        <w:t xml:space="preserve">odatki iz nedavne </w:t>
      </w:r>
      <w:r w:rsidR="00210C20">
        <w:t>anketne raziskave</w:t>
      </w:r>
      <w:r w:rsidR="00661E17">
        <w:t xml:space="preserve"> o položaju samozaposlenih (Plut, Pungerčar in Srakar, 2016)</w:t>
      </w:r>
      <w:r w:rsidR="00661E17">
        <w:rPr>
          <w:rStyle w:val="Sprotnaopomba-sklic"/>
        </w:rPr>
        <w:footnoteReference w:id="70"/>
      </w:r>
      <w:r w:rsidR="00661E17">
        <w:t xml:space="preserve"> kažejo, da »v neki obliki partnerske skupnosti« živi 69 % anketiranih</w:t>
      </w:r>
      <w:r w:rsidR="00B972E3">
        <w:t xml:space="preserve"> </w:t>
      </w:r>
      <w:r w:rsidR="00661E17">
        <w:t>(</w:t>
      </w:r>
      <w:r w:rsidR="00B972E3">
        <w:t>str. 22)</w:t>
      </w:r>
      <w:r w:rsidR="007674B2">
        <w:t>,</w:t>
      </w:r>
      <w:r w:rsidR="00B972E3">
        <w:t xml:space="preserve"> iz ene prejšnje (Ograjenšek in </w:t>
      </w:r>
      <w:proofErr w:type="spellStart"/>
      <w:r w:rsidR="00B972E3">
        <w:t>Perviz</w:t>
      </w:r>
      <w:proofErr w:type="spellEnd"/>
      <w:r w:rsidR="00B972E3">
        <w:t>, 2015)</w:t>
      </w:r>
      <w:r w:rsidR="00B972E3">
        <w:rPr>
          <w:rStyle w:val="Sprotnaopomba-sklic"/>
        </w:rPr>
        <w:footnoteReference w:id="71"/>
      </w:r>
      <w:r w:rsidR="00B972E3">
        <w:t xml:space="preserve"> pa, da jih s partnerjem živi 72 % (str. 62).</w:t>
      </w:r>
      <w:r w:rsidR="009F091C">
        <w:t xml:space="preserve"> </w:t>
      </w:r>
      <w:r w:rsidR="00662325">
        <w:t xml:space="preserve">V gospodinjstvih pa so tudi otroci in drugi vzdrževani člani – približno polovica samozaposlenih poroča, da je v njihovem gospodinjstvu vsaj en vzdrževani član, </w:t>
      </w:r>
      <w:r w:rsidR="003C6C8D">
        <w:t xml:space="preserve">in </w:t>
      </w:r>
      <w:r w:rsidR="00662325">
        <w:t xml:space="preserve">približno tretjina ima </w:t>
      </w:r>
      <w:r w:rsidR="003C6C8D">
        <w:t>otroke stare do 14 let (</w:t>
      </w:r>
      <w:r w:rsidR="003C6C8D" w:rsidRPr="003C6C8D">
        <w:t>Plut, Pungerčar in Srakar, 2016</w:t>
      </w:r>
      <w:r w:rsidR="003C6C8D">
        <w:t>, str. 22–23</w:t>
      </w:r>
      <w:r w:rsidR="003C6C8D" w:rsidRPr="003C6C8D">
        <w:t>)</w:t>
      </w:r>
      <w:r w:rsidR="003C6C8D">
        <w:t>.</w:t>
      </w:r>
      <w:r w:rsidR="003C6C8D">
        <w:rPr>
          <w:rStyle w:val="Sprotnaopomba-sklic"/>
        </w:rPr>
        <w:footnoteReference w:id="72"/>
      </w:r>
      <w:r w:rsidR="003C6C8D">
        <w:t>Za</w:t>
      </w:r>
      <w:r w:rsidR="009F091C">
        <w:t xml:space="preserve"> izračun stopnje tveganja revščine</w:t>
      </w:r>
      <w:r w:rsidR="009F091C">
        <w:rPr>
          <w:rStyle w:val="Sprotnaopomba-sklic"/>
        </w:rPr>
        <w:footnoteReference w:id="73"/>
      </w:r>
      <w:r w:rsidR="009F091C">
        <w:t xml:space="preserve">med samozaposlenimi v kulturi </w:t>
      </w:r>
      <w:r w:rsidR="003C6C8D">
        <w:t xml:space="preserve">bi torej </w:t>
      </w:r>
      <w:r w:rsidR="009F091C">
        <w:t xml:space="preserve">poleg podatkov o njihovih </w:t>
      </w:r>
      <w:r w:rsidR="00E92EC0">
        <w:t>prihodkih</w:t>
      </w:r>
      <w:r w:rsidR="009F091C">
        <w:t xml:space="preserve"> rabili še informacijo</w:t>
      </w:r>
      <w:r w:rsidR="009F091C" w:rsidRPr="00A24693">
        <w:t xml:space="preserve"> o sestavi </w:t>
      </w:r>
      <w:r w:rsidR="009F091C">
        <w:t>njihovih gospodinjstev (tj. število članov in njihovo starost)</w:t>
      </w:r>
      <w:r w:rsidR="009F091C" w:rsidRPr="00A24693">
        <w:t xml:space="preserve"> </w:t>
      </w:r>
      <w:r w:rsidR="009F091C">
        <w:t xml:space="preserve">ter </w:t>
      </w:r>
      <w:r w:rsidR="00E92EC0">
        <w:t>prihodkih</w:t>
      </w:r>
      <w:r w:rsidR="009F091C" w:rsidRPr="00A24693">
        <w:t xml:space="preserve"> preostalih članov gospodinjstva.</w:t>
      </w:r>
      <w:r w:rsidR="009F091C">
        <w:t xml:space="preserve"> </w:t>
      </w:r>
      <w:r w:rsidR="009F091C" w:rsidRPr="009F091C">
        <w:t>Ni nepom</w:t>
      </w:r>
      <w:r w:rsidR="009F091C">
        <w:t xml:space="preserve">embno za življenjsko raven, kakšne dohodke ima partner ter koliko </w:t>
      </w:r>
      <w:r w:rsidR="00662325">
        <w:t>otrok in drugih vzdrževanih članov je v gospodinjstvu.</w:t>
      </w:r>
      <w:r w:rsidR="00AE4770">
        <w:t xml:space="preserve"> </w:t>
      </w:r>
    </w:p>
    <w:p w:rsidR="00120EF2" w:rsidRPr="00227559" w:rsidRDefault="00120EF2" w:rsidP="00210C20">
      <w:pPr>
        <w:pStyle w:val="Podnaslov3"/>
      </w:pPr>
      <w:bookmarkStart w:id="412" w:name="_Toc489859849"/>
      <w:bookmarkStart w:id="413" w:name="_Toc490047606"/>
      <w:bookmarkStart w:id="414" w:name="_Toc490599970"/>
      <w:bookmarkStart w:id="415" w:name="_Toc506192100"/>
      <w:r w:rsidRPr="00227559">
        <w:t>Pravica do plačila prispevkov iz državnega proračuna za socialno varnost</w:t>
      </w:r>
      <w:bookmarkEnd w:id="412"/>
      <w:bookmarkEnd w:id="413"/>
      <w:bookmarkEnd w:id="414"/>
      <w:bookmarkEnd w:id="415"/>
    </w:p>
    <w:p w:rsidR="00BB569D" w:rsidRPr="00A64ACA" w:rsidRDefault="00DE1B13" w:rsidP="006A28CD">
      <w:r>
        <w:t>Tako skupno š</w:t>
      </w:r>
      <w:r w:rsidR="00BB569D" w:rsidRPr="0039451F">
        <w:t>tevilo samozaposlenih</w:t>
      </w:r>
      <w:r w:rsidR="00BB569D">
        <w:t xml:space="preserve"> </w:t>
      </w:r>
      <w:r>
        <w:t>kot</w:t>
      </w:r>
      <w:r w:rsidR="00BB569D">
        <w:t xml:space="preserve"> </w:t>
      </w:r>
      <w:r w:rsidR="00BB569D" w:rsidRPr="00916E99">
        <w:t xml:space="preserve">število samozaposlenih, ki so pridobili pravico do plačila prispevkov </w:t>
      </w:r>
      <w:r w:rsidR="00BB569D">
        <w:t>iz proračuna za socialno</w:t>
      </w:r>
      <w:r w:rsidR="00120EA2">
        <w:t xml:space="preserve"> varnost</w:t>
      </w:r>
      <w:r>
        <w:t>,</w:t>
      </w:r>
      <w:r w:rsidR="00BB569D">
        <w:t xml:space="preserve"> je v obdobju od 2008 do 2012 nihalo, od leta 2013 pa </w:t>
      </w:r>
      <w:r w:rsidR="007643CB">
        <w:t>skokovito</w:t>
      </w:r>
      <w:r w:rsidR="00BB569D">
        <w:t xml:space="preserve"> raste, enako tudi sredstva zanje, pri tem pa rasti ni mogoče predvideti.</w:t>
      </w:r>
      <w:r w:rsidR="003C62EA">
        <w:t xml:space="preserve"> V letu 2016 (oz. od februarja 2016 do januarja 2017) je Ministrstvo za kulturo </w:t>
      </w:r>
      <w:r w:rsidR="00120EA2">
        <w:t>nakazovalo</w:t>
      </w:r>
      <w:r w:rsidR="003C62EA">
        <w:t xml:space="preserve"> za socialne prispevke po 356,61 EUR mesečno na posameznika.</w:t>
      </w:r>
      <w:r w:rsidR="003C62EA">
        <w:rPr>
          <w:rStyle w:val="Sprotnaopomba-sklic"/>
          <w:b/>
        </w:rPr>
        <w:footnoteReference w:id="74"/>
      </w:r>
      <w:r w:rsidR="003C62EA">
        <w:t xml:space="preserve"> </w:t>
      </w:r>
    </w:p>
    <w:p w:rsidR="00BB569D" w:rsidRDefault="00BB569D" w:rsidP="00BB569D">
      <w:pPr>
        <w:pStyle w:val="Naslovtabele"/>
      </w:pPr>
      <w:bookmarkStart w:id="416" w:name="_Toc490053410"/>
      <w:bookmarkStart w:id="417" w:name="_Toc490053781"/>
      <w:bookmarkStart w:id="418" w:name="_Toc490600053"/>
      <w:r>
        <w:t>Graf</w:t>
      </w:r>
      <w:r w:rsidRPr="00763EDB">
        <w:t xml:space="preserve"> </w:t>
      </w:r>
      <w:r w:rsidR="00872645">
        <w:t>41:</w:t>
      </w:r>
      <w:r>
        <w:t xml:space="preserve"> Samozaposleni v kulturi – število oseb in </w:t>
      </w:r>
      <w:r w:rsidR="00264E2E">
        <w:t>sredstva za prispevke</w:t>
      </w:r>
      <w:r>
        <w:t xml:space="preserve"> iz državnega proračuna </w:t>
      </w:r>
      <w:r w:rsidR="006D5222">
        <w:t xml:space="preserve">za socialno varnost </w:t>
      </w:r>
      <w:r w:rsidR="00B41A3F">
        <w:t>(</w:t>
      </w:r>
      <w:r>
        <w:t>2008–201</w:t>
      </w:r>
      <w:r w:rsidR="006D5222">
        <w:t>6</w:t>
      </w:r>
      <w:r w:rsidR="00B41A3F">
        <w:t>)</w:t>
      </w:r>
      <w:r w:rsidR="009A504D">
        <w:t>*</w:t>
      </w:r>
      <w:bookmarkEnd w:id="416"/>
      <w:bookmarkEnd w:id="417"/>
      <w:bookmarkEnd w:id="418"/>
    </w:p>
    <w:p w:rsidR="00BB569D" w:rsidRDefault="00BB569D" w:rsidP="00BB569D">
      <w:pPr>
        <w:spacing w:after="0" w:line="240" w:lineRule="auto"/>
        <w:jc w:val="both"/>
        <w:rPr>
          <w:rFonts w:cs="Arial"/>
          <w:szCs w:val="20"/>
        </w:rPr>
      </w:pPr>
      <w:r>
        <w:rPr>
          <w:noProof/>
          <w:lang w:eastAsia="sl-SI"/>
        </w:rPr>
        <w:drawing>
          <wp:inline distT="0" distB="0" distL="0" distR="0" wp14:anchorId="77ACB874" wp14:editId="382D389F">
            <wp:extent cx="5739619" cy="2686930"/>
            <wp:effectExtent l="0" t="0" r="1270" b="5715"/>
            <wp:docPr id="20" name="Grafikon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72"/>
              </a:graphicData>
            </a:graphic>
          </wp:inline>
        </w:drawing>
      </w:r>
    </w:p>
    <w:p w:rsidR="00BB569D" w:rsidRPr="008F2B7D" w:rsidRDefault="00BB569D" w:rsidP="00AC0E8E">
      <w:pPr>
        <w:pStyle w:val="Podpispodtabeloaligrafom"/>
        <w:spacing w:after="0"/>
      </w:pPr>
      <w:r w:rsidRPr="008F2B7D">
        <w:t xml:space="preserve">Vir: Ministrstvo za </w:t>
      </w:r>
      <w:r>
        <w:t>kulturo</w:t>
      </w:r>
      <w:r w:rsidR="002F5758">
        <w:t>.</w:t>
      </w:r>
    </w:p>
    <w:p w:rsidR="004C7229" w:rsidRDefault="004C7229" w:rsidP="004C7229">
      <w:pPr>
        <w:pStyle w:val="Podpispodtabeloaligrafom"/>
      </w:pPr>
      <w:r>
        <w:t>* Gre za poseben pravni status, ki ga lahko fizični osebi dodeli Ministrstvo za kulturo in ne za status samostojnega podjetnika.</w:t>
      </w:r>
    </w:p>
    <w:p w:rsidR="008D5E16" w:rsidRDefault="008D5E16" w:rsidP="00BB569D">
      <w:pPr>
        <w:spacing w:line="240" w:lineRule="auto"/>
        <w:jc w:val="both"/>
        <w:rPr>
          <w:rFonts w:cs="Arial"/>
          <w:szCs w:val="20"/>
        </w:rPr>
      </w:pPr>
    </w:p>
    <w:p w:rsidR="00BB569D" w:rsidRPr="002716E9" w:rsidRDefault="00222F5B" w:rsidP="005A1700">
      <w:pPr>
        <w:jc w:val="both"/>
        <w:rPr>
          <w:rFonts w:cs="Arial"/>
          <w:szCs w:val="20"/>
        </w:rPr>
      </w:pPr>
      <w:r>
        <w:rPr>
          <w:rFonts w:cs="Arial"/>
          <w:szCs w:val="20"/>
        </w:rPr>
        <w:t>Iz grafa 42</w:t>
      </w:r>
      <w:r w:rsidR="00BB569D">
        <w:rPr>
          <w:rFonts w:cs="Arial"/>
          <w:szCs w:val="20"/>
        </w:rPr>
        <w:t xml:space="preserve">, ki prikazuje razmerja med področji, je razvidno, da je med samozaposlenimi, ki so v letu 2016 uporabili pravico do plačila prispevkov, največ arhitektov in oblikovalcev (23 %), kar pomeni približno 1,75 </w:t>
      </w:r>
      <w:r w:rsidR="00CA19BE">
        <w:rPr>
          <w:rFonts w:cs="Arial"/>
          <w:szCs w:val="20"/>
        </w:rPr>
        <w:t>milijona sredstev</w:t>
      </w:r>
      <w:r w:rsidR="00BB569D">
        <w:rPr>
          <w:rFonts w:cs="Arial"/>
          <w:szCs w:val="20"/>
        </w:rPr>
        <w:t xml:space="preserve"> </w:t>
      </w:r>
      <w:r w:rsidR="00CA19BE">
        <w:rPr>
          <w:rFonts w:cs="Arial"/>
          <w:szCs w:val="20"/>
        </w:rPr>
        <w:t>za</w:t>
      </w:r>
      <w:r w:rsidR="00BB569D">
        <w:rPr>
          <w:rFonts w:cs="Arial"/>
          <w:szCs w:val="20"/>
        </w:rPr>
        <w:t xml:space="preserve"> področje arhitekture in oblikovanja. Sledijo uprizoritvene in vizualne umetnosti (po 18 %), za socialne prispevke katerih je bilo namenjenih pribl. po 1,3 milijone evrov. Na četrtem mestu je glasba, ki predstavlja 16 % </w:t>
      </w:r>
      <w:r w:rsidR="002320CA">
        <w:rPr>
          <w:rFonts w:cs="Arial"/>
          <w:szCs w:val="20"/>
        </w:rPr>
        <w:t>oz.</w:t>
      </w:r>
      <w:r w:rsidR="00BB569D">
        <w:rPr>
          <w:rFonts w:cs="Arial"/>
          <w:szCs w:val="20"/>
        </w:rPr>
        <w:t xml:space="preserve"> 1,2 milijona evrov za socialne prispevke. Sledijo knjiga (9 % oz. 0,7 milijona evrov)</w:t>
      </w:r>
      <w:r w:rsidR="00C74096">
        <w:rPr>
          <w:rFonts w:cs="Arial"/>
          <w:szCs w:val="20"/>
        </w:rPr>
        <w:t>,</w:t>
      </w:r>
      <w:r w:rsidR="00BB569D">
        <w:rPr>
          <w:rFonts w:cs="Arial"/>
          <w:szCs w:val="20"/>
        </w:rPr>
        <w:t xml:space="preserve"> AV in mediji (8 % oz. 0,6 milijona evrov), </w:t>
      </w:r>
      <w:proofErr w:type="spellStart"/>
      <w:r w:rsidR="00BB569D">
        <w:rPr>
          <w:rFonts w:cs="Arial"/>
          <w:szCs w:val="20"/>
        </w:rPr>
        <w:t>intermedijske</w:t>
      </w:r>
      <w:proofErr w:type="spellEnd"/>
      <w:r w:rsidR="00BB569D">
        <w:rPr>
          <w:rFonts w:cs="Arial"/>
          <w:szCs w:val="20"/>
        </w:rPr>
        <w:t xml:space="preserve"> umetnosti (2 % oz. 140.000,00 EUR) ter kulturna dediščina (1 % oz. 80.000,00 EUR). </w:t>
      </w:r>
      <w:r w:rsidR="00897CC8" w:rsidRPr="00897CC8">
        <w:rPr>
          <w:rFonts w:cs="Arial"/>
          <w:szCs w:val="20"/>
        </w:rPr>
        <w:t xml:space="preserve">Na več kot enem področju pa deluje približno 5 % ustvarjalcev, ki so v letu 2016 uporabili pravico do plačila socialnih prispevkov, kar pomeni </w:t>
      </w:r>
      <w:r w:rsidR="003763C7">
        <w:rPr>
          <w:rFonts w:cs="Arial"/>
          <w:szCs w:val="20"/>
        </w:rPr>
        <w:t>slabih</w:t>
      </w:r>
      <w:r w:rsidR="00897CC8" w:rsidRPr="00897CC8">
        <w:rPr>
          <w:rFonts w:cs="Arial"/>
          <w:szCs w:val="20"/>
        </w:rPr>
        <w:t xml:space="preserve"> 3</w:t>
      </w:r>
      <w:r w:rsidR="003763C7">
        <w:rPr>
          <w:rFonts w:cs="Arial"/>
          <w:szCs w:val="20"/>
        </w:rPr>
        <w:t>50</w:t>
      </w:r>
      <w:r w:rsidR="00897CC8" w:rsidRPr="00897CC8">
        <w:rPr>
          <w:rFonts w:cs="Arial"/>
          <w:szCs w:val="20"/>
        </w:rPr>
        <w:t>.000 evrov.</w:t>
      </w:r>
    </w:p>
    <w:p w:rsidR="005B4EF2" w:rsidRDefault="005B4EF2">
      <w:pPr>
        <w:rPr>
          <w:b/>
        </w:rPr>
      </w:pPr>
      <w:bookmarkStart w:id="419" w:name="_Toc490053411"/>
      <w:bookmarkStart w:id="420" w:name="_Toc490053782"/>
      <w:r>
        <w:br w:type="page"/>
      </w:r>
    </w:p>
    <w:p w:rsidR="00BB569D" w:rsidRDefault="00AC0E8E" w:rsidP="00BB569D">
      <w:pPr>
        <w:pStyle w:val="Naslovtabele"/>
      </w:pPr>
      <w:bookmarkStart w:id="421" w:name="_Toc490600054"/>
      <w:r>
        <w:t>Graf 42</w:t>
      </w:r>
      <w:r w:rsidR="00BB569D">
        <w:t>: Samozaposleni v kulturi –</w:t>
      </w:r>
      <w:r w:rsidR="00264E2E">
        <w:t xml:space="preserve"> sredstva za prispevke</w:t>
      </w:r>
      <w:r w:rsidR="00BB569D" w:rsidRPr="0082519F">
        <w:t xml:space="preserve"> iz državnega proračuna za socialno varnost</w:t>
      </w:r>
      <w:r w:rsidR="00897991">
        <w:t xml:space="preserve"> po področjih </w:t>
      </w:r>
      <w:r>
        <w:t xml:space="preserve">kulture </w:t>
      </w:r>
      <w:r w:rsidR="00897991">
        <w:t>(</w:t>
      </w:r>
      <w:r w:rsidR="00BB569D">
        <w:t>2016</w:t>
      </w:r>
      <w:r w:rsidR="00897991">
        <w:t>)</w:t>
      </w:r>
      <w:r w:rsidR="009A504D">
        <w:t>*</w:t>
      </w:r>
      <w:bookmarkEnd w:id="419"/>
      <w:bookmarkEnd w:id="420"/>
      <w:bookmarkEnd w:id="421"/>
    </w:p>
    <w:p w:rsidR="00F96BB9" w:rsidRPr="00F96BB9" w:rsidRDefault="00DC6A4A" w:rsidP="00F96BB9">
      <w:r>
        <w:rPr>
          <w:noProof/>
          <w:lang w:eastAsia="sl-SI"/>
        </w:rPr>
        <w:drawing>
          <wp:inline distT="0" distB="0" distL="0" distR="0" wp14:anchorId="39E1F69E" wp14:editId="2CBED07C">
            <wp:extent cx="6152322" cy="2812774"/>
            <wp:effectExtent l="0" t="0" r="0" b="6985"/>
            <wp:docPr id="5" name="Grafikon 5"/>
            <wp:cNvGraphicFramePr/>
            <a:graphic xmlns:a="http://schemas.openxmlformats.org/drawingml/2006/main">
              <a:graphicData uri="http://schemas.openxmlformats.org/drawingml/2006/chart">
                <c:chart xmlns:c="http://schemas.openxmlformats.org/drawingml/2006/chart" xmlns:r="http://schemas.openxmlformats.org/officeDocument/2006/relationships" r:id="rId73"/>
              </a:graphicData>
            </a:graphic>
          </wp:inline>
        </w:drawing>
      </w:r>
    </w:p>
    <w:p w:rsidR="00BB569D" w:rsidRDefault="00BB569D" w:rsidP="00AC0E8E">
      <w:pPr>
        <w:pStyle w:val="Podpispodtabeloaligrafom"/>
        <w:spacing w:after="0"/>
      </w:pPr>
      <w:r w:rsidRPr="008F2B7D">
        <w:t xml:space="preserve">Vir: Ministrstvo za </w:t>
      </w:r>
      <w:r>
        <w:t>kulturo</w:t>
      </w:r>
      <w:r w:rsidR="0099321C">
        <w:t>.</w:t>
      </w:r>
    </w:p>
    <w:p w:rsidR="008D1A24" w:rsidRDefault="008D1A24" w:rsidP="008D1A24">
      <w:pPr>
        <w:pStyle w:val="Podpispodtabeloaligrafom"/>
      </w:pPr>
      <w:r>
        <w:t>* Gre za poseben pravni status, ki ga lahko fizični osebi dodeli Ministrstvo za kulturo in ne za status samostojnega podjetnika.</w:t>
      </w:r>
    </w:p>
    <w:p w:rsidR="00ED1C77" w:rsidRDefault="00ED1C77" w:rsidP="002D40A8">
      <w:pPr>
        <w:pStyle w:val="NePozabi"/>
        <w:rPr>
          <w:i w:val="0"/>
          <w:color w:val="auto"/>
        </w:rPr>
      </w:pPr>
    </w:p>
    <w:p w:rsidR="00BB569D" w:rsidRPr="005B4EF2" w:rsidRDefault="0099321C" w:rsidP="00D47110">
      <w:pPr>
        <w:pStyle w:val="Podnaslov3"/>
      </w:pPr>
      <w:bookmarkStart w:id="422" w:name="_Toc490599971"/>
      <w:bookmarkStart w:id="423" w:name="_Toc506192101"/>
      <w:r w:rsidRPr="005B4EF2">
        <w:t>Dnevno nadomestilo za čas zadržanosti od dela zaradi bolezni</w:t>
      </w:r>
      <w:bookmarkEnd w:id="422"/>
      <w:bookmarkEnd w:id="423"/>
    </w:p>
    <w:p w:rsidR="00110038" w:rsidRDefault="00752998" w:rsidP="000C008B">
      <w:r>
        <w:t xml:space="preserve">Možnost </w:t>
      </w:r>
      <w:r w:rsidR="008F5701">
        <w:t xml:space="preserve">plačila bolniškega dopusta (tudi za prvi mesec in če </w:t>
      </w:r>
      <w:r w:rsidR="00CE25C4">
        <w:t xml:space="preserve">hkrati </w:t>
      </w:r>
      <w:r w:rsidR="008F5701">
        <w:t xml:space="preserve">traja več kot mesec dni) je bila uvedena s spremembo Zakona o uresničevanju kulture konec leta 2013. </w:t>
      </w:r>
      <w:r w:rsidR="007564F5">
        <w:t xml:space="preserve">Število upravičencev v prvih treh letih </w:t>
      </w:r>
      <w:r w:rsidR="00506A2E">
        <w:t>niha</w:t>
      </w:r>
      <w:r w:rsidR="00CE25C4">
        <w:t>, zato o zakonitostih gibanja še ne moremo sklepati.</w:t>
      </w:r>
    </w:p>
    <w:p w:rsidR="00110038" w:rsidRDefault="00110038" w:rsidP="00FB67F9">
      <w:pPr>
        <w:pStyle w:val="Naslovtabele"/>
      </w:pPr>
      <w:bookmarkStart w:id="424" w:name="_Toc490053412"/>
      <w:bookmarkStart w:id="425" w:name="_Toc490053783"/>
      <w:bookmarkStart w:id="426" w:name="_Toc490600055"/>
      <w:r w:rsidRPr="00110038">
        <w:t>Graf</w:t>
      </w:r>
      <w:r w:rsidR="00715A47">
        <w:t xml:space="preserve"> 43</w:t>
      </w:r>
      <w:r w:rsidRPr="00110038">
        <w:t>: Izplačana nadomestila samozaposlenim v kulturi za čas odsotnosti z dela zaradi bolezni prvih 30 dni</w:t>
      </w:r>
      <w:r w:rsidR="00897991">
        <w:t xml:space="preserve"> (2014–2016)</w:t>
      </w:r>
      <w:r w:rsidR="009A504D">
        <w:t>*</w:t>
      </w:r>
      <w:bookmarkEnd w:id="424"/>
      <w:bookmarkEnd w:id="425"/>
      <w:bookmarkEnd w:id="426"/>
    </w:p>
    <w:p w:rsidR="00110038" w:rsidRDefault="004D0850" w:rsidP="00BB569D">
      <w:pPr>
        <w:spacing w:line="240" w:lineRule="auto"/>
        <w:jc w:val="both"/>
        <w:rPr>
          <w:rFonts w:cs="Arial"/>
          <w:szCs w:val="20"/>
        </w:rPr>
      </w:pPr>
      <w:r>
        <w:rPr>
          <w:noProof/>
          <w:lang w:eastAsia="sl-SI"/>
        </w:rPr>
        <w:drawing>
          <wp:inline distT="0" distB="0" distL="0" distR="0" wp14:anchorId="2F50EAA8" wp14:editId="4E46FF0E">
            <wp:extent cx="5691499" cy="2375731"/>
            <wp:effectExtent l="0" t="0" r="0" b="12065"/>
            <wp:docPr id="18" name="Grafikon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74"/>
              </a:graphicData>
            </a:graphic>
          </wp:inline>
        </w:drawing>
      </w:r>
    </w:p>
    <w:p w:rsidR="00110038" w:rsidRDefault="00110038" w:rsidP="00715A47">
      <w:pPr>
        <w:pStyle w:val="Podpispodtabeloaligrafom"/>
        <w:spacing w:after="0"/>
      </w:pPr>
      <w:r>
        <w:t>Vir: Ministrstvo za kulturo.</w:t>
      </w:r>
    </w:p>
    <w:p w:rsidR="009E3EBA" w:rsidRDefault="009E3EBA" w:rsidP="009E3EBA">
      <w:pPr>
        <w:pStyle w:val="Podpispodtabeloaligrafom"/>
      </w:pPr>
      <w:r>
        <w:t>* Gre za poseben pravni status, ki ga lahko fizični osebi dodeli Ministrstvo za kulturo in ne za status samostojnega podjetnika.</w:t>
      </w:r>
    </w:p>
    <w:p w:rsidR="005B4EF2" w:rsidRDefault="005B4EF2">
      <w:pPr>
        <w:rPr>
          <w:i/>
          <w:color w:val="4F81BD" w:themeColor="accent1"/>
        </w:rPr>
      </w:pPr>
      <w:r>
        <w:rPr>
          <w:i/>
          <w:color w:val="4F81BD" w:themeColor="accent1"/>
        </w:rPr>
        <w:br w:type="page"/>
      </w:r>
    </w:p>
    <w:p w:rsidR="00BB569D" w:rsidRPr="005B4EF2" w:rsidRDefault="007B2DFF" w:rsidP="00D47110">
      <w:pPr>
        <w:pStyle w:val="Podnaslov3"/>
      </w:pPr>
      <w:bookmarkStart w:id="427" w:name="_Toc490599972"/>
      <w:bookmarkStart w:id="428" w:name="_Toc506192102"/>
      <w:r w:rsidRPr="005B4EF2">
        <w:t>Republiška priznavalnina</w:t>
      </w:r>
      <w:bookmarkEnd w:id="427"/>
      <w:bookmarkEnd w:id="428"/>
    </w:p>
    <w:p w:rsidR="009457B2" w:rsidRPr="00506A2E" w:rsidRDefault="00222F5B" w:rsidP="009457B2">
      <w:r>
        <w:t>Iz grafa 44</w:t>
      </w:r>
      <w:r w:rsidR="009457B2" w:rsidRPr="009457B2">
        <w:t xml:space="preserve"> je razvidno da je v Sloveniji iz leta v leto več ustvarjalcev, ki so posebej pomembno prispevali k slovenski kulturi, njihova pokojnina pa ni ustrezna danemu prispevku in se zato razliko doda iz proračuna za kulturo. Ta razlika v povprečju znaša 300 evrov na posameznika mesečno.</w:t>
      </w:r>
    </w:p>
    <w:p w:rsidR="00CA19BE" w:rsidRDefault="00715A47" w:rsidP="00D31EE4">
      <w:pPr>
        <w:pStyle w:val="Naslovtabele"/>
      </w:pPr>
      <w:bookmarkStart w:id="429" w:name="_Toc490053413"/>
      <w:bookmarkStart w:id="430" w:name="_Toc490053784"/>
      <w:bookmarkStart w:id="431" w:name="_Toc490600056"/>
      <w:r>
        <w:t>Graf 44</w:t>
      </w:r>
      <w:r w:rsidR="00EB39FC">
        <w:t>: Zneski republiških priznavalnin in</w:t>
      </w:r>
      <w:r w:rsidR="009E3EBA">
        <w:t xml:space="preserve"> njihovi prejemniki, Slovenija (</w:t>
      </w:r>
      <w:r w:rsidR="00EB39FC">
        <w:t>2008–2015</w:t>
      </w:r>
      <w:r w:rsidR="009E3EBA">
        <w:t>)</w:t>
      </w:r>
      <w:bookmarkEnd w:id="429"/>
      <w:bookmarkEnd w:id="430"/>
      <w:bookmarkEnd w:id="431"/>
    </w:p>
    <w:p w:rsidR="00BB569D" w:rsidRDefault="0099321C" w:rsidP="004352C0">
      <w:pPr>
        <w:rPr>
          <w:b/>
        </w:rPr>
      </w:pPr>
      <w:r>
        <w:rPr>
          <w:noProof/>
          <w:lang w:eastAsia="sl-SI"/>
        </w:rPr>
        <w:drawing>
          <wp:inline distT="0" distB="0" distL="0" distR="0" wp14:anchorId="14B395A1" wp14:editId="487FF749">
            <wp:extent cx="5829935" cy="2669540"/>
            <wp:effectExtent l="0" t="0" r="12065" b="0"/>
            <wp:docPr id="1" name="Grafikon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5"/>
              </a:graphicData>
            </a:graphic>
          </wp:inline>
        </w:drawing>
      </w:r>
    </w:p>
    <w:p w:rsidR="009C078C" w:rsidRDefault="0099321C" w:rsidP="009457B2">
      <w:pPr>
        <w:pStyle w:val="Podpispodtabeloaligrafom"/>
      </w:pPr>
      <w:r w:rsidRPr="008F2B7D">
        <w:t xml:space="preserve">Vir: Ministrstvo za </w:t>
      </w:r>
      <w:r>
        <w:t>kulturo.</w:t>
      </w:r>
    </w:p>
    <w:p w:rsidR="00E74A2C" w:rsidRDefault="00E74A2C" w:rsidP="00214DBE"/>
    <w:p w:rsidR="00E74A2C" w:rsidRPr="002A6EDF" w:rsidRDefault="00E74A2C" w:rsidP="00D47110">
      <w:pPr>
        <w:pStyle w:val="Podnaslov2"/>
      </w:pPr>
      <w:bookmarkStart w:id="432" w:name="_Toc490047607"/>
      <w:bookmarkStart w:id="433" w:name="_Toc490599973"/>
      <w:bookmarkStart w:id="434" w:name="_Toc506192103"/>
      <w:r>
        <w:t>Javni zavodi</w:t>
      </w:r>
      <w:bookmarkEnd w:id="432"/>
      <w:bookmarkEnd w:id="433"/>
      <w:bookmarkEnd w:id="434"/>
    </w:p>
    <w:p w:rsidR="00E74A2C" w:rsidRDefault="00E74A2C" w:rsidP="00E74A2C">
      <w:r>
        <w:t>V letu 2015</w:t>
      </w:r>
      <w:r w:rsidRPr="00CE079F">
        <w:t xml:space="preserve"> je </w:t>
      </w:r>
      <w:r>
        <w:t>Ministrstvo za kulturo</w:t>
      </w:r>
      <w:r w:rsidRPr="00CE079F">
        <w:t xml:space="preserve"> </w:t>
      </w:r>
      <w:r>
        <w:t>redno financiralo 72</w:t>
      </w:r>
      <w:r>
        <w:rPr>
          <w:rStyle w:val="Sprotnaopomba-sklic"/>
        </w:rPr>
        <w:footnoteReference w:id="75"/>
      </w:r>
      <w:r w:rsidRPr="00CE079F">
        <w:t xml:space="preserve"> javnih zavodov: 27 javnih zavodov</w:t>
      </w:r>
      <w:r w:rsidR="008A3436">
        <w:t>,</w:t>
      </w:r>
      <w:r w:rsidRPr="00CE079F">
        <w:t xml:space="preserve"> katerih ustanoviteljica je država ter 45 javnih zavodov</w:t>
      </w:r>
      <w:r w:rsidR="008A3436">
        <w:t>,</w:t>
      </w:r>
      <w:r w:rsidRPr="00CE079F">
        <w:t xml:space="preserve"> katerih ustanoviteljice so </w:t>
      </w:r>
      <w:r>
        <w:t>lokalne skupnosti.</w:t>
      </w:r>
      <w:r>
        <w:rPr>
          <w:rStyle w:val="Sprotnaopomba-sklic"/>
        </w:rPr>
        <w:footnoteReference w:id="76"/>
      </w:r>
      <w:r>
        <w:t xml:space="preserve"> Današnje stanje je posledica postopnega prenašanja vse več finančnih obveznosti na državo. Leta 1989 je država sicer redno financirala 68 javnih zavodov, kar ni bistveno manj kot 72 v letu 2015, a današnji Zavod za varstvo kulturne dediščine je bil tedaj razdeljen na </w:t>
      </w:r>
      <w:r w:rsidR="000B4BDB">
        <w:t>sedem</w:t>
      </w:r>
      <w:r>
        <w:t xml:space="preserve"> zavodov ter restavratorski center, pa tudi število zaposlenih v javn</w:t>
      </w:r>
      <w:r w:rsidR="00B7523A">
        <w:t>ih zavodih se je večalo z leti.</w:t>
      </w:r>
    </w:p>
    <w:p w:rsidR="00E74A2C" w:rsidRDefault="00E74A2C" w:rsidP="00D47110">
      <w:pPr>
        <w:pStyle w:val="Podnaslov3"/>
      </w:pPr>
      <w:bookmarkStart w:id="435" w:name="_Toc490047608"/>
      <w:bookmarkStart w:id="436" w:name="_Toc490599974"/>
      <w:bookmarkStart w:id="437" w:name="_Toc506192104"/>
      <w:r>
        <w:t>Kronologija prevzemanja obveznosti javnih zavodov</w:t>
      </w:r>
      <w:bookmarkEnd w:id="435"/>
      <w:bookmarkEnd w:id="436"/>
      <w:bookmarkEnd w:id="437"/>
    </w:p>
    <w:p w:rsidR="00E74A2C" w:rsidRDefault="00E74A2C" w:rsidP="00E74A2C">
      <w:r>
        <w:t>V nadaljevanju je v kronološkem redu opisano prevzemanje finančnih obveznosti javnih zavodov po letu 1989:</w:t>
      </w:r>
    </w:p>
    <w:p w:rsidR="00E74A2C" w:rsidRPr="004F67A7" w:rsidRDefault="00E74A2C" w:rsidP="00E74A2C">
      <w:pPr>
        <w:pStyle w:val="Odstavekseznama"/>
        <w:numPr>
          <w:ilvl w:val="0"/>
          <w:numId w:val="2"/>
        </w:numPr>
      </w:pPr>
      <w:r w:rsidRPr="004F67A7">
        <w:t xml:space="preserve">1990: </w:t>
      </w:r>
      <w:r>
        <w:t>Notranjski</w:t>
      </w:r>
      <w:r w:rsidRPr="004F67A7">
        <w:t xml:space="preserve"> muzej Postojna</w:t>
      </w:r>
      <w:r>
        <w:t>;</w:t>
      </w:r>
    </w:p>
    <w:p w:rsidR="00E74A2C" w:rsidRPr="004F67A7" w:rsidRDefault="00E74A2C" w:rsidP="00E74A2C">
      <w:pPr>
        <w:pStyle w:val="Odstavekseznama"/>
        <w:numPr>
          <w:ilvl w:val="0"/>
          <w:numId w:val="2"/>
        </w:numPr>
      </w:pPr>
      <w:r w:rsidRPr="004F67A7">
        <w:t>1991: Cankarjev dom</w:t>
      </w:r>
      <w:r>
        <w:t>;</w:t>
      </w:r>
    </w:p>
    <w:p w:rsidR="00E74A2C" w:rsidRDefault="00E74A2C" w:rsidP="00E74A2C">
      <w:pPr>
        <w:pStyle w:val="Odstavekseznama"/>
        <w:numPr>
          <w:ilvl w:val="0"/>
          <w:numId w:val="2"/>
        </w:numPr>
      </w:pPr>
      <w:r>
        <w:t>1995: Prešernovo gledališče Kranj;</w:t>
      </w:r>
    </w:p>
    <w:p w:rsidR="00E74A2C" w:rsidRDefault="00E74A2C" w:rsidP="00E74A2C">
      <w:pPr>
        <w:pStyle w:val="Odstavekseznama"/>
        <w:numPr>
          <w:ilvl w:val="0"/>
          <w:numId w:val="2"/>
        </w:numPr>
      </w:pPr>
      <w:r>
        <w:t>1996: iz Slovenskega gledališkega in filmskega muzeja nastala dva nova javna zavoda: Slovenski gledališki muzej in Slovenska kinoteka;</w:t>
      </w:r>
    </w:p>
    <w:p w:rsidR="00E74A2C" w:rsidRDefault="00E74A2C" w:rsidP="00E74A2C">
      <w:pPr>
        <w:pStyle w:val="Odstavekseznama"/>
        <w:numPr>
          <w:ilvl w:val="0"/>
          <w:numId w:val="2"/>
        </w:numPr>
      </w:pPr>
      <w:r>
        <w:t xml:space="preserve">1999: ustanovljen Javni zavod RS za varstvo kulturne dediščine (združilo se je </w:t>
      </w:r>
      <w:r w:rsidR="000B4BDB">
        <w:t>sedem</w:t>
      </w:r>
      <w:r>
        <w:t xml:space="preserve"> regionalnih javnih zavodov in restavratorski center). Istega leta se je Slovenski komorni zbor pridružil Slovenski filharmoniji.</w:t>
      </w:r>
    </w:p>
    <w:p w:rsidR="00E74A2C" w:rsidRDefault="00E74A2C" w:rsidP="00E74A2C">
      <w:pPr>
        <w:pStyle w:val="Odstavekseznama"/>
        <w:numPr>
          <w:ilvl w:val="0"/>
          <w:numId w:val="2"/>
        </w:numPr>
      </w:pPr>
      <w:r>
        <w:t xml:space="preserve">1999 in 2000: dva poskusa prenosa financiranja občinskih javnih zavodov na občine ustanoviteljice. Občine so bile dolžne zagotavljati sredstva za plače zaposlenih, splošne stroške delovanja in investicijsko vzdrževanje in nakup opreme, ministrstvo pa je bilo še naprej zavezano za plačevanje programskih materialnih stroškov. Pri obeh poskusih je bilo z odločbo Ustavnega sodišča financiranje vrnjeno državi; </w:t>
      </w:r>
    </w:p>
    <w:p w:rsidR="00E74A2C" w:rsidRDefault="00E74A2C" w:rsidP="00E74A2C">
      <w:pPr>
        <w:pStyle w:val="Odstavekseznama"/>
        <w:numPr>
          <w:ilvl w:val="0"/>
          <w:numId w:val="2"/>
        </w:numPr>
      </w:pPr>
      <w:r>
        <w:t>2000: Tolminski muzej;</w:t>
      </w:r>
    </w:p>
    <w:p w:rsidR="00E74A2C" w:rsidRDefault="00E74A2C" w:rsidP="00E74A2C">
      <w:pPr>
        <w:pStyle w:val="Odstavekseznama"/>
        <w:numPr>
          <w:ilvl w:val="0"/>
          <w:numId w:val="2"/>
        </w:numPr>
      </w:pPr>
      <w:r>
        <w:t>2001: spremenil se je sistem financiranja Arboretum Volčji Potok. Ministrstvo za kulturo je začelo zagotavljati namenska sredstva za 21 zaposlenih. Pred tem se je sredstva zagotavljalo v pavšalnem znesku;</w:t>
      </w:r>
    </w:p>
    <w:p w:rsidR="00E74A2C" w:rsidRDefault="00E74A2C" w:rsidP="00E74A2C">
      <w:pPr>
        <w:pStyle w:val="Odstavekseznama"/>
        <w:numPr>
          <w:ilvl w:val="0"/>
          <w:numId w:val="2"/>
        </w:numPr>
      </w:pPr>
      <w:r>
        <w:t xml:space="preserve">2003: Koroškemu pokrajinskemu muzeju Slovenj Gradec se je pridružil muzej na Ravnah, ki ga je prej financirala občina. </w:t>
      </w:r>
    </w:p>
    <w:p w:rsidR="00E74A2C" w:rsidRDefault="00E74A2C" w:rsidP="00E74A2C">
      <w:pPr>
        <w:pStyle w:val="Odstavekseznama"/>
        <w:numPr>
          <w:ilvl w:val="0"/>
          <w:numId w:val="2"/>
        </w:numPr>
      </w:pPr>
      <w:r>
        <w:t>2003: Gledališče Koper;</w:t>
      </w:r>
    </w:p>
    <w:p w:rsidR="00E74A2C" w:rsidRDefault="00E74A2C" w:rsidP="00E74A2C">
      <w:pPr>
        <w:pStyle w:val="Odstavekseznama"/>
        <w:numPr>
          <w:ilvl w:val="0"/>
          <w:numId w:val="2"/>
        </w:numPr>
      </w:pPr>
      <w:r>
        <w:t>2004: Gledališče Ptuj;</w:t>
      </w:r>
    </w:p>
    <w:p w:rsidR="00E74A2C" w:rsidRDefault="00E74A2C" w:rsidP="00E74A2C">
      <w:pPr>
        <w:pStyle w:val="Odstavekseznama"/>
        <w:numPr>
          <w:ilvl w:val="0"/>
          <w:numId w:val="2"/>
        </w:numPr>
      </w:pPr>
      <w:r>
        <w:t>2004: Primorsko narodno gledališče je postalo Slovensko narodno gledališče Nova Gorica, ustanoviteljstvo je prevzela država;</w:t>
      </w:r>
    </w:p>
    <w:p w:rsidR="00E74A2C" w:rsidRDefault="00E74A2C" w:rsidP="00E74A2C">
      <w:pPr>
        <w:pStyle w:val="Odstavekseznama"/>
        <w:numPr>
          <w:ilvl w:val="0"/>
          <w:numId w:val="2"/>
        </w:numPr>
      </w:pPr>
      <w:r>
        <w:t>2006 je Ministrstvo za kulturo začelo delno in leta 2007 pretežno financirati Kobilarno Lipica. Ministrstvo za kulturo je Kobilarno Lipica financiralo do sredine leta 2012, ko je financiranje v celoti prevzelo Ministrstvo za kmetijstvo in okolje;</w:t>
      </w:r>
    </w:p>
    <w:p w:rsidR="00E74A2C" w:rsidRDefault="00E74A2C" w:rsidP="00E74A2C">
      <w:pPr>
        <w:pStyle w:val="Odstavekseznama"/>
        <w:numPr>
          <w:ilvl w:val="0"/>
          <w:numId w:val="2"/>
        </w:numPr>
      </w:pPr>
      <w:r>
        <w:t>2007: Muzej krščanstva na Slovenskem;</w:t>
      </w:r>
    </w:p>
    <w:p w:rsidR="00E74A2C" w:rsidRDefault="00E74A2C" w:rsidP="00E74A2C">
      <w:pPr>
        <w:pStyle w:val="Odstavekseznama"/>
        <w:numPr>
          <w:ilvl w:val="0"/>
          <w:numId w:val="2"/>
        </w:numPr>
      </w:pPr>
      <w:r>
        <w:t>2010: Gledališče APT Novo mesto, Gornjesavski muzej Jesenice, Muzej za arhitekturo in oblikovanje, Slovensko narodno gledališče Trst;</w:t>
      </w:r>
    </w:p>
    <w:p w:rsidR="00E74A2C" w:rsidRPr="00583007" w:rsidRDefault="00E74A2C" w:rsidP="00E74A2C">
      <w:pPr>
        <w:pStyle w:val="Odstavekseznama"/>
        <w:numPr>
          <w:ilvl w:val="0"/>
          <w:numId w:val="2"/>
        </w:numPr>
      </w:pPr>
      <w:r w:rsidRPr="00583007">
        <w:t>2011</w:t>
      </w:r>
      <w:r>
        <w:t>:</w:t>
      </w:r>
      <w:r w:rsidRPr="00583007">
        <w:t xml:space="preserve"> Ce</w:t>
      </w:r>
      <w:r>
        <w:t>nter sodobnih plesnih umetnosti (samo to leto);</w:t>
      </w:r>
    </w:p>
    <w:p w:rsidR="00E74A2C" w:rsidRDefault="00E74A2C" w:rsidP="00E74A2C">
      <w:pPr>
        <w:pStyle w:val="Odstavekseznama"/>
        <w:numPr>
          <w:ilvl w:val="0"/>
          <w:numId w:val="2"/>
        </w:numPr>
      </w:pPr>
      <w:r>
        <w:t>2013: Tržiški muzej, Rokodelski center Ribnica in Galerija muzej Lendava.</w:t>
      </w:r>
    </w:p>
    <w:p w:rsidR="00E74A2C" w:rsidRDefault="00E74A2C" w:rsidP="00E74A2C">
      <w:pPr>
        <w:pStyle w:val="Naslovtabele"/>
        <w:rPr>
          <w:lang w:eastAsia="sl-SI"/>
        </w:rPr>
      </w:pPr>
      <w:bookmarkStart w:id="438" w:name="_Toc490053414"/>
      <w:bookmarkStart w:id="439" w:name="_Toc490053785"/>
      <w:bookmarkStart w:id="440" w:name="_Toc490600057"/>
      <w:r w:rsidRPr="009A21CF">
        <w:rPr>
          <w:lang w:eastAsia="sl-SI"/>
        </w:rPr>
        <w:t>Graf</w:t>
      </w:r>
      <w:r w:rsidR="00344E6D">
        <w:rPr>
          <w:lang w:eastAsia="sl-SI"/>
        </w:rPr>
        <w:t xml:space="preserve"> 45</w:t>
      </w:r>
      <w:r>
        <w:rPr>
          <w:lang w:eastAsia="sl-SI"/>
        </w:rPr>
        <w:t>: Število redno financiranih javnih zavodov iz proračuna Ministrstva za kulturo (1989</w:t>
      </w:r>
      <w:r>
        <w:t>–</w:t>
      </w:r>
      <w:r>
        <w:rPr>
          <w:lang w:eastAsia="sl-SI"/>
        </w:rPr>
        <w:t>2015, večletni intervali)</w:t>
      </w:r>
      <w:bookmarkEnd w:id="438"/>
      <w:bookmarkEnd w:id="439"/>
      <w:bookmarkEnd w:id="440"/>
    </w:p>
    <w:p w:rsidR="00E74A2C" w:rsidRDefault="00E74A2C" w:rsidP="00E74A2C">
      <w:pPr>
        <w:pStyle w:val="Podpispodtabeloaligrafom"/>
        <w:rPr>
          <w:lang w:eastAsia="sl-SI"/>
        </w:rPr>
      </w:pPr>
      <w:r>
        <w:rPr>
          <w:noProof/>
          <w:lang w:eastAsia="sl-SI"/>
        </w:rPr>
        <w:drawing>
          <wp:inline distT="0" distB="0" distL="0" distR="0" wp14:anchorId="703E9564" wp14:editId="2BF6106B">
            <wp:extent cx="5876365" cy="2218765"/>
            <wp:effectExtent l="0" t="0" r="0" b="0"/>
            <wp:docPr id="54" name="Grafikon 54"/>
            <wp:cNvGraphicFramePr/>
            <a:graphic xmlns:a="http://schemas.openxmlformats.org/drawingml/2006/main">
              <a:graphicData uri="http://schemas.openxmlformats.org/drawingml/2006/chart">
                <c:chart xmlns:c="http://schemas.openxmlformats.org/drawingml/2006/chart" xmlns:r="http://schemas.openxmlformats.org/officeDocument/2006/relationships" r:id="rId76"/>
              </a:graphicData>
            </a:graphic>
          </wp:inline>
        </w:drawing>
      </w:r>
    </w:p>
    <w:p w:rsidR="00E74A2C" w:rsidRDefault="00E74A2C" w:rsidP="00E74A2C">
      <w:pPr>
        <w:pStyle w:val="Podpispodtabeloaligrafom"/>
        <w:rPr>
          <w:lang w:eastAsia="sl-SI"/>
        </w:rPr>
      </w:pPr>
      <w:r>
        <w:rPr>
          <w:lang w:eastAsia="sl-SI"/>
        </w:rPr>
        <w:t>Vir: Ministrstvo za kulturo.</w:t>
      </w:r>
    </w:p>
    <w:p w:rsidR="00E74A2C" w:rsidRDefault="00E74A2C" w:rsidP="00E74A2C">
      <w:pPr>
        <w:jc w:val="both"/>
        <w:rPr>
          <w:rFonts w:cs="Arial"/>
          <w:szCs w:val="20"/>
          <w:lang w:eastAsia="sl-SI"/>
        </w:rPr>
      </w:pPr>
    </w:p>
    <w:p w:rsidR="00E74A2C" w:rsidRDefault="00E74A2C" w:rsidP="00D47110">
      <w:pPr>
        <w:pStyle w:val="Podnaslov3"/>
        <w:rPr>
          <w:lang w:eastAsia="sl-SI"/>
        </w:rPr>
      </w:pPr>
      <w:bookmarkStart w:id="441" w:name="_Toc490047609"/>
      <w:bookmarkStart w:id="442" w:name="_Toc490599975"/>
      <w:bookmarkStart w:id="443" w:name="_Toc506192105"/>
      <w:r>
        <w:rPr>
          <w:lang w:eastAsia="sl-SI"/>
        </w:rPr>
        <w:t>Sredstva po skupinah dejavnosti</w:t>
      </w:r>
      <w:bookmarkEnd w:id="441"/>
      <w:bookmarkEnd w:id="442"/>
      <w:bookmarkEnd w:id="443"/>
    </w:p>
    <w:p w:rsidR="00E74A2C" w:rsidRDefault="002F2F89" w:rsidP="00E74A2C">
      <w:pPr>
        <w:jc w:val="both"/>
        <w:rPr>
          <w:rFonts w:cs="Arial"/>
          <w:b/>
          <w:szCs w:val="20"/>
          <w:lang w:eastAsia="sl-SI"/>
        </w:rPr>
      </w:pPr>
      <w:r>
        <w:rPr>
          <w:rFonts w:cs="Arial"/>
          <w:szCs w:val="20"/>
          <w:lang w:eastAsia="sl-SI"/>
        </w:rPr>
        <w:t>Iz tabele 35 in grafa 46</w:t>
      </w:r>
      <w:r w:rsidR="00E74A2C" w:rsidRPr="009E22D8">
        <w:rPr>
          <w:rFonts w:cs="Arial"/>
          <w:szCs w:val="20"/>
          <w:lang w:eastAsia="sl-SI"/>
        </w:rPr>
        <w:t xml:space="preserve"> s pregledom financiranja javnih zavodov po skupinah dejavnosti </w:t>
      </w:r>
      <w:r w:rsidR="00E74A2C">
        <w:rPr>
          <w:rFonts w:cs="Arial"/>
          <w:szCs w:val="20"/>
          <w:lang w:eastAsia="sl-SI"/>
        </w:rPr>
        <w:t>je razvidno, da se največ sredstev nameni javnim zavodom, ki delujejo na področjih glasbe in gledališča.</w:t>
      </w:r>
    </w:p>
    <w:p w:rsidR="00884A33" w:rsidRDefault="00884A33">
      <w:pPr>
        <w:rPr>
          <w:b/>
          <w:lang w:eastAsia="sl-SI"/>
        </w:rPr>
      </w:pPr>
      <w:bookmarkStart w:id="444" w:name="_Toc490053415"/>
      <w:bookmarkStart w:id="445" w:name="_Toc490053786"/>
      <w:r>
        <w:rPr>
          <w:lang w:eastAsia="sl-SI"/>
        </w:rPr>
        <w:br w:type="page"/>
      </w:r>
    </w:p>
    <w:p w:rsidR="00E74A2C" w:rsidRDefault="00C75E6E" w:rsidP="00E74A2C">
      <w:pPr>
        <w:pStyle w:val="Naslovtabele"/>
        <w:rPr>
          <w:lang w:eastAsia="sl-SI"/>
        </w:rPr>
      </w:pPr>
      <w:bookmarkStart w:id="446" w:name="_Toc490600058"/>
      <w:r>
        <w:rPr>
          <w:lang w:eastAsia="sl-SI"/>
        </w:rPr>
        <w:t>Tabela 35</w:t>
      </w:r>
      <w:r w:rsidR="00E74A2C" w:rsidRPr="00E75A16">
        <w:rPr>
          <w:lang w:eastAsia="sl-SI"/>
        </w:rPr>
        <w:t xml:space="preserve">: Financiranje javnih zavodov po skupinah dejavnosti iz proračuna Ministrstva za kulturo </w:t>
      </w:r>
      <w:r w:rsidR="00E74A2C">
        <w:rPr>
          <w:lang w:eastAsia="sl-SI"/>
        </w:rPr>
        <w:t>(</w:t>
      </w:r>
      <w:r w:rsidR="00E74A2C" w:rsidRPr="00E75A16">
        <w:rPr>
          <w:lang w:eastAsia="sl-SI"/>
        </w:rPr>
        <w:t>2008–2015</w:t>
      </w:r>
      <w:r w:rsidR="00E74A2C">
        <w:rPr>
          <w:lang w:eastAsia="sl-SI"/>
        </w:rPr>
        <w:t>)</w:t>
      </w:r>
      <w:bookmarkEnd w:id="444"/>
      <w:bookmarkEnd w:id="445"/>
      <w:bookmarkEnd w:id="446"/>
    </w:p>
    <w:tbl>
      <w:tblPr>
        <w:tblW w:w="8640" w:type="dxa"/>
        <w:tblInd w:w="55" w:type="dxa"/>
        <w:tblCellMar>
          <w:left w:w="70" w:type="dxa"/>
          <w:right w:w="70" w:type="dxa"/>
        </w:tblCellMar>
        <w:tblLook w:val="04A0" w:firstRow="1" w:lastRow="0" w:firstColumn="1" w:lastColumn="0" w:noHBand="0" w:noVBand="1"/>
      </w:tblPr>
      <w:tblGrid>
        <w:gridCol w:w="960"/>
        <w:gridCol w:w="960"/>
        <w:gridCol w:w="960"/>
        <w:gridCol w:w="960"/>
        <w:gridCol w:w="960"/>
        <w:gridCol w:w="960"/>
        <w:gridCol w:w="960"/>
        <w:gridCol w:w="960"/>
        <w:gridCol w:w="960"/>
      </w:tblGrid>
      <w:tr w:rsidR="00E74A2C" w:rsidRPr="000F654D" w:rsidTr="0011748C">
        <w:trPr>
          <w:trHeight w:val="300"/>
          <w:tblHeader/>
        </w:trPr>
        <w:tc>
          <w:tcPr>
            <w:tcW w:w="960" w:type="dxa"/>
            <w:tcBorders>
              <w:top w:val="single" w:sz="8" w:space="0" w:color="9BBB59"/>
              <w:left w:val="single" w:sz="8" w:space="0" w:color="9BBB59"/>
              <w:bottom w:val="nil"/>
              <w:right w:val="nil"/>
            </w:tcBorders>
            <w:shd w:val="clear" w:color="000000" w:fill="9BBB59"/>
            <w:vAlign w:val="center"/>
            <w:hideMark/>
          </w:tcPr>
          <w:p w:rsidR="00E74A2C" w:rsidRPr="000F654D" w:rsidRDefault="00E74A2C" w:rsidP="0011748C">
            <w:pPr>
              <w:spacing w:after="0" w:line="240" w:lineRule="auto"/>
              <w:rPr>
                <w:rFonts w:ascii="Arial Narrow" w:hAnsi="Arial Narrow"/>
                <w:color w:val="000000"/>
                <w:sz w:val="16"/>
                <w:szCs w:val="16"/>
                <w:lang w:eastAsia="sl-SI"/>
              </w:rPr>
            </w:pPr>
            <w:r w:rsidRPr="000F654D">
              <w:rPr>
                <w:rFonts w:ascii="Arial Narrow" w:hAnsi="Arial Narrow"/>
                <w:color w:val="000000"/>
                <w:sz w:val="16"/>
                <w:szCs w:val="16"/>
                <w:lang w:eastAsia="sl-SI"/>
              </w:rPr>
              <w:t> </w:t>
            </w:r>
          </w:p>
        </w:tc>
        <w:tc>
          <w:tcPr>
            <w:tcW w:w="960" w:type="dxa"/>
            <w:tcBorders>
              <w:top w:val="single" w:sz="8" w:space="0" w:color="9BBB59"/>
              <w:left w:val="nil"/>
              <w:bottom w:val="nil"/>
              <w:right w:val="nil"/>
            </w:tcBorders>
            <w:shd w:val="clear" w:color="000000" w:fill="9BBB59"/>
            <w:vAlign w:val="center"/>
            <w:hideMark/>
          </w:tcPr>
          <w:p w:rsidR="00E74A2C" w:rsidRPr="000F654D" w:rsidRDefault="00E74A2C" w:rsidP="0011748C">
            <w:pPr>
              <w:spacing w:after="0" w:line="240" w:lineRule="auto"/>
              <w:jc w:val="right"/>
              <w:rPr>
                <w:rFonts w:ascii="Arial Narrow" w:hAnsi="Arial Narrow"/>
                <w:b/>
                <w:bCs/>
                <w:color w:val="FFFFFF"/>
                <w:sz w:val="16"/>
                <w:szCs w:val="16"/>
                <w:lang w:eastAsia="sl-SI"/>
              </w:rPr>
            </w:pPr>
            <w:r w:rsidRPr="000F654D">
              <w:rPr>
                <w:rFonts w:ascii="Arial Narrow" w:hAnsi="Arial Narrow"/>
                <w:b/>
                <w:bCs/>
                <w:color w:val="FFFFFF"/>
                <w:sz w:val="16"/>
                <w:szCs w:val="16"/>
                <w:lang w:eastAsia="sl-SI"/>
              </w:rPr>
              <w:t>2008</w:t>
            </w:r>
          </w:p>
        </w:tc>
        <w:tc>
          <w:tcPr>
            <w:tcW w:w="960" w:type="dxa"/>
            <w:tcBorders>
              <w:top w:val="single" w:sz="8" w:space="0" w:color="9BBB59"/>
              <w:left w:val="nil"/>
              <w:bottom w:val="nil"/>
              <w:right w:val="nil"/>
            </w:tcBorders>
            <w:shd w:val="clear" w:color="000000" w:fill="9BBB59"/>
            <w:vAlign w:val="center"/>
            <w:hideMark/>
          </w:tcPr>
          <w:p w:rsidR="00E74A2C" w:rsidRPr="000F654D" w:rsidRDefault="00E74A2C" w:rsidP="0011748C">
            <w:pPr>
              <w:spacing w:after="0" w:line="240" w:lineRule="auto"/>
              <w:jc w:val="right"/>
              <w:rPr>
                <w:rFonts w:ascii="Arial Narrow" w:hAnsi="Arial Narrow"/>
                <w:b/>
                <w:bCs/>
                <w:color w:val="FFFFFF"/>
                <w:sz w:val="16"/>
                <w:szCs w:val="16"/>
                <w:lang w:eastAsia="sl-SI"/>
              </w:rPr>
            </w:pPr>
            <w:r w:rsidRPr="000F654D">
              <w:rPr>
                <w:rFonts w:ascii="Arial Narrow" w:hAnsi="Arial Narrow"/>
                <w:b/>
                <w:bCs/>
                <w:color w:val="FFFFFF"/>
                <w:sz w:val="16"/>
                <w:szCs w:val="16"/>
                <w:lang w:eastAsia="sl-SI"/>
              </w:rPr>
              <w:t>2009</w:t>
            </w:r>
          </w:p>
        </w:tc>
        <w:tc>
          <w:tcPr>
            <w:tcW w:w="960" w:type="dxa"/>
            <w:tcBorders>
              <w:top w:val="single" w:sz="8" w:space="0" w:color="9BBB59"/>
              <w:left w:val="nil"/>
              <w:bottom w:val="nil"/>
              <w:right w:val="nil"/>
            </w:tcBorders>
            <w:shd w:val="clear" w:color="000000" w:fill="9BBB59"/>
            <w:vAlign w:val="center"/>
            <w:hideMark/>
          </w:tcPr>
          <w:p w:rsidR="00E74A2C" w:rsidRPr="000F654D" w:rsidRDefault="00E74A2C" w:rsidP="0011748C">
            <w:pPr>
              <w:spacing w:after="0" w:line="240" w:lineRule="auto"/>
              <w:jc w:val="right"/>
              <w:rPr>
                <w:rFonts w:ascii="Arial Narrow" w:hAnsi="Arial Narrow"/>
                <w:b/>
                <w:bCs/>
                <w:color w:val="FFFFFF"/>
                <w:sz w:val="16"/>
                <w:szCs w:val="16"/>
                <w:lang w:eastAsia="sl-SI"/>
              </w:rPr>
            </w:pPr>
            <w:r w:rsidRPr="000F654D">
              <w:rPr>
                <w:rFonts w:ascii="Arial Narrow" w:hAnsi="Arial Narrow"/>
                <w:b/>
                <w:bCs/>
                <w:color w:val="FFFFFF"/>
                <w:sz w:val="16"/>
                <w:szCs w:val="16"/>
                <w:lang w:eastAsia="sl-SI"/>
              </w:rPr>
              <w:t>2010</w:t>
            </w:r>
          </w:p>
        </w:tc>
        <w:tc>
          <w:tcPr>
            <w:tcW w:w="960" w:type="dxa"/>
            <w:tcBorders>
              <w:top w:val="single" w:sz="8" w:space="0" w:color="9BBB59"/>
              <w:left w:val="nil"/>
              <w:bottom w:val="nil"/>
              <w:right w:val="nil"/>
            </w:tcBorders>
            <w:shd w:val="clear" w:color="000000" w:fill="9BBB59"/>
            <w:vAlign w:val="center"/>
            <w:hideMark/>
          </w:tcPr>
          <w:p w:rsidR="00E74A2C" w:rsidRPr="000F654D" w:rsidRDefault="00E74A2C" w:rsidP="0011748C">
            <w:pPr>
              <w:spacing w:after="0" w:line="240" w:lineRule="auto"/>
              <w:jc w:val="right"/>
              <w:rPr>
                <w:rFonts w:ascii="Arial Narrow" w:hAnsi="Arial Narrow"/>
                <w:b/>
                <w:bCs/>
                <w:color w:val="FFFFFF"/>
                <w:sz w:val="16"/>
                <w:szCs w:val="16"/>
                <w:lang w:eastAsia="sl-SI"/>
              </w:rPr>
            </w:pPr>
            <w:r w:rsidRPr="000F654D">
              <w:rPr>
                <w:rFonts w:ascii="Arial Narrow" w:hAnsi="Arial Narrow"/>
                <w:b/>
                <w:bCs/>
                <w:color w:val="FFFFFF"/>
                <w:sz w:val="16"/>
                <w:szCs w:val="16"/>
                <w:lang w:eastAsia="sl-SI"/>
              </w:rPr>
              <w:t>2011</w:t>
            </w:r>
          </w:p>
        </w:tc>
        <w:tc>
          <w:tcPr>
            <w:tcW w:w="960" w:type="dxa"/>
            <w:tcBorders>
              <w:top w:val="single" w:sz="8" w:space="0" w:color="9BBB59"/>
              <w:left w:val="nil"/>
              <w:bottom w:val="nil"/>
              <w:right w:val="nil"/>
            </w:tcBorders>
            <w:shd w:val="clear" w:color="000000" w:fill="9BBB59"/>
            <w:vAlign w:val="center"/>
            <w:hideMark/>
          </w:tcPr>
          <w:p w:rsidR="00E74A2C" w:rsidRPr="000F654D" w:rsidRDefault="00E74A2C" w:rsidP="0011748C">
            <w:pPr>
              <w:spacing w:after="0" w:line="240" w:lineRule="auto"/>
              <w:jc w:val="right"/>
              <w:rPr>
                <w:rFonts w:ascii="Arial Narrow" w:hAnsi="Arial Narrow"/>
                <w:b/>
                <w:bCs/>
                <w:color w:val="FFFFFF"/>
                <w:sz w:val="16"/>
                <w:szCs w:val="16"/>
                <w:lang w:eastAsia="sl-SI"/>
              </w:rPr>
            </w:pPr>
            <w:r w:rsidRPr="000F654D">
              <w:rPr>
                <w:rFonts w:ascii="Arial Narrow" w:hAnsi="Arial Narrow"/>
                <w:b/>
                <w:bCs/>
                <w:color w:val="FFFFFF"/>
                <w:sz w:val="16"/>
                <w:szCs w:val="16"/>
                <w:lang w:eastAsia="sl-SI"/>
              </w:rPr>
              <w:t>2012</w:t>
            </w:r>
          </w:p>
        </w:tc>
        <w:tc>
          <w:tcPr>
            <w:tcW w:w="960" w:type="dxa"/>
            <w:tcBorders>
              <w:top w:val="single" w:sz="8" w:space="0" w:color="9BBB59"/>
              <w:left w:val="nil"/>
              <w:bottom w:val="nil"/>
              <w:right w:val="nil"/>
            </w:tcBorders>
            <w:shd w:val="clear" w:color="000000" w:fill="9BBB59"/>
            <w:vAlign w:val="center"/>
            <w:hideMark/>
          </w:tcPr>
          <w:p w:rsidR="00E74A2C" w:rsidRPr="000F654D" w:rsidRDefault="00E74A2C" w:rsidP="0011748C">
            <w:pPr>
              <w:spacing w:after="0" w:line="240" w:lineRule="auto"/>
              <w:jc w:val="right"/>
              <w:rPr>
                <w:rFonts w:ascii="Arial Narrow" w:hAnsi="Arial Narrow"/>
                <w:b/>
                <w:bCs/>
                <w:color w:val="FFFFFF"/>
                <w:sz w:val="16"/>
                <w:szCs w:val="16"/>
                <w:lang w:eastAsia="sl-SI"/>
              </w:rPr>
            </w:pPr>
            <w:r w:rsidRPr="000F654D">
              <w:rPr>
                <w:rFonts w:ascii="Arial Narrow" w:hAnsi="Arial Narrow"/>
                <w:b/>
                <w:bCs/>
                <w:color w:val="FFFFFF"/>
                <w:sz w:val="16"/>
                <w:szCs w:val="16"/>
                <w:lang w:eastAsia="sl-SI"/>
              </w:rPr>
              <w:t>2013</w:t>
            </w:r>
          </w:p>
        </w:tc>
        <w:tc>
          <w:tcPr>
            <w:tcW w:w="960" w:type="dxa"/>
            <w:tcBorders>
              <w:top w:val="single" w:sz="8" w:space="0" w:color="9BBB59"/>
              <w:left w:val="nil"/>
              <w:bottom w:val="nil"/>
              <w:right w:val="nil"/>
            </w:tcBorders>
            <w:shd w:val="clear" w:color="000000" w:fill="9BBB59"/>
            <w:vAlign w:val="center"/>
            <w:hideMark/>
          </w:tcPr>
          <w:p w:rsidR="00E74A2C" w:rsidRPr="000F654D" w:rsidRDefault="00E74A2C" w:rsidP="0011748C">
            <w:pPr>
              <w:spacing w:after="0" w:line="240" w:lineRule="auto"/>
              <w:jc w:val="right"/>
              <w:rPr>
                <w:rFonts w:ascii="Arial Narrow" w:hAnsi="Arial Narrow"/>
                <w:b/>
                <w:bCs/>
                <w:color w:val="FFFFFF"/>
                <w:sz w:val="16"/>
                <w:szCs w:val="16"/>
                <w:lang w:eastAsia="sl-SI"/>
              </w:rPr>
            </w:pPr>
            <w:r w:rsidRPr="000F654D">
              <w:rPr>
                <w:rFonts w:ascii="Arial Narrow" w:hAnsi="Arial Narrow"/>
                <w:b/>
                <w:bCs/>
                <w:color w:val="FFFFFF"/>
                <w:sz w:val="16"/>
                <w:szCs w:val="16"/>
                <w:lang w:eastAsia="sl-SI"/>
              </w:rPr>
              <w:t>2014</w:t>
            </w:r>
          </w:p>
        </w:tc>
        <w:tc>
          <w:tcPr>
            <w:tcW w:w="960" w:type="dxa"/>
            <w:tcBorders>
              <w:top w:val="single" w:sz="8" w:space="0" w:color="9BBB59"/>
              <w:left w:val="nil"/>
              <w:bottom w:val="nil"/>
              <w:right w:val="single" w:sz="8" w:space="0" w:color="9BBB59"/>
            </w:tcBorders>
            <w:shd w:val="clear" w:color="000000" w:fill="9BBB59"/>
            <w:vAlign w:val="center"/>
            <w:hideMark/>
          </w:tcPr>
          <w:p w:rsidR="00E74A2C" w:rsidRPr="000F654D" w:rsidRDefault="00E74A2C" w:rsidP="0011748C">
            <w:pPr>
              <w:spacing w:after="0" w:line="240" w:lineRule="auto"/>
              <w:jc w:val="right"/>
              <w:rPr>
                <w:rFonts w:ascii="Arial Narrow" w:hAnsi="Arial Narrow"/>
                <w:b/>
                <w:bCs/>
                <w:color w:val="FFFFFF"/>
                <w:sz w:val="16"/>
                <w:szCs w:val="16"/>
                <w:lang w:eastAsia="sl-SI"/>
              </w:rPr>
            </w:pPr>
            <w:r w:rsidRPr="000F654D">
              <w:rPr>
                <w:rFonts w:ascii="Arial Narrow" w:hAnsi="Arial Narrow"/>
                <w:b/>
                <w:bCs/>
                <w:color w:val="FFFFFF"/>
                <w:sz w:val="16"/>
                <w:szCs w:val="16"/>
                <w:lang w:eastAsia="sl-SI"/>
              </w:rPr>
              <w:t>2015</w:t>
            </w:r>
          </w:p>
        </w:tc>
      </w:tr>
      <w:tr w:rsidR="00E74A2C" w:rsidRPr="000F654D" w:rsidTr="000A3183">
        <w:trPr>
          <w:trHeight w:val="102"/>
        </w:trPr>
        <w:tc>
          <w:tcPr>
            <w:tcW w:w="960" w:type="dxa"/>
            <w:tcBorders>
              <w:top w:val="single" w:sz="8" w:space="0" w:color="9BBB59"/>
              <w:left w:val="single" w:sz="8" w:space="0" w:color="9BBB59"/>
              <w:bottom w:val="single" w:sz="8" w:space="0" w:color="9BBB59"/>
              <w:right w:val="nil"/>
            </w:tcBorders>
            <w:shd w:val="clear" w:color="auto" w:fill="auto"/>
            <w:vAlign w:val="center"/>
            <w:hideMark/>
          </w:tcPr>
          <w:p w:rsidR="00E74A2C" w:rsidRPr="000F654D" w:rsidRDefault="00E74A2C" w:rsidP="0011748C">
            <w:pPr>
              <w:spacing w:after="0" w:line="240" w:lineRule="auto"/>
              <w:rPr>
                <w:rFonts w:ascii="Arial Narrow" w:hAnsi="Arial Narrow"/>
                <w:color w:val="000000"/>
                <w:sz w:val="16"/>
                <w:szCs w:val="16"/>
                <w:lang w:eastAsia="sl-SI"/>
              </w:rPr>
            </w:pPr>
            <w:r w:rsidRPr="000F654D">
              <w:rPr>
                <w:rFonts w:ascii="Arial Narrow" w:hAnsi="Arial Narrow"/>
                <w:color w:val="000000"/>
                <w:sz w:val="16"/>
                <w:szCs w:val="16"/>
                <w:lang w:eastAsia="sl-SI"/>
              </w:rPr>
              <w:t> </w:t>
            </w:r>
          </w:p>
        </w:tc>
        <w:tc>
          <w:tcPr>
            <w:tcW w:w="960" w:type="dxa"/>
            <w:tcBorders>
              <w:top w:val="single" w:sz="8" w:space="0" w:color="9BBB59"/>
              <w:left w:val="nil"/>
              <w:bottom w:val="single" w:sz="8" w:space="0" w:color="9BBB59"/>
              <w:right w:val="nil"/>
            </w:tcBorders>
            <w:shd w:val="clear" w:color="auto" w:fill="auto"/>
            <w:vAlign w:val="center"/>
            <w:hideMark/>
          </w:tcPr>
          <w:p w:rsidR="00E74A2C" w:rsidRPr="00103553" w:rsidRDefault="00E74A2C" w:rsidP="0011748C">
            <w:pPr>
              <w:spacing w:after="0" w:line="240" w:lineRule="auto"/>
              <w:jc w:val="right"/>
              <w:rPr>
                <w:rFonts w:ascii="Arial Narrow" w:hAnsi="Arial Narrow"/>
                <w:color w:val="000000"/>
                <w:sz w:val="16"/>
                <w:szCs w:val="16"/>
                <w:lang w:eastAsia="sl-SI"/>
              </w:rPr>
            </w:pPr>
            <w:r w:rsidRPr="00103553">
              <w:rPr>
                <w:rFonts w:ascii="Arial Narrow" w:hAnsi="Arial Narrow"/>
                <w:color w:val="000000"/>
                <w:sz w:val="16"/>
                <w:szCs w:val="16"/>
                <w:lang w:eastAsia="sl-SI"/>
              </w:rPr>
              <w:t>EUR</w:t>
            </w:r>
          </w:p>
        </w:tc>
        <w:tc>
          <w:tcPr>
            <w:tcW w:w="960" w:type="dxa"/>
            <w:tcBorders>
              <w:top w:val="single" w:sz="8" w:space="0" w:color="9BBB59"/>
              <w:left w:val="nil"/>
              <w:bottom w:val="single" w:sz="8" w:space="0" w:color="9BBB59"/>
              <w:right w:val="nil"/>
            </w:tcBorders>
            <w:shd w:val="clear" w:color="auto" w:fill="auto"/>
            <w:vAlign w:val="center"/>
            <w:hideMark/>
          </w:tcPr>
          <w:p w:rsidR="00E74A2C" w:rsidRPr="00103553" w:rsidRDefault="00E74A2C" w:rsidP="0011748C">
            <w:pPr>
              <w:spacing w:after="0" w:line="240" w:lineRule="auto"/>
              <w:jc w:val="right"/>
              <w:rPr>
                <w:rFonts w:ascii="Arial Narrow" w:hAnsi="Arial Narrow"/>
                <w:color w:val="000000"/>
                <w:sz w:val="16"/>
                <w:szCs w:val="16"/>
                <w:lang w:eastAsia="sl-SI"/>
              </w:rPr>
            </w:pPr>
            <w:r w:rsidRPr="00103553">
              <w:rPr>
                <w:rFonts w:ascii="Arial Narrow" w:hAnsi="Arial Narrow"/>
                <w:color w:val="000000"/>
                <w:sz w:val="16"/>
                <w:szCs w:val="16"/>
                <w:lang w:eastAsia="sl-SI"/>
              </w:rPr>
              <w:t>EUR</w:t>
            </w:r>
          </w:p>
        </w:tc>
        <w:tc>
          <w:tcPr>
            <w:tcW w:w="960" w:type="dxa"/>
            <w:tcBorders>
              <w:top w:val="single" w:sz="8" w:space="0" w:color="9BBB59"/>
              <w:left w:val="nil"/>
              <w:bottom w:val="single" w:sz="8" w:space="0" w:color="9BBB59"/>
              <w:right w:val="nil"/>
            </w:tcBorders>
            <w:shd w:val="clear" w:color="auto" w:fill="auto"/>
            <w:vAlign w:val="center"/>
            <w:hideMark/>
          </w:tcPr>
          <w:p w:rsidR="00E74A2C" w:rsidRPr="00103553" w:rsidRDefault="00E74A2C" w:rsidP="0011748C">
            <w:pPr>
              <w:spacing w:after="0" w:line="240" w:lineRule="auto"/>
              <w:jc w:val="right"/>
              <w:rPr>
                <w:rFonts w:ascii="Arial Narrow" w:hAnsi="Arial Narrow"/>
                <w:color w:val="000000"/>
                <w:sz w:val="16"/>
                <w:szCs w:val="16"/>
                <w:lang w:eastAsia="sl-SI"/>
              </w:rPr>
            </w:pPr>
            <w:r w:rsidRPr="00103553">
              <w:rPr>
                <w:rFonts w:ascii="Arial Narrow" w:hAnsi="Arial Narrow"/>
                <w:color w:val="000000"/>
                <w:sz w:val="16"/>
                <w:szCs w:val="16"/>
                <w:lang w:eastAsia="sl-SI"/>
              </w:rPr>
              <w:t>EUR</w:t>
            </w:r>
          </w:p>
        </w:tc>
        <w:tc>
          <w:tcPr>
            <w:tcW w:w="960" w:type="dxa"/>
            <w:tcBorders>
              <w:top w:val="single" w:sz="8" w:space="0" w:color="9BBB59"/>
              <w:left w:val="nil"/>
              <w:bottom w:val="single" w:sz="8" w:space="0" w:color="9BBB59"/>
              <w:right w:val="nil"/>
            </w:tcBorders>
            <w:shd w:val="clear" w:color="auto" w:fill="auto"/>
            <w:vAlign w:val="center"/>
            <w:hideMark/>
          </w:tcPr>
          <w:p w:rsidR="00E74A2C" w:rsidRPr="00103553" w:rsidRDefault="00E74A2C" w:rsidP="0011748C">
            <w:pPr>
              <w:spacing w:after="0" w:line="240" w:lineRule="auto"/>
              <w:jc w:val="right"/>
              <w:rPr>
                <w:rFonts w:ascii="Arial Narrow" w:hAnsi="Arial Narrow"/>
                <w:color w:val="000000"/>
                <w:sz w:val="16"/>
                <w:szCs w:val="16"/>
                <w:lang w:eastAsia="sl-SI"/>
              </w:rPr>
            </w:pPr>
            <w:r w:rsidRPr="00103553">
              <w:rPr>
                <w:rFonts w:ascii="Arial Narrow" w:hAnsi="Arial Narrow"/>
                <w:color w:val="000000"/>
                <w:sz w:val="16"/>
                <w:szCs w:val="16"/>
                <w:lang w:eastAsia="sl-SI"/>
              </w:rPr>
              <w:t>EUR</w:t>
            </w:r>
          </w:p>
        </w:tc>
        <w:tc>
          <w:tcPr>
            <w:tcW w:w="960" w:type="dxa"/>
            <w:tcBorders>
              <w:top w:val="single" w:sz="8" w:space="0" w:color="9BBB59"/>
              <w:left w:val="nil"/>
              <w:bottom w:val="single" w:sz="8" w:space="0" w:color="9BBB59"/>
              <w:right w:val="nil"/>
            </w:tcBorders>
            <w:shd w:val="clear" w:color="auto" w:fill="auto"/>
            <w:vAlign w:val="center"/>
            <w:hideMark/>
          </w:tcPr>
          <w:p w:rsidR="00E74A2C" w:rsidRPr="00103553" w:rsidRDefault="00E74A2C" w:rsidP="0011748C">
            <w:pPr>
              <w:spacing w:after="0" w:line="240" w:lineRule="auto"/>
              <w:jc w:val="right"/>
              <w:rPr>
                <w:rFonts w:ascii="Arial Narrow" w:hAnsi="Arial Narrow"/>
                <w:color w:val="000000"/>
                <w:sz w:val="16"/>
                <w:szCs w:val="16"/>
                <w:lang w:eastAsia="sl-SI"/>
              </w:rPr>
            </w:pPr>
            <w:r w:rsidRPr="00103553">
              <w:rPr>
                <w:rFonts w:ascii="Arial Narrow" w:hAnsi="Arial Narrow"/>
                <w:color w:val="000000"/>
                <w:sz w:val="16"/>
                <w:szCs w:val="16"/>
                <w:lang w:eastAsia="sl-SI"/>
              </w:rPr>
              <w:t>EUR</w:t>
            </w:r>
          </w:p>
        </w:tc>
        <w:tc>
          <w:tcPr>
            <w:tcW w:w="960" w:type="dxa"/>
            <w:tcBorders>
              <w:top w:val="single" w:sz="8" w:space="0" w:color="9BBB59"/>
              <w:left w:val="nil"/>
              <w:bottom w:val="single" w:sz="8" w:space="0" w:color="9BBB59"/>
              <w:right w:val="nil"/>
            </w:tcBorders>
            <w:shd w:val="clear" w:color="auto" w:fill="auto"/>
            <w:vAlign w:val="center"/>
            <w:hideMark/>
          </w:tcPr>
          <w:p w:rsidR="00E74A2C" w:rsidRPr="00103553" w:rsidRDefault="00E74A2C" w:rsidP="0011748C">
            <w:pPr>
              <w:spacing w:after="0" w:line="240" w:lineRule="auto"/>
              <w:jc w:val="right"/>
              <w:rPr>
                <w:rFonts w:ascii="Arial Narrow" w:hAnsi="Arial Narrow"/>
                <w:color w:val="000000"/>
                <w:sz w:val="16"/>
                <w:szCs w:val="16"/>
                <w:lang w:eastAsia="sl-SI"/>
              </w:rPr>
            </w:pPr>
            <w:r w:rsidRPr="00103553">
              <w:rPr>
                <w:rFonts w:ascii="Arial Narrow" w:hAnsi="Arial Narrow"/>
                <w:color w:val="000000"/>
                <w:sz w:val="16"/>
                <w:szCs w:val="16"/>
                <w:lang w:eastAsia="sl-SI"/>
              </w:rPr>
              <w:t>EUR</w:t>
            </w:r>
          </w:p>
        </w:tc>
        <w:tc>
          <w:tcPr>
            <w:tcW w:w="960" w:type="dxa"/>
            <w:tcBorders>
              <w:top w:val="single" w:sz="8" w:space="0" w:color="9BBB59"/>
              <w:left w:val="nil"/>
              <w:bottom w:val="single" w:sz="8" w:space="0" w:color="9BBB59"/>
              <w:right w:val="nil"/>
            </w:tcBorders>
            <w:shd w:val="clear" w:color="auto" w:fill="auto"/>
            <w:vAlign w:val="center"/>
            <w:hideMark/>
          </w:tcPr>
          <w:p w:rsidR="00E74A2C" w:rsidRPr="00103553" w:rsidRDefault="00E74A2C" w:rsidP="0011748C">
            <w:pPr>
              <w:spacing w:after="0" w:line="240" w:lineRule="auto"/>
              <w:jc w:val="right"/>
              <w:rPr>
                <w:rFonts w:ascii="Arial Narrow" w:hAnsi="Arial Narrow"/>
                <w:color w:val="000000"/>
                <w:sz w:val="16"/>
                <w:szCs w:val="16"/>
                <w:lang w:eastAsia="sl-SI"/>
              </w:rPr>
            </w:pPr>
            <w:r w:rsidRPr="00103553">
              <w:rPr>
                <w:rFonts w:ascii="Arial Narrow" w:hAnsi="Arial Narrow"/>
                <w:color w:val="000000"/>
                <w:sz w:val="16"/>
                <w:szCs w:val="16"/>
                <w:lang w:eastAsia="sl-SI"/>
              </w:rPr>
              <w:t>EUR</w:t>
            </w:r>
          </w:p>
        </w:tc>
        <w:tc>
          <w:tcPr>
            <w:tcW w:w="960" w:type="dxa"/>
            <w:tcBorders>
              <w:top w:val="single" w:sz="8" w:space="0" w:color="9BBB59"/>
              <w:left w:val="nil"/>
              <w:bottom w:val="single" w:sz="8" w:space="0" w:color="9BBB59"/>
              <w:right w:val="single" w:sz="8" w:space="0" w:color="9BBB59"/>
            </w:tcBorders>
            <w:shd w:val="clear" w:color="auto" w:fill="auto"/>
            <w:vAlign w:val="center"/>
            <w:hideMark/>
          </w:tcPr>
          <w:p w:rsidR="00E74A2C" w:rsidRPr="00103553" w:rsidRDefault="00E74A2C" w:rsidP="0011748C">
            <w:pPr>
              <w:spacing w:after="0" w:line="240" w:lineRule="auto"/>
              <w:jc w:val="right"/>
              <w:rPr>
                <w:rFonts w:ascii="Arial Narrow" w:hAnsi="Arial Narrow"/>
                <w:color w:val="000000"/>
                <w:sz w:val="16"/>
                <w:szCs w:val="16"/>
                <w:lang w:eastAsia="sl-SI"/>
              </w:rPr>
            </w:pPr>
            <w:r w:rsidRPr="00103553">
              <w:rPr>
                <w:rFonts w:ascii="Arial Narrow" w:hAnsi="Arial Narrow"/>
                <w:color w:val="000000"/>
                <w:sz w:val="16"/>
                <w:szCs w:val="16"/>
                <w:lang w:eastAsia="sl-SI"/>
              </w:rPr>
              <w:t>EUR</w:t>
            </w:r>
          </w:p>
        </w:tc>
      </w:tr>
      <w:tr w:rsidR="00E74A2C" w:rsidRPr="000F654D" w:rsidTr="000A3183">
        <w:trPr>
          <w:trHeight w:val="102"/>
        </w:trPr>
        <w:tc>
          <w:tcPr>
            <w:tcW w:w="960" w:type="dxa"/>
            <w:tcBorders>
              <w:top w:val="nil"/>
              <w:left w:val="single" w:sz="8" w:space="0" w:color="9BBB59"/>
              <w:bottom w:val="nil"/>
              <w:right w:val="nil"/>
            </w:tcBorders>
            <w:shd w:val="clear" w:color="auto" w:fill="auto"/>
            <w:vAlign w:val="center"/>
            <w:hideMark/>
          </w:tcPr>
          <w:p w:rsidR="00E74A2C" w:rsidRPr="000F654D" w:rsidRDefault="00E74A2C" w:rsidP="0011748C">
            <w:pPr>
              <w:spacing w:after="0" w:line="240" w:lineRule="auto"/>
              <w:rPr>
                <w:rFonts w:ascii="Arial Narrow" w:hAnsi="Arial Narrow"/>
                <w:color w:val="000000"/>
                <w:sz w:val="16"/>
                <w:szCs w:val="16"/>
                <w:lang w:eastAsia="sl-SI"/>
              </w:rPr>
            </w:pPr>
            <w:r w:rsidRPr="000F654D">
              <w:rPr>
                <w:rFonts w:ascii="Arial Narrow" w:hAnsi="Arial Narrow"/>
                <w:color w:val="000000"/>
                <w:sz w:val="16"/>
                <w:szCs w:val="16"/>
                <w:lang w:eastAsia="sl-SI"/>
              </w:rPr>
              <w:t>Nepremična dediščina</w:t>
            </w:r>
          </w:p>
        </w:tc>
        <w:tc>
          <w:tcPr>
            <w:tcW w:w="960" w:type="dxa"/>
            <w:tcBorders>
              <w:top w:val="nil"/>
              <w:left w:val="nil"/>
              <w:bottom w:val="nil"/>
              <w:right w:val="nil"/>
            </w:tcBorders>
            <w:shd w:val="clear" w:color="auto" w:fill="auto"/>
            <w:vAlign w:val="center"/>
            <w:hideMark/>
          </w:tcPr>
          <w:p w:rsidR="00E74A2C" w:rsidRPr="000F654D" w:rsidRDefault="00E74A2C" w:rsidP="0011748C">
            <w:pPr>
              <w:spacing w:after="0" w:line="240" w:lineRule="auto"/>
              <w:jc w:val="right"/>
              <w:rPr>
                <w:rFonts w:ascii="Arial Narrow" w:hAnsi="Arial Narrow"/>
                <w:color w:val="000000"/>
                <w:sz w:val="16"/>
                <w:szCs w:val="16"/>
                <w:lang w:eastAsia="sl-SI"/>
              </w:rPr>
            </w:pPr>
            <w:r w:rsidRPr="000F654D">
              <w:rPr>
                <w:rFonts w:ascii="Arial Narrow" w:hAnsi="Arial Narrow"/>
                <w:color w:val="000000"/>
                <w:sz w:val="16"/>
                <w:szCs w:val="16"/>
                <w:lang w:eastAsia="sl-SI"/>
              </w:rPr>
              <w:t>11.716.958</w:t>
            </w:r>
          </w:p>
        </w:tc>
        <w:tc>
          <w:tcPr>
            <w:tcW w:w="960" w:type="dxa"/>
            <w:tcBorders>
              <w:top w:val="nil"/>
              <w:left w:val="nil"/>
              <w:bottom w:val="nil"/>
              <w:right w:val="nil"/>
            </w:tcBorders>
            <w:shd w:val="clear" w:color="auto" w:fill="auto"/>
            <w:vAlign w:val="center"/>
            <w:hideMark/>
          </w:tcPr>
          <w:p w:rsidR="00E74A2C" w:rsidRPr="000F654D" w:rsidRDefault="00E74A2C" w:rsidP="0011748C">
            <w:pPr>
              <w:spacing w:after="0" w:line="240" w:lineRule="auto"/>
              <w:jc w:val="right"/>
              <w:rPr>
                <w:rFonts w:ascii="Arial Narrow" w:hAnsi="Arial Narrow"/>
                <w:color w:val="000000"/>
                <w:sz w:val="16"/>
                <w:szCs w:val="16"/>
                <w:lang w:eastAsia="sl-SI"/>
              </w:rPr>
            </w:pPr>
            <w:r w:rsidRPr="000F654D">
              <w:rPr>
                <w:rFonts w:ascii="Arial Narrow" w:hAnsi="Arial Narrow"/>
                <w:color w:val="000000"/>
                <w:sz w:val="16"/>
                <w:szCs w:val="16"/>
                <w:lang w:eastAsia="sl-SI"/>
              </w:rPr>
              <w:t>14.050.328</w:t>
            </w:r>
          </w:p>
        </w:tc>
        <w:tc>
          <w:tcPr>
            <w:tcW w:w="960" w:type="dxa"/>
            <w:tcBorders>
              <w:top w:val="nil"/>
              <w:left w:val="nil"/>
              <w:bottom w:val="nil"/>
              <w:right w:val="nil"/>
            </w:tcBorders>
            <w:shd w:val="clear" w:color="auto" w:fill="auto"/>
            <w:vAlign w:val="center"/>
            <w:hideMark/>
          </w:tcPr>
          <w:p w:rsidR="00E74A2C" w:rsidRPr="000F654D" w:rsidRDefault="00E74A2C" w:rsidP="0011748C">
            <w:pPr>
              <w:spacing w:after="0" w:line="240" w:lineRule="auto"/>
              <w:jc w:val="right"/>
              <w:rPr>
                <w:rFonts w:ascii="Arial Narrow" w:hAnsi="Arial Narrow"/>
                <w:color w:val="000000"/>
                <w:sz w:val="16"/>
                <w:szCs w:val="16"/>
                <w:lang w:eastAsia="sl-SI"/>
              </w:rPr>
            </w:pPr>
            <w:r w:rsidRPr="000F654D">
              <w:rPr>
                <w:rFonts w:ascii="Arial Narrow" w:hAnsi="Arial Narrow"/>
                <w:color w:val="000000"/>
                <w:sz w:val="16"/>
                <w:szCs w:val="16"/>
                <w:lang w:eastAsia="sl-SI"/>
              </w:rPr>
              <w:t>9.789.176</w:t>
            </w:r>
          </w:p>
        </w:tc>
        <w:tc>
          <w:tcPr>
            <w:tcW w:w="960" w:type="dxa"/>
            <w:tcBorders>
              <w:top w:val="nil"/>
              <w:left w:val="nil"/>
              <w:bottom w:val="nil"/>
              <w:right w:val="nil"/>
            </w:tcBorders>
            <w:shd w:val="clear" w:color="auto" w:fill="auto"/>
            <w:vAlign w:val="center"/>
            <w:hideMark/>
          </w:tcPr>
          <w:p w:rsidR="00E74A2C" w:rsidRPr="000F654D" w:rsidRDefault="00E74A2C" w:rsidP="0011748C">
            <w:pPr>
              <w:spacing w:after="0" w:line="240" w:lineRule="auto"/>
              <w:jc w:val="right"/>
              <w:rPr>
                <w:rFonts w:ascii="Arial Narrow" w:hAnsi="Arial Narrow"/>
                <w:color w:val="000000"/>
                <w:sz w:val="16"/>
                <w:szCs w:val="16"/>
                <w:lang w:eastAsia="sl-SI"/>
              </w:rPr>
            </w:pPr>
            <w:r w:rsidRPr="000F654D">
              <w:rPr>
                <w:rFonts w:ascii="Arial Narrow" w:hAnsi="Arial Narrow"/>
                <w:color w:val="000000"/>
                <w:sz w:val="16"/>
                <w:szCs w:val="16"/>
                <w:lang w:eastAsia="sl-SI"/>
              </w:rPr>
              <w:t>12.214.591</w:t>
            </w:r>
          </w:p>
        </w:tc>
        <w:tc>
          <w:tcPr>
            <w:tcW w:w="960" w:type="dxa"/>
            <w:tcBorders>
              <w:top w:val="nil"/>
              <w:left w:val="nil"/>
              <w:bottom w:val="nil"/>
              <w:right w:val="nil"/>
            </w:tcBorders>
            <w:shd w:val="clear" w:color="auto" w:fill="auto"/>
            <w:vAlign w:val="center"/>
            <w:hideMark/>
          </w:tcPr>
          <w:p w:rsidR="00E74A2C" w:rsidRPr="000F654D" w:rsidRDefault="00E74A2C" w:rsidP="0011748C">
            <w:pPr>
              <w:spacing w:after="0" w:line="240" w:lineRule="auto"/>
              <w:jc w:val="right"/>
              <w:rPr>
                <w:rFonts w:ascii="Arial Narrow" w:hAnsi="Arial Narrow"/>
                <w:color w:val="000000"/>
                <w:sz w:val="16"/>
                <w:szCs w:val="16"/>
                <w:lang w:eastAsia="sl-SI"/>
              </w:rPr>
            </w:pPr>
            <w:r w:rsidRPr="000F654D">
              <w:rPr>
                <w:rFonts w:ascii="Arial Narrow" w:hAnsi="Arial Narrow"/>
                <w:color w:val="000000"/>
                <w:sz w:val="16"/>
                <w:szCs w:val="16"/>
                <w:lang w:eastAsia="sl-SI"/>
              </w:rPr>
              <w:t>11.404.337</w:t>
            </w:r>
          </w:p>
        </w:tc>
        <w:tc>
          <w:tcPr>
            <w:tcW w:w="960" w:type="dxa"/>
            <w:tcBorders>
              <w:top w:val="nil"/>
              <w:left w:val="nil"/>
              <w:bottom w:val="nil"/>
              <w:right w:val="nil"/>
            </w:tcBorders>
            <w:shd w:val="clear" w:color="auto" w:fill="auto"/>
            <w:vAlign w:val="center"/>
            <w:hideMark/>
          </w:tcPr>
          <w:p w:rsidR="00E74A2C" w:rsidRPr="000F654D" w:rsidRDefault="00E74A2C" w:rsidP="0011748C">
            <w:pPr>
              <w:spacing w:after="0" w:line="240" w:lineRule="auto"/>
              <w:jc w:val="right"/>
              <w:rPr>
                <w:rFonts w:ascii="Arial Narrow" w:hAnsi="Arial Narrow"/>
                <w:color w:val="000000"/>
                <w:sz w:val="16"/>
                <w:szCs w:val="16"/>
                <w:lang w:eastAsia="sl-SI"/>
              </w:rPr>
            </w:pPr>
            <w:r w:rsidRPr="000F654D">
              <w:rPr>
                <w:rFonts w:ascii="Arial Narrow" w:hAnsi="Arial Narrow"/>
                <w:color w:val="000000"/>
                <w:sz w:val="16"/>
                <w:szCs w:val="16"/>
                <w:lang w:eastAsia="sl-SI"/>
              </w:rPr>
              <w:t>11.920.827</w:t>
            </w:r>
          </w:p>
        </w:tc>
        <w:tc>
          <w:tcPr>
            <w:tcW w:w="960" w:type="dxa"/>
            <w:tcBorders>
              <w:top w:val="nil"/>
              <w:left w:val="nil"/>
              <w:bottom w:val="nil"/>
              <w:right w:val="nil"/>
            </w:tcBorders>
            <w:shd w:val="clear" w:color="auto" w:fill="auto"/>
            <w:vAlign w:val="center"/>
            <w:hideMark/>
          </w:tcPr>
          <w:p w:rsidR="00E74A2C" w:rsidRPr="000F654D" w:rsidRDefault="00E74A2C" w:rsidP="0011748C">
            <w:pPr>
              <w:spacing w:after="0" w:line="240" w:lineRule="auto"/>
              <w:jc w:val="right"/>
              <w:rPr>
                <w:rFonts w:ascii="Arial Narrow" w:hAnsi="Arial Narrow"/>
                <w:color w:val="000000"/>
                <w:sz w:val="16"/>
                <w:szCs w:val="16"/>
                <w:lang w:eastAsia="sl-SI"/>
              </w:rPr>
            </w:pPr>
            <w:r w:rsidRPr="000F654D">
              <w:rPr>
                <w:rFonts w:ascii="Arial Narrow" w:hAnsi="Arial Narrow"/>
                <w:color w:val="000000"/>
                <w:sz w:val="16"/>
                <w:szCs w:val="16"/>
                <w:lang w:eastAsia="sl-SI"/>
              </w:rPr>
              <w:t>11.579.411</w:t>
            </w:r>
          </w:p>
        </w:tc>
        <w:tc>
          <w:tcPr>
            <w:tcW w:w="960" w:type="dxa"/>
            <w:tcBorders>
              <w:top w:val="nil"/>
              <w:left w:val="nil"/>
              <w:bottom w:val="nil"/>
              <w:right w:val="single" w:sz="8" w:space="0" w:color="9BBB59"/>
            </w:tcBorders>
            <w:shd w:val="clear" w:color="auto" w:fill="auto"/>
            <w:vAlign w:val="center"/>
            <w:hideMark/>
          </w:tcPr>
          <w:p w:rsidR="00E74A2C" w:rsidRPr="000F654D" w:rsidRDefault="00E74A2C" w:rsidP="0011748C">
            <w:pPr>
              <w:spacing w:after="0" w:line="240" w:lineRule="auto"/>
              <w:jc w:val="right"/>
              <w:rPr>
                <w:rFonts w:ascii="Arial Narrow" w:hAnsi="Arial Narrow"/>
                <w:color w:val="000000"/>
                <w:sz w:val="16"/>
                <w:szCs w:val="16"/>
                <w:lang w:eastAsia="sl-SI"/>
              </w:rPr>
            </w:pPr>
            <w:r w:rsidRPr="000F654D">
              <w:rPr>
                <w:rFonts w:ascii="Arial Narrow" w:hAnsi="Arial Narrow"/>
                <w:color w:val="000000"/>
                <w:sz w:val="16"/>
                <w:szCs w:val="16"/>
                <w:lang w:eastAsia="sl-SI"/>
              </w:rPr>
              <w:t>9.391.506</w:t>
            </w:r>
          </w:p>
        </w:tc>
      </w:tr>
      <w:tr w:rsidR="00E74A2C" w:rsidRPr="000F654D" w:rsidTr="000A3183">
        <w:trPr>
          <w:trHeight w:val="102"/>
        </w:trPr>
        <w:tc>
          <w:tcPr>
            <w:tcW w:w="960" w:type="dxa"/>
            <w:tcBorders>
              <w:top w:val="single" w:sz="8" w:space="0" w:color="9BBB59"/>
              <w:left w:val="single" w:sz="8" w:space="0" w:color="9BBB59"/>
              <w:bottom w:val="single" w:sz="8" w:space="0" w:color="9BBB59"/>
              <w:right w:val="nil"/>
            </w:tcBorders>
            <w:shd w:val="clear" w:color="auto" w:fill="auto"/>
            <w:vAlign w:val="center"/>
            <w:hideMark/>
          </w:tcPr>
          <w:p w:rsidR="00E74A2C" w:rsidRPr="000F654D" w:rsidRDefault="00E74A2C" w:rsidP="0011748C">
            <w:pPr>
              <w:spacing w:after="0" w:line="240" w:lineRule="auto"/>
              <w:rPr>
                <w:rFonts w:ascii="Arial Narrow" w:hAnsi="Arial Narrow"/>
                <w:color w:val="000000"/>
                <w:sz w:val="16"/>
                <w:szCs w:val="16"/>
                <w:lang w:eastAsia="sl-SI"/>
              </w:rPr>
            </w:pPr>
            <w:r w:rsidRPr="000F654D">
              <w:rPr>
                <w:rFonts w:ascii="Arial Narrow" w:hAnsi="Arial Narrow"/>
                <w:color w:val="000000"/>
                <w:sz w:val="16"/>
                <w:szCs w:val="16"/>
                <w:lang w:eastAsia="sl-SI"/>
              </w:rPr>
              <w:t>Muzeji, galerije, Kinoteka</w:t>
            </w:r>
          </w:p>
        </w:tc>
        <w:tc>
          <w:tcPr>
            <w:tcW w:w="960" w:type="dxa"/>
            <w:tcBorders>
              <w:top w:val="single" w:sz="8" w:space="0" w:color="9BBB59"/>
              <w:left w:val="nil"/>
              <w:bottom w:val="single" w:sz="8" w:space="0" w:color="9BBB59"/>
              <w:right w:val="nil"/>
            </w:tcBorders>
            <w:shd w:val="clear" w:color="auto" w:fill="auto"/>
            <w:vAlign w:val="center"/>
            <w:hideMark/>
          </w:tcPr>
          <w:p w:rsidR="00E74A2C" w:rsidRPr="000F654D" w:rsidRDefault="00E74A2C" w:rsidP="0011748C">
            <w:pPr>
              <w:spacing w:after="0" w:line="240" w:lineRule="auto"/>
              <w:jc w:val="right"/>
              <w:rPr>
                <w:rFonts w:ascii="Arial Narrow" w:hAnsi="Arial Narrow"/>
                <w:color w:val="000000"/>
                <w:sz w:val="16"/>
                <w:szCs w:val="16"/>
                <w:lang w:eastAsia="sl-SI"/>
              </w:rPr>
            </w:pPr>
            <w:r w:rsidRPr="000F654D">
              <w:rPr>
                <w:rFonts w:ascii="Arial Narrow" w:hAnsi="Arial Narrow"/>
                <w:color w:val="000000"/>
                <w:sz w:val="16"/>
                <w:szCs w:val="16"/>
                <w:lang w:eastAsia="sl-SI"/>
              </w:rPr>
              <w:t>29.521.236</w:t>
            </w:r>
          </w:p>
        </w:tc>
        <w:tc>
          <w:tcPr>
            <w:tcW w:w="960" w:type="dxa"/>
            <w:tcBorders>
              <w:top w:val="single" w:sz="8" w:space="0" w:color="9BBB59"/>
              <w:left w:val="nil"/>
              <w:bottom w:val="single" w:sz="8" w:space="0" w:color="9BBB59"/>
              <w:right w:val="nil"/>
            </w:tcBorders>
            <w:shd w:val="clear" w:color="auto" w:fill="auto"/>
            <w:vAlign w:val="center"/>
            <w:hideMark/>
          </w:tcPr>
          <w:p w:rsidR="00E74A2C" w:rsidRPr="000F654D" w:rsidRDefault="00E74A2C" w:rsidP="0011748C">
            <w:pPr>
              <w:spacing w:after="0" w:line="240" w:lineRule="auto"/>
              <w:jc w:val="right"/>
              <w:rPr>
                <w:rFonts w:ascii="Arial Narrow" w:hAnsi="Arial Narrow"/>
                <w:color w:val="000000"/>
                <w:sz w:val="16"/>
                <w:szCs w:val="16"/>
                <w:lang w:eastAsia="sl-SI"/>
              </w:rPr>
            </w:pPr>
            <w:r w:rsidRPr="000F654D">
              <w:rPr>
                <w:rFonts w:ascii="Arial Narrow" w:hAnsi="Arial Narrow"/>
                <w:color w:val="000000"/>
                <w:sz w:val="16"/>
                <w:szCs w:val="16"/>
                <w:lang w:eastAsia="sl-SI"/>
              </w:rPr>
              <w:t>30.882.505</w:t>
            </w:r>
          </w:p>
        </w:tc>
        <w:tc>
          <w:tcPr>
            <w:tcW w:w="960" w:type="dxa"/>
            <w:tcBorders>
              <w:top w:val="single" w:sz="8" w:space="0" w:color="9BBB59"/>
              <w:left w:val="nil"/>
              <w:bottom w:val="single" w:sz="8" w:space="0" w:color="9BBB59"/>
              <w:right w:val="nil"/>
            </w:tcBorders>
            <w:shd w:val="clear" w:color="auto" w:fill="auto"/>
            <w:vAlign w:val="center"/>
            <w:hideMark/>
          </w:tcPr>
          <w:p w:rsidR="00E74A2C" w:rsidRPr="000F654D" w:rsidRDefault="00E74A2C" w:rsidP="0011748C">
            <w:pPr>
              <w:spacing w:after="0" w:line="240" w:lineRule="auto"/>
              <w:jc w:val="right"/>
              <w:rPr>
                <w:rFonts w:ascii="Arial Narrow" w:hAnsi="Arial Narrow"/>
                <w:color w:val="000000"/>
                <w:sz w:val="16"/>
                <w:szCs w:val="16"/>
                <w:lang w:eastAsia="sl-SI"/>
              </w:rPr>
            </w:pPr>
            <w:r w:rsidRPr="000F654D">
              <w:rPr>
                <w:rFonts w:ascii="Arial Narrow" w:hAnsi="Arial Narrow"/>
                <w:color w:val="000000"/>
                <w:sz w:val="16"/>
                <w:szCs w:val="16"/>
                <w:lang w:eastAsia="sl-SI"/>
              </w:rPr>
              <w:t>29.329.209</w:t>
            </w:r>
          </w:p>
        </w:tc>
        <w:tc>
          <w:tcPr>
            <w:tcW w:w="960" w:type="dxa"/>
            <w:tcBorders>
              <w:top w:val="single" w:sz="8" w:space="0" w:color="9BBB59"/>
              <w:left w:val="nil"/>
              <w:bottom w:val="single" w:sz="8" w:space="0" w:color="9BBB59"/>
              <w:right w:val="nil"/>
            </w:tcBorders>
            <w:shd w:val="clear" w:color="auto" w:fill="auto"/>
            <w:vAlign w:val="center"/>
            <w:hideMark/>
          </w:tcPr>
          <w:p w:rsidR="00E74A2C" w:rsidRPr="000F654D" w:rsidRDefault="00E74A2C" w:rsidP="0011748C">
            <w:pPr>
              <w:spacing w:after="0" w:line="240" w:lineRule="auto"/>
              <w:jc w:val="right"/>
              <w:rPr>
                <w:rFonts w:ascii="Arial Narrow" w:hAnsi="Arial Narrow"/>
                <w:color w:val="000000"/>
                <w:sz w:val="16"/>
                <w:szCs w:val="16"/>
                <w:lang w:eastAsia="sl-SI"/>
              </w:rPr>
            </w:pPr>
            <w:r w:rsidRPr="000F654D">
              <w:rPr>
                <w:rFonts w:ascii="Arial Narrow" w:hAnsi="Arial Narrow"/>
                <w:color w:val="000000"/>
                <w:sz w:val="16"/>
                <w:szCs w:val="16"/>
                <w:lang w:eastAsia="sl-SI"/>
              </w:rPr>
              <w:t>30.175.391</w:t>
            </w:r>
          </w:p>
        </w:tc>
        <w:tc>
          <w:tcPr>
            <w:tcW w:w="960" w:type="dxa"/>
            <w:tcBorders>
              <w:top w:val="single" w:sz="8" w:space="0" w:color="9BBB59"/>
              <w:left w:val="nil"/>
              <w:bottom w:val="single" w:sz="8" w:space="0" w:color="9BBB59"/>
              <w:right w:val="nil"/>
            </w:tcBorders>
            <w:shd w:val="clear" w:color="auto" w:fill="auto"/>
            <w:vAlign w:val="center"/>
            <w:hideMark/>
          </w:tcPr>
          <w:p w:rsidR="00E74A2C" w:rsidRPr="000F654D" w:rsidRDefault="00E74A2C" w:rsidP="0011748C">
            <w:pPr>
              <w:spacing w:after="0" w:line="240" w:lineRule="auto"/>
              <w:jc w:val="right"/>
              <w:rPr>
                <w:rFonts w:ascii="Arial Narrow" w:hAnsi="Arial Narrow"/>
                <w:color w:val="000000"/>
                <w:sz w:val="16"/>
                <w:szCs w:val="16"/>
                <w:lang w:eastAsia="sl-SI"/>
              </w:rPr>
            </w:pPr>
            <w:r w:rsidRPr="000F654D">
              <w:rPr>
                <w:rFonts w:ascii="Arial Narrow" w:hAnsi="Arial Narrow"/>
                <w:color w:val="000000"/>
                <w:sz w:val="16"/>
                <w:szCs w:val="16"/>
                <w:lang w:eastAsia="sl-SI"/>
              </w:rPr>
              <w:t>28.596.768</w:t>
            </w:r>
          </w:p>
        </w:tc>
        <w:tc>
          <w:tcPr>
            <w:tcW w:w="960" w:type="dxa"/>
            <w:tcBorders>
              <w:top w:val="single" w:sz="8" w:space="0" w:color="9BBB59"/>
              <w:left w:val="nil"/>
              <w:bottom w:val="single" w:sz="8" w:space="0" w:color="9BBB59"/>
              <w:right w:val="nil"/>
            </w:tcBorders>
            <w:shd w:val="clear" w:color="auto" w:fill="auto"/>
            <w:vAlign w:val="center"/>
            <w:hideMark/>
          </w:tcPr>
          <w:p w:rsidR="00E74A2C" w:rsidRPr="000F654D" w:rsidRDefault="00E74A2C" w:rsidP="0011748C">
            <w:pPr>
              <w:spacing w:after="0" w:line="240" w:lineRule="auto"/>
              <w:jc w:val="right"/>
              <w:rPr>
                <w:rFonts w:ascii="Arial Narrow" w:hAnsi="Arial Narrow"/>
                <w:color w:val="000000"/>
                <w:sz w:val="16"/>
                <w:szCs w:val="16"/>
                <w:lang w:eastAsia="sl-SI"/>
              </w:rPr>
            </w:pPr>
            <w:r w:rsidRPr="000F654D">
              <w:rPr>
                <w:rFonts w:ascii="Arial Narrow" w:hAnsi="Arial Narrow"/>
                <w:color w:val="000000"/>
                <w:sz w:val="16"/>
                <w:szCs w:val="16"/>
                <w:lang w:eastAsia="sl-SI"/>
              </w:rPr>
              <w:t>28.219.862</w:t>
            </w:r>
          </w:p>
        </w:tc>
        <w:tc>
          <w:tcPr>
            <w:tcW w:w="960" w:type="dxa"/>
            <w:tcBorders>
              <w:top w:val="single" w:sz="8" w:space="0" w:color="9BBB59"/>
              <w:left w:val="nil"/>
              <w:bottom w:val="single" w:sz="8" w:space="0" w:color="9BBB59"/>
              <w:right w:val="nil"/>
            </w:tcBorders>
            <w:shd w:val="clear" w:color="auto" w:fill="auto"/>
            <w:vAlign w:val="center"/>
            <w:hideMark/>
          </w:tcPr>
          <w:p w:rsidR="00E74A2C" w:rsidRPr="000F654D" w:rsidRDefault="00E74A2C" w:rsidP="0011748C">
            <w:pPr>
              <w:spacing w:after="0" w:line="240" w:lineRule="auto"/>
              <w:jc w:val="right"/>
              <w:rPr>
                <w:rFonts w:ascii="Arial Narrow" w:hAnsi="Arial Narrow"/>
                <w:color w:val="000000"/>
                <w:sz w:val="16"/>
                <w:szCs w:val="16"/>
                <w:lang w:eastAsia="sl-SI"/>
              </w:rPr>
            </w:pPr>
            <w:r w:rsidRPr="000F654D">
              <w:rPr>
                <w:rFonts w:ascii="Arial Narrow" w:hAnsi="Arial Narrow"/>
                <w:color w:val="000000"/>
                <w:sz w:val="16"/>
                <w:szCs w:val="16"/>
                <w:lang w:eastAsia="sl-SI"/>
              </w:rPr>
              <w:t>26.876.079</w:t>
            </w:r>
          </w:p>
        </w:tc>
        <w:tc>
          <w:tcPr>
            <w:tcW w:w="960" w:type="dxa"/>
            <w:tcBorders>
              <w:top w:val="single" w:sz="8" w:space="0" w:color="9BBB59"/>
              <w:left w:val="nil"/>
              <w:bottom w:val="single" w:sz="8" w:space="0" w:color="9BBB59"/>
              <w:right w:val="single" w:sz="8" w:space="0" w:color="9BBB59"/>
            </w:tcBorders>
            <w:shd w:val="clear" w:color="auto" w:fill="auto"/>
            <w:vAlign w:val="center"/>
            <w:hideMark/>
          </w:tcPr>
          <w:p w:rsidR="00E74A2C" w:rsidRPr="000F654D" w:rsidRDefault="00E74A2C" w:rsidP="0011748C">
            <w:pPr>
              <w:spacing w:after="0" w:line="240" w:lineRule="auto"/>
              <w:jc w:val="right"/>
              <w:rPr>
                <w:rFonts w:ascii="Arial Narrow" w:hAnsi="Arial Narrow"/>
                <w:color w:val="000000"/>
                <w:sz w:val="16"/>
                <w:szCs w:val="16"/>
                <w:lang w:eastAsia="sl-SI"/>
              </w:rPr>
            </w:pPr>
            <w:r w:rsidRPr="000F654D">
              <w:rPr>
                <w:rFonts w:ascii="Arial Narrow" w:hAnsi="Arial Narrow"/>
                <w:color w:val="000000"/>
                <w:sz w:val="16"/>
                <w:szCs w:val="16"/>
                <w:lang w:eastAsia="sl-SI"/>
              </w:rPr>
              <w:t>26.464.989</w:t>
            </w:r>
          </w:p>
        </w:tc>
      </w:tr>
      <w:tr w:rsidR="00E74A2C" w:rsidRPr="000F654D" w:rsidTr="000A3183">
        <w:trPr>
          <w:trHeight w:val="102"/>
        </w:trPr>
        <w:tc>
          <w:tcPr>
            <w:tcW w:w="960" w:type="dxa"/>
            <w:tcBorders>
              <w:top w:val="nil"/>
              <w:left w:val="single" w:sz="8" w:space="0" w:color="9BBB59"/>
              <w:bottom w:val="nil"/>
              <w:right w:val="nil"/>
            </w:tcBorders>
            <w:shd w:val="clear" w:color="auto" w:fill="auto"/>
            <w:vAlign w:val="center"/>
            <w:hideMark/>
          </w:tcPr>
          <w:p w:rsidR="00E74A2C" w:rsidRPr="000F654D" w:rsidRDefault="00E74A2C" w:rsidP="0011748C">
            <w:pPr>
              <w:spacing w:after="0" w:line="240" w:lineRule="auto"/>
              <w:rPr>
                <w:rFonts w:ascii="Arial Narrow" w:hAnsi="Arial Narrow"/>
                <w:color w:val="000000"/>
                <w:sz w:val="16"/>
                <w:szCs w:val="16"/>
                <w:lang w:eastAsia="sl-SI"/>
              </w:rPr>
            </w:pPr>
            <w:r w:rsidRPr="000F654D">
              <w:rPr>
                <w:rFonts w:ascii="Arial Narrow" w:hAnsi="Arial Narrow"/>
                <w:color w:val="000000"/>
                <w:sz w:val="16"/>
                <w:szCs w:val="16"/>
                <w:lang w:eastAsia="sl-SI"/>
              </w:rPr>
              <w:t>Arhivi</w:t>
            </w:r>
          </w:p>
        </w:tc>
        <w:tc>
          <w:tcPr>
            <w:tcW w:w="960" w:type="dxa"/>
            <w:tcBorders>
              <w:top w:val="nil"/>
              <w:left w:val="nil"/>
              <w:bottom w:val="nil"/>
              <w:right w:val="nil"/>
            </w:tcBorders>
            <w:shd w:val="clear" w:color="auto" w:fill="auto"/>
            <w:vAlign w:val="center"/>
            <w:hideMark/>
          </w:tcPr>
          <w:p w:rsidR="00E74A2C" w:rsidRPr="000F654D" w:rsidRDefault="00E74A2C" w:rsidP="0011748C">
            <w:pPr>
              <w:spacing w:after="0" w:line="240" w:lineRule="auto"/>
              <w:jc w:val="right"/>
              <w:rPr>
                <w:rFonts w:ascii="Arial Narrow" w:hAnsi="Arial Narrow"/>
                <w:color w:val="000000"/>
                <w:sz w:val="16"/>
                <w:szCs w:val="16"/>
                <w:lang w:eastAsia="sl-SI"/>
              </w:rPr>
            </w:pPr>
            <w:r w:rsidRPr="000F654D">
              <w:rPr>
                <w:rFonts w:ascii="Arial Narrow" w:hAnsi="Arial Narrow"/>
                <w:color w:val="000000"/>
                <w:sz w:val="16"/>
                <w:szCs w:val="16"/>
                <w:lang w:eastAsia="sl-SI"/>
              </w:rPr>
              <w:t>4.546.990</w:t>
            </w:r>
          </w:p>
        </w:tc>
        <w:tc>
          <w:tcPr>
            <w:tcW w:w="960" w:type="dxa"/>
            <w:tcBorders>
              <w:top w:val="nil"/>
              <w:left w:val="nil"/>
              <w:bottom w:val="nil"/>
              <w:right w:val="nil"/>
            </w:tcBorders>
            <w:shd w:val="clear" w:color="auto" w:fill="auto"/>
            <w:vAlign w:val="center"/>
            <w:hideMark/>
          </w:tcPr>
          <w:p w:rsidR="00E74A2C" w:rsidRPr="000F654D" w:rsidRDefault="00E74A2C" w:rsidP="0011748C">
            <w:pPr>
              <w:spacing w:after="0" w:line="240" w:lineRule="auto"/>
              <w:jc w:val="right"/>
              <w:rPr>
                <w:rFonts w:ascii="Arial Narrow" w:hAnsi="Arial Narrow"/>
                <w:color w:val="000000"/>
                <w:sz w:val="16"/>
                <w:szCs w:val="16"/>
                <w:lang w:eastAsia="sl-SI"/>
              </w:rPr>
            </w:pPr>
            <w:r w:rsidRPr="000F654D">
              <w:rPr>
                <w:rFonts w:ascii="Arial Narrow" w:hAnsi="Arial Narrow"/>
                <w:color w:val="000000"/>
                <w:sz w:val="16"/>
                <w:szCs w:val="16"/>
                <w:lang w:eastAsia="sl-SI"/>
              </w:rPr>
              <w:t>4.529.909</w:t>
            </w:r>
          </w:p>
        </w:tc>
        <w:tc>
          <w:tcPr>
            <w:tcW w:w="960" w:type="dxa"/>
            <w:tcBorders>
              <w:top w:val="nil"/>
              <w:left w:val="nil"/>
              <w:bottom w:val="nil"/>
              <w:right w:val="nil"/>
            </w:tcBorders>
            <w:shd w:val="clear" w:color="auto" w:fill="auto"/>
            <w:vAlign w:val="center"/>
            <w:hideMark/>
          </w:tcPr>
          <w:p w:rsidR="00E74A2C" w:rsidRPr="000F654D" w:rsidRDefault="00E74A2C" w:rsidP="0011748C">
            <w:pPr>
              <w:spacing w:after="0" w:line="240" w:lineRule="auto"/>
              <w:jc w:val="right"/>
              <w:rPr>
                <w:rFonts w:ascii="Arial Narrow" w:hAnsi="Arial Narrow"/>
                <w:color w:val="000000"/>
                <w:sz w:val="16"/>
                <w:szCs w:val="16"/>
                <w:lang w:eastAsia="sl-SI"/>
              </w:rPr>
            </w:pPr>
            <w:r w:rsidRPr="000F654D">
              <w:rPr>
                <w:rFonts w:ascii="Arial Narrow" w:hAnsi="Arial Narrow"/>
                <w:color w:val="000000"/>
                <w:sz w:val="16"/>
                <w:szCs w:val="16"/>
                <w:lang w:eastAsia="sl-SI"/>
              </w:rPr>
              <w:t>4.301.705</w:t>
            </w:r>
          </w:p>
        </w:tc>
        <w:tc>
          <w:tcPr>
            <w:tcW w:w="960" w:type="dxa"/>
            <w:tcBorders>
              <w:top w:val="nil"/>
              <w:left w:val="nil"/>
              <w:bottom w:val="nil"/>
              <w:right w:val="nil"/>
            </w:tcBorders>
            <w:shd w:val="clear" w:color="auto" w:fill="auto"/>
            <w:vAlign w:val="center"/>
            <w:hideMark/>
          </w:tcPr>
          <w:p w:rsidR="00E74A2C" w:rsidRPr="000F654D" w:rsidRDefault="00E74A2C" w:rsidP="0011748C">
            <w:pPr>
              <w:spacing w:after="0" w:line="240" w:lineRule="auto"/>
              <w:jc w:val="right"/>
              <w:rPr>
                <w:rFonts w:ascii="Arial Narrow" w:hAnsi="Arial Narrow"/>
                <w:color w:val="000000"/>
                <w:sz w:val="16"/>
                <w:szCs w:val="16"/>
                <w:lang w:eastAsia="sl-SI"/>
              </w:rPr>
            </w:pPr>
            <w:r w:rsidRPr="000F654D">
              <w:rPr>
                <w:rFonts w:ascii="Arial Narrow" w:hAnsi="Arial Narrow"/>
                <w:color w:val="000000"/>
                <w:sz w:val="16"/>
                <w:szCs w:val="16"/>
                <w:lang w:eastAsia="sl-SI"/>
              </w:rPr>
              <w:t>4.283.075</w:t>
            </w:r>
          </w:p>
        </w:tc>
        <w:tc>
          <w:tcPr>
            <w:tcW w:w="960" w:type="dxa"/>
            <w:tcBorders>
              <w:top w:val="nil"/>
              <w:left w:val="nil"/>
              <w:bottom w:val="nil"/>
              <w:right w:val="nil"/>
            </w:tcBorders>
            <w:shd w:val="clear" w:color="auto" w:fill="auto"/>
            <w:vAlign w:val="center"/>
            <w:hideMark/>
          </w:tcPr>
          <w:p w:rsidR="00E74A2C" w:rsidRPr="000F654D" w:rsidRDefault="00E74A2C" w:rsidP="0011748C">
            <w:pPr>
              <w:spacing w:after="0" w:line="240" w:lineRule="auto"/>
              <w:jc w:val="right"/>
              <w:rPr>
                <w:rFonts w:ascii="Arial Narrow" w:hAnsi="Arial Narrow"/>
                <w:color w:val="000000"/>
                <w:sz w:val="16"/>
                <w:szCs w:val="16"/>
                <w:lang w:eastAsia="sl-SI"/>
              </w:rPr>
            </w:pPr>
            <w:r w:rsidRPr="000F654D">
              <w:rPr>
                <w:rFonts w:ascii="Arial Narrow" w:hAnsi="Arial Narrow"/>
                <w:color w:val="000000"/>
                <w:sz w:val="16"/>
                <w:szCs w:val="16"/>
                <w:lang w:eastAsia="sl-SI"/>
              </w:rPr>
              <w:t>4.162.293</w:t>
            </w:r>
          </w:p>
        </w:tc>
        <w:tc>
          <w:tcPr>
            <w:tcW w:w="960" w:type="dxa"/>
            <w:tcBorders>
              <w:top w:val="nil"/>
              <w:left w:val="nil"/>
              <w:bottom w:val="nil"/>
              <w:right w:val="nil"/>
            </w:tcBorders>
            <w:shd w:val="clear" w:color="auto" w:fill="auto"/>
            <w:vAlign w:val="center"/>
            <w:hideMark/>
          </w:tcPr>
          <w:p w:rsidR="00E74A2C" w:rsidRPr="000F654D" w:rsidRDefault="00E74A2C" w:rsidP="0011748C">
            <w:pPr>
              <w:spacing w:after="0" w:line="240" w:lineRule="auto"/>
              <w:jc w:val="right"/>
              <w:rPr>
                <w:rFonts w:ascii="Arial Narrow" w:hAnsi="Arial Narrow"/>
                <w:color w:val="000000"/>
                <w:sz w:val="16"/>
                <w:szCs w:val="16"/>
                <w:lang w:eastAsia="sl-SI"/>
              </w:rPr>
            </w:pPr>
            <w:r w:rsidRPr="000F654D">
              <w:rPr>
                <w:rFonts w:ascii="Arial Narrow" w:hAnsi="Arial Narrow"/>
                <w:color w:val="000000"/>
                <w:sz w:val="16"/>
                <w:szCs w:val="16"/>
                <w:lang w:eastAsia="sl-SI"/>
              </w:rPr>
              <w:t>4.087.821</w:t>
            </w:r>
          </w:p>
        </w:tc>
        <w:tc>
          <w:tcPr>
            <w:tcW w:w="960" w:type="dxa"/>
            <w:tcBorders>
              <w:top w:val="nil"/>
              <w:left w:val="nil"/>
              <w:bottom w:val="nil"/>
              <w:right w:val="nil"/>
            </w:tcBorders>
            <w:shd w:val="clear" w:color="auto" w:fill="auto"/>
            <w:vAlign w:val="center"/>
            <w:hideMark/>
          </w:tcPr>
          <w:p w:rsidR="00E74A2C" w:rsidRPr="000F654D" w:rsidRDefault="00E74A2C" w:rsidP="0011748C">
            <w:pPr>
              <w:spacing w:after="0" w:line="240" w:lineRule="auto"/>
              <w:jc w:val="right"/>
              <w:rPr>
                <w:rFonts w:ascii="Arial Narrow" w:hAnsi="Arial Narrow"/>
                <w:color w:val="000000"/>
                <w:sz w:val="16"/>
                <w:szCs w:val="16"/>
                <w:lang w:eastAsia="sl-SI"/>
              </w:rPr>
            </w:pPr>
            <w:r w:rsidRPr="000F654D">
              <w:rPr>
                <w:rFonts w:ascii="Arial Narrow" w:hAnsi="Arial Narrow"/>
                <w:color w:val="000000"/>
                <w:sz w:val="16"/>
                <w:szCs w:val="16"/>
                <w:lang w:eastAsia="sl-SI"/>
              </w:rPr>
              <w:t>3.844.048</w:t>
            </w:r>
          </w:p>
        </w:tc>
        <w:tc>
          <w:tcPr>
            <w:tcW w:w="960" w:type="dxa"/>
            <w:tcBorders>
              <w:top w:val="nil"/>
              <w:left w:val="nil"/>
              <w:bottom w:val="nil"/>
              <w:right w:val="single" w:sz="8" w:space="0" w:color="9BBB59"/>
            </w:tcBorders>
            <w:shd w:val="clear" w:color="auto" w:fill="auto"/>
            <w:vAlign w:val="center"/>
            <w:hideMark/>
          </w:tcPr>
          <w:p w:rsidR="00E74A2C" w:rsidRPr="000F654D" w:rsidRDefault="00E74A2C" w:rsidP="0011748C">
            <w:pPr>
              <w:spacing w:after="0" w:line="240" w:lineRule="auto"/>
              <w:jc w:val="right"/>
              <w:rPr>
                <w:rFonts w:ascii="Arial Narrow" w:hAnsi="Arial Narrow"/>
                <w:color w:val="000000"/>
                <w:sz w:val="16"/>
                <w:szCs w:val="16"/>
                <w:lang w:eastAsia="sl-SI"/>
              </w:rPr>
            </w:pPr>
            <w:r w:rsidRPr="000F654D">
              <w:rPr>
                <w:rFonts w:ascii="Arial Narrow" w:hAnsi="Arial Narrow"/>
                <w:color w:val="000000"/>
                <w:sz w:val="16"/>
                <w:szCs w:val="16"/>
                <w:lang w:eastAsia="sl-SI"/>
              </w:rPr>
              <w:t>3.862.841</w:t>
            </w:r>
          </w:p>
        </w:tc>
      </w:tr>
      <w:tr w:rsidR="00E74A2C" w:rsidRPr="000F654D" w:rsidTr="000A3183">
        <w:trPr>
          <w:trHeight w:val="102"/>
        </w:trPr>
        <w:tc>
          <w:tcPr>
            <w:tcW w:w="960" w:type="dxa"/>
            <w:tcBorders>
              <w:top w:val="single" w:sz="8" w:space="0" w:color="9BBB59"/>
              <w:left w:val="single" w:sz="8" w:space="0" w:color="9BBB59"/>
              <w:bottom w:val="single" w:sz="8" w:space="0" w:color="9BBB59"/>
              <w:right w:val="nil"/>
            </w:tcBorders>
            <w:shd w:val="clear" w:color="auto" w:fill="auto"/>
            <w:vAlign w:val="center"/>
            <w:hideMark/>
          </w:tcPr>
          <w:p w:rsidR="00E74A2C" w:rsidRPr="000F654D" w:rsidRDefault="00E74A2C" w:rsidP="0011748C">
            <w:pPr>
              <w:spacing w:after="0" w:line="240" w:lineRule="auto"/>
              <w:rPr>
                <w:rFonts w:ascii="Arial Narrow" w:hAnsi="Arial Narrow"/>
                <w:color w:val="000000"/>
                <w:sz w:val="16"/>
                <w:szCs w:val="16"/>
                <w:lang w:eastAsia="sl-SI"/>
              </w:rPr>
            </w:pPr>
            <w:r w:rsidRPr="000F654D">
              <w:rPr>
                <w:rFonts w:ascii="Arial Narrow" w:hAnsi="Arial Narrow"/>
                <w:color w:val="000000"/>
                <w:sz w:val="16"/>
                <w:szCs w:val="16"/>
                <w:lang w:eastAsia="sl-SI"/>
              </w:rPr>
              <w:t>NUK</w:t>
            </w:r>
          </w:p>
        </w:tc>
        <w:tc>
          <w:tcPr>
            <w:tcW w:w="960" w:type="dxa"/>
            <w:tcBorders>
              <w:top w:val="single" w:sz="8" w:space="0" w:color="9BBB59"/>
              <w:left w:val="nil"/>
              <w:bottom w:val="single" w:sz="8" w:space="0" w:color="9BBB59"/>
              <w:right w:val="nil"/>
            </w:tcBorders>
            <w:shd w:val="clear" w:color="auto" w:fill="auto"/>
            <w:vAlign w:val="center"/>
            <w:hideMark/>
          </w:tcPr>
          <w:p w:rsidR="00E74A2C" w:rsidRPr="000F654D" w:rsidRDefault="00E74A2C" w:rsidP="0011748C">
            <w:pPr>
              <w:spacing w:after="0" w:line="240" w:lineRule="auto"/>
              <w:jc w:val="right"/>
              <w:rPr>
                <w:rFonts w:ascii="Arial Narrow" w:hAnsi="Arial Narrow"/>
                <w:color w:val="000000"/>
                <w:sz w:val="16"/>
                <w:szCs w:val="16"/>
                <w:lang w:eastAsia="sl-SI"/>
              </w:rPr>
            </w:pPr>
            <w:r w:rsidRPr="000F654D">
              <w:rPr>
                <w:rFonts w:ascii="Arial Narrow" w:hAnsi="Arial Narrow"/>
                <w:color w:val="000000"/>
                <w:sz w:val="16"/>
                <w:szCs w:val="16"/>
                <w:lang w:eastAsia="sl-SI"/>
              </w:rPr>
              <w:t>6.077.519</w:t>
            </w:r>
          </w:p>
        </w:tc>
        <w:tc>
          <w:tcPr>
            <w:tcW w:w="960" w:type="dxa"/>
            <w:tcBorders>
              <w:top w:val="single" w:sz="8" w:space="0" w:color="9BBB59"/>
              <w:left w:val="nil"/>
              <w:bottom w:val="single" w:sz="8" w:space="0" w:color="9BBB59"/>
              <w:right w:val="nil"/>
            </w:tcBorders>
            <w:shd w:val="clear" w:color="auto" w:fill="auto"/>
            <w:vAlign w:val="center"/>
            <w:hideMark/>
          </w:tcPr>
          <w:p w:rsidR="00E74A2C" w:rsidRPr="000F654D" w:rsidRDefault="00E74A2C" w:rsidP="0011748C">
            <w:pPr>
              <w:spacing w:after="0" w:line="240" w:lineRule="auto"/>
              <w:jc w:val="right"/>
              <w:rPr>
                <w:rFonts w:ascii="Arial Narrow" w:hAnsi="Arial Narrow"/>
                <w:color w:val="000000"/>
                <w:sz w:val="16"/>
                <w:szCs w:val="16"/>
                <w:lang w:eastAsia="sl-SI"/>
              </w:rPr>
            </w:pPr>
            <w:r w:rsidRPr="000F654D">
              <w:rPr>
                <w:rFonts w:ascii="Arial Narrow" w:hAnsi="Arial Narrow"/>
                <w:color w:val="000000"/>
                <w:sz w:val="16"/>
                <w:szCs w:val="16"/>
                <w:lang w:eastAsia="sl-SI"/>
              </w:rPr>
              <w:t>7.442.318</w:t>
            </w:r>
          </w:p>
        </w:tc>
        <w:tc>
          <w:tcPr>
            <w:tcW w:w="960" w:type="dxa"/>
            <w:tcBorders>
              <w:top w:val="single" w:sz="8" w:space="0" w:color="9BBB59"/>
              <w:left w:val="nil"/>
              <w:bottom w:val="single" w:sz="8" w:space="0" w:color="9BBB59"/>
              <w:right w:val="nil"/>
            </w:tcBorders>
            <w:shd w:val="clear" w:color="auto" w:fill="auto"/>
            <w:vAlign w:val="center"/>
            <w:hideMark/>
          </w:tcPr>
          <w:p w:rsidR="00E74A2C" w:rsidRPr="000F654D" w:rsidRDefault="00E74A2C" w:rsidP="0011748C">
            <w:pPr>
              <w:spacing w:after="0" w:line="240" w:lineRule="auto"/>
              <w:jc w:val="right"/>
              <w:rPr>
                <w:rFonts w:ascii="Arial Narrow" w:hAnsi="Arial Narrow"/>
                <w:color w:val="000000"/>
                <w:sz w:val="16"/>
                <w:szCs w:val="16"/>
                <w:lang w:eastAsia="sl-SI"/>
              </w:rPr>
            </w:pPr>
            <w:r w:rsidRPr="000F654D">
              <w:rPr>
                <w:rFonts w:ascii="Arial Narrow" w:hAnsi="Arial Narrow"/>
                <w:color w:val="000000"/>
                <w:sz w:val="16"/>
                <w:szCs w:val="16"/>
                <w:lang w:eastAsia="sl-SI"/>
              </w:rPr>
              <w:t>6.412.517</w:t>
            </w:r>
          </w:p>
        </w:tc>
        <w:tc>
          <w:tcPr>
            <w:tcW w:w="960" w:type="dxa"/>
            <w:tcBorders>
              <w:top w:val="single" w:sz="8" w:space="0" w:color="9BBB59"/>
              <w:left w:val="nil"/>
              <w:bottom w:val="single" w:sz="8" w:space="0" w:color="9BBB59"/>
              <w:right w:val="nil"/>
            </w:tcBorders>
            <w:shd w:val="clear" w:color="auto" w:fill="auto"/>
            <w:vAlign w:val="center"/>
            <w:hideMark/>
          </w:tcPr>
          <w:p w:rsidR="00E74A2C" w:rsidRPr="000F654D" w:rsidRDefault="00E74A2C" w:rsidP="0011748C">
            <w:pPr>
              <w:spacing w:after="0" w:line="240" w:lineRule="auto"/>
              <w:jc w:val="right"/>
              <w:rPr>
                <w:rFonts w:ascii="Arial Narrow" w:hAnsi="Arial Narrow"/>
                <w:color w:val="000000"/>
                <w:sz w:val="16"/>
                <w:szCs w:val="16"/>
                <w:lang w:eastAsia="sl-SI"/>
              </w:rPr>
            </w:pPr>
            <w:r w:rsidRPr="000F654D">
              <w:rPr>
                <w:rFonts w:ascii="Arial Narrow" w:hAnsi="Arial Narrow"/>
                <w:color w:val="000000"/>
                <w:sz w:val="16"/>
                <w:szCs w:val="16"/>
                <w:lang w:eastAsia="sl-SI"/>
              </w:rPr>
              <w:t>6.662.376</w:t>
            </w:r>
          </w:p>
        </w:tc>
        <w:tc>
          <w:tcPr>
            <w:tcW w:w="960" w:type="dxa"/>
            <w:tcBorders>
              <w:top w:val="single" w:sz="8" w:space="0" w:color="9BBB59"/>
              <w:left w:val="nil"/>
              <w:bottom w:val="single" w:sz="8" w:space="0" w:color="9BBB59"/>
              <w:right w:val="nil"/>
            </w:tcBorders>
            <w:shd w:val="clear" w:color="auto" w:fill="auto"/>
            <w:vAlign w:val="center"/>
            <w:hideMark/>
          </w:tcPr>
          <w:p w:rsidR="00E74A2C" w:rsidRPr="000F654D" w:rsidRDefault="00E74A2C" w:rsidP="0011748C">
            <w:pPr>
              <w:spacing w:after="0" w:line="240" w:lineRule="auto"/>
              <w:jc w:val="right"/>
              <w:rPr>
                <w:rFonts w:ascii="Arial Narrow" w:hAnsi="Arial Narrow"/>
                <w:color w:val="000000"/>
                <w:sz w:val="16"/>
                <w:szCs w:val="16"/>
                <w:lang w:eastAsia="sl-SI"/>
              </w:rPr>
            </w:pPr>
            <w:r w:rsidRPr="000F654D">
              <w:rPr>
                <w:rFonts w:ascii="Arial Narrow" w:hAnsi="Arial Narrow"/>
                <w:color w:val="000000"/>
                <w:sz w:val="16"/>
                <w:szCs w:val="16"/>
                <w:lang w:eastAsia="sl-SI"/>
              </w:rPr>
              <w:t>6.514.591</w:t>
            </w:r>
          </w:p>
        </w:tc>
        <w:tc>
          <w:tcPr>
            <w:tcW w:w="960" w:type="dxa"/>
            <w:tcBorders>
              <w:top w:val="single" w:sz="8" w:space="0" w:color="9BBB59"/>
              <w:left w:val="nil"/>
              <w:bottom w:val="single" w:sz="8" w:space="0" w:color="9BBB59"/>
              <w:right w:val="nil"/>
            </w:tcBorders>
            <w:shd w:val="clear" w:color="auto" w:fill="auto"/>
            <w:vAlign w:val="center"/>
            <w:hideMark/>
          </w:tcPr>
          <w:p w:rsidR="00E74A2C" w:rsidRPr="000F654D" w:rsidRDefault="00E74A2C" w:rsidP="0011748C">
            <w:pPr>
              <w:spacing w:after="0" w:line="240" w:lineRule="auto"/>
              <w:jc w:val="right"/>
              <w:rPr>
                <w:rFonts w:ascii="Arial Narrow" w:hAnsi="Arial Narrow"/>
                <w:color w:val="000000"/>
                <w:sz w:val="16"/>
                <w:szCs w:val="16"/>
                <w:lang w:eastAsia="sl-SI"/>
              </w:rPr>
            </w:pPr>
            <w:r w:rsidRPr="000F654D">
              <w:rPr>
                <w:rFonts w:ascii="Arial Narrow" w:hAnsi="Arial Narrow"/>
                <w:color w:val="000000"/>
                <w:sz w:val="16"/>
                <w:szCs w:val="16"/>
                <w:lang w:eastAsia="sl-SI"/>
              </w:rPr>
              <w:t>6.063.623</w:t>
            </w:r>
          </w:p>
        </w:tc>
        <w:tc>
          <w:tcPr>
            <w:tcW w:w="960" w:type="dxa"/>
            <w:tcBorders>
              <w:top w:val="single" w:sz="8" w:space="0" w:color="9BBB59"/>
              <w:left w:val="nil"/>
              <w:bottom w:val="single" w:sz="8" w:space="0" w:color="9BBB59"/>
              <w:right w:val="nil"/>
            </w:tcBorders>
            <w:shd w:val="clear" w:color="auto" w:fill="auto"/>
            <w:vAlign w:val="center"/>
            <w:hideMark/>
          </w:tcPr>
          <w:p w:rsidR="00E74A2C" w:rsidRPr="000F654D" w:rsidRDefault="00E74A2C" w:rsidP="0011748C">
            <w:pPr>
              <w:spacing w:after="0" w:line="240" w:lineRule="auto"/>
              <w:jc w:val="right"/>
              <w:rPr>
                <w:rFonts w:ascii="Arial Narrow" w:hAnsi="Arial Narrow"/>
                <w:color w:val="000000"/>
                <w:sz w:val="16"/>
                <w:szCs w:val="16"/>
                <w:lang w:eastAsia="sl-SI"/>
              </w:rPr>
            </w:pPr>
            <w:r w:rsidRPr="000F654D">
              <w:rPr>
                <w:rFonts w:ascii="Arial Narrow" w:hAnsi="Arial Narrow"/>
                <w:color w:val="000000"/>
                <w:sz w:val="16"/>
                <w:szCs w:val="16"/>
                <w:lang w:eastAsia="sl-SI"/>
              </w:rPr>
              <w:t>5.974.723</w:t>
            </w:r>
          </w:p>
        </w:tc>
        <w:tc>
          <w:tcPr>
            <w:tcW w:w="960" w:type="dxa"/>
            <w:tcBorders>
              <w:top w:val="single" w:sz="8" w:space="0" w:color="9BBB59"/>
              <w:left w:val="nil"/>
              <w:bottom w:val="single" w:sz="8" w:space="0" w:color="9BBB59"/>
              <w:right w:val="single" w:sz="8" w:space="0" w:color="9BBB59"/>
            </w:tcBorders>
            <w:shd w:val="clear" w:color="auto" w:fill="auto"/>
            <w:vAlign w:val="center"/>
            <w:hideMark/>
          </w:tcPr>
          <w:p w:rsidR="00E74A2C" w:rsidRPr="000F654D" w:rsidRDefault="00E74A2C" w:rsidP="0011748C">
            <w:pPr>
              <w:spacing w:after="0" w:line="240" w:lineRule="auto"/>
              <w:jc w:val="right"/>
              <w:rPr>
                <w:rFonts w:ascii="Arial Narrow" w:hAnsi="Arial Narrow"/>
                <w:color w:val="000000"/>
                <w:sz w:val="16"/>
                <w:szCs w:val="16"/>
                <w:lang w:eastAsia="sl-SI"/>
              </w:rPr>
            </w:pPr>
            <w:r w:rsidRPr="000F654D">
              <w:rPr>
                <w:rFonts w:ascii="Arial Narrow" w:hAnsi="Arial Narrow"/>
                <w:color w:val="000000"/>
                <w:sz w:val="16"/>
                <w:szCs w:val="16"/>
                <w:lang w:eastAsia="sl-SI"/>
              </w:rPr>
              <w:t>6.192.989</w:t>
            </w:r>
          </w:p>
        </w:tc>
      </w:tr>
      <w:tr w:rsidR="00E74A2C" w:rsidRPr="000F654D" w:rsidTr="000A3183">
        <w:trPr>
          <w:trHeight w:val="102"/>
        </w:trPr>
        <w:tc>
          <w:tcPr>
            <w:tcW w:w="960" w:type="dxa"/>
            <w:tcBorders>
              <w:top w:val="nil"/>
              <w:left w:val="single" w:sz="8" w:space="0" w:color="9BBB59"/>
              <w:bottom w:val="nil"/>
              <w:right w:val="nil"/>
            </w:tcBorders>
            <w:shd w:val="clear" w:color="auto" w:fill="auto"/>
            <w:vAlign w:val="center"/>
            <w:hideMark/>
          </w:tcPr>
          <w:p w:rsidR="00E74A2C" w:rsidRPr="000F654D" w:rsidRDefault="00E74A2C" w:rsidP="0011748C">
            <w:pPr>
              <w:spacing w:after="0" w:line="240" w:lineRule="auto"/>
              <w:rPr>
                <w:rFonts w:ascii="Arial Narrow" w:hAnsi="Arial Narrow"/>
                <w:color w:val="000000"/>
                <w:sz w:val="16"/>
                <w:szCs w:val="16"/>
                <w:lang w:eastAsia="sl-SI"/>
              </w:rPr>
            </w:pPr>
            <w:r w:rsidRPr="000F654D">
              <w:rPr>
                <w:rFonts w:ascii="Arial Narrow" w:hAnsi="Arial Narrow"/>
                <w:color w:val="000000"/>
                <w:sz w:val="16"/>
                <w:szCs w:val="16"/>
                <w:lang w:eastAsia="sl-SI"/>
              </w:rPr>
              <w:t>Gledališča in glasba</w:t>
            </w:r>
          </w:p>
        </w:tc>
        <w:tc>
          <w:tcPr>
            <w:tcW w:w="960" w:type="dxa"/>
            <w:tcBorders>
              <w:top w:val="nil"/>
              <w:left w:val="nil"/>
              <w:bottom w:val="nil"/>
              <w:right w:val="nil"/>
            </w:tcBorders>
            <w:shd w:val="clear" w:color="auto" w:fill="auto"/>
            <w:vAlign w:val="center"/>
            <w:hideMark/>
          </w:tcPr>
          <w:p w:rsidR="00E74A2C" w:rsidRPr="000F654D" w:rsidRDefault="00E74A2C" w:rsidP="0011748C">
            <w:pPr>
              <w:spacing w:after="0" w:line="240" w:lineRule="auto"/>
              <w:jc w:val="right"/>
              <w:rPr>
                <w:rFonts w:ascii="Arial Narrow" w:hAnsi="Arial Narrow"/>
                <w:color w:val="000000"/>
                <w:sz w:val="16"/>
                <w:szCs w:val="16"/>
                <w:lang w:eastAsia="sl-SI"/>
              </w:rPr>
            </w:pPr>
            <w:r w:rsidRPr="000F654D">
              <w:rPr>
                <w:rFonts w:ascii="Arial Narrow" w:hAnsi="Arial Narrow"/>
                <w:color w:val="000000"/>
                <w:sz w:val="16"/>
                <w:szCs w:val="16"/>
                <w:lang w:eastAsia="sl-SI"/>
              </w:rPr>
              <w:t>42.906.351</w:t>
            </w:r>
          </w:p>
        </w:tc>
        <w:tc>
          <w:tcPr>
            <w:tcW w:w="960" w:type="dxa"/>
            <w:tcBorders>
              <w:top w:val="nil"/>
              <w:left w:val="nil"/>
              <w:bottom w:val="nil"/>
              <w:right w:val="nil"/>
            </w:tcBorders>
            <w:shd w:val="clear" w:color="auto" w:fill="auto"/>
            <w:vAlign w:val="center"/>
            <w:hideMark/>
          </w:tcPr>
          <w:p w:rsidR="00E74A2C" w:rsidRPr="000F654D" w:rsidRDefault="00E74A2C" w:rsidP="0011748C">
            <w:pPr>
              <w:spacing w:after="0" w:line="240" w:lineRule="auto"/>
              <w:jc w:val="right"/>
              <w:rPr>
                <w:rFonts w:ascii="Arial Narrow" w:hAnsi="Arial Narrow"/>
                <w:color w:val="000000"/>
                <w:sz w:val="16"/>
                <w:szCs w:val="16"/>
                <w:lang w:eastAsia="sl-SI"/>
              </w:rPr>
            </w:pPr>
            <w:r w:rsidRPr="000F654D">
              <w:rPr>
                <w:rFonts w:ascii="Arial Narrow" w:hAnsi="Arial Narrow"/>
                <w:color w:val="000000"/>
                <w:sz w:val="16"/>
                <w:szCs w:val="16"/>
                <w:lang w:eastAsia="sl-SI"/>
              </w:rPr>
              <w:t>48.010.122</w:t>
            </w:r>
          </w:p>
        </w:tc>
        <w:tc>
          <w:tcPr>
            <w:tcW w:w="960" w:type="dxa"/>
            <w:tcBorders>
              <w:top w:val="nil"/>
              <w:left w:val="nil"/>
              <w:bottom w:val="nil"/>
              <w:right w:val="nil"/>
            </w:tcBorders>
            <w:shd w:val="clear" w:color="auto" w:fill="auto"/>
            <w:vAlign w:val="center"/>
            <w:hideMark/>
          </w:tcPr>
          <w:p w:rsidR="00E74A2C" w:rsidRPr="000F654D" w:rsidRDefault="00E74A2C" w:rsidP="0011748C">
            <w:pPr>
              <w:spacing w:after="0" w:line="240" w:lineRule="auto"/>
              <w:jc w:val="right"/>
              <w:rPr>
                <w:rFonts w:ascii="Arial Narrow" w:hAnsi="Arial Narrow"/>
                <w:color w:val="000000"/>
                <w:sz w:val="16"/>
                <w:szCs w:val="16"/>
                <w:lang w:eastAsia="sl-SI"/>
              </w:rPr>
            </w:pPr>
            <w:r w:rsidRPr="000F654D">
              <w:rPr>
                <w:rFonts w:ascii="Arial Narrow" w:hAnsi="Arial Narrow"/>
                <w:color w:val="000000"/>
                <w:sz w:val="16"/>
                <w:szCs w:val="16"/>
                <w:lang w:eastAsia="sl-SI"/>
              </w:rPr>
              <w:t>48.049.160</w:t>
            </w:r>
          </w:p>
        </w:tc>
        <w:tc>
          <w:tcPr>
            <w:tcW w:w="960" w:type="dxa"/>
            <w:tcBorders>
              <w:top w:val="nil"/>
              <w:left w:val="nil"/>
              <w:bottom w:val="nil"/>
              <w:right w:val="nil"/>
            </w:tcBorders>
            <w:shd w:val="clear" w:color="auto" w:fill="auto"/>
            <w:vAlign w:val="center"/>
            <w:hideMark/>
          </w:tcPr>
          <w:p w:rsidR="00E74A2C" w:rsidRPr="000F654D" w:rsidRDefault="00E74A2C" w:rsidP="0011748C">
            <w:pPr>
              <w:spacing w:after="0" w:line="240" w:lineRule="auto"/>
              <w:jc w:val="right"/>
              <w:rPr>
                <w:rFonts w:ascii="Arial Narrow" w:hAnsi="Arial Narrow"/>
                <w:color w:val="000000"/>
                <w:sz w:val="16"/>
                <w:szCs w:val="16"/>
                <w:lang w:eastAsia="sl-SI"/>
              </w:rPr>
            </w:pPr>
            <w:r w:rsidRPr="000F654D">
              <w:rPr>
                <w:rFonts w:ascii="Arial Narrow" w:hAnsi="Arial Narrow"/>
                <w:color w:val="000000"/>
                <w:sz w:val="16"/>
                <w:szCs w:val="16"/>
                <w:lang w:eastAsia="sl-SI"/>
              </w:rPr>
              <w:t>49.155.582</w:t>
            </w:r>
          </w:p>
        </w:tc>
        <w:tc>
          <w:tcPr>
            <w:tcW w:w="960" w:type="dxa"/>
            <w:tcBorders>
              <w:top w:val="nil"/>
              <w:left w:val="nil"/>
              <w:bottom w:val="nil"/>
              <w:right w:val="nil"/>
            </w:tcBorders>
            <w:shd w:val="clear" w:color="auto" w:fill="auto"/>
            <w:vAlign w:val="center"/>
            <w:hideMark/>
          </w:tcPr>
          <w:p w:rsidR="00E74A2C" w:rsidRPr="000F654D" w:rsidRDefault="00E74A2C" w:rsidP="0011748C">
            <w:pPr>
              <w:spacing w:after="0" w:line="240" w:lineRule="auto"/>
              <w:jc w:val="right"/>
              <w:rPr>
                <w:rFonts w:ascii="Arial Narrow" w:hAnsi="Arial Narrow"/>
                <w:color w:val="000000"/>
                <w:sz w:val="16"/>
                <w:szCs w:val="16"/>
                <w:lang w:eastAsia="sl-SI"/>
              </w:rPr>
            </w:pPr>
            <w:r w:rsidRPr="000F654D">
              <w:rPr>
                <w:rFonts w:ascii="Arial Narrow" w:hAnsi="Arial Narrow"/>
                <w:color w:val="000000"/>
                <w:sz w:val="16"/>
                <w:szCs w:val="16"/>
                <w:lang w:eastAsia="sl-SI"/>
              </w:rPr>
              <w:t>47.697.083</w:t>
            </w:r>
          </w:p>
        </w:tc>
        <w:tc>
          <w:tcPr>
            <w:tcW w:w="960" w:type="dxa"/>
            <w:tcBorders>
              <w:top w:val="nil"/>
              <w:left w:val="nil"/>
              <w:bottom w:val="nil"/>
              <w:right w:val="nil"/>
            </w:tcBorders>
            <w:shd w:val="clear" w:color="auto" w:fill="auto"/>
            <w:vAlign w:val="center"/>
            <w:hideMark/>
          </w:tcPr>
          <w:p w:rsidR="00E74A2C" w:rsidRPr="000F654D" w:rsidRDefault="00E74A2C" w:rsidP="0011748C">
            <w:pPr>
              <w:spacing w:after="0" w:line="240" w:lineRule="auto"/>
              <w:jc w:val="right"/>
              <w:rPr>
                <w:rFonts w:ascii="Arial Narrow" w:hAnsi="Arial Narrow"/>
                <w:color w:val="000000"/>
                <w:sz w:val="16"/>
                <w:szCs w:val="16"/>
                <w:lang w:eastAsia="sl-SI"/>
              </w:rPr>
            </w:pPr>
            <w:r w:rsidRPr="000F654D">
              <w:rPr>
                <w:rFonts w:ascii="Arial Narrow" w:hAnsi="Arial Narrow"/>
                <w:color w:val="000000"/>
                <w:sz w:val="16"/>
                <w:szCs w:val="16"/>
                <w:lang w:eastAsia="sl-SI"/>
              </w:rPr>
              <w:t>45.260.202</w:t>
            </w:r>
          </w:p>
        </w:tc>
        <w:tc>
          <w:tcPr>
            <w:tcW w:w="960" w:type="dxa"/>
            <w:tcBorders>
              <w:top w:val="nil"/>
              <w:left w:val="nil"/>
              <w:bottom w:val="nil"/>
              <w:right w:val="nil"/>
            </w:tcBorders>
            <w:shd w:val="clear" w:color="auto" w:fill="auto"/>
            <w:vAlign w:val="center"/>
            <w:hideMark/>
          </w:tcPr>
          <w:p w:rsidR="00E74A2C" w:rsidRPr="000F654D" w:rsidRDefault="00E74A2C" w:rsidP="0011748C">
            <w:pPr>
              <w:spacing w:after="0" w:line="240" w:lineRule="auto"/>
              <w:jc w:val="right"/>
              <w:rPr>
                <w:rFonts w:ascii="Arial Narrow" w:hAnsi="Arial Narrow"/>
                <w:color w:val="000000"/>
                <w:sz w:val="16"/>
                <w:szCs w:val="16"/>
                <w:lang w:eastAsia="sl-SI"/>
              </w:rPr>
            </w:pPr>
            <w:r w:rsidRPr="000F654D">
              <w:rPr>
                <w:rFonts w:ascii="Arial Narrow" w:hAnsi="Arial Narrow"/>
                <w:color w:val="000000"/>
                <w:sz w:val="16"/>
                <w:szCs w:val="16"/>
                <w:lang w:eastAsia="sl-SI"/>
              </w:rPr>
              <w:t>44.368.488</w:t>
            </w:r>
          </w:p>
        </w:tc>
        <w:tc>
          <w:tcPr>
            <w:tcW w:w="960" w:type="dxa"/>
            <w:tcBorders>
              <w:top w:val="nil"/>
              <w:left w:val="nil"/>
              <w:bottom w:val="nil"/>
              <w:right w:val="single" w:sz="8" w:space="0" w:color="9BBB59"/>
            </w:tcBorders>
            <w:shd w:val="clear" w:color="auto" w:fill="auto"/>
            <w:vAlign w:val="center"/>
            <w:hideMark/>
          </w:tcPr>
          <w:p w:rsidR="00E74A2C" w:rsidRPr="000F654D" w:rsidRDefault="00E74A2C" w:rsidP="0011748C">
            <w:pPr>
              <w:spacing w:after="0" w:line="240" w:lineRule="auto"/>
              <w:jc w:val="right"/>
              <w:rPr>
                <w:rFonts w:ascii="Arial Narrow" w:hAnsi="Arial Narrow"/>
                <w:color w:val="000000"/>
                <w:sz w:val="16"/>
                <w:szCs w:val="16"/>
                <w:lang w:eastAsia="sl-SI"/>
              </w:rPr>
            </w:pPr>
            <w:r w:rsidRPr="000F654D">
              <w:rPr>
                <w:rFonts w:ascii="Arial Narrow" w:hAnsi="Arial Narrow"/>
                <w:color w:val="000000"/>
                <w:sz w:val="16"/>
                <w:szCs w:val="16"/>
                <w:lang w:eastAsia="sl-SI"/>
              </w:rPr>
              <w:t>43.188.396</w:t>
            </w:r>
          </w:p>
        </w:tc>
      </w:tr>
      <w:tr w:rsidR="00E74A2C" w:rsidRPr="000F654D" w:rsidTr="000A3183">
        <w:trPr>
          <w:trHeight w:val="102"/>
        </w:trPr>
        <w:tc>
          <w:tcPr>
            <w:tcW w:w="960" w:type="dxa"/>
            <w:tcBorders>
              <w:top w:val="single" w:sz="8" w:space="0" w:color="9BBB59"/>
              <w:left w:val="single" w:sz="8" w:space="0" w:color="9BBB59"/>
              <w:bottom w:val="single" w:sz="8" w:space="0" w:color="9BBB59"/>
              <w:right w:val="nil"/>
            </w:tcBorders>
            <w:shd w:val="clear" w:color="auto" w:fill="auto"/>
            <w:vAlign w:val="center"/>
            <w:hideMark/>
          </w:tcPr>
          <w:p w:rsidR="00E74A2C" w:rsidRPr="000F654D" w:rsidRDefault="00E74A2C" w:rsidP="0011748C">
            <w:pPr>
              <w:spacing w:after="0" w:line="240" w:lineRule="auto"/>
              <w:rPr>
                <w:rFonts w:ascii="Arial Narrow" w:hAnsi="Arial Narrow"/>
                <w:color w:val="000000"/>
                <w:sz w:val="16"/>
                <w:szCs w:val="16"/>
                <w:lang w:eastAsia="sl-SI"/>
              </w:rPr>
            </w:pPr>
            <w:r w:rsidRPr="000F654D">
              <w:rPr>
                <w:rFonts w:ascii="Arial Narrow" w:hAnsi="Arial Narrow"/>
                <w:color w:val="000000"/>
                <w:sz w:val="16"/>
                <w:szCs w:val="16"/>
                <w:lang w:eastAsia="sl-SI"/>
              </w:rPr>
              <w:t>Cankarjev dom</w:t>
            </w:r>
          </w:p>
        </w:tc>
        <w:tc>
          <w:tcPr>
            <w:tcW w:w="960" w:type="dxa"/>
            <w:tcBorders>
              <w:top w:val="single" w:sz="8" w:space="0" w:color="9BBB59"/>
              <w:left w:val="nil"/>
              <w:bottom w:val="single" w:sz="8" w:space="0" w:color="9BBB59"/>
              <w:right w:val="nil"/>
            </w:tcBorders>
            <w:shd w:val="clear" w:color="auto" w:fill="auto"/>
            <w:vAlign w:val="center"/>
            <w:hideMark/>
          </w:tcPr>
          <w:p w:rsidR="00E74A2C" w:rsidRPr="000F654D" w:rsidRDefault="00E74A2C" w:rsidP="0011748C">
            <w:pPr>
              <w:spacing w:after="0" w:line="240" w:lineRule="auto"/>
              <w:jc w:val="right"/>
              <w:rPr>
                <w:rFonts w:ascii="Arial Narrow" w:hAnsi="Arial Narrow"/>
                <w:color w:val="000000"/>
                <w:sz w:val="16"/>
                <w:szCs w:val="16"/>
                <w:lang w:eastAsia="sl-SI"/>
              </w:rPr>
            </w:pPr>
            <w:r w:rsidRPr="000F654D">
              <w:rPr>
                <w:rFonts w:ascii="Arial Narrow" w:hAnsi="Arial Narrow"/>
                <w:color w:val="000000"/>
                <w:sz w:val="16"/>
                <w:szCs w:val="16"/>
                <w:lang w:eastAsia="sl-SI"/>
              </w:rPr>
              <w:t>6.274.887</w:t>
            </w:r>
          </w:p>
        </w:tc>
        <w:tc>
          <w:tcPr>
            <w:tcW w:w="960" w:type="dxa"/>
            <w:tcBorders>
              <w:top w:val="single" w:sz="8" w:space="0" w:color="9BBB59"/>
              <w:left w:val="nil"/>
              <w:bottom w:val="single" w:sz="8" w:space="0" w:color="9BBB59"/>
              <w:right w:val="nil"/>
            </w:tcBorders>
            <w:shd w:val="clear" w:color="auto" w:fill="auto"/>
            <w:vAlign w:val="center"/>
            <w:hideMark/>
          </w:tcPr>
          <w:p w:rsidR="00E74A2C" w:rsidRPr="000F654D" w:rsidRDefault="00E74A2C" w:rsidP="0011748C">
            <w:pPr>
              <w:spacing w:after="0" w:line="240" w:lineRule="auto"/>
              <w:jc w:val="right"/>
              <w:rPr>
                <w:rFonts w:ascii="Arial Narrow" w:hAnsi="Arial Narrow"/>
                <w:color w:val="000000"/>
                <w:sz w:val="16"/>
                <w:szCs w:val="16"/>
                <w:lang w:eastAsia="sl-SI"/>
              </w:rPr>
            </w:pPr>
            <w:r w:rsidRPr="000F654D">
              <w:rPr>
                <w:rFonts w:ascii="Arial Narrow" w:hAnsi="Arial Narrow"/>
                <w:color w:val="000000"/>
                <w:sz w:val="16"/>
                <w:szCs w:val="16"/>
                <w:lang w:eastAsia="sl-SI"/>
              </w:rPr>
              <w:t>6.867.873</w:t>
            </w:r>
          </w:p>
        </w:tc>
        <w:tc>
          <w:tcPr>
            <w:tcW w:w="960" w:type="dxa"/>
            <w:tcBorders>
              <w:top w:val="single" w:sz="8" w:space="0" w:color="9BBB59"/>
              <w:left w:val="nil"/>
              <w:bottom w:val="single" w:sz="8" w:space="0" w:color="9BBB59"/>
              <w:right w:val="nil"/>
            </w:tcBorders>
            <w:shd w:val="clear" w:color="auto" w:fill="auto"/>
            <w:vAlign w:val="center"/>
            <w:hideMark/>
          </w:tcPr>
          <w:p w:rsidR="00E74A2C" w:rsidRPr="000F654D" w:rsidRDefault="00E74A2C" w:rsidP="0011748C">
            <w:pPr>
              <w:spacing w:after="0" w:line="240" w:lineRule="auto"/>
              <w:jc w:val="right"/>
              <w:rPr>
                <w:rFonts w:ascii="Arial Narrow" w:hAnsi="Arial Narrow"/>
                <w:color w:val="000000"/>
                <w:sz w:val="16"/>
                <w:szCs w:val="16"/>
                <w:lang w:eastAsia="sl-SI"/>
              </w:rPr>
            </w:pPr>
            <w:r w:rsidRPr="000F654D">
              <w:rPr>
                <w:rFonts w:ascii="Arial Narrow" w:hAnsi="Arial Narrow"/>
                <w:color w:val="000000"/>
                <w:sz w:val="16"/>
                <w:szCs w:val="16"/>
                <w:lang w:eastAsia="sl-SI"/>
              </w:rPr>
              <w:t>5.703.540</w:t>
            </w:r>
          </w:p>
        </w:tc>
        <w:tc>
          <w:tcPr>
            <w:tcW w:w="960" w:type="dxa"/>
            <w:tcBorders>
              <w:top w:val="single" w:sz="8" w:space="0" w:color="9BBB59"/>
              <w:left w:val="nil"/>
              <w:bottom w:val="single" w:sz="8" w:space="0" w:color="9BBB59"/>
              <w:right w:val="nil"/>
            </w:tcBorders>
            <w:shd w:val="clear" w:color="auto" w:fill="auto"/>
            <w:vAlign w:val="center"/>
            <w:hideMark/>
          </w:tcPr>
          <w:p w:rsidR="00E74A2C" w:rsidRPr="000F654D" w:rsidRDefault="00E74A2C" w:rsidP="0011748C">
            <w:pPr>
              <w:spacing w:after="0" w:line="240" w:lineRule="auto"/>
              <w:jc w:val="right"/>
              <w:rPr>
                <w:rFonts w:ascii="Arial Narrow" w:hAnsi="Arial Narrow"/>
                <w:color w:val="000000"/>
                <w:sz w:val="16"/>
                <w:szCs w:val="16"/>
                <w:lang w:eastAsia="sl-SI"/>
              </w:rPr>
            </w:pPr>
            <w:r w:rsidRPr="000F654D">
              <w:rPr>
                <w:rFonts w:ascii="Arial Narrow" w:hAnsi="Arial Narrow"/>
                <w:color w:val="000000"/>
                <w:sz w:val="16"/>
                <w:szCs w:val="16"/>
                <w:lang w:eastAsia="sl-SI"/>
              </w:rPr>
              <w:t>5.769.132</w:t>
            </w:r>
          </w:p>
        </w:tc>
        <w:tc>
          <w:tcPr>
            <w:tcW w:w="960" w:type="dxa"/>
            <w:tcBorders>
              <w:top w:val="single" w:sz="8" w:space="0" w:color="9BBB59"/>
              <w:left w:val="nil"/>
              <w:bottom w:val="single" w:sz="8" w:space="0" w:color="9BBB59"/>
              <w:right w:val="nil"/>
            </w:tcBorders>
            <w:shd w:val="clear" w:color="auto" w:fill="auto"/>
            <w:vAlign w:val="center"/>
            <w:hideMark/>
          </w:tcPr>
          <w:p w:rsidR="00E74A2C" w:rsidRPr="000F654D" w:rsidRDefault="00E74A2C" w:rsidP="0011748C">
            <w:pPr>
              <w:spacing w:after="0" w:line="240" w:lineRule="auto"/>
              <w:jc w:val="right"/>
              <w:rPr>
                <w:rFonts w:ascii="Arial Narrow" w:hAnsi="Arial Narrow"/>
                <w:color w:val="000000"/>
                <w:sz w:val="16"/>
                <w:szCs w:val="16"/>
                <w:lang w:eastAsia="sl-SI"/>
              </w:rPr>
            </w:pPr>
            <w:r w:rsidRPr="000F654D">
              <w:rPr>
                <w:rFonts w:ascii="Arial Narrow" w:hAnsi="Arial Narrow"/>
                <w:color w:val="000000"/>
                <w:sz w:val="16"/>
                <w:szCs w:val="16"/>
                <w:lang w:eastAsia="sl-SI"/>
              </w:rPr>
              <w:t>6.889.886</w:t>
            </w:r>
          </w:p>
        </w:tc>
        <w:tc>
          <w:tcPr>
            <w:tcW w:w="960" w:type="dxa"/>
            <w:tcBorders>
              <w:top w:val="single" w:sz="8" w:space="0" w:color="9BBB59"/>
              <w:left w:val="nil"/>
              <w:bottom w:val="single" w:sz="8" w:space="0" w:color="9BBB59"/>
              <w:right w:val="nil"/>
            </w:tcBorders>
            <w:shd w:val="clear" w:color="auto" w:fill="auto"/>
            <w:vAlign w:val="center"/>
            <w:hideMark/>
          </w:tcPr>
          <w:p w:rsidR="00E74A2C" w:rsidRPr="000F654D" w:rsidRDefault="00E74A2C" w:rsidP="0011748C">
            <w:pPr>
              <w:spacing w:after="0" w:line="240" w:lineRule="auto"/>
              <w:jc w:val="right"/>
              <w:rPr>
                <w:rFonts w:ascii="Arial Narrow" w:hAnsi="Arial Narrow"/>
                <w:color w:val="000000"/>
                <w:sz w:val="16"/>
                <w:szCs w:val="16"/>
                <w:lang w:eastAsia="sl-SI"/>
              </w:rPr>
            </w:pPr>
            <w:r w:rsidRPr="000F654D">
              <w:rPr>
                <w:rFonts w:ascii="Arial Narrow" w:hAnsi="Arial Narrow"/>
                <w:color w:val="000000"/>
                <w:sz w:val="16"/>
                <w:szCs w:val="16"/>
                <w:lang w:eastAsia="sl-SI"/>
              </w:rPr>
              <w:t>7.019.346</w:t>
            </w:r>
          </w:p>
        </w:tc>
        <w:tc>
          <w:tcPr>
            <w:tcW w:w="960" w:type="dxa"/>
            <w:tcBorders>
              <w:top w:val="single" w:sz="8" w:space="0" w:color="9BBB59"/>
              <w:left w:val="nil"/>
              <w:bottom w:val="single" w:sz="8" w:space="0" w:color="9BBB59"/>
              <w:right w:val="nil"/>
            </w:tcBorders>
            <w:shd w:val="clear" w:color="auto" w:fill="auto"/>
            <w:vAlign w:val="center"/>
            <w:hideMark/>
          </w:tcPr>
          <w:p w:rsidR="00E74A2C" w:rsidRPr="000F654D" w:rsidRDefault="00E74A2C" w:rsidP="0011748C">
            <w:pPr>
              <w:spacing w:after="0" w:line="240" w:lineRule="auto"/>
              <w:jc w:val="right"/>
              <w:rPr>
                <w:rFonts w:ascii="Arial Narrow" w:hAnsi="Arial Narrow"/>
                <w:color w:val="000000"/>
                <w:sz w:val="16"/>
                <w:szCs w:val="16"/>
                <w:lang w:eastAsia="sl-SI"/>
              </w:rPr>
            </w:pPr>
            <w:r w:rsidRPr="000F654D">
              <w:rPr>
                <w:rFonts w:ascii="Arial Narrow" w:hAnsi="Arial Narrow"/>
                <w:color w:val="000000"/>
                <w:sz w:val="16"/>
                <w:szCs w:val="16"/>
                <w:lang w:eastAsia="sl-SI"/>
              </w:rPr>
              <w:t>5.211.154</w:t>
            </w:r>
          </w:p>
        </w:tc>
        <w:tc>
          <w:tcPr>
            <w:tcW w:w="960" w:type="dxa"/>
            <w:tcBorders>
              <w:top w:val="single" w:sz="8" w:space="0" w:color="9BBB59"/>
              <w:left w:val="nil"/>
              <w:bottom w:val="single" w:sz="8" w:space="0" w:color="9BBB59"/>
              <w:right w:val="single" w:sz="8" w:space="0" w:color="9BBB59"/>
            </w:tcBorders>
            <w:shd w:val="clear" w:color="auto" w:fill="auto"/>
            <w:vAlign w:val="center"/>
            <w:hideMark/>
          </w:tcPr>
          <w:p w:rsidR="00E74A2C" w:rsidRPr="000F654D" w:rsidRDefault="00E74A2C" w:rsidP="0011748C">
            <w:pPr>
              <w:spacing w:after="0" w:line="240" w:lineRule="auto"/>
              <w:jc w:val="right"/>
              <w:rPr>
                <w:rFonts w:ascii="Arial Narrow" w:hAnsi="Arial Narrow"/>
                <w:color w:val="000000"/>
                <w:sz w:val="16"/>
                <w:szCs w:val="16"/>
                <w:lang w:eastAsia="sl-SI"/>
              </w:rPr>
            </w:pPr>
            <w:r w:rsidRPr="000F654D">
              <w:rPr>
                <w:rFonts w:ascii="Arial Narrow" w:hAnsi="Arial Narrow"/>
                <w:color w:val="000000"/>
                <w:sz w:val="16"/>
                <w:szCs w:val="16"/>
                <w:lang w:eastAsia="sl-SI"/>
              </w:rPr>
              <w:t>5.163.834</w:t>
            </w:r>
          </w:p>
        </w:tc>
      </w:tr>
      <w:tr w:rsidR="00E74A2C" w:rsidRPr="000F654D" w:rsidTr="000A3183">
        <w:trPr>
          <w:trHeight w:val="102"/>
        </w:trPr>
        <w:tc>
          <w:tcPr>
            <w:tcW w:w="960" w:type="dxa"/>
            <w:tcBorders>
              <w:top w:val="nil"/>
              <w:left w:val="single" w:sz="8" w:space="0" w:color="9BBB59"/>
              <w:bottom w:val="nil"/>
              <w:right w:val="nil"/>
            </w:tcBorders>
            <w:shd w:val="clear" w:color="auto" w:fill="auto"/>
            <w:vAlign w:val="center"/>
            <w:hideMark/>
          </w:tcPr>
          <w:p w:rsidR="00E74A2C" w:rsidRPr="000F654D" w:rsidRDefault="00E74A2C" w:rsidP="0011748C">
            <w:pPr>
              <w:spacing w:after="0" w:line="240" w:lineRule="auto"/>
              <w:rPr>
                <w:rFonts w:ascii="Arial Narrow" w:hAnsi="Arial Narrow"/>
                <w:color w:val="000000"/>
                <w:sz w:val="16"/>
                <w:szCs w:val="16"/>
                <w:lang w:eastAsia="sl-SI"/>
              </w:rPr>
            </w:pPr>
            <w:r w:rsidRPr="000F654D">
              <w:rPr>
                <w:rFonts w:ascii="Arial Narrow" w:hAnsi="Arial Narrow"/>
                <w:color w:val="000000"/>
                <w:sz w:val="16"/>
                <w:szCs w:val="16"/>
                <w:lang w:eastAsia="sl-SI"/>
              </w:rPr>
              <w:t>FS Viba</w:t>
            </w:r>
          </w:p>
        </w:tc>
        <w:tc>
          <w:tcPr>
            <w:tcW w:w="960" w:type="dxa"/>
            <w:tcBorders>
              <w:top w:val="nil"/>
              <w:left w:val="nil"/>
              <w:bottom w:val="nil"/>
              <w:right w:val="nil"/>
            </w:tcBorders>
            <w:shd w:val="clear" w:color="auto" w:fill="auto"/>
            <w:vAlign w:val="center"/>
            <w:hideMark/>
          </w:tcPr>
          <w:p w:rsidR="00E74A2C" w:rsidRPr="000F654D" w:rsidRDefault="00E74A2C" w:rsidP="0011748C">
            <w:pPr>
              <w:spacing w:after="0" w:line="240" w:lineRule="auto"/>
              <w:jc w:val="right"/>
              <w:rPr>
                <w:rFonts w:ascii="Arial Narrow" w:hAnsi="Arial Narrow"/>
                <w:color w:val="000000"/>
                <w:sz w:val="16"/>
                <w:szCs w:val="16"/>
                <w:lang w:eastAsia="sl-SI"/>
              </w:rPr>
            </w:pPr>
            <w:r w:rsidRPr="000F654D">
              <w:rPr>
                <w:rFonts w:ascii="Arial Narrow" w:hAnsi="Arial Narrow"/>
                <w:color w:val="000000"/>
                <w:sz w:val="16"/>
                <w:szCs w:val="16"/>
                <w:lang w:eastAsia="sl-SI"/>
              </w:rPr>
              <w:t>761.196</w:t>
            </w:r>
          </w:p>
        </w:tc>
        <w:tc>
          <w:tcPr>
            <w:tcW w:w="960" w:type="dxa"/>
            <w:tcBorders>
              <w:top w:val="nil"/>
              <w:left w:val="nil"/>
              <w:bottom w:val="nil"/>
              <w:right w:val="nil"/>
            </w:tcBorders>
            <w:shd w:val="clear" w:color="auto" w:fill="auto"/>
            <w:vAlign w:val="center"/>
            <w:hideMark/>
          </w:tcPr>
          <w:p w:rsidR="00E74A2C" w:rsidRPr="000F654D" w:rsidRDefault="00E74A2C" w:rsidP="0011748C">
            <w:pPr>
              <w:spacing w:after="0" w:line="240" w:lineRule="auto"/>
              <w:jc w:val="right"/>
              <w:rPr>
                <w:rFonts w:ascii="Arial Narrow" w:hAnsi="Arial Narrow"/>
                <w:color w:val="000000"/>
                <w:sz w:val="16"/>
                <w:szCs w:val="16"/>
                <w:lang w:eastAsia="sl-SI"/>
              </w:rPr>
            </w:pPr>
            <w:r w:rsidRPr="000F654D">
              <w:rPr>
                <w:rFonts w:ascii="Arial Narrow" w:hAnsi="Arial Narrow"/>
                <w:color w:val="000000"/>
                <w:sz w:val="16"/>
                <w:szCs w:val="16"/>
                <w:lang w:eastAsia="sl-SI"/>
              </w:rPr>
              <w:t>701.313</w:t>
            </w:r>
          </w:p>
        </w:tc>
        <w:tc>
          <w:tcPr>
            <w:tcW w:w="960" w:type="dxa"/>
            <w:tcBorders>
              <w:top w:val="nil"/>
              <w:left w:val="nil"/>
              <w:bottom w:val="nil"/>
              <w:right w:val="nil"/>
            </w:tcBorders>
            <w:shd w:val="clear" w:color="auto" w:fill="auto"/>
            <w:vAlign w:val="center"/>
            <w:hideMark/>
          </w:tcPr>
          <w:p w:rsidR="00E74A2C" w:rsidRPr="000F654D" w:rsidRDefault="00E74A2C" w:rsidP="0011748C">
            <w:pPr>
              <w:spacing w:after="0" w:line="240" w:lineRule="auto"/>
              <w:jc w:val="right"/>
              <w:rPr>
                <w:rFonts w:ascii="Arial Narrow" w:hAnsi="Arial Narrow"/>
                <w:color w:val="000000"/>
                <w:sz w:val="16"/>
                <w:szCs w:val="16"/>
                <w:lang w:eastAsia="sl-SI"/>
              </w:rPr>
            </w:pPr>
            <w:r w:rsidRPr="000F654D">
              <w:rPr>
                <w:rFonts w:ascii="Arial Narrow" w:hAnsi="Arial Narrow"/>
                <w:color w:val="000000"/>
                <w:sz w:val="16"/>
                <w:szCs w:val="16"/>
                <w:lang w:eastAsia="sl-SI"/>
              </w:rPr>
              <w:t>616.353</w:t>
            </w:r>
          </w:p>
        </w:tc>
        <w:tc>
          <w:tcPr>
            <w:tcW w:w="960" w:type="dxa"/>
            <w:tcBorders>
              <w:top w:val="nil"/>
              <w:left w:val="nil"/>
              <w:bottom w:val="nil"/>
              <w:right w:val="nil"/>
            </w:tcBorders>
            <w:shd w:val="clear" w:color="auto" w:fill="auto"/>
            <w:vAlign w:val="center"/>
            <w:hideMark/>
          </w:tcPr>
          <w:p w:rsidR="00E74A2C" w:rsidRPr="000F654D" w:rsidRDefault="00E74A2C" w:rsidP="0011748C">
            <w:pPr>
              <w:spacing w:after="0" w:line="240" w:lineRule="auto"/>
              <w:jc w:val="right"/>
              <w:rPr>
                <w:rFonts w:ascii="Arial Narrow" w:hAnsi="Arial Narrow"/>
                <w:color w:val="000000"/>
                <w:sz w:val="16"/>
                <w:szCs w:val="16"/>
                <w:lang w:eastAsia="sl-SI"/>
              </w:rPr>
            </w:pPr>
            <w:r w:rsidRPr="000F654D">
              <w:rPr>
                <w:rFonts w:ascii="Arial Narrow" w:hAnsi="Arial Narrow"/>
                <w:color w:val="000000"/>
                <w:sz w:val="16"/>
                <w:szCs w:val="16"/>
                <w:lang w:eastAsia="sl-SI"/>
              </w:rPr>
              <w:t>611.311</w:t>
            </w:r>
          </w:p>
        </w:tc>
        <w:tc>
          <w:tcPr>
            <w:tcW w:w="960" w:type="dxa"/>
            <w:tcBorders>
              <w:top w:val="nil"/>
              <w:left w:val="nil"/>
              <w:bottom w:val="nil"/>
              <w:right w:val="nil"/>
            </w:tcBorders>
            <w:shd w:val="clear" w:color="auto" w:fill="auto"/>
            <w:vAlign w:val="center"/>
            <w:hideMark/>
          </w:tcPr>
          <w:p w:rsidR="00E74A2C" w:rsidRPr="000F654D" w:rsidRDefault="00E74A2C" w:rsidP="0011748C">
            <w:pPr>
              <w:spacing w:after="0" w:line="240" w:lineRule="auto"/>
              <w:jc w:val="right"/>
              <w:rPr>
                <w:rFonts w:ascii="Arial Narrow" w:hAnsi="Arial Narrow"/>
                <w:color w:val="000000"/>
                <w:sz w:val="16"/>
                <w:szCs w:val="16"/>
                <w:lang w:eastAsia="sl-SI"/>
              </w:rPr>
            </w:pPr>
            <w:r w:rsidRPr="000F654D">
              <w:rPr>
                <w:rFonts w:ascii="Arial Narrow" w:hAnsi="Arial Narrow"/>
                <w:color w:val="000000"/>
                <w:sz w:val="16"/>
                <w:szCs w:val="16"/>
                <w:lang w:eastAsia="sl-SI"/>
              </w:rPr>
              <w:t>574.075</w:t>
            </w:r>
          </w:p>
        </w:tc>
        <w:tc>
          <w:tcPr>
            <w:tcW w:w="960" w:type="dxa"/>
            <w:tcBorders>
              <w:top w:val="nil"/>
              <w:left w:val="nil"/>
              <w:bottom w:val="nil"/>
              <w:right w:val="nil"/>
            </w:tcBorders>
            <w:shd w:val="clear" w:color="auto" w:fill="auto"/>
            <w:vAlign w:val="center"/>
            <w:hideMark/>
          </w:tcPr>
          <w:p w:rsidR="00E74A2C" w:rsidRPr="000F654D" w:rsidRDefault="00E74A2C" w:rsidP="0011748C">
            <w:pPr>
              <w:spacing w:after="0" w:line="240" w:lineRule="auto"/>
              <w:jc w:val="right"/>
              <w:rPr>
                <w:rFonts w:ascii="Arial Narrow" w:hAnsi="Arial Narrow"/>
                <w:color w:val="000000"/>
                <w:sz w:val="16"/>
                <w:szCs w:val="16"/>
                <w:lang w:eastAsia="sl-SI"/>
              </w:rPr>
            </w:pPr>
            <w:r w:rsidRPr="000F654D">
              <w:rPr>
                <w:rFonts w:ascii="Arial Narrow" w:hAnsi="Arial Narrow"/>
                <w:color w:val="000000"/>
                <w:sz w:val="16"/>
                <w:szCs w:val="16"/>
                <w:lang w:eastAsia="sl-SI"/>
              </w:rPr>
              <w:t>679.102</w:t>
            </w:r>
          </w:p>
        </w:tc>
        <w:tc>
          <w:tcPr>
            <w:tcW w:w="960" w:type="dxa"/>
            <w:tcBorders>
              <w:top w:val="nil"/>
              <w:left w:val="nil"/>
              <w:bottom w:val="nil"/>
              <w:right w:val="nil"/>
            </w:tcBorders>
            <w:shd w:val="clear" w:color="auto" w:fill="auto"/>
            <w:vAlign w:val="center"/>
            <w:hideMark/>
          </w:tcPr>
          <w:p w:rsidR="00E74A2C" w:rsidRPr="000F654D" w:rsidRDefault="00E74A2C" w:rsidP="0011748C">
            <w:pPr>
              <w:spacing w:after="0" w:line="240" w:lineRule="auto"/>
              <w:jc w:val="right"/>
              <w:rPr>
                <w:rFonts w:ascii="Arial Narrow" w:hAnsi="Arial Narrow"/>
                <w:color w:val="000000"/>
                <w:sz w:val="16"/>
                <w:szCs w:val="16"/>
                <w:lang w:eastAsia="sl-SI"/>
              </w:rPr>
            </w:pPr>
            <w:r w:rsidRPr="000F654D">
              <w:rPr>
                <w:rFonts w:ascii="Arial Narrow" w:hAnsi="Arial Narrow"/>
                <w:color w:val="000000"/>
                <w:sz w:val="16"/>
                <w:szCs w:val="16"/>
                <w:lang w:eastAsia="sl-SI"/>
              </w:rPr>
              <w:t>560.782</w:t>
            </w:r>
          </w:p>
        </w:tc>
        <w:tc>
          <w:tcPr>
            <w:tcW w:w="960" w:type="dxa"/>
            <w:tcBorders>
              <w:top w:val="nil"/>
              <w:left w:val="nil"/>
              <w:bottom w:val="nil"/>
              <w:right w:val="single" w:sz="8" w:space="0" w:color="9BBB59"/>
            </w:tcBorders>
            <w:shd w:val="clear" w:color="auto" w:fill="auto"/>
            <w:vAlign w:val="center"/>
            <w:hideMark/>
          </w:tcPr>
          <w:p w:rsidR="00E74A2C" w:rsidRPr="000F654D" w:rsidRDefault="00E74A2C" w:rsidP="0011748C">
            <w:pPr>
              <w:spacing w:after="0" w:line="240" w:lineRule="auto"/>
              <w:jc w:val="right"/>
              <w:rPr>
                <w:rFonts w:ascii="Arial Narrow" w:hAnsi="Arial Narrow"/>
                <w:color w:val="000000"/>
                <w:sz w:val="16"/>
                <w:szCs w:val="16"/>
                <w:lang w:eastAsia="sl-SI"/>
              </w:rPr>
            </w:pPr>
            <w:r w:rsidRPr="000F654D">
              <w:rPr>
                <w:rFonts w:ascii="Arial Narrow" w:hAnsi="Arial Narrow"/>
                <w:color w:val="000000"/>
                <w:sz w:val="16"/>
                <w:szCs w:val="16"/>
                <w:lang w:eastAsia="sl-SI"/>
              </w:rPr>
              <w:t>500.008</w:t>
            </w:r>
          </w:p>
        </w:tc>
      </w:tr>
      <w:tr w:rsidR="00E74A2C" w:rsidRPr="000F654D" w:rsidTr="000A3183">
        <w:trPr>
          <w:trHeight w:val="102"/>
        </w:trPr>
        <w:tc>
          <w:tcPr>
            <w:tcW w:w="960" w:type="dxa"/>
            <w:tcBorders>
              <w:top w:val="single" w:sz="8" w:space="0" w:color="9BBB59"/>
              <w:left w:val="single" w:sz="8" w:space="0" w:color="9BBB59"/>
              <w:bottom w:val="single" w:sz="8" w:space="0" w:color="9BBB59"/>
              <w:right w:val="nil"/>
            </w:tcBorders>
            <w:shd w:val="clear" w:color="auto" w:fill="auto"/>
            <w:vAlign w:val="center"/>
            <w:hideMark/>
          </w:tcPr>
          <w:p w:rsidR="00E74A2C" w:rsidRPr="000F654D" w:rsidRDefault="00E74A2C" w:rsidP="0011748C">
            <w:pPr>
              <w:spacing w:after="0" w:line="240" w:lineRule="auto"/>
              <w:rPr>
                <w:rFonts w:ascii="Arial Narrow" w:hAnsi="Arial Narrow"/>
                <w:b/>
                <w:bCs/>
                <w:color w:val="000000"/>
                <w:sz w:val="16"/>
                <w:szCs w:val="16"/>
                <w:lang w:eastAsia="sl-SI"/>
              </w:rPr>
            </w:pPr>
            <w:r w:rsidRPr="000F654D">
              <w:rPr>
                <w:rFonts w:ascii="Arial Narrow" w:hAnsi="Arial Narrow"/>
                <w:b/>
                <w:bCs/>
                <w:color w:val="000000"/>
                <w:sz w:val="16"/>
                <w:szCs w:val="16"/>
                <w:lang w:eastAsia="sl-SI"/>
              </w:rPr>
              <w:t>Skupaj</w:t>
            </w:r>
          </w:p>
        </w:tc>
        <w:tc>
          <w:tcPr>
            <w:tcW w:w="960" w:type="dxa"/>
            <w:tcBorders>
              <w:top w:val="single" w:sz="8" w:space="0" w:color="9BBB59"/>
              <w:left w:val="nil"/>
              <w:bottom w:val="single" w:sz="8" w:space="0" w:color="9BBB59"/>
              <w:right w:val="nil"/>
            </w:tcBorders>
            <w:shd w:val="clear" w:color="auto" w:fill="auto"/>
            <w:vAlign w:val="center"/>
            <w:hideMark/>
          </w:tcPr>
          <w:p w:rsidR="00E74A2C" w:rsidRPr="000F654D" w:rsidRDefault="00E74A2C" w:rsidP="0011748C">
            <w:pPr>
              <w:spacing w:after="0" w:line="240" w:lineRule="auto"/>
              <w:jc w:val="right"/>
              <w:rPr>
                <w:rFonts w:ascii="Arial Narrow" w:hAnsi="Arial Narrow"/>
                <w:b/>
                <w:bCs/>
                <w:color w:val="000000"/>
                <w:sz w:val="16"/>
                <w:szCs w:val="16"/>
                <w:lang w:eastAsia="sl-SI"/>
              </w:rPr>
            </w:pPr>
            <w:r w:rsidRPr="000F654D">
              <w:rPr>
                <w:rFonts w:ascii="Arial Narrow" w:hAnsi="Arial Narrow"/>
                <w:b/>
                <w:bCs/>
                <w:color w:val="000000"/>
                <w:sz w:val="16"/>
                <w:szCs w:val="16"/>
                <w:lang w:eastAsia="sl-SI"/>
              </w:rPr>
              <w:t>101.805.137</w:t>
            </w:r>
          </w:p>
        </w:tc>
        <w:tc>
          <w:tcPr>
            <w:tcW w:w="960" w:type="dxa"/>
            <w:tcBorders>
              <w:top w:val="single" w:sz="8" w:space="0" w:color="9BBB59"/>
              <w:left w:val="nil"/>
              <w:bottom w:val="single" w:sz="8" w:space="0" w:color="9BBB59"/>
              <w:right w:val="nil"/>
            </w:tcBorders>
            <w:shd w:val="clear" w:color="auto" w:fill="auto"/>
            <w:vAlign w:val="center"/>
            <w:hideMark/>
          </w:tcPr>
          <w:p w:rsidR="00E74A2C" w:rsidRPr="000F654D" w:rsidRDefault="00E74A2C" w:rsidP="0011748C">
            <w:pPr>
              <w:spacing w:after="0" w:line="240" w:lineRule="auto"/>
              <w:jc w:val="right"/>
              <w:rPr>
                <w:rFonts w:ascii="Arial Narrow" w:hAnsi="Arial Narrow"/>
                <w:b/>
                <w:bCs/>
                <w:color w:val="000000"/>
                <w:sz w:val="16"/>
                <w:szCs w:val="16"/>
                <w:lang w:eastAsia="sl-SI"/>
              </w:rPr>
            </w:pPr>
            <w:r w:rsidRPr="000F654D">
              <w:rPr>
                <w:rFonts w:ascii="Arial Narrow" w:hAnsi="Arial Narrow"/>
                <w:b/>
                <w:bCs/>
                <w:color w:val="000000"/>
                <w:sz w:val="16"/>
                <w:szCs w:val="16"/>
                <w:lang w:eastAsia="sl-SI"/>
              </w:rPr>
              <w:t>112.484.368</w:t>
            </w:r>
          </w:p>
        </w:tc>
        <w:tc>
          <w:tcPr>
            <w:tcW w:w="960" w:type="dxa"/>
            <w:tcBorders>
              <w:top w:val="single" w:sz="8" w:space="0" w:color="9BBB59"/>
              <w:left w:val="nil"/>
              <w:bottom w:val="single" w:sz="8" w:space="0" w:color="9BBB59"/>
              <w:right w:val="nil"/>
            </w:tcBorders>
            <w:shd w:val="clear" w:color="auto" w:fill="auto"/>
            <w:vAlign w:val="center"/>
            <w:hideMark/>
          </w:tcPr>
          <w:p w:rsidR="00E74A2C" w:rsidRPr="000F654D" w:rsidRDefault="00E74A2C" w:rsidP="0011748C">
            <w:pPr>
              <w:spacing w:after="0" w:line="240" w:lineRule="auto"/>
              <w:jc w:val="right"/>
              <w:rPr>
                <w:rFonts w:ascii="Arial Narrow" w:hAnsi="Arial Narrow"/>
                <w:b/>
                <w:bCs/>
                <w:color w:val="000000"/>
                <w:sz w:val="16"/>
                <w:szCs w:val="16"/>
                <w:lang w:eastAsia="sl-SI"/>
              </w:rPr>
            </w:pPr>
            <w:r w:rsidRPr="000F654D">
              <w:rPr>
                <w:rFonts w:ascii="Arial Narrow" w:hAnsi="Arial Narrow"/>
                <w:b/>
                <w:bCs/>
                <w:color w:val="000000"/>
                <w:sz w:val="16"/>
                <w:szCs w:val="16"/>
                <w:lang w:eastAsia="sl-SI"/>
              </w:rPr>
              <w:t>104.201.660</w:t>
            </w:r>
          </w:p>
        </w:tc>
        <w:tc>
          <w:tcPr>
            <w:tcW w:w="960" w:type="dxa"/>
            <w:tcBorders>
              <w:top w:val="single" w:sz="8" w:space="0" w:color="9BBB59"/>
              <w:left w:val="nil"/>
              <w:bottom w:val="single" w:sz="8" w:space="0" w:color="9BBB59"/>
              <w:right w:val="nil"/>
            </w:tcBorders>
            <w:shd w:val="clear" w:color="auto" w:fill="auto"/>
            <w:vAlign w:val="center"/>
            <w:hideMark/>
          </w:tcPr>
          <w:p w:rsidR="00E74A2C" w:rsidRPr="000F654D" w:rsidRDefault="00E74A2C" w:rsidP="0011748C">
            <w:pPr>
              <w:spacing w:after="0" w:line="240" w:lineRule="auto"/>
              <w:jc w:val="right"/>
              <w:rPr>
                <w:rFonts w:ascii="Arial Narrow" w:hAnsi="Arial Narrow"/>
                <w:b/>
                <w:bCs/>
                <w:color w:val="000000"/>
                <w:sz w:val="16"/>
                <w:szCs w:val="16"/>
                <w:lang w:eastAsia="sl-SI"/>
              </w:rPr>
            </w:pPr>
            <w:r w:rsidRPr="000F654D">
              <w:rPr>
                <w:rFonts w:ascii="Arial Narrow" w:hAnsi="Arial Narrow"/>
                <w:b/>
                <w:bCs/>
                <w:color w:val="000000"/>
                <w:sz w:val="16"/>
                <w:szCs w:val="16"/>
                <w:lang w:eastAsia="sl-SI"/>
              </w:rPr>
              <w:t>108.871.458</w:t>
            </w:r>
          </w:p>
        </w:tc>
        <w:tc>
          <w:tcPr>
            <w:tcW w:w="960" w:type="dxa"/>
            <w:tcBorders>
              <w:top w:val="single" w:sz="8" w:space="0" w:color="9BBB59"/>
              <w:left w:val="nil"/>
              <w:bottom w:val="single" w:sz="8" w:space="0" w:color="9BBB59"/>
              <w:right w:val="nil"/>
            </w:tcBorders>
            <w:shd w:val="clear" w:color="auto" w:fill="auto"/>
            <w:vAlign w:val="center"/>
            <w:hideMark/>
          </w:tcPr>
          <w:p w:rsidR="00E74A2C" w:rsidRPr="000F654D" w:rsidRDefault="00E74A2C" w:rsidP="0011748C">
            <w:pPr>
              <w:spacing w:after="0" w:line="240" w:lineRule="auto"/>
              <w:jc w:val="right"/>
              <w:rPr>
                <w:rFonts w:ascii="Arial Narrow" w:hAnsi="Arial Narrow"/>
                <w:b/>
                <w:bCs/>
                <w:color w:val="000000"/>
                <w:sz w:val="16"/>
                <w:szCs w:val="16"/>
                <w:lang w:eastAsia="sl-SI"/>
              </w:rPr>
            </w:pPr>
            <w:r w:rsidRPr="000F654D">
              <w:rPr>
                <w:rFonts w:ascii="Arial Narrow" w:hAnsi="Arial Narrow"/>
                <w:b/>
                <w:bCs/>
                <w:color w:val="000000"/>
                <w:sz w:val="16"/>
                <w:szCs w:val="16"/>
                <w:lang w:eastAsia="sl-SI"/>
              </w:rPr>
              <w:t>105.839.033</w:t>
            </w:r>
          </w:p>
        </w:tc>
        <w:tc>
          <w:tcPr>
            <w:tcW w:w="960" w:type="dxa"/>
            <w:tcBorders>
              <w:top w:val="single" w:sz="8" w:space="0" w:color="9BBB59"/>
              <w:left w:val="nil"/>
              <w:bottom w:val="single" w:sz="8" w:space="0" w:color="9BBB59"/>
              <w:right w:val="nil"/>
            </w:tcBorders>
            <w:shd w:val="clear" w:color="auto" w:fill="auto"/>
            <w:vAlign w:val="center"/>
            <w:hideMark/>
          </w:tcPr>
          <w:p w:rsidR="00E74A2C" w:rsidRPr="000F654D" w:rsidRDefault="00E74A2C" w:rsidP="0011748C">
            <w:pPr>
              <w:spacing w:after="0" w:line="240" w:lineRule="auto"/>
              <w:jc w:val="right"/>
              <w:rPr>
                <w:rFonts w:ascii="Arial Narrow" w:hAnsi="Arial Narrow"/>
                <w:b/>
                <w:bCs/>
                <w:color w:val="000000"/>
                <w:sz w:val="16"/>
                <w:szCs w:val="16"/>
                <w:lang w:eastAsia="sl-SI"/>
              </w:rPr>
            </w:pPr>
            <w:r w:rsidRPr="000F654D">
              <w:rPr>
                <w:rFonts w:ascii="Arial Narrow" w:hAnsi="Arial Narrow"/>
                <w:b/>
                <w:bCs/>
                <w:color w:val="000000"/>
                <w:sz w:val="16"/>
                <w:szCs w:val="16"/>
                <w:lang w:eastAsia="sl-SI"/>
              </w:rPr>
              <w:t>103.250.784</w:t>
            </w:r>
          </w:p>
        </w:tc>
        <w:tc>
          <w:tcPr>
            <w:tcW w:w="960" w:type="dxa"/>
            <w:tcBorders>
              <w:top w:val="single" w:sz="8" w:space="0" w:color="9BBB59"/>
              <w:left w:val="nil"/>
              <w:bottom w:val="single" w:sz="8" w:space="0" w:color="9BBB59"/>
              <w:right w:val="nil"/>
            </w:tcBorders>
            <w:shd w:val="clear" w:color="auto" w:fill="auto"/>
            <w:vAlign w:val="center"/>
            <w:hideMark/>
          </w:tcPr>
          <w:p w:rsidR="00E74A2C" w:rsidRPr="000F654D" w:rsidRDefault="00E74A2C" w:rsidP="0011748C">
            <w:pPr>
              <w:spacing w:after="0" w:line="240" w:lineRule="auto"/>
              <w:jc w:val="right"/>
              <w:rPr>
                <w:rFonts w:ascii="Arial Narrow" w:hAnsi="Arial Narrow"/>
                <w:b/>
                <w:bCs/>
                <w:color w:val="000000"/>
                <w:sz w:val="16"/>
                <w:szCs w:val="16"/>
                <w:lang w:eastAsia="sl-SI"/>
              </w:rPr>
            </w:pPr>
            <w:r w:rsidRPr="000F654D">
              <w:rPr>
                <w:rFonts w:ascii="Arial Narrow" w:hAnsi="Arial Narrow"/>
                <w:b/>
                <w:bCs/>
                <w:color w:val="000000"/>
                <w:sz w:val="16"/>
                <w:szCs w:val="16"/>
                <w:lang w:eastAsia="sl-SI"/>
              </w:rPr>
              <w:t>98.414.684</w:t>
            </w:r>
          </w:p>
        </w:tc>
        <w:tc>
          <w:tcPr>
            <w:tcW w:w="960" w:type="dxa"/>
            <w:tcBorders>
              <w:top w:val="single" w:sz="8" w:space="0" w:color="9BBB59"/>
              <w:left w:val="nil"/>
              <w:bottom w:val="single" w:sz="8" w:space="0" w:color="9BBB59"/>
              <w:right w:val="single" w:sz="8" w:space="0" w:color="9BBB59"/>
            </w:tcBorders>
            <w:shd w:val="clear" w:color="auto" w:fill="auto"/>
            <w:vAlign w:val="center"/>
            <w:hideMark/>
          </w:tcPr>
          <w:p w:rsidR="00E74A2C" w:rsidRPr="000F654D" w:rsidRDefault="00E74A2C" w:rsidP="0011748C">
            <w:pPr>
              <w:spacing w:after="0" w:line="240" w:lineRule="auto"/>
              <w:jc w:val="right"/>
              <w:rPr>
                <w:rFonts w:ascii="Arial Narrow" w:hAnsi="Arial Narrow"/>
                <w:b/>
                <w:bCs/>
                <w:color w:val="000000"/>
                <w:sz w:val="16"/>
                <w:szCs w:val="16"/>
                <w:lang w:eastAsia="sl-SI"/>
              </w:rPr>
            </w:pPr>
            <w:r w:rsidRPr="000F654D">
              <w:rPr>
                <w:rFonts w:ascii="Arial Narrow" w:hAnsi="Arial Narrow"/>
                <w:b/>
                <w:bCs/>
                <w:color w:val="000000"/>
                <w:sz w:val="16"/>
                <w:szCs w:val="16"/>
                <w:lang w:eastAsia="sl-SI"/>
              </w:rPr>
              <w:t>94.764.563</w:t>
            </w:r>
          </w:p>
        </w:tc>
      </w:tr>
    </w:tbl>
    <w:p w:rsidR="00E74A2C" w:rsidRDefault="00E74A2C" w:rsidP="00E74A2C">
      <w:pPr>
        <w:pStyle w:val="Podpispodtabeloaligrafom"/>
      </w:pPr>
      <w:r>
        <w:t>Vir: Ministrstvo za kulturo.</w:t>
      </w:r>
    </w:p>
    <w:p w:rsidR="00E74A2C" w:rsidRDefault="00E74A2C" w:rsidP="00E74A2C">
      <w:pPr>
        <w:jc w:val="both"/>
        <w:rPr>
          <w:rFonts w:cs="Arial"/>
          <w:szCs w:val="20"/>
          <w:lang w:eastAsia="sl-SI"/>
        </w:rPr>
      </w:pPr>
    </w:p>
    <w:p w:rsidR="00E74A2C" w:rsidRPr="007C162A" w:rsidRDefault="00344E6D" w:rsidP="00E74A2C">
      <w:pPr>
        <w:pStyle w:val="Naslovtabele"/>
      </w:pPr>
      <w:bookmarkStart w:id="447" w:name="_Toc490053416"/>
      <w:bookmarkStart w:id="448" w:name="_Toc490053787"/>
      <w:bookmarkStart w:id="449" w:name="_Toc490600059"/>
      <w:r>
        <w:rPr>
          <w:lang w:eastAsia="sl-SI"/>
        </w:rPr>
        <w:t>Graf 46</w:t>
      </w:r>
      <w:r w:rsidR="00E74A2C" w:rsidRPr="007C162A">
        <w:rPr>
          <w:lang w:eastAsia="sl-SI"/>
        </w:rPr>
        <w:t xml:space="preserve">: </w:t>
      </w:r>
      <w:r w:rsidR="00E74A2C">
        <w:rPr>
          <w:lang w:eastAsia="sl-SI"/>
        </w:rPr>
        <w:t>Struktura f</w:t>
      </w:r>
      <w:r w:rsidR="00E74A2C" w:rsidRPr="007C162A">
        <w:rPr>
          <w:lang w:eastAsia="sl-SI"/>
        </w:rPr>
        <w:t>inanciranj</w:t>
      </w:r>
      <w:r w:rsidR="00E74A2C">
        <w:rPr>
          <w:lang w:eastAsia="sl-SI"/>
        </w:rPr>
        <w:t>a</w:t>
      </w:r>
      <w:r w:rsidR="00E74A2C" w:rsidRPr="007C162A">
        <w:rPr>
          <w:lang w:eastAsia="sl-SI"/>
        </w:rPr>
        <w:t xml:space="preserve"> javnih zavodov po </w:t>
      </w:r>
      <w:r w:rsidR="00E74A2C">
        <w:rPr>
          <w:lang w:eastAsia="sl-SI"/>
        </w:rPr>
        <w:t xml:space="preserve">skupinah </w:t>
      </w:r>
      <w:r w:rsidR="00E74A2C" w:rsidRPr="007C162A">
        <w:rPr>
          <w:lang w:eastAsia="sl-SI"/>
        </w:rPr>
        <w:t xml:space="preserve">dejavnosti iz </w:t>
      </w:r>
      <w:r w:rsidR="00E74A2C" w:rsidRPr="007C162A">
        <w:t xml:space="preserve">proračuna Ministrstva za kulturo </w:t>
      </w:r>
      <w:r w:rsidR="00E74A2C">
        <w:t>(2015)</w:t>
      </w:r>
      <w:bookmarkEnd w:id="447"/>
      <w:bookmarkEnd w:id="448"/>
      <w:bookmarkEnd w:id="449"/>
    </w:p>
    <w:p w:rsidR="00E74A2C" w:rsidRDefault="000930D4" w:rsidP="00E74A2C">
      <w:pPr>
        <w:jc w:val="both"/>
        <w:rPr>
          <w:rFonts w:cs="Arial"/>
          <w:szCs w:val="20"/>
          <w:lang w:eastAsia="sl-SI"/>
        </w:rPr>
      </w:pPr>
      <w:r>
        <w:rPr>
          <w:noProof/>
          <w:lang w:eastAsia="sl-SI"/>
        </w:rPr>
        <w:drawing>
          <wp:inline distT="0" distB="0" distL="0" distR="0" wp14:anchorId="5D25FD79" wp14:editId="02873E0D">
            <wp:extent cx="4572000" cy="2743200"/>
            <wp:effectExtent l="0" t="0" r="0" b="0"/>
            <wp:docPr id="10" name="Grafikon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77"/>
              </a:graphicData>
            </a:graphic>
          </wp:inline>
        </w:drawing>
      </w:r>
    </w:p>
    <w:p w:rsidR="00E74A2C" w:rsidRDefault="00E74A2C" w:rsidP="00E74A2C">
      <w:pPr>
        <w:pStyle w:val="Podpispodtabeloaligrafom"/>
      </w:pPr>
      <w:r>
        <w:t>Vir: Ministrstvo za kulturo.</w:t>
      </w:r>
    </w:p>
    <w:p w:rsidR="00E74A2C" w:rsidRDefault="00E74A2C" w:rsidP="00E74A2C">
      <w:pPr>
        <w:jc w:val="both"/>
        <w:rPr>
          <w:rFonts w:cs="Arial"/>
          <w:szCs w:val="20"/>
          <w:lang w:eastAsia="sl-SI"/>
        </w:rPr>
      </w:pPr>
    </w:p>
    <w:p w:rsidR="00E74A2C" w:rsidRDefault="00E74A2C" w:rsidP="00D47110">
      <w:pPr>
        <w:pStyle w:val="Podnaslov3"/>
      </w:pPr>
      <w:bookmarkStart w:id="450" w:name="_Toc490047610"/>
      <w:bookmarkStart w:id="451" w:name="_Toc490599976"/>
      <w:bookmarkStart w:id="452" w:name="_Toc506192106"/>
      <w:r>
        <w:t>Sredstva po namenu</w:t>
      </w:r>
      <w:bookmarkEnd w:id="450"/>
      <w:bookmarkEnd w:id="451"/>
      <w:bookmarkEnd w:id="452"/>
    </w:p>
    <w:p w:rsidR="00E74A2C" w:rsidRDefault="00E74A2C" w:rsidP="00E74A2C">
      <w:r w:rsidRPr="007B1555">
        <w:t>V tab</w:t>
      </w:r>
      <w:r w:rsidR="00A154EE">
        <w:t>eli 36</w:t>
      </w:r>
      <w:r w:rsidRPr="007B1555">
        <w:t xml:space="preserve"> je pregled financiranja javnih zavodov po namenih: za plače, materialne stroške in stroške investicijskega vzdrževanja </w:t>
      </w:r>
      <w:r>
        <w:t>ter nakup opreme v obdobju 2008–</w:t>
      </w:r>
      <w:r w:rsidRPr="007B1555">
        <w:t>2015.</w:t>
      </w:r>
      <w:r>
        <w:t xml:space="preserve"> Skupna sredstva so med leti nihala, od leta 2011 naprej pa padajo. Leta 2015 je bilo za delovanje javnih zavodov namenjenih slabih 95 milijonov evrov, kar predstavlja približno 60 % celotnega proračuna Ministrstva za kulturo, in od tega je bila, kot tudi že vsaj od leta 2008 naprej, večina financiranja – skoraj</w:t>
      </w:r>
      <w:r w:rsidR="00E72446">
        <w:t xml:space="preserve"> 70 % – namenjena plačam (graf 47</w:t>
      </w:r>
      <w:r>
        <w:t>). A to, kot bomo videli v nadaljevanju, ne pomeni, da javni zavodi namenjajo za plače tolikšen del vseh svojih prihodkov, saj jih poleg Ministrstva za kulturo financirajo tudi drugi in</w:t>
      </w:r>
      <w:r w:rsidR="00884A33">
        <w:t xml:space="preserve"> tudi nekaj lastnih prihodkov ustvarijo</w:t>
      </w:r>
      <w:r>
        <w:t xml:space="preserve">. </w:t>
      </w:r>
    </w:p>
    <w:p w:rsidR="00A647F3" w:rsidRDefault="00A647F3">
      <w:pPr>
        <w:rPr>
          <w:b/>
        </w:rPr>
      </w:pPr>
      <w:bookmarkStart w:id="453" w:name="_Toc490053417"/>
      <w:bookmarkStart w:id="454" w:name="_Toc490053788"/>
      <w:r>
        <w:br w:type="page"/>
      </w:r>
    </w:p>
    <w:p w:rsidR="00E74A2C" w:rsidRDefault="00E74A2C" w:rsidP="00E74A2C">
      <w:pPr>
        <w:pStyle w:val="Naslovtabele"/>
      </w:pPr>
      <w:bookmarkStart w:id="455" w:name="_Toc490600060"/>
      <w:r w:rsidRPr="008878EA">
        <w:t>Tabela</w:t>
      </w:r>
      <w:r w:rsidR="00C75E6E">
        <w:t xml:space="preserve"> 36</w:t>
      </w:r>
      <w:r w:rsidRPr="008878EA">
        <w:t xml:space="preserve">: Financiranje javnih zavodov po namenih iz proračuna Ministrstva za kulturo </w:t>
      </w:r>
      <w:r>
        <w:t>(</w:t>
      </w:r>
      <w:r w:rsidRPr="008878EA">
        <w:t>2008–2015</w:t>
      </w:r>
      <w:r>
        <w:t>)</w:t>
      </w:r>
      <w:bookmarkEnd w:id="453"/>
      <w:bookmarkEnd w:id="454"/>
      <w:bookmarkEnd w:id="455"/>
    </w:p>
    <w:tbl>
      <w:tblPr>
        <w:tblW w:w="8640" w:type="dxa"/>
        <w:tblInd w:w="55" w:type="dxa"/>
        <w:tblCellMar>
          <w:left w:w="70" w:type="dxa"/>
          <w:right w:w="70" w:type="dxa"/>
        </w:tblCellMar>
        <w:tblLook w:val="04A0" w:firstRow="1" w:lastRow="0" w:firstColumn="1" w:lastColumn="0" w:noHBand="0" w:noVBand="1"/>
      </w:tblPr>
      <w:tblGrid>
        <w:gridCol w:w="960"/>
        <w:gridCol w:w="960"/>
        <w:gridCol w:w="960"/>
        <w:gridCol w:w="960"/>
        <w:gridCol w:w="960"/>
        <w:gridCol w:w="960"/>
        <w:gridCol w:w="960"/>
        <w:gridCol w:w="960"/>
        <w:gridCol w:w="960"/>
      </w:tblGrid>
      <w:tr w:rsidR="00E74A2C" w:rsidRPr="003D33BE" w:rsidTr="0011748C">
        <w:trPr>
          <w:trHeight w:val="300"/>
          <w:tblHeader/>
        </w:trPr>
        <w:tc>
          <w:tcPr>
            <w:tcW w:w="960" w:type="dxa"/>
            <w:tcBorders>
              <w:top w:val="single" w:sz="8" w:space="0" w:color="9BBB59"/>
              <w:left w:val="single" w:sz="8" w:space="0" w:color="9BBB59"/>
              <w:bottom w:val="nil"/>
              <w:right w:val="nil"/>
            </w:tcBorders>
            <w:shd w:val="clear" w:color="000000" w:fill="9BBB59"/>
            <w:hideMark/>
          </w:tcPr>
          <w:p w:rsidR="00E74A2C" w:rsidRPr="003D33BE" w:rsidRDefault="00E74A2C" w:rsidP="0011748C">
            <w:pPr>
              <w:spacing w:after="0" w:line="240" w:lineRule="auto"/>
              <w:jc w:val="both"/>
              <w:rPr>
                <w:rFonts w:ascii="Times New Roman" w:hAnsi="Times New Roman"/>
                <w:color w:val="000000"/>
                <w:szCs w:val="20"/>
                <w:lang w:eastAsia="sl-SI"/>
              </w:rPr>
            </w:pPr>
            <w:r w:rsidRPr="003D33BE">
              <w:rPr>
                <w:rFonts w:ascii="Times New Roman" w:hAnsi="Times New Roman"/>
                <w:color w:val="000000"/>
                <w:szCs w:val="20"/>
                <w:lang w:eastAsia="sl-SI"/>
              </w:rPr>
              <w:t> </w:t>
            </w:r>
          </w:p>
        </w:tc>
        <w:tc>
          <w:tcPr>
            <w:tcW w:w="960" w:type="dxa"/>
            <w:tcBorders>
              <w:top w:val="single" w:sz="8" w:space="0" w:color="9BBB59"/>
              <w:left w:val="nil"/>
              <w:bottom w:val="nil"/>
              <w:right w:val="nil"/>
            </w:tcBorders>
            <w:shd w:val="clear" w:color="000000" w:fill="9BBB59"/>
            <w:vAlign w:val="center"/>
            <w:hideMark/>
          </w:tcPr>
          <w:p w:rsidR="00E74A2C" w:rsidRPr="003D33BE" w:rsidRDefault="00E74A2C" w:rsidP="0011748C">
            <w:pPr>
              <w:spacing w:after="0" w:line="240" w:lineRule="auto"/>
              <w:jc w:val="right"/>
              <w:rPr>
                <w:rFonts w:ascii="Arial Narrow" w:hAnsi="Arial Narrow"/>
                <w:b/>
                <w:bCs/>
                <w:color w:val="FFFFFF"/>
                <w:sz w:val="16"/>
                <w:szCs w:val="16"/>
                <w:lang w:eastAsia="sl-SI"/>
              </w:rPr>
            </w:pPr>
            <w:r w:rsidRPr="003D33BE">
              <w:rPr>
                <w:rFonts w:ascii="Arial Narrow" w:hAnsi="Arial Narrow"/>
                <w:b/>
                <w:bCs/>
                <w:color w:val="FFFFFF"/>
                <w:sz w:val="16"/>
                <w:szCs w:val="16"/>
                <w:lang w:eastAsia="sl-SI"/>
              </w:rPr>
              <w:t>2008</w:t>
            </w:r>
          </w:p>
        </w:tc>
        <w:tc>
          <w:tcPr>
            <w:tcW w:w="960" w:type="dxa"/>
            <w:tcBorders>
              <w:top w:val="single" w:sz="8" w:space="0" w:color="9BBB59"/>
              <w:left w:val="nil"/>
              <w:bottom w:val="nil"/>
              <w:right w:val="nil"/>
            </w:tcBorders>
            <w:shd w:val="clear" w:color="000000" w:fill="9BBB59"/>
            <w:vAlign w:val="center"/>
            <w:hideMark/>
          </w:tcPr>
          <w:p w:rsidR="00E74A2C" w:rsidRPr="003D33BE" w:rsidRDefault="00E74A2C" w:rsidP="0011748C">
            <w:pPr>
              <w:spacing w:after="0" w:line="240" w:lineRule="auto"/>
              <w:jc w:val="right"/>
              <w:rPr>
                <w:rFonts w:ascii="Arial Narrow" w:hAnsi="Arial Narrow"/>
                <w:b/>
                <w:bCs/>
                <w:color w:val="FFFFFF"/>
                <w:sz w:val="16"/>
                <w:szCs w:val="16"/>
                <w:lang w:eastAsia="sl-SI"/>
              </w:rPr>
            </w:pPr>
            <w:r w:rsidRPr="003D33BE">
              <w:rPr>
                <w:rFonts w:ascii="Arial Narrow" w:hAnsi="Arial Narrow"/>
                <w:b/>
                <w:bCs/>
                <w:color w:val="FFFFFF"/>
                <w:sz w:val="16"/>
                <w:szCs w:val="16"/>
                <w:lang w:eastAsia="sl-SI"/>
              </w:rPr>
              <w:t>2009</w:t>
            </w:r>
          </w:p>
        </w:tc>
        <w:tc>
          <w:tcPr>
            <w:tcW w:w="960" w:type="dxa"/>
            <w:tcBorders>
              <w:top w:val="single" w:sz="8" w:space="0" w:color="9BBB59"/>
              <w:left w:val="nil"/>
              <w:bottom w:val="nil"/>
              <w:right w:val="nil"/>
            </w:tcBorders>
            <w:shd w:val="clear" w:color="000000" w:fill="9BBB59"/>
            <w:vAlign w:val="center"/>
            <w:hideMark/>
          </w:tcPr>
          <w:p w:rsidR="00E74A2C" w:rsidRPr="003D33BE" w:rsidRDefault="00E74A2C" w:rsidP="0011748C">
            <w:pPr>
              <w:spacing w:after="0" w:line="240" w:lineRule="auto"/>
              <w:jc w:val="right"/>
              <w:rPr>
                <w:rFonts w:ascii="Arial Narrow" w:hAnsi="Arial Narrow"/>
                <w:b/>
                <w:bCs/>
                <w:color w:val="FFFFFF"/>
                <w:sz w:val="16"/>
                <w:szCs w:val="16"/>
                <w:lang w:eastAsia="sl-SI"/>
              </w:rPr>
            </w:pPr>
            <w:r w:rsidRPr="003D33BE">
              <w:rPr>
                <w:rFonts w:ascii="Arial Narrow" w:hAnsi="Arial Narrow"/>
                <w:b/>
                <w:bCs/>
                <w:color w:val="FFFFFF"/>
                <w:sz w:val="16"/>
                <w:szCs w:val="16"/>
                <w:lang w:eastAsia="sl-SI"/>
              </w:rPr>
              <w:t>2010</w:t>
            </w:r>
          </w:p>
        </w:tc>
        <w:tc>
          <w:tcPr>
            <w:tcW w:w="960" w:type="dxa"/>
            <w:tcBorders>
              <w:top w:val="single" w:sz="8" w:space="0" w:color="9BBB59"/>
              <w:left w:val="nil"/>
              <w:bottom w:val="nil"/>
              <w:right w:val="nil"/>
            </w:tcBorders>
            <w:shd w:val="clear" w:color="000000" w:fill="9BBB59"/>
            <w:vAlign w:val="center"/>
            <w:hideMark/>
          </w:tcPr>
          <w:p w:rsidR="00E74A2C" w:rsidRPr="003D33BE" w:rsidRDefault="00E74A2C" w:rsidP="0011748C">
            <w:pPr>
              <w:spacing w:after="0" w:line="240" w:lineRule="auto"/>
              <w:jc w:val="right"/>
              <w:rPr>
                <w:rFonts w:ascii="Arial Narrow" w:hAnsi="Arial Narrow"/>
                <w:b/>
                <w:bCs/>
                <w:color w:val="FFFFFF"/>
                <w:sz w:val="16"/>
                <w:szCs w:val="16"/>
                <w:lang w:eastAsia="sl-SI"/>
              </w:rPr>
            </w:pPr>
            <w:r w:rsidRPr="003D33BE">
              <w:rPr>
                <w:rFonts w:ascii="Arial Narrow" w:hAnsi="Arial Narrow"/>
                <w:b/>
                <w:bCs/>
                <w:color w:val="FFFFFF"/>
                <w:sz w:val="16"/>
                <w:szCs w:val="16"/>
                <w:lang w:eastAsia="sl-SI"/>
              </w:rPr>
              <w:t>2011</w:t>
            </w:r>
          </w:p>
        </w:tc>
        <w:tc>
          <w:tcPr>
            <w:tcW w:w="960" w:type="dxa"/>
            <w:tcBorders>
              <w:top w:val="single" w:sz="8" w:space="0" w:color="9BBB59"/>
              <w:left w:val="nil"/>
              <w:bottom w:val="nil"/>
              <w:right w:val="nil"/>
            </w:tcBorders>
            <w:shd w:val="clear" w:color="000000" w:fill="9BBB59"/>
            <w:vAlign w:val="center"/>
            <w:hideMark/>
          </w:tcPr>
          <w:p w:rsidR="00E74A2C" w:rsidRPr="003D33BE" w:rsidRDefault="00E74A2C" w:rsidP="0011748C">
            <w:pPr>
              <w:spacing w:after="0" w:line="240" w:lineRule="auto"/>
              <w:jc w:val="right"/>
              <w:rPr>
                <w:rFonts w:ascii="Arial Narrow" w:hAnsi="Arial Narrow"/>
                <w:b/>
                <w:bCs/>
                <w:color w:val="FFFFFF"/>
                <w:sz w:val="16"/>
                <w:szCs w:val="16"/>
                <w:lang w:eastAsia="sl-SI"/>
              </w:rPr>
            </w:pPr>
            <w:r w:rsidRPr="003D33BE">
              <w:rPr>
                <w:rFonts w:ascii="Arial Narrow" w:hAnsi="Arial Narrow"/>
                <w:b/>
                <w:bCs/>
                <w:color w:val="FFFFFF"/>
                <w:sz w:val="16"/>
                <w:szCs w:val="16"/>
                <w:lang w:eastAsia="sl-SI"/>
              </w:rPr>
              <w:t>2012</w:t>
            </w:r>
          </w:p>
        </w:tc>
        <w:tc>
          <w:tcPr>
            <w:tcW w:w="960" w:type="dxa"/>
            <w:tcBorders>
              <w:top w:val="single" w:sz="8" w:space="0" w:color="9BBB59"/>
              <w:left w:val="nil"/>
              <w:bottom w:val="nil"/>
              <w:right w:val="nil"/>
            </w:tcBorders>
            <w:shd w:val="clear" w:color="000000" w:fill="9BBB59"/>
            <w:vAlign w:val="center"/>
            <w:hideMark/>
          </w:tcPr>
          <w:p w:rsidR="00E74A2C" w:rsidRPr="003D33BE" w:rsidRDefault="00E74A2C" w:rsidP="0011748C">
            <w:pPr>
              <w:spacing w:after="0" w:line="240" w:lineRule="auto"/>
              <w:jc w:val="right"/>
              <w:rPr>
                <w:rFonts w:ascii="Arial Narrow" w:hAnsi="Arial Narrow"/>
                <w:b/>
                <w:bCs/>
                <w:color w:val="FFFFFF"/>
                <w:sz w:val="16"/>
                <w:szCs w:val="16"/>
                <w:lang w:eastAsia="sl-SI"/>
              </w:rPr>
            </w:pPr>
            <w:r w:rsidRPr="003D33BE">
              <w:rPr>
                <w:rFonts w:ascii="Arial Narrow" w:hAnsi="Arial Narrow"/>
                <w:b/>
                <w:bCs/>
                <w:color w:val="FFFFFF"/>
                <w:sz w:val="16"/>
                <w:szCs w:val="16"/>
                <w:lang w:eastAsia="sl-SI"/>
              </w:rPr>
              <w:t>2013</w:t>
            </w:r>
          </w:p>
        </w:tc>
        <w:tc>
          <w:tcPr>
            <w:tcW w:w="960" w:type="dxa"/>
            <w:tcBorders>
              <w:top w:val="single" w:sz="8" w:space="0" w:color="9BBB59"/>
              <w:left w:val="nil"/>
              <w:bottom w:val="nil"/>
              <w:right w:val="nil"/>
            </w:tcBorders>
            <w:shd w:val="clear" w:color="000000" w:fill="9BBB59"/>
            <w:vAlign w:val="center"/>
            <w:hideMark/>
          </w:tcPr>
          <w:p w:rsidR="00E74A2C" w:rsidRPr="003D33BE" w:rsidRDefault="00E74A2C" w:rsidP="0011748C">
            <w:pPr>
              <w:spacing w:after="0" w:line="240" w:lineRule="auto"/>
              <w:jc w:val="right"/>
              <w:rPr>
                <w:rFonts w:ascii="Arial Narrow" w:hAnsi="Arial Narrow"/>
                <w:b/>
                <w:bCs/>
                <w:color w:val="FFFFFF"/>
                <w:sz w:val="16"/>
                <w:szCs w:val="16"/>
                <w:lang w:eastAsia="sl-SI"/>
              </w:rPr>
            </w:pPr>
            <w:r w:rsidRPr="003D33BE">
              <w:rPr>
                <w:rFonts w:ascii="Arial Narrow" w:hAnsi="Arial Narrow"/>
                <w:b/>
                <w:bCs/>
                <w:color w:val="FFFFFF"/>
                <w:sz w:val="16"/>
                <w:szCs w:val="16"/>
                <w:lang w:eastAsia="sl-SI"/>
              </w:rPr>
              <w:t>2014</w:t>
            </w:r>
          </w:p>
        </w:tc>
        <w:tc>
          <w:tcPr>
            <w:tcW w:w="960" w:type="dxa"/>
            <w:tcBorders>
              <w:top w:val="single" w:sz="8" w:space="0" w:color="9BBB59"/>
              <w:left w:val="nil"/>
              <w:bottom w:val="nil"/>
              <w:right w:val="single" w:sz="8" w:space="0" w:color="9BBB59"/>
            </w:tcBorders>
            <w:shd w:val="clear" w:color="000000" w:fill="9BBB59"/>
            <w:vAlign w:val="center"/>
            <w:hideMark/>
          </w:tcPr>
          <w:p w:rsidR="00E74A2C" w:rsidRPr="003D33BE" w:rsidRDefault="00E74A2C" w:rsidP="0011748C">
            <w:pPr>
              <w:spacing w:after="0" w:line="240" w:lineRule="auto"/>
              <w:jc w:val="right"/>
              <w:rPr>
                <w:rFonts w:ascii="Arial Narrow" w:hAnsi="Arial Narrow"/>
                <w:b/>
                <w:bCs/>
                <w:color w:val="FFFFFF"/>
                <w:sz w:val="16"/>
                <w:szCs w:val="16"/>
                <w:lang w:eastAsia="sl-SI"/>
              </w:rPr>
            </w:pPr>
            <w:r w:rsidRPr="003D33BE">
              <w:rPr>
                <w:rFonts w:ascii="Arial Narrow" w:hAnsi="Arial Narrow"/>
                <w:b/>
                <w:bCs/>
                <w:color w:val="FFFFFF"/>
                <w:sz w:val="16"/>
                <w:szCs w:val="16"/>
                <w:lang w:eastAsia="sl-SI"/>
              </w:rPr>
              <w:t>2015</w:t>
            </w:r>
          </w:p>
        </w:tc>
      </w:tr>
      <w:tr w:rsidR="00E74A2C" w:rsidRPr="003D33BE" w:rsidTr="0011748C">
        <w:trPr>
          <w:trHeight w:val="300"/>
        </w:trPr>
        <w:tc>
          <w:tcPr>
            <w:tcW w:w="960" w:type="dxa"/>
            <w:tcBorders>
              <w:top w:val="single" w:sz="8" w:space="0" w:color="9BBB59"/>
              <w:left w:val="single" w:sz="8" w:space="0" w:color="9BBB59"/>
              <w:bottom w:val="single" w:sz="8" w:space="0" w:color="9BBB59"/>
              <w:right w:val="nil"/>
            </w:tcBorders>
            <w:shd w:val="clear" w:color="auto" w:fill="9BBB59" w:themeFill="accent3"/>
            <w:vAlign w:val="center"/>
            <w:hideMark/>
          </w:tcPr>
          <w:p w:rsidR="00E74A2C" w:rsidRPr="00313D0D" w:rsidRDefault="00E74A2C" w:rsidP="0011748C">
            <w:pPr>
              <w:spacing w:after="0" w:line="240" w:lineRule="auto"/>
              <w:jc w:val="both"/>
              <w:rPr>
                <w:rFonts w:ascii="Arial Narrow" w:hAnsi="Arial Narrow"/>
                <w:b/>
                <w:color w:val="FFFFFF" w:themeColor="background1"/>
                <w:sz w:val="16"/>
                <w:szCs w:val="16"/>
                <w:lang w:eastAsia="sl-SI"/>
              </w:rPr>
            </w:pPr>
            <w:r w:rsidRPr="00313D0D">
              <w:rPr>
                <w:rFonts w:ascii="Arial Narrow" w:hAnsi="Arial Narrow" w:cs="Arial"/>
                <w:b/>
                <w:color w:val="FFFFFF" w:themeColor="background1"/>
                <w:sz w:val="16"/>
                <w:szCs w:val="16"/>
                <w:lang w:eastAsia="sl-SI"/>
              </w:rPr>
              <w:t> </w:t>
            </w:r>
          </w:p>
        </w:tc>
        <w:tc>
          <w:tcPr>
            <w:tcW w:w="960" w:type="dxa"/>
            <w:tcBorders>
              <w:top w:val="single" w:sz="8" w:space="0" w:color="9BBB59"/>
              <w:left w:val="nil"/>
              <w:bottom w:val="single" w:sz="8" w:space="0" w:color="9BBB59"/>
              <w:right w:val="nil"/>
            </w:tcBorders>
            <w:shd w:val="clear" w:color="auto" w:fill="9BBB59" w:themeFill="accent3"/>
            <w:vAlign w:val="center"/>
            <w:hideMark/>
          </w:tcPr>
          <w:p w:rsidR="00E74A2C" w:rsidRPr="00313D0D" w:rsidRDefault="00E74A2C" w:rsidP="0011748C">
            <w:pPr>
              <w:spacing w:after="0" w:line="240" w:lineRule="auto"/>
              <w:jc w:val="right"/>
              <w:rPr>
                <w:rFonts w:ascii="Arial Narrow" w:hAnsi="Arial Narrow"/>
                <w:b/>
                <w:color w:val="FFFFFF" w:themeColor="background1"/>
                <w:sz w:val="16"/>
                <w:szCs w:val="16"/>
                <w:lang w:eastAsia="sl-SI"/>
              </w:rPr>
            </w:pPr>
            <w:r w:rsidRPr="00313D0D">
              <w:rPr>
                <w:rFonts w:ascii="Arial Narrow" w:hAnsi="Arial Narrow" w:cs="Arial"/>
                <w:b/>
                <w:color w:val="FFFFFF" w:themeColor="background1"/>
                <w:sz w:val="16"/>
                <w:szCs w:val="16"/>
                <w:lang w:eastAsia="sl-SI"/>
              </w:rPr>
              <w:t>EUR</w:t>
            </w:r>
          </w:p>
        </w:tc>
        <w:tc>
          <w:tcPr>
            <w:tcW w:w="960" w:type="dxa"/>
            <w:tcBorders>
              <w:top w:val="single" w:sz="8" w:space="0" w:color="9BBB59"/>
              <w:left w:val="nil"/>
              <w:bottom w:val="single" w:sz="8" w:space="0" w:color="9BBB59"/>
              <w:right w:val="nil"/>
            </w:tcBorders>
            <w:shd w:val="clear" w:color="auto" w:fill="9BBB59" w:themeFill="accent3"/>
            <w:vAlign w:val="center"/>
            <w:hideMark/>
          </w:tcPr>
          <w:p w:rsidR="00E74A2C" w:rsidRPr="00313D0D" w:rsidRDefault="00E74A2C" w:rsidP="0011748C">
            <w:pPr>
              <w:spacing w:after="0" w:line="240" w:lineRule="auto"/>
              <w:jc w:val="right"/>
              <w:rPr>
                <w:rFonts w:ascii="Arial Narrow" w:hAnsi="Arial Narrow"/>
                <w:b/>
                <w:color w:val="FFFFFF" w:themeColor="background1"/>
                <w:sz w:val="16"/>
                <w:szCs w:val="16"/>
                <w:lang w:eastAsia="sl-SI"/>
              </w:rPr>
            </w:pPr>
            <w:r w:rsidRPr="00313D0D">
              <w:rPr>
                <w:rFonts w:ascii="Arial Narrow" w:hAnsi="Arial Narrow" w:cs="Arial"/>
                <w:b/>
                <w:color w:val="FFFFFF" w:themeColor="background1"/>
                <w:sz w:val="16"/>
                <w:szCs w:val="16"/>
                <w:lang w:eastAsia="sl-SI"/>
              </w:rPr>
              <w:t>EUR</w:t>
            </w:r>
          </w:p>
        </w:tc>
        <w:tc>
          <w:tcPr>
            <w:tcW w:w="960" w:type="dxa"/>
            <w:tcBorders>
              <w:top w:val="single" w:sz="8" w:space="0" w:color="9BBB59"/>
              <w:left w:val="nil"/>
              <w:bottom w:val="single" w:sz="8" w:space="0" w:color="9BBB59"/>
              <w:right w:val="nil"/>
            </w:tcBorders>
            <w:shd w:val="clear" w:color="auto" w:fill="9BBB59" w:themeFill="accent3"/>
            <w:vAlign w:val="center"/>
            <w:hideMark/>
          </w:tcPr>
          <w:p w:rsidR="00E74A2C" w:rsidRPr="00313D0D" w:rsidRDefault="00E74A2C" w:rsidP="0011748C">
            <w:pPr>
              <w:spacing w:after="0" w:line="240" w:lineRule="auto"/>
              <w:jc w:val="right"/>
              <w:rPr>
                <w:rFonts w:ascii="Arial Narrow" w:hAnsi="Arial Narrow"/>
                <w:b/>
                <w:color w:val="FFFFFF" w:themeColor="background1"/>
                <w:sz w:val="16"/>
                <w:szCs w:val="16"/>
                <w:lang w:eastAsia="sl-SI"/>
              </w:rPr>
            </w:pPr>
            <w:r w:rsidRPr="00313D0D">
              <w:rPr>
                <w:rFonts w:ascii="Arial Narrow" w:hAnsi="Arial Narrow" w:cs="Arial"/>
                <w:b/>
                <w:color w:val="FFFFFF" w:themeColor="background1"/>
                <w:sz w:val="16"/>
                <w:szCs w:val="16"/>
                <w:lang w:eastAsia="sl-SI"/>
              </w:rPr>
              <w:t>EUR</w:t>
            </w:r>
          </w:p>
        </w:tc>
        <w:tc>
          <w:tcPr>
            <w:tcW w:w="960" w:type="dxa"/>
            <w:tcBorders>
              <w:top w:val="single" w:sz="8" w:space="0" w:color="9BBB59"/>
              <w:left w:val="nil"/>
              <w:bottom w:val="single" w:sz="8" w:space="0" w:color="9BBB59"/>
              <w:right w:val="nil"/>
            </w:tcBorders>
            <w:shd w:val="clear" w:color="auto" w:fill="9BBB59" w:themeFill="accent3"/>
            <w:vAlign w:val="center"/>
            <w:hideMark/>
          </w:tcPr>
          <w:p w:rsidR="00E74A2C" w:rsidRPr="00313D0D" w:rsidRDefault="00E74A2C" w:rsidP="0011748C">
            <w:pPr>
              <w:spacing w:after="0" w:line="240" w:lineRule="auto"/>
              <w:jc w:val="right"/>
              <w:rPr>
                <w:rFonts w:ascii="Arial Narrow" w:hAnsi="Arial Narrow"/>
                <w:b/>
                <w:color w:val="FFFFFF" w:themeColor="background1"/>
                <w:sz w:val="16"/>
                <w:szCs w:val="16"/>
                <w:lang w:eastAsia="sl-SI"/>
              </w:rPr>
            </w:pPr>
            <w:r w:rsidRPr="00313D0D">
              <w:rPr>
                <w:rFonts w:ascii="Arial Narrow" w:hAnsi="Arial Narrow" w:cs="Arial"/>
                <w:b/>
                <w:color w:val="FFFFFF" w:themeColor="background1"/>
                <w:sz w:val="16"/>
                <w:szCs w:val="16"/>
                <w:lang w:eastAsia="sl-SI"/>
              </w:rPr>
              <w:t>EUR</w:t>
            </w:r>
          </w:p>
        </w:tc>
        <w:tc>
          <w:tcPr>
            <w:tcW w:w="960" w:type="dxa"/>
            <w:tcBorders>
              <w:top w:val="single" w:sz="8" w:space="0" w:color="9BBB59"/>
              <w:left w:val="nil"/>
              <w:bottom w:val="single" w:sz="8" w:space="0" w:color="9BBB59"/>
              <w:right w:val="nil"/>
            </w:tcBorders>
            <w:shd w:val="clear" w:color="auto" w:fill="9BBB59" w:themeFill="accent3"/>
            <w:vAlign w:val="center"/>
            <w:hideMark/>
          </w:tcPr>
          <w:p w:rsidR="00E74A2C" w:rsidRPr="00313D0D" w:rsidRDefault="00E74A2C" w:rsidP="0011748C">
            <w:pPr>
              <w:spacing w:after="0" w:line="240" w:lineRule="auto"/>
              <w:jc w:val="right"/>
              <w:rPr>
                <w:rFonts w:ascii="Arial Narrow" w:hAnsi="Arial Narrow"/>
                <w:b/>
                <w:color w:val="FFFFFF" w:themeColor="background1"/>
                <w:sz w:val="16"/>
                <w:szCs w:val="16"/>
                <w:lang w:eastAsia="sl-SI"/>
              </w:rPr>
            </w:pPr>
            <w:r w:rsidRPr="00313D0D">
              <w:rPr>
                <w:rFonts w:ascii="Arial Narrow" w:hAnsi="Arial Narrow" w:cs="Arial"/>
                <w:b/>
                <w:color w:val="FFFFFF" w:themeColor="background1"/>
                <w:sz w:val="16"/>
                <w:szCs w:val="16"/>
                <w:lang w:eastAsia="sl-SI"/>
              </w:rPr>
              <w:t>EUR</w:t>
            </w:r>
          </w:p>
        </w:tc>
        <w:tc>
          <w:tcPr>
            <w:tcW w:w="960" w:type="dxa"/>
            <w:tcBorders>
              <w:top w:val="single" w:sz="8" w:space="0" w:color="9BBB59"/>
              <w:left w:val="nil"/>
              <w:bottom w:val="single" w:sz="8" w:space="0" w:color="9BBB59"/>
              <w:right w:val="nil"/>
            </w:tcBorders>
            <w:shd w:val="clear" w:color="auto" w:fill="9BBB59" w:themeFill="accent3"/>
            <w:vAlign w:val="center"/>
            <w:hideMark/>
          </w:tcPr>
          <w:p w:rsidR="00E74A2C" w:rsidRPr="00313D0D" w:rsidRDefault="00E74A2C" w:rsidP="0011748C">
            <w:pPr>
              <w:spacing w:after="0" w:line="240" w:lineRule="auto"/>
              <w:jc w:val="right"/>
              <w:rPr>
                <w:rFonts w:ascii="Arial Narrow" w:hAnsi="Arial Narrow"/>
                <w:b/>
                <w:color w:val="FFFFFF" w:themeColor="background1"/>
                <w:sz w:val="16"/>
                <w:szCs w:val="16"/>
                <w:lang w:eastAsia="sl-SI"/>
              </w:rPr>
            </w:pPr>
            <w:r w:rsidRPr="00313D0D">
              <w:rPr>
                <w:rFonts w:ascii="Arial Narrow" w:hAnsi="Arial Narrow" w:cs="Arial"/>
                <w:b/>
                <w:color w:val="FFFFFF" w:themeColor="background1"/>
                <w:sz w:val="16"/>
                <w:szCs w:val="16"/>
                <w:lang w:eastAsia="sl-SI"/>
              </w:rPr>
              <w:t>EUR</w:t>
            </w:r>
          </w:p>
        </w:tc>
        <w:tc>
          <w:tcPr>
            <w:tcW w:w="960" w:type="dxa"/>
            <w:tcBorders>
              <w:top w:val="single" w:sz="8" w:space="0" w:color="9BBB59"/>
              <w:left w:val="nil"/>
              <w:bottom w:val="single" w:sz="8" w:space="0" w:color="9BBB59"/>
              <w:right w:val="nil"/>
            </w:tcBorders>
            <w:shd w:val="clear" w:color="auto" w:fill="9BBB59" w:themeFill="accent3"/>
            <w:vAlign w:val="center"/>
            <w:hideMark/>
          </w:tcPr>
          <w:p w:rsidR="00E74A2C" w:rsidRPr="00313D0D" w:rsidRDefault="00E74A2C" w:rsidP="0011748C">
            <w:pPr>
              <w:spacing w:after="0" w:line="240" w:lineRule="auto"/>
              <w:jc w:val="right"/>
              <w:rPr>
                <w:rFonts w:ascii="Arial Narrow" w:hAnsi="Arial Narrow"/>
                <w:b/>
                <w:color w:val="FFFFFF" w:themeColor="background1"/>
                <w:sz w:val="16"/>
                <w:szCs w:val="16"/>
                <w:lang w:eastAsia="sl-SI"/>
              </w:rPr>
            </w:pPr>
            <w:r w:rsidRPr="00313D0D">
              <w:rPr>
                <w:rFonts w:ascii="Arial Narrow" w:hAnsi="Arial Narrow" w:cs="Arial"/>
                <w:b/>
                <w:color w:val="FFFFFF" w:themeColor="background1"/>
                <w:sz w:val="16"/>
                <w:szCs w:val="16"/>
                <w:lang w:eastAsia="sl-SI"/>
              </w:rPr>
              <w:t>EUR</w:t>
            </w:r>
          </w:p>
        </w:tc>
        <w:tc>
          <w:tcPr>
            <w:tcW w:w="960" w:type="dxa"/>
            <w:tcBorders>
              <w:top w:val="single" w:sz="8" w:space="0" w:color="9BBB59"/>
              <w:left w:val="nil"/>
              <w:bottom w:val="single" w:sz="8" w:space="0" w:color="9BBB59"/>
              <w:right w:val="single" w:sz="8" w:space="0" w:color="9BBB59"/>
            </w:tcBorders>
            <w:shd w:val="clear" w:color="auto" w:fill="9BBB59" w:themeFill="accent3"/>
            <w:vAlign w:val="center"/>
            <w:hideMark/>
          </w:tcPr>
          <w:p w:rsidR="00E74A2C" w:rsidRPr="00313D0D" w:rsidRDefault="00E74A2C" w:rsidP="0011748C">
            <w:pPr>
              <w:spacing w:after="0" w:line="240" w:lineRule="auto"/>
              <w:jc w:val="right"/>
              <w:rPr>
                <w:rFonts w:ascii="Arial Narrow" w:hAnsi="Arial Narrow"/>
                <w:b/>
                <w:color w:val="FFFFFF" w:themeColor="background1"/>
                <w:sz w:val="16"/>
                <w:szCs w:val="16"/>
                <w:lang w:eastAsia="sl-SI"/>
              </w:rPr>
            </w:pPr>
            <w:r w:rsidRPr="00313D0D">
              <w:rPr>
                <w:rFonts w:ascii="Arial Narrow" w:hAnsi="Arial Narrow" w:cs="Arial"/>
                <w:b/>
                <w:color w:val="FFFFFF" w:themeColor="background1"/>
                <w:sz w:val="16"/>
                <w:szCs w:val="16"/>
                <w:lang w:eastAsia="sl-SI"/>
              </w:rPr>
              <w:t>EUR</w:t>
            </w:r>
          </w:p>
        </w:tc>
      </w:tr>
      <w:tr w:rsidR="00E74A2C" w:rsidRPr="003D33BE" w:rsidTr="000A3183">
        <w:trPr>
          <w:trHeight w:val="102"/>
        </w:trPr>
        <w:tc>
          <w:tcPr>
            <w:tcW w:w="960" w:type="dxa"/>
            <w:tcBorders>
              <w:top w:val="nil"/>
              <w:left w:val="single" w:sz="8" w:space="0" w:color="9BBB59"/>
              <w:bottom w:val="nil"/>
              <w:right w:val="nil"/>
            </w:tcBorders>
            <w:shd w:val="clear" w:color="auto" w:fill="auto"/>
            <w:vAlign w:val="center"/>
            <w:hideMark/>
          </w:tcPr>
          <w:p w:rsidR="00E74A2C" w:rsidRPr="003D33BE" w:rsidRDefault="00E74A2C" w:rsidP="0011748C">
            <w:pPr>
              <w:spacing w:after="0" w:line="240" w:lineRule="auto"/>
              <w:jc w:val="both"/>
              <w:rPr>
                <w:rFonts w:ascii="Arial Narrow" w:hAnsi="Arial Narrow"/>
                <w:color w:val="000000"/>
                <w:sz w:val="16"/>
                <w:szCs w:val="16"/>
                <w:lang w:eastAsia="sl-SI"/>
              </w:rPr>
            </w:pPr>
            <w:r w:rsidRPr="003D33BE">
              <w:rPr>
                <w:rFonts w:ascii="Arial Narrow" w:hAnsi="Arial Narrow" w:cs="Arial"/>
                <w:color w:val="000000"/>
                <w:sz w:val="16"/>
                <w:szCs w:val="16"/>
                <w:lang w:eastAsia="sl-SI"/>
              </w:rPr>
              <w:t>Plače</w:t>
            </w:r>
          </w:p>
        </w:tc>
        <w:tc>
          <w:tcPr>
            <w:tcW w:w="960" w:type="dxa"/>
            <w:tcBorders>
              <w:top w:val="nil"/>
              <w:left w:val="nil"/>
              <w:bottom w:val="nil"/>
              <w:right w:val="nil"/>
            </w:tcBorders>
            <w:shd w:val="clear" w:color="auto" w:fill="auto"/>
            <w:vAlign w:val="center"/>
            <w:hideMark/>
          </w:tcPr>
          <w:p w:rsidR="00E74A2C" w:rsidRPr="003D33BE" w:rsidRDefault="00E74A2C" w:rsidP="0011748C">
            <w:pPr>
              <w:spacing w:after="0" w:line="240" w:lineRule="auto"/>
              <w:jc w:val="right"/>
              <w:rPr>
                <w:rFonts w:ascii="Arial Narrow" w:hAnsi="Arial Narrow"/>
                <w:color w:val="000000"/>
                <w:sz w:val="16"/>
                <w:szCs w:val="16"/>
                <w:lang w:eastAsia="sl-SI"/>
              </w:rPr>
            </w:pPr>
            <w:r w:rsidRPr="003D33BE">
              <w:rPr>
                <w:rFonts w:ascii="Arial Narrow" w:hAnsi="Arial Narrow" w:cs="Arial"/>
                <w:color w:val="000000"/>
                <w:sz w:val="16"/>
                <w:szCs w:val="16"/>
                <w:lang w:eastAsia="sl-SI"/>
              </w:rPr>
              <w:t>66.532.458</w:t>
            </w:r>
          </w:p>
        </w:tc>
        <w:tc>
          <w:tcPr>
            <w:tcW w:w="960" w:type="dxa"/>
            <w:tcBorders>
              <w:top w:val="nil"/>
              <w:left w:val="nil"/>
              <w:bottom w:val="nil"/>
              <w:right w:val="nil"/>
            </w:tcBorders>
            <w:shd w:val="clear" w:color="auto" w:fill="auto"/>
            <w:vAlign w:val="center"/>
            <w:hideMark/>
          </w:tcPr>
          <w:p w:rsidR="00E74A2C" w:rsidRPr="003D33BE" w:rsidRDefault="00E74A2C" w:rsidP="0011748C">
            <w:pPr>
              <w:spacing w:after="0" w:line="240" w:lineRule="auto"/>
              <w:jc w:val="right"/>
              <w:rPr>
                <w:rFonts w:ascii="Arial Narrow" w:hAnsi="Arial Narrow"/>
                <w:color w:val="000000"/>
                <w:sz w:val="16"/>
                <w:szCs w:val="16"/>
                <w:lang w:eastAsia="sl-SI"/>
              </w:rPr>
            </w:pPr>
            <w:r w:rsidRPr="003D33BE">
              <w:rPr>
                <w:rFonts w:ascii="Arial Narrow" w:hAnsi="Arial Narrow" w:cs="Arial"/>
                <w:color w:val="000000"/>
                <w:sz w:val="16"/>
                <w:szCs w:val="16"/>
                <w:lang w:eastAsia="sl-SI"/>
              </w:rPr>
              <w:t>72.745.337</w:t>
            </w:r>
          </w:p>
        </w:tc>
        <w:tc>
          <w:tcPr>
            <w:tcW w:w="960" w:type="dxa"/>
            <w:tcBorders>
              <w:top w:val="nil"/>
              <w:left w:val="nil"/>
              <w:bottom w:val="nil"/>
              <w:right w:val="nil"/>
            </w:tcBorders>
            <w:shd w:val="clear" w:color="auto" w:fill="auto"/>
            <w:vAlign w:val="center"/>
            <w:hideMark/>
          </w:tcPr>
          <w:p w:rsidR="00E74A2C" w:rsidRPr="003D33BE" w:rsidRDefault="00E74A2C" w:rsidP="0011748C">
            <w:pPr>
              <w:spacing w:after="0" w:line="240" w:lineRule="auto"/>
              <w:jc w:val="right"/>
              <w:rPr>
                <w:rFonts w:ascii="Arial Narrow" w:hAnsi="Arial Narrow"/>
                <w:color w:val="000000"/>
                <w:sz w:val="16"/>
                <w:szCs w:val="16"/>
                <w:lang w:eastAsia="sl-SI"/>
              </w:rPr>
            </w:pPr>
            <w:r w:rsidRPr="003D33BE">
              <w:rPr>
                <w:rFonts w:ascii="Arial Narrow" w:hAnsi="Arial Narrow" w:cs="Arial"/>
                <w:color w:val="000000"/>
                <w:sz w:val="16"/>
                <w:szCs w:val="16"/>
                <w:lang w:eastAsia="sl-SI"/>
              </w:rPr>
              <w:t>74.202.202</w:t>
            </w:r>
          </w:p>
        </w:tc>
        <w:tc>
          <w:tcPr>
            <w:tcW w:w="960" w:type="dxa"/>
            <w:tcBorders>
              <w:top w:val="nil"/>
              <w:left w:val="nil"/>
              <w:bottom w:val="nil"/>
              <w:right w:val="nil"/>
            </w:tcBorders>
            <w:shd w:val="clear" w:color="auto" w:fill="auto"/>
            <w:vAlign w:val="center"/>
            <w:hideMark/>
          </w:tcPr>
          <w:p w:rsidR="00E74A2C" w:rsidRPr="003D33BE" w:rsidRDefault="00E74A2C" w:rsidP="0011748C">
            <w:pPr>
              <w:spacing w:after="0" w:line="240" w:lineRule="auto"/>
              <w:jc w:val="right"/>
              <w:rPr>
                <w:rFonts w:ascii="Arial Narrow" w:hAnsi="Arial Narrow"/>
                <w:color w:val="000000"/>
                <w:sz w:val="16"/>
                <w:szCs w:val="16"/>
                <w:lang w:eastAsia="sl-SI"/>
              </w:rPr>
            </w:pPr>
            <w:r w:rsidRPr="003D33BE">
              <w:rPr>
                <w:rFonts w:ascii="Arial Narrow" w:hAnsi="Arial Narrow" w:cs="Arial"/>
                <w:color w:val="000000"/>
                <w:sz w:val="16"/>
                <w:szCs w:val="16"/>
                <w:lang w:eastAsia="sl-SI"/>
              </w:rPr>
              <w:t>74.043.990</w:t>
            </w:r>
          </w:p>
        </w:tc>
        <w:tc>
          <w:tcPr>
            <w:tcW w:w="960" w:type="dxa"/>
            <w:tcBorders>
              <w:top w:val="nil"/>
              <w:left w:val="nil"/>
              <w:bottom w:val="nil"/>
              <w:right w:val="nil"/>
            </w:tcBorders>
            <w:shd w:val="clear" w:color="auto" w:fill="auto"/>
            <w:vAlign w:val="center"/>
            <w:hideMark/>
          </w:tcPr>
          <w:p w:rsidR="00E74A2C" w:rsidRPr="003D33BE" w:rsidRDefault="00E74A2C" w:rsidP="0011748C">
            <w:pPr>
              <w:spacing w:after="0" w:line="240" w:lineRule="auto"/>
              <w:jc w:val="right"/>
              <w:rPr>
                <w:rFonts w:ascii="Arial Narrow" w:hAnsi="Arial Narrow"/>
                <w:color w:val="000000"/>
                <w:sz w:val="16"/>
                <w:szCs w:val="16"/>
                <w:lang w:eastAsia="sl-SI"/>
              </w:rPr>
            </w:pPr>
            <w:r w:rsidRPr="003D33BE">
              <w:rPr>
                <w:rFonts w:ascii="Arial Narrow" w:hAnsi="Arial Narrow" w:cs="Arial"/>
                <w:color w:val="000000"/>
                <w:sz w:val="16"/>
                <w:szCs w:val="16"/>
                <w:lang w:eastAsia="sl-SI"/>
              </w:rPr>
              <w:t>72.198.931</w:t>
            </w:r>
          </w:p>
        </w:tc>
        <w:tc>
          <w:tcPr>
            <w:tcW w:w="960" w:type="dxa"/>
            <w:tcBorders>
              <w:top w:val="nil"/>
              <w:left w:val="nil"/>
              <w:bottom w:val="nil"/>
              <w:right w:val="nil"/>
            </w:tcBorders>
            <w:shd w:val="clear" w:color="auto" w:fill="auto"/>
            <w:vAlign w:val="center"/>
            <w:hideMark/>
          </w:tcPr>
          <w:p w:rsidR="00E74A2C" w:rsidRPr="003D33BE" w:rsidRDefault="00E74A2C" w:rsidP="0011748C">
            <w:pPr>
              <w:spacing w:after="0" w:line="240" w:lineRule="auto"/>
              <w:jc w:val="right"/>
              <w:rPr>
                <w:rFonts w:ascii="Arial Narrow" w:hAnsi="Arial Narrow"/>
                <w:color w:val="000000"/>
                <w:sz w:val="16"/>
                <w:szCs w:val="16"/>
                <w:lang w:eastAsia="sl-SI"/>
              </w:rPr>
            </w:pPr>
            <w:r w:rsidRPr="003D33BE">
              <w:rPr>
                <w:rFonts w:ascii="Arial Narrow" w:hAnsi="Arial Narrow" w:cs="Arial"/>
                <w:color w:val="000000"/>
                <w:sz w:val="16"/>
                <w:szCs w:val="16"/>
                <w:lang w:eastAsia="sl-SI"/>
              </w:rPr>
              <w:t>67.034.874</w:t>
            </w:r>
          </w:p>
        </w:tc>
        <w:tc>
          <w:tcPr>
            <w:tcW w:w="960" w:type="dxa"/>
            <w:tcBorders>
              <w:top w:val="nil"/>
              <w:left w:val="nil"/>
              <w:bottom w:val="nil"/>
              <w:right w:val="nil"/>
            </w:tcBorders>
            <w:shd w:val="clear" w:color="auto" w:fill="auto"/>
            <w:vAlign w:val="center"/>
            <w:hideMark/>
          </w:tcPr>
          <w:p w:rsidR="00E74A2C" w:rsidRPr="003D33BE" w:rsidRDefault="00E74A2C" w:rsidP="0011748C">
            <w:pPr>
              <w:spacing w:after="0" w:line="240" w:lineRule="auto"/>
              <w:jc w:val="right"/>
              <w:rPr>
                <w:rFonts w:ascii="Arial Narrow" w:hAnsi="Arial Narrow"/>
                <w:color w:val="000000"/>
                <w:sz w:val="16"/>
                <w:szCs w:val="16"/>
                <w:lang w:eastAsia="sl-SI"/>
              </w:rPr>
            </w:pPr>
            <w:r w:rsidRPr="003D33BE">
              <w:rPr>
                <w:rFonts w:ascii="Arial Narrow" w:hAnsi="Arial Narrow" w:cs="Arial"/>
                <w:color w:val="000000"/>
                <w:sz w:val="16"/>
                <w:szCs w:val="16"/>
                <w:lang w:eastAsia="sl-SI"/>
              </w:rPr>
              <w:t>67.227.825</w:t>
            </w:r>
          </w:p>
        </w:tc>
        <w:tc>
          <w:tcPr>
            <w:tcW w:w="960" w:type="dxa"/>
            <w:tcBorders>
              <w:top w:val="nil"/>
              <w:left w:val="nil"/>
              <w:bottom w:val="nil"/>
              <w:right w:val="single" w:sz="8" w:space="0" w:color="9BBB59"/>
            </w:tcBorders>
            <w:shd w:val="clear" w:color="auto" w:fill="auto"/>
            <w:vAlign w:val="center"/>
            <w:hideMark/>
          </w:tcPr>
          <w:p w:rsidR="00E74A2C" w:rsidRPr="003D33BE" w:rsidRDefault="00E74A2C" w:rsidP="0011748C">
            <w:pPr>
              <w:spacing w:after="0" w:line="240" w:lineRule="auto"/>
              <w:jc w:val="right"/>
              <w:rPr>
                <w:rFonts w:ascii="Arial Narrow" w:hAnsi="Arial Narrow"/>
                <w:color w:val="000000"/>
                <w:sz w:val="16"/>
                <w:szCs w:val="16"/>
                <w:lang w:eastAsia="sl-SI"/>
              </w:rPr>
            </w:pPr>
            <w:r w:rsidRPr="003D33BE">
              <w:rPr>
                <w:rFonts w:ascii="Arial Narrow" w:hAnsi="Arial Narrow" w:cs="Arial"/>
                <w:color w:val="000000"/>
                <w:sz w:val="16"/>
                <w:szCs w:val="16"/>
                <w:lang w:eastAsia="sl-SI"/>
              </w:rPr>
              <w:t>65.924.854</w:t>
            </w:r>
          </w:p>
        </w:tc>
      </w:tr>
      <w:tr w:rsidR="00E74A2C" w:rsidRPr="003D33BE" w:rsidTr="000A3183">
        <w:trPr>
          <w:trHeight w:val="102"/>
        </w:trPr>
        <w:tc>
          <w:tcPr>
            <w:tcW w:w="960" w:type="dxa"/>
            <w:tcBorders>
              <w:top w:val="single" w:sz="8" w:space="0" w:color="9BBB59"/>
              <w:left w:val="single" w:sz="8" w:space="0" w:color="9BBB59"/>
              <w:bottom w:val="single" w:sz="8" w:space="0" w:color="9BBB59"/>
              <w:right w:val="nil"/>
            </w:tcBorders>
            <w:shd w:val="clear" w:color="auto" w:fill="auto"/>
            <w:vAlign w:val="center"/>
            <w:hideMark/>
          </w:tcPr>
          <w:p w:rsidR="00E74A2C" w:rsidRPr="003D33BE" w:rsidRDefault="00E74A2C" w:rsidP="0011748C">
            <w:pPr>
              <w:spacing w:after="0" w:line="240" w:lineRule="auto"/>
              <w:jc w:val="both"/>
              <w:rPr>
                <w:rFonts w:ascii="Arial Narrow" w:hAnsi="Arial Narrow"/>
                <w:color w:val="000000"/>
                <w:sz w:val="16"/>
                <w:szCs w:val="16"/>
                <w:lang w:eastAsia="sl-SI"/>
              </w:rPr>
            </w:pPr>
            <w:r w:rsidRPr="003D33BE">
              <w:rPr>
                <w:rFonts w:ascii="Arial Narrow" w:hAnsi="Arial Narrow" w:cs="Arial"/>
                <w:color w:val="000000"/>
                <w:sz w:val="16"/>
                <w:szCs w:val="16"/>
                <w:lang w:eastAsia="sl-SI"/>
              </w:rPr>
              <w:t xml:space="preserve">Mat. </w:t>
            </w:r>
            <w:proofErr w:type="spellStart"/>
            <w:r w:rsidRPr="003D33BE">
              <w:rPr>
                <w:rFonts w:ascii="Arial Narrow" w:hAnsi="Arial Narrow" w:cs="Arial"/>
                <w:color w:val="000000"/>
                <w:sz w:val="16"/>
                <w:szCs w:val="16"/>
                <w:lang w:eastAsia="sl-SI"/>
              </w:rPr>
              <w:t>stroš</w:t>
            </w:r>
            <w:proofErr w:type="spellEnd"/>
            <w:r w:rsidRPr="003D33BE">
              <w:rPr>
                <w:rFonts w:ascii="Arial Narrow" w:hAnsi="Arial Narrow" w:cs="Arial"/>
                <w:color w:val="000000"/>
                <w:sz w:val="16"/>
                <w:szCs w:val="16"/>
                <w:lang w:eastAsia="sl-SI"/>
              </w:rPr>
              <w:t>.</w:t>
            </w:r>
          </w:p>
        </w:tc>
        <w:tc>
          <w:tcPr>
            <w:tcW w:w="960" w:type="dxa"/>
            <w:tcBorders>
              <w:top w:val="single" w:sz="8" w:space="0" w:color="9BBB59"/>
              <w:left w:val="nil"/>
              <w:bottom w:val="single" w:sz="8" w:space="0" w:color="9BBB59"/>
              <w:right w:val="nil"/>
            </w:tcBorders>
            <w:shd w:val="clear" w:color="auto" w:fill="auto"/>
            <w:vAlign w:val="center"/>
            <w:hideMark/>
          </w:tcPr>
          <w:p w:rsidR="00E74A2C" w:rsidRPr="003D33BE" w:rsidRDefault="00E74A2C" w:rsidP="0011748C">
            <w:pPr>
              <w:spacing w:after="0" w:line="240" w:lineRule="auto"/>
              <w:jc w:val="right"/>
              <w:rPr>
                <w:rFonts w:ascii="Arial Narrow" w:hAnsi="Arial Narrow"/>
                <w:color w:val="000000"/>
                <w:sz w:val="16"/>
                <w:szCs w:val="16"/>
                <w:lang w:eastAsia="sl-SI"/>
              </w:rPr>
            </w:pPr>
            <w:r w:rsidRPr="003D33BE">
              <w:rPr>
                <w:rFonts w:ascii="Arial Narrow" w:hAnsi="Arial Narrow" w:cs="Arial"/>
                <w:color w:val="000000"/>
                <w:sz w:val="16"/>
                <w:szCs w:val="16"/>
                <w:lang w:eastAsia="sl-SI"/>
              </w:rPr>
              <w:t>31.848.834</w:t>
            </w:r>
          </w:p>
        </w:tc>
        <w:tc>
          <w:tcPr>
            <w:tcW w:w="960" w:type="dxa"/>
            <w:tcBorders>
              <w:top w:val="single" w:sz="8" w:space="0" w:color="9BBB59"/>
              <w:left w:val="nil"/>
              <w:bottom w:val="single" w:sz="8" w:space="0" w:color="9BBB59"/>
              <w:right w:val="nil"/>
            </w:tcBorders>
            <w:shd w:val="clear" w:color="auto" w:fill="auto"/>
            <w:vAlign w:val="center"/>
            <w:hideMark/>
          </w:tcPr>
          <w:p w:rsidR="00E74A2C" w:rsidRPr="003D33BE" w:rsidRDefault="00E74A2C" w:rsidP="0011748C">
            <w:pPr>
              <w:spacing w:after="0" w:line="240" w:lineRule="auto"/>
              <w:jc w:val="right"/>
              <w:rPr>
                <w:rFonts w:ascii="Arial Narrow" w:hAnsi="Arial Narrow"/>
                <w:color w:val="000000"/>
                <w:sz w:val="16"/>
                <w:szCs w:val="16"/>
                <w:lang w:eastAsia="sl-SI"/>
              </w:rPr>
            </w:pPr>
            <w:r w:rsidRPr="003D33BE">
              <w:rPr>
                <w:rFonts w:ascii="Arial Narrow" w:hAnsi="Arial Narrow" w:cs="Arial"/>
                <w:color w:val="000000"/>
                <w:sz w:val="16"/>
                <w:szCs w:val="16"/>
                <w:lang w:eastAsia="sl-SI"/>
              </w:rPr>
              <w:t>33.681.083</w:t>
            </w:r>
          </w:p>
        </w:tc>
        <w:tc>
          <w:tcPr>
            <w:tcW w:w="960" w:type="dxa"/>
            <w:tcBorders>
              <w:top w:val="single" w:sz="8" w:space="0" w:color="9BBB59"/>
              <w:left w:val="nil"/>
              <w:bottom w:val="single" w:sz="8" w:space="0" w:color="9BBB59"/>
              <w:right w:val="nil"/>
            </w:tcBorders>
            <w:shd w:val="clear" w:color="auto" w:fill="auto"/>
            <w:vAlign w:val="center"/>
            <w:hideMark/>
          </w:tcPr>
          <w:p w:rsidR="00E74A2C" w:rsidRPr="003D33BE" w:rsidRDefault="00E74A2C" w:rsidP="0011748C">
            <w:pPr>
              <w:spacing w:after="0" w:line="240" w:lineRule="auto"/>
              <w:jc w:val="right"/>
              <w:rPr>
                <w:rFonts w:ascii="Arial Narrow" w:hAnsi="Arial Narrow"/>
                <w:color w:val="000000"/>
                <w:sz w:val="16"/>
                <w:szCs w:val="16"/>
                <w:lang w:eastAsia="sl-SI"/>
              </w:rPr>
            </w:pPr>
            <w:r w:rsidRPr="003D33BE">
              <w:rPr>
                <w:rFonts w:ascii="Arial Narrow" w:hAnsi="Arial Narrow" w:cs="Arial"/>
                <w:color w:val="000000"/>
                <w:sz w:val="16"/>
                <w:szCs w:val="16"/>
                <w:lang w:eastAsia="sl-SI"/>
              </w:rPr>
              <w:t>28.184.416</w:t>
            </w:r>
          </w:p>
        </w:tc>
        <w:tc>
          <w:tcPr>
            <w:tcW w:w="960" w:type="dxa"/>
            <w:tcBorders>
              <w:top w:val="single" w:sz="8" w:space="0" w:color="9BBB59"/>
              <w:left w:val="nil"/>
              <w:bottom w:val="single" w:sz="8" w:space="0" w:color="9BBB59"/>
              <w:right w:val="nil"/>
            </w:tcBorders>
            <w:shd w:val="clear" w:color="auto" w:fill="auto"/>
            <w:vAlign w:val="center"/>
            <w:hideMark/>
          </w:tcPr>
          <w:p w:rsidR="00E74A2C" w:rsidRPr="003D33BE" w:rsidRDefault="00E74A2C" w:rsidP="0011748C">
            <w:pPr>
              <w:spacing w:after="0" w:line="240" w:lineRule="auto"/>
              <w:jc w:val="right"/>
              <w:rPr>
                <w:rFonts w:ascii="Arial Narrow" w:hAnsi="Arial Narrow"/>
                <w:color w:val="000000"/>
                <w:sz w:val="16"/>
                <w:szCs w:val="16"/>
                <w:lang w:eastAsia="sl-SI"/>
              </w:rPr>
            </w:pPr>
            <w:r w:rsidRPr="003D33BE">
              <w:rPr>
                <w:rFonts w:ascii="Arial Narrow" w:hAnsi="Arial Narrow" w:cs="Arial"/>
                <w:color w:val="000000"/>
                <w:sz w:val="16"/>
                <w:szCs w:val="16"/>
                <w:lang w:eastAsia="sl-SI"/>
              </w:rPr>
              <w:t>33.588.912</w:t>
            </w:r>
          </w:p>
        </w:tc>
        <w:tc>
          <w:tcPr>
            <w:tcW w:w="960" w:type="dxa"/>
            <w:tcBorders>
              <w:top w:val="single" w:sz="8" w:space="0" w:color="9BBB59"/>
              <w:left w:val="nil"/>
              <w:bottom w:val="single" w:sz="8" w:space="0" w:color="9BBB59"/>
              <w:right w:val="nil"/>
            </w:tcBorders>
            <w:shd w:val="clear" w:color="auto" w:fill="auto"/>
            <w:vAlign w:val="center"/>
            <w:hideMark/>
          </w:tcPr>
          <w:p w:rsidR="00E74A2C" w:rsidRPr="003D33BE" w:rsidRDefault="00E74A2C" w:rsidP="0011748C">
            <w:pPr>
              <w:spacing w:after="0" w:line="240" w:lineRule="auto"/>
              <w:jc w:val="right"/>
              <w:rPr>
                <w:rFonts w:ascii="Arial Narrow" w:hAnsi="Arial Narrow"/>
                <w:color w:val="000000"/>
                <w:sz w:val="16"/>
                <w:szCs w:val="16"/>
                <w:lang w:eastAsia="sl-SI"/>
              </w:rPr>
            </w:pPr>
            <w:r w:rsidRPr="003D33BE">
              <w:rPr>
                <w:rFonts w:ascii="Arial Narrow" w:hAnsi="Arial Narrow" w:cs="Arial"/>
                <w:color w:val="000000"/>
                <w:sz w:val="16"/>
                <w:szCs w:val="16"/>
                <w:lang w:eastAsia="sl-SI"/>
              </w:rPr>
              <w:t>29.941.064</w:t>
            </w:r>
          </w:p>
        </w:tc>
        <w:tc>
          <w:tcPr>
            <w:tcW w:w="960" w:type="dxa"/>
            <w:tcBorders>
              <w:top w:val="single" w:sz="8" w:space="0" w:color="9BBB59"/>
              <w:left w:val="nil"/>
              <w:bottom w:val="single" w:sz="8" w:space="0" w:color="9BBB59"/>
              <w:right w:val="nil"/>
            </w:tcBorders>
            <w:shd w:val="clear" w:color="auto" w:fill="auto"/>
            <w:vAlign w:val="center"/>
            <w:hideMark/>
          </w:tcPr>
          <w:p w:rsidR="00E74A2C" w:rsidRPr="003D33BE" w:rsidRDefault="00E74A2C" w:rsidP="0011748C">
            <w:pPr>
              <w:spacing w:after="0" w:line="240" w:lineRule="auto"/>
              <w:jc w:val="right"/>
              <w:rPr>
                <w:rFonts w:ascii="Arial Narrow" w:hAnsi="Arial Narrow"/>
                <w:color w:val="000000"/>
                <w:sz w:val="16"/>
                <w:szCs w:val="16"/>
                <w:lang w:eastAsia="sl-SI"/>
              </w:rPr>
            </w:pPr>
            <w:r w:rsidRPr="003D33BE">
              <w:rPr>
                <w:rFonts w:ascii="Arial Narrow" w:hAnsi="Arial Narrow" w:cs="Arial"/>
                <w:color w:val="000000"/>
                <w:sz w:val="16"/>
                <w:szCs w:val="16"/>
                <w:lang w:eastAsia="sl-SI"/>
              </w:rPr>
              <w:t>28.181.153</w:t>
            </w:r>
          </w:p>
        </w:tc>
        <w:tc>
          <w:tcPr>
            <w:tcW w:w="960" w:type="dxa"/>
            <w:tcBorders>
              <w:top w:val="single" w:sz="8" w:space="0" w:color="9BBB59"/>
              <w:left w:val="nil"/>
              <w:bottom w:val="single" w:sz="8" w:space="0" w:color="9BBB59"/>
              <w:right w:val="nil"/>
            </w:tcBorders>
            <w:shd w:val="clear" w:color="auto" w:fill="auto"/>
            <w:vAlign w:val="center"/>
            <w:hideMark/>
          </w:tcPr>
          <w:p w:rsidR="00E74A2C" w:rsidRPr="003D33BE" w:rsidRDefault="00E74A2C" w:rsidP="0011748C">
            <w:pPr>
              <w:spacing w:after="0" w:line="240" w:lineRule="auto"/>
              <w:jc w:val="right"/>
              <w:rPr>
                <w:rFonts w:ascii="Arial Narrow" w:hAnsi="Arial Narrow"/>
                <w:color w:val="000000"/>
                <w:sz w:val="16"/>
                <w:szCs w:val="16"/>
                <w:lang w:eastAsia="sl-SI"/>
              </w:rPr>
            </w:pPr>
            <w:r w:rsidRPr="003D33BE">
              <w:rPr>
                <w:rFonts w:ascii="Arial Narrow" w:hAnsi="Arial Narrow" w:cs="Arial"/>
                <w:color w:val="000000"/>
                <w:sz w:val="16"/>
                <w:szCs w:val="16"/>
                <w:lang w:eastAsia="sl-SI"/>
              </w:rPr>
              <w:t>27.256.055</w:t>
            </w:r>
          </w:p>
        </w:tc>
        <w:tc>
          <w:tcPr>
            <w:tcW w:w="960" w:type="dxa"/>
            <w:tcBorders>
              <w:top w:val="single" w:sz="8" w:space="0" w:color="9BBB59"/>
              <w:left w:val="nil"/>
              <w:bottom w:val="single" w:sz="8" w:space="0" w:color="9BBB59"/>
              <w:right w:val="single" w:sz="8" w:space="0" w:color="9BBB59"/>
            </w:tcBorders>
            <w:shd w:val="clear" w:color="auto" w:fill="auto"/>
            <w:vAlign w:val="center"/>
            <w:hideMark/>
          </w:tcPr>
          <w:p w:rsidR="00E74A2C" w:rsidRPr="003D33BE" w:rsidRDefault="00E74A2C" w:rsidP="0011748C">
            <w:pPr>
              <w:spacing w:after="0" w:line="240" w:lineRule="auto"/>
              <w:jc w:val="right"/>
              <w:rPr>
                <w:rFonts w:ascii="Arial Narrow" w:hAnsi="Arial Narrow"/>
                <w:color w:val="000000"/>
                <w:sz w:val="16"/>
                <w:szCs w:val="16"/>
                <w:lang w:eastAsia="sl-SI"/>
              </w:rPr>
            </w:pPr>
            <w:r w:rsidRPr="003D33BE">
              <w:rPr>
                <w:rFonts w:ascii="Arial Narrow" w:hAnsi="Arial Narrow" w:cs="Arial"/>
                <w:color w:val="000000"/>
                <w:sz w:val="16"/>
                <w:szCs w:val="16"/>
                <w:lang w:eastAsia="sl-SI"/>
              </w:rPr>
              <w:t>26.208.343</w:t>
            </w:r>
          </w:p>
        </w:tc>
      </w:tr>
      <w:tr w:rsidR="00E74A2C" w:rsidRPr="003D33BE" w:rsidTr="000A3183">
        <w:trPr>
          <w:trHeight w:val="102"/>
        </w:trPr>
        <w:tc>
          <w:tcPr>
            <w:tcW w:w="960" w:type="dxa"/>
            <w:tcBorders>
              <w:top w:val="nil"/>
              <w:left w:val="single" w:sz="8" w:space="0" w:color="9BBB59"/>
              <w:bottom w:val="nil"/>
              <w:right w:val="nil"/>
            </w:tcBorders>
            <w:shd w:val="clear" w:color="auto" w:fill="auto"/>
            <w:vAlign w:val="center"/>
            <w:hideMark/>
          </w:tcPr>
          <w:p w:rsidR="00E74A2C" w:rsidRPr="003D33BE" w:rsidRDefault="00E74A2C" w:rsidP="0011748C">
            <w:pPr>
              <w:spacing w:after="0" w:line="240" w:lineRule="auto"/>
              <w:jc w:val="both"/>
              <w:rPr>
                <w:rFonts w:ascii="Arial Narrow" w:hAnsi="Arial Narrow"/>
                <w:color w:val="000000"/>
                <w:sz w:val="16"/>
                <w:szCs w:val="16"/>
                <w:lang w:eastAsia="sl-SI"/>
              </w:rPr>
            </w:pPr>
            <w:r w:rsidRPr="003D33BE">
              <w:rPr>
                <w:rFonts w:ascii="Arial Narrow" w:hAnsi="Arial Narrow" w:cs="Arial"/>
                <w:color w:val="000000"/>
                <w:sz w:val="16"/>
                <w:szCs w:val="16"/>
                <w:lang w:eastAsia="sl-SI"/>
              </w:rPr>
              <w:t xml:space="preserve">Inv. </w:t>
            </w:r>
            <w:proofErr w:type="spellStart"/>
            <w:r w:rsidRPr="003D33BE">
              <w:rPr>
                <w:rFonts w:ascii="Arial Narrow" w:hAnsi="Arial Narrow" w:cs="Arial"/>
                <w:color w:val="000000"/>
                <w:sz w:val="16"/>
                <w:szCs w:val="16"/>
                <w:lang w:eastAsia="sl-SI"/>
              </w:rPr>
              <w:t>vzdrž</w:t>
            </w:r>
            <w:proofErr w:type="spellEnd"/>
            <w:r w:rsidRPr="003D33BE">
              <w:rPr>
                <w:rFonts w:ascii="Arial Narrow" w:hAnsi="Arial Narrow" w:cs="Arial"/>
                <w:color w:val="000000"/>
                <w:sz w:val="16"/>
                <w:szCs w:val="16"/>
                <w:lang w:eastAsia="sl-SI"/>
              </w:rPr>
              <w:t>. in nakup opr.</w:t>
            </w:r>
          </w:p>
        </w:tc>
        <w:tc>
          <w:tcPr>
            <w:tcW w:w="960" w:type="dxa"/>
            <w:tcBorders>
              <w:top w:val="nil"/>
              <w:left w:val="nil"/>
              <w:bottom w:val="nil"/>
              <w:right w:val="nil"/>
            </w:tcBorders>
            <w:shd w:val="clear" w:color="auto" w:fill="auto"/>
            <w:vAlign w:val="center"/>
            <w:hideMark/>
          </w:tcPr>
          <w:p w:rsidR="00E74A2C" w:rsidRPr="003D33BE" w:rsidRDefault="00E74A2C" w:rsidP="0011748C">
            <w:pPr>
              <w:spacing w:after="0" w:line="240" w:lineRule="auto"/>
              <w:jc w:val="right"/>
              <w:rPr>
                <w:rFonts w:ascii="Arial Narrow" w:hAnsi="Arial Narrow"/>
                <w:color w:val="000000"/>
                <w:sz w:val="16"/>
                <w:szCs w:val="16"/>
                <w:lang w:eastAsia="sl-SI"/>
              </w:rPr>
            </w:pPr>
            <w:r w:rsidRPr="003D33BE">
              <w:rPr>
                <w:rFonts w:ascii="Arial Narrow" w:hAnsi="Arial Narrow" w:cs="Arial"/>
                <w:color w:val="000000"/>
                <w:sz w:val="16"/>
                <w:szCs w:val="16"/>
                <w:lang w:eastAsia="sl-SI"/>
              </w:rPr>
              <w:t>3.423.845</w:t>
            </w:r>
          </w:p>
        </w:tc>
        <w:tc>
          <w:tcPr>
            <w:tcW w:w="960" w:type="dxa"/>
            <w:tcBorders>
              <w:top w:val="nil"/>
              <w:left w:val="nil"/>
              <w:bottom w:val="nil"/>
              <w:right w:val="nil"/>
            </w:tcBorders>
            <w:shd w:val="clear" w:color="auto" w:fill="auto"/>
            <w:vAlign w:val="center"/>
            <w:hideMark/>
          </w:tcPr>
          <w:p w:rsidR="00E74A2C" w:rsidRPr="003D33BE" w:rsidRDefault="00E74A2C" w:rsidP="0011748C">
            <w:pPr>
              <w:spacing w:after="0" w:line="240" w:lineRule="auto"/>
              <w:jc w:val="right"/>
              <w:rPr>
                <w:rFonts w:ascii="Arial Narrow" w:hAnsi="Arial Narrow"/>
                <w:color w:val="000000"/>
                <w:sz w:val="16"/>
                <w:szCs w:val="16"/>
                <w:lang w:eastAsia="sl-SI"/>
              </w:rPr>
            </w:pPr>
            <w:r w:rsidRPr="003D33BE">
              <w:rPr>
                <w:rFonts w:ascii="Arial Narrow" w:hAnsi="Arial Narrow" w:cs="Arial"/>
                <w:color w:val="000000"/>
                <w:sz w:val="16"/>
                <w:szCs w:val="16"/>
                <w:lang w:eastAsia="sl-SI"/>
              </w:rPr>
              <w:t>6.057.948</w:t>
            </w:r>
          </w:p>
        </w:tc>
        <w:tc>
          <w:tcPr>
            <w:tcW w:w="960" w:type="dxa"/>
            <w:tcBorders>
              <w:top w:val="nil"/>
              <w:left w:val="nil"/>
              <w:bottom w:val="nil"/>
              <w:right w:val="nil"/>
            </w:tcBorders>
            <w:shd w:val="clear" w:color="auto" w:fill="auto"/>
            <w:vAlign w:val="center"/>
            <w:hideMark/>
          </w:tcPr>
          <w:p w:rsidR="00E74A2C" w:rsidRPr="003D33BE" w:rsidRDefault="00E74A2C" w:rsidP="0011748C">
            <w:pPr>
              <w:spacing w:after="0" w:line="240" w:lineRule="auto"/>
              <w:jc w:val="right"/>
              <w:rPr>
                <w:rFonts w:ascii="Arial Narrow" w:hAnsi="Arial Narrow"/>
                <w:color w:val="000000"/>
                <w:sz w:val="16"/>
                <w:szCs w:val="16"/>
                <w:lang w:eastAsia="sl-SI"/>
              </w:rPr>
            </w:pPr>
            <w:r w:rsidRPr="003D33BE">
              <w:rPr>
                <w:rFonts w:ascii="Arial Narrow" w:hAnsi="Arial Narrow" w:cs="Arial"/>
                <w:color w:val="000000"/>
                <w:sz w:val="16"/>
                <w:szCs w:val="16"/>
                <w:lang w:eastAsia="sl-SI"/>
              </w:rPr>
              <w:t>1.815.042</w:t>
            </w:r>
          </w:p>
        </w:tc>
        <w:tc>
          <w:tcPr>
            <w:tcW w:w="960" w:type="dxa"/>
            <w:tcBorders>
              <w:top w:val="nil"/>
              <w:left w:val="nil"/>
              <w:bottom w:val="nil"/>
              <w:right w:val="nil"/>
            </w:tcBorders>
            <w:shd w:val="clear" w:color="auto" w:fill="auto"/>
            <w:vAlign w:val="center"/>
            <w:hideMark/>
          </w:tcPr>
          <w:p w:rsidR="00E74A2C" w:rsidRPr="003D33BE" w:rsidRDefault="00E74A2C" w:rsidP="0011748C">
            <w:pPr>
              <w:spacing w:after="0" w:line="240" w:lineRule="auto"/>
              <w:jc w:val="right"/>
              <w:rPr>
                <w:rFonts w:ascii="Arial Narrow" w:hAnsi="Arial Narrow"/>
                <w:color w:val="000000"/>
                <w:sz w:val="16"/>
                <w:szCs w:val="16"/>
                <w:lang w:eastAsia="sl-SI"/>
              </w:rPr>
            </w:pPr>
            <w:r w:rsidRPr="003D33BE">
              <w:rPr>
                <w:rFonts w:ascii="Arial Narrow" w:hAnsi="Arial Narrow" w:cs="Arial"/>
                <w:color w:val="000000"/>
                <w:sz w:val="16"/>
                <w:szCs w:val="16"/>
                <w:lang w:eastAsia="sl-SI"/>
              </w:rPr>
              <w:t>1.238.556</w:t>
            </w:r>
          </w:p>
        </w:tc>
        <w:tc>
          <w:tcPr>
            <w:tcW w:w="960" w:type="dxa"/>
            <w:tcBorders>
              <w:top w:val="nil"/>
              <w:left w:val="nil"/>
              <w:bottom w:val="nil"/>
              <w:right w:val="nil"/>
            </w:tcBorders>
            <w:shd w:val="clear" w:color="auto" w:fill="auto"/>
            <w:vAlign w:val="center"/>
            <w:hideMark/>
          </w:tcPr>
          <w:p w:rsidR="00E74A2C" w:rsidRPr="003D33BE" w:rsidRDefault="00E74A2C" w:rsidP="0011748C">
            <w:pPr>
              <w:spacing w:after="0" w:line="240" w:lineRule="auto"/>
              <w:jc w:val="right"/>
              <w:rPr>
                <w:rFonts w:ascii="Arial Narrow" w:hAnsi="Arial Narrow"/>
                <w:color w:val="000000"/>
                <w:sz w:val="16"/>
                <w:szCs w:val="16"/>
                <w:lang w:eastAsia="sl-SI"/>
              </w:rPr>
            </w:pPr>
            <w:r w:rsidRPr="003D33BE">
              <w:rPr>
                <w:rFonts w:ascii="Arial Narrow" w:hAnsi="Arial Narrow" w:cs="Arial"/>
                <w:color w:val="000000"/>
                <w:sz w:val="16"/>
                <w:szCs w:val="16"/>
                <w:lang w:eastAsia="sl-SI"/>
              </w:rPr>
              <w:t>3.699.038</w:t>
            </w:r>
          </w:p>
        </w:tc>
        <w:tc>
          <w:tcPr>
            <w:tcW w:w="960" w:type="dxa"/>
            <w:tcBorders>
              <w:top w:val="nil"/>
              <w:left w:val="nil"/>
              <w:bottom w:val="nil"/>
              <w:right w:val="nil"/>
            </w:tcBorders>
            <w:shd w:val="clear" w:color="auto" w:fill="auto"/>
            <w:vAlign w:val="center"/>
            <w:hideMark/>
          </w:tcPr>
          <w:p w:rsidR="00E74A2C" w:rsidRPr="003D33BE" w:rsidRDefault="00E74A2C" w:rsidP="0011748C">
            <w:pPr>
              <w:spacing w:after="0" w:line="240" w:lineRule="auto"/>
              <w:jc w:val="right"/>
              <w:rPr>
                <w:rFonts w:ascii="Arial Narrow" w:hAnsi="Arial Narrow"/>
                <w:color w:val="000000"/>
                <w:sz w:val="16"/>
                <w:szCs w:val="16"/>
                <w:lang w:eastAsia="sl-SI"/>
              </w:rPr>
            </w:pPr>
            <w:r w:rsidRPr="003D33BE">
              <w:rPr>
                <w:rFonts w:ascii="Arial Narrow" w:hAnsi="Arial Narrow" w:cs="Arial"/>
                <w:color w:val="000000"/>
                <w:sz w:val="16"/>
                <w:szCs w:val="16"/>
                <w:lang w:eastAsia="sl-SI"/>
              </w:rPr>
              <w:t>8.034.757</w:t>
            </w:r>
          </w:p>
        </w:tc>
        <w:tc>
          <w:tcPr>
            <w:tcW w:w="960" w:type="dxa"/>
            <w:tcBorders>
              <w:top w:val="nil"/>
              <w:left w:val="nil"/>
              <w:bottom w:val="nil"/>
              <w:right w:val="nil"/>
            </w:tcBorders>
            <w:shd w:val="clear" w:color="auto" w:fill="auto"/>
            <w:vAlign w:val="center"/>
            <w:hideMark/>
          </w:tcPr>
          <w:p w:rsidR="00E74A2C" w:rsidRPr="003D33BE" w:rsidRDefault="00E74A2C" w:rsidP="0011748C">
            <w:pPr>
              <w:spacing w:after="0" w:line="240" w:lineRule="auto"/>
              <w:jc w:val="right"/>
              <w:rPr>
                <w:rFonts w:ascii="Arial Narrow" w:hAnsi="Arial Narrow"/>
                <w:color w:val="000000"/>
                <w:sz w:val="16"/>
                <w:szCs w:val="16"/>
                <w:lang w:eastAsia="sl-SI"/>
              </w:rPr>
            </w:pPr>
            <w:r w:rsidRPr="003D33BE">
              <w:rPr>
                <w:rFonts w:ascii="Arial Narrow" w:hAnsi="Arial Narrow" w:cs="Arial"/>
                <w:color w:val="000000"/>
                <w:sz w:val="16"/>
                <w:szCs w:val="16"/>
                <w:lang w:eastAsia="sl-SI"/>
              </w:rPr>
              <w:t>3.930.805</w:t>
            </w:r>
          </w:p>
        </w:tc>
        <w:tc>
          <w:tcPr>
            <w:tcW w:w="960" w:type="dxa"/>
            <w:tcBorders>
              <w:top w:val="nil"/>
              <w:left w:val="nil"/>
              <w:bottom w:val="nil"/>
              <w:right w:val="single" w:sz="8" w:space="0" w:color="9BBB59"/>
            </w:tcBorders>
            <w:shd w:val="clear" w:color="auto" w:fill="auto"/>
            <w:vAlign w:val="center"/>
            <w:hideMark/>
          </w:tcPr>
          <w:p w:rsidR="00E74A2C" w:rsidRPr="003D33BE" w:rsidRDefault="00E74A2C" w:rsidP="0011748C">
            <w:pPr>
              <w:spacing w:after="0" w:line="240" w:lineRule="auto"/>
              <w:jc w:val="right"/>
              <w:rPr>
                <w:rFonts w:ascii="Arial Narrow" w:hAnsi="Arial Narrow"/>
                <w:color w:val="000000"/>
                <w:sz w:val="16"/>
                <w:szCs w:val="16"/>
                <w:lang w:eastAsia="sl-SI"/>
              </w:rPr>
            </w:pPr>
            <w:r w:rsidRPr="003D33BE">
              <w:rPr>
                <w:rFonts w:ascii="Arial Narrow" w:hAnsi="Arial Narrow" w:cs="Arial"/>
                <w:color w:val="000000"/>
                <w:sz w:val="16"/>
                <w:szCs w:val="16"/>
                <w:lang w:eastAsia="sl-SI"/>
              </w:rPr>
              <w:t>2.631.366</w:t>
            </w:r>
          </w:p>
        </w:tc>
      </w:tr>
      <w:tr w:rsidR="00E74A2C" w:rsidRPr="003D33BE" w:rsidTr="000A3183">
        <w:trPr>
          <w:trHeight w:val="102"/>
        </w:trPr>
        <w:tc>
          <w:tcPr>
            <w:tcW w:w="960" w:type="dxa"/>
            <w:tcBorders>
              <w:top w:val="single" w:sz="8" w:space="0" w:color="9BBB59"/>
              <w:left w:val="single" w:sz="8" w:space="0" w:color="9BBB59"/>
              <w:bottom w:val="single" w:sz="8" w:space="0" w:color="9BBB59"/>
              <w:right w:val="nil"/>
            </w:tcBorders>
            <w:shd w:val="clear" w:color="auto" w:fill="auto"/>
            <w:vAlign w:val="center"/>
            <w:hideMark/>
          </w:tcPr>
          <w:p w:rsidR="00E74A2C" w:rsidRPr="003D33BE" w:rsidRDefault="00E74A2C" w:rsidP="0011748C">
            <w:pPr>
              <w:spacing w:after="0" w:line="240" w:lineRule="auto"/>
              <w:jc w:val="both"/>
              <w:rPr>
                <w:rFonts w:ascii="Arial Narrow" w:hAnsi="Arial Narrow"/>
                <w:b/>
                <w:color w:val="000000"/>
                <w:sz w:val="16"/>
                <w:szCs w:val="16"/>
                <w:lang w:eastAsia="sl-SI"/>
              </w:rPr>
            </w:pPr>
            <w:r w:rsidRPr="003D33BE">
              <w:rPr>
                <w:rFonts w:ascii="Arial Narrow" w:hAnsi="Arial Narrow" w:cs="Arial"/>
                <w:b/>
                <w:color w:val="000000"/>
                <w:sz w:val="16"/>
                <w:szCs w:val="16"/>
                <w:lang w:eastAsia="sl-SI"/>
              </w:rPr>
              <w:t>Skupaj</w:t>
            </w:r>
          </w:p>
        </w:tc>
        <w:tc>
          <w:tcPr>
            <w:tcW w:w="960" w:type="dxa"/>
            <w:tcBorders>
              <w:top w:val="single" w:sz="8" w:space="0" w:color="9BBB59"/>
              <w:left w:val="nil"/>
              <w:bottom w:val="single" w:sz="8" w:space="0" w:color="9BBB59"/>
              <w:right w:val="nil"/>
            </w:tcBorders>
            <w:shd w:val="clear" w:color="auto" w:fill="auto"/>
            <w:vAlign w:val="center"/>
            <w:hideMark/>
          </w:tcPr>
          <w:p w:rsidR="00E74A2C" w:rsidRPr="003D33BE" w:rsidRDefault="00E74A2C" w:rsidP="0011748C">
            <w:pPr>
              <w:spacing w:after="0" w:line="240" w:lineRule="auto"/>
              <w:jc w:val="right"/>
              <w:rPr>
                <w:rFonts w:ascii="Arial Narrow" w:hAnsi="Arial Narrow"/>
                <w:b/>
                <w:color w:val="000000"/>
                <w:sz w:val="16"/>
                <w:szCs w:val="16"/>
                <w:lang w:eastAsia="sl-SI"/>
              </w:rPr>
            </w:pPr>
            <w:r w:rsidRPr="003D33BE">
              <w:rPr>
                <w:rFonts w:ascii="Arial Narrow" w:hAnsi="Arial Narrow" w:cs="Arial"/>
                <w:b/>
                <w:color w:val="000000"/>
                <w:sz w:val="16"/>
                <w:szCs w:val="16"/>
                <w:lang w:eastAsia="sl-SI"/>
              </w:rPr>
              <w:t>101.805.137</w:t>
            </w:r>
          </w:p>
        </w:tc>
        <w:tc>
          <w:tcPr>
            <w:tcW w:w="960" w:type="dxa"/>
            <w:tcBorders>
              <w:top w:val="single" w:sz="8" w:space="0" w:color="9BBB59"/>
              <w:left w:val="nil"/>
              <w:bottom w:val="single" w:sz="8" w:space="0" w:color="9BBB59"/>
              <w:right w:val="nil"/>
            </w:tcBorders>
            <w:shd w:val="clear" w:color="auto" w:fill="auto"/>
            <w:vAlign w:val="center"/>
            <w:hideMark/>
          </w:tcPr>
          <w:p w:rsidR="00E74A2C" w:rsidRPr="003D33BE" w:rsidRDefault="00E74A2C" w:rsidP="0011748C">
            <w:pPr>
              <w:spacing w:after="0" w:line="240" w:lineRule="auto"/>
              <w:jc w:val="right"/>
              <w:rPr>
                <w:rFonts w:ascii="Arial Narrow" w:hAnsi="Arial Narrow"/>
                <w:b/>
                <w:color w:val="000000"/>
                <w:sz w:val="16"/>
                <w:szCs w:val="16"/>
                <w:lang w:eastAsia="sl-SI"/>
              </w:rPr>
            </w:pPr>
            <w:r w:rsidRPr="003D33BE">
              <w:rPr>
                <w:rFonts w:ascii="Arial Narrow" w:hAnsi="Arial Narrow" w:cs="Arial"/>
                <w:b/>
                <w:color w:val="000000"/>
                <w:sz w:val="16"/>
                <w:szCs w:val="16"/>
                <w:lang w:eastAsia="sl-SI"/>
              </w:rPr>
              <w:t>112.484.368</w:t>
            </w:r>
          </w:p>
        </w:tc>
        <w:tc>
          <w:tcPr>
            <w:tcW w:w="960" w:type="dxa"/>
            <w:tcBorders>
              <w:top w:val="single" w:sz="8" w:space="0" w:color="9BBB59"/>
              <w:left w:val="nil"/>
              <w:bottom w:val="single" w:sz="8" w:space="0" w:color="9BBB59"/>
              <w:right w:val="nil"/>
            </w:tcBorders>
            <w:shd w:val="clear" w:color="auto" w:fill="auto"/>
            <w:vAlign w:val="center"/>
            <w:hideMark/>
          </w:tcPr>
          <w:p w:rsidR="00E74A2C" w:rsidRPr="003D33BE" w:rsidRDefault="00E74A2C" w:rsidP="0011748C">
            <w:pPr>
              <w:spacing w:after="0" w:line="240" w:lineRule="auto"/>
              <w:jc w:val="right"/>
              <w:rPr>
                <w:rFonts w:ascii="Arial Narrow" w:hAnsi="Arial Narrow"/>
                <w:b/>
                <w:color w:val="000000"/>
                <w:sz w:val="16"/>
                <w:szCs w:val="16"/>
                <w:lang w:eastAsia="sl-SI"/>
              </w:rPr>
            </w:pPr>
            <w:r w:rsidRPr="003D33BE">
              <w:rPr>
                <w:rFonts w:ascii="Arial Narrow" w:hAnsi="Arial Narrow" w:cs="Arial"/>
                <w:b/>
                <w:color w:val="000000"/>
                <w:sz w:val="16"/>
                <w:szCs w:val="16"/>
                <w:lang w:eastAsia="sl-SI"/>
              </w:rPr>
              <w:t>104.201.660</w:t>
            </w:r>
          </w:p>
        </w:tc>
        <w:tc>
          <w:tcPr>
            <w:tcW w:w="960" w:type="dxa"/>
            <w:tcBorders>
              <w:top w:val="single" w:sz="8" w:space="0" w:color="9BBB59"/>
              <w:left w:val="nil"/>
              <w:bottom w:val="single" w:sz="8" w:space="0" w:color="9BBB59"/>
              <w:right w:val="nil"/>
            </w:tcBorders>
            <w:shd w:val="clear" w:color="auto" w:fill="auto"/>
            <w:vAlign w:val="center"/>
            <w:hideMark/>
          </w:tcPr>
          <w:p w:rsidR="00E74A2C" w:rsidRPr="003D33BE" w:rsidRDefault="00E74A2C" w:rsidP="0011748C">
            <w:pPr>
              <w:spacing w:after="0" w:line="240" w:lineRule="auto"/>
              <w:jc w:val="right"/>
              <w:rPr>
                <w:rFonts w:ascii="Arial Narrow" w:hAnsi="Arial Narrow"/>
                <w:b/>
                <w:color w:val="000000"/>
                <w:sz w:val="16"/>
                <w:szCs w:val="16"/>
                <w:lang w:eastAsia="sl-SI"/>
              </w:rPr>
            </w:pPr>
            <w:r w:rsidRPr="003D33BE">
              <w:rPr>
                <w:rFonts w:ascii="Arial Narrow" w:hAnsi="Arial Narrow" w:cs="Arial"/>
                <w:b/>
                <w:color w:val="000000"/>
                <w:sz w:val="16"/>
                <w:szCs w:val="16"/>
                <w:lang w:eastAsia="sl-SI"/>
              </w:rPr>
              <w:t>108.871.458</w:t>
            </w:r>
          </w:p>
        </w:tc>
        <w:tc>
          <w:tcPr>
            <w:tcW w:w="960" w:type="dxa"/>
            <w:tcBorders>
              <w:top w:val="single" w:sz="8" w:space="0" w:color="9BBB59"/>
              <w:left w:val="nil"/>
              <w:bottom w:val="single" w:sz="8" w:space="0" w:color="9BBB59"/>
              <w:right w:val="nil"/>
            </w:tcBorders>
            <w:shd w:val="clear" w:color="auto" w:fill="auto"/>
            <w:vAlign w:val="center"/>
            <w:hideMark/>
          </w:tcPr>
          <w:p w:rsidR="00E74A2C" w:rsidRPr="003D33BE" w:rsidRDefault="00E74A2C" w:rsidP="0011748C">
            <w:pPr>
              <w:spacing w:after="0" w:line="240" w:lineRule="auto"/>
              <w:jc w:val="right"/>
              <w:rPr>
                <w:rFonts w:ascii="Arial Narrow" w:hAnsi="Arial Narrow"/>
                <w:b/>
                <w:color w:val="000000"/>
                <w:sz w:val="16"/>
                <w:szCs w:val="16"/>
                <w:lang w:eastAsia="sl-SI"/>
              </w:rPr>
            </w:pPr>
            <w:r w:rsidRPr="003D33BE">
              <w:rPr>
                <w:rFonts w:ascii="Arial Narrow" w:hAnsi="Arial Narrow" w:cs="Arial"/>
                <w:b/>
                <w:color w:val="000000"/>
                <w:sz w:val="16"/>
                <w:szCs w:val="16"/>
                <w:lang w:eastAsia="sl-SI"/>
              </w:rPr>
              <w:t>105.839.033</w:t>
            </w:r>
          </w:p>
        </w:tc>
        <w:tc>
          <w:tcPr>
            <w:tcW w:w="960" w:type="dxa"/>
            <w:tcBorders>
              <w:top w:val="single" w:sz="8" w:space="0" w:color="9BBB59"/>
              <w:left w:val="nil"/>
              <w:bottom w:val="single" w:sz="8" w:space="0" w:color="9BBB59"/>
              <w:right w:val="nil"/>
            </w:tcBorders>
            <w:shd w:val="clear" w:color="auto" w:fill="auto"/>
            <w:vAlign w:val="center"/>
            <w:hideMark/>
          </w:tcPr>
          <w:p w:rsidR="00E74A2C" w:rsidRPr="003D33BE" w:rsidRDefault="00E74A2C" w:rsidP="0011748C">
            <w:pPr>
              <w:spacing w:after="0" w:line="240" w:lineRule="auto"/>
              <w:jc w:val="right"/>
              <w:rPr>
                <w:rFonts w:ascii="Arial Narrow" w:hAnsi="Arial Narrow"/>
                <w:b/>
                <w:color w:val="000000"/>
                <w:sz w:val="16"/>
                <w:szCs w:val="16"/>
                <w:lang w:eastAsia="sl-SI"/>
              </w:rPr>
            </w:pPr>
            <w:r w:rsidRPr="003D33BE">
              <w:rPr>
                <w:rFonts w:ascii="Arial Narrow" w:hAnsi="Arial Narrow" w:cs="Arial"/>
                <w:b/>
                <w:color w:val="000000"/>
                <w:sz w:val="16"/>
                <w:szCs w:val="16"/>
                <w:lang w:eastAsia="sl-SI"/>
              </w:rPr>
              <w:t>103.250.784</w:t>
            </w:r>
          </w:p>
        </w:tc>
        <w:tc>
          <w:tcPr>
            <w:tcW w:w="960" w:type="dxa"/>
            <w:tcBorders>
              <w:top w:val="single" w:sz="8" w:space="0" w:color="9BBB59"/>
              <w:left w:val="nil"/>
              <w:bottom w:val="single" w:sz="8" w:space="0" w:color="9BBB59"/>
              <w:right w:val="nil"/>
            </w:tcBorders>
            <w:shd w:val="clear" w:color="auto" w:fill="auto"/>
            <w:vAlign w:val="center"/>
            <w:hideMark/>
          </w:tcPr>
          <w:p w:rsidR="00E74A2C" w:rsidRPr="003D33BE" w:rsidRDefault="00E74A2C" w:rsidP="0011748C">
            <w:pPr>
              <w:spacing w:after="0" w:line="240" w:lineRule="auto"/>
              <w:jc w:val="right"/>
              <w:rPr>
                <w:rFonts w:ascii="Arial Narrow" w:hAnsi="Arial Narrow"/>
                <w:b/>
                <w:color w:val="000000"/>
                <w:sz w:val="16"/>
                <w:szCs w:val="16"/>
                <w:lang w:eastAsia="sl-SI"/>
              </w:rPr>
            </w:pPr>
            <w:r w:rsidRPr="003D33BE">
              <w:rPr>
                <w:rFonts w:ascii="Arial Narrow" w:hAnsi="Arial Narrow" w:cs="Arial"/>
                <w:b/>
                <w:color w:val="000000"/>
                <w:sz w:val="16"/>
                <w:szCs w:val="16"/>
                <w:lang w:eastAsia="sl-SI"/>
              </w:rPr>
              <w:t>98.414.684</w:t>
            </w:r>
          </w:p>
        </w:tc>
        <w:tc>
          <w:tcPr>
            <w:tcW w:w="960" w:type="dxa"/>
            <w:tcBorders>
              <w:top w:val="single" w:sz="8" w:space="0" w:color="9BBB59"/>
              <w:left w:val="nil"/>
              <w:bottom w:val="single" w:sz="8" w:space="0" w:color="9BBB59"/>
              <w:right w:val="single" w:sz="8" w:space="0" w:color="9BBB59"/>
            </w:tcBorders>
            <w:shd w:val="clear" w:color="auto" w:fill="auto"/>
            <w:vAlign w:val="center"/>
            <w:hideMark/>
          </w:tcPr>
          <w:p w:rsidR="00E74A2C" w:rsidRPr="003D33BE" w:rsidRDefault="00E74A2C" w:rsidP="0011748C">
            <w:pPr>
              <w:spacing w:after="0" w:line="240" w:lineRule="auto"/>
              <w:jc w:val="right"/>
              <w:rPr>
                <w:rFonts w:ascii="Arial Narrow" w:hAnsi="Arial Narrow"/>
                <w:b/>
                <w:color w:val="000000"/>
                <w:sz w:val="16"/>
                <w:szCs w:val="16"/>
                <w:lang w:eastAsia="sl-SI"/>
              </w:rPr>
            </w:pPr>
            <w:r w:rsidRPr="003D33BE">
              <w:rPr>
                <w:rFonts w:ascii="Arial Narrow" w:hAnsi="Arial Narrow" w:cs="Arial"/>
                <w:b/>
                <w:color w:val="000000"/>
                <w:sz w:val="16"/>
                <w:szCs w:val="16"/>
                <w:lang w:eastAsia="sl-SI"/>
              </w:rPr>
              <w:t>94.764.563</w:t>
            </w:r>
          </w:p>
        </w:tc>
      </w:tr>
    </w:tbl>
    <w:p w:rsidR="00E74A2C" w:rsidRPr="000D1B21" w:rsidRDefault="00E74A2C" w:rsidP="00E74A2C">
      <w:pPr>
        <w:pStyle w:val="Podpispodtabeloaligrafom"/>
      </w:pPr>
      <w:r w:rsidRPr="000D1B21">
        <w:t>Vir.</w:t>
      </w:r>
      <w:r>
        <w:t xml:space="preserve"> Ministrstvo za kulturo.</w:t>
      </w:r>
    </w:p>
    <w:p w:rsidR="00E74A2C" w:rsidRDefault="00E74A2C" w:rsidP="00E74A2C">
      <w:pPr>
        <w:spacing w:after="0" w:line="240" w:lineRule="auto"/>
        <w:rPr>
          <w:b/>
        </w:rPr>
      </w:pPr>
    </w:p>
    <w:p w:rsidR="00E74A2C" w:rsidRDefault="00E74A2C" w:rsidP="00E74A2C">
      <w:pPr>
        <w:pStyle w:val="Naslovtabele"/>
      </w:pPr>
      <w:bookmarkStart w:id="456" w:name="_Toc490053418"/>
      <w:bookmarkStart w:id="457" w:name="_Toc490053789"/>
      <w:bookmarkStart w:id="458" w:name="_Toc490600061"/>
      <w:r w:rsidRPr="008878EA">
        <w:t>Graf</w:t>
      </w:r>
      <w:r w:rsidR="00344E6D">
        <w:t xml:space="preserve"> 47</w:t>
      </w:r>
      <w:r w:rsidRPr="008878EA">
        <w:t>:</w:t>
      </w:r>
      <w:r>
        <w:t xml:space="preserve"> </w:t>
      </w:r>
      <w:r w:rsidRPr="008878EA">
        <w:t>Struktura</w:t>
      </w:r>
      <w:r>
        <w:t xml:space="preserve"> f</w:t>
      </w:r>
      <w:r w:rsidRPr="008878EA">
        <w:t>inanciranj</w:t>
      </w:r>
      <w:r>
        <w:t>a</w:t>
      </w:r>
      <w:r w:rsidRPr="008878EA">
        <w:t xml:space="preserve"> javnih zavodov po namenih iz proračuna Ministrstva za kulturo </w:t>
      </w:r>
      <w:r>
        <w:t>(</w:t>
      </w:r>
      <w:r w:rsidRPr="008878EA">
        <w:t>2015</w:t>
      </w:r>
      <w:r>
        <w:t>)</w:t>
      </w:r>
      <w:bookmarkEnd w:id="456"/>
      <w:bookmarkEnd w:id="457"/>
      <w:bookmarkEnd w:id="458"/>
    </w:p>
    <w:p w:rsidR="00E74A2C" w:rsidRPr="00F41A22" w:rsidRDefault="00E74A2C" w:rsidP="00E74A2C"/>
    <w:p w:rsidR="00A647F3" w:rsidRDefault="00E74A2C" w:rsidP="00A647F3">
      <w:r>
        <w:rPr>
          <w:noProof/>
          <w:lang w:eastAsia="sl-SI"/>
        </w:rPr>
        <w:drawing>
          <wp:inline distT="0" distB="0" distL="0" distR="0" wp14:anchorId="6EFB3BC5" wp14:editId="3730E928">
            <wp:extent cx="4563277" cy="2430914"/>
            <wp:effectExtent l="0" t="0" r="8890" b="7620"/>
            <wp:docPr id="56" name="Grafikon 56"/>
            <wp:cNvGraphicFramePr/>
            <a:graphic xmlns:a="http://schemas.openxmlformats.org/drawingml/2006/main">
              <a:graphicData uri="http://schemas.openxmlformats.org/drawingml/2006/chart">
                <c:chart xmlns:c="http://schemas.openxmlformats.org/drawingml/2006/chart" xmlns:r="http://schemas.openxmlformats.org/officeDocument/2006/relationships" r:id="rId78"/>
              </a:graphicData>
            </a:graphic>
          </wp:inline>
        </w:drawing>
      </w:r>
    </w:p>
    <w:p w:rsidR="00E74A2C" w:rsidRDefault="00E74A2C" w:rsidP="00A647F3">
      <w:pPr>
        <w:pStyle w:val="Podpispodtabeloaligrafom"/>
      </w:pPr>
      <w:r w:rsidRPr="000D1B21">
        <w:t>Vir.</w:t>
      </w:r>
      <w:r>
        <w:t xml:space="preserve"> Ministrstvo za kulturo.</w:t>
      </w:r>
    </w:p>
    <w:p w:rsidR="00E74A2C" w:rsidRPr="00A35198" w:rsidRDefault="00E74A2C" w:rsidP="00E74A2C">
      <w:pPr>
        <w:spacing w:after="200"/>
        <w:rPr>
          <w:rFonts w:cs="Arial"/>
          <w:szCs w:val="20"/>
          <w:lang w:eastAsia="sl-SI"/>
        </w:rPr>
      </w:pPr>
    </w:p>
    <w:p w:rsidR="00E74A2C" w:rsidRDefault="00E74A2C" w:rsidP="00D47110">
      <w:pPr>
        <w:pStyle w:val="Podnaslov3"/>
        <w:rPr>
          <w:lang w:eastAsia="sl-SI"/>
        </w:rPr>
      </w:pPr>
      <w:bookmarkStart w:id="459" w:name="_Toc490047611"/>
      <w:bookmarkStart w:id="460" w:name="_Toc490599977"/>
      <w:bookmarkStart w:id="461" w:name="_Toc506192107"/>
      <w:r>
        <w:rPr>
          <w:lang w:eastAsia="sl-SI"/>
        </w:rPr>
        <w:t>Sredstva po viru prihodkov</w:t>
      </w:r>
      <w:bookmarkEnd w:id="459"/>
      <w:bookmarkEnd w:id="460"/>
      <w:bookmarkEnd w:id="461"/>
    </w:p>
    <w:p w:rsidR="00E74A2C" w:rsidRPr="00BD17E2" w:rsidRDefault="00E74A2C" w:rsidP="00E74A2C">
      <w:pPr>
        <w:jc w:val="both"/>
        <w:rPr>
          <w:rFonts w:cs="Arial"/>
          <w:szCs w:val="20"/>
          <w:lang w:eastAsia="sl-SI"/>
        </w:rPr>
      </w:pPr>
      <w:r w:rsidRPr="00BD17E2">
        <w:rPr>
          <w:rFonts w:cs="Arial"/>
          <w:szCs w:val="20"/>
          <w:lang w:eastAsia="sl-SI"/>
        </w:rPr>
        <w:t xml:space="preserve">Javni zavodi imajo poleg državnega proračuna tudi druge vire prihodkov. </w:t>
      </w:r>
      <w:r w:rsidR="00E72446">
        <w:rPr>
          <w:rFonts w:cs="Arial"/>
          <w:szCs w:val="20"/>
          <w:lang w:eastAsia="sl-SI"/>
        </w:rPr>
        <w:t>V naslednjih dveh tabelah (št. 37 in 38</w:t>
      </w:r>
      <w:r w:rsidRPr="00BD17E2">
        <w:rPr>
          <w:rFonts w:cs="Arial"/>
          <w:szCs w:val="20"/>
          <w:lang w:eastAsia="sl-SI"/>
        </w:rPr>
        <w:t>) prikazujemo pregled celotnega prihodka javnih zavodov glede na vir prihodka, v grafih</w:t>
      </w:r>
      <w:r w:rsidR="00E72446">
        <w:rPr>
          <w:rFonts w:cs="Arial"/>
          <w:szCs w:val="20"/>
          <w:lang w:eastAsia="sl-SI"/>
        </w:rPr>
        <w:t xml:space="preserve"> (48 in 49</w:t>
      </w:r>
      <w:r>
        <w:rPr>
          <w:rFonts w:cs="Arial"/>
          <w:szCs w:val="20"/>
          <w:lang w:eastAsia="sl-SI"/>
        </w:rPr>
        <w:t>)</w:t>
      </w:r>
      <w:r w:rsidRPr="00BD17E2">
        <w:rPr>
          <w:rFonts w:cs="Arial"/>
          <w:szCs w:val="20"/>
          <w:lang w:eastAsia="sl-SI"/>
        </w:rPr>
        <w:t xml:space="preserve"> pa njegovo strukturo</w:t>
      </w:r>
      <w:r>
        <w:rPr>
          <w:rFonts w:cs="Arial"/>
          <w:szCs w:val="20"/>
          <w:lang w:eastAsia="sl-SI"/>
        </w:rPr>
        <w:t xml:space="preserve"> v letu 2015</w:t>
      </w:r>
      <w:r w:rsidR="009161B5">
        <w:rPr>
          <w:rFonts w:cs="Arial"/>
          <w:szCs w:val="20"/>
          <w:lang w:eastAsia="sl-SI"/>
        </w:rPr>
        <w:t>. Videti je mogoče, da M</w:t>
      </w:r>
      <w:r w:rsidRPr="00BD17E2">
        <w:rPr>
          <w:rFonts w:cs="Arial"/>
          <w:szCs w:val="20"/>
          <w:lang w:eastAsia="sl-SI"/>
        </w:rPr>
        <w:t xml:space="preserve">inistrstvo za kulturo večinsko financira tako nacionalne (okrog 80 % celotnega </w:t>
      </w:r>
      <w:r w:rsidR="00E72446">
        <w:rPr>
          <w:rFonts w:cs="Arial"/>
          <w:szCs w:val="20"/>
          <w:lang w:eastAsia="sl-SI"/>
        </w:rPr>
        <w:t xml:space="preserve">njihovega </w:t>
      </w:r>
      <w:r w:rsidRPr="00BD17E2">
        <w:rPr>
          <w:rFonts w:cs="Arial"/>
          <w:szCs w:val="20"/>
          <w:lang w:eastAsia="sl-SI"/>
        </w:rPr>
        <w:t xml:space="preserve">prihodka) kot občinske javne zavode (okrog 60 % celotnega </w:t>
      </w:r>
      <w:r w:rsidR="00E72446">
        <w:rPr>
          <w:rFonts w:cs="Arial"/>
          <w:szCs w:val="20"/>
          <w:lang w:eastAsia="sl-SI"/>
        </w:rPr>
        <w:t xml:space="preserve">njihovega </w:t>
      </w:r>
      <w:r w:rsidRPr="00BD17E2">
        <w:rPr>
          <w:rFonts w:cs="Arial"/>
          <w:szCs w:val="20"/>
          <w:lang w:eastAsia="sl-SI"/>
        </w:rPr>
        <w:t>prihodka).</w:t>
      </w:r>
    </w:p>
    <w:p w:rsidR="00E74A2C" w:rsidRDefault="00E74A2C" w:rsidP="00E74A2C">
      <w:pPr>
        <w:jc w:val="both"/>
        <w:rPr>
          <w:rFonts w:cs="Arial"/>
          <w:szCs w:val="20"/>
          <w:highlight w:val="yellow"/>
          <w:lang w:eastAsia="sl-SI"/>
        </w:rPr>
      </w:pPr>
    </w:p>
    <w:p w:rsidR="00A647F3" w:rsidRDefault="00A647F3">
      <w:pPr>
        <w:rPr>
          <w:b/>
          <w:lang w:eastAsia="sl-SI"/>
        </w:rPr>
      </w:pPr>
      <w:bookmarkStart w:id="462" w:name="_Toc490053419"/>
      <w:bookmarkStart w:id="463" w:name="_Toc490053790"/>
      <w:r>
        <w:rPr>
          <w:lang w:eastAsia="sl-SI"/>
        </w:rPr>
        <w:br w:type="page"/>
      </w:r>
    </w:p>
    <w:p w:rsidR="00E74A2C" w:rsidRPr="00BD17E2" w:rsidRDefault="00C75E6E" w:rsidP="00E74A2C">
      <w:pPr>
        <w:pStyle w:val="Naslovtabele"/>
        <w:rPr>
          <w:lang w:eastAsia="sl-SI"/>
        </w:rPr>
      </w:pPr>
      <w:bookmarkStart w:id="464" w:name="_Toc490600062"/>
      <w:r>
        <w:rPr>
          <w:lang w:eastAsia="sl-SI"/>
        </w:rPr>
        <w:t>Tabela 37</w:t>
      </w:r>
      <w:r w:rsidR="00E74A2C" w:rsidRPr="00BD17E2">
        <w:rPr>
          <w:lang w:eastAsia="sl-SI"/>
        </w:rPr>
        <w:t xml:space="preserve">: </w:t>
      </w:r>
      <w:r w:rsidR="00E74A2C">
        <w:rPr>
          <w:lang w:eastAsia="sl-SI"/>
        </w:rPr>
        <w:t>C</w:t>
      </w:r>
      <w:r w:rsidR="00E74A2C" w:rsidRPr="00BD17E2">
        <w:rPr>
          <w:lang w:eastAsia="sl-SI"/>
        </w:rPr>
        <w:t xml:space="preserve">eloten prihodek nacionalnih javnih zavodov </w:t>
      </w:r>
      <w:r w:rsidR="00E74A2C">
        <w:rPr>
          <w:lang w:eastAsia="sl-SI"/>
        </w:rPr>
        <w:t>po viru (2008–2015)*</w:t>
      </w:r>
      <w:bookmarkEnd w:id="462"/>
      <w:bookmarkEnd w:id="463"/>
      <w:bookmarkEnd w:id="464"/>
    </w:p>
    <w:tbl>
      <w:tblPr>
        <w:tblW w:w="9436" w:type="dxa"/>
        <w:tblInd w:w="55" w:type="dxa"/>
        <w:tblCellMar>
          <w:left w:w="70" w:type="dxa"/>
          <w:right w:w="70" w:type="dxa"/>
        </w:tblCellMar>
        <w:tblLook w:val="04A0" w:firstRow="1" w:lastRow="0" w:firstColumn="1" w:lastColumn="0" w:noHBand="0" w:noVBand="1"/>
      </w:tblPr>
      <w:tblGrid>
        <w:gridCol w:w="2276"/>
        <w:gridCol w:w="895"/>
        <w:gridCol w:w="895"/>
        <w:gridCol w:w="895"/>
        <w:gridCol w:w="895"/>
        <w:gridCol w:w="895"/>
        <w:gridCol w:w="895"/>
        <w:gridCol w:w="895"/>
        <w:gridCol w:w="895"/>
      </w:tblGrid>
      <w:tr w:rsidR="00E74A2C" w:rsidRPr="00AC3047" w:rsidTr="0011748C">
        <w:trPr>
          <w:trHeight w:val="300"/>
          <w:tblHeader/>
        </w:trPr>
        <w:tc>
          <w:tcPr>
            <w:tcW w:w="2276" w:type="dxa"/>
            <w:tcBorders>
              <w:top w:val="single" w:sz="8" w:space="0" w:color="9BBB59"/>
              <w:left w:val="single" w:sz="8" w:space="0" w:color="9BBB59"/>
              <w:bottom w:val="nil"/>
              <w:right w:val="nil"/>
            </w:tcBorders>
            <w:shd w:val="clear" w:color="000000" w:fill="9BBB59"/>
            <w:noWrap/>
            <w:hideMark/>
          </w:tcPr>
          <w:p w:rsidR="00E74A2C" w:rsidRPr="00AC3047" w:rsidRDefault="00E74A2C" w:rsidP="0011748C">
            <w:pPr>
              <w:spacing w:after="0" w:line="240" w:lineRule="auto"/>
              <w:rPr>
                <w:rFonts w:ascii="Times New Roman" w:hAnsi="Times New Roman"/>
                <w:color w:val="000000"/>
                <w:szCs w:val="20"/>
                <w:lang w:eastAsia="sl-SI"/>
              </w:rPr>
            </w:pPr>
            <w:r w:rsidRPr="00AC3047">
              <w:rPr>
                <w:rFonts w:ascii="Times New Roman" w:hAnsi="Times New Roman"/>
                <w:color w:val="000000"/>
                <w:szCs w:val="20"/>
                <w:lang w:eastAsia="sl-SI"/>
              </w:rPr>
              <w:t> </w:t>
            </w:r>
          </w:p>
        </w:tc>
        <w:tc>
          <w:tcPr>
            <w:tcW w:w="895" w:type="dxa"/>
            <w:tcBorders>
              <w:top w:val="single" w:sz="8" w:space="0" w:color="9BBB59"/>
              <w:left w:val="nil"/>
              <w:bottom w:val="nil"/>
              <w:right w:val="nil"/>
            </w:tcBorders>
            <w:shd w:val="clear" w:color="000000" w:fill="9BBB59"/>
            <w:noWrap/>
            <w:vAlign w:val="center"/>
            <w:hideMark/>
          </w:tcPr>
          <w:p w:rsidR="00E74A2C" w:rsidRPr="00AC3047" w:rsidRDefault="00E74A2C" w:rsidP="0011748C">
            <w:pPr>
              <w:spacing w:after="0" w:line="240" w:lineRule="auto"/>
              <w:jc w:val="right"/>
              <w:rPr>
                <w:rFonts w:ascii="Arial Narrow" w:hAnsi="Arial Narrow"/>
                <w:b/>
                <w:bCs/>
                <w:color w:val="FFFFFF"/>
                <w:sz w:val="16"/>
                <w:szCs w:val="16"/>
                <w:lang w:eastAsia="sl-SI"/>
              </w:rPr>
            </w:pPr>
            <w:r w:rsidRPr="00AC3047">
              <w:rPr>
                <w:rFonts w:ascii="Arial Narrow" w:hAnsi="Arial Narrow"/>
                <w:b/>
                <w:bCs/>
                <w:color w:val="FFFFFF"/>
                <w:sz w:val="16"/>
                <w:szCs w:val="16"/>
                <w:lang w:eastAsia="sl-SI"/>
              </w:rPr>
              <w:t>2008</w:t>
            </w:r>
          </w:p>
        </w:tc>
        <w:tc>
          <w:tcPr>
            <w:tcW w:w="895" w:type="dxa"/>
            <w:tcBorders>
              <w:top w:val="single" w:sz="8" w:space="0" w:color="9BBB59"/>
              <w:left w:val="nil"/>
              <w:bottom w:val="nil"/>
              <w:right w:val="nil"/>
            </w:tcBorders>
            <w:shd w:val="clear" w:color="000000" w:fill="9BBB59"/>
            <w:noWrap/>
            <w:vAlign w:val="center"/>
            <w:hideMark/>
          </w:tcPr>
          <w:p w:rsidR="00E74A2C" w:rsidRPr="00AC3047" w:rsidRDefault="00E74A2C" w:rsidP="0011748C">
            <w:pPr>
              <w:spacing w:after="0" w:line="240" w:lineRule="auto"/>
              <w:jc w:val="right"/>
              <w:rPr>
                <w:rFonts w:ascii="Arial Narrow" w:hAnsi="Arial Narrow"/>
                <w:b/>
                <w:bCs/>
                <w:color w:val="FFFFFF"/>
                <w:sz w:val="16"/>
                <w:szCs w:val="16"/>
                <w:lang w:eastAsia="sl-SI"/>
              </w:rPr>
            </w:pPr>
            <w:r w:rsidRPr="00AC3047">
              <w:rPr>
                <w:rFonts w:ascii="Arial Narrow" w:hAnsi="Arial Narrow"/>
                <w:b/>
                <w:bCs/>
                <w:color w:val="FFFFFF"/>
                <w:sz w:val="16"/>
                <w:szCs w:val="16"/>
                <w:lang w:eastAsia="sl-SI"/>
              </w:rPr>
              <w:t>2009</w:t>
            </w:r>
          </w:p>
        </w:tc>
        <w:tc>
          <w:tcPr>
            <w:tcW w:w="895" w:type="dxa"/>
            <w:tcBorders>
              <w:top w:val="single" w:sz="8" w:space="0" w:color="9BBB59"/>
              <w:left w:val="nil"/>
              <w:bottom w:val="nil"/>
              <w:right w:val="nil"/>
            </w:tcBorders>
            <w:shd w:val="clear" w:color="000000" w:fill="9BBB59"/>
            <w:noWrap/>
            <w:vAlign w:val="center"/>
            <w:hideMark/>
          </w:tcPr>
          <w:p w:rsidR="00E74A2C" w:rsidRPr="00AC3047" w:rsidRDefault="00E74A2C" w:rsidP="0011748C">
            <w:pPr>
              <w:spacing w:after="0" w:line="240" w:lineRule="auto"/>
              <w:jc w:val="right"/>
              <w:rPr>
                <w:rFonts w:ascii="Arial Narrow" w:hAnsi="Arial Narrow"/>
                <w:b/>
                <w:bCs/>
                <w:color w:val="FFFFFF"/>
                <w:sz w:val="16"/>
                <w:szCs w:val="16"/>
                <w:lang w:eastAsia="sl-SI"/>
              </w:rPr>
            </w:pPr>
            <w:r w:rsidRPr="00AC3047">
              <w:rPr>
                <w:rFonts w:ascii="Arial Narrow" w:hAnsi="Arial Narrow"/>
                <w:b/>
                <w:bCs/>
                <w:color w:val="FFFFFF"/>
                <w:sz w:val="16"/>
                <w:szCs w:val="16"/>
                <w:lang w:eastAsia="sl-SI"/>
              </w:rPr>
              <w:t>2010</w:t>
            </w:r>
          </w:p>
        </w:tc>
        <w:tc>
          <w:tcPr>
            <w:tcW w:w="895" w:type="dxa"/>
            <w:tcBorders>
              <w:top w:val="single" w:sz="8" w:space="0" w:color="9BBB59"/>
              <w:left w:val="nil"/>
              <w:bottom w:val="nil"/>
              <w:right w:val="nil"/>
            </w:tcBorders>
            <w:shd w:val="clear" w:color="000000" w:fill="9BBB59"/>
            <w:noWrap/>
            <w:vAlign w:val="center"/>
            <w:hideMark/>
          </w:tcPr>
          <w:p w:rsidR="00E74A2C" w:rsidRPr="00AC3047" w:rsidRDefault="00E74A2C" w:rsidP="0011748C">
            <w:pPr>
              <w:spacing w:after="0" w:line="240" w:lineRule="auto"/>
              <w:jc w:val="right"/>
              <w:rPr>
                <w:rFonts w:ascii="Arial Narrow" w:hAnsi="Arial Narrow"/>
                <w:b/>
                <w:bCs/>
                <w:color w:val="FFFFFF"/>
                <w:sz w:val="16"/>
                <w:szCs w:val="16"/>
                <w:lang w:eastAsia="sl-SI"/>
              </w:rPr>
            </w:pPr>
            <w:r w:rsidRPr="00AC3047">
              <w:rPr>
                <w:rFonts w:ascii="Arial Narrow" w:hAnsi="Arial Narrow"/>
                <w:b/>
                <w:bCs/>
                <w:color w:val="FFFFFF"/>
                <w:sz w:val="16"/>
                <w:szCs w:val="16"/>
                <w:lang w:eastAsia="sl-SI"/>
              </w:rPr>
              <w:t>2011</w:t>
            </w:r>
          </w:p>
        </w:tc>
        <w:tc>
          <w:tcPr>
            <w:tcW w:w="895" w:type="dxa"/>
            <w:tcBorders>
              <w:top w:val="single" w:sz="8" w:space="0" w:color="9BBB59"/>
              <w:left w:val="nil"/>
              <w:bottom w:val="nil"/>
              <w:right w:val="nil"/>
            </w:tcBorders>
            <w:shd w:val="clear" w:color="000000" w:fill="9BBB59"/>
            <w:noWrap/>
            <w:vAlign w:val="center"/>
            <w:hideMark/>
          </w:tcPr>
          <w:p w:rsidR="00E74A2C" w:rsidRPr="00AC3047" w:rsidRDefault="00E74A2C" w:rsidP="0011748C">
            <w:pPr>
              <w:spacing w:after="0" w:line="240" w:lineRule="auto"/>
              <w:jc w:val="right"/>
              <w:rPr>
                <w:rFonts w:ascii="Arial Narrow" w:hAnsi="Arial Narrow"/>
                <w:b/>
                <w:bCs/>
                <w:color w:val="FFFFFF"/>
                <w:sz w:val="16"/>
                <w:szCs w:val="16"/>
                <w:lang w:eastAsia="sl-SI"/>
              </w:rPr>
            </w:pPr>
            <w:r w:rsidRPr="00AC3047">
              <w:rPr>
                <w:rFonts w:ascii="Arial Narrow" w:hAnsi="Arial Narrow"/>
                <w:b/>
                <w:bCs/>
                <w:color w:val="FFFFFF"/>
                <w:sz w:val="16"/>
                <w:szCs w:val="16"/>
                <w:lang w:eastAsia="sl-SI"/>
              </w:rPr>
              <w:t>2012</w:t>
            </w:r>
          </w:p>
        </w:tc>
        <w:tc>
          <w:tcPr>
            <w:tcW w:w="895" w:type="dxa"/>
            <w:tcBorders>
              <w:top w:val="single" w:sz="8" w:space="0" w:color="9BBB59"/>
              <w:left w:val="nil"/>
              <w:bottom w:val="nil"/>
              <w:right w:val="nil"/>
            </w:tcBorders>
            <w:shd w:val="clear" w:color="000000" w:fill="9BBB59"/>
            <w:noWrap/>
            <w:vAlign w:val="center"/>
            <w:hideMark/>
          </w:tcPr>
          <w:p w:rsidR="00E74A2C" w:rsidRPr="00AC3047" w:rsidRDefault="00E74A2C" w:rsidP="0011748C">
            <w:pPr>
              <w:spacing w:after="0" w:line="240" w:lineRule="auto"/>
              <w:jc w:val="right"/>
              <w:rPr>
                <w:rFonts w:ascii="Arial Narrow" w:hAnsi="Arial Narrow"/>
                <w:b/>
                <w:bCs/>
                <w:color w:val="FFFFFF"/>
                <w:sz w:val="16"/>
                <w:szCs w:val="16"/>
                <w:lang w:eastAsia="sl-SI"/>
              </w:rPr>
            </w:pPr>
            <w:r w:rsidRPr="00AC3047">
              <w:rPr>
                <w:rFonts w:ascii="Arial Narrow" w:hAnsi="Arial Narrow"/>
                <w:b/>
                <w:bCs/>
                <w:color w:val="FFFFFF"/>
                <w:sz w:val="16"/>
                <w:szCs w:val="16"/>
                <w:lang w:eastAsia="sl-SI"/>
              </w:rPr>
              <w:t>2013</w:t>
            </w:r>
          </w:p>
        </w:tc>
        <w:tc>
          <w:tcPr>
            <w:tcW w:w="895" w:type="dxa"/>
            <w:tcBorders>
              <w:top w:val="single" w:sz="8" w:space="0" w:color="9BBB59"/>
              <w:left w:val="nil"/>
              <w:bottom w:val="nil"/>
              <w:right w:val="nil"/>
            </w:tcBorders>
            <w:shd w:val="clear" w:color="000000" w:fill="9BBB59"/>
            <w:noWrap/>
            <w:vAlign w:val="center"/>
            <w:hideMark/>
          </w:tcPr>
          <w:p w:rsidR="00E74A2C" w:rsidRPr="00AC3047" w:rsidRDefault="00E74A2C" w:rsidP="0011748C">
            <w:pPr>
              <w:spacing w:after="0" w:line="240" w:lineRule="auto"/>
              <w:jc w:val="right"/>
              <w:rPr>
                <w:rFonts w:ascii="Arial Narrow" w:hAnsi="Arial Narrow"/>
                <w:b/>
                <w:bCs/>
                <w:color w:val="FFFFFF"/>
                <w:sz w:val="16"/>
                <w:szCs w:val="16"/>
                <w:lang w:eastAsia="sl-SI"/>
              </w:rPr>
            </w:pPr>
            <w:r w:rsidRPr="00AC3047">
              <w:rPr>
                <w:rFonts w:ascii="Arial Narrow" w:hAnsi="Arial Narrow"/>
                <w:b/>
                <w:bCs/>
                <w:color w:val="FFFFFF"/>
                <w:sz w:val="16"/>
                <w:szCs w:val="16"/>
                <w:lang w:eastAsia="sl-SI"/>
              </w:rPr>
              <w:t>2014</w:t>
            </w:r>
          </w:p>
        </w:tc>
        <w:tc>
          <w:tcPr>
            <w:tcW w:w="895" w:type="dxa"/>
            <w:tcBorders>
              <w:top w:val="single" w:sz="8" w:space="0" w:color="9BBB59"/>
              <w:left w:val="nil"/>
              <w:bottom w:val="nil"/>
              <w:right w:val="single" w:sz="8" w:space="0" w:color="9BBB59"/>
            </w:tcBorders>
            <w:shd w:val="clear" w:color="000000" w:fill="9BBB59"/>
            <w:noWrap/>
            <w:vAlign w:val="center"/>
            <w:hideMark/>
          </w:tcPr>
          <w:p w:rsidR="00E74A2C" w:rsidRPr="00AC3047" w:rsidRDefault="00E74A2C" w:rsidP="0011748C">
            <w:pPr>
              <w:spacing w:after="0" w:line="240" w:lineRule="auto"/>
              <w:jc w:val="right"/>
              <w:rPr>
                <w:rFonts w:ascii="Arial Narrow" w:hAnsi="Arial Narrow"/>
                <w:b/>
                <w:bCs/>
                <w:color w:val="FFFFFF"/>
                <w:sz w:val="16"/>
                <w:szCs w:val="16"/>
                <w:lang w:eastAsia="sl-SI"/>
              </w:rPr>
            </w:pPr>
            <w:r w:rsidRPr="00AC3047">
              <w:rPr>
                <w:rFonts w:ascii="Arial Narrow" w:hAnsi="Arial Narrow"/>
                <w:b/>
                <w:bCs/>
                <w:color w:val="FFFFFF"/>
                <w:sz w:val="16"/>
                <w:szCs w:val="16"/>
                <w:lang w:eastAsia="sl-SI"/>
              </w:rPr>
              <w:t>2015</w:t>
            </w:r>
          </w:p>
        </w:tc>
      </w:tr>
      <w:tr w:rsidR="00E74A2C" w:rsidRPr="00AC3047" w:rsidTr="0011748C">
        <w:trPr>
          <w:trHeight w:val="300"/>
        </w:trPr>
        <w:tc>
          <w:tcPr>
            <w:tcW w:w="2276" w:type="dxa"/>
            <w:tcBorders>
              <w:top w:val="single" w:sz="8" w:space="0" w:color="9BBB59"/>
              <w:left w:val="single" w:sz="8" w:space="0" w:color="9BBB59"/>
              <w:bottom w:val="single" w:sz="8" w:space="0" w:color="9BBB59"/>
              <w:right w:val="nil"/>
            </w:tcBorders>
            <w:shd w:val="clear" w:color="auto" w:fill="9BBB59" w:themeFill="accent3"/>
            <w:noWrap/>
            <w:vAlign w:val="center"/>
            <w:hideMark/>
          </w:tcPr>
          <w:p w:rsidR="00E74A2C" w:rsidRPr="00313D0D" w:rsidRDefault="00E74A2C" w:rsidP="0011748C">
            <w:pPr>
              <w:spacing w:after="0" w:line="240" w:lineRule="auto"/>
              <w:rPr>
                <w:rFonts w:ascii="Arial Narrow" w:hAnsi="Arial Narrow"/>
                <w:b/>
                <w:color w:val="FFFFFF" w:themeColor="background1"/>
                <w:sz w:val="16"/>
                <w:szCs w:val="16"/>
                <w:lang w:eastAsia="sl-SI"/>
              </w:rPr>
            </w:pPr>
            <w:r w:rsidRPr="00313D0D">
              <w:rPr>
                <w:rFonts w:ascii="Arial Narrow" w:hAnsi="Arial Narrow"/>
                <w:b/>
                <w:color w:val="FFFFFF" w:themeColor="background1"/>
                <w:sz w:val="16"/>
                <w:szCs w:val="16"/>
                <w:lang w:eastAsia="sl-SI"/>
              </w:rPr>
              <w:t> </w:t>
            </w:r>
          </w:p>
        </w:tc>
        <w:tc>
          <w:tcPr>
            <w:tcW w:w="895" w:type="dxa"/>
            <w:tcBorders>
              <w:top w:val="single" w:sz="8" w:space="0" w:color="9BBB59"/>
              <w:left w:val="nil"/>
              <w:bottom w:val="single" w:sz="8" w:space="0" w:color="9BBB59"/>
              <w:right w:val="nil"/>
            </w:tcBorders>
            <w:shd w:val="clear" w:color="auto" w:fill="9BBB59" w:themeFill="accent3"/>
            <w:noWrap/>
            <w:vAlign w:val="center"/>
            <w:hideMark/>
          </w:tcPr>
          <w:p w:rsidR="00E74A2C" w:rsidRPr="00313D0D" w:rsidRDefault="00E74A2C" w:rsidP="0011748C">
            <w:pPr>
              <w:spacing w:after="0" w:line="240" w:lineRule="auto"/>
              <w:jc w:val="right"/>
              <w:rPr>
                <w:rFonts w:ascii="Arial Narrow" w:hAnsi="Arial Narrow"/>
                <w:b/>
                <w:color w:val="FFFFFF" w:themeColor="background1"/>
                <w:sz w:val="16"/>
                <w:szCs w:val="16"/>
                <w:lang w:eastAsia="sl-SI"/>
              </w:rPr>
            </w:pPr>
            <w:r w:rsidRPr="00313D0D">
              <w:rPr>
                <w:rFonts w:ascii="Arial Narrow" w:hAnsi="Arial Narrow"/>
                <w:b/>
                <w:color w:val="FFFFFF" w:themeColor="background1"/>
                <w:sz w:val="16"/>
                <w:szCs w:val="16"/>
                <w:lang w:eastAsia="sl-SI"/>
              </w:rPr>
              <w:t>EUR</w:t>
            </w:r>
          </w:p>
        </w:tc>
        <w:tc>
          <w:tcPr>
            <w:tcW w:w="895" w:type="dxa"/>
            <w:tcBorders>
              <w:top w:val="single" w:sz="8" w:space="0" w:color="9BBB59"/>
              <w:left w:val="nil"/>
              <w:bottom w:val="single" w:sz="8" w:space="0" w:color="9BBB59"/>
              <w:right w:val="nil"/>
            </w:tcBorders>
            <w:shd w:val="clear" w:color="auto" w:fill="9BBB59" w:themeFill="accent3"/>
            <w:noWrap/>
            <w:vAlign w:val="center"/>
            <w:hideMark/>
          </w:tcPr>
          <w:p w:rsidR="00E74A2C" w:rsidRPr="00313D0D" w:rsidRDefault="00E74A2C" w:rsidP="0011748C">
            <w:pPr>
              <w:spacing w:after="0" w:line="240" w:lineRule="auto"/>
              <w:jc w:val="right"/>
              <w:rPr>
                <w:rFonts w:ascii="Arial Narrow" w:hAnsi="Arial Narrow"/>
                <w:b/>
                <w:color w:val="FFFFFF" w:themeColor="background1"/>
                <w:sz w:val="16"/>
                <w:szCs w:val="16"/>
                <w:lang w:eastAsia="sl-SI"/>
              </w:rPr>
            </w:pPr>
            <w:r w:rsidRPr="00313D0D">
              <w:rPr>
                <w:rFonts w:ascii="Arial Narrow" w:hAnsi="Arial Narrow"/>
                <w:b/>
                <w:color w:val="FFFFFF" w:themeColor="background1"/>
                <w:sz w:val="16"/>
                <w:szCs w:val="16"/>
                <w:lang w:eastAsia="sl-SI"/>
              </w:rPr>
              <w:t>EUR</w:t>
            </w:r>
          </w:p>
        </w:tc>
        <w:tc>
          <w:tcPr>
            <w:tcW w:w="895" w:type="dxa"/>
            <w:tcBorders>
              <w:top w:val="single" w:sz="8" w:space="0" w:color="9BBB59"/>
              <w:left w:val="nil"/>
              <w:bottom w:val="single" w:sz="8" w:space="0" w:color="9BBB59"/>
              <w:right w:val="nil"/>
            </w:tcBorders>
            <w:shd w:val="clear" w:color="auto" w:fill="9BBB59" w:themeFill="accent3"/>
            <w:noWrap/>
            <w:vAlign w:val="center"/>
            <w:hideMark/>
          </w:tcPr>
          <w:p w:rsidR="00E74A2C" w:rsidRPr="00313D0D" w:rsidRDefault="00E74A2C" w:rsidP="0011748C">
            <w:pPr>
              <w:spacing w:after="0" w:line="240" w:lineRule="auto"/>
              <w:jc w:val="right"/>
              <w:rPr>
                <w:rFonts w:ascii="Arial Narrow" w:hAnsi="Arial Narrow"/>
                <w:b/>
                <w:color w:val="FFFFFF" w:themeColor="background1"/>
                <w:sz w:val="16"/>
                <w:szCs w:val="16"/>
                <w:lang w:eastAsia="sl-SI"/>
              </w:rPr>
            </w:pPr>
            <w:r w:rsidRPr="00313D0D">
              <w:rPr>
                <w:rFonts w:ascii="Arial Narrow" w:hAnsi="Arial Narrow"/>
                <w:b/>
                <w:color w:val="FFFFFF" w:themeColor="background1"/>
                <w:sz w:val="16"/>
                <w:szCs w:val="16"/>
                <w:lang w:eastAsia="sl-SI"/>
              </w:rPr>
              <w:t>EUR</w:t>
            </w:r>
          </w:p>
        </w:tc>
        <w:tc>
          <w:tcPr>
            <w:tcW w:w="895" w:type="dxa"/>
            <w:tcBorders>
              <w:top w:val="single" w:sz="8" w:space="0" w:color="9BBB59"/>
              <w:left w:val="nil"/>
              <w:bottom w:val="single" w:sz="8" w:space="0" w:color="9BBB59"/>
              <w:right w:val="nil"/>
            </w:tcBorders>
            <w:shd w:val="clear" w:color="auto" w:fill="9BBB59" w:themeFill="accent3"/>
            <w:noWrap/>
            <w:vAlign w:val="center"/>
            <w:hideMark/>
          </w:tcPr>
          <w:p w:rsidR="00E74A2C" w:rsidRPr="00313D0D" w:rsidRDefault="00E74A2C" w:rsidP="0011748C">
            <w:pPr>
              <w:spacing w:after="0" w:line="240" w:lineRule="auto"/>
              <w:jc w:val="right"/>
              <w:rPr>
                <w:rFonts w:ascii="Arial Narrow" w:hAnsi="Arial Narrow"/>
                <w:b/>
                <w:color w:val="FFFFFF" w:themeColor="background1"/>
                <w:sz w:val="16"/>
                <w:szCs w:val="16"/>
                <w:lang w:eastAsia="sl-SI"/>
              </w:rPr>
            </w:pPr>
            <w:r w:rsidRPr="00313D0D">
              <w:rPr>
                <w:rFonts w:ascii="Arial Narrow" w:hAnsi="Arial Narrow"/>
                <w:b/>
                <w:color w:val="FFFFFF" w:themeColor="background1"/>
                <w:sz w:val="16"/>
                <w:szCs w:val="16"/>
                <w:lang w:eastAsia="sl-SI"/>
              </w:rPr>
              <w:t>EUR</w:t>
            </w:r>
          </w:p>
        </w:tc>
        <w:tc>
          <w:tcPr>
            <w:tcW w:w="895" w:type="dxa"/>
            <w:tcBorders>
              <w:top w:val="single" w:sz="8" w:space="0" w:color="9BBB59"/>
              <w:left w:val="nil"/>
              <w:bottom w:val="single" w:sz="8" w:space="0" w:color="9BBB59"/>
              <w:right w:val="nil"/>
            </w:tcBorders>
            <w:shd w:val="clear" w:color="auto" w:fill="9BBB59" w:themeFill="accent3"/>
            <w:noWrap/>
            <w:vAlign w:val="center"/>
            <w:hideMark/>
          </w:tcPr>
          <w:p w:rsidR="00E74A2C" w:rsidRPr="00313D0D" w:rsidRDefault="00E74A2C" w:rsidP="0011748C">
            <w:pPr>
              <w:spacing w:after="0" w:line="240" w:lineRule="auto"/>
              <w:jc w:val="right"/>
              <w:rPr>
                <w:rFonts w:ascii="Arial Narrow" w:hAnsi="Arial Narrow"/>
                <w:b/>
                <w:color w:val="FFFFFF" w:themeColor="background1"/>
                <w:sz w:val="16"/>
                <w:szCs w:val="16"/>
                <w:lang w:eastAsia="sl-SI"/>
              </w:rPr>
            </w:pPr>
            <w:r w:rsidRPr="00313D0D">
              <w:rPr>
                <w:rFonts w:ascii="Arial Narrow" w:hAnsi="Arial Narrow"/>
                <w:b/>
                <w:color w:val="FFFFFF" w:themeColor="background1"/>
                <w:sz w:val="16"/>
                <w:szCs w:val="16"/>
                <w:lang w:eastAsia="sl-SI"/>
              </w:rPr>
              <w:t>EUR</w:t>
            </w:r>
          </w:p>
        </w:tc>
        <w:tc>
          <w:tcPr>
            <w:tcW w:w="895" w:type="dxa"/>
            <w:tcBorders>
              <w:top w:val="single" w:sz="8" w:space="0" w:color="9BBB59"/>
              <w:left w:val="nil"/>
              <w:bottom w:val="single" w:sz="8" w:space="0" w:color="9BBB59"/>
              <w:right w:val="nil"/>
            </w:tcBorders>
            <w:shd w:val="clear" w:color="auto" w:fill="9BBB59" w:themeFill="accent3"/>
            <w:noWrap/>
            <w:vAlign w:val="center"/>
            <w:hideMark/>
          </w:tcPr>
          <w:p w:rsidR="00E74A2C" w:rsidRPr="00313D0D" w:rsidRDefault="00E74A2C" w:rsidP="0011748C">
            <w:pPr>
              <w:spacing w:after="0" w:line="240" w:lineRule="auto"/>
              <w:jc w:val="right"/>
              <w:rPr>
                <w:rFonts w:ascii="Arial Narrow" w:hAnsi="Arial Narrow"/>
                <w:b/>
                <w:color w:val="FFFFFF" w:themeColor="background1"/>
                <w:sz w:val="16"/>
                <w:szCs w:val="16"/>
                <w:lang w:eastAsia="sl-SI"/>
              </w:rPr>
            </w:pPr>
            <w:r w:rsidRPr="00313D0D">
              <w:rPr>
                <w:rFonts w:ascii="Arial Narrow" w:hAnsi="Arial Narrow"/>
                <w:b/>
                <w:color w:val="FFFFFF" w:themeColor="background1"/>
                <w:sz w:val="16"/>
                <w:szCs w:val="16"/>
                <w:lang w:eastAsia="sl-SI"/>
              </w:rPr>
              <w:t>EUR</w:t>
            </w:r>
          </w:p>
        </w:tc>
        <w:tc>
          <w:tcPr>
            <w:tcW w:w="895" w:type="dxa"/>
            <w:tcBorders>
              <w:top w:val="single" w:sz="8" w:space="0" w:color="9BBB59"/>
              <w:left w:val="nil"/>
              <w:bottom w:val="single" w:sz="8" w:space="0" w:color="9BBB59"/>
              <w:right w:val="nil"/>
            </w:tcBorders>
            <w:shd w:val="clear" w:color="auto" w:fill="9BBB59" w:themeFill="accent3"/>
            <w:noWrap/>
            <w:vAlign w:val="center"/>
            <w:hideMark/>
          </w:tcPr>
          <w:p w:rsidR="00E74A2C" w:rsidRPr="00313D0D" w:rsidRDefault="00E74A2C" w:rsidP="0011748C">
            <w:pPr>
              <w:spacing w:after="0" w:line="240" w:lineRule="auto"/>
              <w:jc w:val="right"/>
              <w:rPr>
                <w:rFonts w:ascii="Arial Narrow" w:hAnsi="Arial Narrow"/>
                <w:b/>
                <w:color w:val="FFFFFF" w:themeColor="background1"/>
                <w:sz w:val="16"/>
                <w:szCs w:val="16"/>
                <w:lang w:eastAsia="sl-SI"/>
              </w:rPr>
            </w:pPr>
            <w:r w:rsidRPr="00313D0D">
              <w:rPr>
                <w:rFonts w:ascii="Arial Narrow" w:hAnsi="Arial Narrow"/>
                <w:b/>
                <w:color w:val="FFFFFF" w:themeColor="background1"/>
                <w:sz w:val="16"/>
                <w:szCs w:val="16"/>
                <w:lang w:eastAsia="sl-SI"/>
              </w:rPr>
              <w:t>EUR</w:t>
            </w:r>
          </w:p>
        </w:tc>
        <w:tc>
          <w:tcPr>
            <w:tcW w:w="895" w:type="dxa"/>
            <w:tcBorders>
              <w:top w:val="single" w:sz="8" w:space="0" w:color="9BBB59"/>
              <w:left w:val="nil"/>
              <w:bottom w:val="single" w:sz="8" w:space="0" w:color="9BBB59"/>
              <w:right w:val="single" w:sz="8" w:space="0" w:color="9BBB59"/>
            </w:tcBorders>
            <w:shd w:val="clear" w:color="auto" w:fill="9BBB59" w:themeFill="accent3"/>
            <w:noWrap/>
            <w:vAlign w:val="center"/>
            <w:hideMark/>
          </w:tcPr>
          <w:p w:rsidR="00E74A2C" w:rsidRPr="00313D0D" w:rsidRDefault="00E74A2C" w:rsidP="0011748C">
            <w:pPr>
              <w:spacing w:after="0" w:line="240" w:lineRule="auto"/>
              <w:jc w:val="right"/>
              <w:rPr>
                <w:rFonts w:ascii="Arial Narrow" w:hAnsi="Arial Narrow"/>
                <w:b/>
                <w:color w:val="FFFFFF" w:themeColor="background1"/>
                <w:sz w:val="16"/>
                <w:szCs w:val="16"/>
                <w:lang w:eastAsia="sl-SI"/>
              </w:rPr>
            </w:pPr>
            <w:r w:rsidRPr="00313D0D">
              <w:rPr>
                <w:rFonts w:ascii="Arial Narrow" w:hAnsi="Arial Narrow"/>
                <w:b/>
                <w:color w:val="FFFFFF" w:themeColor="background1"/>
                <w:sz w:val="16"/>
                <w:szCs w:val="16"/>
                <w:lang w:eastAsia="sl-SI"/>
              </w:rPr>
              <w:t>EUR</w:t>
            </w:r>
          </w:p>
        </w:tc>
      </w:tr>
      <w:tr w:rsidR="00E74A2C" w:rsidRPr="00AC3047" w:rsidTr="000A3183">
        <w:trPr>
          <w:trHeight w:val="102"/>
        </w:trPr>
        <w:tc>
          <w:tcPr>
            <w:tcW w:w="2276" w:type="dxa"/>
            <w:tcBorders>
              <w:top w:val="nil"/>
              <w:left w:val="single" w:sz="8" w:space="0" w:color="9BBB59"/>
              <w:bottom w:val="nil"/>
              <w:right w:val="nil"/>
            </w:tcBorders>
            <w:shd w:val="clear" w:color="auto" w:fill="auto"/>
            <w:noWrap/>
            <w:vAlign w:val="center"/>
            <w:hideMark/>
          </w:tcPr>
          <w:p w:rsidR="00E74A2C" w:rsidRPr="00AC3047" w:rsidRDefault="00E74A2C" w:rsidP="0011748C">
            <w:pPr>
              <w:spacing w:after="0" w:line="240" w:lineRule="auto"/>
              <w:rPr>
                <w:rFonts w:ascii="Arial Narrow" w:hAnsi="Arial Narrow"/>
                <w:color w:val="000000"/>
                <w:sz w:val="16"/>
                <w:szCs w:val="16"/>
                <w:lang w:eastAsia="sl-SI"/>
              </w:rPr>
            </w:pPr>
            <w:r w:rsidRPr="00AC3047">
              <w:rPr>
                <w:rFonts w:ascii="Arial Narrow" w:hAnsi="Arial Narrow"/>
                <w:color w:val="000000"/>
                <w:sz w:val="16"/>
                <w:szCs w:val="16"/>
                <w:lang w:eastAsia="sl-SI"/>
              </w:rPr>
              <w:t>Ministrstvo za kulturo</w:t>
            </w:r>
          </w:p>
        </w:tc>
        <w:tc>
          <w:tcPr>
            <w:tcW w:w="895" w:type="dxa"/>
            <w:tcBorders>
              <w:top w:val="nil"/>
              <w:left w:val="nil"/>
              <w:bottom w:val="nil"/>
              <w:right w:val="nil"/>
            </w:tcBorders>
            <w:shd w:val="clear" w:color="auto" w:fill="auto"/>
            <w:noWrap/>
            <w:vAlign w:val="center"/>
            <w:hideMark/>
          </w:tcPr>
          <w:p w:rsidR="00E74A2C" w:rsidRPr="00AC3047" w:rsidRDefault="00E74A2C" w:rsidP="0011748C">
            <w:pPr>
              <w:spacing w:after="0" w:line="240" w:lineRule="auto"/>
              <w:jc w:val="right"/>
              <w:rPr>
                <w:rFonts w:ascii="Arial Narrow" w:hAnsi="Arial Narrow"/>
                <w:color w:val="000000"/>
                <w:sz w:val="16"/>
                <w:szCs w:val="16"/>
                <w:lang w:eastAsia="sl-SI"/>
              </w:rPr>
            </w:pPr>
            <w:r w:rsidRPr="00AC3047">
              <w:rPr>
                <w:rFonts w:ascii="Arial Narrow" w:hAnsi="Arial Narrow"/>
                <w:color w:val="000000"/>
                <w:sz w:val="16"/>
                <w:szCs w:val="16"/>
                <w:lang w:eastAsia="sl-SI"/>
              </w:rPr>
              <w:t>75.651.338</w:t>
            </w:r>
          </w:p>
        </w:tc>
        <w:tc>
          <w:tcPr>
            <w:tcW w:w="895" w:type="dxa"/>
            <w:tcBorders>
              <w:top w:val="nil"/>
              <w:left w:val="nil"/>
              <w:bottom w:val="nil"/>
              <w:right w:val="nil"/>
            </w:tcBorders>
            <w:shd w:val="clear" w:color="auto" w:fill="auto"/>
            <w:noWrap/>
            <w:vAlign w:val="center"/>
            <w:hideMark/>
          </w:tcPr>
          <w:p w:rsidR="00E74A2C" w:rsidRPr="00AC3047" w:rsidRDefault="00E74A2C" w:rsidP="0011748C">
            <w:pPr>
              <w:spacing w:after="0" w:line="240" w:lineRule="auto"/>
              <w:jc w:val="right"/>
              <w:rPr>
                <w:rFonts w:ascii="Arial Narrow" w:hAnsi="Arial Narrow"/>
                <w:color w:val="000000"/>
                <w:sz w:val="16"/>
                <w:szCs w:val="16"/>
                <w:lang w:eastAsia="sl-SI"/>
              </w:rPr>
            </w:pPr>
            <w:r w:rsidRPr="00AC3047">
              <w:rPr>
                <w:rFonts w:ascii="Arial Narrow" w:hAnsi="Arial Narrow"/>
                <w:color w:val="000000"/>
                <w:sz w:val="16"/>
                <w:szCs w:val="16"/>
                <w:lang w:eastAsia="sl-SI"/>
              </w:rPr>
              <w:t>84.196.547</w:t>
            </w:r>
          </w:p>
        </w:tc>
        <w:tc>
          <w:tcPr>
            <w:tcW w:w="895" w:type="dxa"/>
            <w:tcBorders>
              <w:top w:val="nil"/>
              <w:left w:val="nil"/>
              <w:bottom w:val="nil"/>
              <w:right w:val="nil"/>
            </w:tcBorders>
            <w:shd w:val="clear" w:color="auto" w:fill="auto"/>
            <w:noWrap/>
            <w:vAlign w:val="center"/>
            <w:hideMark/>
          </w:tcPr>
          <w:p w:rsidR="00E74A2C" w:rsidRPr="00AC3047" w:rsidRDefault="00E74A2C" w:rsidP="0011748C">
            <w:pPr>
              <w:spacing w:after="0" w:line="240" w:lineRule="auto"/>
              <w:jc w:val="right"/>
              <w:rPr>
                <w:rFonts w:ascii="Arial Narrow" w:hAnsi="Arial Narrow"/>
                <w:color w:val="000000"/>
                <w:sz w:val="16"/>
                <w:szCs w:val="16"/>
                <w:lang w:eastAsia="sl-SI"/>
              </w:rPr>
            </w:pPr>
            <w:r w:rsidRPr="00AC3047">
              <w:rPr>
                <w:rFonts w:ascii="Arial Narrow" w:hAnsi="Arial Narrow"/>
                <w:color w:val="000000"/>
                <w:sz w:val="16"/>
                <w:szCs w:val="16"/>
                <w:lang w:eastAsia="sl-SI"/>
              </w:rPr>
              <w:t>80.226.591</w:t>
            </w:r>
          </w:p>
        </w:tc>
        <w:tc>
          <w:tcPr>
            <w:tcW w:w="895" w:type="dxa"/>
            <w:tcBorders>
              <w:top w:val="nil"/>
              <w:left w:val="nil"/>
              <w:bottom w:val="nil"/>
              <w:right w:val="nil"/>
            </w:tcBorders>
            <w:shd w:val="clear" w:color="auto" w:fill="auto"/>
            <w:noWrap/>
            <w:vAlign w:val="center"/>
            <w:hideMark/>
          </w:tcPr>
          <w:p w:rsidR="00E74A2C" w:rsidRPr="00AC3047" w:rsidRDefault="00E74A2C" w:rsidP="0011748C">
            <w:pPr>
              <w:spacing w:after="0" w:line="240" w:lineRule="auto"/>
              <w:jc w:val="right"/>
              <w:rPr>
                <w:rFonts w:ascii="Arial Narrow" w:hAnsi="Arial Narrow"/>
                <w:color w:val="000000"/>
                <w:sz w:val="16"/>
                <w:szCs w:val="16"/>
                <w:lang w:eastAsia="sl-SI"/>
              </w:rPr>
            </w:pPr>
            <w:r w:rsidRPr="00AC3047">
              <w:rPr>
                <w:rFonts w:ascii="Arial Narrow" w:hAnsi="Arial Narrow"/>
                <w:color w:val="000000"/>
                <w:sz w:val="16"/>
                <w:szCs w:val="16"/>
                <w:lang w:eastAsia="sl-SI"/>
              </w:rPr>
              <w:t>81.734.178</w:t>
            </w:r>
          </w:p>
        </w:tc>
        <w:tc>
          <w:tcPr>
            <w:tcW w:w="895" w:type="dxa"/>
            <w:tcBorders>
              <w:top w:val="nil"/>
              <w:left w:val="nil"/>
              <w:bottom w:val="nil"/>
              <w:right w:val="nil"/>
            </w:tcBorders>
            <w:shd w:val="clear" w:color="auto" w:fill="auto"/>
            <w:noWrap/>
            <w:vAlign w:val="center"/>
            <w:hideMark/>
          </w:tcPr>
          <w:p w:rsidR="00E74A2C" w:rsidRPr="00AC3047" w:rsidRDefault="00E74A2C" w:rsidP="0011748C">
            <w:pPr>
              <w:spacing w:after="0" w:line="240" w:lineRule="auto"/>
              <w:jc w:val="right"/>
              <w:rPr>
                <w:rFonts w:ascii="Arial Narrow" w:hAnsi="Arial Narrow"/>
                <w:color w:val="000000"/>
                <w:sz w:val="16"/>
                <w:szCs w:val="16"/>
                <w:lang w:eastAsia="sl-SI"/>
              </w:rPr>
            </w:pPr>
            <w:r w:rsidRPr="00AC3047">
              <w:rPr>
                <w:rFonts w:ascii="Arial Narrow" w:hAnsi="Arial Narrow"/>
                <w:color w:val="000000"/>
                <w:sz w:val="16"/>
                <w:szCs w:val="16"/>
                <w:lang w:eastAsia="sl-SI"/>
              </w:rPr>
              <w:t>77.684.109</w:t>
            </w:r>
          </w:p>
        </w:tc>
        <w:tc>
          <w:tcPr>
            <w:tcW w:w="895" w:type="dxa"/>
            <w:tcBorders>
              <w:top w:val="nil"/>
              <w:left w:val="nil"/>
              <w:bottom w:val="nil"/>
              <w:right w:val="nil"/>
            </w:tcBorders>
            <w:shd w:val="clear" w:color="auto" w:fill="auto"/>
            <w:noWrap/>
            <w:vAlign w:val="center"/>
            <w:hideMark/>
          </w:tcPr>
          <w:p w:rsidR="00E74A2C" w:rsidRPr="00AC3047" w:rsidRDefault="00E74A2C" w:rsidP="0011748C">
            <w:pPr>
              <w:spacing w:after="0" w:line="240" w:lineRule="auto"/>
              <w:jc w:val="right"/>
              <w:rPr>
                <w:rFonts w:ascii="Arial Narrow" w:hAnsi="Arial Narrow"/>
                <w:color w:val="000000"/>
                <w:sz w:val="16"/>
                <w:szCs w:val="16"/>
                <w:lang w:eastAsia="sl-SI"/>
              </w:rPr>
            </w:pPr>
            <w:r w:rsidRPr="00AC3047">
              <w:rPr>
                <w:rFonts w:ascii="Arial Narrow" w:hAnsi="Arial Narrow"/>
                <w:color w:val="000000"/>
                <w:sz w:val="16"/>
                <w:szCs w:val="16"/>
                <w:lang w:eastAsia="sl-SI"/>
              </w:rPr>
              <w:t>77.206.848</w:t>
            </w:r>
          </w:p>
        </w:tc>
        <w:tc>
          <w:tcPr>
            <w:tcW w:w="895" w:type="dxa"/>
            <w:tcBorders>
              <w:top w:val="nil"/>
              <w:left w:val="nil"/>
              <w:bottom w:val="nil"/>
              <w:right w:val="nil"/>
            </w:tcBorders>
            <w:shd w:val="clear" w:color="auto" w:fill="auto"/>
            <w:noWrap/>
            <w:vAlign w:val="center"/>
            <w:hideMark/>
          </w:tcPr>
          <w:p w:rsidR="00E74A2C" w:rsidRPr="00AC3047" w:rsidRDefault="00E74A2C" w:rsidP="0011748C">
            <w:pPr>
              <w:spacing w:after="0" w:line="240" w:lineRule="auto"/>
              <w:jc w:val="right"/>
              <w:rPr>
                <w:rFonts w:ascii="Arial Narrow" w:hAnsi="Arial Narrow"/>
                <w:color w:val="000000"/>
                <w:sz w:val="16"/>
                <w:szCs w:val="16"/>
                <w:lang w:eastAsia="sl-SI"/>
              </w:rPr>
            </w:pPr>
            <w:r w:rsidRPr="00AC3047">
              <w:rPr>
                <w:rFonts w:ascii="Arial Narrow" w:hAnsi="Arial Narrow"/>
                <w:color w:val="000000"/>
                <w:sz w:val="16"/>
                <w:szCs w:val="16"/>
                <w:lang w:eastAsia="sl-SI"/>
              </w:rPr>
              <w:t>72.174.387</w:t>
            </w:r>
          </w:p>
        </w:tc>
        <w:tc>
          <w:tcPr>
            <w:tcW w:w="895" w:type="dxa"/>
            <w:tcBorders>
              <w:top w:val="nil"/>
              <w:left w:val="nil"/>
              <w:bottom w:val="nil"/>
              <w:right w:val="single" w:sz="8" w:space="0" w:color="9BBB59"/>
            </w:tcBorders>
            <w:shd w:val="clear" w:color="auto" w:fill="auto"/>
            <w:noWrap/>
            <w:vAlign w:val="center"/>
            <w:hideMark/>
          </w:tcPr>
          <w:p w:rsidR="00E74A2C" w:rsidRPr="00AC3047" w:rsidRDefault="00E74A2C" w:rsidP="0011748C">
            <w:pPr>
              <w:spacing w:after="0" w:line="240" w:lineRule="auto"/>
              <w:jc w:val="right"/>
              <w:rPr>
                <w:rFonts w:ascii="Arial Narrow" w:hAnsi="Arial Narrow"/>
                <w:color w:val="000000"/>
                <w:sz w:val="16"/>
                <w:szCs w:val="16"/>
                <w:lang w:eastAsia="sl-SI"/>
              </w:rPr>
            </w:pPr>
            <w:r w:rsidRPr="00AC3047">
              <w:rPr>
                <w:rFonts w:ascii="Arial Narrow" w:hAnsi="Arial Narrow"/>
                <w:color w:val="000000"/>
                <w:sz w:val="16"/>
                <w:szCs w:val="16"/>
                <w:lang w:eastAsia="sl-SI"/>
              </w:rPr>
              <w:t>69.481.901</w:t>
            </w:r>
          </w:p>
        </w:tc>
      </w:tr>
      <w:tr w:rsidR="00E74A2C" w:rsidRPr="00AC3047" w:rsidTr="000A3183">
        <w:trPr>
          <w:trHeight w:val="102"/>
        </w:trPr>
        <w:tc>
          <w:tcPr>
            <w:tcW w:w="2276" w:type="dxa"/>
            <w:tcBorders>
              <w:top w:val="single" w:sz="8" w:space="0" w:color="9BBB59"/>
              <w:left w:val="single" w:sz="8" w:space="0" w:color="9BBB59"/>
              <w:bottom w:val="single" w:sz="8" w:space="0" w:color="9BBB59"/>
              <w:right w:val="nil"/>
            </w:tcBorders>
            <w:shd w:val="clear" w:color="auto" w:fill="auto"/>
            <w:noWrap/>
            <w:vAlign w:val="center"/>
            <w:hideMark/>
          </w:tcPr>
          <w:p w:rsidR="00E74A2C" w:rsidRPr="00AC3047" w:rsidRDefault="00E74A2C" w:rsidP="0011748C">
            <w:pPr>
              <w:spacing w:after="0" w:line="240" w:lineRule="auto"/>
              <w:rPr>
                <w:rFonts w:ascii="Arial Narrow" w:hAnsi="Arial Narrow"/>
                <w:color w:val="000000"/>
                <w:sz w:val="16"/>
                <w:szCs w:val="16"/>
                <w:lang w:eastAsia="sl-SI"/>
              </w:rPr>
            </w:pPr>
            <w:r w:rsidRPr="00AC3047">
              <w:rPr>
                <w:rFonts w:ascii="Arial Narrow" w:hAnsi="Arial Narrow"/>
                <w:color w:val="000000"/>
                <w:sz w:val="16"/>
                <w:szCs w:val="16"/>
                <w:lang w:eastAsia="sl-SI"/>
              </w:rPr>
              <w:t>Lokalne skupnosti</w:t>
            </w:r>
          </w:p>
        </w:tc>
        <w:tc>
          <w:tcPr>
            <w:tcW w:w="895" w:type="dxa"/>
            <w:tcBorders>
              <w:top w:val="single" w:sz="8" w:space="0" w:color="9BBB59"/>
              <w:left w:val="nil"/>
              <w:bottom w:val="single" w:sz="8" w:space="0" w:color="9BBB59"/>
              <w:right w:val="nil"/>
            </w:tcBorders>
            <w:shd w:val="clear" w:color="auto" w:fill="auto"/>
            <w:noWrap/>
            <w:vAlign w:val="center"/>
            <w:hideMark/>
          </w:tcPr>
          <w:p w:rsidR="00E74A2C" w:rsidRPr="00AC3047" w:rsidRDefault="00E74A2C" w:rsidP="0011748C">
            <w:pPr>
              <w:spacing w:after="0" w:line="240" w:lineRule="auto"/>
              <w:jc w:val="right"/>
              <w:rPr>
                <w:rFonts w:ascii="Arial Narrow" w:hAnsi="Arial Narrow"/>
                <w:color w:val="000000"/>
                <w:sz w:val="16"/>
                <w:szCs w:val="16"/>
                <w:lang w:eastAsia="sl-SI"/>
              </w:rPr>
            </w:pPr>
            <w:r w:rsidRPr="00AC3047">
              <w:rPr>
                <w:rFonts w:ascii="Arial Narrow" w:hAnsi="Arial Narrow"/>
                <w:color w:val="000000"/>
                <w:sz w:val="16"/>
                <w:szCs w:val="16"/>
                <w:lang w:eastAsia="sl-SI"/>
              </w:rPr>
              <w:t>1.425.195</w:t>
            </w:r>
          </w:p>
        </w:tc>
        <w:tc>
          <w:tcPr>
            <w:tcW w:w="895" w:type="dxa"/>
            <w:tcBorders>
              <w:top w:val="single" w:sz="8" w:space="0" w:color="9BBB59"/>
              <w:left w:val="nil"/>
              <w:bottom w:val="single" w:sz="8" w:space="0" w:color="9BBB59"/>
              <w:right w:val="nil"/>
            </w:tcBorders>
            <w:shd w:val="clear" w:color="auto" w:fill="auto"/>
            <w:noWrap/>
            <w:vAlign w:val="center"/>
            <w:hideMark/>
          </w:tcPr>
          <w:p w:rsidR="00E74A2C" w:rsidRPr="00AC3047" w:rsidRDefault="00E74A2C" w:rsidP="0011748C">
            <w:pPr>
              <w:spacing w:after="0" w:line="240" w:lineRule="auto"/>
              <w:jc w:val="right"/>
              <w:rPr>
                <w:rFonts w:ascii="Arial Narrow" w:hAnsi="Arial Narrow"/>
                <w:color w:val="000000"/>
                <w:sz w:val="16"/>
                <w:szCs w:val="16"/>
                <w:lang w:eastAsia="sl-SI"/>
              </w:rPr>
            </w:pPr>
            <w:r w:rsidRPr="00AC3047">
              <w:rPr>
                <w:rFonts w:ascii="Arial Narrow" w:hAnsi="Arial Narrow"/>
                <w:color w:val="000000"/>
                <w:sz w:val="16"/>
                <w:szCs w:val="16"/>
                <w:lang w:eastAsia="sl-SI"/>
              </w:rPr>
              <w:t>1.051.870</w:t>
            </w:r>
          </w:p>
        </w:tc>
        <w:tc>
          <w:tcPr>
            <w:tcW w:w="895" w:type="dxa"/>
            <w:tcBorders>
              <w:top w:val="single" w:sz="8" w:space="0" w:color="9BBB59"/>
              <w:left w:val="nil"/>
              <w:bottom w:val="single" w:sz="8" w:space="0" w:color="9BBB59"/>
              <w:right w:val="nil"/>
            </w:tcBorders>
            <w:shd w:val="clear" w:color="auto" w:fill="auto"/>
            <w:noWrap/>
            <w:vAlign w:val="center"/>
            <w:hideMark/>
          </w:tcPr>
          <w:p w:rsidR="00E74A2C" w:rsidRPr="00AC3047" w:rsidRDefault="00E74A2C" w:rsidP="0011748C">
            <w:pPr>
              <w:spacing w:after="0" w:line="240" w:lineRule="auto"/>
              <w:jc w:val="right"/>
              <w:rPr>
                <w:rFonts w:ascii="Arial Narrow" w:hAnsi="Arial Narrow"/>
                <w:color w:val="000000"/>
                <w:sz w:val="16"/>
                <w:szCs w:val="16"/>
                <w:lang w:eastAsia="sl-SI"/>
              </w:rPr>
            </w:pPr>
            <w:r w:rsidRPr="00AC3047">
              <w:rPr>
                <w:rFonts w:ascii="Arial Narrow" w:hAnsi="Arial Narrow"/>
                <w:color w:val="000000"/>
                <w:sz w:val="16"/>
                <w:szCs w:val="16"/>
                <w:lang w:eastAsia="sl-SI"/>
              </w:rPr>
              <w:t>294.423</w:t>
            </w:r>
          </w:p>
        </w:tc>
        <w:tc>
          <w:tcPr>
            <w:tcW w:w="895" w:type="dxa"/>
            <w:tcBorders>
              <w:top w:val="single" w:sz="8" w:space="0" w:color="9BBB59"/>
              <w:left w:val="nil"/>
              <w:bottom w:val="single" w:sz="8" w:space="0" w:color="9BBB59"/>
              <w:right w:val="nil"/>
            </w:tcBorders>
            <w:shd w:val="clear" w:color="auto" w:fill="auto"/>
            <w:noWrap/>
            <w:vAlign w:val="center"/>
            <w:hideMark/>
          </w:tcPr>
          <w:p w:rsidR="00E74A2C" w:rsidRPr="00AC3047" w:rsidRDefault="00E74A2C" w:rsidP="0011748C">
            <w:pPr>
              <w:spacing w:after="0" w:line="240" w:lineRule="auto"/>
              <w:jc w:val="right"/>
              <w:rPr>
                <w:rFonts w:ascii="Arial Narrow" w:hAnsi="Arial Narrow"/>
                <w:color w:val="000000"/>
                <w:sz w:val="16"/>
                <w:szCs w:val="16"/>
                <w:lang w:eastAsia="sl-SI"/>
              </w:rPr>
            </w:pPr>
            <w:r w:rsidRPr="00AC3047">
              <w:rPr>
                <w:rFonts w:ascii="Arial Narrow" w:hAnsi="Arial Narrow"/>
                <w:color w:val="000000"/>
                <w:sz w:val="16"/>
                <w:szCs w:val="16"/>
                <w:lang w:eastAsia="sl-SI"/>
              </w:rPr>
              <w:t>280.548</w:t>
            </w:r>
          </w:p>
        </w:tc>
        <w:tc>
          <w:tcPr>
            <w:tcW w:w="895" w:type="dxa"/>
            <w:tcBorders>
              <w:top w:val="single" w:sz="8" w:space="0" w:color="9BBB59"/>
              <w:left w:val="nil"/>
              <w:bottom w:val="single" w:sz="8" w:space="0" w:color="9BBB59"/>
              <w:right w:val="nil"/>
            </w:tcBorders>
            <w:shd w:val="clear" w:color="auto" w:fill="auto"/>
            <w:noWrap/>
            <w:vAlign w:val="center"/>
            <w:hideMark/>
          </w:tcPr>
          <w:p w:rsidR="00E74A2C" w:rsidRPr="00AC3047" w:rsidRDefault="00E74A2C" w:rsidP="0011748C">
            <w:pPr>
              <w:spacing w:after="0" w:line="240" w:lineRule="auto"/>
              <w:jc w:val="right"/>
              <w:rPr>
                <w:rFonts w:ascii="Arial Narrow" w:hAnsi="Arial Narrow"/>
                <w:color w:val="000000"/>
                <w:sz w:val="16"/>
                <w:szCs w:val="16"/>
                <w:lang w:eastAsia="sl-SI"/>
              </w:rPr>
            </w:pPr>
            <w:r w:rsidRPr="00AC3047">
              <w:rPr>
                <w:rFonts w:ascii="Arial Narrow" w:hAnsi="Arial Narrow"/>
                <w:color w:val="000000"/>
                <w:sz w:val="16"/>
                <w:szCs w:val="16"/>
                <w:lang w:eastAsia="sl-SI"/>
              </w:rPr>
              <w:t>861.047</w:t>
            </w:r>
          </w:p>
        </w:tc>
        <w:tc>
          <w:tcPr>
            <w:tcW w:w="895" w:type="dxa"/>
            <w:tcBorders>
              <w:top w:val="single" w:sz="8" w:space="0" w:color="9BBB59"/>
              <w:left w:val="nil"/>
              <w:bottom w:val="single" w:sz="8" w:space="0" w:color="9BBB59"/>
              <w:right w:val="nil"/>
            </w:tcBorders>
            <w:shd w:val="clear" w:color="auto" w:fill="auto"/>
            <w:noWrap/>
            <w:vAlign w:val="center"/>
            <w:hideMark/>
          </w:tcPr>
          <w:p w:rsidR="00E74A2C" w:rsidRPr="00AC3047" w:rsidRDefault="00E74A2C" w:rsidP="0011748C">
            <w:pPr>
              <w:spacing w:after="0" w:line="240" w:lineRule="auto"/>
              <w:jc w:val="right"/>
              <w:rPr>
                <w:rFonts w:ascii="Arial Narrow" w:hAnsi="Arial Narrow"/>
                <w:color w:val="000000"/>
                <w:sz w:val="16"/>
                <w:szCs w:val="16"/>
                <w:lang w:eastAsia="sl-SI"/>
              </w:rPr>
            </w:pPr>
            <w:r w:rsidRPr="00AC3047">
              <w:rPr>
                <w:rFonts w:ascii="Arial Narrow" w:hAnsi="Arial Narrow"/>
                <w:color w:val="000000"/>
                <w:sz w:val="16"/>
                <w:szCs w:val="16"/>
                <w:lang w:eastAsia="sl-SI"/>
              </w:rPr>
              <w:t>789.833</w:t>
            </w:r>
          </w:p>
        </w:tc>
        <w:tc>
          <w:tcPr>
            <w:tcW w:w="895" w:type="dxa"/>
            <w:tcBorders>
              <w:top w:val="single" w:sz="8" w:space="0" w:color="9BBB59"/>
              <w:left w:val="nil"/>
              <w:bottom w:val="single" w:sz="8" w:space="0" w:color="9BBB59"/>
              <w:right w:val="nil"/>
            </w:tcBorders>
            <w:shd w:val="clear" w:color="auto" w:fill="auto"/>
            <w:noWrap/>
            <w:vAlign w:val="center"/>
            <w:hideMark/>
          </w:tcPr>
          <w:p w:rsidR="00E74A2C" w:rsidRPr="00AC3047" w:rsidRDefault="00E74A2C" w:rsidP="0011748C">
            <w:pPr>
              <w:spacing w:after="0" w:line="240" w:lineRule="auto"/>
              <w:jc w:val="right"/>
              <w:rPr>
                <w:rFonts w:ascii="Arial Narrow" w:hAnsi="Arial Narrow"/>
                <w:color w:val="000000"/>
                <w:sz w:val="16"/>
                <w:szCs w:val="16"/>
                <w:lang w:eastAsia="sl-SI"/>
              </w:rPr>
            </w:pPr>
            <w:r w:rsidRPr="00AC3047">
              <w:rPr>
                <w:rFonts w:ascii="Arial Narrow" w:hAnsi="Arial Narrow"/>
                <w:color w:val="000000"/>
                <w:sz w:val="16"/>
                <w:szCs w:val="16"/>
                <w:lang w:eastAsia="sl-SI"/>
              </w:rPr>
              <w:t>292.474</w:t>
            </w:r>
          </w:p>
        </w:tc>
        <w:tc>
          <w:tcPr>
            <w:tcW w:w="895" w:type="dxa"/>
            <w:tcBorders>
              <w:top w:val="single" w:sz="8" w:space="0" w:color="9BBB59"/>
              <w:left w:val="nil"/>
              <w:bottom w:val="single" w:sz="8" w:space="0" w:color="9BBB59"/>
              <w:right w:val="single" w:sz="8" w:space="0" w:color="9BBB59"/>
            </w:tcBorders>
            <w:shd w:val="clear" w:color="auto" w:fill="auto"/>
            <w:noWrap/>
            <w:vAlign w:val="center"/>
            <w:hideMark/>
          </w:tcPr>
          <w:p w:rsidR="00E74A2C" w:rsidRPr="00AC3047" w:rsidRDefault="00E74A2C" w:rsidP="0011748C">
            <w:pPr>
              <w:spacing w:after="0" w:line="240" w:lineRule="auto"/>
              <w:jc w:val="right"/>
              <w:rPr>
                <w:rFonts w:ascii="Arial Narrow" w:hAnsi="Arial Narrow"/>
                <w:color w:val="000000"/>
                <w:sz w:val="16"/>
                <w:szCs w:val="16"/>
                <w:lang w:eastAsia="sl-SI"/>
              </w:rPr>
            </w:pPr>
            <w:r w:rsidRPr="00AC3047">
              <w:rPr>
                <w:rFonts w:ascii="Arial Narrow" w:hAnsi="Arial Narrow"/>
                <w:color w:val="000000"/>
                <w:sz w:val="16"/>
                <w:szCs w:val="16"/>
                <w:lang w:eastAsia="sl-SI"/>
              </w:rPr>
              <w:t>248.365</w:t>
            </w:r>
          </w:p>
        </w:tc>
      </w:tr>
      <w:tr w:rsidR="00E74A2C" w:rsidRPr="00AC3047" w:rsidTr="000A3183">
        <w:trPr>
          <w:trHeight w:val="102"/>
        </w:trPr>
        <w:tc>
          <w:tcPr>
            <w:tcW w:w="2276" w:type="dxa"/>
            <w:tcBorders>
              <w:top w:val="nil"/>
              <w:left w:val="single" w:sz="8" w:space="0" w:color="9BBB59"/>
              <w:bottom w:val="nil"/>
              <w:right w:val="nil"/>
            </w:tcBorders>
            <w:shd w:val="clear" w:color="auto" w:fill="auto"/>
            <w:noWrap/>
            <w:vAlign w:val="center"/>
            <w:hideMark/>
          </w:tcPr>
          <w:p w:rsidR="00E74A2C" w:rsidRPr="00AC3047" w:rsidRDefault="00E74A2C" w:rsidP="0011748C">
            <w:pPr>
              <w:spacing w:after="0" w:line="240" w:lineRule="auto"/>
              <w:rPr>
                <w:rFonts w:ascii="Arial Narrow" w:hAnsi="Arial Narrow"/>
                <w:color w:val="000000"/>
                <w:sz w:val="16"/>
                <w:szCs w:val="16"/>
                <w:lang w:eastAsia="sl-SI"/>
              </w:rPr>
            </w:pPr>
            <w:r w:rsidRPr="00AC3047">
              <w:rPr>
                <w:rFonts w:ascii="Arial Narrow" w:hAnsi="Arial Narrow"/>
                <w:color w:val="000000"/>
                <w:sz w:val="16"/>
                <w:szCs w:val="16"/>
                <w:lang w:eastAsia="sl-SI"/>
              </w:rPr>
              <w:t>Drugi prihodki javnih financ</w:t>
            </w:r>
          </w:p>
        </w:tc>
        <w:tc>
          <w:tcPr>
            <w:tcW w:w="895" w:type="dxa"/>
            <w:tcBorders>
              <w:top w:val="nil"/>
              <w:left w:val="nil"/>
              <w:bottom w:val="nil"/>
              <w:right w:val="nil"/>
            </w:tcBorders>
            <w:shd w:val="clear" w:color="auto" w:fill="auto"/>
            <w:noWrap/>
            <w:vAlign w:val="center"/>
            <w:hideMark/>
          </w:tcPr>
          <w:p w:rsidR="00E74A2C" w:rsidRPr="00AC3047" w:rsidRDefault="00E74A2C" w:rsidP="0011748C">
            <w:pPr>
              <w:spacing w:after="0" w:line="240" w:lineRule="auto"/>
              <w:jc w:val="right"/>
              <w:rPr>
                <w:rFonts w:ascii="Arial Narrow" w:hAnsi="Arial Narrow"/>
                <w:color w:val="000000"/>
                <w:sz w:val="16"/>
                <w:szCs w:val="16"/>
                <w:lang w:eastAsia="sl-SI"/>
              </w:rPr>
            </w:pPr>
            <w:r w:rsidRPr="00AC3047">
              <w:rPr>
                <w:rFonts w:ascii="Arial Narrow" w:hAnsi="Arial Narrow"/>
                <w:color w:val="000000"/>
                <w:sz w:val="16"/>
                <w:szCs w:val="16"/>
                <w:lang w:eastAsia="sl-SI"/>
              </w:rPr>
              <w:t>1.666.170</w:t>
            </w:r>
          </w:p>
        </w:tc>
        <w:tc>
          <w:tcPr>
            <w:tcW w:w="895" w:type="dxa"/>
            <w:tcBorders>
              <w:top w:val="nil"/>
              <w:left w:val="nil"/>
              <w:bottom w:val="nil"/>
              <w:right w:val="nil"/>
            </w:tcBorders>
            <w:shd w:val="clear" w:color="auto" w:fill="auto"/>
            <w:noWrap/>
            <w:vAlign w:val="center"/>
            <w:hideMark/>
          </w:tcPr>
          <w:p w:rsidR="00E74A2C" w:rsidRPr="00AC3047" w:rsidRDefault="00E74A2C" w:rsidP="0011748C">
            <w:pPr>
              <w:spacing w:after="0" w:line="240" w:lineRule="auto"/>
              <w:jc w:val="right"/>
              <w:rPr>
                <w:rFonts w:ascii="Arial Narrow" w:hAnsi="Arial Narrow"/>
                <w:color w:val="000000"/>
                <w:sz w:val="16"/>
                <w:szCs w:val="16"/>
                <w:lang w:eastAsia="sl-SI"/>
              </w:rPr>
            </w:pPr>
            <w:r w:rsidRPr="00AC3047">
              <w:rPr>
                <w:rFonts w:ascii="Arial Narrow" w:hAnsi="Arial Narrow"/>
                <w:color w:val="000000"/>
                <w:sz w:val="16"/>
                <w:szCs w:val="16"/>
                <w:lang w:eastAsia="sl-SI"/>
              </w:rPr>
              <w:t>1.144.580</w:t>
            </w:r>
          </w:p>
        </w:tc>
        <w:tc>
          <w:tcPr>
            <w:tcW w:w="895" w:type="dxa"/>
            <w:tcBorders>
              <w:top w:val="nil"/>
              <w:left w:val="nil"/>
              <w:bottom w:val="nil"/>
              <w:right w:val="nil"/>
            </w:tcBorders>
            <w:shd w:val="clear" w:color="auto" w:fill="auto"/>
            <w:noWrap/>
            <w:vAlign w:val="center"/>
            <w:hideMark/>
          </w:tcPr>
          <w:p w:rsidR="00E74A2C" w:rsidRPr="00AC3047" w:rsidRDefault="00E74A2C" w:rsidP="0011748C">
            <w:pPr>
              <w:spacing w:after="0" w:line="240" w:lineRule="auto"/>
              <w:jc w:val="right"/>
              <w:rPr>
                <w:rFonts w:ascii="Arial Narrow" w:hAnsi="Arial Narrow"/>
                <w:color w:val="000000"/>
                <w:sz w:val="16"/>
                <w:szCs w:val="16"/>
                <w:lang w:eastAsia="sl-SI"/>
              </w:rPr>
            </w:pPr>
            <w:r w:rsidRPr="00AC3047">
              <w:rPr>
                <w:rFonts w:ascii="Arial Narrow" w:hAnsi="Arial Narrow"/>
                <w:color w:val="000000"/>
                <w:sz w:val="16"/>
                <w:szCs w:val="16"/>
                <w:lang w:eastAsia="sl-SI"/>
              </w:rPr>
              <w:t>1.394.941</w:t>
            </w:r>
          </w:p>
        </w:tc>
        <w:tc>
          <w:tcPr>
            <w:tcW w:w="895" w:type="dxa"/>
            <w:tcBorders>
              <w:top w:val="nil"/>
              <w:left w:val="nil"/>
              <w:bottom w:val="nil"/>
              <w:right w:val="nil"/>
            </w:tcBorders>
            <w:shd w:val="clear" w:color="auto" w:fill="auto"/>
            <w:noWrap/>
            <w:vAlign w:val="center"/>
            <w:hideMark/>
          </w:tcPr>
          <w:p w:rsidR="00E74A2C" w:rsidRPr="00AC3047" w:rsidRDefault="00E74A2C" w:rsidP="0011748C">
            <w:pPr>
              <w:spacing w:after="0" w:line="240" w:lineRule="auto"/>
              <w:jc w:val="right"/>
              <w:rPr>
                <w:rFonts w:ascii="Arial Narrow" w:hAnsi="Arial Narrow"/>
                <w:color w:val="000000"/>
                <w:sz w:val="16"/>
                <w:szCs w:val="16"/>
                <w:lang w:eastAsia="sl-SI"/>
              </w:rPr>
            </w:pPr>
            <w:r w:rsidRPr="00AC3047">
              <w:rPr>
                <w:rFonts w:ascii="Arial Narrow" w:hAnsi="Arial Narrow"/>
                <w:color w:val="000000"/>
                <w:sz w:val="16"/>
                <w:szCs w:val="16"/>
                <w:lang w:eastAsia="sl-SI"/>
              </w:rPr>
              <w:t>1.505.587</w:t>
            </w:r>
          </w:p>
        </w:tc>
        <w:tc>
          <w:tcPr>
            <w:tcW w:w="895" w:type="dxa"/>
            <w:tcBorders>
              <w:top w:val="nil"/>
              <w:left w:val="nil"/>
              <w:bottom w:val="nil"/>
              <w:right w:val="nil"/>
            </w:tcBorders>
            <w:shd w:val="clear" w:color="auto" w:fill="auto"/>
            <w:noWrap/>
            <w:vAlign w:val="center"/>
            <w:hideMark/>
          </w:tcPr>
          <w:p w:rsidR="00E74A2C" w:rsidRPr="00AC3047" w:rsidRDefault="00E74A2C" w:rsidP="0011748C">
            <w:pPr>
              <w:spacing w:after="0" w:line="240" w:lineRule="auto"/>
              <w:jc w:val="right"/>
              <w:rPr>
                <w:rFonts w:ascii="Arial Narrow" w:hAnsi="Arial Narrow"/>
                <w:color w:val="000000"/>
                <w:sz w:val="16"/>
                <w:szCs w:val="16"/>
                <w:lang w:eastAsia="sl-SI"/>
              </w:rPr>
            </w:pPr>
            <w:r w:rsidRPr="00AC3047">
              <w:rPr>
                <w:rFonts w:ascii="Arial Narrow" w:hAnsi="Arial Narrow"/>
                <w:color w:val="000000"/>
                <w:sz w:val="16"/>
                <w:szCs w:val="16"/>
                <w:lang w:eastAsia="sl-SI"/>
              </w:rPr>
              <w:t>1.423.720</w:t>
            </w:r>
          </w:p>
        </w:tc>
        <w:tc>
          <w:tcPr>
            <w:tcW w:w="895" w:type="dxa"/>
            <w:tcBorders>
              <w:top w:val="nil"/>
              <w:left w:val="nil"/>
              <w:bottom w:val="nil"/>
              <w:right w:val="nil"/>
            </w:tcBorders>
            <w:shd w:val="clear" w:color="auto" w:fill="auto"/>
            <w:noWrap/>
            <w:vAlign w:val="center"/>
            <w:hideMark/>
          </w:tcPr>
          <w:p w:rsidR="00E74A2C" w:rsidRPr="00AC3047" w:rsidRDefault="00E74A2C" w:rsidP="0011748C">
            <w:pPr>
              <w:spacing w:after="0" w:line="240" w:lineRule="auto"/>
              <w:jc w:val="right"/>
              <w:rPr>
                <w:rFonts w:ascii="Arial Narrow" w:hAnsi="Arial Narrow"/>
                <w:color w:val="000000"/>
                <w:sz w:val="16"/>
                <w:szCs w:val="16"/>
                <w:lang w:eastAsia="sl-SI"/>
              </w:rPr>
            </w:pPr>
            <w:r w:rsidRPr="00AC3047">
              <w:rPr>
                <w:rFonts w:ascii="Arial Narrow" w:hAnsi="Arial Narrow"/>
                <w:color w:val="000000"/>
                <w:sz w:val="16"/>
                <w:szCs w:val="16"/>
                <w:lang w:eastAsia="sl-SI"/>
              </w:rPr>
              <w:t>1.603.121</w:t>
            </w:r>
          </w:p>
        </w:tc>
        <w:tc>
          <w:tcPr>
            <w:tcW w:w="895" w:type="dxa"/>
            <w:tcBorders>
              <w:top w:val="nil"/>
              <w:left w:val="nil"/>
              <w:bottom w:val="nil"/>
              <w:right w:val="nil"/>
            </w:tcBorders>
            <w:shd w:val="clear" w:color="auto" w:fill="auto"/>
            <w:noWrap/>
            <w:vAlign w:val="center"/>
            <w:hideMark/>
          </w:tcPr>
          <w:p w:rsidR="00E74A2C" w:rsidRPr="00AC3047" w:rsidRDefault="00E74A2C" w:rsidP="0011748C">
            <w:pPr>
              <w:spacing w:after="0" w:line="240" w:lineRule="auto"/>
              <w:jc w:val="right"/>
              <w:rPr>
                <w:rFonts w:ascii="Arial Narrow" w:hAnsi="Arial Narrow"/>
                <w:color w:val="000000"/>
                <w:sz w:val="16"/>
                <w:szCs w:val="16"/>
                <w:lang w:eastAsia="sl-SI"/>
              </w:rPr>
            </w:pPr>
            <w:r w:rsidRPr="00AC3047">
              <w:rPr>
                <w:rFonts w:ascii="Arial Narrow" w:hAnsi="Arial Narrow"/>
                <w:color w:val="000000"/>
                <w:sz w:val="16"/>
                <w:szCs w:val="16"/>
                <w:lang w:eastAsia="sl-SI"/>
              </w:rPr>
              <w:t>2.395.034</w:t>
            </w:r>
          </w:p>
        </w:tc>
        <w:tc>
          <w:tcPr>
            <w:tcW w:w="895" w:type="dxa"/>
            <w:tcBorders>
              <w:top w:val="nil"/>
              <w:left w:val="nil"/>
              <w:bottom w:val="nil"/>
              <w:right w:val="single" w:sz="8" w:space="0" w:color="9BBB59"/>
            </w:tcBorders>
            <w:shd w:val="clear" w:color="auto" w:fill="auto"/>
            <w:noWrap/>
            <w:vAlign w:val="center"/>
            <w:hideMark/>
          </w:tcPr>
          <w:p w:rsidR="00E74A2C" w:rsidRPr="00AC3047" w:rsidRDefault="00E74A2C" w:rsidP="0011748C">
            <w:pPr>
              <w:spacing w:after="0" w:line="240" w:lineRule="auto"/>
              <w:jc w:val="right"/>
              <w:rPr>
                <w:rFonts w:ascii="Arial Narrow" w:hAnsi="Arial Narrow"/>
                <w:color w:val="000000"/>
                <w:sz w:val="16"/>
                <w:szCs w:val="16"/>
                <w:lang w:eastAsia="sl-SI"/>
              </w:rPr>
            </w:pPr>
            <w:r w:rsidRPr="00AC3047">
              <w:rPr>
                <w:rFonts w:ascii="Arial Narrow" w:hAnsi="Arial Narrow"/>
                <w:color w:val="000000"/>
                <w:sz w:val="16"/>
                <w:szCs w:val="16"/>
                <w:lang w:eastAsia="sl-SI"/>
              </w:rPr>
              <w:t>2.603.119</w:t>
            </w:r>
          </w:p>
        </w:tc>
      </w:tr>
      <w:tr w:rsidR="00E74A2C" w:rsidRPr="00AC3047" w:rsidTr="000A3183">
        <w:trPr>
          <w:trHeight w:val="102"/>
        </w:trPr>
        <w:tc>
          <w:tcPr>
            <w:tcW w:w="2276" w:type="dxa"/>
            <w:tcBorders>
              <w:top w:val="single" w:sz="8" w:space="0" w:color="9BBB59"/>
              <w:left w:val="single" w:sz="8" w:space="0" w:color="9BBB59"/>
              <w:bottom w:val="single" w:sz="8" w:space="0" w:color="9BBB59"/>
              <w:right w:val="nil"/>
            </w:tcBorders>
            <w:shd w:val="clear" w:color="auto" w:fill="auto"/>
            <w:noWrap/>
            <w:vAlign w:val="center"/>
            <w:hideMark/>
          </w:tcPr>
          <w:p w:rsidR="00E74A2C" w:rsidRPr="00AC3047" w:rsidRDefault="00E74A2C" w:rsidP="0011748C">
            <w:pPr>
              <w:spacing w:after="0" w:line="240" w:lineRule="auto"/>
              <w:rPr>
                <w:rFonts w:ascii="Arial Narrow" w:hAnsi="Arial Narrow"/>
                <w:color w:val="000000"/>
                <w:sz w:val="16"/>
                <w:szCs w:val="16"/>
                <w:lang w:eastAsia="sl-SI"/>
              </w:rPr>
            </w:pPr>
            <w:r w:rsidRPr="00AC3047">
              <w:rPr>
                <w:rFonts w:ascii="Arial Narrow" w:hAnsi="Arial Narrow"/>
                <w:color w:val="000000"/>
                <w:sz w:val="16"/>
                <w:szCs w:val="16"/>
                <w:lang w:eastAsia="sl-SI"/>
              </w:rPr>
              <w:t>Lastni prihodki iz opravljanja javne službe</w:t>
            </w:r>
          </w:p>
        </w:tc>
        <w:tc>
          <w:tcPr>
            <w:tcW w:w="895" w:type="dxa"/>
            <w:tcBorders>
              <w:top w:val="single" w:sz="8" w:space="0" w:color="9BBB59"/>
              <w:left w:val="nil"/>
              <w:bottom w:val="single" w:sz="8" w:space="0" w:color="9BBB59"/>
              <w:right w:val="nil"/>
            </w:tcBorders>
            <w:shd w:val="clear" w:color="auto" w:fill="auto"/>
            <w:noWrap/>
            <w:vAlign w:val="center"/>
            <w:hideMark/>
          </w:tcPr>
          <w:p w:rsidR="00E74A2C" w:rsidRPr="00AC3047" w:rsidRDefault="00E74A2C" w:rsidP="0011748C">
            <w:pPr>
              <w:spacing w:after="0" w:line="240" w:lineRule="auto"/>
              <w:jc w:val="right"/>
              <w:rPr>
                <w:rFonts w:ascii="Arial Narrow" w:hAnsi="Arial Narrow"/>
                <w:color w:val="000000"/>
                <w:sz w:val="16"/>
                <w:szCs w:val="16"/>
                <w:lang w:eastAsia="sl-SI"/>
              </w:rPr>
            </w:pPr>
            <w:r w:rsidRPr="00AC3047">
              <w:rPr>
                <w:rFonts w:ascii="Arial Narrow" w:hAnsi="Arial Narrow"/>
                <w:color w:val="000000"/>
                <w:sz w:val="16"/>
                <w:szCs w:val="16"/>
                <w:lang w:eastAsia="sl-SI"/>
              </w:rPr>
              <w:t>17.387.301</w:t>
            </w:r>
          </w:p>
        </w:tc>
        <w:tc>
          <w:tcPr>
            <w:tcW w:w="895" w:type="dxa"/>
            <w:tcBorders>
              <w:top w:val="single" w:sz="8" w:space="0" w:color="9BBB59"/>
              <w:left w:val="nil"/>
              <w:bottom w:val="single" w:sz="8" w:space="0" w:color="9BBB59"/>
              <w:right w:val="nil"/>
            </w:tcBorders>
            <w:shd w:val="clear" w:color="auto" w:fill="auto"/>
            <w:noWrap/>
            <w:vAlign w:val="center"/>
            <w:hideMark/>
          </w:tcPr>
          <w:p w:rsidR="00E74A2C" w:rsidRPr="00AC3047" w:rsidRDefault="00E74A2C" w:rsidP="0011748C">
            <w:pPr>
              <w:spacing w:after="0" w:line="240" w:lineRule="auto"/>
              <w:jc w:val="right"/>
              <w:rPr>
                <w:rFonts w:ascii="Arial Narrow" w:hAnsi="Arial Narrow"/>
                <w:color w:val="000000"/>
                <w:sz w:val="16"/>
                <w:szCs w:val="16"/>
                <w:lang w:eastAsia="sl-SI"/>
              </w:rPr>
            </w:pPr>
            <w:r w:rsidRPr="00AC3047">
              <w:rPr>
                <w:rFonts w:ascii="Arial Narrow" w:hAnsi="Arial Narrow"/>
                <w:color w:val="000000"/>
                <w:sz w:val="16"/>
                <w:szCs w:val="16"/>
                <w:lang w:eastAsia="sl-SI"/>
              </w:rPr>
              <w:t>13.168.756</w:t>
            </w:r>
          </w:p>
        </w:tc>
        <w:tc>
          <w:tcPr>
            <w:tcW w:w="895" w:type="dxa"/>
            <w:tcBorders>
              <w:top w:val="single" w:sz="8" w:space="0" w:color="9BBB59"/>
              <w:left w:val="nil"/>
              <w:bottom w:val="single" w:sz="8" w:space="0" w:color="9BBB59"/>
              <w:right w:val="nil"/>
            </w:tcBorders>
            <w:shd w:val="clear" w:color="auto" w:fill="auto"/>
            <w:noWrap/>
            <w:vAlign w:val="center"/>
            <w:hideMark/>
          </w:tcPr>
          <w:p w:rsidR="00E74A2C" w:rsidRPr="00AC3047" w:rsidRDefault="00E74A2C" w:rsidP="0011748C">
            <w:pPr>
              <w:spacing w:after="0" w:line="240" w:lineRule="auto"/>
              <w:jc w:val="right"/>
              <w:rPr>
                <w:rFonts w:ascii="Arial Narrow" w:hAnsi="Arial Narrow"/>
                <w:color w:val="000000"/>
                <w:sz w:val="16"/>
                <w:szCs w:val="16"/>
                <w:lang w:eastAsia="sl-SI"/>
              </w:rPr>
            </w:pPr>
            <w:r w:rsidRPr="00AC3047">
              <w:rPr>
                <w:rFonts w:ascii="Arial Narrow" w:hAnsi="Arial Narrow"/>
                <w:color w:val="000000"/>
                <w:sz w:val="16"/>
                <w:szCs w:val="16"/>
                <w:lang w:eastAsia="sl-SI"/>
              </w:rPr>
              <w:t>12.900.702</w:t>
            </w:r>
          </w:p>
        </w:tc>
        <w:tc>
          <w:tcPr>
            <w:tcW w:w="895" w:type="dxa"/>
            <w:tcBorders>
              <w:top w:val="single" w:sz="8" w:space="0" w:color="9BBB59"/>
              <w:left w:val="nil"/>
              <w:bottom w:val="single" w:sz="8" w:space="0" w:color="9BBB59"/>
              <w:right w:val="nil"/>
            </w:tcBorders>
            <w:shd w:val="clear" w:color="auto" w:fill="auto"/>
            <w:noWrap/>
            <w:vAlign w:val="center"/>
            <w:hideMark/>
          </w:tcPr>
          <w:p w:rsidR="00E74A2C" w:rsidRPr="00AC3047" w:rsidRDefault="00E74A2C" w:rsidP="0011748C">
            <w:pPr>
              <w:spacing w:after="0" w:line="240" w:lineRule="auto"/>
              <w:jc w:val="right"/>
              <w:rPr>
                <w:rFonts w:ascii="Arial Narrow" w:hAnsi="Arial Narrow"/>
                <w:color w:val="000000"/>
                <w:sz w:val="16"/>
                <w:szCs w:val="16"/>
                <w:lang w:eastAsia="sl-SI"/>
              </w:rPr>
            </w:pPr>
            <w:r w:rsidRPr="00AC3047">
              <w:rPr>
                <w:rFonts w:ascii="Arial Narrow" w:hAnsi="Arial Narrow"/>
                <w:color w:val="000000"/>
                <w:sz w:val="16"/>
                <w:szCs w:val="16"/>
                <w:lang w:eastAsia="sl-SI"/>
              </w:rPr>
              <w:t>12.104.476</w:t>
            </w:r>
          </w:p>
        </w:tc>
        <w:tc>
          <w:tcPr>
            <w:tcW w:w="895" w:type="dxa"/>
            <w:tcBorders>
              <w:top w:val="single" w:sz="8" w:space="0" w:color="9BBB59"/>
              <w:left w:val="nil"/>
              <w:bottom w:val="single" w:sz="8" w:space="0" w:color="9BBB59"/>
              <w:right w:val="nil"/>
            </w:tcBorders>
            <w:shd w:val="clear" w:color="auto" w:fill="auto"/>
            <w:noWrap/>
            <w:vAlign w:val="center"/>
            <w:hideMark/>
          </w:tcPr>
          <w:p w:rsidR="00E74A2C" w:rsidRPr="00AC3047" w:rsidRDefault="00E74A2C" w:rsidP="0011748C">
            <w:pPr>
              <w:spacing w:after="0" w:line="240" w:lineRule="auto"/>
              <w:jc w:val="right"/>
              <w:rPr>
                <w:rFonts w:ascii="Arial Narrow" w:hAnsi="Arial Narrow"/>
                <w:color w:val="000000"/>
                <w:sz w:val="16"/>
                <w:szCs w:val="16"/>
                <w:lang w:eastAsia="sl-SI"/>
              </w:rPr>
            </w:pPr>
            <w:r w:rsidRPr="00AC3047">
              <w:rPr>
                <w:rFonts w:ascii="Arial Narrow" w:hAnsi="Arial Narrow"/>
                <w:color w:val="000000"/>
                <w:sz w:val="16"/>
                <w:szCs w:val="16"/>
                <w:lang w:eastAsia="sl-SI"/>
              </w:rPr>
              <w:t>12.536.994</w:t>
            </w:r>
          </w:p>
        </w:tc>
        <w:tc>
          <w:tcPr>
            <w:tcW w:w="895" w:type="dxa"/>
            <w:tcBorders>
              <w:top w:val="single" w:sz="8" w:space="0" w:color="9BBB59"/>
              <w:left w:val="nil"/>
              <w:bottom w:val="single" w:sz="8" w:space="0" w:color="9BBB59"/>
              <w:right w:val="nil"/>
            </w:tcBorders>
            <w:shd w:val="clear" w:color="auto" w:fill="auto"/>
            <w:noWrap/>
            <w:vAlign w:val="center"/>
            <w:hideMark/>
          </w:tcPr>
          <w:p w:rsidR="00E74A2C" w:rsidRPr="00AC3047" w:rsidRDefault="00E74A2C" w:rsidP="0011748C">
            <w:pPr>
              <w:spacing w:after="0" w:line="240" w:lineRule="auto"/>
              <w:jc w:val="right"/>
              <w:rPr>
                <w:rFonts w:ascii="Arial Narrow" w:hAnsi="Arial Narrow"/>
                <w:color w:val="000000"/>
                <w:sz w:val="16"/>
                <w:szCs w:val="16"/>
                <w:lang w:eastAsia="sl-SI"/>
              </w:rPr>
            </w:pPr>
            <w:r w:rsidRPr="00AC3047">
              <w:rPr>
                <w:rFonts w:ascii="Arial Narrow" w:hAnsi="Arial Narrow"/>
                <w:color w:val="000000"/>
                <w:sz w:val="16"/>
                <w:szCs w:val="16"/>
                <w:lang w:eastAsia="sl-SI"/>
              </w:rPr>
              <w:t>11.001.472</w:t>
            </w:r>
          </w:p>
        </w:tc>
        <w:tc>
          <w:tcPr>
            <w:tcW w:w="895" w:type="dxa"/>
            <w:tcBorders>
              <w:top w:val="single" w:sz="8" w:space="0" w:color="9BBB59"/>
              <w:left w:val="nil"/>
              <w:bottom w:val="single" w:sz="8" w:space="0" w:color="9BBB59"/>
              <w:right w:val="nil"/>
            </w:tcBorders>
            <w:shd w:val="clear" w:color="auto" w:fill="auto"/>
            <w:noWrap/>
            <w:vAlign w:val="center"/>
            <w:hideMark/>
          </w:tcPr>
          <w:p w:rsidR="00E74A2C" w:rsidRPr="00AC3047" w:rsidRDefault="00E74A2C" w:rsidP="0011748C">
            <w:pPr>
              <w:spacing w:after="0" w:line="240" w:lineRule="auto"/>
              <w:jc w:val="right"/>
              <w:rPr>
                <w:rFonts w:ascii="Arial Narrow" w:hAnsi="Arial Narrow"/>
                <w:color w:val="000000"/>
                <w:sz w:val="16"/>
                <w:szCs w:val="16"/>
                <w:lang w:eastAsia="sl-SI"/>
              </w:rPr>
            </w:pPr>
            <w:r w:rsidRPr="00AC3047">
              <w:rPr>
                <w:rFonts w:ascii="Arial Narrow" w:hAnsi="Arial Narrow"/>
                <w:color w:val="000000"/>
                <w:sz w:val="16"/>
                <w:szCs w:val="16"/>
                <w:lang w:eastAsia="sl-SI"/>
              </w:rPr>
              <w:t>12.499.782</w:t>
            </w:r>
          </w:p>
        </w:tc>
        <w:tc>
          <w:tcPr>
            <w:tcW w:w="895" w:type="dxa"/>
            <w:tcBorders>
              <w:top w:val="single" w:sz="8" w:space="0" w:color="9BBB59"/>
              <w:left w:val="nil"/>
              <w:bottom w:val="single" w:sz="8" w:space="0" w:color="9BBB59"/>
              <w:right w:val="single" w:sz="8" w:space="0" w:color="9BBB59"/>
            </w:tcBorders>
            <w:shd w:val="clear" w:color="auto" w:fill="auto"/>
            <w:noWrap/>
            <w:vAlign w:val="center"/>
            <w:hideMark/>
          </w:tcPr>
          <w:p w:rsidR="00E74A2C" w:rsidRPr="00AC3047" w:rsidRDefault="00E74A2C" w:rsidP="0011748C">
            <w:pPr>
              <w:spacing w:after="0" w:line="240" w:lineRule="auto"/>
              <w:jc w:val="right"/>
              <w:rPr>
                <w:rFonts w:ascii="Arial Narrow" w:hAnsi="Arial Narrow"/>
                <w:color w:val="000000"/>
                <w:sz w:val="16"/>
                <w:szCs w:val="16"/>
                <w:lang w:eastAsia="sl-SI"/>
              </w:rPr>
            </w:pPr>
            <w:r w:rsidRPr="00AC3047">
              <w:rPr>
                <w:rFonts w:ascii="Arial Narrow" w:hAnsi="Arial Narrow"/>
                <w:color w:val="000000"/>
                <w:sz w:val="16"/>
                <w:szCs w:val="16"/>
                <w:lang w:eastAsia="sl-SI"/>
              </w:rPr>
              <w:t>11.585.622</w:t>
            </w:r>
          </w:p>
        </w:tc>
      </w:tr>
      <w:tr w:rsidR="00E74A2C" w:rsidRPr="00AC3047" w:rsidTr="000A3183">
        <w:trPr>
          <w:trHeight w:val="102"/>
        </w:trPr>
        <w:tc>
          <w:tcPr>
            <w:tcW w:w="2276" w:type="dxa"/>
            <w:tcBorders>
              <w:top w:val="nil"/>
              <w:left w:val="single" w:sz="8" w:space="0" w:color="9BBB59"/>
              <w:bottom w:val="nil"/>
              <w:right w:val="nil"/>
            </w:tcBorders>
            <w:shd w:val="clear" w:color="auto" w:fill="auto"/>
            <w:noWrap/>
            <w:vAlign w:val="center"/>
            <w:hideMark/>
          </w:tcPr>
          <w:p w:rsidR="00E74A2C" w:rsidRPr="00AC3047" w:rsidRDefault="00E74A2C" w:rsidP="0011748C">
            <w:pPr>
              <w:spacing w:after="0" w:line="240" w:lineRule="auto"/>
              <w:rPr>
                <w:rFonts w:ascii="Arial Narrow" w:hAnsi="Arial Narrow"/>
                <w:color w:val="000000"/>
                <w:sz w:val="16"/>
                <w:szCs w:val="16"/>
                <w:lang w:eastAsia="sl-SI"/>
              </w:rPr>
            </w:pPr>
            <w:r w:rsidRPr="00AC3047">
              <w:rPr>
                <w:rFonts w:ascii="Arial Narrow" w:hAnsi="Arial Narrow"/>
                <w:color w:val="000000"/>
                <w:sz w:val="16"/>
                <w:szCs w:val="16"/>
                <w:lang w:eastAsia="sl-SI"/>
              </w:rPr>
              <w:t>Prihodki iz tržne dejavnosti</w:t>
            </w:r>
          </w:p>
        </w:tc>
        <w:tc>
          <w:tcPr>
            <w:tcW w:w="895" w:type="dxa"/>
            <w:tcBorders>
              <w:top w:val="nil"/>
              <w:left w:val="nil"/>
              <w:bottom w:val="nil"/>
              <w:right w:val="nil"/>
            </w:tcBorders>
            <w:shd w:val="clear" w:color="auto" w:fill="auto"/>
            <w:noWrap/>
            <w:vAlign w:val="center"/>
            <w:hideMark/>
          </w:tcPr>
          <w:p w:rsidR="00E74A2C" w:rsidRPr="00AC3047" w:rsidRDefault="00E74A2C" w:rsidP="0011748C">
            <w:pPr>
              <w:spacing w:after="0" w:line="240" w:lineRule="auto"/>
              <w:jc w:val="right"/>
              <w:rPr>
                <w:rFonts w:ascii="Arial Narrow" w:hAnsi="Arial Narrow"/>
                <w:color w:val="000000"/>
                <w:sz w:val="16"/>
                <w:szCs w:val="16"/>
                <w:lang w:eastAsia="sl-SI"/>
              </w:rPr>
            </w:pPr>
            <w:r w:rsidRPr="00AC3047">
              <w:rPr>
                <w:rFonts w:ascii="Arial Narrow" w:hAnsi="Arial Narrow"/>
                <w:color w:val="000000"/>
                <w:sz w:val="16"/>
                <w:szCs w:val="16"/>
                <w:lang w:eastAsia="sl-SI"/>
              </w:rPr>
              <w:t>6.255.885</w:t>
            </w:r>
          </w:p>
        </w:tc>
        <w:tc>
          <w:tcPr>
            <w:tcW w:w="895" w:type="dxa"/>
            <w:tcBorders>
              <w:top w:val="nil"/>
              <w:left w:val="nil"/>
              <w:bottom w:val="nil"/>
              <w:right w:val="nil"/>
            </w:tcBorders>
            <w:shd w:val="clear" w:color="auto" w:fill="auto"/>
            <w:noWrap/>
            <w:vAlign w:val="center"/>
            <w:hideMark/>
          </w:tcPr>
          <w:p w:rsidR="00E74A2C" w:rsidRPr="00AC3047" w:rsidRDefault="00E74A2C" w:rsidP="0011748C">
            <w:pPr>
              <w:spacing w:after="0" w:line="240" w:lineRule="auto"/>
              <w:jc w:val="right"/>
              <w:rPr>
                <w:rFonts w:ascii="Arial Narrow" w:hAnsi="Arial Narrow"/>
                <w:color w:val="000000"/>
                <w:sz w:val="16"/>
                <w:szCs w:val="16"/>
                <w:lang w:eastAsia="sl-SI"/>
              </w:rPr>
            </w:pPr>
            <w:r w:rsidRPr="00AC3047">
              <w:rPr>
                <w:rFonts w:ascii="Arial Narrow" w:hAnsi="Arial Narrow"/>
                <w:color w:val="000000"/>
                <w:sz w:val="16"/>
                <w:szCs w:val="16"/>
                <w:lang w:eastAsia="sl-SI"/>
              </w:rPr>
              <w:t>6.545.713</w:t>
            </w:r>
          </w:p>
        </w:tc>
        <w:tc>
          <w:tcPr>
            <w:tcW w:w="895" w:type="dxa"/>
            <w:tcBorders>
              <w:top w:val="nil"/>
              <w:left w:val="nil"/>
              <w:bottom w:val="nil"/>
              <w:right w:val="nil"/>
            </w:tcBorders>
            <w:shd w:val="clear" w:color="auto" w:fill="auto"/>
            <w:noWrap/>
            <w:vAlign w:val="center"/>
            <w:hideMark/>
          </w:tcPr>
          <w:p w:rsidR="00E74A2C" w:rsidRPr="00AC3047" w:rsidRDefault="00E74A2C" w:rsidP="0011748C">
            <w:pPr>
              <w:spacing w:after="0" w:line="240" w:lineRule="auto"/>
              <w:jc w:val="right"/>
              <w:rPr>
                <w:rFonts w:ascii="Arial Narrow" w:hAnsi="Arial Narrow"/>
                <w:color w:val="000000"/>
                <w:sz w:val="16"/>
                <w:szCs w:val="16"/>
                <w:lang w:eastAsia="sl-SI"/>
              </w:rPr>
            </w:pPr>
            <w:r w:rsidRPr="00AC3047">
              <w:rPr>
                <w:rFonts w:ascii="Arial Narrow" w:hAnsi="Arial Narrow"/>
                <w:color w:val="000000"/>
                <w:sz w:val="16"/>
                <w:szCs w:val="16"/>
                <w:lang w:eastAsia="sl-SI"/>
              </w:rPr>
              <w:t>6.117.569</w:t>
            </w:r>
          </w:p>
        </w:tc>
        <w:tc>
          <w:tcPr>
            <w:tcW w:w="895" w:type="dxa"/>
            <w:tcBorders>
              <w:top w:val="nil"/>
              <w:left w:val="nil"/>
              <w:bottom w:val="nil"/>
              <w:right w:val="nil"/>
            </w:tcBorders>
            <w:shd w:val="clear" w:color="auto" w:fill="auto"/>
            <w:noWrap/>
            <w:vAlign w:val="center"/>
            <w:hideMark/>
          </w:tcPr>
          <w:p w:rsidR="00E74A2C" w:rsidRPr="00AC3047" w:rsidRDefault="00E74A2C" w:rsidP="0011748C">
            <w:pPr>
              <w:spacing w:after="0" w:line="240" w:lineRule="auto"/>
              <w:jc w:val="right"/>
              <w:rPr>
                <w:rFonts w:ascii="Arial Narrow" w:hAnsi="Arial Narrow"/>
                <w:color w:val="000000"/>
                <w:sz w:val="16"/>
                <w:szCs w:val="16"/>
                <w:lang w:eastAsia="sl-SI"/>
              </w:rPr>
            </w:pPr>
            <w:r w:rsidRPr="00AC3047">
              <w:rPr>
                <w:rFonts w:ascii="Arial Narrow" w:hAnsi="Arial Narrow"/>
                <w:color w:val="000000"/>
                <w:sz w:val="16"/>
                <w:szCs w:val="16"/>
                <w:lang w:eastAsia="sl-SI"/>
              </w:rPr>
              <w:t>6.012.225</w:t>
            </w:r>
          </w:p>
        </w:tc>
        <w:tc>
          <w:tcPr>
            <w:tcW w:w="895" w:type="dxa"/>
            <w:tcBorders>
              <w:top w:val="nil"/>
              <w:left w:val="nil"/>
              <w:bottom w:val="nil"/>
              <w:right w:val="nil"/>
            </w:tcBorders>
            <w:shd w:val="clear" w:color="auto" w:fill="auto"/>
            <w:noWrap/>
            <w:vAlign w:val="center"/>
            <w:hideMark/>
          </w:tcPr>
          <w:p w:rsidR="00E74A2C" w:rsidRPr="00AC3047" w:rsidRDefault="00E74A2C" w:rsidP="0011748C">
            <w:pPr>
              <w:spacing w:after="0" w:line="240" w:lineRule="auto"/>
              <w:jc w:val="right"/>
              <w:rPr>
                <w:rFonts w:ascii="Arial Narrow" w:hAnsi="Arial Narrow"/>
                <w:color w:val="000000"/>
                <w:sz w:val="16"/>
                <w:szCs w:val="16"/>
                <w:lang w:eastAsia="sl-SI"/>
              </w:rPr>
            </w:pPr>
            <w:r w:rsidRPr="00AC3047">
              <w:rPr>
                <w:rFonts w:ascii="Arial Narrow" w:hAnsi="Arial Narrow"/>
                <w:color w:val="000000"/>
                <w:sz w:val="16"/>
                <w:szCs w:val="16"/>
                <w:lang w:eastAsia="sl-SI"/>
              </w:rPr>
              <w:t>5.660.869</w:t>
            </w:r>
          </w:p>
        </w:tc>
        <w:tc>
          <w:tcPr>
            <w:tcW w:w="895" w:type="dxa"/>
            <w:tcBorders>
              <w:top w:val="nil"/>
              <w:left w:val="nil"/>
              <w:bottom w:val="nil"/>
              <w:right w:val="nil"/>
            </w:tcBorders>
            <w:shd w:val="clear" w:color="auto" w:fill="auto"/>
            <w:noWrap/>
            <w:vAlign w:val="center"/>
            <w:hideMark/>
          </w:tcPr>
          <w:p w:rsidR="00E74A2C" w:rsidRPr="00AC3047" w:rsidRDefault="00E74A2C" w:rsidP="0011748C">
            <w:pPr>
              <w:spacing w:after="0" w:line="240" w:lineRule="auto"/>
              <w:jc w:val="right"/>
              <w:rPr>
                <w:rFonts w:ascii="Arial Narrow" w:hAnsi="Arial Narrow"/>
                <w:color w:val="000000"/>
                <w:sz w:val="16"/>
                <w:szCs w:val="16"/>
                <w:lang w:eastAsia="sl-SI"/>
              </w:rPr>
            </w:pPr>
            <w:r w:rsidRPr="00AC3047">
              <w:rPr>
                <w:rFonts w:ascii="Arial Narrow" w:hAnsi="Arial Narrow"/>
                <w:color w:val="000000"/>
                <w:sz w:val="16"/>
                <w:szCs w:val="16"/>
                <w:lang w:eastAsia="sl-SI"/>
              </w:rPr>
              <w:t>5.194.896</w:t>
            </w:r>
          </w:p>
        </w:tc>
        <w:tc>
          <w:tcPr>
            <w:tcW w:w="895" w:type="dxa"/>
            <w:tcBorders>
              <w:top w:val="nil"/>
              <w:left w:val="nil"/>
              <w:bottom w:val="nil"/>
              <w:right w:val="nil"/>
            </w:tcBorders>
            <w:shd w:val="clear" w:color="auto" w:fill="auto"/>
            <w:noWrap/>
            <w:vAlign w:val="center"/>
            <w:hideMark/>
          </w:tcPr>
          <w:p w:rsidR="00E74A2C" w:rsidRPr="00AC3047" w:rsidRDefault="00E74A2C" w:rsidP="0011748C">
            <w:pPr>
              <w:spacing w:after="0" w:line="240" w:lineRule="auto"/>
              <w:jc w:val="right"/>
              <w:rPr>
                <w:rFonts w:ascii="Arial Narrow" w:hAnsi="Arial Narrow"/>
                <w:color w:val="000000"/>
                <w:sz w:val="16"/>
                <w:szCs w:val="16"/>
                <w:lang w:eastAsia="sl-SI"/>
              </w:rPr>
            </w:pPr>
            <w:r w:rsidRPr="00AC3047">
              <w:rPr>
                <w:rFonts w:ascii="Arial Narrow" w:hAnsi="Arial Narrow"/>
                <w:color w:val="000000"/>
                <w:sz w:val="16"/>
                <w:szCs w:val="16"/>
                <w:lang w:eastAsia="sl-SI"/>
              </w:rPr>
              <w:t>5.910.336</w:t>
            </w:r>
          </w:p>
        </w:tc>
        <w:tc>
          <w:tcPr>
            <w:tcW w:w="895" w:type="dxa"/>
            <w:tcBorders>
              <w:top w:val="nil"/>
              <w:left w:val="nil"/>
              <w:bottom w:val="nil"/>
              <w:right w:val="single" w:sz="8" w:space="0" w:color="9BBB59"/>
            </w:tcBorders>
            <w:shd w:val="clear" w:color="auto" w:fill="auto"/>
            <w:noWrap/>
            <w:vAlign w:val="center"/>
            <w:hideMark/>
          </w:tcPr>
          <w:p w:rsidR="00E74A2C" w:rsidRPr="00AC3047" w:rsidRDefault="00E74A2C" w:rsidP="0011748C">
            <w:pPr>
              <w:spacing w:after="0" w:line="240" w:lineRule="auto"/>
              <w:jc w:val="right"/>
              <w:rPr>
                <w:rFonts w:ascii="Arial Narrow" w:hAnsi="Arial Narrow"/>
                <w:color w:val="000000"/>
                <w:sz w:val="16"/>
                <w:szCs w:val="16"/>
                <w:lang w:eastAsia="sl-SI"/>
              </w:rPr>
            </w:pPr>
            <w:r w:rsidRPr="00AC3047">
              <w:rPr>
                <w:rFonts w:ascii="Arial Narrow" w:hAnsi="Arial Narrow"/>
                <w:color w:val="000000"/>
                <w:sz w:val="16"/>
                <w:szCs w:val="16"/>
                <w:lang w:eastAsia="sl-SI"/>
              </w:rPr>
              <w:t>6.023.798</w:t>
            </w:r>
          </w:p>
        </w:tc>
      </w:tr>
      <w:tr w:rsidR="00E74A2C" w:rsidRPr="00AC3047" w:rsidTr="000A3183">
        <w:trPr>
          <w:trHeight w:val="102"/>
        </w:trPr>
        <w:tc>
          <w:tcPr>
            <w:tcW w:w="2276" w:type="dxa"/>
            <w:tcBorders>
              <w:top w:val="single" w:sz="8" w:space="0" w:color="9BBB59"/>
              <w:left w:val="single" w:sz="8" w:space="0" w:color="9BBB59"/>
              <w:bottom w:val="single" w:sz="8" w:space="0" w:color="9BBB59"/>
              <w:right w:val="nil"/>
            </w:tcBorders>
            <w:shd w:val="clear" w:color="auto" w:fill="auto"/>
            <w:noWrap/>
            <w:vAlign w:val="center"/>
            <w:hideMark/>
          </w:tcPr>
          <w:p w:rsidR="00E74A2C" w:rsidRPr="00AC3047" w:rsidRDefault="00E74A2C" w:rsidP="0011748C">
            <w:pPr>
              <w:spacing w:after="0" w:line="240" w:lineRule="auto"/>
              <w:rPr>
                <w:rFonts w:ascii="Arial Narrow" w:hAnsi="Arial Narrow"/>
                <w:color w:val="000000"/>
                <w:sz w:val="16"/>
                <w:szCs w:val="16"/>
                <w:lang w:eastAsia="sl-SI"/>
              </w:rPr>
            </w:pPr>
            <w:r w:rsidRPr="00AC3047">
              <w:rPr>
                <w:rFonts w:ascii="Arial Narrow" w:hAnsi="Arial Narrow"/>
                <w:color w:val="000000"/>
                <w:sz w:val="16"/>
                <w:szCs w:val="16"/>
                <w:lang w:eastAsia="sl-SI"/>
              </w:rPr>
              <w:t>Celoten prihodek</w:t>
            </w:r>
          </w:p>
        </w:tc>
        <w:tc>
          <w:tcPr>
            <w:tcW w:w="895" w:type="dxa"/>
            <w:tcBorders>
              <w:top w:val="single" w:sz="8" w:space="0" w:color="9BBB59"/>
              <w:left w:val="nil"/>
              <w:bottom w:val="single" w:sz="8" w:space="0" w:color="9BBB59"/>
              <w:right w:val="nil"/>
            </w:tcBorders>
            <w:shd w:val="clear" w:color="auto" w:fill="auto"/>
            <w:noWrap/>
            <w:vAlign w:val="center"/>
            <w:hideMark/>
          </w:tcPr>
          <w:p w:rsidR="00E74A2C" w:rsidRPr="00AC3047" w:rsidRDefault="00E74A2C" w:rsidP="0011748C">
            <w:pPr>
              <w:spacing w:after="0" w:line="240" w:lineRule="auto"/>
              <w:jc w:val="right"/>
              <w:rPr>
                <w:rFonts w:ascii="Arial Narrow" w:hAnsi="Arial Narrow"/>
                <w:color w:val="000000"/>
                <w:sz w:val="16"/>
                <w:szCs w:val="16"/>
                <w:lang w:eastAsia="sl-SI"/>
              </w:rPr>
            </w:pPr>
            <w:r w:rsidRPr="00AC3047">
              <w:rPr>
                <w:rFonts w:ascii="Arial Narrow" w:hAnsi="Arial Narrow"/>
                <w:color w:val="000000"/>
                <w:sz w:val="16"/>
                <w:szCs w:val="16"/>
                <w:lang w:eastAsia="sl-SI"/>
              </w:rPr>
              <w:t>102.385.889</w:t>
            </w:r>
          </w:p>
        </w:tc>
        <w:tc>
          <w:tcPr>
            <w:tcW w:w="895" w:type="dxa"/>
            <w:tcBorders>
              <w:top w:val="single" w:sz="8" w:space="0" w:color="9BBB59"/>
              <w:left w:val="nil"/>
              <w:bottom w:val="single" w:sz="8" w:space="0" w:color="9BBB59"/>
              <w:right w:val="nil"/>
            </w:tcBorders>
            <w:shd w:val="clear" w:color="auto" w:fill="auto"/>
            <w:noWrap/>
            <w:vAlign w:val="center"/>
            <w:hideMark/>
          </w:tcPr>
          <w:p w:rsidR="00E74A2C" w:rsidRPr="00AC3047" w:rsidRDefault="00E74A2C" w:rsidP="0011748C">
            <w:pPr>
              <w:spacing w:after="0" w:line="240" w:lineRule="auto"/>
              <w:jc w:val="right"/>
              <w:rPr>
                <w:rFonts w:ascii="Arial Narrow" w:hAnsi="Arial Narrow"/>
                <w:color w:val="000000"/>
                <w:sz w:val="16"/>
                <w:szCs w:val="16"/>
                <w:lang w:eastAsia="sl-SI"/>
              </w:rPr>
            </w:pPr>
            <w:r w:rsidRPr="00AC3047">
              <w:rPr>
                <w:rFonts w:ascii="Arial Narrow" w:hAnsi="Arial Narrow"/>
                <w:color w:val="000000"/>
                <w:sz w:val="16"/>
                <w:szCs w:val="16"/>
                <w:lang w:eastAsia="sl-SI"/>
              </w:rPr>
              <w:t>106.107.466</w:t>
            </w:r>
          </w:p>
        </w:tc>
        <w:tc>
          <w:tcPr>
            <w:tcW w:w="895" w:type="dxa"/>
            <w:tcBorders>
              <w:top w:val="single" w:sz="8" w:space="0" w:color="9BBB59"/>
              <w:left w:val="nil"/>
              <w:bottom w:val="single" w:sz="8" w:space="0" w:color="9BBB59"/>
              <w:right w:val="nil"/>
            </w:tcBorders>
            <w:shd w:val="clear" w:color="auto" w:fill="auto"/>
            <w:noWrap/>
            <w:vAlign w:val="center"/>
            <w:hideMark/>
          </w:tcPr>
          <w:p w:rsidR="00E74A2C" w:rsidRPr="00AC3047" w:rsidRDefault="00E74A2C" w:rsidP="0011748C">
            <w:pPr>
              <w:spacing w:after="0" w:line="240" w:lineRule="auto"/>
              <w:jc w:val="right"/>
              <w:rPr>
                <w:rFonts w:ascii="Arial Narrow" w:hAnsi="Arial Narrow"/>
                <w:color w:val="000000"/>
                <w:sz w:val="16"/>
                <w:szCs w:val="16"/>
                <w:lang w:eastAsia="sl-SI"/>
              </w:rPr>
            </w:pPr>
            <w:r w:rsidRPr="00AC3047">
              <w:rPr>
                <w:rFonts w:ascii="Arial Narrow" w:hAnsi="Arial Narrow"/>
                <w:color w:val="000000"/>
                <w:sz w:val="16"/>
                <w:szCs w:val="16"/>
                <w:lang w:eastAsia="sl-SI"/>
              </w:rPr>
              <w:t>100.934.227</w:t>
            </w:r>
          </w:p>
        </w:tc>
        <w:tc>
          <w:tcPr>
            <w:tcW w:w="895" w:type="dxa"/>
            <w:tcBorders>
              <w:top w:val="single" w:sz="8" w:space="0" w:color="9BBB59"/>
              <w:left w:val="nil"/>
              <w:bottom w:val="single" w:sz="8" w:space="0" w:color="9BBB59"/>
              <w:right w:val="nil"/>
            </w:tcBorders>
            <w:shd w:val="clear" w:color="auto" w:fill="auto"/>
            <w:noWrap/>
            <w:vAlign w:val="center"/>
            <w:hideMark/>
          </w:tcPr>
          <w:p w:rsidR="00E74A2C" w:rsidRPr="00AC3047" w:rsidRDefault="00E74A2C" w:rsidP="0011748C">
            <w:pPr>
              <w:spacing w:after="0" w:line="240" w:lineRule="auto"/>
              <w:jc w:val="right"/>
              <w:rPr>
                <w:rFonts w:ascii="Arial Narrow" w:hAnsi="Arial Narrow"/>
                <w:color w:val="000000"/>
                <w:sz w:val="16"/>
                <w:szCs w:val="16"/>
                <w:lang w:eastAsia="sl-SI"/>
              </w:rPr>
            </w:pPr>
            <w:r w:rsidRPr="00AC3047">
              <w:rPr>
                <w:rFonts w:ascii="Arial Narrow" w:hAnsi="Arial Narrow"/>
                <w:color w:val="000000"/>
                <w:sz w:val="16"/>
                <w:szCs w:val="16"/>
                <w:lang w:eastAsia="sl-SI"/>
              </w:rPr>
              <w:t>101.637.014</w:t>
            </w:r>
          </w:p>
        </w:tc>
        <w:tc>
          <w:tcPr>
            <w:tcW w:w="895" w:type="dxa"/>
            <w:tcBorders>
              <w:top w:val="single" w:sz="8" w:space="0" w:color="9BBB59"/>
              <w:left w:val="nil"/>
              <w:bottom w:val="single" w:sz="8" w:space="0" w:color="9BBB59"/>
              <w:right w:val="nil"/>
            </w:tcBorders>
            <w:shd w:val="clear" w:color="auto" w:fill="auto"/>
            <w:noWrap/>
            <w:vAlign w:val="center"/>
            <w:hideMark/>
          </w:tcPr>
          <w:p w:rsidR="00E74A2C" w:rsidRPr="00AC3047" w:rsidRDefault="00E74A2C" w:rsidP="0011748C">
            <w:pPr>
              <w:spacing w:after="0" w:line="240" w:lineRule="auto"/>
              <w:jc w:val="right"/>
              <w:rPr>
                <w:rFonts w:ascii="Arial Narrow" w:hAnsi="Arial Narrow"/>
                <w:color w:val="000000"/>
                <w:sz w:val="16"/>
                <w:szCs w:val="16"/>
                <w:lang w:eastAsia="sl-SI"/>
              </w:rPr>
            </w:pPr>
            <w:r w:rsidRPr="00AC3047">
              <w:rPr>
                <w:rFonts w:ascii="Arial Narrow" w:hAnsi="Arial Narrow"/>
                <w:color w:val="000000"/>
                <w:sz w:val="16"/>
                <w:szCs w:val="16"/>
                <w:lang w:eastAsia="sl-SI"/>
              </w:rPr>
              <w:t>98.166.739</w:t>
            </w:r>
          </w:p>
        </w:tc>
        <w:tc>
          <w:tcPr>
            <w:tcW w:w="895" w:type="dxa"/>
            <w:tcBorders>
              <w:top w:val="single" w:sz="8" w:space="0" w:color="9BBB59"/>
              <w:left w:val="nil"/>
              <w:bottom w:val="single" w:sz="8" w:space="0" w:color="9BBB59"/>
              <w:right w:val="nil"/>
            </w:tcBorders>
            <w:shd w:val="clear" w:color="auto" w:fill="auto"/>
            <w:noWrap/>
            <w:vAlign w:val="center"/>
            <w:hideMark/>
          </w:tcPr>
          <w:p w:rsidR="00E74A2C" w:rsidRPr="00AC3047" w:rsidRDefault="00E74A2C" w:rsidP="0011748C">
            <w:pPr>
              <w:spacing w:after="0" w:line="240" w:lineRule="auto"/>
              <w:jc w:val="right"/>
              <w:rPr>
                <w:rFonts w:ascii="Arial Narrow" w:hAnsi="Arial Narrow"/>
                <w:color w:val="000000"/>
                <w:sz w:val="16"/>
                <w:szCs w:val="16"/>
                <w:lang w:eastAsia="sl-SI"/>
              </w:rPr>
            </w:pPr>
            <w:r w:rsidRPr="00AC3047">
              <w:rPr>
                <w:rFonts w:ascii="Arial Narrow" w:hAnsi="Arial Narrow"/>
                <w:color w:val="000000"/>
                <w:sz w:val="16"/>
                <w:szCs w:val="16"/>
                <w:lang w:eastAsia="sl-SI"/>
              </w:rPr>
              <w:t>95.796.170</w:t>
            </w:r>
          </w:p>
        </w:tc>
        <w:tc>
          <w:tcPr>
            <w:tcW w:w="895" w:type="dxa"/>
            <w:tcBorders>
              <w:top w:val="single" w:sz="8" w:space="0" w:color="9BBB59"/>
              <w:left w:val="nil"/>
              <w:bottom w:val="single" w:sz="8" w:space="0" w:color="9BBB59"/>
              <w:right w:val="nil"/>
            </w:tcBorders>
            <w:shd w:val="clear" w:color="auto" w:fill="auto"/>
            <w:noWrap/>
            <w:vAlign w:val="center"/>
            <w:hideMark/>
          </w:tcPr>
          <w:p w:rsidR="00E74A2C" w:rsidRPr="00AC3047" w:rsidRDefault="00E74A2C" w:rsidP="0011748C">
            <w:pPr>
              <w:spacing w:after="0" w:line="240" w:lineRule="auto"/>
              <w:jc w:val="right"/>
              <w:rPr>
                <w:rFonts w:ascii="Arial Narrow" w:hAnsi="Arial Narrow"/>
                <w:color w:val="000000"/>
                <w:sz w:val="16"/>
                <w:szCs w:val="16"/>
                <w:lang w:eastAsia="sl-SI"/>
              </w:rPr>
            </w:pPr>
            <w:r w:rsidRPr="00AC3047">
              <w:rPr>
                <w:rFonts w:ascii="Arial Narrow" w:hAnsi="Arial Narrow"/>
                <w:color w:val="000000"/>
                <w:sz w:val="16"/>
                <w:szCs w:val="16"/>
                <w:lang w:eastAsia="sl-SI"/>
              </w:rPr>
              <w:t>93.272.013</w:t>
            </w:r>
          </w:p>
        </w:tc>
        <w:tc>
          <w:tcPr>
            <w:tcW w:w="895" w:type="dxa"/>
            <w:tcBorders>
              <w:top w:val="single" w:sz="8" w:space="0" w:color="9BBB59"/>
              <w:left w:val="nil"/>
              <w:bottom w:val="single" w:sz="8" w:space="0" w:color="9BBB59"/>
              <w:right w:val="single" w:sz="8" w:space="0" w:color="9BBB59"/>
            </w:tcBorders>
            <w:shd w:val="clear" w:color="auto" w:fill="auto"/>
            <w:noWrap/>
            <w:vAlign w:val="center"/>
            <w:hideMark/>
          </w:tcPr>
          <w:p w:rsidR="00E74A2C" w:rsidRPr="00AC3047" w:rsidRDefault="00E74A2C" w:rsidP="0011748C">
            <w:pPr>
              <w:spacing w:after="0" w:line="240" w:lineRule="auto"/>
              <w:jc w:val="right"/>
              <w:rPr>
                <w:rFonts w:ascii="Arial Narrow" w:hAnsi="Arial Narrow"/>
                <w:color w:val="000000"/>
                <w:sz w:val="16"/>
                <w:szCs w:val="16"/>
                <w:lang w:eastAsia="sl-SI"/>
              </w:rPr>
            </w:pPr>
            <w:r w:rsidRPr="00AC3047">
              <w:rPr>
                <w:rFonts w:ascii="Arial Narrow" w:hAnsi="Arial Narrow"/>
                <w:color w:val="000000"/>
                <w:sz w:val="16"/>
                <w:szCs w:val="16"/>
                <w:lang w:eastAsia="sl-SI"/>
              </w:rPr>
              <w:t>89.942.805</w:t>
            </w:r>
          </w:p>
        </w:tc>
      </w:tr>
    </w:tbl>
    <w:p w:rsidR="00E74A2C" w:rsidRPr="00301DD0" w:rsidRDefault="00E74A2C" w:rsidP="00E74A2C">
      <w:pPr>
        <w:pStyle w:val="Podpispodtabeloaligrafom"/>
      </w:pPr>
      <w:r w:rsidRPr="00301DD0">
        <w:t>Vir: Ministrstvo za kulturo.</w:t>
      </w:r>
    </w:p>
    <w:p w:rsidR="00E74A2C" w:rsidRPr="00301DD0" w:rsidRDefault="00E74A2C" w:rsidP="00E74A2C">
      <w:pPr>
        <w:pStyle w:val="Podpispodtabeloaligrafom"/>
      </w:pPr>
      <w:r w:rsidRPr="00301DD0">
        <w:t>* Vključuje tudi investicije.</w:t>
      </w:r>
    </w:p>
    <w:p w:rsidR="00E74A2C" w:rsidRPr="00BD17E2" w:rsidRDefault="00E74A2C" w:rsidP="00E74A2C">
      <w:pPr>
        <w:pStyle w:val="Naslovtabele"/>
        <w:rPr>
          <w:highlight w:val="yellow"/>
          <w:lang w:eastAsia="sl-SI"/>
        </w:rPr>
      </w:pPr>
      <w:bookmarkStart w:id="465" w:name="_Toc490053420"/>
      <w:bookmarkStart w:id="466" w:name="_Toc490053791"/>
      <w:bookmarkStart w:id="467" w:name="_Toc490600063"/>
      <w:r>
        <w:rPr>
          <w:lang w:eastAsia="sl-SI"/>
        </w:rPr>
        <w:t>Graf</w:t>
      </w:r>
      <w:r w:rsidRPr="00BD17E2">
        <w:rPr>
          <w:lang w:eastAsia="sl-SI"/>
        </w:rPr>
        <w:t xml:space="preserve"> </w:t>
      </w:r>
      <w:r w:rsidR="00344E6D">
        <w:rPr>
          <w:lang w:eastAsia="sl-SI"/>
        </w:rPr>
        <w:t>48</w:t>
      </w:r>
      <w:r>
        <w:rPr>
          <w:lang w:eastAsia="sl-SI"/>
        </w:rPr>
        <w:t>: Struktura celotnega prihodka</w:t>
      </w:r>
      <w:r w:rsidRPr="00BD17E2">
        <w:rPr>
          <w:lang w:eastAsia="sl-SI"/>
        </w:rPr>
        <w:t xml:space="preserve"> nacionalnih javnih zavodov </w:t>
      </w:r>
      <w:r>
        <w:rPr>
          <w:lang w:eastAsia="sl-SI"/>
        </w:rPr>
        <w:t>po viru</w:t>
      </w:r>
      <w:r w:rsidRPr="00BD17E2">
        <w:rPr>
          <w:lang w:eastAsia="sl-SI"/>
        </w:rPr>
        <w:t xml:space="preserve"> </w:t>
      </w:r>
      <w:r>
        <w:rPr>
          <w:lang w:eastAsia="sl-SI"/>
        </w:rPr>
        <w:t>(</w:t>
      </w:r>
      <w:r w:rsidRPr="00BD17E2">
        <w:rPr>
          <w:lang w:eastAsia="sl-SI"/>
        </w:rPr>
        <w:t>2015</w:t>
      </w:r>
      <w:r>
        <w:rPr>
          <w:lang w:eastAsia="sl-SI"/>
        </w:rPr>
        <w:t>)*</w:t>
      </w:r>
      <w:bookmarkEnd w:id="465"/>
      <w:bookmarkEnd w:id="466"/>
      <w:bookmarkEnd w:id="467"/>
    </w:p>
    <w:p w:rsidR="00E74A2C" w:rsidRDefault="009E4E27" w:rsidP="00E74A2C">
      <w:pPr>
        <w:jc w:val="both"/>
        <w:rPr>
          <w:rFonts w:cs="Arial"/>
          <w:szCs w:val="20"/>
          <w:highlight w:val="yellow"/>
          <w:lang w:eastAsia="sl-SI"/>
        </w:rPr>
      </w:pPr>
      <w:r>
        <w:rPr>
          <w:noProof/>
          <w:lang w:eastAsia="sl-SI"/>
        </w:rPr>
        <w:drawing>
          <wp:inline distT="0" distB="0" distL="0" distR="0" wp14:anchorId="6AB74159" wp14:editId="705E400D">
            <wp:extent cx="4358149" cy="2595716"/>
            <wp:effectExtent l="0" t="0" r="4445" b="0"/>
            <wp:docPr id="8" name="Grafikon 8"/>
            <wp:cNvGraphicFramePr/>
            <a:graphic xmlns:a="http://schemas.openxmlformats.org/drawingml/2006/main">
              <a:graphicData uri="http://schemas.openxmlformats.org/drawingml/2006/chart">
                <c:chart xmlns:c="http://schemas.openxmlformats.org/drawingml/2006/chart" xmlns:r="http://schemas.openxmlformats.org/officeDocument/2006/relationships" r:id="rId79"/>
              </a:graphicData>
            </a:graphic>
          </wp:inline>
        </w:drawing>
      </w:r>
    </w:p>
    <w:p w:rsidR="00E74A2C" w:rsidRPr="00F561EB" w:rsidRDefault="00E74A2C" w:rsidP="00E74A2C">
      <w:pPr>
        <w:pStyle w:val="Podpispodtabeloaligrafom"/>
        <w:rPr>
          <w:highlight w:val="yellow"/>
          <w:lang w:eastAsia="sl-SI"/>
        </w:rPr>
      </w:pPr>
      <w:r w:rsidRPr="00F561EB">
        <w:rPr>
          <w:lang w:eastAsia="sl-SI"/>
        </w:rPr>
        <w:t>Vir: Ministrstvo za kulturo</w:t>
      </w:r>
      <w:r>
        <w:rPr>
          <w:lang w:eastAsia="sl-SI"/>
        </w:rPr>
        <w:t>.</w:t>
      </w:r>
    </w:p>
    <w:p w:rsidR="00E74A2C" w:rsidRPr="00BD17E2" w:rsidRDefault="00E74A2C" w:rsidP="00E74A2C">
      <w:pPr>
        <w:pStyle w:val="Podpispodtabeloaligrafom"/>
        <w:rPr>
          <w:lang w:eastAsia="sl-SI"/>
        </w:rPr>
      </w:pPr>
      <w:r w:rsidRPr="00BD17E2">
        <w:rPr>
          <w:lang w:eastAsia="sl-SI"/>
        </w:rPr>
        <w:t>* Vključuje tudi investicije.</w:t>
      </w:r>
    </w:p>
    <w:p w:rsidR="00E74A2C" w:rsidRDefault="00E74A2C" w:rsidP="00E74A2C">
      <w:pPr>
        <w:pStyle w:val="Podpispodtabeloaligrafom"/>
        <w:rPr>
          <w:highlight w:val="yellow"/>
          <w:lang w:eastAsia="sl-SI"/>
        </w:rPr>
      </w:pPr>
    </w:p>
    <w:p w:rsidR="00E74A2C" w:rsidRDefault="00E74A2C" w:rsidP="00E74A2C">
      <w:pPr>
        <w:jc w:val="both"/>
        <w:rPr>
          <w:rFonts w:cs="Arial"/>
          <w:szCs w:val="20"/>
          <w:lang w:eastAsia="sl-SI"/>
        </w:rPr>
      </w:pPr>
      <w:r>
        <w:rPr>
          <w:rFonts w:cs="Arial"/>
          <w:szCs w:val="20"/>
          <w:lang w:eastAsia="sl-SI"/>
        </w:rPr>
        <w:t>Struktura celotnega prihodka nacionalnih javnih zavodov se je v opazovanem obdobju spremenila: odstotek sredstev iz Ministrstva za kulturo se je od leta 2008 do leta 2015 povečal, enako velja tudi za prihodke iz tržne dejavnosti in za druge vire javnih financ (sem sodijo npr. sredstva iz evropskih projektov), zmanjšal pa se je odstotek prihodkov iz opravljanja javne službe (sem sodijo npr. vstopnice) ter izrazito, kar za petkrat, odstotek, ki ga nacionalni javni zavodi prejmejo od lokalnih skupnosti.</w:t>
      </w:r>
    </w:p>
    <w:p w:rsidR="00E74A2C" w:rsidRDefault="00E74A2C" w:rsidP="00E74A2C">
      <w:pPr>
        <w:jc w:val="both"/>
        <w:rPr>
          <w:rFonts w:cs="Arial"/>
          <w:b/>
          <w:szCs w:val="20"/>
          <w:lang w:eastAsia="sl-SI"/>
        </w:rPr>
      </w:pPr>
    </w:p>
    <w:p w:rsidR="00E74A2C" w:rsidRDefault="00E74A2C" w:rsidP="00E74A2C">
      <w:pPr>
        <w:spacing w:after="0" w:line="240" w:lineRule="auto"/>
        <w:rPr>
          <w:b/>
          <w:lang w:eastAsia="sl-SI"/>
        </w:rPr>
      </w:pPr>
      <w:r>
        <w:rPr>
          <w:lang w:eastAsia="sl-SI"/>
        </w:rPr>
        <w:br w:type="page"/>
      </w:r>
    </w:p>
    <w:p w:rsidR="00E74A2C" w:rsidRPr="00BD17E2" w:rsidRDefault="00C75E6E" w:rsidP="00E74A2C">
      <w:pPr>
        <w:pStyle w:val="Naslovtabele"/>
        <w:rPr>
          <w:lang w:eastAsia="sl-SI"/>
        </w:rPr>
      </w:pPr>
      <w:bookmarkStart w:id="468" w:name="_Toc490053421"/>
      <w:bookmarkStart w:id="469" w:name="_Toc490053792"/>
      <w:bookmarkStart w:id="470" w:name="_Toc490600064"/>
      <w:r>
        <w:rPr>
          <w:lang w:eastAsia="sl-SI"/>
        </w:rPr>
        <w:t>Tabela 38</w:t>
      </w:r>
      <w:r w:rsidR="00E74A2C" w:rsidRPr="008B6314">
        <w:rPr>
          <w:lang w:eastAsia="sl-SI"/>
        </w:rPr>
        <w:t>: Celoten prihodek</w:t>
      </w:r>
      <w:r w:rsidR="00E74A2C" w:rsidRPr="008B6314">
        <w:rPr>
          <w:vertAlign w:val="superscript"/>
          <w:lang w:eastAsia="sl-SI"/>
        </w:rPr>
        <w:t>*</w:t>
      </w:r>
      <w:r w:rsidR="00E74A2C" w:rsidRPr="008B6314">
        <w:rPr>
          <w:lang w:eastAsia="sl-SI"/>
        </w:rPr>
        <w:t xml:space="preserve"> občinskih javnih zavodov** po viru </w:t>
      </w:r>
      <w:r w:rsidR="00E74A2C">
        <w:rPr>
          <w:lang w:eastAsia="sl-SI"/>
        </w:rPr>
        <w:t xml:space="preserve">v nominalnih zneskih </w:t>
      </w:r>
      <w:r w:rsidR="00E74A2C" w:rsidRPr="008B6314">
        <w:rPr>
          <w:lang w:eastAsia="sl-SI"/>
        </w:rPr>
        <w:t>(2008–2015)</w:t>
      </w:r>
      <w:bookmarkEnd w:id="468"/>
      <w:bookmarkEnd w:id="469"/>
      <w:bookmarkEnd w:id="470"/>
    </w:p>
    <w:tbl>
      <w:tblPr>
        <w:tblW w:w="9436" w:type="dxa"/>
        <w:tblInd w:w="55" w:type="dxa"/>
        <w:tblCellMar>
          <w:left w:w="70" w:type="dxa"/>
          <w:right w:w="70" w:type="dxa"/>
        </w:tblCellMar>
        <w:tblLook w:val="04A0" w:firstRow="1" w:lastRow="0" w:firstColumn="1" w:lastColumn="0" w:noHBand="0" w:noVBand="1"/>
      </w:tblPr>
      <w:tblGrid>
        <w:gridCol w:w="2276"/>
        <w:gridCol w:w="895"/>
        <w:gridCol w:w="895"/>
        <w:gridCol w:w="895"/>
        <w:gridCol w:w="895"/>
        <w:gridCol w:w="895"/>
        <w:gridCol w:w="895"/>
        <w:gridCol w:w="895"/>
        <w:gridCol w:w="895"/>
      </w:tblGrid>
      <w:tr w:rsidR="00E74A2C" w:rsidRPr="00C50B45" w:rsidTr="0011748C">
        <w:trPr>
          <w:trHeight w:val="300"/>
          <w:tblHeader/>
        </w:trPr>
        <w:tc>
          <w:tcPr>
            <w:tcW w:w="2276" w:type="dxa"/>
            <w:tcBorders>
              <w:top w:val="single" w:sz="8" w:space="0" w:color="9BBB59"/>
              <w:left w:val="single" w:sz="8" w:space="0" w:color="9BBB59"/>
              <w:bottom w:val="nil"/>
              <w:right w:val="nil"/>
            </w:tcBorders>
            <w:shd w:val="clear" w:color="000000" w:fill="9BBB59"/>
            <w:noWrap/>
            <w:hideMark/>
          </w:tcPr>
          <w:p w:rsidR="00E74A2C" w:rsidRPr="00C50B45" w:rsidRDefault="00E74A2C" w:rsidP="0011748C">
            <w:pPr>
              <w:spacing w:after="0" w:line="240" w:lineRule="auto"/>
              <w:rPr>
                <w:rFonts w:ascii="Times New Roman" w:hAnsi="Times New Roman"/>
                <w:color w:val="000000"/>
                <w:szCs w:val="20"/>
                <w:lang w:eastAsia="sl-SI"/>
              </w:rPr>
            </w:pPr>
            <w:r w:rsidRPr="00C50B45">
              <w:rPr>
                <w:rFonts w:ascii="Times New Roman" w:hAnsi="Times New Roman"/>
                <w:color w:val="000000"/>
                <w:szCs w:val="20"/>
                <w:lang w:eastAsia="sl-SI"/>
              </w:rPr>
              <w:t> </w:t>
            </w:r>
          </w:p>
        </w:tc>
        <w:tc>
          <w:tcPr>
            <w:tcW w:w="895" w:type="dxa"/>
            <w:tcBorders>
              <w:top w:val="single" w:sz="8" w:space="0" w:color="9BBB59"/>
              <w:left w:val="nil"/>
              <w:bottom w:val="nil"/>
              <w:right w:val="nil"/>
            </w:tcBorders>
            <w:shd w:val="clear" w:color="000000" w:fill="9BBB59"/>
            <w:noWrap/>
            <w:vAlign w:val="center"/>
            <w:hideMark/>
          </w:tcPr>
          <w:p w:rsidR="00E74A2C" w:rsidRPr="00C50B45" w:rsidRDefault="00E74A2C" w:rsidP="0011748C">
            <w:pPr>
              <w:spacing w:after="0" w:line="240" w:lineRule="auto"/>
              <w:jc w:val="right"/>
              <w:rPr>
                <w:rFonts w:ascii="Arial Narrow" w:hAnsi="Arial Narrow"/>
                <w:b/>
                <w:bCs/>
                <w:color w:val="FFFFFF"/>
                <w:sz w:val="16"/>
                <w:szCs w:val="16"/>
                <w:lang w:eastAsia="sl-SI"/>
              </w:rPr>
            </w:pPr>
            <w:r w:rsidRPr="00C50B45">
              <w:rPr>
                <w:rFonts w:ascii="Arial Narrow" w:hAnsi="Arial Narrow"/>
                <w:b/>
                <w:bCs/>
                <w:color w:val="FFFFFF"/>
                <w:sz w:val="16"/>
                <w:szCs w:val="16"/>
                <w:lang w:eastAsia="sl-SI"/>
              </w:rPr>
              <w:t>2008</w:t>
            </w:r>
          </w:p>
        </w:tc>
        <w:tc>
          <w:tcPr>
            <w:tcW w:w="895" w:type="dxa"/>
            <w:tcBorders>
              <w:top w:val="single" w:sz="8" w:space="0" w:color="9BBB59"/>
              <w:left w:val="nil"/>
              <w:bottom w:val="nil"/>
              <w:right w:val="nil"/>
            </w:tcBorders>
            <w:shd w:val="clear" w:color="000000" w:fill="9BBB59"/>
            <w:noWrap/>
            <w:vAlign w:val="center"/>
            <w:hideMark/>
          </w:tcPr>
          <w:p w:rsidR="00E74A2C" w:rsidRPr="00C50B45" w:rsidRDefault="00E74A2C" w:rsidP="0011748C">
            <w:pPr>
              <w:spacing w:after="0" w:line="240" w:lineRule="auto"/>
              <w:jc w:val="right"/>
              <w:rPr>
                <w:rFonts w:ascii="Arial Narrow" w:hAnsi="Arial Narrow"/>
                <w:b/>
                <w:bCs/>
                <w:color w:val="FFFFFF"/>
                <w:sz w:val="16"/>
                <w:szCs w:val="16"/>
                <w:lang w:eastAsia="sl-SI"/>
              </w:rPr>
            </w:pPr>
            <w:r w:rsidRPr="00C50B45">
              <w:rPr>
                <w:rFonts w:ascii="Arial Narrow" w:hAnsi="Arial Narrow"/>
                <w:b/>
                <w:bCs/>
                <w:color w:val="FFFFFF"/>
                <w:sz w:val="16"/>
                <w:szCs w:val="16"/>
                <w:lang w:eastAsia="sl-SI"/>
              </w:rPr>
              <w:t>2009</w:t>
            </w:r>
          </w:p>
        </w:tc>
        <w:tc>
          <w:tcPr>
            <w:tcW w:w="895" w:type="dxa"/>
            <w:tcBorders>
              <w:top w:val="single" w:sz="8" w:space="0" w:color="9BBB59"/>
              <w:left w:val="nil"/>
              <w:bottom w:val="nil"/>
              <w:right w:val="nil"/>
            </w:tcBorders>
            <w:shd w:val="clear" w:color="000000" w:fill="9BBB59"/>
            <w:noWrap/>
            <w:vAlign w:val="center"/>
            <w:hideMark/>
          </w:tcPr>
          <w:p w:rsidR="00E74A2C" w:rsidRPr="00C50B45" w:rsidRDefault="00E74A2C" w:rsidP="0011748C">
            <w:pPr>
              <w:spacing w:after="0" w:line="240" w:lineRule="auto"/>
              <w:jc w:val="right"/>
              <w:rPr>
                <w:rFonts w:ascii="Arial Narrow" w:hAnsi="Arial Narrow"/>
                <w:b/>
                <w:bCs/>
                <w:color w:val="FFFFFF"/>
                <w:sz w:val="16"/>
                <w:szCs w:val="16"/>
                <w:lang w:eastAsia="sl-SI"/>
              </w:rPr>
            </w:pPr>
            <w:r w:rsidRPr="00C50B45">
              <w:rPr>
                <w:rFonts w:ascii="Arial Narrow" w:hAnsi="Arial Narrow"/>
                <w:b/>
                <w:bCs/>
                <w:color w:val="FFFFFF"/>
                <w:sz w:val="16"/>
                <w:szCs w:val="16"/>
                <w:lang w:eastAsia="sl-SI"/>
              </w:rPr>
              <w:t>2010</w:t>
            </w:r>
          </w:p>
        </w:tc>
        <w:tc>
          <w:tcPr>
            <w:tcW w:w="895" w:type="dxa"/>
            <w:tcBorders>
              <w:top w:val="single" w:sz="8" w:space="0" w:color="9BBB59"/>
              <w:left w:val="nil"/>
              <w:bottom w:val="nil"/>
              <w:right w:val="nil"/>
            </w:tcBorders>
            <w:shd w:val="clear" w:color="000000" w:fill="9BBB59"/>
            <w:noWrap/>
            <w:vAlign w:val="center"/>
            <w:hideMark/>
          </w:tcPr>
          <w:p w:rsidR="00E74A2C" w:rsidRPr="00C50B45" w:rsidRDefault="00E74A2C" w:rsidP="0011748C">
            <w:pPr>
              <w:spacing w:after="0" w:line="240" w:lineRule="auto"/>
              <w:jc w:val="right"/>
              <w:rPr>
                <w:rFonts w:ascii="Arial Narrow" w:hAnsi="Arial Narrow"/>
                <w:b/>
                <w:bCs/>
                <w:color w:val="FFFFFF"/>
                <w:sz w:val="16"/>
                <w:szCs w:val="16"/>
                <w:lang w:eastAsia="sl-SI"/>
              </w:rPr>
            </w:pPr>
            <w:r w:rsidRPr="00C50B45">
              <w:rPr>
                <w:rFonts w:ascii="Arial Narrow" w:hAnsi="Arial Narrow"/>
                <w:b/>
                <w:bCs/>
                <w:color w:val="FFFFFF"/>
                <w:sz w:val="16"/>
                <w:szCs w:val="16"/>
                <w:lang w:eastAsia="sl-SI"/>
              </w:rPr>
              <w:t>2011</w:t>
            </w:r>
          </w:p>
        </w:tc>
        <w:tc>
          <w:tcPr>
            <w:tcW w:w="895" w:type="dxa"/>
            <w:tcBorders>
              <w:top w:val="single" w:sz="8" w:space="0" w:color="9BBB59"/>
              <w:left w:val="nil"/>
              <w:bottom w:val="nil"/>
              <w:right w:val="nil"/>
            </w:tcBorders>
            <w:shd w:val="clear" w:color="000000" w:fill="9BBB59"/>
            <w:noWrap/>
            <w:vAlign w:val="center"/>
            <w:hideMark/>
          </w:tcPr>
          <w:p w:rsidR="00E74A2C" w:rsidRPr="00C50B45" w:rsidRDefault="00E74A2C" w:rsidP="0011748C">
            <w:pPr>
              <w:spacing w:after="0" w:line="240" w:lineRule="auto"/>
              <w:jc w:val="right"/>
              <w:rPr>
                <w:rFonts w:ascii="Arial Narrow" w:hAnsi="Arial Narrow"/>
                <w:b/>
                <w:bCs/>
                <w:color w:val="FFFFFF"/>
                <w:sz w:val="16"/>
                <w:szCs w:val="16"/>
                <w:lang w:eastAsia="sl-SI"/>
              </w:rPr>
            </w:pPr>
            <w:r w:rsidRPr="00C50B45">
              <w:rPr>
                <w:rFonts w:ascii="Arial Narrow" w:hAnsi="Arial Narrow"/>
                <w:b/>
                <w:bCs/>
                <w:color w:val="FFFFFF"/>
                <w:sz w:val="16"/>
                <w:szCs w:val="16"/>
                <w:lang w:eastAsia="sl-SI"/>
              </w:rPr>
              <w:t>2012</w:t>
            </w:r>
          </w:p>
        </w:tc>
        <w:tc>
          <w:tcPr>
            <w:tcW w:w="895" w:type="dxa"/>
            <w:tcBorders>
              <w:top w:val="single" w:sz="8" w:space="0" w:color="9BBB59"/>
              <w:left w:val="nil"/>
              <w:bottom w:val="nil"/>
              <w:right w:val="nil"/>
            </w:tcBorders>
            <w:shd w:val="clear" w:color="000000" w:fill="9BBB59"/>
            <w:noWrap/>
            <w:vAlign w:val="center"/>
            <w:hideMark/>
          </w:tcPr>
          <w:p w:rsidR="00E74A2C" w:rsidRPr="00C50B45" w:rsidRDefault="00E74A2C" w:rsidP="0011748C">
            <w:pPr>
              <w:spacing w:after="0" w:line="240" w:lineRule="auto"/>
              <w:jc w:val="right"/>
              <w:rPr>
                <w:rFonts w:ascii="Arial Narrow" w:hAnsi="Arial Narrow"/>
                <w:b/>
                <w:bCs/>
                <w:color w:val="FFFFFF"/>
                <w:sz w:val="16"/>
                <w:szCs w:val="16"/>
                <w:lang w:eastAsia="sl-SI"/>
              </w:rPr>
            </w:pPr>
            <w:r w:rsidRPr="00C50B45">
              <w:rPr>
                <w:rFonts w:ascii="Arial Narrow" w:hAnsi="Arial Narrow"/>
                <w:b/>
                <w:bCs/>
                <w:color w:val="FFFFFF"/>
                <w:sz w:val="16"/>
                <w:szCs w:val="16"/>
                <w:lang w:eastAsia="sl-SI"/>
              </w:rPr>
              <w:t>2013</w:t>
            </w:r>
          </w:p>
        </w:tc>
        <w:tc>
          <w:tcPr>
            <w:tcW w:w="895" w:type="dxa"/>
            <w:tcBorders>
              <w:top w:val="single" w:sz="8" w:space="0" w:color="9BBB59"/>
              <w:left w:val="nil"/>
              <w:bottom w:val="nil"/>
              <w:right w:val="nil"/>
            </w:tcBorders>
            <w:shd w:val="clear" w:color="000000" w:fill="9BBB59"/>
            <w:noWrap/>
            <w:vAlign w:val="center"/>
            <w:hideMark/>
          </w:tcPr>
          <w:p w:rsidR="00E74A2C" w:rsidRPr="00C50B45" w:rsidRDefault="00E74A2C" w:rsidP="0011748C">
            <w:pPr>
              <w:spacing w:after="0" w:line="240" w:lineRule="auto"/>
              <w:jc w:val="right"/>
              <w:rPr>
                <w:rFonts w:ascii="Arial Narrow" w:hAnsi="Arial Narrow"/>
                <w:b/>
                <w:bCs/>
                <w:color w:val="FFFFFF"/>
                <w:sz w:val="16"/>
                <w:szCs w:val="16"/>
                <w:lang w:eastAsia="sl-SI"/>
              </w:rPr>
            </w:pPr>
            <w:r w:rsidRPr="00C50B45">
              <w:rPr>
                <w:rFonts w:ascii="Arial Narrow" w:hAnsi="Arial Narrow"/>
                <w:b/>
                <w:bCs/>
                <w:color w:val="FFFFFF"/>
                <w:sz w:val="16"/>
                <w:szCs w:val="16"/>
                <w:lang w:eastAsia="sl-SI"/>
              </w:rPr>
              <w:t>2014</w:t>
            </w:r>
          </w:p>
        </w:tc>
        <w:tc>
          <w:tcPr>
            <w:tcW w:w="895" w:type="dxa"/>
            <w:tcBorders>
              <w:top w:val="single" w:sz="8" w:space="0" w:color="9BBB59"/>
              <w:left w:val="nil"/>
              <w:bottom w:val="nil"/>
              <w:right w:val="single" w:sz="8" w:space="0" w:color="9BBB59"/>
            </w:tcBorders>
            <w:shd w:val="clear" w:color="000000" w:fill="9BBB59"/>
            <w:noWrap/>
            <w:vAlign w:val="center"/>
            <w:hideMark/>
          </w:tcPr>
          <w:p w:rsidR="00E74A2C" w:rsidRPr="00C50B45" w:rsidRDefault="00E74A2C" w:rsidP="0011748C">
            <w:pPr>
              <w:spacing w:after="0" w:line="240" w:lineRule="auto"/>
              <w:jc w:val="right"/>
              <w:rPr>
                <w:rFonts w:ascii="Arial Narrow" w:hAnsi="Arial Narrow"/>
                <w:b/>
                <w:bCs/>
                <w:color w:val="FFFFFF"/>
                <w:sz w:val="16"/>
                <w:szCs w:val="16"/>
                <w:lang w:eastAsia="sl-SI"/>
              </w:rPr>
            </w:pPr>
            <w:r w:rsidRPr="00C50B45">
              <w:rPr>
                <w:rFonts w:ascii="Arial Narrow" w:hAnsi="Arial Narrow"/>
                <w:b/>
                <w:bCs/>
                <w:color w:val="FFFFFF"/>
                <w:sz w:val="16"/>
                <w:szCs w:val="16"/>
                <w:lang w:eastAsia="sl-SI"/>
              </w:rPr>
              <w:t>2015</w:t>
            </w:r>
          </w:p>
        </w:tc>
      </w:tr>
      <w:tr w:rsidR="00E74A2C" w:rsidRPr="00C50B45" w:rsidTr="0011748C">
        <w:trPr>
          <w:trHeight w:val="300"/>
        </w:trPr>
        <w:tc>
          <w:tcPr>
            <w:tcW w:w="2276" w:type="dxa"/>
            <w:tcBorders>
              <w:top w:val="single" w:sz="8" w:space="0" w:color="9BBB59"/>
              <w:left w:val="single" w:sz="8" w:space="0" w:color="9BBB59"/>
              <w:bottom w:val="nil"/>
              <w:right w:val="nil"/>
            </w:tcBorders>
            <w:shd w:val="clear" w:color="auto" w:fill="9BBB59" w:themeFill="accent3"/>
            <w:noWrap/>
            <w:hideMark/>
          </w:tcPr>
          <w:p w:rsidR="00E74A2C" w:rsidRPr="00313D0D" w:rsidRDefault="00E74A2C" w:rsidP="0011748C">
            <w:pPr>
              <w:spacing w:after="0" w:line="240" w:lineRule="auto"/>
              <w:rPr>
                <w:rFonts w:ascii="Times New Roman" w:hAnsi="Times New Roman"/>
                <w:b/>
                <w:color w:val="FFFFFF" w:themeColor="background1"/>
                <w:szCs w:val="20"/>
                <w:lang w:eastAsia="sl-SI"/>
              </w:rPr>
            </w:pPr>
            <w:r w:rsidRPr="00313D0D">
              <w:rPr>
                <w:rFonts w:ascii="Times New Roman" w:hAnsi="Times New Roman"/>
                <w:b/>
                <w:color w:val="FFFFFF" w:themeColor="background1"/>
                <w:szCs w:val="20"/>
                <w:lang w:eastAsia="sl-SI"/>
              </w:rPr>
              <w:t> </w:t>
            </w:r>
          </w:p>
        </w:tc>
        <w:tc>
          <w:tcPr>
            <w:tcW w:w="895" w:type="dxa"/>
            <w:tcBorders>
              <w:top w:val="single" w:sz="8" w:space="0" w:color="9BBB59"/>
              <w:left w:val="nil"/>
              <w:bottom w:val="single" w:sz="8" w:space="0" w:color="9BBB59"/>
              <w:right w:val="nil"/>
            </w:tcBorders>
            <w:shd w:val="clear" w:color="auto" w:fill="9BBB59" w:themeFill="accent3"/>
            <w:noWrap/>
            <w:vAlign w:val="center"/>
            <w:hideMark/>
          </w:tcPr>
          <w:p w:rsidR="00E74A2C" w:rsidRPr="00313D0D" w:rsidRDefault="00E74A2C" w:rsidP="0011748C">
            <w:pPr>
              <w:spacing w:after="0" w:line="240" w:lineRule="auto"/>
              <w:jc w:val="right"/>
              <w:rPr>
                <w:rFonts w:ascii="Arial Narrow" w:hAnsi="Arial Narrow"/>
                <w:b/>
                <w:color w:val="FFFFFF" w:themeColor="background1"/>
                <w:sz w:val="16"/>
                <w:szCs w:val="16"/>
                <w:lang w:eastAsia="sl-SI"/>
              </w:rPr>
            </w:pPr>
            <w:r w:rsidRPr="00313D0D">
              <w:rPr>
                <w:rFonts w:ascii="Arial Narrow" w:hAnsi="Arial Narrow"/>
                <w:b/>
                <w:color w:val="FFFFFF" w:themeColor="background1"/>
                <w:sz w:val="16"/>
                <w:szCs w:val="16"/>
                <w:lang w:eastAsia="sl-SI"/>
              </w:rPr>
              <w:t>EUR</w:t>
            </w:r>
          </w:p>
        </w:tc>
        <w:tc>
          <w:tcPr>
            <w:tcW w:w="895" w:type="dxa"/>
            <w:tcBorders>
              <w:top w:val="single" w:sz="8" w:space="0" w:color="9BBB59"/>
              <w:left w:val="nil"/>
              <w:bottom w:val="single" w:sz="8" w:space="0" w:color="9BBB59"/>
              <w:right w:val="nil"/>
            </w:tcBorders>
            <w:shd w:val="clear" w:color="auto" w:fill="9BBB59" w:themeFill="accent3"/>
            <w:noWrap/>
            <w:vAlign w:val="center"/>
            <w:hideMark/>
          </w:tcPr>
          <w:p w:rsidR="00E74A2C" w:rsidRPr="00313D0D" w:rsidRDefault="00E74A2C" w:rsidP="0011748C">
            <w:pPr>
              <w:spacing w:after="0" w:line="240" w:lineRule="auto"/>
              <w:jc w:val="right"/>
              <w:rPr>
                <w:rFonts w:ascii="Arial Narrow" w:hAnsi="Arial Narrow"/>
                <w:b/>
                <w:color w:val="FFFFFF" w:themeColor="background1"/>
                <w:sz w:val="16"/>
                <w:szCs w:val="16"/>
                <w:lang w:eastAsia="sl-SI"/>
              </w:rPr>
            </w:pPr>
            <w:r w:rsidRPr="00313D0D">
              <w:rPr>
                <w:rFonts w:ascii="Arial Narrow" w:hAnsi="Arial Narrow"/>
                <w:b/>
                <w:color w:val="FFFFFF" w:themeColor="background1"/>
                <w:sz w:val="16"/>
                <w:szCs w:val="16"/>
                <w:lang w:eastAsia="sl-SI"/>
              </w:rPr>
              <w:t>EUR</w:t>
            </w:r>
          </w:p>
        </w:tc>
        <w:tc>
          <w:tcPr>
            <w:tcW w:w="895" w:type="dxa"/>
            <w:tcBorders>
              <w:top w:val="single" w:sz="8" w:space="0" w:color="9BBB59"/>
              <w:left w:val="nil"/>
              <w:bottom w:val="single" w:sz="8" w:space="0" w:color="9BBB59"/>
              <w:right w:val="nil"/>
            </w:tcBorders>
            <w:shd w:val="clear" w:color="auto" w:fill="9BBB59" w:themeFill="accent3"/>
            <w:noWrap/>
            <w:vAlign w:val="center"/>
            <w:hideMark/>
          </w:tcPr>
          <w:p w:rsidR="00E74A2C" w:rsidRPr="00313D0D" w:rsidRDefault="00E74A2C" w:rsidP="0011748C">
            <w:pPr>
              <w:spacing w:after="0" w:line="240" w:lineRule="auto"/>
              <w:jc w:val="right"/>
              <w:rPr>
                <w:rFonts w:ascii="Arial Narrow" w:hAnsi="Arial Narrow"/>
                <w:b/>
                <w:color w:val="FFFFFF" w:themeColor="background1"/>
                <w:sz w:val="16"/>
                <w:szCs w:val="16"/>
                <w:lang w:eastAsia="sl-SI"/>
              </w:rPr>
            </w:pPr>
            <w:r w:rsidRPr="00313D0D">
              <w:rPr>
                <w:rFonts w:ascii="Arial Narrow" w:hAnsi="Arial Narrow"/>
                <w:b/>
                <w:color w:val="FFFFFF" w:themeColor="background1"/>
                <w:sz w:val="16"/>
                <w:szCs w:val="16"/>
                <w:lang w:eastAsia="sl-SI"/>
              </w:rPr>
              <w:t>EUR</w:t>
            </w:r>
          </w:p>
        </w:tc>
        <w:tc>
          <w:tcPr>
            <w:tcW w:w="895" w:type="dxa"/>
            <w:tcBorders>
              <w:top w:val="single" w:sz="8" w:space="0" w:color="9BBB59"/>
              <w:left w:val="nil"/>
              <w:bottom w:val="single" w:sz="8" w:space="0" w:color="9BBB59"/>
              <w:right w:val="nil"/>
            </w:tcBorders>
            <w:shd w:val="clear" w:color="auto" w:fill="9BBB59" w:themeFill="accent3"/>
            <w:noWrap/>
            <w:vAlign w:val="center"/>
            <w:hideMark/>
          </w:tcPr>
          <w:p w:rsidR="00E74A2C" w:rsidRPr="00313D0D" w:rsidRDefault="00E74A2C" w:rsidP="0011748C">
            <w:pPr>
              <w:spacing w:after="0" w:line="240" w:lineRule="auto"/>
              <w:jc w:val="right"/>
              <w:rPr>
                <w:rFonts w:ascii="Arial Narrow" w:hAnsi="Arial Narrow"/>
                <w:b/>
                <w:color w:val="FFFFFF" w:themeColor="background1"/>
                <w:sz w:val="16"/>
                <w:szCs w:val="16"/>
                <w:lang w:eastAsia="sl-SI"/>
              </w:rPr>
            </w:pPr>
            <w:r w:rsidRPr="00313D0D">
              <w:rPr>
                <w:rFonts w:ascii="Arial Narrow" w:hAnsi="Arial Narrow"/>
                <w:b/>
                <w:color w:val="FFFFFF" w:themeColor="background1"/>
                <w:sz w:val="16"/>
                <w:szCs w:val="16"/>
                <w:lang w:eastAsia="sl-SI"/>
              </w:rPr>
              <w:t>EUR</w:t>
            </w:r>
          </w:p>
        </w:tc>
        <w:tc>
          <w:tcPr>
            <w:tcW w:w="895" w:type="dxa"/>
            <w:tcBorders>
              <w:top w:val="single" w:sz="8" w:space="0" w:color="9BBB59"/>
              <w:left w:val="nil"/>
              <w:bottom w:val="single" w:sz="8" w:space="0" w:color="9BBB59"/>
              <w:right w:val="nil"/>
            </w:tcBorders>
            <w:shd w:val="clear" w:color="auto" w:fill="9BBB59" w:themeFill="accent3"/>
            <w:noWrap/>
            <w:vAlign w:val="center"/>
            <w:hideMark/>
          </w:tcPr>
          <w:p w:rsidR="00E74A2C" w:rsidRPr="00313D0D" w:rsidRDefault="00E74A2C" w:rsidP="0011748C">
            <w:pPr>
              <w:spacing w:after="0" w:line="240" w:lineRule="auto"/>
              <w:jc w:val="right"/>
              <w:rPr>
                <w:rFonts w:ascii="Arial Narrow" w:hAnsi="Arial Narrow"/>
                <w:b/>
                <w:color w:val="FFFFFF" w:themeColor="background1"/>
                <w:sz w:val="16"/>
                <w:szCs w:val="16"/>
                <w:lang w:eastAsia="sl-SI"/>
              </w:rPr>
            </w:pPr>
            <w:r w:rsidRPr="00313D0D">
              <w:rPr>
                <w:rFonts w:ascii="Arial Narrow" w:hAnsi="Arial Narrow"/>
                <w:b/>
                <w:color w:val="FFFFFF" w:themeColor="background1"/>
                <w:sz w:val="16"/>
                <w:szCs w:val="16"/>
                <w:lang w:eastAsia="sl-SI"/>
              </w:rPr>
              <w:t>EUR</w:t>
            </w:r>
          </w:p>
        </w:tc>
        <w:tc>
          <w:tcPr>
            <w:tcW w:w="895" w:type="dxa"/>
            <w:tcBorders>
              <w:top w:val="single" w:sz="8" w:space="0" w:color="9BBB59"/>
              <w:left w:val="nil"/>
              <w:bottom w:val="single" w:sz="8" w:space="0" w:color="9BBB59"/>
              <w:right w:val="nil"/>
            </w:tcBorders>
            <w:shd w:val="clear" w:color="auto" w:fill="9BBB59" w:themeFill="accent3"/>
            <w:noWrap/>
            <w:vAlign w:val="center"/>
            <w:hideMark/>
          </w:tcPr>
          <w:p w:rsidR="00E74A2C" w:rsidRPr="00313D0D" w:rsidRDefault="00E74A2C" w:rsidP="0011748C">
            <w:pPr>
              <w:spacing w:after="0" w:line="240" w:lineRule="auto"/>
              <w:jc w:val="right"/>
              <w:rPr>
                <w:rFonts w:ascii="Arial Narrow" w:hAnsi="Arial Narrow"/>
                <w:b/>
                <w:color w:val="FFFFFF" w:themeColor="background1"/>
                <w:sz w:val="16"/>
                <w:szCs w:val="16"/>
                <w:lang w:eastAsia="sl-SI"/>
              </w:rPr>
            </w:pPr>
            <w:r w:rsidRPr="00313D0D">
              <w:rPr>
                <w:rFonts w:ascii="Arial Narrow" w:hAnsi="Arial Narrow"/>
                <w:b/>
                <w:color w:val="FFFFFF" w:themeColor="background1"/>
                <w:sz w:val="16"/>
                <w:szCs w:val="16"/>
                <w:lang w:eastAsia="sl-SI"/>
              </w:rPr>
              <w:t>EUR</w:t>
            </w:r>
          </w:p>
        </w:tc>
        <w:tc>
          <w:tcPr>
            <w:tcW w:w="895" w:type="dxa"/>
            <w:tcBorders>
              <w:top w:val="single" w:sz="8" w:space="0" w:color="9BBB59"/>
              <w:left w:val="nil"/>
              <w:bottom w:val="single" w:sz="8" w:space="0" w:color="9BBB59"/>
              <w:right w:val="nil"/>
            </w:tcBorders>
            <w:shd w:val="clear" w:color="auto" w:fill="9BBB59" w:themeFill="accent3"/>
            <w:noWrap/>
            <w:vAlign w:val="center"/>
            <w:hideMark/>
          </w:tcPr>
          <w:p w:rsidR="00E74A2C" w:rsidRPr="00313D0D" w:rsidRDefault="00E74A2C" w:rsidP="0011748C">
            <w:pPr>
              <w:spacing w:after="0" w:line="240" w:lineRule="auto"/>
              <w:jc w:val="right"/>
              <w:rPr>
                <w:rFonts w:ascii="Arial Narrow" w:hAnsi="Arial Narrow"/>
                <w:b/>
                <w:color w:val="FFFFFF" w:themeColor="background1"/>
                <w:sz w:val="16"/>
                <w:szCs w:val="16"/>
                <w:lang w:eastAsia="sl-SI"/>
              </w:rPr>
            </w:pPr>
            <w:r w:rsidRPr="00313D0D">
              <w:rPr>
                <w:rFonts w:ascii="Arial Narrow" w:hAnsi="Arial Narrow"/>
                <w:b/>
                <w:color w:val="FFFFFF" w:themeColor="background1"/>
                <w:sz w:val="16"/>
                <w:szCs w:val="16"/>
                <w:lang w:eastAsia="sl-SI"/>
              </w:rPr>
              <w:t>EUR</w:t>
            </w:r>
          </w:p>
        </w:tc>
        <w:tc>
          <w:tcPr>
            <w:tcW w:w="895" w:type="dxa"/>
            <w:tcBorders>
              <w:top w:val="single" w:sz="8" w:space="0" w:color="9BBB59"/>
              <w:left w:val="nil"/>
              <w:bottom w:val="single" w:sz="8" w:space="0" w:color="9BBB59"/>
              <w:right w:val="single" w:sz="8" w:space="0" w:color="9BBB59"/>
            </w:tcBorders>
            <w:shd w:val="clear" w:color="auto" w:fill="9BBB59" w:themeFill="accent3"/>
            <w:noWrap/>
            <w:vAlign w:val="center"/>
            <w:hideMark/>
          </w:tcPr>
          <w:p w:rsidR="00E74A2C" w:rsidRPr="00313D0D" w:rsidRDefault="00E74A2C" w:rsidP="0011748C">
            <w:pPr>
              <w:spacing w:after="0" w:line="240" w:lineRule="auto"/>
              <w:jc w:val="right"/>
              <w:rPr>
                <w:rFonts w:ascii="Arial Narrow" w:hAnsi="Arial Narrow"/>
                <w:b/>
                <w:color w:val="FFFFFF" w:themeColor="background1"/>
                <w:sz w:val="16"/>
                <w:szCs w:val="16"/>
                <w:lang w:eastAsia="sl-SI"/>
              </w:rPr>
            </w:pPr>
            <w:r w:rsidRPr="00313D0D">
              <w:rPr>
                <w:rFonts w:ascii="Arial Narrow" w:hAnsi="Arial Narrow"/>
                <w:b/>
                <w:color w:val="FFFFFF" w:themeColor="background1"/>
                <w:sz w:val="16"/>
                <w:szCs w:val="16"/>
                <w:lang w:eastAsia="sl-SI"/>
              </w:rPr>
              <w:t>EUR</w:t>
            </w:r>
          </w:p>
        </w:tc>
      </w:tr>
      <w:tr w:rsidR="00E74A2C" w:rsidRPr="00C50B45" w:rsidTr="000A3183">
        <w:trPr>
          <w:trHeight w:val="102"/>
        </w:trPr>
        <w:tc>
          <w:tcPr>
            <w:tcW w:w="2276" w:type="dxa"/>
            <w:tcBorders>
              <w:top w:val="single" w:sz="8" w:space="0" w:color="9BBB59"/>
              <w:left w:val="single" w:sz="8" w:space="0" w:color="9BBB59"/>
              <w:bottom w:val="single" w:sz="8" w:space="0" w:color="9BBB59"/>
              <w:right w:val="nil"/>
            </w:tcBorders>
            <w:shd w:val="clear" w:color="auto" w:fill="auto"/>
            <w:noWrap/>
            <w:vAlign w:val="center"/>
            <w:hideMark/>
          </w:tcPr>
          <w:p w:rsidR="00E74A2C" w:rsidRPr="00C50B45" w:rsidRDefault="00E74A2C" w:rsidP="0011748C">
            <w:pPr>
              <w:spacing w:after="0" w:line="240" w:lineRule="auto"/>
              <w:rPr>
                <w:rFonts w:ascii="Arial Narrow" w:hAnsi="Arial Narrow"/>
                <w:color w:val="000000"/>
                <w:sz w:val="16"/>
                <w:szCs w:val="16"/>
                <w:lang w:eastAsia="sl-SI"/>
              </w:rPr>
            </w:pPr>
            <w:r w:rsidRPr="00C50B45">
              <w:rPr>
                <w:rFonts w:ascii="Arial Narrow" w:hAnsi="Arial Narrow"/>
                <w:color w:val="000000"/>
                <w:sz w:val="16"/>
                <w:szCs w:val="16"/>
                <w:lang w:eastAsia="sl-SI"/>
              </w:rPr>
              <w:t>Ministrstvo za kulturo</w:t>
            </w:r>
          </w:p>
        </w:tc>
        <w:tc>
          <w:tcPr>
            <w:tcW w:w="895" w:type="dxa"/>
            <w:tcBorders>
              <w:top w:val="nil"/>
              <w:left w:val="nil"/>
              <w:bottom w:val="single" w:sz="8" w:space="0" w:color="9BBB59"/>
              <w:right w:val="nil"/>
            </w:tcBorders>
            <w:shd w:val="clear" w:color="auto" w:fill="auto"/>
            <w:noWrap/>
            <w:vAlign w:val="center"/>
            <w:hideMark/>
          </w:tcPr>
          <w:p w:rsidR="00E74A2C" w:rsidRPr="00C50B45" w:rsidRDefault="00E74A2C" w:rsidP="0011748C">
            <w:pPr>
              <w:spacing w:after="0" w:line="240" w:lineRule="auto"/>
              <w:jc w:val="right"/>
              <w:rPr>
                <w:rFonts w:ascii="Arial Narrow" w:hAnsi="Arial Narrow"/>
                <w:color w:val="000000"/>
                <w:sz w:val="16"/>
                <w:szCs w:val="16"/>
                <w:lang w:eastAsia="sl-SI"/>
              </w:rPr>
            </w:pPr>
            <w:r w:rsidRPr="00C50B45">
              <w:rPr>
                <w:rFonts w:ascii="Arial Narrow" w:hAnsi="Arial Narrow"/>
                <w:color w:val="000000"/>
                <w:sz w:val="16"/>
                <w:szCs w:val="16"/>
                <w:lang w:eastAsia="sl-SI"/>
              </w:rPr>
              <w:t>26.453.991</w:t>
            </w:r>
          </w:p>
        </w:tc>
        <w:tc>
          <w:tcPr>
            <w:tcW w:w="895" w:type="dxa"/>
            <w:tcBorders>
              <w:top w:val="nil"/>
              <w:left w:val="nil"/>
              <w:bottom w:val="single" w:sz="8" w:space="0" w:color="9BBB59"/>
              <w:right w:val="nil"/>
            </w:tcBorders>
            <w:shd w:val="clear" w:color="auto" w:fill="auto"/>
            <w:noWrap/>
            <w:vAlign w:val="center"/>
            <w:hideMark/>
          </w:tcPr>
          <w:p w:rsidR="00E74A2C" w:rsidRPr="00C50B45" w:rsidRDefault="00E74A2C" w:rsidP="0011748C">
            <w:pPr>
              <w:spacing w:after="0" w:line="240" w:lineRule="auto"/>
              <w:jc w:val="right"/>
              <w:rPr>
                <w:rFonts w:ascii="Arial Narrow" w:hAnsi="Arial Narrow"/>
                <w:color w:val="000000"/>
                <w:sz w:val="16"/>
                <w:szCs w:val="16"/>
                <w:lang w:eastAsia="sl-SI"/>
              </w:rPr>
            </w:pPr>
            <w:r w:rsidRPr="00C50B45">
              <w:rPr>
                <w:rFonts w:ascii="Arial Narrow" w:hAnsi="Arial Narrow"/>
                <w:color w:val="000000"/>
                <w:sz w:val="16"/>
                <w:szCs w:val="16"/>
                <w:lang w:eastAsia="sl-SI"/>
              </w:rPr>
              <w:t>28.677.807</w:t>
            </w:r>
          </w:p>
        </w:tc>
        <w:tc>
          <w:tcPr>
            <w:tcW w:w="895" w:type="dxa"/>
            <w:tcBorders>
              <w:top w:val="nil"/>
              <w:left w:val="nil"/>
              <w:bottom w:val="single" w:sz="8" w:space="0" w:color="9BBB59"/>
              <w:right w:val="nil"/>
            </w:tcBorders>
            <w:shd w:val="clear" w:color="auto" w:fill="auto"/>
            <w:noWrap/>
            <w:vAlign w:val="center"/>
            <w:hideMark/>
          </w:tcPr>
          <w:p w:rsidR="00E74A2C" w:rsidRPr="00C50B45" w:rsidRDefault="00E74A2C" w:rsidP="0011748C">
            <w:pPr>
              <w:spacing w:after="0" w:line="240" w:lineRule="auto"/>
              <w:jc w:val="right"/>
              <w:rPr>
                <w:rFonts w:ascii="Arial Narrow" w:hAnsi="Arial Narrow"/>
                <w:color w:val="000000"/>
                <w:sz w:val="16"/>
                <w:szCs w:val="16"/>
                <w:lang w:eastAsia="sl-SI"/>
              </w:rPr>
            </w:pPr>
            <w:r w:rsidRPr="00C50B45">
              <w:rPr>
                <w:rFonts w:ascii="Arial Narrow" w:hAnsi="Arial Narrow"/>
                <w:color w:val="000000"/>
                <w:sz w:val="16"/>
                <w:szCs w:val="16"/>
                <w:lang w:eastAsia="sl-SI"/>
              </w:rPr>
              <w:t>28.216.450</w:t>
            </w:r>
          </w:p>
        </w:tc>
        <w:tc>
          <w:tcPr>
            <w:tcW w:w="895" w:type="dxa"/>
            <w:tcBorders>
              <w:top w:val="nil"/>
              <w:left w:val="nil"/>
              <w:bottom w:val="single" w:sz="8" w:space="0" w:color="9BBB59"/>
              <w:right w:val="nil"/>
            </w:tcBorders>
            <w:shd w:val="clear" w:color="auto" w:fill="auto"/>
            <w:noWrap/>
            <w:vAlign w:val="center"/>
            <w:hideMark/>
          </w:tcPr>
          <w:p w:rsidR="00E74A2C" w:rsidRPr="00C50B45" w:rsidRDefault="00E74A2C" w:rsidP="0011748C">
            <w:pPr>
              <w:spacing w:after="0" w:line="240" w:lineRule="auto"/>
              <w:jc w:val="right"/>
              <w:rPr>
                <w:rFonts w:ascii="Arial Narrow" w:hAnsi="Arial Narrow"/>
                <w:color w:val="000000"/>
                <w:sz w:val="16"/>
                <w:szCs w:val="16"/>
                <w:lang w:eastAsia="sl-SI"/>
              </w:rPr>
            </w:pPr>
            <w:r w:rsidRPr="00C50B45">
              <w:rPr>
                <w:rFonts w:ascii="Arial Narrow" w:hAnsi="Arial Narrow"/>
                <w:color w:val="000000"/>
                <w:sz w:val="16"/>
                <w:szCs w:val="16"/>
                <w:lang w:eastAsia="sl-SI"/>
              </w:rPr>
              <w:t>28.663.996</w:t>
            </w:r>
          </w:p>
        </w:tc>
        <w:tc>
          <w:tcPr>
            <w:tcW w:w="895" w:type="dxa"/>
            <w:tcBorders>
              <w:top w:val="nil"/>
              <w:left w:val="nil"/>
              <w:bottom w:val="single" w:sz="8" w:space="0" w:color="9BBB59"/>
              <w:right w:val="nil"/>
            </w:tcBorders>
            <w:shd w:val="clear" w:color="auto" w:fill="auto"/>
            <w:noWrap/>
            <w:vAlign w:val="center"/>
            <w:hideMark/>
          </w:tcPr>
          <w:p w:rsidR="00E74A2C" w:rsidRPr="00C50B45" w:rsidRDefault="00E74A2C" w:rsidP="0011748C">
            <w:pPr>
              <w:spacing w:after="0" w:line="240" w:lineRule="auto"/>
              <w:jc w:val="right"/>
              <w:rPr>
                <w:rFonts w:ascii="Arial Narrow" w:hAnsi="Arial Narrow"/>
                <w:color w:val="000000"/>
                <w:sz w:val="16"/>
                <w:szCs w:val="16"/>
                <w:lang w:eastAsia="sl-SI"/>
              </w:rPr>
            </w:pPr>
            <w:r w:rsidRPr="00C50B45">
              <w:rPr>
                <w:rFonts w:ascii="Arial Narrow" w:hAnsi="Arial Narrow"/>
                <w:color w:val="000000"/>
                <w:sz w:val="16"/>
                <w:szCs w:val="16"/>
                <w:lang w:eastAsia="sl-SI"/>
              </w:rPr>
              <w:t>27.313.456</w:t>
            </w:r>
          </w:p>
        </w:tc>
        <w:tc>
          <w:tcPr>
            <w:tcW w:w="895" w:type="dxa"/>
            <w:tcBorders>
              <w:top w:val="nil"/>
              <w:left w:val="nil"/>
              <w:bottom w:val="single" w:sz="8" w:space="0" w:color="9BBB59"/>
              <w:right w:val="nil"/>
            </w:tcBorders>
            <w:shd w:val="clear" w:color="auto" w:fill="auto"/>
            <w:noWrap/>
            <w:vAlign w:val="center"/>
            <w:hideMark/>
          </w:tcPr>
          <w:p w:rsidR="00E74A2C" w:rsidRPr="00C50B45" w:rsidRDefault="00E74A2C" w:rsidP="0011748C">
            <w:pPr>
              <w:spacing w:after="0" w:line="240" w:lineRule="auto"/>
              <w:jc w:val="right"/>
              <w:rPr>
                <w:rFonts w:ascii="Arial Narrow" w:hAnsi="Arial Narrow"/>
                <w:color w:val="000000"/>
                <w:sz w:val="16"/>
                <w:szCs w:val="16"/>
                <w:lang w:eastAsia="sl-SI"/>
              </w:rPr>
            </w:pPr>
            <w:r w:rsidRPr="00C50B45">
              <w:rPr>
                <w:rFonts w:ascii="Arial Narrow" w:hAnsi="Arial Narrow"/>
                <w:color w:val="000000"/>
                <w:sz w:val="16"/>
                <w:szCs w:val="16"/>
                <w:lang w:eastAsia="sl-SI"/>
              </w:rPr>
              <w:t>25.630.216</w:t>
            </w:r>
          </w:p>
        </w:tc>
        <w:tc>
          <w:tcPr>
            <w:tcW w:w="895" w:type="dxa"/>
            <w:tcBorders>
              <w:top w:val="nil"/>
              <w:left w:val="nil"/>
              <w:bottom w:val="single" w:sz="8" w:space="0" w:color="9BBB59"/>
              <w:right w:val="nil"/>
            </w:tcBorders>
            <w:shd w:val="clear" w:color="auto" w:fill="auto"/>
            <w:noWrap/>
            <w:vAlign w:val="center"/>
            <w:hideMark/>
          </w:tcPr>
          <w:p w:rsidR="00E74A2C" w:rsidRPr="00C50B45" w:rsidRDefault="00E74A2C" w:rsidP="0011748C">
            <w:pPr>
              <w:spacing w:after="0" w:line="240" w:lineRule="auto"/>
              <w:jc w:val="right"/>
              <w:rPr>
                <w:rFonts w:ascii="Arial Narrow" w:hAnsi="Arial Narrow"/>
                <w:color w:val="000000"/>
                <w:sz w:val="16"/>
                <w:szCs w:val="16"/>
                <w:lang w:eastAsia="sl-SI"/>
              </w:rPr>
            </w:pPr>
            <w:r w:rsidRPr="00C50B45">
              <w:rPr>
                <w:rFonts w:ascii="Arial Narrow" w:hAnsi="Arial Narrow"/>
                <w:color w:val="000000"/>
                <w:sz w:val="16"/>
                <w:szCs w:val="16"/>
                <w:lang w:eastAsia="sl-SI"/>
              </w:rPr>
              <w:t>24.772.397</w:t>
            </w:r>
          </w:p>
        </w:tc>
        <w:tc>
          <w:tcPr>
            <w:tcW w:w="895" w:type="dxa"/>
            <w:tcBorders>
              <w:top w:val="nil"/>
              <w:left w:val="nil"/>
              <w:bottom w:val="single" w:sz="8" w:space="0" w:color="9BBB59"/>
              <w:right w:val="single" w:sz="8" w:space="0" w:color="9BBB59"/>
            </w:tcBorders>
            <w:shd w:val="clear" w:color="auto" w:fill="auto"/>
            <w:noWrap/>
            <w:vAlign w:val="center"/>
            <w:hideMark/>
          </w:tcPr>
          <w:p w:rsidR="00E74A2C" w:rsidRPr="00C50B45" w:rsidRDefault="00E74A2C" w:rsidP="0011748C">
            <w:pPr>
              <w:spacing w:after="0" w:line="240" w:lineRule="auto"/>
              <w:jc w:val="right"/>
              <w:rPr>
                <w:rFonts w:ascii="Arial Narrow" w:hAnsi="Arial Narrow"/>
                <w:color w:val="000000"/>
                <w:sz w:val="16"/>
                <w:szCs w:val="16"/>
                <w:lang w:eastAsia="sl-SI"/>
              </w:rPr>
            </w:pPr>
            <w:r w:rsidRPr="00C50B45">
              <w:rPr>
                <w:rFonts w:ascii="Arial Narrow" w:hAnsi="Arial Narrow"/>
                <w:color w:val="000000"/>
                <w:sz w:val="16"/>
                <w:szCs w:val="16"/>
                <w:lang w:eastAsia="sl-SI"/>
              </w:rPr>
              <w:t>24.875.814</w:t>
            </w:r>
          </w:p>
        </w:tc>
      </w:tr>
      <w:tr w:rsidR="00E74A2C" w:rsidRPr="00C50B45" w:rsidTr="000A3183">
        <w:trPr>
          <w:trHeight w:val="102"/>
        </w:trPr>
        <w:tc>
          <w:tcPr>
            <w:tcW w:w="2276" w:type="dxa"/>
            <w:tcBorders>
              <w:top w:val="nil"/>
              <w:left w:val="single" w:sz="8" w:space="0" w:color="9BBB59"/>
              <w:bottom w:val="nil"/>
              <w:right w:val="nil"/>
            </w:tcBorders>
            <w:shd w:val="clear" w:color="auto" w:fill="auto"/>
            <w:noWrap/>
            <w:vAlign w:val="center"/>
            <w:hideMark/>
          </w:tcPr>
          <w:p w:rsidR="00E74A2C" w:rsidRPr="00C50B45" w:rsidRDefault="00E74A2C" w:rsidP="0011748C">
            <w:pPr>
              <w:spacing w:after="0" w:line="240" w:lineRule="auto"/>
              <w:rPr>
                <w:rFonts w:ascii="Arial Narrow" w:hAnsi="Arial Narrow"/>
                <w:color w:val="000000"/>
                <w:sz w:val="16"/>
                <w:szCs w:val="16"/>
                <w:lang w:eastAsia="sl-SI"/>
              </w:rPr>
            </w:pPr>
            <w:r w:rsidRPr="00C50B45">
              <w:rPr>
                <w:rFonts w:ascii="Arial Narrow" w:hAnsi="Arial Narrow"/>
                <w:color w:val="000000"/>
                <w:sz w:val="16"/>
                <w:szCs w:val="16"/>
                <w:lang w:eastAsia="sl-SI"/>
              </w:rPr>
              <w:t>Lokalne skupnosti</w:t>
            </w:r>
          </w:p>
        </w:tc>
        <w:tc>
          <w:tcPr>
            <w:tcW w:w="895" w:type="dxa"/>
            <w:tcBorders>
              <w:top w:val="nil"/>
              <w:left w:val="nil"/>
              <w:bottom w:val="nil"/>
              <w:right w:val="nil"/>
            </w:tcBorders>
            <w:shd w:val="clear" w:color="auto" w:fill="auto"/>
            <w:noWrap/>
            <w:vAlign w:val="center"/>
            <w:hideMark/>
          </w:tcPr>
          <w:p w:rsidR="00E74A2C" w:rsidRPr="00C50B45" w:rsidRDefault="00E74A2C" w:rsidP="0011748C">
            <w:pPr>
              <w:spacing w:after="0" w:line="240" w:lineRule="auto"/>
              <w:jc w:val="right"/>
              <w:rPr>
                <w:rFonts w:ascii="Arial Narrow" w:hAnsi="Arial Narrow"/>
                <w:color w:val="000000"/>
                <w:sz w:val="16"/>
                <w:szCs w:val="16"/>
                <w:lang w:eastAsia="sl-SI"/>
              </w:rPr>
            </w:pPr>
            <w:r w:rsidRPr="00C50B45">
              <w:rPr>
                <w:rFonts w:ascii="Arial Narrow" w:hAnsi="Arial Narrow"/>
                <w:color w:val="000000"/>
                <w:sz w:val="16"/>
                <w:szCs w:val="16"/>
                <w:lang w:eastAsia="sl-SI"/>
              </w:rPr>
              <w:t>6.442.590</w:t>
            </w:r>
          </w:p>
        </w:tc>
        <w:tc>
          <w:tcPr>
            <w:tcW w:w="895" w:type="dxa"/>
            <w:tcBorders>
              <w:top w:val="nil"/>
              <w:left w:val="nil"/>
              <w:bottom w:val="nil"/>
              <w:right w:val="nil"/>
            </w:tcBorders>
            <w:shd w:val="clear" w:color="auto" w:fill="auto"/>
            <w:noWrap/>
            <w:vAlign w:val="center"/>
            <w:hideMark/>
          </w:tcPr>
          <w:p w:rsidR="00E74A2C" w:rsidRPr="00C50B45" w:rsidRDefault="00E74A2C" w:rsidP="0011748C">
            <w:pPr>
              <w:spacing w:after="0" w:line="240" w:lineRule="auto"/>
              <w:jc w:val="right"/>
              <w:rPr>
                <w:rFonts w:ascii="Arial Narrow" w:hAnsi="Arial Narrow"/>
                <w:color w:val="000000"/>
                <w:sz w:val="16"/>
                <w:szCs w:val="16"/>
                <w:lang w:eastAsia="sl-SI"/>
              </w:rPr>
            </w:pPr>
            <w:r w:rsidRPr="00C50B45">
              <w:rPr>
                <w:rFonts w:ascii="Arial Narrow" w:hAnsi="Arial Narrow"/>
                <w:color w:val="000000"/>
                <w:sz w:val="16"/>
                <w:szCs w:val="16"/>
                <w:lang w:eastAsia="sl-SI"/>
              </w:rPr>
              <w:t>8.688.483</w:t>
            </w:r>
          </w:p>
        </w:tc>
        <w:tc>
          <w:tcPr>
            <w:tcW w:w="895" w:type="dxa"/>
            <w:tcBorders>
              <w:top w:val="nil"/>
              <w:left w:val="nil"/>
              <w:bottom w:val="nil"/>
              <w:right w:val="nil"/>
            </w:tcBorders>
            <w:shd w:val="clear" w:color="auto" w:fill="auto"/>
            <w:noWrap/>
            <w:vAlign w:val="center"/>
            <w:hideMark/>
          </w:tcPr>
          <w:p w:rsidR="00E74A2C" w:rsidRPr="00C50B45" w:rsidRDefault="00E74A2C" w:rsidP="0011748C">
            <w:pPr>
              <w:spacing w:after="0" w:line="240" w:lineRule="auto"/>
              <w:jc w:val="right"/>
              <w:rPr>
                <w:rFonts w:ascii="Arial Narrow" w:hAnsi="Arial Narrow"/>
                <w:color w:val="000000"/>
                <w:sz w:val="16"/>
                <w:szCs w:val="16"/>
                <w:lang w:eastAsia="sl-SI"/>
              </w:rPr>
            </w:pPr>
            <w:r w:rsidRPr="00C50B45">
              <w:rPr>
                <w:rFonts w:ascii="Arial Narrow" w:hAnsi="Arial Narrow"/>
                <w:color w:val="000000"/>
                <w:sz w:val="16"/>
                <w:szCs w:val="16"/>
                <w:lang w:eastAsia="sl-SI"/>
              </w:rPr>
              <w:t>9.057.137</w:t>
            </w:r>
          </w:p>
        </w:tc>
        <w:tc>
          <w:tcPr>
            <w:tcW w:w="895" w:type="dxa"/>
            <w:tcBorders>
              <w:top w:val="nil"/>
              <w:left w:val="nil"/>
              <w:bottom w:val="nil"/>
              <w:right w:val="nil"/>
            </w:tcBorders>
            <w:shd w:val="clear" w:color="auto" w:fill="auto"/>
            <w:noWrap/>
            <w:vAlign w:val="center"/>
            <w:hideMark/>
          </w:tcPr>
          <w:p w:rsidR="00E74A2C" w:rsidRPr="00C50B45" w:rsidRDefault="00E74A2C" w:rsidP="0011748C">
            <w:pPr>
              <w:spacing w:after="0" w:line="240" w:lineRule="auto"/>
              <w:jc w:val="right"/>
              <w:rPr>
                <w:rFonts w:ascii="Arial Narrow" w:hAnsi="Arial Narrow"/>
                <w:color w:val="000000"/>
                <w:sz w:val="16"/>
                <w:szCs w:val="16"/>
                <w:lang w:eastAsia="sl-SI"/>
              </w:rPr>
            </w:pPr>
            <w:r w:rsidRPr="00C50B45">
              <w:rPr>
                <w:rFonts w:ascii="Arial Narrow" w:hAnsi="Arial Narrow"/>
                <w:color w:val="000000"/>
                <w:sz w:val="16"/>
                <w:szCs w:val="16"/>
                <w:lang w:eastAsia="sl-SI"/>
              </w:rPr>
              <w:t>9.036.647</w:t>
            </w:r>
          </w:p>
        </w:tc>
        <w:tc>
          <w:tcPr>
            <w:tcW w:w="895" w:type="dxa"/>
            <w:tcBorders>
              <w:top w:val="nil"/>
              <w:left w:val="nil"/>
              <w:bottom w:val="nil"/>
              <w:right w:val="nil"/>
            </w:tcBorders>
            <w:shd w:val="clear" w:color="auto" w:fill="auto"/>
            <w:noWrap/>
            <w:vAlign w:val="center"/>
            <w:hideMark/>
          </w:tcPr>
          <w:p w:rsidR="00E74A2C" w:rsidRPr="00C50B45" w:rsidRDefault="00E74A2C" w:rsidP="0011748C">
            <w:pPr>
              <w:spacing w:after="0" w:line="240" w:lineRule="auto"/>
              <w:jc w:val="right"/>
              <w:rPr>
                <w:rFonts w:ascii="Arial Narrow" w:hAnsi="Arial Narrow"/>
                <w:color w:val="000000"/>
                <w:sz w:val="16"/>
                <w:szCs w:val="16"/>
                <w:lang w:eastAsia="sl-SI"/>
              </w:rPr>
            </w:pPr>
            <w:r w:rsidRPr="00C50B45">
              <w:rPr>
                <w:rFonts w:ascii="Arial Narrow" w:hAnsi="Arial Narrow"/>
                <w:color w:val="000000"/>
                <w:sz w:val="16"/>
                <w:szCs w:val="16"/>
                <w:lang w:eastAsia="sl-SI"/>
              </w:rPr>
              <w:t>10.775.317</w:t>
            </w:r>
          </w:p>
        </w:tc>
        <w:tc>
          <w:tcPr>
            <w:tcW w:w="895" w:type="dxa"/>
            <w:tcBorders>
              <w:top w:val="nil"/>
              <w:left w:val="nil"/>
              <w:bottom w:val="nil"/>
              <w:right w:val="nil"/>
            </w:tcBorders>
            <w:shd w:val="clear" w:color="auto" w:fill="auto"/>
            <w:noWrap/>
            <w:vAlign w:val="center"/>
            <w:hideMark/>
          </w:tcPr>
          <w:p w:rsidR="00E74A2C" w:rsidRPr="00C50B45" w:rsidRDefault="00E74A2C" w:rsidP="0011748C">
            <w:pPr>
              <w:spacing w:after="0" w:line="240" w:lineRule="auto"/>
              <w:jc w:val="right"/>
              <w:rPr>
                <w:rFonts w:ascii="Arial Narrow" w:hAnsi="Arial Narrow"/>
                <w:color w:val="000000"/>
                <w:sz w:val="16"/>
                <w:szCs w:val="16"/>
                <w:lang w:eastAsia="sl-SI"/>
              </w:rPr>
            </w:pPr>
            <w:r w:rsidRPr="00C50B45">
              <w:rPr>
                <w:rFonts w:ascii="Arial Narrow" w:hAnsi="Arial Narrow"/>
                <w:color w:val="000000"/>
                <w:sz w:val="16"/>
                <w:szCs w:val="16"/>
                <w:lang w:eastAsia="sl-SI"/>
              </w:rPr>
              <w:t>9.756.918</w:t>
            </w:r>
          </w:p>
        </w:tc>
        <w:tc>
          <w:tcPr>
            <w:tcW w:w="895" w:type="dxa"/>
            <w:tcBorders>
              <w:top w:val="nil"/>
              <w:left w:val="nil"/>
              <w:bottom w:val="nil"/>
              <w:right w:val="nil"/>
            </w:tcBorders>
            <w:shd w:val="clear" w:color="auto" w:fill="auto"/>
            <w:noWrap/>
            <w:vAlign w:val="center"/>
            <w:hideMark/>
          </w:tcPr>
          <w:p w:rsidR="00E74A2C" w:rsidRPr="00C50B45" w:rsidRDefault="00E74A2C" w:rsidP="0011748C">
            <w:pPr>
              <w:spacing w:after="0" w:line="240" w:lineRule="auto"/>
              <w:jc w:val="right"/>
              <w:rPr>
                <w:rFonts w:ascii="Arial Narrow" w:hAnsi="Arial Narrow"/>
                <w:color w:val="000000"/>
                <w:sz w:val="16"/>
                <w:szCs w:val="16"/>
                <w:lang w:eastAsia="sl-SI"/>
              </w:rPr>
            </w:pPr>
            <w:r w:rsidRPr="00C50B45">
              <w:rPr>
                <w:rFonts w:ascii="Arial Narrow" w:hAnsi="Arial Narrow"/>
                <w:color w:val="000000"/>
                <w:sz w:val="16"/>
                <w:szCs w:val="16"/>
                <w:lang w:eastAsia="sl-SI"/>
              </w:rPr>
              <w:t>7.259.126</w:t>
            </w:r>
          </w:p>
        </w:tc>
        <w:tc>
          <w:tcPr>
            <w:tcW w:w="895" w:type="dxa"/>
            <w:tcBorders>
              <w:top w:val="nil"/>
              <w:left w:val="nil"/>
              <w:bottom w:val="nil"/>
              <w:right w:val="single" w:sz="8" w:space="0" w:color="9BBB59"/>
            </w:tcBorders>
            <w:shd w:val="clear" w:color="auto" w:fill="auto"/>
            <w:noWrap/>
            <w:vAlign w:val="center"/>
            <w:hideMark/>
          </w:tcPr>
          <w:p w:rsidR="00E74A2C" w:rsidRPr="00C50B45" w:rsidRDefault="00E74A2C" w:rsidP="0011748C">
            <w:pPr>
              <w:spacing w:after="0" w:line="240" w:lineRule="auto"/>
              <w:jc w:val="right"/>
              <w:rPr>
                <w:rFonts w:ascii="Arial Narrow" w:hAnsi="Arial Narrow"/>
                <w:color w:val="000000"/>
                <w:sz w:val="16"/>
                <w:szCs w:val="16"/>
                <w:lang w:eastAsia="sl-SI"/>
              </w:rPr>
            </w:pPr>
            <w:r w:rsidRPr="00C50B45">
              <w:rPr>
                <w:rFonts w:ascii="Arial Narrow" w:hAnsi="Arial Narrow"/>
                <w:color w:val="000000"/>
                <w:sz w:val="16"/>
                <w:szCs w:val="16"/>
                <w:lang w:eastAsia="sl-SI"/>
              </w:rPr>
              <w:t>10.457.630</w:t>
            </w:r>
          </w:p>
        </w:tc>
      </w:tr>
      <w:tr w:rsidR="00E74A2C" w:rsidRPr="00C50B45" w:rsidTr="000A3183">
        <w:trPr>
          <w:trHeight w:val="102"/>
        </w:trPr>
        <w:tc>
          <w:tcPr>
            <w:tcW w:w="2276" w:type="dxa"/>
            <w:tcBorders>
              <w:top w:val="single" w:sz="8" w:space="0" w:color="9BBB59"/>
              <w:left w:val="single" w:sz="8" w:space="0" w:color="9BBB59"/>
              <w:bottom w:val="single" w:sz="8" w:space="0" w:color="9BBB59"/>
              <w:right w:val="nil"/>
            </w:tcBorders>
            <w:shd w:val="clear" w:color="auto" w:fill="auto"/>
            <w:noWrap/>
            <w:vAlign w:val="center"/>
            <w:hideMark/>
          </w:tcPr>
          <w:p w:rsidR="00E74A2C" w:rsidRPr="00C50B45" w:rsidRDefault="00E74A2C" w:rsidP="0011748C">
            <w:pPr>
              <w:spacing w:after="0" w:line="240" w:lineRule="auto"/>
              <w:rPr>
                <w:rFonts w:ascii="Arial Narrow" w:hAnsi="Arial Narrow"/>
                <w:color w:val="000000"/>
                <w:sz w:val="16"/>
                <w:szCs w:val="16"/>
                <w:lang w:eastAsia="sl-SI"/>
              </w:rPr>
            </w:pPr>
            <w:r w:rsidRPr="00C50B45">
              <w:rPr>
                <w:rFonts w:ascii="Arial Narrow" w:hAnsi="Arial Narrow"/>
                <w:color w:val="000000"/>
                <w:sz w:val="16"/>
                <w:szCs w:val="16"/>
                <w:lang w:eastAsia="sl-SI"/>
              </w:rPr>
              <w:t>Drugi prihodki javnih financ</w:t>
            </w:r>
          </w:p>
        </w:tc>
        <w:tc>
          <w:tcPr>
            <w:tcW w:w="895" w:type="dxa"/>
            <w:tcBorders>
              <w:top w:val="single" w:sz="8" w:space="0" w:color="9BBB59"/>
              <w:left w:val="nil"/>
              <w:bottom w:val="single" w:sz="8" w:space="0" w:color="9BBB59"/>
              <w:right w:val="nil"/>
            </w:tcBorders>
            <w:shd w:val="clear" w:color="auto" w:fill="auto"/>
            <w:noWrap/>
            <w:vAlign w:val="center"/>
            <w:hideMark/>
          </w:tcPr>
          <w:p w:rsidR="00E74A2C" w:rsidRPr="00C50B45" w:rsidRDefault="00E74A2C" w:rsidP="0011748C">
            <w:pPr>
              <w:spacing w:after="0" w:line="240" w:lineRule="auto"/>
              <w:jc w:val="right"/>
              <w:rPr>
                <w:rFonts w:ascii="Arial Narrow" w:hAnsi="Arial Narrow"/>
                <w:color w:val="000000"/>
                <w:sz w:val="16"/>
                <w:szCs w:val="16"/>
                <w:lang w:eastAsia="sl-SI"/>
              </w:rPr>
            </w:pPr>
            <w:r w:rsidRPr="00C50B45">
              <w:rPr>
                <w:rFonts w:ascii="Arial Narrow" w:hAnsi="Arial Narrow"/>
                <w:color w:val="000000"/>
                <w:sz w:val="16"/>
                <w:szCs w:val="16"/>
                <w:lang w:eastAsia="sl-SI"/>
              </w:rPr>
              <w:t>517.667</w:t>
            </w:r>
          </w:p>
        </w:tc>
        <w:tc>
          <w:tcPr>
            <w:tcW w:w="895" w:type="dxa"/>
            <w:tcBorders>
              <w:top w:val="single" w:sz="8" w:space="0" w:color="9BBB59"/>
              <w:left w:val="nil"/>
              <w:bottom w:val="single" w:sz="8" w:space="0" w:color="9BBB59"/>
              <w:right w:val="nil"/>
            </w:tcBorders>
            <w:shd w:val="clear" w:color="auto" w:fill="auto"/>
            <w:noWrap/>
            <w:vAlign w:val="center"/>
            <w:hideMark/>
          </w:tcPr>
          <w:p w:rsidR="00E74A2C" w:rsidRPr="00C50B45" w:rsidRDefault="00E74A2C" w:rsidP="0011748C">
            <w:pPr>
              <w:spacing w:after="0" w:line="240" w:lineRule="auto"/>
              <w:jc w:val="right"/>
              <w:rPr>
                <w:rFonts w:ascii="Arial Narrow" w:hAnsi="Arial Narrow"/>
                <w:color w:val="000000"/>
                <w:sz w:val="16"/>
                <w:szCs w:val="16"/>
                <w:lang w:eastAsia="sl-SI"/>
              </w:rPr>
            </w:pPr>
            <w:r w:rsidRPr="00C50B45">
              <w:rPr>
                <w:rFonts w:ascii="Arial Narrow" w:hAnsi="Arial Narrow"/>
                <w:color w:val="000000"/>
                <w:sz w:val="16"/>
                <w:szCs w:val="16"/>
                <w:lang w:eastAsia="sl-SI"/>
              </w:rPr>
              <w:t>446.069</w:t>
            </w:r>
          </w:p>
        </w:tc>
        <w:tc>
          <w:tcPr>
            <w:tcW w:w="895" w:type="dxa"/>
            <w:tcBorders>
              <w:top w:val="single" w:sz="8" w:space="0" w:color="9BBB59"/>
              <w:left w:val="nil"/>
              <w:bottom w:val="single" w:sz="8" w:space="0" w:color="9BBB59"/>
              <w:right w:val="nil"/>
            </w:tcBorders>
            <w:shd w:val="clear" w:color="auto" w:fill="auto"/>
            <w:noWrap/>
            <w:vAlign w:val="center"/>
            <w:hideMark/>
          </w:tcPr>
          <w:p w:rsidR="00E74A2C" w:rsidRPr="00C50B45" w:rsidRDefault="00E74A2C" w:rsidP="0011748C">
            <w:pPr>
              <w:spacing w:after="0" w:line="240" w:lineRule="auto"/>
              <w:jc w:val="right"/>
              <w:rPr>
                <w:rFonts w:ascii="Arial Narrow" w:hAnsi="Arial Narrow"/>
                <w:color w:val="000000"/>
                <w:sz w:val="16"/>
                <w:szCs w:val="16"/>
                <w:lang w:eastAsia="sl-SI"/>
              </w:rPr>
            </w:pPr>
            <w:r w:rsidRPr="00C50B45">
              <w:rPr>
                <w:rFonts w:ascii="Arial Narrow" w:hAnsi="Arial Narrow"/>
                <w:color w:val="000000"/>
                <w:sz w:val="16"/>
                <w:szCs w:val="16"/>
                <w:lang w:eastAsia="sl-SI"/>
              </w:rPr>
              <w:t>1.025.138</w:t>
            </w:r>
          </w:p>
        </w:tc>
        <w:tc>
          <w:tcPr>
            <w:tcW w:w="895" w:type="dxa"/>
            <w:tcBorders>
              <w:top w:val="single" w:sz="8" w:space="0" w:color="9BBB59"/>
              <w:left w:val="nil"/>
              <w:bottom w:val="single" w:sz="8" w:space="0" w:color="9BBB59"/>
              <w:right w:val="nil"/>
            </w:tcBorders>
            <w:shd w:val="clear" w:color="auto" w:fill="auto"/>
            <w:noWrap/>
            <w:vAlign w:val="center"/>
            <w:hideMark/>
          </w:tcPr>
          <w:p w:rsidR="00E74A2C" w:rsidRPr="00C50B45" w:rsidRDefault="00E74A2C" w:rsidP="0011748C">
            <w:pPr>
              <w:spacing w:after="0" w:line="240" w:lineRule="auto"/>
              <w:jc w:val="right"/>
              <w:rPr>
                <w:rFonts w:ascii="Arial Narrow" w:hAnsi="Arial Narrow"/>
                <w:color w:val="000000"/>
                <w:sz w:val="16"/>
                <w:szCs w:val="16"/>
                <w:lang w:eastAsia="sl-SI"/>
              </w:rPr>
            </w:pPr>
            <w:r w:rsidRPr="00C50B45">
              <w:rPr>
                <w:rFonts w:ascii="Arial Narrow" w:hAnsi="Arial Narrow"/>
                <w:color w:val="000000"/>
                <w:sz w:val="16"/>
                <w:szCs w:val="16"/>
                <w:lang w:eastAsia="sl-SI"/>
              </w:rPr>
              <w:t>760.248</w:t>
            </w:r>
          </w:p>
        </w:tc>
        <w:tc>
          <w:tcPr>
            <w:tcW w:w="895" w:type="dxa"/>
            <w:tcBorders>
              <w:top w:val="single" w:sz="8" w:space="0" w:color="9BBB59"/>
              <w:left w:val="nil"/>
              <w:bottom w:val="single" w:sz="8" w:space="0" w:color="9BBB59"/>
              <w:right w:val="nil"/>
            </w:tcBorders>
            <w:shd w:val="clear" w:color="auto" w:fill="auto"/>
            <w:noWrap/>
            <w:vAlign w:val="center"/>
            <w:hideMark/>
          </w:tcPr>
          <w:p w:rsidR="00E74A2C" w:rsidRPr="00C50B45" w:rsidRDefault="00E74A2C" w:rsidP="0011748C">
            <w:pPr>
              <w:spacing w:after="0" w:line="240" w:lineRule="auto"/>
              <w:jc w:val="right"/>
              <w:rPr>
                <w:rFonts w:ascii="Arial Narrow" w:hAnsi="Arial Narrow"/>
                <w:color w:val="000000"/>
                <w:sz w:val="16"/>
                <w:szCs w:val="16"/>
                <w:lang w:eastAsia="sl-SI"/>
              </w:rPr>
            </w:pPr>
            <w:r w:rsidRPr="00C50B45">
              <w:rPr>
                <w:rFonts w:ascii="Arial Narrow" w:hAnsi="Arial Narrow"/>
                <w:color w:val="000000"/>
                <w:sz w:val="16"/>
                <w:szCs w:val="16"/>
                <w:lang w:eastAsia="sl-SI"/>
              </w:rPr>
              <w:t>997.959</w:t>
            </w:r>
          </w:p>
        </w:tc>
        <w:tc>
          <w:tcPr>
            <w:tcW w:w="895" w:type="dxa"/>
            <w:tcBorders>
              <w:top w:val="single" w:sz="8" w:space="0" w:color="9BBB59"/>
              <w:left w:val="nil"/>
              <w:bottom w:val="single" w:sz="8" w:space="0" w:color="9BBB59"/>
              <w:right w:val="nil"/>
            </w:tcBorders>
            <w:shd w:val="clear" w:color="auto" w:fill="auto"/>
            <w:noWrap/>
            <w:vAlign w:val="center"/>
            <w:hideMark/>
          </w:tcPr>
          <w:p w:rsidR="00E74A2C" w:rsidRPr="00C50B45" w:rsidRDefault="00E74A2C" w:rsidP="0011748C">
            <w:pPr>
              <w:spacing w:after="0" w:line="240" w:lineRule="auto"/>
              <w:jc w:val="right"/>
              <w:rPr>
                <w:rFonts w:ascii="Arial Narrow" w:hAnsi="Arial Narrow"/>
                <w:color w:val="000000"/>
                <w:sz w:val="16"/>
                <w:szCs w:val="16"/>
                <w:lang w:eastAsia="sl-SI"/>
              </w:rPr>
            </w:pPr>
            <w:r w:rsidRPr="00C50B45">
              <w:rPr>
                <w:rFonts w:ascii="Arial Narrow" w:hAnsi="Arial Narrow"/>
                <w:color w:val="000000"/>
                <w:sz w:val="16"/>
                <w:szCs w:val="16"/>
                <w:lang w:eastAsia="sl-SI"/>
              </w:rPr>
              <w:t>1.092.840</w:t>
            </w:r>
          </w:p>
        </w:tc>
        <w:tc>
          <w:tcPr>
            <w:tcW w:w="895" w:type="dxa"/>
            <w:tcBorders>
              <w:top w:val="single" w:sz="8" w:space="0" w:color="9BBB59"/>
              <w:left w:val="nil"/>
              <w:bottom w:val="single" w:sz="8" w:space="0" w:color="9BBB59"/>
              <w:right w:val="nil"/>
            </w:tcBorders>
            <w:shd w:val="clear" w:color="auto" w:fill="auto"/>
            <w:noWrap/>
            <w:vAlign w:val="center"/>
            <w:hideMark/>
          </w:tcPr>
          <w:p w:rsidR="00E74A2C" w:rsidRPr="00C50B45" w:rsidRDefault="00E74A2C" w:rsidP="0011748C">
            <w:pPr>
              <w:spacing w:after="0" w:line="240" w:lineRule="auto"/>
              <w:jc w:val="right"/>
              <w:rPr>
                <w:rFonts w:ascii="Arial Narrow" w:hAnsi="Arial Narrow"/>
                <w:color w:val="000000"/>
                <w:sz w:val="16"/>
                <w:szCs w:val="16"/>
                <w:lang w:eastAsia="sl-SI"/>
              </w:rPr>
            </w:pPr>
            <w:r w:rsidRPr="00C50B45">
              <w:rPr>
                <w:rFonts w:ascii="Arial Narrow" w:hAnsi="Arial Narrow"/>
                <w:color w:val="000000"/>
                <w:sz w:val="16"/>
                <w:szCs w:val="16"/>
                <w:lang w:eastAsia="sl-SI"/>
              </w:rPr>
              <w:t>1.299.769</w:t>
            </w:r>
          </w:p>
        </w:tc>
        <w:tc>
          <w:tcPr>
            <w:tcW w:w="895" w:type="dxa"/>
            <w:tcBorders>
              <w:top w:val="single" w:sz="8" w:space="0" w:color="9BBB59"/>
              <w:left w:val="nil"/>
              <w:bottom w:val="single" w:sz="8" w:space="0" w:color="9BBB59"/>
              <w:right w:val="single" w:sz="8" w:space="0" w:color="9BBB59"/>
            </w:tcBorders>
            <w:shd w:val="clear" w:color="auto" w:fill="auto"/>
            <w:noWrap/>
            <w:vAlign w:val="center"/>
            <w:hideMark/>
          </w:tcPr>
          <w:p w:rsidR="00E74A2C" w:rsidRPr="00C50B45" w:rsidRDefault="00E74A2C" w:rsidP="0011748C">
            <w:pPr>
              <w:spacing w:after="0" w:line="240" w:lineRule="auto"/>
              <w:jc w:val="right"/>
              <w:rPr>
                <w:rFonts w:ascii="Arial Narrow" w:hAnsi="Arial Narrow"/>
                <w:color w:val="000000"/>
                <w:sz w:val="16"/>
                <w:szCs w:val="16"/>
                <w:lang w:eastAsia="sl-SI"/>
              </w:rPr>
            </w:pPr>
            <w:r w:rsidRPr="00C50B45">
              <w:rPr>
                <w:rFonts w:ascii="Arial Narrow" w:hAnsi="Arial Narrow"/>
                <w:color w:val="000000"/>
                <w:sz w:val="16"/>
                <w:szCs w:val="16"/>
                <w:lang w:eastAsia="sl-SI"/>
              </w:rPr>
              <w:t>1.034.078</w:t>
            </w:r>
          </w:p>
        </w:tc>
      </w:tr>
      <w:tr w:rsidR="00E74A2C" w:rsidRPr="00C50B45" w:rsidTr="000A3183">
        <w:trPr>
          <w:trHeight w:val="102"/>
        </w:trPr>
        <w:tc>
          <w:tcPr>
            <w:tcW w:w="2276" w:type="dxa"/>
            <w:tcBorders>
              <w:top w:val="nil"/>
              <w:left w:val="single" w:sz="8" w:space="0" w:color="9BBB59"/>
              <w:bottom w:val="nil"/>
              <w:right w:val="nil"/>
            </w:tcBorders>
            <w:shd w:val="clear" w:color="auto" w:fill="auto"/>
            <w:noWrap/>
            <w:vAlign w:val="center"/>
            <w:hideMark/>
          </w:tcPr>
          <w:p w:rsidR="00E74A2C" w:rsidRPr="00C50B45" w:rsidRDefault="00E74A2C" w:rsidP="0011748C">
            <w:pPr>
              <w:spacing w:after="0" w:line="240" w:lineRule="auto"/>
              <w:rPr>
                <w:rFonts w:ascii="Arial Narrow" w:hAnsi="Arial Narrow"/>
                <w:color w:val="000000"/>
                <w:sz w:val="16"/>
                <w:szCs w:val="16"/>
                <w:lang w:eastAsia="sl-SI"/>
              </w:rPr>
            </w:pPr>
            <w:r w:rsidRPr="00C50B45">
              <w:rPr>
                <w:rFonts w:ascii="Arial Narrow" w:hAnsi="Arial Narrow"/>
                <w:color w:val="000000"/>
                <w:sz w:val="16"/>
                <w:szCs w:val="16"/>
                <w:lang w:eastAsia="sl-SI"/>
              </w:rPr>
              <w:t>Lastni prihodki iz opravljanja javne službe</w:t>
            </w:r>
          </w:p>
        </w:tc>
        <w:tc>
          <w:tcPr>
            <w:tcW w:w="895" w:type="dxa"/>
            <w:tcBorders>
              <w:top w:val="nil"/>
              <w:left w:val="nil"/>
              <w:bottom w:val="nil"/>
              <w:right w:val="nil"/>
            </w:tcBorders>
            <w:shd w:val="clear" w:color="auto" w:fill="auto"/>
            <w:noWrap/>
            <w:vAlign w:val="center"/>
            <w:hideMark/>
          </w:tcPr>
          <w:p w:rsidR="00E74A2C" w:rsidRPr="00C50B45" w:rsidRDefault="00E74A2C" w:rsidP="0011748C">
            <w:pPr>
              <w:spacing w:after="0" w:line="240" w:lineRule="auto"/>
              <w:jc w:val="right"/>
              <w:rPr>
                <w:rFonts w:ascii="Arial Narrow" w:hAnsi="Arial Narrow"/>
                <w:color w:val="000000"/>
                <w:sz w:val="16"/>
                <w:szCs w:val="16"/>
                <w:lang w:eastAsia="sl-SI"/>
              </w:rPr>
            </w:pPr>
            <w:r w:rsidRPr="00C50B45">
              <w:rPr>
                <w:rFonts w:ascii="Arial Narrow" w:hAnsi="Arial Narrow"/>
                <w:color w:val="000000"/>
                <w:sz w:val="16"/>
                <w:szCs w:val="16"/>
                <w:lang w:eastAsia="sl-SI"/>
              </w:rPr>
              <w:t>5.677.731</w:t>
            </w:r>
          </w:p>
        </w:tc>
        <w:tc>
          <w:tcPr>
            <w:tcW w:w="895" w:type="dxa"/>
            <w:tcBorders>
              <w:top w:val="nil"/>
              <w:left w:val="nil"/>
              <w:bottom w:val="nil"/>
              <w:right w:val="nil"/>
            </w:tcBorders>
            <w:shd w:val="clear" w:color="auto" w:fill="auto"/>
            <w:noWrap/>
            <w:vAlign w:val="center"/>
            <w:hideMark/>
          </w:tcPr>
          <w:p w:rsidR="00E74A2C" w:rsidRPr="00C50B45" w:rsidRDefault="00E74A2C" w:rsidP="0011748C">
            <w:pPr>
              <w:spacing w:after="0" w:line="240" w:lineRule="auto"/>
              <w:jc w:val="right"/>
              <w:rPr>
                <w:rFonts w:ascii="Arial Narrow" w:hAnsi="Arial Narrow"/>
                <w:color w:val="000000"/>
                <w:sz w:val="16"/>
                <w:szCs w:val="16"/>
                <w:lang w:eastAsia="sl-SI"/>
              </w:rPr>
            </w:pPr>
            <w:r w:rsidRPr="00C50B45">
              <w:rPr>
                <w:rFonts w:ascii="Arial Narrow" w:hAnsi="Arial Narrow"/>
                <w:color w:val="000000"/>
                <w:sz w:val="16"/>
                <w:szCs w:val="16"/>
                <w:lang w:eastAsia="sl-SI"/>
              </w:rPr>
              <w:t>5.917.127</w:t>
            </w:r>
          </w:p>
        </w:tc>
        <w:tc>
          <w:tcPr>
            <w:tcW w:w="895" w:type="dxa"/>
            <w:tcBorders>
              <w:top w:val="nil"/>
              <w:left w:val="nil"/>
              <w:bottom w:val="nil"/>
              <w:right w:val="nil"/>
            </w:tcBorders>
            <w:shd w:val="clear" w:color="auto" w:fill="auto"/>
            <w:noWrap/>
            <w:vAlign w:val="center"/>
            <w:hideMark/>
          </w:tcPr>
          <w:p w:rsidR="00E74A2C" w:rsidRPr="00C50B45" w:rsidRDefault="00E74A2C" w:rsidP="0011748C">
            <w:pPr>
              <w:spacing w:after="0" w:line="240" w:lineRule="auto"/>
              <w:jc w:val="right"/>
              <w:rPr>
                <w:rFonts w:ascii="Arial Narrow" w:hAnsi="Arial Narrow"/>
                <w:color w:val="000000"/>
                <w:sz w:val="16"/>
                <w:szCs w:val="16"/>
                <w:lang w:eastAsia="sl-SI"/>
              </w:rPr>
            </w:pPr>
            <w:r w:rsidRPr="00C50B45">
              <w:rPr>
                <w:rFonts w:ascii="Arial Narrow" w:hAnsi="Arial Narrow"/>
                <w:color w:val="000000"/>
                <w:sz w:val="16"/>
                <w:szCs w:val="16"/>
                <w:lang w:eastAsia="sl-SI"/>
              </w:rPr>
              <w:t>8.072.263</w:t>
            </w:r>
          </w:p>
        </w:tc>
        <w:tc>
          <w:tcPr>
            <w:tcW w:w="895" w:type="dxa"/>
            <w:tcBorders>
              <w:top w:val="nil"/>
              <w:left w:val="nil"/>
              <w:bottom w:val="nil"/>
              <w:right w:val="nil"/>
            </w:tcBorders>
            <w:shd w:val="clear" w:color="auto" w:fill="auto"/>
            <w:noWrap/>
            <w:vAlign w:val="center"/>
            <w:hideMark/>
          </w:tcPr>
          <w:p w:rsidR="00E74A2C" w:rsidRPr="00C50B45" w:rsidRDefault="00E74A2C" w:rsidP="0011748C">
            <w:pPr>
              <w:spacing w:after="0" w:line="240" w:lineRule="auto"/>
              <w:jc w:val="right"/>
              <w:rPr>
                <w:rFonts w:ascii="Arial Narrow" w:hAnsi="Arial Narrow"/>
                <w:color w:val="000000"/>
                <w:sz w:val="16"/>
                <w:szCs w:val="16"/>
                <w:lang w:eastAsia="sl-SI"/>
              </w:rPr>
            </w:pPr>
            <w:r w:rsidRPr="00C50B45">
              <w:rPr>
                <w:rFonts w:ascii="Arial Narrow" w:hAnsi="Arial Narrow"/>
                <w:color w:val="000000"/>
                <w:sz w:val="16"/>
                <w:szCs w:val="16"/>
                <w:lang w:eastAsia="sl-SI"/>
              </w:rPr>
              <w:t>7.262.275</w:t>
            </w:r>
          </w:p>
        </w:tc>
        <w:tc>
          <w:tcPr>
            <w:tcW w:w="895" w:type="dxa"/>
            <w:tcBorders>
              <w:top w:val="nil"/>
              <w:left w:val="nil"/>
              <w:bottom w:val="nil"/>
              <w:right w:val="nil"/>
            </w:tcBorders>
            <w:shd w:val="clear" w:color="auto" w:fill="auto"/>
            <w:noWrap/>
            <w:vAlign w:val="center"/>
            <w:hideMark/>
          </w:tcPr>
          <w:p w:rsidR="00E74A2C" w:rsidRPr="00C50B45" w:rsidRDefault="00E74A2C" w:rsidP="0011748C">
            <w:pPr>
              <w:spacing w:after="0" w:line="240" w:lineRule="auto"/>
              <w:jc w:val="right"/>
              <w:rPr>
                <w:rFonts w:ascii="Arial Narrow" w:hAnsi="Arial Narrow"/>
                <w:color w:val="000000"/>
                <w:sz w:val="16"/>
                <w:szCs w:val="16"/>
                <w:lang w:eastAsia="sl-SI"/>
              </w:rPr>
            </w:pPr>
            <w:r w:rsidRPr="00C50B45">
              <w:rPr>
                <w:rFonts w:ascii="Arial Narrow" w:hAnsi="Arial Narrow"/>
                <w:color w:val="000000"/>
                <w:sz w:val="16"/>
                <w:szCs w:val="16"/>
                <w:lang w:eastAsia="sl-SI"/>
              </w:rPr>
              <w:t>6.010.652</w:t>
            </w:r>
          </w:p>
        </w:tc>
        <w:tc>
          <w:tcPr>
            <w:tcW w:w="895" w:type="dxa"/>
            <w:tcBorders>
              <w:top w:val="nil"/>
              <w:left w:val="nil"/>
              <w:bottom w:val="nil"/>
              <w:right w:val="nil"/>
            </w:tcBorders>
            <w:shd w:val="clear" w:color="auto" w:fill="auto"/>
            <w:noWrap/>
            <w:vAlign w:val="center"/>
            <w:hideMark/>
          </w:tcPr>
          <w:p w:rsidR="00E74A2C" w:rsidRPr="00C50B45" w:rsidRDefault="00E74A2C" w:rsidP="0011748C">
            <w:pPr>
              <w:spacing w:after="0" w:line="240" w:lineRule="auto"/>
              <w:jc w:val="right"/>
              <w:rPr>
                <w:rFonts w:ascii="Arial Narrow" w:hAnsi="Arial Narrow"/>
                <w:color w:val="000000"/>
                <w:sz w:val="16"/>
                <w:szCs w:val="16"/>
                <w:lang w:eastAsia="sl-SI"/>
              </w:rPr>
            </w:pPr>
            <w:r w:rsidRPr="00C50B45">
              <w:rPr>
                <w:rFonts w:ascii="Arial Narrow" w:hAnsi="Arial Narrow"/>
                <w:color w:val="000000"/>
                <w:sz w:val="16"/>
                <w:szCs w:val="16"/>
                <w:lang w:eastAsia="sl-SI"/>
              </w:rPr>
              <w:t>6.528.109</w:t>
            </w:r>
          </w:p>
        </w:tc>
        <w:tc>
          <w:tcPr>
            <w:tcW w:w="895" w:type="dxa"/>
            <w:tcBorders>
              <w:top w:val="nil"/>
              <w:left w:val="nil"/>
              <w:bottom w:val="nil"/>
              <w:right w:val="nil"/>
            </w:tcBorders>
            <w:shd w:val="clear" w:color="auto" w:fill="auto"/>
            <w:noWrap/>
            <w:vAlign w:val="center"/>
            <w:hideMark/>
          </w:tcPr>
          <w:p w:rsidR="00E74A2C" w:rsidRPr="00C50B45" w:rsidRDefault="00E74A2C" w:rsidP="0011748C">
            <w:pPr>
              <w:spacing w:after="0" w:line="240" w:lineRule="auto"/>
              <w:jc w:val="right"/>
              <w:rPr>
                <w:rFonts w:ascii="Arial Narrow" w:hAnsi="Arial Narrow"/>
                <w:color w:val="000000"/>
                <w:sz w:val="16"/>
                <w:szCs w:val="16"/>
                <w:lang w:eastAsia="sl-SI"/>
              </w:rPr>
            </w:pPr>
            <w:r w:rsidRPr="00C50B45">
              <w:rPr>
                <w:rFonts w:ascii="Arial Narrow" w:hAnsi="Arial Narrow"/>
                <w:color w:val="000000"/>
                <w:sz w:val="16"/>
                <w:szCs w:val="16"/>
                <w:lang w:eastAsia="sl-SI"/>
              </w:rPr>
              <w:t>5.288.239</w:t>
            </w:r>
          </w:p>
        </w:tc>
        <w:tc>
          <w:tcPr>
            <w:tcW w:w="895" w:type="dxa"/>
            <w:tcBorders>
              <w:top w:val="nil"/>
              <w:left w:val="nil"/>
              <w:bottom w:val="nil"/>
              <w:right w:val="single" w:sz="8" w:space="0" w:color="9BBB59"/>
            </w:tcBorders>
            <w:shd w:val="clear" w:color="auto" w:fill="auto"/>
            <w:noWrap/>
            <w:vAlign w:val="center"/>
            <w:hideMark/>
          </w:tcPr>
          <w:p w:rsidR="00E74A2C" w:rsidRPr="00C50B45" w:rsidRDefault="00E74A2C" w:rsidP="0011748C">
            <w:pPr>
              <w:spacing w:after="0" w:line="240" w:lineRule="auto"/>
              <w:jc w:val="right"/>
              <w:rPr>
                <w:rFonts w:ascii="Arial Narrow" w:hAnsi="Arial Narrow"/>
                <w:color w:val="000000"/>
                <w:sz w:val="16"/>
                <w:szCs w:val="16"/>
                <w:lang w:eastAsia="sl-SI"/>
              </w:rPr>
            </w:pPr>
            <w:r w:rsidRPr="00C50B45">
              <w:rPr>
                <w:rFonts w:ascii="Arial Narrow" w:hAnsi="Arial Narrow"/>
                <w:color w:val="000000"/>
                <w:sz w:val="16"/>
                <w:szCs w:val="16"/>
                <w:lang w:eastAsia="sl-SI"/>
              </w:rPr>
              <w:t>6.186.998</w:t>
            </w:r>
          </w:p>
        </w:tc>
      </w:tr>
      <w:tr w:rsidR="00E74A2C" w:rsidRPr="00C50B45" w:rsidTr="000A3183">
        <w:trPr>
          <w:trHeight w:val="102"/>
        </w:trPr>
        <w:tc>
          <w:tcPr>
            <w:tcW w:w="2276" w:type="dxa"/>
            <w:tcBorders>
              <w:top w:val="single" w:sz="8" w:space="0" w:color="9BBB59"/>
              <w:left w:val="single" w:sz="8" w:space="0" w:color="9BBB59"/>
              <w:bottom w:val="single" w:sz="8" w:space="0" w:color="9BBB59"/>
              <w:right w:val="nil"/>
            </w:tcBorders>
            <w:shd w:val="clear" w:color="auto" w:fill="auto"/>
            <w:noWrap/>
            <w:vAlign w:val="center"/>
            <w:hideMark/>
          </w:tcPr>
          <w:p w:rsidR="00E74A2C" w:rsidRPr="00C50B45" w:rsidRDefault="00E74A2C" w:rsidP="0011748C">
            <w:pPr>
              <w:spacing w:after="0" w:line="240" w:lineRule="auto"/>
              <w:rPr>
                <w:rFonts w:ascii="Arial Narrow" w:hAnsi="Arial Narrow"/>
                <w:color w:val="000000"/>
                <w:sz w:val="16"/>
                <w:szCs w:val="16"/>
                <w:lang w:eastAsia="sl-SI"/>
              </w:rPr>
            </w:pPr>
            <w:r w:rsidRPr="00C50B45">
              <w:rPr>
                <w:rFonts w:ascii="Arial Narrow" w:hAnsi="Arial Narrow"/>
                <w:color w:val="000000"/>
                <w:sz w:val="16"/>
                <w:szCs w:val="16"/>
                <w:lang w:eastAsia="sl-SI"/>
              </w:rPr>
              <w:t>Prihodki iz tržne dejavnosti</w:t>
            </w:r>
          </w:p>
        </w:tc>
        <w:tc>
          <w:tcPr>
            <w:tcW w:w="895" w:type="dxa"/>
            <w:tcBorders>
              <w:top w:val="single" w:sz="8" w:space="0" w:color="9BBB59"/>
              <w:left w:val="nil"/>
              <w:bottom w:val="single" w:sz="8" w:space="0" w:color="9BBB59"/>
              <w:right w:val="nil"/>
            </w:tcBorders>
            <w:shd w:val="clear" w:color="auto" w:fill="auto"/>
            <w:noWrap/>
            <w:vAlign w:val="center"/>
            <w:hideMark/>
          </w:tcPr>
          <w:p w:rsidR="00E74A2C" w:rsidRPr="00C50B45" w:rsidRDefault="00E74A2C" w:rsidP="0011748C">
            <w:pPr>
              <w:spacing w:after="0" w:line="240" w:lineRule="auto"/>
              <w:jc w:val="right"/>
              <w:rPr>
                <w:rFonts w:ascii="Arial Narrow" w:hAnsi="Arial Narrow"/>
                <w:color w:val="000000"/>
                <w:sz w:val="16"/>
                <w:szCs w:val="16"/>
                <w:lang w:eastAsia="sl-SI"/>
              </w:rPr>
            </w:pPr>
            <w:r w:rsidRPr="00C50B45">
              <w:rPr>
                <w:rFonts w:ascii="Arial Narrow" w:hAnsi="Arial Narrow"/>
                <w:color w:val="000000"/>
                <w:sz w:val="16"/>
                <w:szCs w:val="16"/>
                <w:lang w:eastAsia="sl-SI"/>
              </w:rPr>
              <w:t>683.650</w:t>
            </w:r>
          </w:p>
        </w:tc>
        <w:tc>
          <w:tcPr>
            <w:tcW w:w="895" w:type="dxa"/>
            <w:tcBorders>
              <w:top w:val="single" w:sz="8" w:space="0" w:color="9BBB59"/>
              <w:left w:val="nil"/>
              <w:bottom w:val="single" w:sz="8" w:space="0" w:color="9BBB59"/>
              <w:right w:val="nil"/>
            </w:tcBorders>
            <w:shd w:val="clear" w:color="auto" w:fill="auto"/>
            <w:noWrap/>
            <w:vAlign w:val="center"/>
            <w:hideMark/>
          </w:tcPr>
          <w:p w:rsidR="00E74A2C" w:rsidRPr="00C50B45" w:rsidRDefault="00E74A2C" w:rsidP="0011748C">
            <w:pPr>
              <w:spacing w:after="0" w:line="240" w:lineRule="auto"/>
              <w:jc w:val="right"/>
              <w:rPr>
                <w:rFonts w:ascii="Arial Narrow" w:hAnsi="Arial Narrow"/>
                <w:color w:val="000000"/>
                <w:sz w:val="16"/>
                <w:szCs w:val="16"/>
                <w:lang w:eastAsia="sl-SI"/>
              </w:rPr>
            </w:pPr>
            <w:r w:rsidRPr="00C50B45">
              <w:rPr>
                <w:rFonts w:ascii="Arial Narrow" w:hAnsi="Arial Narrow"/>
                <w:color w:val="000000"/>
                <w:sz w:val="16"/>
                <w:szCs w:val="16"/>
                <w:lang w:eastAsia="sl-SI"/>
              </w:rPr>
              <w:t>674.604</w:t>
            </w:r>
          </w:p>
        </w:tc>
        <w:tc>
          <w:tcPr>
            <w:tcW w:w="895" w:type="dxa"/>
            <w:tcBorders>
              <w:top w:val="single" w:sz="8" w:space="0" w:color="9BBB59"/>
              <w:left w:val="nil"/>
              <w:bottom w:val="single" w:sz="8" w:space="0" w:color="9BBB59"/>
              <w:right w:val="nil"/>
            </w:tcBorders>
            <w:shd w:val="clear" w:color="auto" w:fill="auto"/>
            <w:noWrap/>
            <w:vAlign w:val="center"/>
            <w:hideMark/>
          </w:tcPr>
          <w:p w:rsidR="00E74A2C" w:rsidRPr="00C50B45" w:rsidRDefault="00E74A2C" w:rsidP="0011748C">
            <w:pPr>
              <w:spacing w:after="0" w:line="240" w:lineRule="auto"/>
              <w:jc w:val="right"/>
              <w:rPr>
                <w:rFonts w:ascii="Arial Narrow" w:hAnsi="Arial Narrow"/>
                <w:color w:val="000000"/>
                <w:sz w:val="16"/>
                <w:szCs w:val="16"/>
                <w:lang w:eastAsia="sl-SI"/>
              </w:rPr>
            </w:pPr>
            <w:r w:rsidRPr="00C50B45">
              <w:rPr>
                <w:rFonts w:ascii="Arial Narrow" w:hAnsi="Arial Narrow"/>
                <w:color w:val="000000"/>
                <w:sz w:val="16"/>
                <w:szCs w:val="16"/>
                <w:lang w:eastAsia="sl-SI"/>
              </w:rPr>
              <w:t>606.658</w:t>
            </w:r>
          </w:p>
        </w:tc>
        <w:tc>
          <w:tcPr>
            <w:tcW w:w="895" w:type="dxa"/>
            <w:tcBorders>
              <w:top w:val="single" w:sz="8" w:space="0" w:color="9BBB59"/>
              <w:left w:val="nil"/>
              <w:bottom w:val="single" w:sz="8" w:space="0" w:color="9BBB59"/>
              <w:right w:val="nil"/>
            </w:tcBorders>
            <w:shd w:val="clear" w:color="auto" w:fill="auto"/>
            <w:noWrap/>
            <w:vAlign w:val="center"/>
            <w:hideMark/>
          </w:tcPr>
          <w:p w:rsidR="00E74A2C" w:rsidRPr="00C50B45" w:rsidRDefault="00E74A2C" w:rsidP="0011748C">
            <w:pPr>
              <w:spacing w:after="0" w:line="240" w:lineRule="auto"/>
              <w:jc w:val="right"/>
              <w:rPr>
                <w:rFonts w:ascii="Arial Narrow" w:hAnsi="Arial Narrow"/>
                <w:color w:val="000000"/>
                <w:sz w:val="16"/>
                <w:szCs w:val="16"/>
                <w:lang w:eastAsia="sl-SI"/>
              </w:rPr>
            </w:pPr>
            <w:r w:rsidRPr="00C50B45">
              <w:rPr>
                <w:rFonts w:ascii="Arial Narrow" w:hAnsi="Arial Narrow"/>
                <w:color w:val="000000"/>
                <w:sz w:val="16"/>
                <w:szCs w:val="16"/>
                <w:lang w:eastAsia="sl-SI"/>
              </w:rPr>
              <w:t>547.724</w:t>
            </w:r>
          </w:p>
        </w:tc>
        <w:tc>
          <w:tcPr>
            <w:tcW w:w="895" w:type="dxa"/>
            <w:tcBorders>
              <w:top w:val="single" w:sz="8" w:space="0" w:color="9BBB59"/>
              <w:left w:val="nil"/>
              <w:bottom w:val="single" w:sz="8" w:space="0" w:color="9BBB59"/>
              <w:right w:val="nil"/>
            </w:tcBorders>
            <w:shd w:val="clear" w:color="auto" w:fill="auto"/>
            <w:noWrap/>
            <w:vAlign w:val="center"/>
            <w:hideMark/>
          </w:tcPr>
          <w:p w:rsidR="00E74A2C" w:rsidRPr="00C50B45" w:rsidRDefault="00E74A2C" w:rsidP="0011748C">
            <w:pPr>
              <w:spacing w:after="0" w:line="240" w:lineRule="auto"/>
              <w:jc w:val="right"/>
              <w:rPr>
                <w:rFonts w:ascii="Arial Narrow" w:hAnsi="Arial Narrow"/>
                <w:color w:val="000000"/>
                <w:sz w:val="16"/>
                <w:szCs w:val="16"/>
                <w:lang w:eastAsia="sl-SI"/>
              </w:rPr>
            </w:pPr>
            <w:r w:rsidRPr="00C50B45">
              <w:rPr>
                <w:rFonts w:ascii="Arial Narrow" w:hAnsi="Arial Narrow"/>
                <w:color w:val="000000"/>
                <w:sz w:val="16"/>
                <w:szCs w:val="16"/>
                <w:lang w:eastAsia="sl-SI"/>
              </w:rPr>
              <w:t>469.269</w:t>
            </w:r>
          </w:p>
        </w:tc>
        <w:tc>
          <w:tcPr>
            <w:tcW w:w="895" w:type="dxa"/>
            <w:tcBorders>
              <w:top w:val="single" w:sz="8" w:space="0" w:color="9BBB59"/>
              <w:left w:val="nil"/>
              <w:bottom w:val="single" w:sz="8" w:space="0" w:color="9BBB59"/>
              <w:right w:val="nil"/>
            </w:tcBorders>
            <w:shd w:val="clear" w:color="auto" w:fill="auto"/>
            <w:noWrap/>
            <w:vAlign w:val="center"/>
            <w:hideMark/>
          </w:tcPr>
          <w:p w:rsidR="00E74A2C" w:rsidRPr="00C50B45" w:rsidRDefault="00E74A2C" w:rsidP="0011748C">
            <w:pPr>
              <w:spacing w:after="0" w:line="240" w:lineRule="auto"/>
              <w:jc w:val="right"/>
              <w:rPr>
                <w:rFonts w:ascii="Arial Narrow" w:hAnsi="Arial Narrow"/>
                <w:color w:val="000000"/>
                <w:sz w:val="16"/>
                <w:szCs w:val="16"/>
                <w:lang w:eastAsia="sl-SI"/>
              </w:rPr>
            </w:pPr>
            <w:r w:rsidRPr="00C50B45">
              <w:rPr>
                <w:rFonts w:ascii="Arial Narrow" w:hAnsi="Arial Narrow"/>
                <w:color w:val="000000"/>
                <w:sz w:val="16"/>
                <w:szCs w:val="16"/>
                <w:lang w:eastAsia="sl-SI"/>
              </w:rPr>
              <w:t>593.296</w:t>
            </w:r>
          </w:p>
        </w:tc>
        <w:tc>
          <w:tcPr>
            <w:tcW w:w="895" w:type="dxa"/>
            <w:tcBorders>
              <w:top w:val="single" w:sz="8" w:space="0" w:color="9BBB59"/>
              <w:left w:val="nil"/>
              <w:bottom w:val="single" w:sz="8" w:space="0" w:color="9BBB59"/>
              <w:right w:val="nil"/>
            </w:tcBorders>
            <w:shd w:val="clear" w:color="auto" w:fill="auto"/>
            <w:noWrap/>
            <w:vAlign w:val="center"/>
            <w:hideMark/>
          </w:tcPr>
          <w:p w:rsidR="00E74A2C" w:rsidRPr="00C50B45" w:rsidRDefault="00E74A2C" w:rsidP="0011748C">
            <w:pPr>
              <w:spacing w:after="0" w:line="240" w:lineRule="auto"/>
              <w:jc w:val="right"/>
              <w:rPr>
                <w:rFonts w:ascii="Arial Narrow" w:hAnsi="Arial Narrow"/>
                <w:color w:val="000000"/>
                <w:sz w:val="16"/>
                <w:szCs w:val="16"/>
                <w:lang w:eastAsia="sl-SI"/>
              </w:rPr>
            </w:pPr>
            <w:r w:rsidRPr="00C50B45">
              <w:rPr>
                <w:rFonts w:ascii="Arial Narrow" w:hAnsi="Arial Narrow"/>
                <w:color w:val="000000"/>
                <w:sz w:val="16"/>
                <w:szCs w:val="16"/>
                <w:lang w:eastAsia="sl-SI"/>
              </w:rPr>
              <w:t>401.461</w:t>
            </w:r>
          </w:p>
        </w:tc>
        <w:tc>
          <w:tcPr>
            <w:tcW w:w="895" w:type="dxa"/>
            <w:tcBorders>
              <w:top w:val="single" w:sz="8" w:space="0" w:color="9BBB59"/>
              <w:left w:val="nil"/>
              <w:bottom w:val="single" w:sz="8" w:space="0" w:color="9BBB59"/>
              <w:right w:val="single" w:sz="8" w:space="0" w:color="9BBB59"/>
            </w:tcBorders>
            <w:shd w:val="clear" w:color="auto" w:fill="auto"/>
            <w:noWrap/>
            <w:vAlign w:val="center"/>
            <w:hideMark/>
          </w:tcPr>
          <w:p w:rsidR="00E74A2C" w:rsidRPr="00C50B45" w:rsidRDefault="00E74A2C" w:rsidP="0011748C">
            <w:pPr>
              <w:spacing w:after="0" w:line="240" w:lineRule="auto"/>
              <w:jc w:val="right"/>
              <w:rPr>
                <w:rFonts w:ascii="Arial Narrow" w:hAnsi="Arial Narrow"/>
                <w:color w:val="000000"/>
                <w:sz w:val="16"/>
                <w:szCs w:val="16"/>
                <w:lang w:eastAsia="sl-SI"/>
              </w:rPr>
            </w:pPr>
            <w:r w:rsidRPr="00C50B45">
              <w:rPr>
                <w:rFonts w:ascii="Arial Narrow" w:hAnsi="Arial Narrow"/>
                <w:color w:val="000000"/>
                <w:sz w:val="16"/>
                <w:szCs w:val="16"/>
                <w:lang w:eastAsia="sl-SI"/>
              </w:rPr>
              <w:t>587.611</w:t>
            </w:r>
          </w:p>
        </w:tc>
      </w:tr>
      <w:tr w:rsidR="00E74A2C" w:rsidRPr="00C50B45" w:rsidTr="000A3183">
        <w:trPr>
          <w:trHeight w:val="102"/>
        </w:trPr>
        <w:tc>
          <w:tcPr>
            <w:tcW w:w="2276" w:type="dxa"/>
            <w:tcBorders>
              <w:top w:val="nil"/>
              <w:left w:val="single" w:sz="8" w:space="0" w:color="9BBB59"/>
              <w:bottom w:val="single" w:sz="8" w:space="0" w:color="9BBB59"/>
              <w:right w:val="nil"/>
            </w:tcBorders>
            <w:shd w:val="clear" w:color="auto" w:fill="auto"/>
            <w:noWrap/>
            <w:vAlign w:val="center"/>
            <w:hideMark/>
          </w:tcPr>
          <w:p w:rsidR="00E74A2C" w:rsidRPr="00C50B45" w:rsidRDefault="00E74A2C" w:rsidP="0011748C">
            <w:pPr>
              <w:spacing w:after="0" w:line="240" w:lineRule="auto"/>
              <w:rPr>
                <w:rFonts w:ascii="Arial Narrow" w:hAnsi="Arial Narrow"/>
                <w:color w:val="000000"/>
                <w:sz w:val="16"/>
                <w:szCs w:val="16"/>
                <w:lang w:eastAsia="sl-SI"/>
              </w:rPr>
            </w:pPr>
            <w:r w:rsidRPr="00C50B45">
              <w:rPr>
                <w:rFonts w:ascii="Arial Narrow" w:hAnsi="Arial Narrow"/>
                <w:color w:val="000000"/>
                <w:sz w:val="16"/>
                <w:szCs w:val="16"/>
                <w:lang w:eastAsia="sl-SI"/>
              </w:rPr>
              <w:t>Celoten prihodek</w:t>
            </w:r>
          </w:p>
        </w:tc>
        <w:tc>
          <w:tcPr>
            <w:tcW w:w="895" w:type="dxa"/>
            <w:tcBorders>
              <w:top w:val="nil"/>
              <w:left w:val="nil"/>
              <w:bottom w:val="single" w:sz="8" w:space="0" w:color="9BBB59"/>
              <w:right w:val="nil"/>
            </w:tcBorders>
            <w:shd w:val="clear" w:color="auto" w:fill="auto"/>
            <w:noWrap/>
            <w:vAlign w:val="center"/>
            <w:hideMark/>
          </w:tcPr>
          <w:p w:rsidR="00E74A2C" w:rsidRPr="00C50B45" w:rsidRDefault="00E74A2C" w:rsidP="0011748C">
            <w:pPr>
              <w:spacing w:after="0" w:line="240" w:lineRule="auto"/>
              <w:jc w:val="right"/>
              <w:rPr>
                <w:rFonts w:ascii="Arial Narrow" w:hAnsi="Arial Narrow"/>
                <w:b/>
                <w:bCs/>
                <w:color w:val="000000"/>
                <w:sz w:val="16"/>
                <w:szCs w:val="16"/>
                <w:lang w:eastAsia="sl-SI"/>
              </w:rPr>
            </w:pPr>
            <w:r w:rsidRPr="00C50B45">
              <w:rPr>
                <w:rFonts w:ascii="Arial Narrow" w:hAnsi="Arial Narrow"/>
                <w:b/>
                <w:bCs/>
                <w:color w:val="000000"/>
                <w:sz w:val="16"/>
                <w:szCs w:val="16"/>
                <w:lang w:eastAsia="sl-SI"/>
              </w:rPr>
              <w:t>39.775.629</w:t>
            </w:r>
          </w:p>
        </w:tc>
        <w:tc>
          <w:tcPr>
            <w:tcW w:w="895" w:type="dxa"/>
            <w:tcBorders>
              <w:top w:val="nil"/>
              <w:left w:val="nil"/>
              <w:bottom w:val="single" w:sz="8" w:space="0" w:color="9BBB59"/>
              <w:right w:val="nil"/>
            </w:tcBorders>
            <w:shd w:val="clear" w:color="auto" w:fill="auto"/>
            <w:noWrap/>
            <w:vAlign w:val="center"/>
            <w:hideMark/>
          </w:tcPr>
          <w:p w:rsidR="00E74A2C" w:rsidRPr="00C50B45" w:rsidRDefault="00E74A2C" w:rsidP="0011748C">
            <w:pPr>
              <w:spacing w:after="0" w:line="240" w:lineRule="auto"/>
              <w:jc w:val="right"/>
              <w:rPr>
                <w:rFonts w:ascii="Arial Narrow" w:hAnsi="Arial Narrow"/>
                <w:b/>
                <w:bCs/>
                <w:color w:val="000000"/>
                <w:sz w:val="16"/>
                <w:szCs w:val="16"/>
                <w:lang w:eastAsia="sl-SI"/>
              </w:rPr>
            </w:pPr>
            <w:r w:rsidRPr="00C50B45">
              <w:rPr>
                <w:rFonts w:ascii="Arial Narrow" w:hAnsi="Arial Narrow"/>
                <w:b/>
                <w:bCs/>
                <w:color w:val="000000"/>
                <w:sz w:val="16"/>
                <w:szCs w:val="16"/>
                <w:lang w:eastAsia="sl-SI"/>
              </w:rPr>
              <w:t>44.404.090</w:t>
            </w:r>
          </w:p>
        </w:tc>
        <w:tc>
          <w:tcPr>
            <w:tcW w:w="895" w:type="dxa"/>
            <w:tcBorders>
              <w:top w:val="nil"/>
              <w:left w:val="nil"/>
              <w:bottom w:val="single" w:sz="8" w:space="0" w:color="9BBB59"/>
              <w:right w:val="nil"/>
            </w:tcBorders>
            <w:shd w:val="clear" w:color="auto" w:fill="auto"/>
            <w:noWrap/>
            <w:vAlign w:val="center"/>
            <w:hideMark/>
          </w:tcPr>
          <w:p w:rsidR="00E74A2C" w:rsidRPr="00C50B45" w:rsidRDefault="00E74A2C" w:rsidP="0011748C">
            <w:pPr>
              <w:spacing w:after="0" w:line="240" w:lineRule="auto"/>
              <w:jc w:val="right"/>
              <w:rPr>
                <w:rFonts w:ascii="Arial Narrow" w:hAnsi="Arial Narrow"/>
                <w:b/>
                <w:bCs/>
                <w:color w:val="000000"/>
                <w:sz w:val="16"/>
                <w:szCs w:val="16"/>
                <w:lang w:eastAsia="sl-SI"/>
              </w:rPr>
            </w:pPr>
            <w:r w:rsidRPr="00C50B45">
              <w:rPr>
                <w:rFonts w:ascii="Arial Narrow" w:hAnsi="Arial Narrow"/>
                <w:b/>
                <w:bCs/>
                <w:color w:val="000000"/>
                <w:sz w:val="16"/>
                <w:szCs w:val="16"/>
                <w:lang w:eastAsia="sl-SI"/>
              </w:rPr>
              <w:t>46.977.646</w:t>
            </w:r>
          </w:p>
        </w:tc>
        <w:tc>
          <w:tcPr>
            <w:tcW w:w="895" w:type="dxa"/>
            <w:tcBorders>
              <w:top w:val="nil"/>
              <w:left w:val="nil"/>
              <w:bottom w:val="single" w:sz="8" w:space="0" w:color="9BBB59"/>
              <w:right w:val="nil"/>
            </w:tcBorders>
            <w:shd w:val="clear" w:color="auto" w:fill="auto"/>
            <w:noWrap/>
            <w:vAlign w:val="center"/>
            <w:hideMark/>
          </w:tcPr>
          <w:p w:rsidR="00E74A2C" w:rsidRPr="00C50B45" w:rsidRDefault="00E74A2C" w:rsidP="0011748C">
            <w:pPr>
              <w:spacing w:after="0" w:line="240" w:lineRule="auto"/>
              <w:jc w:val="right"/>
              <w:rPr>
                <w:rFonts w:ascii="Arial Narrow" w:hAnsi="Arial Narrow"/>
                <w:b/>
                <w:bCs/>
                <w:color w:val="000000"/>
                <w:sz w:val="16"/>
                <w:szCs w:val="16"/>
                <w:lang w:eastAsia="sl-SI"/>
              </w:rPr>
            </w:pPr>
            <w:r w:rsidRPr="00C50B45">
              <w:rPr>
                <w:rFonts w:ascii="Arial Narrow" w:hAnsi="Arial Narrow"/>
                <w:b/>
                <w:bCs/>
                <w:color w:val="000000"/>
                <w:sz w:val="16"/>
                <w:szCs w:val="16"/>
                <w:lang w:eastAsia="sl-SI"/>
              </w:rPr>
              <w:t>46.270.890</w:t>
            </w:r>
          </w:p>
        </w:tc>
        <w:tc>
          <w:tcPr>
            <w:tcW w:w="895" w:type="dxa"/>
            <w:tcBorders>
              <w:top w:val="nil"/>
              <w:left w:val="nil"/>
              <w:bottom w:val="single" w:sz="8" w:space="0" w:color="9BBB59"/>
              <w:right w:val="nil"/>
            </w:tcBorders>
            <w:shd w:val="clear" w:color="auto" w:fill="auto"/>
            <w:noWrap/>
            <w:vAlign w:val="center"/>
            <w:hideMark/>
          </w:tcPr>
          <w:p w:rsidR="00E74A2C" w:rsidRPr="00C50B45" w:rsidRDefault="00E74A2C" w:rsidP="0011748C">
            <w:pPr>
              <w:spacing w:after="0" w:line="240" w:lineRule="auto"/>
              <w:jc w:val="right"/>
              <w:rPr>
                <w:rFonts w:ascii="Arial Narrow" w:hAnsi="Arial Narrow"/>
                <w:b/>
                <w:bCs/>
                <w:color w:val="000000"/>
                <w:sz w:val="16"/>
                <w:szCs w:val="16"/>
                <w:lang w:eastAsia="sl-SI"/>
              </w:rPr>
            </w:pPr>
            <w:r w:rsidRPr="00C50B45">
              <w:rPr>
                <w:rFonts w:ascii="Arial Narrow" w:hAnsi="Arial Narrow"/>
                <w:b/>
                <w:bCs/>
                <w:color w:val="000000"/>
                <w:sz w:val="16"/>
                <w:szCs w:val="16"/>
                <w:lang w:eastAsia="sl-SI"/>
              </w:rPr>
              <w:t>45.566.653</w:t>
            </w:r>
          </w:p>
        </w:tc>
        <w:tc>
          <w:tcPr>
            <w:tcW w:w="895" w:type="dxa"/>
            <w:tcBorders>
              <w:top w:val="nil"/>
              <w:left w:val="nil"/>
              <w:bottom w:val="single" w:sz="8" w:space="0" w:color="9BBB59"/>
              <w:right w:val="nil"/>
            </w:tcBorders>
            <w:shd w:val="clear" w:color="auto" w:fill="auto"/>
            <w:noWrap/>
            <w:vAlign w:val="center"/>
            <w:hideMark/>
          </w:tcPr>
          <w:p w:rsidR="00E74A2C" w:rsidRPr="00C50B45" w:rsidRDefault="00E74A2C" w:rsidP="0011748C">
            <w:pPr>
              <w:spacing w:after="0" w:line="240" w:lineRule="auto"/>
              <w:jc w:val="right"/>
              <w:rPr>
                <w:rFonts w:ascii="Arial Narrow" w:hAnsi="Arial Narrow"/>
                <w:b/>
                <w:bCs/>
                <w:color w:val="000000"/>
                <w:sz w:val="16"/>
                <w:szCs w:val="16"/>
                <w:lang w:eastAsia="sl-SI"/>
              </w:rPr>
            </w:pPr>
            <w:r w:rsidRPr="00C50B45">
              <w:rPr>
                <w:rFonts w:ascii="Arial Narrow" w:hAnsi="Arial Narrow"/>
                <w:b/>
                <w:bCs/>
                <w:color w:val="000000"/>
                <w:sz w:val="16"/>
                <w:szCs w:val="16"/>
                <w:lang w:eastAsia="sl-SI"/>
              </w:rPr>
              <w:t>43.601.379</w:t>
            </w:r>
          </w:p>
        </w:tc>
        <w:tc>
          <w:tcPr>
            <w:tcW w:w="895" w:type="dxa"/>
            <w:tcBorders>
              <w:top w:val="nil"/>
              <w:left w:val="nil"/>
              <w:bottom w:val="single" w:sz="8" w:space="0" w:color="9BBB59"/>
              <w:right w:val="nil"/>
            </w:tcBorders>
            <w:shd w:val="clear" w:color="auto" w:fill="auto"/>
            <w:noWrap/>
            <w:vAlign w:val="center"/>
            <w:hideMark/>
          </w:tcPr>
          <w:p w:rsidR="00E74A2C" w:rsidRPr="00C50B45" w:rsidRDefault="00E74A2C" w:rsidP="0011748C">
            <w:pPr>
              <w:spacing w:after="0" w:line="240" w:lineRule="auto"/>
              <w:jc w:val="right"/>
              <w:rPr>
                <w:rFonts w:ascii="Arial Narrow" w:hAnsi="Arial Narrow"/>
                <w:b/>
                <w:bCs/>
                <w:color w:val="000000"/>
                <w:sz w:val="16"/>
                <w:szCs w:val="16"/>
                <w:lang w:eastAsia="sl-SI"/>
              </w:rPr>
            </w:pPr>
            <w:r w:rsidRPr="00C50B45">
              <w:rPr>
                <w:rFonts w:ascii="Arial Narrow" w:hAnsi="Arial Narrow"/>
                <w:b/>
                <w:bCs/>
                <w:color w:val="000000"/>
                <w:sz w:val="16"/>
                <w:szCs w:val="16"/>
                <w:lang w:eastAsia="sl-SI"/>
              </w:rPr>
              <w:t>39.020.992</w:t>
            </w:r>
          </w:p>
        </w:tc>
        <w:tc>
          <w:tcPr>
            <w:tcW w:w="895" w:type="dxa"/>
            <w:tcBorders>
              <w:top w:val="nil"/>
              <w:left w:val="nil"/>
              <w:bottom w:val="single" w:sz="8" w:space="0" w:color="9BBB59"/>
              <w:right w:val="single" w:sz="8" w:space="0" w:color="9BBB59"/>
            </w:tcBorders>
            <w:shd w:val="clear" w:color="auto" w:fill="auto"/>
            <w:noWrap/>
            <w:vAlign w:val="center"/>
            <w:hideMark/>
          </w:tcPr>
          <w:p w:rsidR="00E74A2C" w:rsidRPr="00C50B45" w:rsidRDefault="00E74A2C" w:rsidP="0011748C">
            <w:pPr>
              <w:spacing w:after="0" w:line="240" w:lineRule="auto"/>
              <w:jc w:val="right"/>
              <w:rPr>
                <w:rFonts w:ascii="Arial Narrow" w:hAnsi="Arial Narrow"/>
                <w:b/>
                <w:bCs/>
                <w:color w:val="000000"/>
                <w:sz w:val="16"/>
                <w:szCs w:val="16"/>
                <w:lang w:eastAsia="sl-SI"/>
              </w:rPr>
            </w:pPr>
            <w:r w:rsidRPr="00C50B45">
              <w:rPr>
                <w:rFonts w:ascii="Arial Narrow" w:hAnsi="Arial Narrow"/>
                <w:b/>
                <w:bCs/>
                <w:color w:val="000000"/>
                <w:sz w:val="16"/>
                <w:szCs w:val="16"/>
                <w:lang w:eastAsia="sl-SI"/>
              </w:rPr>
              <w:t>43.142.131</w:t>
            </w:r>
          </w:p>
        </w:tc>
      </w:tr>
    </w:tbl>
    <w:p w:rsidR="00E74A2C" w:rsidRPr="00F561EB" w:rsidRDefault="00E74A2C" w:rsidP="00E74A2C">
      <w:pPr>
        <w:pStyle w:val="Podpispodtabeloaligrafom"/>
        <w:rPr>
          <w:highlight w:val="yellow"/>
          <w:lang w:eastAsia="sl-SI"/>
        </w:rPr>
      </w:pPr>
      <w:r w:rsidRPr="00F561EB">
        <w:rPr>
          <w:lang w:eastAsia="sl-SI"/>
        </w:rPr>
        <w:t>Vir: Ministrstvo za kulturo</w:t>
      </w:r>
      <w:r>
        <w:rPr>
          <w:lang w:eastAsia="sl-SI"/>
        </w:rPr>
        <w:t>.</w:t>
      </w:r>
    </w:p>
    <w:p w:rsidR="00E74A2C" w:rsidRDefault="00E74A2C" w:rsidP="00E74A2C">
      <w:pPr>
        <w:pStyle w:val="Podpispodtabeloaligrafom"/>
        <w:rPr>
          <w:lang w:eastAsia="sl-SI"/>
        </w:rPr>
      </w:pPr>
      <w:r w:rsidRPr="00BD17E2">
        <w:rPr>
          <w:lang w:eastAsia="sl-SI"/>
        </w:rPr>
        <w:t>* Vključuje tudi investicije.</w:t>
      </w:r>
    </w:p>
    <w:p w:rsidR="00E74A2C" w:rsidRDefault="00E74A2C" w:rsidP="00E74A2C">
      <w:pPr>
        <w:pStyle w:val="Podpispodtabeloaligrafom"/>
        <w:rPr>
          <w:highlight w:val="yellow"/>
          <w:lang w:eastAsia="sl-SI"/>
        </w:rPr>
      </w:pPr>
      <w:r w:rsidRPr="00277F8B">
        <w:rPr>
          <w:lang w:eastAsia="sl-SI"/>
        </w:rPr>
        <w:t xml:space="preserve">** Podatki se nanašajo samo na </w:t>
      </w:r>
      <w:r>
        <w:rPr>
          <w:lang w:eastAsia="sl-SI"/>
        </w:rPr>
        <w:t>občinske javne zavode</w:t>
      </w:r>
      <w:r w:rsidRPr="00277F8B">
        <w:rPr>
          <w:lang w:eastAsia="sl-SI"/>
        </w:rPr>
        <w:t xml:space="preserve">, ki </w:t>
      </w:r>
      <w:r>
        <w:rPr>
          <w:lang w:eastAsia="sl-SI"/>
        </w:rPr>
        <w:t>jih</w:t>
      </w:r>
      <w:r w:rsidRPr="00277F8B">
        <w:rPr>
          <w:lang w:eastAsia="sl-SI"/>
        </w:rPr>
        <w:t xml:space="preserve"> Ministrstvo za kulturo </w:t>
      </w:r>
      <w:r>
        <w:rPr>
          <w:lang w:eastAsia="sl-SI"/>
        </w:rPr>
        <w:t>redno financira (na podlagi neposrednega poziva)</w:t>
      </w:r>
      <w:r w:rsidRPr="00277F8B">
        <w:rPr>
          <w:lang w:eastAsia="sl-SI"/>
        </w:rPr>
        <w:t xml:space="preserve"> </w:t>
      </w:r>
      <w:r>
        <w:rPr>
          <w:lang w:eastAsia="sl-SI"/>
        </w:rPr>
        <w:t xml:space="preserve">in </w:t>
      </w:r>
      <w:r w:rsidRPr="00277F8B">
        <w:rPr>
          <w:lang w:eastAsia="sl-SI"/>
        </w:rPr>
        <w:t>ne na vse javne zavode, ki delujejo v kulturi.</w:t>
      </w:r>
    </w:p>
    <w:p w:rsidR="00E74A2C" w:rsidRPr="00BD17E2" w:rsidRDefault="00E74A2C" w:rsidP="00E74A2C">
      <w:pPr>
        <w:pStyle w:val="Podpispodtabeloaligrafom"/>
        <w:rPr>
          <w:lang w:eastAsia="sl-SI"/>
        </w:rPr>
      </w:pPr>
    </w:p>
    <w:p w:rsidR="00E74A2C" w:rsidRPr="00BD17E2" w:rsidRDefault="00E74A2C" w:rsidP="00E74A2C">
      <w:pPr>
        <w:pStyle w:val="Naslovtabele"/>
        <w:rPr>
          <w:highlight w:val="yellow"/>
          <w:lang w:eastAsia="sl-SI"/>
        </w:rPr>
      </w:pPr>
      <w:bookmarkStart w:id="471" w:name="_Toc490053422"/>
      <w:bookmarkStart w:id="472" w:name="_Toc490053793"/>
      <w:bookmarkStart w:id="473" w:name="_Toc490600065"/>
      <w:r>
        <w:rPr>
          <w:lang w:eastAsia="sl-SI"/>
        </w:rPr>
        <w:t>Graf</w:t>
      </w:r>
      <w:r w:rsidR="00344E6D">
        <w:rPr>
          <w:lang w:eastAsia="sl-SI"/>
        </w:rPr>
        <w:t xml:space="preserve"> 49</w:t>
      </w:r>
      <w:r w:rsidRPr="00BD17E2">
        <w:rPr>
          <w:lang w:eastAsia="sl-SI"/>
        </w:rPr>
        <w:t xml:space="preserve">: Struktura celotnega prihodka* </w:t>
      </w:r>
      <w:r>
        <w:rPr>
          <w:lang w:eastAsia="sl-SI"/>
        </w:rPr>
        <w:t>občinskih</w:t>
      </w:r>
      <w:r w:rsidRPr="00BD17E2">
        <w:rPr>
          <w:lang w:eastAsia="sl-SI"/>
        </w:rPr>
        <w:t xml:space="preserve"> javnih zavodov</w:t>
      </w:r>
      <w:r>
        <w:rPr>
          <w:lang w:eastAsia="sl-SI"/>
        </w:rPr>
        <w:t xml:space="preserve"> po viru**</w:t>
      </w:r>
      <w:r w:rsidRPr="00BD17E2">
        <w:rPr>
          <w:lang w:eastAsia="sl-SI"/>
        </w:rPr>
        <w:t xml:space="preserve"> </w:t>
      </w:r>
      <w:r>
        <w:rPr>
          <w:lang w:eastAsia="sl-SI"/>
        </w:rPr>
        <w:t>(</w:t>
      </w:r>
      <w:r w:rsidRPr="00BD17E2">
        <w:rPr>
          <w:lang w:eastAsia="sl-SI"/>
        </w:rPr>
        <w:t>2015</w:t>
      </w:r>
      <w:r>
        <w:rPr>
          <w:lang w:eastAsia="sl-SI"/>
        </w:rPr>
        <w:t>)</w:t>
      </w:r>
      <w:bookmarkEnd w:id="471"/>
      <w:bookmarkEnd w:id="472"/>
      <w:bookmarkEnd w:id="473"/>
    </w:p>
    <w:p w:rsidR="00E74A2C" w:rsidRDefault="00E74A2C" w:rsidP="00E74A2C">
      <w:pPr>
        <w:jc w:val="both"/>
        <w:rPr>
          <w:rFonts w:cs="Arial"/>
          <w:szCs w:val="20"/>
          <w:highlight w:val="yellow"/>
          <w:lang w:eastAsia="sl-SI"/>
        </w:rPr>
      </w:pPr>
    </w:p>
    <w:p w:rsidR="00E74A2C" w:rsidRDefault="00E74A2C" w:rsidP="00E74A2C">
      <w:pPr>
        <w:jc w:val="both"/>
        <w:rPr>
          <w:rFonts w:cs="Arial"/>
          <w:szCs w:val="20"/>
          <w:highlight w:val="yellow"/>
          <w:lang w:eastAsia="sl-SI"/>
        </w:rPr>
      </w:pPr>
      <w:r>
        <w:rPr>
          <w:noProof/>
          <w:lang w:eastAsia="sl-SI"/>
        </w:rPr>
        <w:drawing>
          <wp:inline distT="0" distB="0" distL="0" distR="0" wp14:anchorId="24865C05" wp14:editId="51850056">
            <wp:extent cx="4499777" cy="2220361"/>
            <wp:effectExtent l="0" t="0" r="0" b="0"/>
            <wp:docPr id="58" name="Grafikon 58"/>
            <wp:cNvGraphicFramePr/>
            <a:graphic xmlns:a="http://schemas.openxmlformats.org/drawingml/2006/main">
              <a:graphicData uri="http://schemas.openxmlformats.org/drawingml/2006/chart">
                <c:chart xmlns:c="http://schemas.openxmlformats.org/drawingml/2006/chart" xmlns:r="http://schemas.openxmlformats.org/officeDocument/2006/relationships" r:id="rId80"/>
              </a:graphicData>
            </a:graphic>
          </wp:inline>
        </w:drawing>
      </w:r>
    </w:p>
    <w:p w:rsidR="00E74A2C" w:rsidRPr="00F561EB" w:rsidRDefault="00E74A2C" w:rsidP="00E74A2C">
      <w:pPr>
        <w:pStyle w:val="Podpispodtabeloaligrafom"/>
        <w:rPr>
          <w:highlight w:val="yellow"/>
          <w:lang w:eastAsia="sl-SI"/>
        </w:rPr>
      </w:pPr>
      <w:r w:rsidRPr="00F561EB">
        <w:rPr>
          <w:lang w:eastAsia="sl-SI"/>
        </w:rPr>
        <w:t>Vir: Ministrstvo za kulturo</w:t>
      </w:r>
      <w:r>
        <w:rPr>
          <w:lang w:eastAsia="sl-SI"/>
        </w:rPr>
        <w:t>.</w:t>
      </w:r>
    </w:p>
    <w:p w:rsidR="00E74A2C" w:rsidRDefault="00E74A2C" w:rsidP="00E74A2C">
      <w:pPr>
        <w:pStyle w:val="Podpispodtabeloaligrafom"/>
        <w:rPr>
          <w:lang w:eastAsia="sl-SI"/>
        </w:rPr>
      </w:pPr>
      <w:r w:rsidRPr="00BD17E2">
        <w:rPr>
          <w:lang w:eastAsia="sl-SI"/>
        </w:rPr>
        <w:t>* Vključuje tudi investicije.</w:t>
      </w:r>
    </w:p>
    <w:p w:rsidR="00E74A2C" w:rsidRDefault="00E74A2C" w:rsidP="00E74A2C">
      <w:pPr>
        <w:pStyle w:val="Podpispodtabeloaligrafom"/>
        <w:rPr>
          <w:highlight w:val="yellow"/>
          <w:lang w:eastAsia="sl-SI"/>
        </w:rPr>
      </w:pPr>
      <w:r>
        <w:rPr>
          <w:lang w:eastAsia="sl-SI"/>
        </w:rPr>
        <w:t>** Podatki se nanašajo samo na občinske javne zavode</w:t>
      </w:r>
      <w:r w:rsidRPr="00277F8B">
        <w:rPr>
          <w:lang w:eastAsia="sl-SI"/>
        </w:rPr>
        <w:t xml:space="preserve">, ki jim Ministrstvo za kulturo </w:t>
      </w:r>
      <w:r>
        <w:rPr>
          <w:lang w:eastAsia="sl-SI"/>
        </w:rPr>
        <w:t xml:space="preserve">redno </w:t>
      </w:r>
      <w:r w:rsidRPr="00277F8B">
        <w:rPr>
          <w:lang w:eastAsia="sl-SI"/>
        </w:rPr>
        <w:t>financira</w:t>
      </w:r>
      <w:r>
        <w:rPr>
          <w:lang w:eastAsia="sl-SI"/>
        </w:rPr>
        <w:t xml:space="preserve"> (na podlagi neposrednega poziva)</w:t>
      </w:r>
      <w:r w:rsidRPr="00277F8B">
        <w:rPr>
          <w:lang w:eastAsia="sl-SI"/>
        </w:rPr>
        <w:t xml:space="preserve"> </w:t>
      </w:r>
      <w:r>
        <w:rPr>
          <w:lang w:eastAsia="sl-SI"/>
        </w:rPr>
        <w:t xml:space="preserve">in </w:t>
      </w:r>
      <w:r w:rsidRPr="00277F8B">
        <w:rPr>
          <w:lang w:eastAsia="sl-SI"/>
        </w:rPr>
        <w:t>ne na vse javne zavode, ki delujejo v kulturi.</w:t>
      </w:r>
    </w:p>
    <w:p w:rsidR="00A647F3" w:rsidRDefault="00A647F3" w:rsidP="00E74A2C">
      <w:pPr>
        <w:spacing w:after="0"/>
        <w:rPr>
          <w:rFonts w:cs="Arial"/>
          <w:szCs w:val="20"/>
          <w:lang w:eastAsia="sl-SI"/>
        </w:rPr>
      </w:pPr>
    </w:p>
    <w:p w:rsidR="00E74A2C" w:rsidRDefault="00E74A2C" w:rsidP="00E74A2C">
      <w:pPr>
        <w:spacing w:after="0"/>
        <w:rPr>
          <w:rFonts w:cs="Arial"/>
          <w:szCs w:val="20"/>
          <w:lang w:eastAsia="sl-SI"/>
        </w:rPr>
      </w:pPr>
      <w:r>
        <w:rPr>
          <w:rFonts w:cs="Arial"/>
          <w:szCs w:val="20"/>
          <w:lang w:eastAsia="sl-SI"/>
        </w:rPr>
        <w:t xml:space="preserve">V opazovanem obdobju se je spremenila tudi struktura prihodkov občinskih javnih zavodov: zmanjšal se je odstotek, ki ga v skupnih prihodkih predstavljajo sredstva Ministrstva za kulturo ter tudi odstotka prihodkov iz javne službe in tržne dejavnosti, povečali pa so se prihodki lokalnih skupnosti in drugi prihodki javnih financ. </w:t>
      </w:r>
    </w:p>
    <w:p w:rsidR="00E74A2C" w:rsidRDefault="00E74A2C" w:rsidP="00E74A2C">
      <w:pPr>
        <w:spacing w:after="0"/>
        <w:rPr>
          <w:rFonts w:cs="Arial"/>
          <w:szCs w:val="20"/>
          <w:lang w:eastAsia="sl-SI"/>
        </w:rPr>
      </w:pPr>
    </w:p>
    <w:p w:rsidR="00E74A2C" w:rsidRDefault="00E74A2C" w:rsidP="00D47110">
      <w:pPr>
        <w:pStyle w:val="Podnaslov3"/>
        <w:rPr>
          <w:lang w:eastAsia="sl-SI"/>
        </w:rPr>
      </w:pPr>
      <w:bookmarkStart w:id="474" w:name="_Toc490047612"/>
      <w:bookmarkStart w:id="475" w:name="_Toc490599978"/>
      <w:bookmarkStart w:id="476" w:name="_Toc506192108"/>
      <w:r>
        <w:rPr>
          <w:lang w:eastAsia="sl-SI"/>
        </w:rPr>
        <w:t>Stroški dela</w:t>
      </w:r>
      <w:bookmarkEnd w:id="474"/>
      <w:bookmarkEnd w:id="475"/>
      <w:bookmarkEnd w:id="476"/>
    </w:p>
    <w:p w:rsidR="00E74A2C" w:rsidRPr="003905C9" w:rsidRDefault="00E74A2C" w:rsidP="00E74A2C">
      <w:pPr>
        <w:jc w:val="both"/>
        <w:rPr>
          <w:rFonts w:cs="Arial"/>
          <w:szCs w:val="20"/>
          <w:lang w:eastAsia="sl-SI"/>
        </w:rPr>
      </w:pPr>
      <w:r>
        <w:rPr>
          <w:rFonts w:cs="Arial"/>
          <w:szCs w:val="20"/>
          <w:lang w:eastAsia="sl-SI"/>
        </w:rPr>
        <w:t xml:space="preserve">Prej smo predstavili podatek, da je v sredstvih, ki jih Ministrstvo za kulturo nakaže javnim zavodom, skoraj 70 % namenjenih plačam. Ker pa imajo javni zavodi tudi druge financerje ter lastne prihodke, skupni stroški dela, kamor sodijo plače, avtorski honorarji, pogodbe o delu in plačila prek študentskega servisa v resnici predstavljajo približno 60 % celotnega prihodka javnih zavodov. Čeprav se je v opazovanem obdobju nominalna vrednost stroškov za plače povečala, danes predstavljajo nekaj manjši odstotek v masi stroškov dela kot leta 2008 (2008: 86,52 %, 2015: 85,72 %), z vidika </w:t>
      </w:r>
      <w:r w:rsidR="00A647F3">
        <w:rPr>
          <w:rFonts w:cs="Arial"/>
          <w:szCs w:val="20"/>
          <w:lang w:eastAsia="sl-SI"/>
        </w:rPr>
        <w:t xml:space="preserve">medsebojnih </w:t>
      </w:r>
      <w:r>
        <w:rPr>
          <w:rFonts w:cs="Arial"/>
          <w:szCs w:val="20"/>
          <w:lang w:eastAsia="sl-SI"/>
        </w:rPr>
        <w:t>razmerij med različnimi stroški dela (in ne zaradi obsega) pa najbolj izstopajo stroški za pogodbe o delu, ki so leta 2008 predstavljali dvakrat manjši odstotek (0,75 %) kot leta 2015 (1,75 %).</w:t>
      </w:r>
    </w:p>
    <w:p w:rsidR="00E74A2C" w:rsidRPr="00DF600F" w:rsidRDefault="00C75E6E" w:rsidP="00E74A2C">
      <w:pPr>
        <w:pStyle w:val="Naslovtabele"/>
      </w:pPr>
      <w:bookmarkStart w:id="477" w:name="_Toc490053423"/>
      <w:bookmarkStart w:id="478" w:name="_Toc490053794"/>
      <w:bookmarkStart w:id="479" w:name="_Toc490600066"/>
      <w:r>
        <w:t>Tabela 39</w:t>
      </w:r>
      <w:r w:rsidR="00E74A2C">
        <w:t>: Sredstva, ki so jih javni zavodi* namenili za izplačila stroškov dela (2008–2015)**</w:t>
      </w:r>
      <w:bookmarkEnd w:id="477"/>
      <w:bookmarkEnd w:id="478"/>
      <w:bookmarkEnd w:id="479"/>
    </w:p>
    <w:tbl>
      <w:tblPr>
        <w:tblW w:w="8640" w:type="dxa"/>
        <w:tblInd w:w="55" w:type="dxa"/>
        <w:tblCellMar>
          <w:left w:w="70" w:type="dxa"/>
          <w:right w:w="70" w:type="dxa"/>
        </w:tblCellMar>
        <w:tblLook w:val="04A0" w:firstRow="1" w:lastRow="0" w:firstColumn="1" w:lastColumn="0" w:noHBand="0" w:noVBand="1"/>
      </w:tblPr>
      <w:tblGrid>
        <w:gridCol w:w="960"/>
        <w:gridCol w:w="960"/>
        <w:gridCol w:w="960"/>
        <w:gridCol w:w="960"/>
        <w:gridCol w:w="960"/>
        <w:gridCol w:w="960"/>
        <w:gridCol w:w="960"/>
        <w:gridCol w:w="960"/>
        <w:gridCol w:w="960"/>
      </w:tblGrid>
      <w:tr w:rsidR="00E74A2C" w:rsidRPr="002B0C9D" w:rsidTr="0011748C">
        <w:trPr>
          <w:trHeight w:val="300"/>
          <w:tblHeader/>
        </w:trPr>
        <w:tc>
          <w:tcPr>
            <w:tcW w:w="960" w:type="dxa"/>
            <w:tcBorders>
              <w:top w:val="single" w:sz="8" w:space="0" w:color="9BBB59"/>
              <w:left w:val="single" w:sz="8" w:space="0" w:color="9BBB59"/>
              <w:bottom w:val="nil"/>
              <w:right w:val="nil"/>
            </w:tcBorders>
            <w:shd w:val="clear" w:color="000000" w:fill="9BBB59"/>
            <w:hideMark/>
          </w:tcPr>
          <w:p w:rsidR="00E74A2C" w:rsidRPr="002B0C9D" w:rsidRDefault="00E74A2C" w:rsidP="0011748C">
            <w:pPr>
              <w:spacing w:after="0" w:line="240" w:lineRule="auto"/>
              <w:rPr>
                <w:rFonts w:ascii="Times New Roman" w:hAnsi="Times New Roman"/>
                <w:color w:val="000000"/>
                <w:szCs w:val="20"/>
                <w:lang w:eastAsia="sl-SI"/>
              </w:rPr>
            </w:pPr>
            <w:r w:rsidRPr="002B0C9D">
              <w:rPr>
                <w:rFonts w:ascii="Times New Roman" w:hAnsi="Times New Roman"/>
                <w:color w:val="000000"/>
                <w:szCs w:val="20"/>
                <w:lang w:eastAsia="sl-SI"/>
              </w:rPr>
              <w:t> </w:t>
            </w:r>
          </w:p>
        </w:tc>
        <w:tc>
          <w:tcPr>
            <w:tcW w:w="960" w:type="dxa"/>
            <w:tcBorders>
              <w:top w:val="single" w:sz="8" w:space="0" w:color="9BBB59"/>
              <w:left w:val="nil"/>
              <w:bottom w:val="nil"/>
              <w:right w:val="nil"/>
            </w:tcBorders>
            <w:shd w:val="clear" w:color="000000" w:fill="9BBB59"/>
            <w:noWrap/>
            <w:vAlign w:val="center"/>
            <w:hideMark/>
          </w:tcPr>
          <w:p w:rsidR="00E74A2C" w:rsidRPr="002B0C9D" w:rsidRDefault="00E74A2C" w:rsidP="0011748C">
            <w:pPr>
              <w:spacing w:after="0" w:line="240" w:lineRule="auto"/>
              <w:jc w:val="right"/>
              <w:rPr>
                <w:rFonts w:ascii="Arial Narrow" w:hAnsi="Arial Narrow"/>
                <w:b/>
                <w:bCs/>
                <w:color w:val="FFFFFF"/>
                <w:sz w:val="16"/>
                <w:szCs w:val="16"/>
                <w:lang w:eastAsia="sl-SI"/>
              </w:rPr>
            </w:pPr>
            <w:r w:rsidRPr="002B0C9D">
              <w:rPr>
                <w:rFonts w:ascii="Arial Narrow" w:hAnsi="Arial Narrow"/>
                <w:b/>
                <w:bCs/>
                <w:color w:val="FFFFFF"/>
                <w:sz w:val="16"/>
                <w:szCs w:val="16"/>
                <w:lang w:eastAsia="sl-SI"/>
              </w:rPr>
              <w:t>2008</w:t>
            </w:r>
          </w:p>
        </w:tc>
        <w:tc>
          <w:tcPr>
            <w:tcW w:w="960" w:type="dxa"/>
            <w:tcBorders>
              <w:top w:val="single" w:sz="8" w:space="0" w:color="9BBB59"/>
              <w:left w:val="nil"/>
              <w:bottom w:val="nil"/>
              <w:right w:val="nil"/>
            </w:tcBorders>
            <w:shd w:val="clear" w:color="000000" w:fill="9BBB59"/>
            <w:noWrap/>
            <w:vAlign w:val="center"/>
            <w:hideMark/>
          </w:tcPr>
          <w:p w:rsidR="00E74A2C" w:rsidRPr="002B0C9D" w:rsidRDefault="00E74A2C" w:rsidP="0011748C">
            <w:pPr>
              <w:spacing w:after="0" w:line="240" w:lineRule="auto"/>
              <w:jc w:val="right"/>
              <w:rPr>
                <w:rFonts w:ascii="Arial Narrow" w:hAnsi="Arial Narrow"/>
                <w:b/>
                <w:bCs/>
                <w:color w:val="FFFFFF"/>
                <w:sz w:val="16"/>
                <w:szCs w:val="16"/>
                <w:lang w:eastAsia="sl-SI"/>
              </w:rPr>
            </w:pPr>
            <w:r w:rsidRPr="002B0C9D">
              <w:rPr>
                <w:rFonts w:ascii="Arial Narrow" w:hAnsi="Arial Narrow"/>
                <w:b/>
                <w:bCs/>
                <w:color w:val="FFFFFF"/>
                <w:sz w:val="16"/>
                <w:szCs w:val="16"/>
                <w:lang w:eastAsia="sl-SI"/>
              </w:rPr>
              <w:t>2009</w:t>
            </w:r>
          </w:p>
        </w:tc>
        <w:tc>
          <w:tcPr>
            <w:tcW w:w="960" w:type="dxa"/>
            <w:tcBorders>
              <w:top w:val="single" w:sz="8" w:space="0" w:color="9BBB59"/>
              <w:left w:val="nil"/>
              <w:bottom w:val="nil"/>
              <w:right w:val="nil"/>
            </w:tcBorders>
            <w:shd w:val="clear" w:color="000000" w:fill="9BBB59"/>
            <w:noWrap/>
            <w:vAlign w:val="center"/>
            <w:hideMark/>
          </w:tcPr>
          <w:p w:rsidR="00E74A2C" w:rsidRPr="002B0C9D" w:rsidRDefault="00E74A2C" w:rsidP="0011748C">
            <w:pPr>
              <w:spacing w:after="0" w:line="240" w:lineRule="auto"/>
              <w:jc w:val="right"/>
              <w:rPr>
                <w:rFonts w:ascii="Arial Narrow" w:hAnsi="Arial Narrow"/>
                <w:b/>
                <w:bCs/>
                <w:color w:val="FFFFFF"/>
                <w:sz w:val="16"/>
                <w:szCs w:val="16"/>
                <w:lang w:eastAsia="sl-SI"/>
              </w:rPr>
            </w:pPr>
            <w:r w:rsidRPr="002B0C9D">
              <w:rPr>
                <w:rFonts w:ascii="Arial Narrow" w:hAnsi="Arial Narrow"/>
                <w:b/>
                <w:bCs/>
                <w:color w:val="FFFFFF"/>
                <w:sz w:val="16"/>
                <w:szCs w:val="16"/>
                <w:lang w:eastAsia="sl-SI"/>
              </w:rPr>
              <w:t>2010</w:t>
            </w:r>
          </w:p>
        </w:tc>
        <w:tc>
          <w:tcPr>
            <w:tcW w:w="960" w:type="dxa"/>
            <w:tcBorders>
              <w:top w:val="single" w:sz="8" w:space="0" w:color="9BBB59"/>
              <w:left w:val="nil"/>
              <w:bottom w:val="nil"/>
              <w:right w:val="nil"/>
            </w:tcBorders>
            <w:shd w:val="clear" w:color="000000" w:fill="9BBB59"/>
            <w:noWrap/>
            <w:vAlign w:val="center"/>
            <w:hideMark/>
          </w:tcPr>
          <w:p w:rsidR="00E74A2C" w:rsidRPr="002B0C9D" w:rsidRDefault="00E74A2C" w:rsidP="0011748C">
            <w:pPr>
              <w:spacing w:after="0" w:line="240" w:lineRule="auto"/>
              <w:jc w:val="right"/>
              <w:rPr>
                <w:rFonts w:ascii="Arial Narrow" w:hAnsi="Arial Narrow"/>
                <w:b/>
                <w:bCs/>
                <w:color w:val="FFFFFF"/>
                <w:sz w:val="16"/>
                <w:szCs w:val="16"/>
                <w:lang w:eastAsia="sl-SI"/>
              </w:rPr>
            </w:pPr>
            <w:r w:rsidRPr="002B0C9D">
              <w:rPr>
                <w:rFonts w:ascii="Arial Narrow" w:hAnsi="Arial Narrow"/>
                <w:b/>
                <w:bCs/>
                <w:color w:val="FFFFFF"/>
                <w:sz w:val="16"/>
                <w:szCs w:val="16"/>
                <w:lang w:eastAsia="sl-SI"/>
              </w:rPr>
              <w:t>2011</w:t>
            </w:r>
          </w:p>
        </w:tc>
        <w:tc>
          <w:tcPr>
            <w:tcW w:w="960" w:type="dxa"/>
            <w:tcBorders>
              <w:top w:val="single" w:sz="8" w:space="0" w:color="9BBB59"/>
              <w:left w:val="nil"/>
              <w:bottom w:val="nil"/>
              <w:right w:val="nil"/>
            </w:tcBorders>
            <w:shd w:val="clear" w:color="000000" w:fill="9BBB59"/>
            <w:noWrap/>
            <w:vAlign w:val="center"/>
            <w:hideMark/>
          </w:tcPr>
          <w:p w:rsidR="00E74A2C" w:rsidRPr="002B0C9D" w:rsidRDefault="00E74A2C" w:rsidP="0011748C">
            <w:pPr>
              <w:spacing w:after="0" w:line="240" w:lineRule="auto"/>
              <w:jc w:val="right"/>
              <w:rPr>
                <w:rFonts w:ascii="Arial Narrow" w:hAnsi="Arial Narrow"/>
                <w:b/>
                <w:bCs/>
                <w:color w:val="FFFFFF"/>
                <w:sz w:val="16"/>
                <w:szCs w:val="16"/>
                <w:lang w:eastAsia="sl-SI"/>
              </w:rPr>
            </w:pPr>
            <w:r w:rsidRPr="002B0C9D">
              <w:rPr>
                <w:rFonts w:ascii="Arial Narrow" w:hAnsi="Arial Narrow"/>
                <w:b/>
                <w:bCs/>
                <w:color w:val="FFFFFF"/>
                <w:sz w:val="16"/>
                <w:szCs w:val="16"/>
                <w:lang w:eastAsia="sl-SI"/>
              </w:rPr>
              <w:t>2012</w:t>
            </w:r>
          </w:p>
        </w:tc>
        <w:tc>
          <w:tcPr>
            <w:tcW w:w="960" w:type="dxa"/>
            <w:tcBorders>
              <w:top w:val="single" w:sz="8" w:space="0" w:color="9BBB59"/>
              <w:left w:val="nil"/>
              <w:bottom w:val="nil"/>
              <w:right w:val="nil"/>
            </w:tcBorders>
            <w:shd w:val="clear" w:color="000000" w:fill="9BBB59"/>
            <w:noWrap/>
            <w:vAlign w:val="center"/>
            <w:hideMark/>
          </w:tcPr>
          <w:p w:rsidR="00E74A2C" w:rsidRPr="002B0C9D" w:rsidRDefault="00E74A2C" w:rsidP="0011748C">
            <w:pPr>
              <w:spacing w:after="0" w:line="240" w:lineRule="auto"/>
              <w:jc w:val="right"/>
              <w:rPr>
                <w:rFonts w:ascii="Arial Narrow" w:hAnsi="Arial Narrow"/>
                <w:b/>
                <w:bCs/>
                <w:color w:val="FFFFFF"/>
                <w:sz w:val="16"/>
                <w:szCs w:val="16"/>
                <w:lang w:eastAsia="sl-SI"/>
              </w:rPr>
            </w:pPr>
            <w:r w:rsidRPr="002B0C9D">
              <w:rPr>
                <w:rFonts w:ascii="Arial Narrow" w:hAnsi="Arial Narrow"/>
                <w:b/>
                <w:bCs/>
                <w:color w:val="FFFFFF"/>
                <w:sz w:val="16"/>
                <w:szCs w:val="16"/>
                <w:lang w:eastAsia="sl-SI"/>
              </w:rPr>
              <w:t>2013</w:t>
            </w:r>
          </w:p>
        </w:tc>
        <w:tc>
          <w:tcPr>
            <w:tcW w:w="960" w:type="dxa"/>
            <w:tcBorders>
              <w:top w:val="single" w:sz="8" w:space="0" w:color="9BBB59"/>
              <w:left w:val="nil"/>
              <w:bottom w:val="nil"/>
              <w:right w:val="nil"/>
            </w:tcBorders>
            <w:shd w:val="clear" w:color="000000" w:fill="9BBB59"/>
            <w:noWrap/>
            <w:vAlign w:val="center"/>
            <w:hideMark/>
          </w:tcPr>
          <w:p w:rsidR="00E74A2C" w:rsidRPr="002B0C9D" w:rsidRDefault="00E74A2C" w:rsidP="0011748C">
            <w:pPr>
              <w:spacing w:after="0" w:line="240" w:lineRule="auto"/>
              <w:jc w:val="right"/>
              <w:rPr>
                <w:rFonts w:ascii="Arial Narrow" w:hAnsi="Arial Narrow"/>
                <w:b/>
                <w:bCs/>
                <w:color w:val="FFFFFF"/>
                <w:sz w:val="16"/>
                <w:szCs w:val="16"/>
                <w:lang w:eastAsia="sl-SI"/>
              </w:rPr>
            </w:pPr>
            <w:r w:rsidRPr="002B0C9D">
              <w:rPr>
                <w:rFonts w:ascii="Arial Narrow" w:hAnsi="Arial Narrow"/>
                <w:b/>
                <w:bCs/>
                <w:color w:val="FFFFFF"/>
                <w:sz w:val="16"/>
                <w:szCs w:val="16"/>
                <w:lang w:eastAsia="sl-SI"/>
              </w:rPr>
              <w:t>2014</w:t>
            </w:r>
          </w:p>
        </w:tc>
        <w:tc>
          <w:tcPr>
            <w:tcW w:w="960" w:type="dxa"/>
            <w:tcBorders>
              <w:top w:val="single" w:sz="8" w:space="0" w:color="9BBB59"/>
              <w:left w:val="nil"/>
              <w:bottom w:val="nil"/>
              <w:right w:val="single" w:sz="8" w:space="0" w:color="9BBB59"/>
            </w:tcBorders>
            <w:shd w:val="clear" w:color="000000" w:fill="9BBB59"/>
            <w:noWrap/>
            <w:vAlign w:val="center"/>
            <w:hideMark/>
          </w:tcPr>
          <w:p w:rsidR="00E74A2C" w:rsidRPr="002B0C9D" w:rsidRDefault="00E74A2C" w:rsidP="0011748C">
            <w:pPr>
              <w:spacing w:after="0" w:line="240" w:lineRule="auto"/>
              <w:jc w:val="right"/>
              <w:rPr>
                <w:rFonts w:ascii="Arial Narrow" w:hAnsi="Arial Narrow"/>
                <w:b/>
                <w:bCs/>
                <w:color w:val="FFFFFF"/>
                <w:sz w:val="16"/>
                <w:szCs w:val="16"/>
                <w:lang w:eastAsia="sl-SI"/>
              </w:rPr>
            </w:pPr>
            <w:r w:rsidRPr="002B0C9D">
              <w:rPr>
                <w:rFonts w:ascii="Arial Narrow" w:hAnsi="Arial Narrow"/>
                <w:b/>
                <w:bCs/>
                <w:color w:val="FFFFFF"/>
                <w:sz w:val="16"/>
                <w:szCs w:val="16"/>
                <w:lang w:eastAsia="sl-SI"/>
              </w:rPr>
              <w:t>2015</w:t>
            </w:r>
          </w:p>
        </w:tc>
      </w:tr>
      <w:tr w:rsidR="00E74A2C" w:rsidRPr="002B0C9D" w:rsidTr="0011748C">
        <w:trPr>
          <w:trHeight w:val="300"/>
        </w:trPr>
        <w:tc>
          <w:tcPr>
            <w:tcW w:w="960" w:type="dxa"/>
            <w:tcBorders>
              <w:top w:val="single" w:sz="8" w:space="0" w:color="9BBB59"/>
              <w:left w:val="single" w:sz="8" w:space="0" w:color="9BBB59"/>
              <w:bottom w:val="single" w:sz="8" w:space="0" w:color="9BBB59"/>
              <w:right w:val="nil"/>
            </w:tcBorders>
            <w:shd w:val="clear" w:color="auto" w:fill="9BBB59" w:themeFill="accent3"/>
            <w:vAlign w:val="center"/>
            <w:hideMark/>
          </w:tcPr>
          <w:p w:rsidR="00E74A2C" w:rsidRPr="00313D0D" w:rsidRDefault="00E74A2C" w:rsidP="0011748C">
            <w:pPr>
              <w:spacing w:after="0" w:line="240" w:lineRule="auto"/>
              <w:rPr>
                <w:rFonts w:ascii="Arial Narrow" w:hAnsi="Arial Narrow"/>
                <w:b/>
                <w:bCs/>
                <w:color w:val="FFFFFF" w:themeColor="background1"/>
                <w:sz w:val="16"/>
                <w:szCs w:val="16"/>
                <w:lang w:eastAsia="sl-SI"/>
              </w:rPr>
            </w:pPr>
            <w:r w:rsidRPr="00313D0D">
              <w:rPr>
                <w:rFonts w:ascii="Arial Narrow" w:hAnsi="Arial Narrow" w:cs="Arial"/>
                <w:b/>
                <w:bCs/>
                <w:color w:val="FFFFFF" w:themeColor="background1"/>
                <w:sz w:val="16"/>
                <w:szCs w:val="16"/>
                <w:lang w:eastAsia="sl-SI"/>
              </w:rPr>
              <w:t> </w:t>
            </w:r>
          </w:p>
        </w:tc>
        <w:tc>
          <w:tcPr>
            <w:tcW w:w="960" w:type="dxa"/>
            <w:tcBorders>
              <w:top w:val="single" w:sz="8" w:space="0" w:color="9BBB59"/>
              <w:left w:val="nil"/>
              <w:bottom w:val="single" w:sz="8" w:space="0" w:color="9BBB59"/>
              <w:right w:val="nil"/>
            </w:tcBorders>
            <w:shd w:val="clear" w:color="auto" w:fill="9BBB59" w:themeFill="accent3"/>
            <w:noWrap/>
            <w:vAlign w:val="center"/>
            <w:hideMark/>
          </w:tcPr>
          <w:p w:rsidR="00E74A2C" w:rsidRPr="00313D0D" w:rsidRDefault="00E74A2C" w:rsidP="0011748C">
            <w:pPr>
              <w:spacing w:after="0" w:line="240" w:lineRule="auto"/>
              <w:jc w:val="right"/>
              <w:rPr>
                <w:rFonts w:ascii="Arial Narrow" w:hAnsi="Arial Narrow"/>
                <w:b/>
                <w:color w:val="FFFFFF" w:themeColor="background1"/>
                <w:sz w:val="16"/>
                <w:szCs w:val="16"/>
                <w:lang w:eastAsia="sl-SI"/>
              </w:rPr>
            </w:pPr>
            <w:r w:rsidRPr="00313D0D">
              <w:rPr>
                <w:rFonts w:ascii="Arial Narrow" w:hAnsi="Arial Narrow" w:cs="Arial"/>
                <w:b/>
                <w:color w:val="FFFFFF" w:themeColor="background1"/>
                <w:sz w:val="16"/>
                <w:szCs w:val="16"/>
                <w:lang w:eastAsia="sl-SI"/>
              </w:rPr>
              <w:t>EUR</w:t>
            </w:r>
          </w:p>
        </w:tc>
        <w:tc>
          <w:tcPr>
            <w:tcW w:w="960" w:type="dxa"/>
            <w:tcBorders>
              <w:top w:val="single" w:sz="8" w:space="0" w:color="9BBB59"/>
              <w:left w:val="nil"/>
              <w:bottom w:val="single" w:sz="8" w:space="0" w:color="9BBB59"/>
              <w:right w:val="nil"/>
            </w:tcBorders>
            <w:shd w:val="clear" w:color="auto" w:fill="9BBB59" w:themeFill="accent3"/>
            <w:noWrap/>
            <w:vAlign w:val="center"/>
            <w:hideMark/>
          </w:tcPr>
          <w:p w:rsidR="00E74A2C" w:rsidRPr="00313D0D" w:rsidRDefault="00E74A2C" w:rsidP="0011748C">
            <w:pPr>
              <w:spacing w:after="0" w:line="240" w:lineRule="auto"/>
              <w:jc w:val="right"/>
              <w:rPr>
                <w:rFonts w:ascii="Arial Narrow" w:hAnsi="Arial Narrow"/>
                <w:b/>
                <w:color w:val="FFFFFF" w:themeColor="background1"/>
                <w:sz w:val="16"/>
                <w:szCs w:val="16"/>
                <w:lang w:eastAsia="sl-SI"/>
              </w:rPr>
            </w:pPr>
            <w:r w:rsidRPr="00313D0D">
              <w:rPr>
                <w:rFonts w:ascii="Arial Narrow" w:hAnsi="Arial Narrow" w:cs="Arial"/>
                <w:b/>
                <w:color w:val="FFFFFF" w:themeColor="background1"/>
                <w:sz w:val="16"/>
                <w:szCs w:val="16"/>
                <w:lang w:eastAsia="sl-SI"/>
              </w:rPr>
              <w:t>EUR</w:t>
            </w:r>
          </w:p>
        </w:tc>
        <w:tc>
          <w:tcPr>
            <w:tcW w:w="960" w:type="dxa"/>
            <w:tcBorders>
              <w:top w:val="single" w:sz="8" w:space="0" w:color="9BBB59"/>
              <w:left w:val="nil"/>
              <w:bottom w:val="single" w:sz="8" w:space="0" w:color="9BBB59"/>
              <w:right w:val="nil"/>
            </w:tcBorders>
            <w:shd w:val="clear" w:color="auto" w:fill="9BBB59" w:themeFill="accent3"/>
            <w:noWrap/>
            <w:vAlign w:val="center"/>
            <w:hideMark/>
          </w:tcPr>
          <w:p w:rsidR="00E74A2C" w:rsidRPr="00313D0D" w:rsidRDefault="00E74A2C" w:rsidP="0011748C">
            <w:pPr>
              <w:spacing w:after="0" w:line="240" w:lineRule="auto"/>
              <w:jc w:val="right"/>
              <w:rPr>
                <w:rFonts w:ascii="Arial Narrow" w:hAnsi="Arial Narrow"/>
                <w:b/>
                <w:color w:val="FFFFFF" w:themeColor="background1"/>
                <w:sz w:val="16"/>
                <w:szCs w:val="16"/>
                <w:lang w:eastAsia="sl-SI"/>
              </w:rPr>
            </w:pPr>
            <w:r w:rsidRPr="00313D0D">
              <w:rPr>
                <w:rFonts w:ascii="Arial Narrow" w:hAnsi="Arial Narrow" w:cs="Arial"/>
                <w:b/>
                <w:color w:val="FFFFFF" w:themeColor="background1"/>
                <w:sz w:val="16"/>
                <w:szCs w:val="16"/>
                <w:lang w:eastAsia="sl-SI"/>
              </w:rPr>
              <w:t>EUR</w:t>
            </w:r>
          </w:p>
        </w:tc>
        <w:tc>
          <w:tcPr>
            <w:tcW w:w="960" w:type="dxa"/>
            <w:tcBorders>
              <w:top w:val="single" w:sz="8" w:space="0" w:color="9BBB59"/>
              <w:left w:val="nil"/>
              <w:bottom w:val="single" w:sz="8" w:space="0" w:color="9BBB59"/>
              <w:right w:val="nil"/>
            </w:tcBorders>
            <w:shd w:val="clear" w:color="auto" w:fill="9BBB59" w:themeFill="accent3"/>
            <w:noWrap/>
            <w:vAlign w:val="center"/>
            <w:hideMark/>
          </w:tcPr>
          <w:p w:rsidR="00E74A2C" w:rsidRPr="00313D0D" w:rsidRDefault="00E74A2C" w:rsidP="0011748C">
            <w:pPr>
              <w:spacing w:after="0" w:line="240" w:lineRule="auto"/>
              <w:jc w:val="right"/>
              <w:rPr>
                <w:rFonts w:ascii="Arial Narrow" w:hAnsi="Arial Narrow"/>
                <w:b/>
                <w:color w:val="FFFFFF" w:themeColor="background1"/>
                <w:sz w:val="16"/>
                <w:szCs w:val="16"/>
                <w:lang w:eastAsia="sl-SI"/>
              </w:rPr>
            </w:pPr>
            <w:r w:rsidRPr="00313D0D">
              <w:rPr>
                <w:rFonts w:ascii="Arial Narrow" w:hAnsi="Arial Narrow" w:cs="Arial"/>
                <w:b/>
                <w:color w:val="FFFFFF" w:themeColor="background1"/>
                <w:sz w:val="16"/>
                <w:szCs w:val="16"/>
                <w:lang w:eastAsia="sl-SI"/>
              </w:rPr>
              <w:t>EUR</w:t>
            </w:r>
          </w:p>
        </w:tc>
        <w:tc>
          <w:tcPr>
            <w:tcW w:w="960" w:type="dxa"/>
            <w:tcBorders>
              <w:top w:val="single" w:sz="8" w:space="0" w:color="9BBB59"/>
              <w:left w:val="nil"/>
              <w:bottom w:val="single" w:sz="8" w:space="0" w:color="9BBB59"/>
              <w:right w:val="nil"/>
            </w:tcBorders>
            <w:shd w:val="clear" w:color="auto" w:fill="9BBB59" w:themeFill="accent3"/>
            <w:noWrap/>
            <w:vAlign w:val="center"/>
            <w:hideMark/>
          </w:tcPr>
          <w:p w:rsidR="00E74A2C" w:rsidRPr="00313D0D" w:rsidRDefault="00E74A2C" w:rsidP="0011748C">
            <w:pPr>
              <w:spacing w:after="0" w:line="240" w:lineRule="auto"/>
              <w:jc w:val="right"/>
              <w:rPr>
                <w:rFonts w:ascii="Arial Narrow" w:hAnsi="Arial Narrow"/>
                <w:b/>
                <w:color w:val="FFFFFF" w:themeColor="background1"/>
                <w:sz w:val="16"/>
                <w:szCs w:val="16"/>
                <w:lang w:eastAsia="sl-SI"/>
              </w:rPr>
            </w:pPr>
            <w:r w:rsidRPr="00313D0D">
              <w:rPr>
                <w:rFonts w:ascii="Arial Narrow" w:hAnsi="Arial Narrow" w:cs="Arial"/>
                <w:b/>
                <w:color w:val="FFFFFF" w:themeColor="background1"/>
                <w:sz w:val="16"/>
                <w:szCs w:val="16"/>
                <w:lang w:eastAsia="sl-SI"/>
              </w:rPr>
              <w:t>EUR</w:t>
            </w:r>
          </w:p>
        </w:tc>
        <w:tc>
          <w:tcPr>
            <w:tcW w:w="960" w:type="dxa"/>
            <w:tcBorders>
              <w:top w:val="single" w:sz="8" w:space="0" w:color="9BBB59"/>
              <w:left w:val="nil"/>
              <w:bottom w:val="single" w:sz="8" w:space="0" w:color="9BBB59"/>
              <w:right w:val="nil"/>
            </w:tcBorders>
            <w:shd w:val="clear" w:color="auto" w:fill="9BBB59" w:themeFill="accent3"/>
            <w:noWrap/>
            <w:vAlign w:val="center"/>
            <w:hideMark/>
          </w:tcPr>
          <w:p w:rsidR="00E74A2C" w:rsidRPr="00313D0D" w:rsidRDefault="00E74A2C" w:rsidP="0011748C">
            <w:pPr>
              <w:spacing w:after="0" w:line="240" w:lineRule="auto"/>
              <w:jc w:val="right"/>
              <w:rPr>
                <w:rFonts w:ascii="Arial Narrow" w:hAnsi="Arial Narrow"/>
                <w:b/>
                <w:color w:val="FFFFFF" w:themeColor="background1"/>
                <w:sz w:val="16"/>
                <w:szCs w:val="16"/>
                <w:lang w:eastAsia="sl-SI"/>
              </w:rPr>
            </w:pPr>
            <w:r w:rsidRPr="00313D0D">
              <w:rPr>
                <w:rFonts w:ascii="Arial Narrow" w:hAnsi="Arial Narrow" w:cs="Arial"/>
                <w:b/>
                <w:color w:val="FFFFFF" w:themeColor="background1"/>
                <w:sz w:val="16"/>
                <w:szCs w:val="16"/>
                <w:lang w:eastAsia="sl-SI"/>
              </w:rPr>
              <w:t>EUR</w:t>
            </w:r>
          </w:p>
        </w:tc>
        <w:tc>
          <w:tcPr>
            <w:tcW w:w="960" w:type="dxa"/>
            <w:tcBorders>
              <w:top w:val="single" w:sz="8" w:space="0" w:color="9BBB59"/>
              <w:left w:val="nil"/>
              <w:bottom w:val="single" w:sz="8" w:space="0" w:color="9BBB59"/>
              <w:right w:val="nil"/>
            </w:tcBorders>
            <w:shd w:val="clear" w:color="auto" w:fill="9BBB59" w:themeFill="accent3"/>
            <w:noWrap/>
            <w:vAlign w:val="center"/>
            <w:hideMark/>
          </w:tcPr>
          <w:p w:rsidR="00E74A2C" w:rsidRPr="00313D0D" w:rsidRDefault="00E74A2C" w:rsidP="0011748C">
            <w:pPr>
              <w:spacing w:after="0" w:line="240" w:lineRule="auto"/>
              <w:jc w:val="right"/>
              <w:rPr>
                <w:rFonts w:ascii="Arial Narrow" w:hAnsi="Arial Narrow"/>
                <w:b/>
                <w:color w:val="FFFFFF" w:themeColor="background1"/>
                <w:sz w:val="16"/>
                <w:szCs w:val="16"/>
                <w:lang w:eastAsia="sl-SI"/>
              </w:rPr>
            </w:pPr>
            <w:r w:rsidRPr="00313D0D">
              <w:rPr>
                <w:rFonts w:ascii="Arial Narrow" w:hAnsi="Arial Narrow" w:cs="Arial"/>
                <w:b/>
                <w:color w:val="FFFFFF" w:themeColor="background1"/>
                <w:sz w:val="16"/>
                <w:szCs w:val="16"/>
                <w:lang w:eastAsia="sl-SI"/>
              </w:rPr>
              <w:t>EUR</w:t>
            </w:r>
          </w:p>
        </w:tc>
        <w:tc>
          <w:tcPr>
            <w:tcW w:w="960" w:type="dxa"/>
            <w:tcBorders>
              <w:top w:val="single" w:sz="8" w:space="0" w:color="9BBB59"/>
              <w:left w:val="nil"/>
              <w:bottom w:val="single" w:sz="8" w:space="0" w:color="9BBB59"/>
              <w:right w:val="single" w:sz="8" w:space="0" w:color="9BBB59"/>
            </w:tcBorders>
            <w:shd w:val="clear" w:color="auto" w:fill="9BBB59" w:themeFill="accent3"/>
            <w:noWrap/>
            <w:vAlign w:val="center"/>
            <w:hideMark/>
          </w:tcPr>
          <w:p w:rsidR="00E74A2C" w:rsidRPr="00313D0D" w:rsidRDefault="00E74A2C" w:rsidP="0011748C">
            <w:pPr>
              <w:spacing w:after="0" w:line="240" w:lineRule="auto"/>
              <w:jc w:val="right"/>
              <w:rPr>
                <w:rFonts w:ascii="Arial Narrow" w:hAnsi="Arial Narrow"/>
                <w:b/>
                <w:color w:val="FFFFFF" w:themeColor="background1"/>
                <w:sz w:val="16"/>
                <w:szCs w:val="16"/>
                <w:lang w:eastAsia="sl-SI"/>
              </w:rPr>
            </w:pPr>
            <w:r w:rsidRPr="00313D0D">
              <w:rPr>
                <w:rFonts w:ascii="Arial Narrow" w:hAnsi="Arial Narrow" w:cs="Arial"/>
                <w:b/>
                <w:color w:val="FFFFFF" w:themeColor="background1"/>
                <w:sz w:val="16"/>
                <w:szCs w:val="16"/>
                <w:lang w:eastAsia="sl-SI"/>
              </w:rPr>
              <w:t>EUR</w:t>
            </w:r>
          </w:p>
        </w:tc>
      </w:tr>
      <w:tr w:rsidR="00E74A2C" w:rsidRPr="002B0C9D" w:rsidTr="000A3183">
        <w:trPr>
          <w:trHeight w:val="102"/>
        </w:trPr>
        <w:tc>
          <w:tcPr>
            <w:tcW w:w="960" w:type="dxa"/>
            <w:tcBorders>
              <w:top w:val="nil"/>
              <w:left w:val="single" w:sz="8" w:space="0" w:color="9BBB59"/>
              <w:bottom w:val="nil"/>
              <w:right w:val="nil"/>
            </w:tcBorders>
            <w:shd w:val="clear" w:color="auto" w:fill="auto"/>
            <w:vAlign w:val="center"/>
            <w:hideMark/>
          </w:tcPr>
          <w:p w:rsidR="00E74A2C" w:rsidRPr="002B0C9D" w:rsidRDefault="00E74A2C" w:rsidP="0011748C">
            <w:pPr>
              <w:spacing w:after="0" w:line="240" w:lineRule="auto"/>
              <w:rPr>
                <w:rFonts w:ascii="Arial Narrow" w:hAnsi="Arial Narrow"/>
                <w:color w:val="000000"/>
                <w:sz w:val="16"/>
                <w:szCs w:val="16"/>
                <w:lang w:eastAsia="sl-SI"/>
              </w:rPr>
            </w:pPr>
            <w:r w:rsidRPr="002B0C9D">
              <w:rPr>
                <w:rFonts w:ascii="Arial Narrow" w:hAnsi="Arial Narrow" w:cs="Arial"/>
                <w:color w:val="000000"/>
                <w:sz w:val="16"/>
                <w:szCs w:val="16"/>
                <w:lang w:eastAsia="sl-SI"/>
              </w:rPr>
              <w:t>Plače</w:t>
            </w:r>
          </w:p>
        </w:tc>
        <w:tc>
          <w:tcPr>
            <w:tcW w:w="960" w:type="dxa"/>
            <w:tcBorders>
              <w:top w:val="nil"/>
              <w:left w:val="nil"/>
              <w:bottom w:val="nil"/>
              <w:right w:val="nil"/>
            </w:tcBorders>
            <w:shd w:val="clear" w:color="auto" w:fill="auto"/>
            <w:noWrap/>
            <w:vAlign w:val="center"/>
            <w:hideMark/>
          </w:tcPr>
          <w:p w:rsidR="00E74A2C" w:rsidRPr="002B0C9D" w:rsidRDefault="00E74A2C" w:rsidP="0011748C">
            <w:pPr>
              <w:spacing w:after="0" w:line="240" w:lineRule="auto"/>
              <w:jc w:val="right"/>
              <w:rPr>
                <w:rFonts w:ascii="Arial Narrow" w:hAnsi="Arial Narrow"/>
                <w:color w:val="000000"/>
                <w:sz w:val="16"/>
                <w:szCs w:val="16"/>
                <w:lang w:eastAsia="sl-SI"/>
              </w:rPr>
            </w:pPr>
            <w:r w:rsidRPr="002B0C9D">
              <w:rPr>
                <w:rFonts w:ascii="Arial Narrow" w:hAnsi="Arial Narrow" w:cs="Arial"/>
                <w:color w:val="000000"/>
                <w:sz w:val="16"/>
                <w:szCs w:val="16"/>
                <w:lang w:eastAsia="sl-SI"/>
              </w:rPr>
              <w:t>66.867.097</w:t>
            </w:r>
          </w:p>
        </w:tc>
        <w:tc>
          <w:tcPr>
            <w:tcW w:w="960" w:type="dxa"/>
            <w:tcBorders>
              <w:top w:val="nil"/>
              <w:left w:val="nil"/>
              <w:bottom w:val="nil"/>
              <w:right w:val="nil"/>
            </w:tcBorders>
            <w:shd w:val="clear" w:color="auto" w:fill="auto"/>
            <w:noWrap/>
            <w:vAlign w:val="center"/>
            <w:hideMark/>
          </w:tcPr>
          <w:p w:rsidR="00E74A2C" w:rsidRPr="002B0C9D" w:rsidRDefault="00E74A2C" w:rsidP="0011748C">
            <w:pPr>
              <w:spacing w:after="0" w:line="240" w:lineRule="auto"/>
              <w:jc w:val="right"/>
              <w:rPr>
                <w:rFonts w:ascii="Arial Narrow" w:hAnsi="Arial Narrow"/>
                <w:color w:val="000000"/>
                <w:sz w:val="16"/>
                <w:szCs w:val="16"/>
                <w:lang w:eastAsia="sl-SI"/>
              </w:rPr>
            </w:pPr>
            <w:r w:rsidRPr="002B0C9D">
              <w:rPr>
                <w:rFonts w:ascii="Arial Narrow" w:hAnsi="Arial Narrow" w:cs="Arial"/>
                <w:color w:val="000000"/>
                <w:sz w:val="16"/>
                <w:szCs w:val="16"/>
                <w:lang w:eastAsia="sl-SI"/>
              </w:rPr>
              <w:t>73.838.952</w:t>
            </w:r>
          </w:p>
        </w:tc>
        <w:tc>
          <w:tcPr>
            <w:tcW w:w="960" w:type="dxa"/>
            <w:tcBorders>
              <w:top w:val="nil"/>
              <w:left w:val="nil"/>
              <w:bottom w:val="nil"/>
              <w:right w:val="nil"/>
            </w:tcBorders>
            <w:shd w:val="clear" w:color="auto" w:fill="auto"/>
            <w:noWrap/>
            <w:vAlign w:val="center"/>
            <w:hideMark/>
          </w:tcPr>
          <w:p w:rsidR="00E74A2C" w:rsidRPr="002B0C9D" w:rsidRDefault="00E74A2C" w:rsidP="0011748C">
            <w:pPr>
              <w:spacing w:after="0" w:line="240" w:lineRule="auto"/>
              <w:jc w:val="right"/>
              <w:rPr>
                <w:rFonts w:ascii="Arial Narrow" w:hAnsi="Arial Narrow"/>
                <w:color w:val="000000"/>
                <w:sz w:val="16"/>
                <w:szCs w:val="16"/>
                <w:lang w:eastAsia="sl-SI"/>
              </w:rPr>
            </w:pPr>
            <w:r w:rsidRPr="002B0C9D">
              <w:rPr>
                <w:rFonts w:ascii="Arial Narrow" w:hAnsi="Arial Narrow" w:cs="Arial"/>
                <w:color w:val="000000"/>
                <w:sz w:val="16"/>
                <w:szCs w:val="16"/>
                <w:lang w:eastAsia="sl-SI"/>
              </w:rPr>
              <w:t>75.232.216</w:t>
            </w:r>
          </w:p>
        </w:tc>
        <w:tc>
          <w:tcPr>
            <w:tcW w:w="960" w:type="dxa"/>
            <w:tcBorders>
              <w:top w:val="nil"/>
              <w:left w:val="nil"/>
              <w:bottom w:val="nil"/>
              <w:right w:val="nil"/>
            </w:tcBorders>
            <w:shd w:val="clear" w:color="auto" w:fill="auto"/>
            <w:noWrap/>
            <w:vAlign w:val="center"/>
            <w:hideMark/>
          </w:tcPr>
          <w:p w:rsidR="00E74A2C" w:rsidRPr="002B0C9D" w:rsidRDefault="00E74A2C" w:rsidP="0011748C">
            <w:pPr>
              <w:spacing w:after="0" w:line="240" w:lineRule="auto"/>
              <w:jc w:val="right"/>
              <w:rPr>
                <w:rFonts w:ascii="Arial Narrow" w:hAnsi="Arial Narrow"/>
                <w:color w:val="000000"/>
                <w:sz w:val="16"/>
                <w:szCs w:val="16"/>
                <w:lang w:eastAsia="sl-SI"/>
              </w:rPr>
            </w:pPr>
            <w:r w:rsidRPr="002B0C9D">
              <w:rPr>
                <w:rFonts w:ascii="Arial Narrow" w:hAnsi="Arial Narrow" w:cs="Arial"/>
                <w:color w:val="000000"/>
                <w:sz w:val="16"/>
                <w:szCs w:val="16"/>
                <w:lang w:eastAsia="sl-SI"/>
              </w:rPr>
              <w:t>74.585.694</w:t>
            </w:r>
          </w:p>
        </w:tc>
        <w:tc>
          <w:tcPr>
            <w:tcW w:w="960" w:type="dxa"/>
            <w:tcBorders>
              <w:top w:val="nil"/>
              <w:left w:val="nil"/>
              <w:bottom w:val="nil"/>
              <w:right w:val="nil"/>
            </w:tcBorders>
            <w:shd w:val="clear" w:color="auto" w:fill="auto"/>
            <w:noWrap/>
            <w:vAlign w:val="center"/>
            <w:hideMark/>
          </w:tcPr>
          <w:p w:rsidR="00E74A2C" w:rsidRPr="002B0C9D" w:rsidRDefault="00E74A2C" w:rsidP="0011748C">
            <w:pPr>
              <w:spacing w:after="0" w:line="240" w:lineRule="auto"/>
              <w:jc w:val="right"/>
              <w:rPr>
                <w:rFonts w:ascii="Arial Narrow" w:hAnsi="Arial Narrow"/>
                <w:color w:val="000000"/>
                <w:sz w:val="16"/>
                <w:szCs w:val="16"/>
                <w:lang w:eastAsia="sl-SI"/>
              </w:rPr>
            </w:pPr>
            <w:r w:rsidRPr="002B0C9D">
              <w:rPr>
                <w:rFonts w:ascii="Arial Narrow" w:hAnsi="Arial Narrow" w:cs="Arial"/>
                <w:color w:val="000000"/>
                <w:sz w:val="16"/>
                <w:szCs w:val="16"/>
                <w:lang w:eastAsia="sl-SI"/>
              </w:rPr>
              <w:t>72.200.210</w:t>
            </w:r>
          </w:p>
        </w:tc>
        <w:tc>
          <w:tcPr>
            <w:tcW w:w="960" w:type="dxa"/>
            <w:tcBorders>
              <w:top w:val="nil"/>
              <w:left w:val="nil"/>
              <w:bottom w:val="nil"/>
              <w:right w:val="nil"/>
            </w:tcBorders>
            <w:shd w:val="clear" w:color="auto" w:fill="auto"/>
            <w:noWrap/>
            <w:vAlign w:val="center"/>
            <w:hideMark/>
          </w:tcPr>
          <w:p w:rsidR="00E74A2C" w:rsidRPr="002B0C9D" w:rsidRDefault="00E74A2C" w:rsidP="0011748C">
            <w:pPr>
              <w:spacing w:after="0" w:line="240" w:lineRule="auto"/>
              <w:jc w:val="right"/>
              <w:rPr>
                <w:rFonts w:ascii="Arial Narrow" w:hAnsi="Arial Narrow"/>
                <w:color w:val="000000"/>
                <w:sz w:val="16"/>
                <w:szCs w:val="16"/>
                <w:lang w:eastAsia="sl-SI"/>
              </w:rPr>
            </w:pPr>
            <w:r w:rsidRPr="002B0C9D">
              <w:rPr>
                <w:rFonts w:ascii="Arial Narrow" w:hAnsi="Arial Narrow" w:cs="Arial"/>
                <w:color w:val="000000"/>
                <w:sz w:val="16"/>
                <w:szCs w:val="16"/>
                <w:lang w:eastAsia="sl-SI"/>
              </w:rPr>
              <w:t>68.805.037</w:t>
            </w:r>
          </w:p>
        </w:tc>
        <w:tc>
          <w:tcPr>
            <w:tcW w:w="960" w:type="dxa"/>
            <w:tcBorders>
              <w:top w:val="nil"/>
              <w:left w:val="nil"/>
              <w:bottom w:val="nil"/>
              <w:right w:val="nil"/>
            </w:tcBorders>
            <w:shd w:val="clear" w:color="auto" w:fill="auto"/>
            <w:noWrap/>
            <w:vAlign w:val="center"/>
            <w:hideMark/>
          </w:tcPr>
          <w:p w:rsidR="00E74A2C" w:rsidRPr="002B0C9D" w:rsidRDefault="00E74A2C" w:rsidP="0011748C">
            <w:pPr>
              <w:spacing w:after="0" w:line="240" w:lineRule="auto"/>
              <w:jc w:val="right"/>
              <w:rPr>
                <w:rFonts w:ascii="Arial Narrow" w:hAnsi="Arial Narrow"/>
                <w:color w:val="000000"/>
                <w:sz w:val="16"/>
                <w:szCs w:val="16"/>
                <w:lang w:eastAsia="sl-SI"/>
              </w:rPr>
            </w:pPr>
            <w:r w:rsidRPr="002B0C9D">
              <w:rPr>
                <w:rFonts w:ascii="Arial Narrow" w:hAnsi="Arial Narrow" w:cs="Arial"/>
                <w:color w:val="000000"/>
                <w:sz w:val="16"/>
                <w:szCs w:val="16"/>
                <w:lang w:eastAsia="sl-SI"/>
              </w:rPr>
              <w:t>69.782.365</w:t>
            </w:r>
          </w:p>
        </w:tc>
        <w:tc>
          <w:tcPr>
            <w:tcW w:w="960" w:type="dxa"/>
            <w:tcBorders>
              <w:top w:val="nil"/>
              <w:left w:val="nil"/>
              <w:bottom w:val="nil"/>
              <w:right w:val="single" w:sz="8" w:space="0" w:color="9BBB59"/>
            </w:tcBorders>
            <w:shd w:val="clear" w:color="auto" w:fill="auto"/>
            <w:noWrap/>
            <w:vAlign w:val="center"/>
            <w:hideMark/>
          </w:tcPr>
          <w:p w:rsidR="00E74A2C" w:rsidRPr="002B0C9D" w:rsidRDefault="00E74A2C" w:rsidP="0011748C">
            <w:pPr>
              <w:spacing w:after="0" w:line="240" w:lineRule="auto"/>
              <w:jc w:val="right"/>
              <w:rPr>
                <w:rFonts w:ascii="Arial Narrow" w:hAnsi="Arial Narrow"/>
                <w:color w:val="000000"/>
                <w:sz w:val="16"/>
                <w:szCs w:val="16"/>
                <w:lang w:eastAsia="sl-SI"/>
              </w:rPr>
            </w:pPr>
            <w:r w:rsidRPr="002B0C9D">
              <w:rPr>
                <w:rFonts w:ascii="Arial Narrow" w:hAnsi="Arial Narrow" w:cs="Arial"/>
                <w:color w:val="000000"/>
                <w:sz w:val="16"/>
                <w:szCs w:val="16"/>
                <w:lang w:eastAsia="sl-SI"/>
              </w:rPr>
              <w:t>67.891.757</w:t>
            </w:r>
          </w:p>
        </w:tc>
      </w:tr>
      <w:tr w:rsidR="00E74A2C" w:rsidRPr="002B0C9D" w:rsidTr="000A3183">
        <w:trPr>
          <w:trHeight w:val="102"/>
        </w:trPr>
        <w:tc>
          <w:tcPr>
            <w:tcW w:w="960" w:type="dxa"/>
            <w:tcBorders>
              <w:top w:val="single" w:sz="8" w:space="0" w:color="9BBB59"/>
              <w:left w:val="single" w:sz="8" w:space="0" w:color="9BBB59"/>
              <w:bottom w:val="single" w:sz="8" w:space="0" w:color="9BBB59"/>
              <w:right w:val="nil"/>
            </w:tcBorders>
            <w:shd w:val="clear" w:color="auto" w:fill="auto"/>
            <w:vAlign w:val="center"/>
            <w:hideMark/>
          </w:tcPr>
          <w:p w:rsidR="00E74A2C" w:rsidRPr="002B0C9D" w:rsidRDefault="00E74A2C" w:rsidP="0011748C">
            <w:pPr>
              <w:spacing w:after="0" w:line="240" w:lineRule="auto"/>
              <w:rPr>
                <w:rFonts w:ascii="Arial Narrow" w:hAnsi="Arial Narrow"/>
                <w:color w:val="000000"/>
                <w:sz w:val="16"/>
                <w:szCs w:val="16"/>
                <w:lang w:eastAsia="sl-SI"/>
              </w:rPr>
            </w:pPr>
            <w:r w:rsidRPr="002B0C9D">
              <w:rPr>
                <w:rFonts w:ascii="Arial Narrow" w:hAnsi="Arial Narrow" w:cs="Arial"/>
                <w:color w:val="000000"/>
                <w:sz w:val="16"/>
                <w:szCs w:val="16"/>
                <w:lang w:eastAsia="sl-SI"/>
              </w:rPr>
              <w:t>Avtorski honorarji</w:t>
            </w:r>
          </w:p>
        </w:tc>
        <w:tc>
          <w:tcPr>
            <w:tcW w:w="960" w:type="dxa"/>
            <w:tcBorders>
              <w:top w:val="single" w:sz="8" w:space="0" w:color="9BBB59"/>
              <w:left w:val="nil"/>
              <w:bottom w:val="single" w:sz="8" w:space="0" w:color="9BBB59"/>
              <w:right w:val="nil"/>
            </w:tcBorders>
            <w:shd w:val="clear" w:color="auto" w:fill="auto"/>
            <w:noWrap/>
            <w:vAlign w:val="center"/>
            <w:hideMark/>
          </w:tcPr>
          <w:p w:rsidR="00E74A2C" w:rsidRPr="002B0C9D" w:rsidRDefault="00E74A2C" w:rsidP="0011748C">
            <w:pPr>
              <w:spacing w:after="0" w:line="240" w:lineRule="auto"/>
              <w:jc w:val="right"/>
              <w:rPr>
                <w:rFonts w:ascii="Arial Narrow" w:hAnsi="Arial Narrow"/>
                <w:color w:val="000000"/>
                <w:sz w:val="16"/>
                <w:szCs w:val="16"/>
                <w:lang w:eastAsia="sl-SI"/>
              </w:rPr>
            </w:pPr>
            <w:r w:rsidRPr="002B0C9D">
              <w:rPr>
                <w:rFonts w:ascii="Arial Narrow" w:hAnsi="Arial Narrow" w:cs="Arial"/>
                <w:color w:val="000000"/>
                <w:sz w:val="16"/>
                <w:szCs w:val="16"/>
                <w:lang w:eastAsia="sl-SI"/>
              </w:rPr>
              <w:t>7.582.793</w:t>
            </w:r>
          </w:p>
        </w:tc>
        <w:tc>
          <w:tcPr>
            <w:tcW w:w="960" w:type="dxa"/>
            <w:tcBorders>
              <w:top w:val="single" w:sz="8" w:space="0" w:color="9BBB59"/>
              <w:left w:val="nil"/>
              <w:bottom w:val="single" w:sz="8" w:space="0" w:color="9BBB59"/>
              <w:right w:val="nil"/>
            </w:tcBorders>
            <w:shd w:val="clear" w:color="auto" w:fill="auto"/>
            <w:noWrap/>
            <w:vAlign w:val="center"/>
            <w:hideMark/>
          </w:tcPr>
          <w:p w:rsidR="00E74A2C" w:rsidRPr="002B0C9D" w:rsidRDefault="00E74A2C" w:rsidP="0011748C">
            <w:pPr>
              <w:spacing w:after="0" w:line="240" w:lineRule="auto"/>
              <w:jc w:val="right"/>
              <w:rPr>
                <w:rFonts w:ascii="Arial Narrow" w:hAnsi="Arial Narrow"/>
                <w:color w:val="000000"/>
                <w:sz w:val="16"/>
                <w:szCs w:val="16"/>
                <w:lang w:eastAsia="sl-SI"/>
              </w:rPr>
            </w:pPr>
            <w:r w:rsidRPr="002B0C9D">
              <w:rPr>
                <w:rFonts w:ascii="Arial Narrow" w:hAnsi="Arial Narrow" w:cs="Arial"/>
                <w:color w:val="000000"/>
                <w:sz w:val="16"/>
                <w:szCs w:val="16"/>
                <w:lang w:eastAsia="sl-SI"/>
              </w:rPr>
              <w:t>7.429.167</w:t>
            </w:r>
          </w:p>
        </w:tc>
        <w:tc>
          <w:tcPr>
            <w:tcW w:w="960" w:type="dxa"/>
            <w:tcBorders>
              <w:top w:val="single" w:sz="8" w:space="0" w:color="9BBB59"/>
              <w:left w:val="nil"/>
              <w:bottom w:val="single" w:sz="8" w:space="0" w:color="9BBB59"/>
              <w:right w:val="nil"/>
            </w:tcBorders>
            <w:shd w:val="clear" w:color="auto" w:fill="auto"/>
            <w:noWrap/>
            <w:vAlign w:val="center"/>
            <w:hideMark/>
          </w:tcPr>
          <w:p w:rsidR="00E74A2C" w:rsidRPr="002B0C9D" w:rsidRDefault="00E74A2C" w:rsidP="0011748C">
            <w:pPr>
              <w:spacing w:after="0" w:line="240" w:lineRule="auto"/>
              <w:jc w:val="right"/>
              <w:rPr>
                <w:rFonts w:ascii="Arial Narrow" w:hAnsi="Arial Narrow"/>
                <w:color w:val="000000"/>
                <w:sz w:val="16"/>
                <w:szCs w:val="16"/>
                <w:lang w:eastAsia="sl-SI"/>
              </w:rPr>
            </w:pPr>
            <w:r w:rsidRPr="002B0C9D">
              <w:rPr>
                <w:rFonts w:ascii="Arial Narrow" w:hAnsi="Arial Narrow" w:cs="Arial"/>
                <w:color w:val="000000"/>
                <w:sz w:val="16"/>
                <w:szCs w:val="16"/>
                <w:lang w:eastAsia="sl-SI"/>
              </w:rPr>
              <w:t>7.592.443</w:t>
            </w:r>
          </w:p>
        </w:tc>
        <w:tc>
          <w:tcPr>
            <w:tcW w:w="960" w:type="dxa"/>
            <w:tcBorders>
              <w:top w:val="single" w:sz="8" w:space="0" w:color="9BBB59"/>
              <w:left w:val="nil"/>
              <w:bottom w:val="single" w:sz="8" w:space="0" w:color="9BBB59"/>
              <w:right w:val="nil"/>
            </w:tcBorders>
            <w:shd w:val="clear" w:color="auto" w:fill="auto"/>
            <w:noWrap/>
            <w:vAlign w:val="center"/>
            <w:hideMark/>
          </w:tcPr>
          <w:p w:rsidR="00E74A2C" w:rsidRPr="002B0C9D" w:rsidRDefault="00E74A2C" w:rsidP="0011748C">
            <w:pPr>
              <w:spacing w:after="0" w:line="240" w:lineRule="auto"/>
              <w:jc w:val="right"/>
              <w:rPr>
                <w:rFonts w:ascii="Arial Narrow" w:hAnsi="Arial Narrow"/>
                <w:color w:val="000000"/>
                <w:sz w:val="16"/>
                <w:szCs w:val="16"/>
                <w:lang w:eastAsia="sl-SI"/>
              </w:rPr>
            </w:pPr>
            <w:r w:rsidRPr="002B0C9D">
              <w:rPr>
                <w:rFonts w:ascii="Arial Narrow" w:hAnsi="Arial Narrow" w:cs="Arial"/>
                <w:color w:val="000000"/>
                <w:sz w:val="16"/>
                <w:szCs w:val="16"/>
                <w:lang w:eastAsia="sl-SI"/>
              </w:rPr>
              <w:t>7.393.311</w:t>
            </w:r>
          </w:p>
        </w:tc>
        <w:tc>
          <w:tcPr>
            <w:tcW w:w="960" w:type="dxa"/>
            <w:tcBorders>
              <w:top w:val="single" w:sz="8" w:space="0" w:color="9BBB59"/>
              <w:left w:val="nil"/>
              <w:bottom w:val="single" w:sz="8" w:space="0" w:color="9BBB59"/>
              <w:right w:val="nil"/>
            </w:tcBorders>
            <w:shd w:val="clear" w:color="auto" w:fill="auto"/>
            <w:noWrap/>
            <w:vAlign w:val="center"/>
            <w:hideMark/>
          </w:tcPr>
          <w:p w:rsidR="00E74A2C" w:rsidRPr="002B0C9D" w:rsidRDefault="00E74A2C" w:rsidP="0011748C">
            <w:pPr>
              <w:spacing w:after="0" w:line="240" w:lineRule="auto"/>
              <w:jc w:val="right"/>
              <w:rPr>
                <w:rFonts w:ascii="Arial Narrow" w:hAnsi="Arial Narrow"/>
                <w:color w:val="000000"/>
                <w:sz w:val="16"/>
                <w:szCs w:val="16"/>
                <w:lang w:eastAsia="sl-SI"/>
              </w:rPr>
            </w:pPr>
            <w:r w:rsidRPr="002B0C9D">
              <w:rPr>
                <w:rFonts w:ascii="Arial Narrow" w:hAnsi="Arial Narrow" w:cs="Arial"/>
                <w:color w:val="000000"/>
                <w:sz w:val="16"/>
                <w:szCs w:val="16"/>
                <w:lang w:eastAsia="sl-SI"/>
              </w:rPr>
              <w:t>6.950.373</w:t>
            </w:r>
          </w:p>
        </w:tc>
        <w:tc>
          <w:tcPr>
            <w:tcW w:w="960" w:type="dxa"/>
            <w:tcBorders>
              <w:top w:val="single" w:sz="8" w:space="0" w:color="9BBB59"/>
              <w:left w:val="nil"/>
              <w:bottom w:val="single" w:sz="8" w:space="0" w:color="9BBB59"/>
              <w:right w:val="nil"/>
            </w:tcBorders>
            <w:shd w:val="clear" w:color="auto" w:fill="auto"/>
            <w:noWrap/>
            <w:vAlign w:val="center"/>
            <w:hideMark/>
          </w:tcPr>
          <w:p w:rsidR="00E74A2C" w:rsidRPr="002B0C9D" w:rsidRDefault="00E74A2C" w:rsidP="0011748C">
            <w:pPr>
              <w:spacing w:after="0" w:line="240" w:lineRule="auto"/>
              <w:jc w:val="right"/>
              <w:rPr>
                <w:rFonts w:ascii="Arial Narrow" w:hAnsi="Arial Narrow"/>
                <w:color w:val="000000"/>
                <w:sz w:val="16"/>
                <w:szCs w:val="16"/>
                <w:lang w:eastAsia="sl-SI"/>
              </w:rPr>
            </w:pPr>
            <w:r w:rsidRPr="002B0C9D">
              <w:rPr>
                <w:rFonts w:ascii="Arial Narrow" w:hAnsi="Arial Narrow" w:cs="Arial"/>
                <w:color w:val="000000"/>
                <w:sz w:val="16"/>
                <w:szCs w:val="16"/>
                <w:lang w:eastAsia="sl-SI"/>
              </w:rPr>
              <w:t>6.979.029</w:t>
            </w:r>
          </w:p>
        </w:tc>
        <w:tc>
          <w:tcPr>
            <w:tcW w:w="960" w:type="dxa"/>
            <w:tcBorders>
              <w:top w:val="single" w:sz="8" w:space="0" w:color="9BBB59"/>
              <w:left w:val="nil"/>
              <w:bottom w:val="single" w:sz="8" w:space="0" w:color="9BBB59"/>
              <w:right w:val="nil"/>
            </w:tcBorders>
            <w:shd w:val="clear" w:color="auto" w:fill="auto"/>
            <w:noWrap/>
            <w:vAlign w:val="center"/>
            <w:hideMark/>
          </w:tcPr>
          <w:p w:rsidR="00E74A2C" w:rsidRPr="002B0C9D" w:rsidRDefault="00E74A2C" w:rsidP="0011748C">
            <w:pPr>
              <w:spacing w:after="0" w:line="240" w:lineRule="auto"/>
              <w:jc w:val="right"/>
              <w:rPr>
                <w:rFonts w:ascii="Arial Narrow" w:hAnsi="Arial Narrow"/>
                <w:color w:val="000000"/>
                <w:sz w:val="16"/>
                <w:szCs w:val="16"/>
                <w:lang w:eastAsia="sl-SI"/>
              </w:rPr>
            </w:pPr>
            <w:r w:rsidRPr="002B0C9D">
              <w:rPr>
                <w:rFonts w:ascii="Arial Narrow" w:hAnsi="Arial Narrow" w:cs="Arial"/>
                <w:color w:val="000000"/>
                <w:sz w:val="16"/>
                <w:szCs w:val="16"/>
                <w:lang w:eastAsia="sl-SI"/>
              </w:rPr>
              <w:t>6.774.104</w:t>
            </w:r>
          </w:p>
        </w:tc>
        <w:tc>
          <w:tcPr>
            <w:tcW w:w="960" w:type="dxa"/>
            <w:tcBorders>
              <w:top w:val="single" w:sz="8" w:space="0" w:color="9BBB59"/>
              <w:left w:val="nil"/>
              <w:bottom w:val="single" w:sz="8" w:space="0" w:color="9BBB59"/>
              <w:right w:val="single" w:sz="8" w:space="0" w:color="9BBB59"/>
            </w:tcBorders>
            <w:shd w:val="clear" w:color="auto" w:fill="auto"/>
            <w:noWrap/>
            <w:vAlign w:val="center"/>
            <w:hideMark/>
          </w:tcPr>
          <w:p w:rsidR="00E74A2C" w:rsidRPr="002B0C9D" w:rsidRDefault="00E74A2C" w:rsidP="0011748C">
            <w:pPr>
              <w:spacing w:after="0" w:line="240" w:lineRule="auto"/>
              <w:jc w:val="right"/>
              <w:rPr>
                <w:rFonts w:ascii="Arial Narrow" w:hAnsi="Arial Narrow"/>
                <w:color w:val="000000"/>
                <w:sz w:val="16"/>
                <w:szCs w:val="16"/>
                <w:lang w:eastAsia="sl-SI"/>
              </w:rPr>
            </w:pPr>
            <w:r w:rsidRPr="002B0C9D">
              <w:rPr>
                <w:rFonts w:ascii="Arial Narrow" w:hAnsi="Arial Narrow" w:cs="Arial"/>
                <w:color w:val="000000"/>
                <w:sz w:val="16"/>
                <w:szCs w:val="16"/>
                <w:lang w:eastAsia="sl-SI"/>
              </w:rPr>
              <w:t>7.017.638</w:t>
            </w:r>
          </w:p>
        </w:tc>
      </w:tr>
      <w:tr w:rsidR="00E74A2C" w:rsidRPr="002B0C9D" w:rsidTr="000A3183">
        <w:trPr>
          <w:trHeight w:val="102"/>
        </w:trPr>
        <w:tc>
          <w:tcPr>
            <w:tcW w:w="960" w:type="dxa"/>
            <w:tcBorders>
              <w:top w:val="nil"/>
              <w:left w:val="single" w:sz="8" w:space="0" w:color="9BBB59"/>
              <w:bottom w:val="nil"/>
              <w:right w:val="nil"/>
            </w:tcBorders>
            <w:shd w:val="clear" w:color="auto" w:fill="auto"/>
            <w:vAlign w:val="center"/>
            <w:hideMark/>
          </w:tcPr>
          <w:p w:rsidR="00E74A2C" w:rsidRPr="002B0C9D" w:rsidRDefault="00E74A2C" w:rsidP="0011748C">
            <w:pPr>
              <w:spacing w:after="0" w:line="240" w:lineRule="auto"/>
              <w:rPr>
                <w:rFonts w:ascii="Arial Narrow" w:hAnsi="Arial Narrow"/>
                <w:color w:val="000000"/>
                <w:sz w:val="16"/>
                <w:szCs w:val="16"/>
                <w:lang w:eastAsia="sl-SI"/>
              </w:rPr>
            </w:pPr>
            <w:r w:rsidRPr="002B0C9D">
              <w:rPr>
                <w:rFonts w:ascii="Arial Narrow" w:hAnsi="Arial Narrow" w:cs="Arial"/>
                <w:color w:val="000000"/>
                <w:sz w:val="16"/>
                <w:szCs w:val="16"/>
                <w:lang w:eastAsia="sl-SI"/>
              </w:rPr>
              <w:t>Pogodbe o delu</w:t>
            </w:r>
          </w:p>
        </w:tc>
        <w:tc>
          <w:tcPr>
            <w:tcW w:w="960" w:type="dxa"/>
            <w:tcBorders>
              <w:top w:val="nil"/>
              <w:left w:val="nil"/>
              <w:bottom w:val="nil"/>
              <w:right w:val="nil"/>
            </w:tcBorders>
            <w:shd w:val="clear" w:color="auto" w:fill="auto"/>
            <w:noWrap/>
            <w:vAlign w:val="center"/>
            <w:hideMark/>
          </w:tcPr>
          <w:p w:rsidR="00E74A2C" w:rsidRPr="002B0C9D" w:rsidRDefault="00E74A2C" w:rsidP="0011748C">
            <w:pPr>
              <w:spacing w:after="0" w:line="240" w:lineRule="auto"/>
              <w:jc w:val="right"/>
              <w:rPr>
                <w:rFonts w:ascii="Arial Narrow" w:hAnsi="Arial Narrow"/>
                <w:color w:val="000000"/>
                <w:sz w:val="16"/>
                <w:szCs w:val="16"/>
                <w:lang w:eastAsia="sl-SI"/>
              </w:rPr>
            </w:pPr>
            <w:r w:rsidRPr="002B0C9D">
              <w:rPr>
                <w:rFonts w:ascii="Arial Narrow" w:hAnsi="Arial Narrow" w:cs="Arial"/>
                <w:color w:val="000000"/>
                <w:sz w:val="16"/>
                <w:szCs w:val="16"/>
                <w:lang w:eastAsia="sl-SI"/>
              </w:rPr>
              <w:t>576.768</w:t>
            </w:r>
          </w:p>
        </w:tc>
        <w:tc>
          <w:tcPr>
            <w:tcW w:w="960" w:type="dxa"/>
            <w:tcBorders>
              <w:top w:val="nil"/>
              <w:left w:val="nil"/>
              <w:bottom w:val="nil"/>
              <w:right w:val="nil"/>
            </w:tcBorders>
            <w:shd w:val="clear" w:color="auto" w:fill="auto"/>
            <w:noWrap/>
            <w:vAlign w:val="center"/>
            <w:hideMark/>
          </w:tcPr>
          <w:p w:rsidR="00E74A2C" w:rsidRPr="002B0C9D" w:rsidRDefault="00E74A2C" w:rsidP="0011748C">
            <w:pPr>
              <w:spacing w:after="0" w:line="240" w:lineRule="auto"/>
              <w:jc w:val="right"/>
              <w:rPr>
                <w:rFonts w:ascii="Arial Narrow" w:hAnsi="Arial Narrow"/>
                <w:color w:val="000000"/>
                <w:sz w:val="16"/>
                <w:szCs w:val="16"/>
                <w:lang w:eastAsia="sl-SI"/>
              </w:rPr>
            </w:pPr>
            <w:r w:rsidRPr="002B0C9D">
              <w:rPr>
                <w:rFonts w:ascii="Arial Narrow" w:hAnsi="Arial Narrow" w:cs="Arial"/>
                <w:color w:val="000000"/>
                <w:sz w:val="16"/>
                <w:szCs w:val="16"/>
                <w:lang w:eastAsia="sl-SI"/>
              </w:rPr>
              <w:t>504.772</w:t>
            </w:r>
          </w:p>
        </w:tc>
        <w:tc>
          <w:tcPr>
            <w:tcW w:w="960" w:type="dxa"/>
            <w:tcBorders>
              <w:top w:val="nil"/>
              <w:left w:val="nil"/>
              <w:bottom w:val="nil"/>
              <w:right w:val="nil"/>
            </w:tcBorders>
            <w:shd w:val="clear" w:color="auto" w:fill="auto"/>
            <w:noWrap/>
            <w:vAlign w:val="center"/>
            <w:hideMark/>
          </w:tcPr>
          <w:p w:rsidR="00E74A2C" w:rsidRPr="002B0C9D" w:rsidRDefault="00E74A2C" w:rsidP="0011748C">
            <w:pPr>
              <w:spacing w:after="0" w:line="240" w:lineRule="auto"/>
              <w:jc w:val="right"/>
              <w:rPr>
                <w:rFonts w:ascii="Arial Narrow" w:hAnsi="Arial Narrow"/>
                <w:color w:val="000000"/>
                <w:sz w:val="16"/>
                <w:szCs w:val="16"/>
                <w:lang w:eastAsia="sl-SI"/>
              </w:rPr>
            </w:pPr>
            <w:r w:rsidRPr="002B0C9D">
              <w:rPr>
                <w:rFonts w:ascii="Arial Narrow" w:hAnsi="Arial Narrow" w:cs="Arial"/>
                <w:color w:val="000000"/>
                <w:sz w:val="16"/>
                <w:szCs w:val="16"/>
                <w:lang w:eastAsia="sl-SI"/>
              </w:rPr>
              <w:t>538.439</w:t>
            </w:r>
          </w:p>
        </w:tc>
        <w:tc>
          <w:tcPr>
            <w:tcW w:w="960" w:type="dxa"/>
            <w:tcBorders>
              <w:top w:val="nil"/>
              <w:left w:val="nil"/>
              <w:bottom w:val="nil"/>
              <w:right w:val="nil"/>
            </w:tcBorders>
            <w:shd w:val="clear" w:color="auto" w:fill="auto"/>
            <w:noWrap/>
            <w:vAlign w:val="center"/>
            <w:hideMark/>
          </w:tcPr>
          <w:p w:rsidR="00E74A2C" w:rsidRPr="002B0C9D" w:rsidRDefault="00E74A2C" w:rsidP="0011748C">
            <w:pPr>
              <w:spacing w:after="0" w:line="240" w:lineRule="auto"/>
              <w:jc w:val="right"/>
              <w:rPr>
                <w:rFonts w:ascii="Arial Narrow" w:hAnsi="Arial Narrow"/>
                <w:color w:val="000000"/>
                <w:sz w:val="16"/>
                <w:szCs w:val="16"/>
                <w:lang w:eastAsia="sl-SI"/>
              </w:rPr>
            </w:pPr>
            <w:r w:rsidRPr="002B0C9D">
              <w:rPr>
                <w:rFonts w:ascii="Arial Narrow" w:hAnsi="Arial Narrow" w:cs="Arial"/>
                <w:color w:val="000000"/>
                <w:sz w:val="16"/>
                <w:szCs w:val="16"/>
                <w:lang w:eastAsia="sl-SI"/>
              </w:rPr>
              <w:t>772.490</w:t>
            </w:r>
          </w:p>
        </w:tc>
        <w:tc>
          <w:tcPr>
            <w:tcW w:w="960" w:type="dxa"/>
            <w:tcBorders>
              <w:top w:val="nil"/>
              <w:left w:val="nil"/>
              <w:bottom w:val="nil"/>
              <w:right w:val="nil"/>
            </w:tcBorders>
            <w:shd w:val="clear" w:color="auto" w:fill="auto"/>
            <w:noWrap/>
            <w:vAlign w:val="center"/>
            <w:hideMark/>
          </w:tcPr>
          <w:p w:rsidR="00E74A2C" w:rsidRPr="002B0C9D" w:rsidRDefault="00E74A2C" w:rsidP="0011748C">
            <w:pPr>
              <w:spacing w:after="0" w:line="240" w:lineRule="auto"/>
              <w:jc w:val="right"/>
              <w:rPr>
                <w:rFonts w:ascii="Arial Narrow" w:hAnsi="Arial Narrow"/>
                <w:color w:val="000000"/>
                <w:sz w:val="16"/>
                <w:szCs w:val="16"/>
                <w:lang w:eastAsia="sl-SI"/>
              </w:rPr>
            </w:pPr>
            <w:r w:rsidRPr="002B0C9D">
              <w:rPr>
                <w:rFonts w:ascii="Arial Narrow" w:hAnsi="Arial Narrow" w:cs="Arial"/>
                <w:color w:val="000000"/>
                <w:sz w:val="16"/>
                <w:szCs w:val="16"/>
                <w:lang w:eastAsia="sl-SI"/>
              </w:rPr>
              <w:t>624.467</w:t>
            </w:r>
          </w:p>
        </w:tc>
        <w:tc>
          <w:tcPr>
            <w:tcW w:w="960" w:type="dxa"/>
            <w:tcBorders>
              <w:top w:val="nil"/>
              <w:left w:val="nil"/>
              <w:bottom w:val="nil"/>
              <w:right w:val="nil"/>
            </w:tcBorders>
            <w:shd w:val="clear" w:color="auto" w:fill="auto"/>
            <w:noWrap/>
            <w:vAlign w:val="center"/>
            <w:hideMark/>
          </w:tcPr>
          <w:p w:rsidR="00E74A2C" w:rsidRPr="002B0C9D" w:rsidRDefault="00E74A2C" w:rsidP="0011748C">
            <w:pPr>
              <w:spacing w:after="0" w:line="240" w:lineRule="auto"/>
              <w:jc w:val="right"/>
              <w:rPr>
                <w:rFonts w:ascii="Arial Narrow" w:hAnsi="Arial Narrow"/>
                <w:color w:val="000000"/>
                <w:sz w:val="16"/>
                <w:szCs w:val="16"/>
                <w:lang w:eastAsia="sl-SI"/>
              </w:rPr>
            </w:pPr>
            <w:r w:rsidRPr="002B0C9D">
              <w:rPr>
                <w:rFonts w:ascii="Arial Narrow" w:hAnsi="Arial Narrow" w:cs="Arial"/>
                <w:color w:val="000000"/>
                <w:sz w:val="16"/>
                <w:szCs w:val="16"/>
                <w:lang w:eastAsia="sl-SI"/>
              </w:rPr>
              <w:t>726.926</w:t>
            </w:r>
          </w:p>
        </w:tc>
        <w:tc>
          <w:tcPr>
            <w:tcW w:w="960" w:type="dxa"/>
            <w:tcBorders>
              <w:top w:val="nil"/>
              <w:left w:val="nil"/>
              <w:bottom w:val="nil"/>
              <w:right w:val="nil"/>
            </w:tcBorders>
            <w:shd w:val="clear" w:color="auto" w:fill="auto"/>
            <w:noWrap/>
            <w:vAlign w:val="center"/>
            <w:hideMark/>
          </w:tcPr>
          <w:p w:rsidR="00E74A2C" w:rsidRPr="002B0C9D" w:rsidRDefault="00E74A2C" w:rsidP="0011748C">
            <w:pPr>
              <w:spacing w:after="0" w:line="240" w:lineRule="auto"/>
              <w:jc w:val="right"/>
              <w:rPr>
                <w:rFonts w:ascii="Arial Narrow" w:hAnsi="Arial Narrow"/>
                <w:color w:val="000000"/>
                <w:sz w:val="16"/>
                <w:szCs w:val="16"/>
                <w:lang w:eastAsia="sl-SI"/>
              </w:rPr>
            </w:pPr>
            <w:r w:rsidRPr="002B0C9D">
              <w:rPr>
                <w:rFonts w:ascii="Arial Narrow" w:hAnsi="Arial Narrow" w:cs="Arial"/>
                <w:color w:val="000000"/>
                <w:sz w:val="16"/>
                <w:szCs w:val="16"/>
                <w:lang w:eastAsia="sl-SI"/>
              </w:rPr>
              <w:t>563.046</w:t>
            </w:r>
          </w:p>
        </w:tc>
        <w:tc>
          <w:tcPr>
            <w:tcW w:w="960" w:type="dxa"/>
            <w:tcBorders>
              <w:top w:val="nil"/>
              <w:left w:val="nil"/>
              <w:bottom w:val="nil"/>
              <w:right w:val="single" w:sz="8" w:space="0" w:color="9BBB59"/>
            </w:tcBorders>
            <w:shd w:val="clear" w:color="auto" w:fill="auto"/>
            <w:noWrap/>
            <w:vAlign w:val="center"/>
            <w:hideMark/>
          </w:tcPr>
          <w:p w:rsidR="00E74A2C" w:rsidRPr="002B0C9D" w:rsidRDefault="00E74A2C" w:rsidP="0011748C">
            <w:pPr>
              <w:spacing w:after="0" w:line="240" w:lineRule="auto"/>
              <w:jc w:val="right"/>
              <w:rPr>
                <w:rFonts w:ascii="Arial Narrow" w:hAnsi="Arial Narrow"/>
                <w:color w:val="000000"/>
                <w:sz w:val="16"/>
                <w:szCs w:val="16"/>
                <w:lang w:eastAsia="sl-SI"/>
              </w:rPr>
            </w:pPr>
            <w:r w:rsidRPr="002B0C9D">
              <w:rPr>
                <w:rFonts w:ascii="Arial Narrow" w:hAnsi="Arial Narrow" w:cs="Arial"/>
                <w:color w:val="000000"/>
                <w:sz w:val="16"/>
                <w:szCs w:val="16"/>
                <w:lang w:eastAsia="sl-SI"/>
              </w:rPr>
              <w:t>1.384.910</w:t>
            </w:r>
          </w:p>
        </w:tc>
      </w:tr>
      <w:tr w:rsidR="00E74A2C" w:rsidRPr="002B0C9D" w:rsidTr="000A3183">
        <w:trPr>
          <w:trHeight w:val="102"/>
        </w:trPr>
        <w:tc>
          <w:tcPr>
            <w:tcW w:w="960" w:type="dxa"/>
            <w:tcBorders>
              <w:top w:val="single" w:sz="8" w:space="0" w:color="9BBB59"/>
              <w:left w:val="single" w:sz="8" w:space="0" w:color="9BBB59"/>
              <w:bottom w:val="single" w:sz="8" w:space="0" w:color="9BBB59"/>
              <w:right w:val="nil"/>
            </w:tcBorders>
            <w:shd w:val="clear" w:color="auto" w:fill="auto"/>
            <w:vAlign w:val="center"/>
            <w:hideMark/>
          </w:tcPr>
          <w:p w:rsidR="00E74A2C" w:rsidRPr="002B0C9D" w:rsidRDefault="00E74A2C" w:rsidP="0011748C">
            <w:pPr>
              <w:spacing w:after="0" w:line="240" w:lineRule="auto"/>
              <w:rPr>
                <w:rFonts w:ascii="Arial Narrow" w:hAnsi="Arial Narrow"/>
                <w:color w:val="000000"/>
                <w:sz w:val="16"/>
                <w:szCs w:val="16"/>
                <w:lang w:eastAsia="sl-SI"/>
              </w:rPr>
            </w:pPr>
            <w:r w:rsidRPr="002B0C9D">
              <w:rPr>
                <w:rFonts w:ascii="Arial Narrow" w:hAnsi="Arial Narrow" w:cs="Arial"/>
                <w:color w:val="000000"/>
                <w:sz w:val="16"/>
                <w:szCs w:val="16"/>
                <w:lang w:eastAsia="sl-SI"/>
              </w:rPr>
              <w:t>Študentski servis</w:t>
            </w:r>
          </w:p>
        </w:tc>
        <w:tc>
          <w:tcPr>
            <w:tcW w:w="960" w:type="dxa"/>
            <w:tcBorders>
              <w:top w:val="single" w:sz="8" w:space="0" w:color="9BBB59"/>
              <w:left w:val="nil"/>
              <w:bottom w:val="single" w:sz="8" w:space="0" w:color="9BBB59"/>
              <w:right w:val="nil"/>
            </w:tcBorders>
            <w:shd w:val="clear" w:color="auto" w:fill="auto"/>
            <w:noWrap/>
            <w:vAlign w:val="center"/>
            <w:hideMark/>
          </w:tcPr>
          <w:p w:rsidR="00E74A2C" w:rsidRPr="002B0C9D" w:rsidRDefault="00E74A2C" w:rsidP="0011748C">
            <w:pPr>
              <w:spacing w:after="0" w:line="240" w:lineRule="auto"/>
              <w:jc w:val="right"/>
              <w:rPr>
                <w:rFonts w:ascii="Arial Narrow" w:hAnsi="Arial Narrow"/>
                <w:color w:val="000000"/>
                <w:sz w:val="16"/>
                <w:szCs w:val="16"/>
                <w:lang w:eastAsia="sl-SI"/>
              </w:rPr>
            </w:pPr>
            <w:r w:rsidRPr="002B0C9D">
              <w:rPr>
                <w:rFonts w:ascii="Arial Narrow" w:hAnsi="Arial Narrow" w:cs="Arial"/>
                <w:color w:val="000000"/>
                <w:sz w:val="16"/>
                <w:szCs w:val="16"/>
                <w:lang w:eastAsia="sl-SI"/>
              </w:rPr>
              <w:t>2.261.767</w:t>
            </w:r>
          </w:p>
        </w:tc>
        <w:tc>
          <w:tcPr>
            <w:tcW w:w="960" w:type="dxa"/>
            <w:tcBorders>
              <w:top w:val="single" w:sz="8" w:space="0" w:color="9BBB59"/>
              <w:left w:val="nil"/>
              <w:bottom w:val="single" w:sz="8" w:space="0" w:color="9BBB59"/>
              <w:right w:val="nil"/>
            </w:tcBorders>
            <w:shd w:val="clear" w:color="auto" w:fill="auto"/>
            <w:noWrap/>
            <w:vAlign w:val="center"/>
            <w:hideMark/>
          </w:tcPr>
          <w:p w:rsidR="00E74A2C" w:rsidRPr="002B0C9D" w:rsidRDefault="00E74A2C" w:rsidP="0011748C">
            <w:pPr>
              <w:spacing w:after="0" w:line="240" w:lineRule="auto"/>
              <w:jc w:val="right"/>
              <w:rPr>
                <w:rFonts w:ascii="Arial Narrow" w:hAnsi="Arial Narrow"/>
                <w:color w:val="000000"/>
                <w:sz w:val="16"/>
                <w:szCs w:val="16"/>
                <w:lang w:eastAsia="sl-SI"/>
              </w:rPr>
            </w:pPr>
            <w:r w:rsidRPr="002B0C9D">
              <w:rPr>
                <w:rFonts w:ascii="Arial Narrow" w:hAnsi="Arial Narrow" w:cs="Arial"/>
                <w:color w:val="000000"/>
                <w:sz w:val="16"/>
                <w:szCs w:val="16"/>
                <w:lang w:eastAsia="sl-SI"/>
              </w:rPr>
              <w:t>2.413.865</w:t>
            </w:r>
          </w:p>
        </w:tc>
        <w:tc>
          <w:tcPr>
            <w:tcW w:w="960" w:type="dxa"/>
            <w:tcBorders>
              <w:top w:val="single" w:sz="8" w:space="0" w:color="9BBB59"/>
              <w:left w:val="nil"/>
              <w:bottom w:val="single" w:sz="8" w:space="0" w:color="9BBB59"/>
              <w:right w:val="nil"/>
            </w:tcBorders>
            <w:shd w:val="clear" w:color="auto" w:fill="auto"/>
            <w:noWrap/>
            <w:vAlign w:val="center"/>
            <w:hideMark/>
          </w:tcPr>
          <w:p w:rsidR="00E74A2C" w:rsidRPr="002B0C9D" w:rsidRDefault="00E74A2C" w:rsidP="0011748C">
            <w:pPr>
              <w:spacing w:after="0" w:line="240" w:lineRule="auto"/>
              <w:jc w:val="right"/>
              <w:rPr>
                <w:rFonts w:ascii="Arial Narrow" w:hAnsi="Arial Narrow"/>
                <w:color w:val="000000"/>
                <w:sz w:val="16"/>
                <w:szCs w:val="16"/>
                <w:lang w:eastAsia="sl-SI"/>
              </w:rPr>
            </w:pPr>
            <w:r w:rsidRPr="002B0C9D">
              <w:rPr>
                <w:rFonts w:ascii="Arial Narrow" w:hAnsi="Arial Narrow" w:cs="Arial"/>
                <w:color w:val="000000"/>
                <w:sz w:val="16"/>
                <w:szCs w:val="16"/>
                <w:lang w:eastAsia="sl-SI"/>
              </w:rPr>
              <w:t>2.354.954</w:t>
            </w:r>
          </w:p>
        </w:tc>
        <w:tc>
          <w:tcPr>
            <w:tcW w:w="960" w:type="dxa"/>
            <w:tcBorders>
              <w:top w:val="single" w:sz="8" w:space="0" w:color="9BBB59"/>
              <w:left w:val="nil"/>
              <w:bottom w:val="single" w:sz="8" w:space="0" w:color="9BBB59"/>
              <w:right w:val="nil"/>
            </w:tcBorders>
            <w:shd w:val="clear" w:color="auto" w:fill="auto"/>
            <w:noWrap/>
            <w:vAlign w:val="center"/>
            <w:hideMark/>
          </w:tcPr>
          <w:p w:rsidR="00E74A2C" w:rsidRPr="002B0C9D" w:rsidRDefault="00E74A2C" w:rsidP="0011748C">
            <w:pPr>
              <w:spacing w:after="0" w:line="240" w:lineRule="auto"/>
              <w:jc w:val="right"/>
              <w:rPr>
                <w:rFonts w:ascii="Arial Narrow" w:hAnsi="Arial Narrow"/>
                <w:color w:val="000000"/>
                <w:sz w:val="16"/>
                <w:szCs w:val="16"/>
                <w:lang w:eastAsia="sl-SI"/>
              </w:rPr>
            </w:pPr>
            <w:r w:rsidRPr="002B0C9D">
              <w:rPr>
                <w:rFonts w:ascii="Arial Narrow" w:hAnsi="Arial Narrow" w:cs="Arial"/>
                <w:color w:val="000000"/>
                <w:sz w:val="16"/>
                <w:szCs w:val="16"/>
                <w:lang w:eastAsia="sl-SI"/>
              </w:rPr>
              <w:t>2.312.468</w:t>
            </w:r>
          </w:p>
        </w:tc>
        <w:tc>
          <w:tcPr>
            <w:tcW w:w="960" w:type="dxa"/>
            <w:tcBorders>
              <w:top w:val="single" w:sz="8" w:space="0" w:color="9BBB59"/>
              <w:left w:val="nil"/>
              <w:bottom w:val="single" w:sz="8" w:space="0" w:color="9BBB59"/>
              <w:right w:val="nil"/>
            </w:tcBorders>
            <w:shd w:val="clear" w:color="auto" w:fill="auto"/>
            <w:noWrap/>
            <w:vAlign w:val="center"/>
            <w:hideMark/>
          </w:tcPr>
          <w:p w:rsidR="00E74A2C" w:rsidRPr="002B0C9D" w:rsidRDefault="00E74A2C" w:rsidP="0011748C">
            <w:pPr>
              <w:spacing w:after="0" w:line="240" w:lineRule="auto"/>
              <w:jc w:val="right"/>
              <w:rPr>
                <w:rFonts w:ascii="Arial Narrow" w:hAnsi="Arial Narrow"/>
                <w:color w:val="000000"/>
                <w:sz w:val="16"/>
                <w:szCs w:val="16"/>
                <w:lang w:eastAsia="sl-SI"/>
              </w:rPr>
            </w:pPr>
            <w:r w:rsidRPr="002B0C9D">
              <w:rPr>
                <w:rFonts w:ascii="Arial Narrow" w:hAnsi="Arial Narrow" w:cs="Arial"/>
                <w:color w:val="000000"/>
                <w:sz w:val="16"/>
                <w:szCs w:val="16"/>
                <w:lang w:eastAsia="sl-SI"/>
              </w:rPr>
              <w:t>2.259.974</w:t>
            </w:r>
          </w:p>
        </w:tc>
        <w:tc>
          <w:tcPr>
            <w:tcW w:w="960" w:type="dxa"/>
            <w:tcBorders>
              <w:top w:val="single" w:sz="8" w:space="0" w:color="9BBB59"/>
              <w:left w:val="nil"/>
              <w:bottom w:val="single" w:sz="8" w:space="0" w:color="9BBB59"/>
              <w:right w:val="nil"/>
            </w:tcBorders>
            <w:shd w:val="clear" w:color="auto" w:fill="auto"/>
            <w:noWrap/>
            <w:vAlign w:val="center"/>
            <w:hideMark/>
          </w:tcPr>
          <w:p w:rsidR="00E74A2C" w:rsidRPr="002B0C9D" w:rsidRDefault="00E74A2C" w:rsidP="0011748C">
            <w:pPr>
              <w:spacing w:after="0" w:line="240" w:lineRule="auto"/>
              <w:jc w:val="right"/>
              <w:rPr>
                <w:rFonts w:ascii="Arial Narrow" w:hAnsi="Arial Narrow"/>
                <w:color w:val="000000"/>
                <w:sz w:val="16"/>
                <w:szCs w:val="16"/>
                <w:lang w:eastAsia="sl-SI"/>
              </w:rPr>
            </w:pPr>
            <w:r w:rsidRPr="002B0C9D">
              <w:rPr>
                <w:rFonts w:ascii="Arial Narrow" w:hAnsi="Arial Narrow" w:cs="Arial"/>
                <w:color w:val="000000"/>
                <w:sz w:val="16"/>
                <w:szCs w:val="16"/>
                <w:lang w:eastAsia="sl-SI"/>
              </w:rPr>
              <w:t>2.003.888</w:t>
            </w:r>
          </w:p>
        </w:tc>
        <w:tc>
          <w:tcPr>
            <w:tcW w:w="960" w:type="dxa"/>
            <w:tcBorders>
              <w:top w:val="single" w:sz="8" w:space="0" w:color="9BBB59"/>
              <w:left w:val="nil"/>
              <w:bottom w:val="single" w:sz="8" w:space="0" w:color="9BBB59"/>
              <w:right w:val="nil"/>
            </w:tcBorders>
            <w:shd w:val="clear" w:color="auto" w:fill="auto"/>
            <w:noWrap/>
            <w:vAlign w:val="center"/>
            <w:hideMark/>
          </w:tcPr>
          <w:p w:rsidR="00E74A2C" w:rsidRPr="002B0C9D" w:rsidRDefault="00E74A2C" w:rsidP="0011748C">
            <w:pPr>
              <w:spacing w:after="0" w:line="240" w:lineRule="auto"/>
              <w:jc w:val="right"/>
              <w:rPr>
                <w:rFonts w:ascii="Arial Narrow" w:hAnsi="Arial Narrow"/>
                <w:color w:val="000000"/>
                <w:sz w:val="16"/>
                <w:szCs w:val="16"/>
                <w:lang w:eastAsia="sl-SI"/>
              </w:rPr>
            </w:pPr>
            <w:r w:rsidRPr="002B0C9D">
              <w:rPr>
                <w:rFonts w:ascii="Arial Narrow" w:hAnsi="Arial Narrow" w:cs="Arial"/>
                <w:color w:val="000000"/>
                <w:sz w:val="16"/>
                <w:szCs w:val="16"/>
                <w:lang w:eastAsia="sl-SI"/>
              </w:rPr>
              <w:t>2.327.035</w:t>
            </w:r>
          </w:p>
        </w:tc>
        <w:tc>
          <w:tcPr>
            <w:tcW w:w="960" w:type="dxa"/>
            <w:tcBorders>
              <w:top w:val="single" w:sz="8" w:space="0" w:color="9BBB59"/>
              <w:left w:val="nil"/>
              <w:bottom w:val="single" w:sz="8" w:space="0" w:color="9BBB59"/>
              <w:right w:val="single" w:sz="8" w:space="0" w:color="9BBB59"/>
            </w:tcBorders>
            <w:shd w:val="clear" w:color="auto" w:fill="auto"/>
            <w:noWrap/>
            <w:vAlign w:val="center"/>
            <w:hideMark/>
          </w:tcPr>
          <w:p w:rsidR="00E74A2C" w:rsidRPr="002B0C9D" w:rsidRDefault="00E74A2C" w:rsidP="0011748C">
            <w:pPr>
              <w:spacing w:after="0" w:line="240" w:lineRule="auto"/>
              <w:jc w:val="right"/>
              <w:rPr>
                <w:rFonts w:ascii="Arial Narrow" w:hAnsi="Arial Narrow"/>
                <w:color w:val="000000"/>
                <w:sz w:val="16"/>
                <w:szCs w:val="16"/>
                <w:lang w:eastAsia="sl-SI"/>
              </w:rPr>
            </w:pPr>
            <w:r w:rsidRPr="002B0C9D">
              <w:rPr>
                <w:rFonts w:ascii="Arial Narrow" w:hAnsi="Arial Narrow" w:cs="Arial"/>
                <w:color w:val="000000"/>
                <w:sz w:val="16"/>
                <w:szCs w:val="16"/>
                <w:lang w:eastAsia="sl-SI"/>
              </w:rPr>
              <w:t>2.909.737</w:t>
            </w:r>
          </w:p>
        </w:tc>
      </w:tr>
      <w:tr w:rsidR="00E74A2C" w:rsidRPr="002B0C9D" w:rsidTr="000A3183">
        <w:trPr>
          <w:trHeight w:val="102"/>
        </w:trPr>
        <w:tc>
          <w:tcPr>
            <w:tcW w:w="960" w:type="dxa"/>
            <w:tcBorders>
              <w:top w:val="nil"/>
              <w:left w:val="single" w:sz="8" w:space="0" w:color="9BBB59"/>
              <w:bottom w:val="nil"/>
              <w:right w:val="nil"/>
            </w:tcBorders>
            <w:shd w:val="clear" w:color="auto" w:fill="auto"/>
            <w:vAlign w:val="center"/>
            <w:hideMark/>
          </w:tcPr>
          <w:p w:rsidR="00E74A2C" w:rsidRPr="002B0C9D" w:rsidRDefault="00E74A2C" w:rsidP="0011748C">
            <w:pPr>
              <w:spacing w:after="0" w:line="240" w:lineRule="auto"/>
              <w:rPr>
                <w:rFonts w:ascii="Arial Narrow" w:hAnsi="Arial Narrow"/>
                <w:b/>
                <w:bCs/>
                <w:color w:val="000000"/>
                <w:sz w:val="16"/>
                <w:szCs w:val="16"/>
                <w:lang w:eastAsia="sl-SI"/>
              </w:rPr>
            </w:pPr>
            <w:r w:rsidRPr="002B0C9D">
              <w:rPr>
                <w:rFonts w:ascii="Arial Narrow" w:hAnsi="Arial Narrow" w:cs="Arial"/>
                <w:b/>
                <w:bCs/>
                <w:color w:val="000000"/>
                <w:sz w:val="16"/>
                <w:szCs w:val="16"/>
                <w:lang w:eastAsia="sl-SI"/>
              </w:rPr>
              <w:t>Skupaj</w:t>
            </w:r>
          </w:p>
        </w:tc>
        <w:tc>
          <w:tcPr>
            <w:tcW w:w="960" w:type="dxa"/>
            <w:tcBorders>
              <w:top w:val="nil"/>
              <w:left w:val="nil"/>
              <w:bottom w:val="nil"/>
              <w:right w:val="nil"/>
            </w:tcBorders>
            <w:shd w:val="clear" w:color="auto" w:fill="auto"/>
            <w:noWrap/>
            <w:vAlign w:val="center"/>
            <w:hideMark/>
          </w:tcPr>
          <w:p w:rsidR="00E74A2C" w:rsidRPr="002B0C9D" w:rsidRDefault="00E74A2C" w:rsidP="0011748C">
            <w:pPr>
              <w:spacing w:after="0" w:line="240" w:lineRule="auto"/>
              <w:jc w:val="right"/>
              <w:rPr>
                <w:rFonts w:ascii="Arial Narrow" w:hAnsi="Arial Narrow"/>
                <w:b/>
                <w:bCs/>
                <w:color w:val="000000"/>
                <w:sz w:val="16"/>
                <w:szCs w:val="16"/>
                <w:lang w:eastAsia="sl-SI"/>
              </w:rPr>
            </w:pPr>
            <w:r w:rsidRPr="002B0C9D">
              <w:rPr>
                <w:rFonts w:ascii="Arial Narrow" w:hAnsi="Arial Narrow" w:cs="Arial"/>
                <w:b/>
                <w:bCs/>
                <w:color w:val="000000"/>
                <w:sz w:val="16"/>
                <w:szCs w:val="16"/>
                <w:lang w:eastAsia="sl-SI"/>
              </w:rPr>
              <w:t>77.288.425</w:t>
            </w:r>
          </w:p>
        </w:tc>
        <w:tc>
          <w:tcPr>
            <w:tcW w:w="960" w:type="dxa"/>
            <w:tcBorders>
              <w:top w:val="nil"/>
              <w:left w:val="nil"/>
              <w:bottom w:val="nil"/>
              <w:right w:val="nil"/>
            </w:tcBorders>
            <w:shd w:val="clear" w:color="auto" w:fill="auto"/>
            <w:noWrap/>
            <w:vAlign w:val="center"/>
            <w:hideMark/>
          </w:tcPr>
          <w:p w:rsidR="00E74A2C" w:rsidRPr="002B0C9D" w:rsidRDefault="00E74A2C" w:rsidP="0011748C">
            <w:pPr>
              <w:spacing w:after="0" w:line="240" w:lineRule="auto"/>
              <w:jc w:val="right"/>
              <w:rPr>
                <w:rFonts w:ascii="Arial Narrow" w:hAnsi="Arial Narrow"/>
                <w:b/>
                <w:bCs/>
                <w:color w:val="000000"/>
                <w:sz w:val="16"/>
                <w:szCs w:val="16"/>
                <w:lang w:eastAsia="sl-SI"/>
              </w:rPr>
            </w:pPr>
            <w:r w:rsidRPr="002B0C9D">
              <w:rPr>
                <w:rFonts w:ascii="Arial Narrow" w:hAnsi="Arial Narrow" w:cs="Arial"/>
                <w:b/>
                <w:bCs/>
                <w:color w:val="000000"/>
                <w:sz w:val="16"/>
                <w:szCs w:val="16"/>
                <w:lang w:eastAsia="sl-SI"/>
              </w:rPr>
              <w:t>84.186.755</w:t>
            </w:r>
          </w:p>
        </w:tc>
        <w:tc>
          <w:tcPr>
            <w:tcW w:w="960" w:type="dxa"/>
            <w:tcBorders>
              <w:top w:val="nil"/>
              <w:left w:val="nil"/>
              <w:bottom w:val="nil"/>
              <w:right w:val="nil"/>
            </w:tcBorders>
            <w:shd w:val="clear" w:color="auto" w:fill="auto"/>
            <w:noWrap/>
            <w:vAlign w:val="center"/>
            <w:hideMark/>
          </w:tcPr>
          <w:p w:rsidR="00E74A2C" w:rsidRPr="002B0C9D" w:rsidRDefault="00E74A2C" w:rsidP="0011748C">
            <w:pPr>
              <w:spacing w:after="0" w:line="240" w:lineRule="auto"/>
              <w:jc w:val="right"/>
              <w:rPr>
                <w:rFonts w:ascii="Arial Narrow" w:hAnsi="Arial Narrow"/>
                <w:b/>
                <w:bCs/>
                <w:color w:val="000000"/>
                <w:sz w:val="16"/>
                <w:szCs w:val="16"/>
                <w:lang w:eastAsia="sl-SI"/>
              </w:rPr>
            </w:pPr>
            <w:r w:rsidRPr="002B0C9D">
              <w:rPr>
                <w:rFonts w:ascii="Arial Narrow" w:hAnsi="Arial Narrow" w:cs="Arial"/>
                <w:b/>
                <w:bCs/>
                <w:color w:val="000000"/>
                <w:sz w:val="16"/>
                <w:szCs w:val="16"/>
                <w:lang w:eastAsia="sl-SI"/>
              </w:rPr>
              <w:t>85.718.052</w:t>
            </w:r>
          </w:p>
        </w:tc>
        <w:tc>
          <w:tcPr>
            <w:tcW w:w="960" w:type="dxa"/>
            <w:tcBorders>
              <w:top w:val="nil"/>
              <w:left w:val="nil"/>
              <w:bottom w:val="nil"/>
              <w:right w:val="nil"/>
            </w:tcBorders>
            <w:shd w:val="clear" w:color="auto" w:fill="auto"/>
            <w:noWrap/>
            <w:vAlign w:val="center"/>
            <w:hideMark/>
          </w:tcPr>
          <w:p w:rsidR="00E74A2C" w:rsidRPr="002B0C9D" w:rsidRDefault="00E74A2C" w:rsidP="0011748C">
            <w:pPr>
              <w:spacing w:after="0" w:line="240" w:lineRule="auto"/>
              <w:jc w:val="right"/>
              <w:rPr>
                <w:rFonts w:ascii="Arial Narrow" w:hAnsi="Arial Narrow"/>
                <w:b/>
                <w:bCs/>
                <w:color w:val="000000"/>
                <w:sz w:val="16"/>
                <w:szCs w:val="16"/>
                <w:lang w:eastAsia="sl-SI"/>
              </w:rPr>
            </w:pPr>
            <w:r w:rsidRPr="002B0C9D">
              <w:rPr>
                <w:rFonts w:ascii="Arial Narrow" w:hAnsi="Arial Narrow" w:cs="Arial"/>
                <w:b/>
                <w:bCs/>
                <w:color w:val="000000"/>
                <w:sz w:val="16"/>
                <w:szCs w:val="16"/>
                <w:lang w:eastAsia="sl-SI"/>
              </w:rPr>
              <w:t>85.063.963</w:t>
            </w:r>
          </w:p>
        </w:tc>
        <w:tc>
          <w:tcPr>
            <w:tcW w:w="960" w:type="dxa"/>
            <w:tcBorders>
              <w:top w:val="nil"/>
              <w:left w:val="nil"/>
              <w:bottom w:val="nil"/>
              <w:right w:val="nil"/>
            </w:tcBorders>
            <w:shd w:val="clear" w:color="auto" w:fill="auto"/>
            <w:noWrap/>
            <w:vAlign w:val="center"/>
            <w:hideMark/>
          </w:tcPr>
          <w:p w:rsidR="00E74A2C" w:rsidRPr="002B0C9D" w:rsidRDefault="00E74A2C" w:rsidP="0011748C">
            <w:pPr>
              <w:spacing w:after="0" w:line="240" w:lineRule="auto"/>
              <w:jc w:val="right"/>
              <w:rPr>
                <w:rFonts w:ascii="Arial Narrow" w:hAnsi="Arial Narrow"/>
                <w:b/>
                <w:bCs/>
                <w:color w:val="000000"/>
                <w:sz w:val="16"/>
                <w:szCs w:val="16"/>
                <w:lang w:eastAsia="sl-SI"/>
              </w:rPr>
            </w:pPr>
            <w:r w:rsidRPr="002B0C9D">
              <w:rPr>
                <w:rFonts w:ascii="Arial Narrow" w:hAnsi="Arial Narrow" w:cs="Arial"/>
                <w:b/>
                <w:bCs/>
                <w:color w:val="000000"/>
                <w:sz w:val="16"/>
                <w:szCs w:val="16"/>
                <w:lang w:eastAsia="sl-SI"/>
              </w:rPr>
              <w:t>82.035.024</w:t>
            </w:r>
          </w:p>
        </w:tc>
        <w:tc>
          <w:tcPr>
            <w:tcW w:w="960" w:type="dxa"/>
            <w:tcBorders>
              <w:top w:val="nil"/>
              <w:left w:val="nil"/>
              <w:bottom w:val="nil"/>
              <w:right w:val="nil"/>
            </w:tcBorders>
            <w:shd w:val="clear" w:color="auto" w:fill="auto"/>
            <w:noWrap/>
            <w:vAlign w:val="center"/>
            <w:hideMark/>
          </w:tcPr>
          <w:p w:rsidR="00E74A2C" w:rsidRPr="002B0C9D" w:rsidRDefault="00E74A2C" w:rsidP="0011748C">
            <w:pPr>
              <w:spacing w:after="0" w:line="240" w:lineRule="auto"/>
              <w:jc w:val="right"/>
              <w:rPr>
                <w:rFonts w:ascii="Arial Narrow" w:hAnsi="Arial Narrow"/>
                <w:b/>
                <w:bCs/>
                <w:color w:val="000000"/>
                <w:sz w:val="16"/>
                <w:szCs w:val="16"/>
                <w:lang w:eastAsia="sl-SI"/>
              </w:rPr>
            </w:pPr>
            <w:r w:rsidRPr="002B0C9D">
              <w:rPr>
                <w:rFonts w:ascii="Arial Narrow" w:hAnsi="Arial Narrow" w:cs="Arial"/>
                <w:b/>
                <w:bCs/>
                <w:color w:val="000000"/>
                <w:sz w:val="16"/>
                <w:szCs w:val="16"/>
                <w:lang w:eastAsia="sl-SI"/>
              </w:rPr>
              <w:t>78.514.880</w:t>
            </w:r>
          </w:p>
        </w:tc>
        <w:tc>
          <w:tcPr>
            <w:tcW w:w="960" w:type="dxa"/>
            <w:tcBorders>
              <w:top w:val="nil"/>
              <w:left w:val="nil"/>
              <w:bottom w:val="nil"/>
              <w:right w:val="nil"/>
            </w:tcBorders>
            <w:shd w:val="clear" w:color="auto" w:fill="auto"/>
            <w:noWrap/>
            <w:vAlign w:val="center"/>
            <w:hideMark/>
          </w:tcPr>
          <w:p w:rsidR="00E74A2C" w:rsidRPr="002B0C9D" w:rsidRDefault="00E74A2C" w:rsidP="0011748C">
            <w:pPr>
              <w:spacing w:after="0" w:line="240" w:lineRule="auto"/>
              <w:jc w:val="right"/>
              <w:rPr>
                <w:rFonts w:ascii="Arial Narrow" w:hAnsi="Arial Narrow"/>
                <w:b/>
                <w:bCs/>
                <w:color w:val="000000"/>
                <w:sz w:val="16"/>
                <w:szCs w:val="16"/>
                <w:lang w:eastAsia="sl-SI"/>
              </w:rPr>
            </w:pPr>
            <w:r w:rsidRPr="002B0C9D">
              <w:rPr>
                <w:rFonts w:ascii="Arial Narrow" w:hAnsi="Arial Narrow" w:cs="Arial"/>
                <w:b/>
                <w:bCs/>
                <w:color w:val="000000"/>
                <w:sz w:val="16"/>
                <w:szCs w:val="16"/>
                <w:lang w:eastAsia="sl-SI"/>
              </w:rPr>
              <w:t>79.446.550</w:t>
            </w:r>
          </w:p>
        </w:tc>
        <w:tc>
          <w:tcPr>
            <w:tcW w:w="960" w:type="dxa"/>
            <w:tcBorders>
              <w:top w:val="nil"/>
              <w:left w:val="nil"/>
              <w:bottom w:val="nil"/>
              <w:right w:val="single" w:sz="8" w:space="0" w:color="9BBB59"/>
            </w:tcBorders>
            <w:shd w:val="clear" w:color="auto" w:fill="auto"/>
            <w:noWrap/>
            <w:vAlign w:val="center"/>
            <w:hideMark/>
          </w:tcPr>
          <w:p w:rsidR="00E74A2C" w:rsidRPr="002B0C9D" w:rsidRDefault="00E74A2C" w:rsidP="0011748C">
            <w:pPr>
              <w:spacing w:after="0" w:line="240" w:lineRule="auto"/>
              <w:jc w:val="right"/>
              <w:rPr>
                <w:rFonts w:ascii="Arial Narrow" w:hAnsi="Arial Narrow"/>
                <w:b/>
                <w:bCs/>
                <w:color w:val="000000"/>
                <w:sz w:val="16"/>
                <w:szCs w:val="16"/>
                <w:lang w:eastAsia="sl-SI"/>
              </w:rPr>
            </w:pPr>
            <w:r w:rsidRPr="002B0C9D">
              <w:rPr>
                <w:rFonts w:ascii="Arial Narrow" w:hAnsi="Arial Narrow" w:cs="Arial"/>
                <w:b/>
                <w:bCs/>
                <w:color w:val="000000"/>
                <w:sz w:val="16"/>
                <w:szCs w:val="16"/>
                <w:lang w:eastAsia="sl-SI"/>
              </w:rPr>
              <w:t>79.204.042</w:t>
            </w:r>
          </w:p>
        </w:tc>
      </w:tr>
      <w:tr w:rsidR="00E74A2C" w:rsidRPr="002B0C9D" w:rsidTr="000A3183">
        <w:trPr>
          <w:trHeight w:val="102"/>
        </w:trPr>
        <w:tc>
          <w:tcPr>
            <w:tcW w:w="960" w:type="dxa"/>
            <w:tcBorders>
              <w:top w:val="nil"/>
              <w:left w:val="single" w:sz="8" w:space="0" w:color="9BBB59"/>
              <w:bottom w:val="nil"/>
              <w:right w:val="nil"/>
            </w:tcBorders>
            <w:shd w:val="clear" w:color="000000" w:fill="D8E4BC"/>
            <w:vAlign w:val="center"/>
            <w:hideMark/>
          </w:tcPr>
          <w:p w:rsidR="00E74A2C" w:rsidRPr="002B0C9D" w:rsidRDefault="00E74A2C" w:rsidP="0011748C">
            <w:pPr>
              <w:spacing w:after="0" w:line="240" w:lineRule="auto"/>
              <w:rPr>
                <w:rFonts w:ascii="Arial Narrow" w:hAnsi="Arial Narrow"/>
                <w:color w:val="000000"/>
                <w:sz w:val="16"/>
                <w:szCs w:val="16"/>
                <w:lang w:eastAsia="sl-SI"/>
              </w:rPr>
            </w:pPr>
            <w:r w:rsidRPr="002B0C9D">
              <w:rPr>
                <w:rFonts w:ascii="Arial Narrow" w:hAnsi="Arial Narrow"/>
                <w:color w:val="000000"/>
                <w:sz w:val="16"/>
                <w:szCs w:val="16"/>
                <w:lang w:eastAsia="sl-SI"/>
              </w:rPr>
              <w:t> </w:t>
            </w:r>
          </w:p>
        </w:tc>
        <w:tc>
          <w:tcPr>
            <w:tcW w:w="960" w:type="dxa"/>
            <w:tcBorders>
              <w:top w:val="nil"/>
              <w:left w:val="nil"/>
              <w:bottom w:val="nil"/>
              <w:right w:val="nil"/>
            </w:tcBorders>
            <w:shd w:val="clear" w:color="000000" w:fill="D8E4BC"/>
            <w:noWrap/>
            <w:vAlign w:val="center"/>
            <w:hideMark/>
          </w:tcPr>
          <w:p w:rsidR="00E74A2C" w:rsidRPr="002B0C9D" w:rsidRDefault="00E74A2C" w:rsidP="0011748C">
            <w:pPr>
              <w:spacing w:after="0" w:line="240" w:lineRule="auto"/>
              <w:rPr>
                <w:rFonts w:ascii="Arial Narrow" w:hAnsi="Arial Narrow"/>
                <w:b/>
                <w:bCs/>
                <w:color w:val="000000"/>
                <w:sz w:val="16"/>
                <w:szCs w:val="16"/>
                <w:lang w:eastAsia="sl-SI"/>
              </w:rPr>
            </w:pPr>
            <w:r w:rsidRPr="002B0C9D">
              <w:rPr>
                <w:rFonts w:ascii="Arial Narrow" w:hAnsi="Arial Narrow"/>
                <w:b/>
                <w:bCs/>
                <w:color w:val="000000"/>
                <w:sz w:val="16"/>
                <w:szCs w:val="16"/>
                <w:lang w:eastAsia="sl-SI"/>
              </w:rPr>
              <w:t> </w:t>
            </w:r>
          </w:p>
        </w:tc>
        <w:tc>
          <w:tcPr>
            <w:tcW w:w="960" w:type="dxa"/>
            <w:tcBorders>
              <w:top w:val="nil"/>
              <w:left w:val="nil"/>
              <w:bottom w:val="nil"/>
              <w:right w:val="nil"/>
            </w:tcBorders>
            <w:shd w:val="clear" w:color="000000" w:fill="D8E4BC"/>
            <w:noWrap/>
            <w:vAlign w:val="center"/>
            <w:hideMark/>
          </w:tcPr>
          <w:p w:rsidR="00E74A2C" w:rsidRPr="002B0C9D" w:rsidRDefault="00E74A2C" w:rsidP="0011748C">
            <w:pPr>
              <w:spacing w:after="0" w:line="240" w:lineRule="auto"/>
              <w:rPr>
                <w:rFonts w:ascii="Arial Narrow" w:hAnsi="Arial Narrow"/>
                <w:b/>
                <w:bCs/>
                <w:color w:val="000000"/>
                <w:sz w:val="16"/>
                <w:szCs w:val="16"/>
                <w:lang w:eastAsia="sl-SI"/>
              </w:rPr>
            </w:pPr>
            <w:r w:rsidRPr="002B0C9D">
              <w:rPr>
                <w:rFonts w:ascii="Arial Narrow" w:hAnsi="Arial Narrow"/>
                <w:b/>
                <w:bCs/>
                <w:color w:val="000000"/>
                <w:sz w:val="16"/>
                <w:szCs w:val="16"/>
                <w:lang w:eastAsia="sl-SI"/>
              </w:rPr>
              <w:t> </w:t>
            </w:r>
          </w:p>
        </w:tc>
        <w:tc>
          <w:tcPr>
            <w:tcW w:w="960" w:type="dxa"/>
            <w:tcBorders>
              <w:top w:val="nil"/>
              <w:left w:val="nil"/>
              <w:bottom w:val="nil"/>
              <w:right w:val="nil"/>
            </w:tcBorders>
            <w:shd w:val="clear" w:color="000000" w:fill="D8E4BC"/>
            <w:noWrap/>
            <w:vAlign w:val="center"/>
            <w:hideMark/>
          </w:tcPr>
          <w:p w:rsidR="00E74A2C" w:rsidRPr="002B0C9D" w:rsidRDefault="00E74A2C" w:rsidP="0011748C">
            <w:pPr>
              <w:spacing w:after="0" w:line="240" w:lineRule="auto"/>
              <w:rPr>
                <w:rFonts w:ascii="Arial Narrow" w:hAnsi="Arial Narrow"/>
                <w:b/>
                <w:bCs/>
                <w:color w:val="000000"/>
                <w:sz w:val="16"/>
                <w:szCs w:val="16"/>
                <w:lang w:eastAsia="sl-SI"/>
              </w:rPr>
            </w:pPr>
            <w:r w:rsidRPr="002B0C9D">
              <w:rPr>
                <w:rFonts w:ascii="Arial Narrow" w:hAnsi="Arial Narrow"/>
                <w:b/>
                <w:bCs/>
                <w:color w:val="000000"/>
                <w:sz w:val="16"/>
                <w:szCs w:val="16"/>
                <w:lang w:eastAsia="sl-SI"/>
              </w:rPr>
              <w:t> </w:t>
            </w:r>
          </w:p>
        </w:tc>
        <w:tc>
          <w:tcPr>
            <w:tcW w:w="960" w:type="dxa"/>
            <w:tcBorders>
              <w:top w:val="nil"/>
              <w:left w:val="nil"/>
              <w:bottom w:val="nil"/>
              <w:right w:val="nil"/>
            </w:tcBorders>
            <w:shd w:val="clear" w:color="000000" w:fill="D8E4BC"/>
            <w:noWrap/>
            <w:vAlign w:val="center"/>
            <w:hideMark/>
          </w:tcPr>
          <w:p w:rsidR="00E74A2C" w:rsidRPr="002B0C9D" w:rsidRDefault="00E74A2C" w:rsidP="0011748C">
            <w:pPr>
              <w:spacing w:after="0" w:line="240" w:lineRule="auto"/>
              <w:rPr>
                <w:rFonts w:ascii="Arial Narrow" w:hAnsi="Arial Narrow"/>
                <w:b/>
                <w:bCs/>
                <w:color w:val="000000"/>
                <w:sz w:val="16"/>
                <w:szCs w:val="16"/>
                <w:lang w:eastAsia="sl-SI"/>
              </w:rPr>
            </w:pPr>
            <w:r w:rsidRPr="002B0C9D">
              <w:rPr>
                <w:rFonts w:ascii="Arial Narrow" w:hAnsi="Arial Narrow"/>
                <w:b/>
                <w:bCs/>
                <w:color w:val="000000"/>
                <w:sz w:val="16"/>
                <w:szCs w:val="16"/>
                <w:lang w:eastAsia="sl-SI"/>
              </w:rPr>
              <w:t> </w:t>
            </w:r>
          </w:p>
        </w:tc>
        <w:tc>
          <w:tcPr>
            <w:tcW w:w="960" w:type="dxa"/>
            <w:tcBorders>
              <w:top w:val="nil"/>
              <w:left w:val="nil"/>
              <w:bottom w:val="nil"/>
              <w:right w:val="nil"/>
            </w:tcBorders>
            <w:shd w:val="clear" w:color="000000" w:fill="D8E4BC"/>
            <w:noWrap/>
            <w:vAlign w:val="center"/>
            <w:hideMark/>
          </w:tcPr>
          <w:p w:rsidR="00E74A2C" w:rsidRPr="002B0C9D" w:rsidRDefault="00E74A2C" w:rsidP="0011748C">
            <w:pPr>
              <w:spacing w:after="0" w:line="240" w:lineRule="auto"/>
              <w:rPr>
                <w:rFonts w:ascii="Arial Narrow" w:hAnsi="Arial Narrow"/>
                <w:b/>
                <w:bCs/>
                <w:color w:val="000000"/>
                <w:sz w:val="16"/>
                <w:szCs w:val="16"/>
                <w:lang w:eastAsia="sl-SI"/>
              </w:rPr>
            </w:pPr>
            <w:r w:rsidRPr="002B0C9D">
              <w:rPr>
                <w:rFonts w:ascii="Arial Narrow" w:hAnsi="Arial Narrow"/>
                <w:b/>
                <w:bCs/>
                <w:color w:val="000000"/>
                <w:sz w:val="16"/>
                <w:szCs w:val="16"/>
                <w:lang w:eastAsia="sl-SI"/>
              </w:rPr>
              <w:t> </w:t>
            </w:r>
          </w:p>
        </w:tc>
        <w:tc>
          <w:tcPr>
            <w:tcW w:w="960" w:type="dxa"/>
            <w:tcBorders>
              <w:top w:val="nil"/>
              <w:left w:val="nil"/>
              <w:bottom w:val="nil"/>
              <w:right w:val="nil"/>
            </w:tcBorders>
            <w:shd w:val="clear" w:color="000000" w:fill="D8E4BC"/>
            <w:noWrap/>
            <w:vAlign w:val="center"/>
            <w:hideMark/>
          </w:tcPr>
          <w:p w:rsidR="00E74A2C" w:rsidRPr="002B0C9D" w:rsidRDefault="00E74A2C" w:rsidP="0011748C">
            <w:pPr>
              <w:spacing w:after="0" w:line="240" w:lineRule="auto"/>
              <w:rPr>
                <w:rFonts w:ascii="Arial Narrow" w:hAnsi="Arial Narrow"/>
                <w:b/>
                <w:bCs/>
                <w:color w:val="000000"/>
                <w:sz w:val="16"/>
                <w:szCs w:val="16"/>
                <w:lang w:eastAsia="sl-SI"/>
              </w:rPr>
            </w:pPr>
            <w:r w:rsidRPr="002B0C9D">
              <w:rPr>
                <w:rFonts w:ascii="Arial Narrow" w:hAnsi="Arial Narrow"/>
                <w:b/>
                <w:bCs/>
                <w:color w:val="000000"/>
                <w:sz w:val="16"/>
                <w:szCs w:val="16"/>
                <w:lang w:eastAsia="sl-SI"/>
              </w:rPr>
              <w:t> </w:t>
            </w:r>
          </w:p>
        </w:tc>
        <w:tc>
          <w:tcPr>
            <w:tcW w:w="960" w:type="dxa"/>
            <w:tcBorders>
              <w:top w:val="nil"/>
              <w:left w:val="nil"/>
              <w:bottom w:val="nil"/>
              <w:right w:val="nil"/>
            </w:tcBorders>
            <w:shd w:val="clear" w:color="000000" w:fill="D8E4BC"/>
            <w:noWrap/>
            <w:vAlign w:val="center"/>
            <w:hideMark/>
          </w:tcPr>
          <w:p w:rsidR="00E74A2C" w:rsidRPr="002B0C9D" w:rsidRDefault="00E74A2C" w:rsidP="0011748C">
            <w:pPr>
              <w:spacing w:after="0" w:line="240" w:lineRule="auto"/>
              <w:rPr>
                <w:rFonts w:ascii="Arial Narrow" w:hAnsi="Arial Narrow"/>
                <w:b/>
                <w:bCs/>
                <w:color w:val="000000"/>
                <w:sz w:val="16"/>
                <w:szCs w:val="16"/>
                <w:lang w:eastAsia="sl-SI"/>
              </w:rPr>
            </w:pPr>
            <w:r w:rsidRPr="002B0C9D">
              <w:rPr>
                <w:rFonts w:ascii="Arial Narrow" w:hAnsi="Arial Narrow"/>
                <w:b/>
                <w:bCs/>
                <w:color w:val="000000"/>
                <w:sz w:val="16"/>
                <w:szCs w:val="16"/>
                <w:lang w:eastAsia="sl-SI"/>
              </w:rPr>
              <w:t> </w:t>
            </w:r>
          </w:p>
        </w:tc>
        <w:tc>
          <w:tcPr>
            <w:tcW w:w="960" w:type="dxa"/>
            <w:tcBorders>
              <w:top w:val="nil"/>
              <w:left w:val="nil"/>
              <w:bottom w:val="nil"/>
              <w:right w:val="single" w:sz="8" w:space="0" w:color="9BBB59"/>
            </w:tcBorders>
            <w:shd w:val="clear" w:color="000000" w:fill="D8E4BC"/>
            <w:noWrap/>
            <w:vAlign w:val="center"/>
            <w:hideMark/>
          </w:tcPr>
          <w:p w:rsidR="00E74A2C" w:rsidRPr="002B0C9D" w:rsidRDefault="00E74A2C" w:rsidP="0011748C">
            <w:pPr>
              <w:spacing w:after="0" w:line="240" w:lineRule="auto"/>
              <w:rPr>
                <w:rFonts w:ascii="Arial Narrow" w:hAnsi="Arial Narrow"/>
                <w:b/>
                <w:bCs/>
                <w:color w:val="000000"/>
                <w:sz w:val="16"/>
                <w:szCs w:val="16"/>
                <w:lang w:eastAsia="sl-SI"/>
              </w:rPr>
            </w:pPr>
            <w:r w:rsidRPr="002B0C9D">
              <w:rPr>
                <w:rFonts w:ascii="Arial Narrow" w:hAnsi="Arial Narrow"/>
                <w:b/>
                <w:bCs/>
                <w:color w:val="000000"/>
                <w:sz w:val="16"/>
                <w:szCs w:val="16"/>
                <w:lang w:eastAsia="sl-SI"/>
              </w:rPr>
              <w:t> </w:t>
            </w:r>
          </w:p>
        </w:tc>
      </w:tr>
      <w:tr w:rsidR="00E74A2C" w:rsidRPr="002B0C9D" w:rsidTr="000A3183">
        <w:trPr>
          <w:trHeight w:val="102"/>
        </w:trPr>
        <w:tc>
          <w:tcPr>
            <w:tcW w:w="960" w:type="dxa"/>
            <w:tcBorders>
              <w:top w:val="single" w:sz="8" w:space="0" w:color="9BBB59"/>
              <w:left w:val="single" w:sz="8" w:space="0" w:color="9BBB59"/>
              <w:bottom w:val="single" w:sz="8" w:space="0" w:color="9BBB59"/>
              <w:right w:val="nil"/>
            </w:tcBorders>
            <w:shd w:val="clear" w:color="auto" w:fill="auto"/>
            <w:vAlign w:val="center"/>
            <w:hideMark/>
          </w:tcPr>
          <w:p w:rsidR="00E74A2C" w:rsidRPr="002B0C9D" w:rsidRDefault="00E74A2C" w:rsidP="0011748C">
            <w:pPr>
              <w:spacing w:after="0" w:line="240" w:lineRule="auto"/>
              <w:rPr>
                <w:rFonts w:ascii="Arial Narrow" w:hAnsi="Arial Narrow"/>
                <w:b/>
                <w:bCs/>
                <w:color w:val="000000"/>
                <w:sz w:val="16"/>
                <w:szCs w:val="16"/>
                <w:lang w:eastAsia="sl-SI"/>
              </w:rPr>
            </w:pPr>
            <w:r w:rsidRPr="002B0C9D">
              <w:rPr>
                <w:rFonts w:ascii="Arial Narrow" w:hAnsi="Arial Narrow" w:cs="Arial"/>
                <w:b/>
                <w:bCs/>
                <w:color w:val="000000"/>
                <w:sz w:val="16"/>
                <w:szCs w:val="16"/>
                <w:lang w:eastAsia="sl-SI"/>
              </w:rPr>
              <w:t>Koliko % predstavljajo stroški dela v celotnem prihodku JZ?</w:t>
            </w:r>
          </w:p>
        </w:tc>
        <w:tc>
          <w:tcPr>
            <w:tcW w:w="960" w:type="dxa"/>
            <w:tcBorders>
              <w:top w:val="single" w:sz="8" w:space="0" w:color="9BBB59"/>
              <w:left w:val="nil"/>
              <w:bottom w:val="single" w:sz="8" w:space="0" w:color="9BBB59"/>
              <w:right w:val="nil"/>
            </w:tcBorders>
            <w:shd w:val="clear" w:color="auto" w:fill="auto"/>
            <w:noWrap/>
            <w:vAlign w:val="center"/>
            <w:hideMark/>
          </w:tcPr>
          <w:p w:rsidR="00E74A2C" w:rsidRPr="002B0C9D" w:rsidRDefault="00E74A2C" w:rsidP="0011748C">
            <w:pPr>
              <w:spacing w:after="0" w:line="240" w:lineRule="auto"/>
              <w:jc w:val="right"/>
              <w:rPr>
                <w:rFonts w:ascii="Arial Narrow" w:hAnsi="Arial Narrow"/>
                <w:b/>
                <w:bCs/>
                <w:color w:val="000000"/>
                <w:sz w:val="16"/>
                <w:szCs w:val="16"/>
                <w:lang w:eastAsia="sl-SI"/>
              </w:rPr>
            </w:pPr>
            <w:r w:rsidRPr="002B0C9D">
              <w:rPr>
                <w:rFonts w:ascii="Arial Narrow" w:hAnsi="Arial Narrow" w:cs="Arial"/>
                <w:b/>
                <w:bCs/>
                <w:color w:val="000000"/>
                <w:sz w:val="16"/>
                <w:szCs w:val="16"/>
                <w:lang w:eastAsia="sl-SI"/>
              </w:rPr>
              <w:t>54</w:t>
            </w:r>
          </w:p>
        </w:tc>
        <w:tc>
          <w:tcPr>
            <w:tcW w:w="960" w:type="dxa"/>
            <w:tcBorders>
              <w:top w:val="single" w:sz="8" w:space="0" w:color="9BBB59"/>
              <w:left w:val="nil"/>
              <w:bottom w:val="single" w:sz="8" w:space="0" w:color="9BBB59"/>
              <w:right w:val="nil"/>
            </w:tcBorders>
            <w:shd w:val="clear" w:color="auto" w:fill="auto"/>
            <w:noWrap/>
            <w:vAlign w:val="center"/>
            <w:hideMark/>
          </w:tcPr>
          <w:p w:rsidR="00E74A2C" w:rsidRPr="002B0C9D" w:rsidRDefault="00E74A2C" w:rsidP="0011748C">
            <w:pPr>
              <w:spacing w:after="0" w:line="240" w:lineRule="auto"/>
              <w:jc w:val="right"/>
              <w:rPr>
                <w:rFonts w:ascii="Arial Narrow" w:hAnsi="Arial Narrow"/>
                <w:b/>
                <w:bCs/>
                <w:color w:val="000000"/>
                <w:sz w:val="16"/>
                <w:szCs w:val="16"/>
                <w:lang w:eastAsia="sl-SI"/>
              </w:rPr>
            </w:pPr>
            <w:r w:rsidRPr="002B0C9D">
              <w:rPr>
                <w:rFonts w:ascii="Arial Narrow" w:hAnsi="Arial Narrow" w:cs="Arial"/>
                <w:b/>
                <w:bCs/>
                <w:color w:val="000000"/>
                <w:sz w:val="16"/>
                <w:szCs w:val="16"/>
                <w:lang w:eastAsia="sl-SI"/>
              </w:rPr>
              <w:t>56</w:t>
            </w:r>
          </w:p>
        </w:tc>
        <w:tc>
          <w:tcPr>
            <w:tcW w:w="960" w:type="dxa"/>
            <w:tcBorders>
              <w:top w:val="single" w:sz="8" w:space="0" w:color="9BBB59"/>
              <w:left w:val="nil"/>
              <w:bottom w:val="single" w:sz="8" w:space="0" w:color="9BBB59"/>
              <w:right w:val="nil"/>
            </w:tcBorders>
            <w:shd w:val="clear" w:color="auto" w:fill="auto"/>
            <w:noWrap/>
            <w:vAlign w:val="center"/>
            <w:hideMark/>
          </w:tcPr>
          <w:p w:rsidR="00E74A2C" w:rsidRPr="002B0C9D" w:rsidRDefault="00E74A2C" w:rsidP="0011748C">
            <w:pPr>
              <w:spacing w:after="0" w:line="240" w:lineRule="auto"/>
              <w:jc w:val="right"/>
              <w:rPr>
                <w:rFonts w:ascii="Arial Narrow" w:hAnsi="Arial Narrow"/>
                <w:b/>
                <w:bCs/>
                <w:color w:val="000000"/>
                <w:sz w:val="16"/>
                <w:szCs w:val="16"/>
                <w:lang w:eastAsia="sl-SI"/>
              </w:rPr>
            </w:pPr>
            <w:r w:rsidRPr="002B0C9D">
              <w:rPr>
                <w:rFonts w:ascii="Arial Narrow" w:hAnsi="Arial Narrow" w:cs="Arial"/>
                <w:b/>
                <w:bCs/>
                <w:color w:val="000000"/>
                <w:sz w:val="16"/>
                <w:szCs w:val="16"/>
                <w:lang w:eastAsia="sl-SI"/>
              </w:rPr>
              <w:t>58</w:t>
            </w:r>
          </w:p>
        </w:tc>
        <w:tc>
          <w:tcPr>
            <w:tcW w:w="960" w:type="dxa"/>
            <w:tcBorders>
              <w:top w:val="single" w:sz="8" w:space="0" w:color="9BBB59"/>
              <w:left w:val="nil"/>
              <w:bottom w:val="single" w:sz="8" w:space="0" w:color="9BBB59"/>
              <w:right w:val="nil"/>
            </w:tcBorders>
            <w:shd w:val="clear" w:color="auto" w:fill="auto"/>
            <w:noWrap/>
            <w:vAlign w:val="center"/>
            <w:hideMark/>
          </w:tcPr>
          <w:p w:rsidR="00E74A2C" w:rsidRPr="002B0C9D" w:rsidRDefault="00E74A2C" w:rsidP="0011748C">
            <w:pPr>
              <w:spacing w:after="0" w:line="240" w:lineRule="auto"/>
              <w:jc w:val="right"/>
              <w:rPr>
                <w:rFonts w:ascii="Arial Narrow" w:hAnsi="Arial Narrow"/>
                <w:b/>
                <w:bCs/>
                <w:color w:val="000000"/>
                <w:sz w:val="16"/>
                <w:szCs w:val="16"/>
                <w:lang w:eastAsia="sl-SI"/>
              </w:rPr>
            </w:pPr>
            <w:r w:rsidRPr="002B0C9D">
              <w:rPr>
                <w:rFonts w:ascii="Arial Narrow" w:hAnsi="Arial Narrow" w:cs="Arial"/>
                <w:b/>
                <w:bCs/>
                <w:color w:val="000000"/>
                <w:sz w:val="16"/>
                <w:szCs w:val="16"/>
                <w:lang w:eastAsia="sl-SI"/>
              </w:rPr>
              <w:t>58</w:t>
            </w:r>
          </w:p>
        </w:tc>
        <w:tc>
          <w:tcPr>
            <w:tcW w:w="960" w:type="dxa"/>
            <w:tcBorders>
              <w:top w:val="single" w:sz="8" w:space="0" w:color="9BBB59"/>
              <w:left w:val="nil"/>
              <w:bottom w:val="single" w:sz="8" w:space="0" w:color="9BBB59"/>
              <w:right w:val="nil"/>
            </w:tcBorders>
            <w:shd w:val="clear" w:color="auto" w:fill="auto"/>
            <w:noWrap/>
            <w:vAlign w:val="center"/>
            <w:hideMark/>
          </w:tcPr>
          <w:p w:rsidR="00E74A2C" w:rsidRPr="002B0C9D" w:rsidRDefault="00E74A2C" w:rsidP="0011748C">
            <w:pPr>
              <w:spacing w:after="0" w:line="240" w:lineRule="auto"/>
              <w:jc w:val="right"/>
              <w:rPr>
                <w:rFonts w:ascii="Arial Narrow" w:hAnsi="Arial Narrow"/>
                <w:b/>
                <w:bCs/>
                <w:color w:val="000000"/>
                <w:sz w:val="16"/>
                <w:szCs w:val="16"/>
                <w:lang w:eastAsia="sl-SI"/>
              </w:rPr>
            </w:pPr>
            <w:r w:rsidRPr="002B0C9D">
              <w:rPr>
                <w:rFonts w:ascii="Arial Narrow" w:hAnsi="Arial Narrow" w:cs="Arial"/>
                <w:b/>
                <w:bCs/>
                <w:color w:val="000000"/>
                <w:sz w:val="16"/>
                <w:szCs w:val="16"/>
                <w:lang w:eastAsia="sl-SI"/>
              </w:rPr>
              <w:t>57</w:t>
            </w:r>
          </w:p>
        </w:tc>
        <w:tc>
          <w:tcPr>
            <w:tcW w:w="960" w:type="dxa"/>
            <w:tcBorders>
              <w:top w:val="single" w:sz="8" w:space="0" w:color="9BBB59"/>
              <w:left w:val="nil"/>
              <w:bottom w:val="single" w:sz="8" w:space="0" w:color="9BBB59"/>
              <w:right w:val="nil"/>
            </w:tcBorders>
            <w:shd w:val="clear" w:color="auto" w:fill="auto"/>
            <w:noWrap/>
            <w:vAlign w:val="center"/>
            <w:hideMark/>
          </w:tcPr>
          <w:p w:rsidR="00E74A2C" w:rsidRPr="002B0C9D" w:rsidRDefault="00E74A2C" w:rsidP="0011748C">
            <w:pPr>
              <w:spacing w:after="0" w:line="240" w:lineRule="auto"/>
              <w:jc w:val="right"/>
              <w:rPr>
                <w:rFonts w:ascii="Arial Narrow" w:hAnsi="Arial Narrow"/>
                <w:b/>
                <w:bCs/>
                <w:color w:val="000000"/>
                <w:sz w:val="16"/>
                <w:szCs w:val="16"/>
                <w:lang w:eastAsia="sl-SI"/>
              </w:rPr>
            </w:pPr>
            <w:r w:rsidRPr="002B0C9D">
              <w:rPr>
                <w:rFonts w:ascii="Arial Narrow" w:hAnsi="Arial Narrow" w:cs="Arial"/>
                <w:b/>
                <w:bCs/>
                <w:color w:val="000000"/>
                <w:sz w:val="16"/>
                <w:szCs w:val="16"/>
                <w:lang w:eastAsia="sl-SI"/>
              </w:rPr>
              <w:t>56</w:t>
            </w:r>
          </w:p>
        </w:tc>
        <w:tc>
          <w:tcPr>
            <w:tcW w:w="960" w:type="dxa"/>
            <w:tcBorders>
              <w:top w:val="single" w:sz="8" w:space="0" w:color="9BBB59"/>
              <w:left w:val="nil"/>
              <w:bottom w:val="single" w:sz="8" w:space="0" w:color="9BBB59"/>
              <w:right w:val="nil"/>
            </w:tcBorders>
            <w:shd w:val="clear" w:color="auto" w:fill="auto"/>
            <w:noWrap/>
            <w:vAlign w:val="center"/>
            <w:hideMark/>
          </w:tcPr>
          <w:p w:rsidR="00E74A2C" w:rsidRPr="002B0C9D" w:rsidRDefault="00E74A2C" w:rsidP="0011748C">
            <w:pPr>
              <w:spacing w:after="0" w:line="240" w:lineRule="auto"/>
              <w:jc w:val="right"/>
              <w:rPr>
                <w:rFonts w:ascii="Arial Narrow" w:hAnsi="Arial Narrow"/>
                <w:b/>
                <w:bCs/>
                <w:color w:val="000000"/>
                <w:sz w:val="16"/>
                <w:szCs w:val="16"/>
                <w:lang w:eastAsia="sl-SI"/>
              </w:rPr>
            </w:pPr>
            <w:r w:rsidRPr="002B0C9D">
              <w:rPr>
                <w:rFonts w:ascii="Arial Narrow" w:hAnsi="Arial Narrow" w:cs="Arial"/>
                <w:b/>
                <w:bCs/>
                <w:color w:val="000000"/>
                <w:sz w:val="16"/>
                <w:szCs w:val="16"/>
                <w:lang w:eastAsia="sl-SI"/>
              </w:rPr>
              <w:t>60</w:t>
            </w:r>
          </w:p>
        </w:tc>
        <w:tc>
          <w:tcPr>
            <w:tcW w:w="960" w:type="dxa"/>
            <w:tcBorders>
              <w:top w:val="single" w:sz="8" w:space="0" w:color="9BBB59"/>
              <w:left w:val="nil"/>
              <w:bottom w:val="single" w:sz="8" w:space="0" w:color="9BBB59"/>
              <w:right w:val="single" w:sz="8" w:space="0" w:color="9BBB59"/>
            </w:tcBorders>
            <w:shd w:val="clear" w:color="auto" w:fill="auto"/>
            <w:noWrap/>
            <w:vAlign w:val="center"/>
            <w:hideMark/>
          </w:tcPr>
          <w:p w:rsidR="00E74A2C" w:rsidRPr="002B0C9D" w:rsidRDefault="00E74A2C" w:rsidP="0011748C">
            <w:pPr>
              <w:spacing w:after="0" w:line="240" w:lineRule="auto"/>
              <w:jc w:val="right"/>
              <w:rPr>
                <w:rFonts w:ascii="Arial Narrow" w:hAnsi="Arial Narrow"/>
                <w:b/>
                <w:bCs/>
                <w:color w:val="000000"/>
                <w:sz w:val="16"/>
                <w:szCs w:val="16"/>
                <w:lang w:eastAsia="sl-SI"/>
              </w:rPr>
            </w:pPr>
            <w:r w:rsidRPr="002B0C9D">
              <w:rPr>
                <w:rFonts w:ascii="Arial Narrow" w:hAnsi="Arial Narrow" w:cs="Arial"/>
                <w:b/>
                <w:bCs/>
                <w:color w:val="000000"/>
                <w:sz w:val="16"/>
                <w:szCs w:val="16"/>
                <w:lang w:eastAsia="sl-SI"/>
              </w:rPr>
              <w:t>60</w:t>
            </w:r>
          </w:p>
        </w:tc>
      </w:tr>
    </w:tbl>
    <w:p w:rsidR="00E74A2C" w:rsidRPr="00F561EB" w:rsidRDefault="00E74A2C" w:rsidP="00E74A2C">
      <w:pPr>
        <w:pStyle w:val="Podpispodtabeloaligrafom"/>
        <w:rPr>
          <w:highlight w:val="yellow"/>
          <w:lang w:eastAsia="sl-SI"/>
        </w:rPr>
      </w:pPr>
      <w:r w:rsidRPr="00F561EB">
        <w:rPr>
          <w:lang w:eastAsia="sl-SI"/>
        </w:rPr>
        <w:t>Vir: Ministrstvo za kulturo</w:t>
      </w:r>
      <w:r>
        <w:rPr>
          <w:lang w:eastAsia="sl-SI"/>
        </w:rPr>
        <w:t>.</w:t>
      </w:r>
    </w:p>
    <w:p w:rsidR="00E74A2C" w:rsidRDefault="00E74A2C" w:rsidP="00E74A2C">
      <w:pPr>
        <w:pStyle w:val="Podpispodtabeloaligrafom"/>
        <w:rPr>
          <w:highlight w:val="yellow"/>
          <w:lang w:eastAsia="sl-SI"/>
        </w:rPr>
      </w:pPr>
      <w:r>
        <w:t>*</w:t>
      </w:r>
      <w:r w:rsidRPr="00277F8B">
        <w:rPr>
          <w:lang w:eastAsia="sl-SI"/>
        </w:rPr>
        <w:t xml:space="preserve"> Podatki se nanašajo samo na </w:t>
      </w:r>
      <w:r>
        <w:rPr>
          <w:lang w:eastAsia="sl-SI"/>
        </w:rPr>
        <w:t>nacionalne in občinske javne zavode</w:t>
      </w:r>
      <w:r w:rsidRPr="00277F8B">
        <w:rPr>
          <w:lang w:eastAsia="sl-SI"/>
        </w:rPr>
        <w:t xml:space="preserve">, ki </w:t>
      </w:r>
      <w:r>
        <w:rPr>
          <w:lang w:eastAsia="sl-SI"/>
        </w:rPr>
        <w:t>jih</w:t>
      </w:r>
      <w:r w:rsidRPr="00277F8B">
        <w:rPr>
          <w:lang w:eastAsia="sl-SI"/>
        </w:rPr>
        <w:t xml:space="preserve"> Ministrstvo za kulturo </w:t>
      </w:r>
      <w:r>
        <w:rPr>
          <w:lang w:eastAsia="sl-SI"/>
        </w:rPr>
        <w:t xml:space="preserve">redno </w:t>
      </w:r>
      <w:r w:rsidRPr="00277F8B">
        <w:rPr>
          <w:lang w:eastAsia="sl-SI"/>
        </w:rPr>
        <w:t>financira in ne na vse javne zavode, ki delujejo v kulturi.</w:t>
      </w:r>
    </w:p>
    <w:p w:rsidR="00E74A2C" w:rsidRPr="001F4F70" w:rsidRDefault="00E74A2C" w:rsidP="009A504D">
      <w:pPr>
        <w:pStyle w:val="Podpispodtabeloaligrafom"/>
      </w:pPr>
      <w:r>
        <w:t>**</w:t>
      </w:r>
      <w:r w:rsidRPr="00A706FB">
        <w:t xml:space="preserve"> </w:t>
      </w:r>
      <w:r w:rsidRPr="001F4F70">
        <w:t>Vsota sredstev za plače v t</w:t>
      </w:r>
      <w:r>
        <w:t xml:space="preserve">ej tabeli je višja kot v tabeli </w:t>
      </w:r>
      <w:r w:rsidR="00F81FD0" w:rsidRPr="00F81FD0">
        <w:rPr>
          <w:i/>
        </w:rPr>
        <w:t>36</w:t>
      </w:r>
      <w:r w:rsidRPr="00F81FD0">
        <w:rPr>
          <w:i/>
        </w:rPr>
        <w:t xml:space="preserve"> Financiranje javnih zavodov po namenih iz proračuna Ministrstva za kulturo (2008–2015),</w:t>
      </w:r>
      <w:r w:rsidRPr="00A706FB">
        <w:t xml:space="preserve"> ker javni zavodi financirajo plače in različnih virov in ne le iz sredstev, ki jim jih nakaže Ministrstvo za kulturo</w:t>
      </w:r>
      <w:r>
        <w:t>.</w:t>
      </w:r>
    </w:p>
    <w:p w:rsidR="00E74A2C" w:rsidRPr="001F4F70" w:rsidRDefault="00E74A2C" w:rsidP="00E74A2C">
      <w:pPr>
        <w:spacing w:after="0" w:line="240" w:lineRule="auto"/>
      </w:pPr>
    </w:p>
    <w:p w:rsidR="00E74A2C" w:rsidRDefault="00344E6D" w:rsidP="00E74A2C">
      <w:pPr>
        <w:pStyle w:val="Naslovtabele"/>
      </w:pPr>
      <w:bookmarkStart w:id="480" w:name="_Toc490053424"/>
      <w:bookmarkStart w:id="481" w:name="_Toc490053795"/>
      <w:bookmarkStart w:id="482" w:name="_Toc490600067"/>
      <w:r>
        <w:t>Graf 50</w:t>
      </w:r>
      <w:r w:rsidR="00E74A2C">
        <w:t>: Struktura sredstev</w:t>
      </w:r>
      <w:r w:rsidR="00E74A2C" w:rsidRPr="001F4F70">
        <w:t>, ki so jih javni zavodi namenili za izplačila stroškov dela</w:t>
      </w:r>
      <w:r w:rsidR="00E74A2C">
        <w:t xml:space="preserve"> (2015)</w:t>
      </w:r>
      <w:r w:rsidR="006E2398">
        <w:t>*</w:t>
      </w:r>
      <w:bookmarkEnd w:id="480"/>
      <w:bookmarkEnd w:id="481"/>
      <w:bookmarkEnd w:id="482"/>
    </w:p>
    <w:p w:rsidR="00E74A2C" w:rsidRDefault="00E74A2C" w:rsidP="00E74A2C">
      <w:pPr>
        <w:spacing w:after="0" w:line="240" w:lineRule="auto"/>
        <w:rPr>
          <w:noProof/>
          <w:lang w:eastAsia="sl-SI"/>
        </w:rPr>
      </w:pPr>
      <w:r>
        <w:rPr>
          <w:noProof/>
          <w:lang w:eastAsia="sl-SI"/>
        </w:rPr>
        <w:drawing>
          <wp:inline distT="0" distB="0" distL="0" distR="0" wp14:anchorId="70A26D4F" wp14:editId="22486C3B">
            <wp:extent cx="5746750" cy="2387600"/>
            <wp:effectExtent l="0" t="0" r="6350" b="0"/>
            <wp:docPr id="59" name="Grafikon 59"/>
            <wp:cNvGraphicFramePr/>
            <a:graphic xmlns:a="http://schemas.openxmlformats.org/drawingml/2006/main">
              <a:graphicData uri="http://schemas.openxmlformats.org/drawingml/2006/chart">
                <c:chart xmlns:c="http://schemas.openxmlformats.org/drawingml/2006/chart" xmlns:r="http://schemas.openxmlformats.org/officeDocument/2006/relationships" r:id="rId81"/>
              </a:graphicData>
            </a:graphic>
          </wp:inline>
        </w:drawing>
      </w:r>
    </w:p>
    <w:p w:rsidR="00E74A2C" w:rsidRDefault="00E74A2C" w:rsidP="00E74A2C">
      <w:pPr>
        <w:pStyle w:val="Podpispodtabeloaligrafom"/>
        <w:rPr>
          <w:lang w:eastAsia="sl-SI"/>
        </w:rPr>
      </w:pPr>
    </w:p>
    <w:p w:rsidR="00E74A2C" w:rsidRPr="00F561EB" w:rsidRDefault="00E74A2C" w:rsidP="004C72B7">
      <w:pPr>
        <w:pStyle w:val="Podpispodtabeloaligrafom"/>
        <w:spacing w:after="0"/>
        <w:rPr>
          <w:highlight w:val="yellow"/>
          <w:lang w:eastAsia="sl-SI"/>
        </w:rPr>
      </w:pPr>
      <w:r w:rsidRPr="00F561EB">
        <w:rPr>
          <w:lang w:eastAsia="sl-SI"/>
        </w:rPr>
        <w:t>Vir: Ministrstvo za kulturo</w:t>
      </w:r>
      <w:r>
        <w:rPr>
          <w:lang w:eastAsia="sl-SI"/>
        </w:rPr>
        <w:t>.</w:t>
      </w:r>
    </w:p>
    <w:p w:rsidR="00E74A2C" w:rsidRDefault="00E74A2C" w:rsidP="00E74A2C">
      <w:pPr>
        <w:pStyle w:val="Podpispodtabeloaligrafom"/>
        <w:rPr>
          <w:highlight w:val="yellow"/>
          <w:lang w:eastAsia="sl-SI"/>
        </w:rPr>
      </w:pPr>
      <w:r>
        <w:t>*</w:t>
      </w:r>
      <w:r w:rsidRPr="00277F8B">
        <w:rPr>
          <w:lang w:eastAsia="sl-SI"/>
        </w:rPr>
        <w:t xml:space="preserve"> Podatki se nanašajo samo na </w:t>
      </w:r>
      <w:r>
        <w:rPr>
          <w:lang w:eastAsia="sl-SI"/>
        </w:rPr>
        <w:t>nacionalne in občinske javne zavode</w:t>
      </w:r>
      <w:r w:rsidRPr="00277F8B">
        <w:rPr>
          <w:lang w:eastAsia="sl-SI"/>
        </w:rPr>
        <w:t xml:space="preserve">, ki </w:t>
      </w:r>
      <w:r>
        <w:rPr>
          <w:lang w:eastAsia="sl-SI"/>
        </w:rPr>
        <w:t>jih</w:t>
      </w:r>
      <w:r w:rsidRPr="00277F8B">
        <w:rPr>
          <w:lang w:eastAsia="sl-SI"/>
        </w:rPr>
        <w:t xml:space="preserve"> Ministrstvo za kulturo </w:t>
      </w:r>
      <w:r>
        <w:rPr>
          <w:lang w:eastAsia="sl-SI"/>
        </w:rPr>
        <w:t>redno financira</w:t>
      </w:r>
      <w:r w:rsidRPr="00277F8B">
        <w:rPr>
          <w:lang w:eastAsia="sl-SI"/>
        </w:rPr>
        <w:t xml:space="preserve"> in ne na vse javne zavode, ki delujejo v kulturi.</w:t>
      </w:r>
    </w:p>
    <w:p w:rsidR="00E74A2C" w:rsidRDefault="00E74A2C" w:rsidP="00E74A2C">
      <w:pPr>
        <w:spacing w:after="0" w:line="240" w:lineRule="auto"/>
        <w:rPr>
          <w:b/>
        </w:rPr>
      </w:pPr>
    </w:p>
    <w:p w:rsidR="00E74A2C" w:rsidRDefault="00E74A2C" w:rsidP="00D47110">
      <w:pPr>
        <w:pStyle w:val="Podnaslov"/>
      </w:pPr>
    </w:p>
    <w:sectPr w:rsidR="00E74A2C" w:rsidSect="00454DA6">
      <w:pgSz w:w="11907" w:h="16839" w:code="9"/>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746F1" w:rsidRDefault="009746F1" w:rsidP="00CD06CA">
      <w:pPr>
        <w:spacing w:after="0" w:line="240" w:lineRule="auto"/>
      </w:pPr>
      <w:r>
        <w:separator/>
      </w:r>
    </w:p>
  </w:endnote>
  <w:endnote w:type="continuationSeparator" w:id="0">
    <w:p w:rsidR="009746F1" w:rsidRDefault="009746F1" w:rsidP="00CD06C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02FF" w:usb1="4000ACFF" w:usb2="00000001" w:usb3="00000000" w:csb0="0000019F" w:csb1="00000000"/>
  </w:font>
  <w:font w:name="Arial Narrow">
    <w:panose1 w:val="020B0606020202030204"/>
    <w:charset w:val="EE"/>
    <w:family w:val="swiss"/>
    <w:pitch w:val="variable"/>
    <w:sig w:usb0="00000287" w:usb1="000008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ArialMT">
    <w:charset w:val="00"/>
    <w:family w:val="swiss"/>
    <w:pitch w:val="variable"/>
    <w:sig w:usb0="E0002AFF" w:usb1="C0007843" w:usb2="00000009" w:usb3="00000000" w:csb0="000001FF" w:csb1="00000000"/>
  </w:font>
  <w:font w:name="Cambria Math">
    <w:panose1 w:val="02040503050406030204"/>
    <w:charset w:val="EE"/>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42724074"/>
      <w:docPartObj>
        <w:docPartGallery w:val="Page Numbers (Bottom of Page)"/>
        <w:docPartUnique/>
      </w:docPartObj>
    </w:sdtPr>
    <w:sdtEndPr/>
    <w:sdtContent>
      <w:p w:rsidR="00754F44" w:rsidRDefault="00754F44">
        <w:pPr>
          <w:pStyle w:val="Noga"/>
          <w:jc w:val="right"/>
        </w:pPr>
        <w:r>
          <w:fldChar w:fldCharType="begin"/>
        </w:r>
        <w:r>
          <w:instrText>PAGE   \* MERGEFORMAT</w:instrText>
        </w:r>
        <w:r>
          <w:fldChar w:fldCharType="separate"/>
        </w:r>
        <w:r w:rsidR="003C451B">
          <w:rPr>
            <w:noProof/>
          </w:rPr>
          <w:t>18</w:t>
        </w:r>
        <w:r>
          <w:fldChar w:fldCharType="end"/>
        </w:r>
      </w:p>
    </w:sdtContent>
  </w:sdt>
  <w:p w:rsidR="00754F44" w:rsidRDefault="00754F44">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48152677"/>
      <w:docPartObj>
        <w:docPartGallery w:val="Page Numbers (Bottom of Page)"/>
        <w:docPartUnique/>
      </w:docPartObj>
    </w:sdtPr>
    <w:sdtEndPr/>
    <w:sdtContent>
      <w:p w:rsidR="00754F44" w:rsidRDefault="00754F44">
        <w:pPr>
          <w:pStyle w:val="Noga"/>
          <w:jc w:val="right"/>
        </w:pPr>
        <w:r>
          <w:fldChar w:fldCharType="begin"/>
        </w:r>
        <w:r>
          <w:instrText>PAGE   \* MERGEFORMAT</w:instrText>
        </w:r>
        <w:r>
          <w:fldChar w:fldCharType="separate"/>
        </w:r>
        <w:r w:rsidR="003C451B">
          <w:rPr>
            <w:noProof/>
          </w:rPr>
          <w:t>51</w:t>
        </w:r>
        <w:r>
          <w:fldChar w:fldCharType="end"/>
        </w:r>
      </w:p>
    </w:sdtContent>
  </w:sdt>
  <w:p w:rsidR="00754F44" w:rsidRDefault="00754F44">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746F1" w:rsidRDefault="009746F1" w:rsidP="00CD06CA">
      <w:pPr>
        <w:spacing w:after="0" w:line="240" w:lineRule="auto"/>
      </w:pPr>
      <w:r>
        <w:separator/>
      </w:r>
    </w:p>
  </w:footnote>
  <w:footnote w:type="continuationSeparator" w:id="0">
    <w:p w:rsidR="009746F1" w:rsidRDefault="009746F1" w:rsidP="00CD06CA">
      <w:pPr>
        <w:spacing w:after="0" w:line="240" w:lineRule="auto"/>
      </w:pPr>
      <w:r>
        <w:continuationSeparator/>
      </w:r>
    </w:p>
  </w:footnote>
  <w:footnote w:id="1">
    <w:p w:rsidR="00754F44" w:rsidRPr="00BA482E" w:rsidRDefault="00754F44">
      <w:pPr>
        <w:pStyle w:val="Sprotnaopomba-besedilo"/>
        <w:rPr>
          <w:lang w:val="en-US"/>
        </w:rPr>
      </w:pPr>
      <w:r>
        <w:rPr>
          <w:rStyle w:val="Sprotnaopomba-sklic"/>
        </w:rPr>
        <w:footnoteRef/>
      </w:r>
      <w:r>
        <w:t xml:space="preserve"> </w:t>
      </w:r>
      <w:r w:rsidRPr="00BA482E">
        <w:t xml:space="preserve">Računalniško podprto spletno anketiranje (CAWI) s pomočjo spletnega panela </w:t>
      </w:r>
      <w:r>
        <w:t xml:space="preserve">podjetja za raziskave </w:t>
      </w:r>
      <w:proofErr w:type="spellStart"/>
      <w:r>
        <w:t>Valicon</w:t>
      </w:r>
      <w:proofErr w:type="spellEnd"/>
      <w:r>
        <w:t xml:space="preserve"> je bilo izvedeno v obdobju od 29. marca 2017 do 2. </w:t>
      </w:r>
      <w:proofErr w:type="spellStart"/>
      <w:r>
        <w:t>arila</w:t>
      </w:r>
      <w:proofErr w:type="spellEnd"/>
      <w:r>
        <w:t xml:space="preserve"> 2017. V anketi je sodelovalo </w:t>
      </w:r>
      <w:r w:rsidRPr="00BA482E">
        <w:t>1019</w:t>
      </w:r>
      <w:r>
        <w:t xml:space="preserve"> oseb starih od 15 do 75 let. R</w:t>
      </w:r>
      <w:r w:rsidRPr="00BA482E">
        <w:t xml:space="preserve">ezultati so </w:t>
      </w:r>
      <w:proofErr w:type="spellStart"/>
      <w:r w:rsidRPr="00BA482E">
        <w:t>uteženi</w:t>
      </w:r>
      <w:proofErr w:type="spellEnd"/>
      <w:r w:rsidRPr="00BA482E">
        <w:t xml:space="preserve"> in reprezentativni po </w:t>
      </w:r>
      <w:r>
        <w:t>kombinaciji spol-starost, regija-</w:t>
      </w:r>
      <w:r w:rsidRPr="00BA482E">
        <w:t>tip naselja, izobrazba.</w:t>
      </w:r>
    </w:p>
  </w:footnote>
  <w:footnote w:id="2">
    <w:p w:rsidR="00754F44" w:rsidRPr="00270273" w:rsidRDefault="00754F44">
      <w:pPr>
        <w:pStyle w:val="Sprotnaopomba-besedilo"/>
        <w:rPr>
          <w:lang w:val="en-US"/>
        </w:rPr>
      </w:pPr>
      <w:r>
        <w:rPr>
          <w:rStyle w:val="Sprotnaopomba-sklic"/>
        </w:rPr>
        <w:footnoteRef/>
      </w:r>
      <w:r>
        <w:t xml:space="preserve"> </w:t>
      </w:r>
      <w:proofErr w:type="spellStart"/>
      <w:r>
        <w:rPr>
          <w:lang w:val="en-US"/>
        </w:rPr>
        <w:t>Seštevek</w:t>
      </w:r>
      <w:proofErr w:type="spellEnd"/>
      <w:r>
        <w:rPr>
          <w:lang w:val="en-US"/>
        </w:rPr>
        <w:t xml:space="preserve"> </w:t>
      </w:r>
      <w:proofErr w:type="spellStart"/>
      <w:r>
        <w:rPr>
          <w:lang w:val="en-US"/>
        </w:rPr>
        <w:t>odgovorov</w:t>
      </w:r>
      <w:proofErr w:type="spellEnd"/>
      <w:r>
        <w:rPr>
          <w:lang w:val="en-US"/>
        </w:rPr>
        <w:t xml:space="preserve"> o </w:t>
      </w:r>
      <w:proofErr w:type="spellStart"/>
      <w:r>
        <w:rPr>
          <w:lang w:val="en-US"/>
        </w:rPr>
        <w:t>pomenu</w:t>
      </w:r>
      <w:proofErr w:type="spellEnd"/>
      <w:r>
        <w:rPr>
          <w:lang w:val="en-US"/>
        </w:rPr>
        <w:t xml:space="preserve"> </w:t>
      </w:r>
      <w:proofErr w:type="spellStart"/>
      <w:r>
        <w:rPr>
          <w:lang w:val="en-US"/>
        </w:rPr>
        <w:t>kuture</w:t>
      </w:r>
      <w:proofErr w:type="spellEnd"/>
      <w:r>
        <w:rPr>
          <w:lang w:val="en-US"/>
        </w:rPr>
        <w:t xml:space="preserve"> </w:t>
      </w:r>
      <w:proofErr w:type="spellStart"/>
      <w:r>
        <w:rPr>
          <w:lang w:val="en-US"/>
        </w:rPr>
        <w:t>presega</w:t>
      </w:r>
      <w:proofErr w:type="spellEnd"/>
      <w:r>
        <w:rPr>
          <w:lang w:val="en-US"/>
        </w:rPr>
        <w:t xml:space="preserve"> 100 %, </w:t>
      </w:r>
      <w:proofErr w:type="spellStart"/>
      <w:r>
        <w:rPr>
          <w:lang w:val="en-US"/>
        </w:rPr>
        <w:t>ker</w:t>
      </w:r>
      <w:proofErr w:type="spellEnd"/>
      <w:r>
        <w:rPr>
          <w:lang w:val="en-US"/>
        </w:rPr>
        <w:t xml:space="preserve"> so </w:t>
      </w:r>
      <w:proofErr w:type="spellStart"/>
      <w:r>
        <w:rPr>
          <w:lang w:val="en-US"/>
        </w:rPr>
        <w:t>anketiranci</w:t>
      </w:r>
      <w:proofErr w:type="spellEnd"/>
      <w:r>
        <w:rPr>
          <w:lang w:val="en-US"/>
        </w:rPr>
        <w:t xml:space="preserve"> </w:t>
      </w:r>
      <w:proofErr w:type="spellStart"/>
      <w:r>
        <w:rPr>
          <w:lang w:val="en-US"/>
        </w:rPr>
        <w:t>navajali</w:t>
      </w:r>
      <w:proofErr w:type="spellEnd"/>
      <w:r>
        <w:rPr>
          <w:lang w:val="en-US"/>
        </w:rPr>
        <w:t xml:space="preserve"> </w:t>
      </w:r>
      <w:proofErr w:type="spellStart"/>
      <w:r>
        <w:rPr>
          <w:lang w:val="en-US"/>
        </w:rPr>
        <w:t>več</w:t>
      </w:r>
      <w:proofErr w:type="spellEnd"/>
      <w:r>
        <w:rPr>
          <w:lang w:val="en-US"/>
        </w:rPr>
        <w:t xml:space="preserve"> </w:t>
      </w:r>
      <w:proofErr w:type="spellStart"/>
      <w:r>
        <w:rPr>
          <w:lang w:val="en-US"/>
        </w:rPr>
        <w:t>kot</w:t>
      </w:r>
      <w:proofErr w:type="spellEnd"/>
      <w:r>
        <w:rPr>
          <w:lang w:val="en-US"/>
        </w:rPr>
        <w:t xml:space="preserve"> en </w:t>
      </w:r>
      <w:proofErr w:type="spellStart"/>
      <w:r>
        <w:rPr>
          <w:lang w:val="en-US"/>
        </w:rPr>
        <w:t>pomen</w:t>
      </w:r>
      <w:proofErr w:type="spellEnd"/>
      <w:r>
        <w:rPr>
          <w:lang w:val="en-US"/>
        </w:rPr>
        <w:t xml:space="preserve"> oz. </w:t>
      </w:r>
      <w:proofErr w:type="spellStart"/>
      <w:r>
        <w:rPr>
          <w:lang w:val="en-US"/>
        </w:rPr>
        <w:t>vsebinsko</w:t>
      </w:r>
      <w:proofErr w:type="spellEnd"/>
      <w:r>
        <w:rPr>
          <w:lang w:val="en-US"/>
        </w:rPr>
        <w:t xml:space="preserve"> </w:t>
      </w:r>
      <w:proofErr w:type="spellStart"/>
      <w:r>
        <w:rPr>
          <w:lang w:val="en-US"/>
        </w:rPr>
        <w:t>različne</w:t>
      </w:r>
      <w:proofErr w:type="spellEnd"/>
      <w:r>
        <w:rPr>
          <w:lang w:val="en-US"/>
        </w:rPr>
        <w:t xml:space="preserve"> </w:t>
      </w:r>
      <w:proofErr w:type="spellStart"/>
      <w:r>
        <w:rPr>
          <w:lang w:val="en-US"/>
        </w:rPr>
        <w:t>pomene</w:t>
      </w:r>
      <w:proofErr w:type="spellEnd"/>
      <w:r>
        <w:rPr>
          <w:lang w:val="en-US"/>
        </w:rPr>
        <w:t xml:space="preserve">. </w:t>
      </w:r>
    </w:p>
  </w:footnote>
  <w:footnote w:id="3">
    <w:p w:rsidR="00754F44" w:rsidRPr="00917EAF" w:rsidRDefault="00754F44">
      <w:pPr>
        <w:pStyle w:val="Sprotnaopomba-besedilo"/>
        <w:rPr>
          <w:lang w:val="en-US"/>
        </w:rPr>
      </w:pPr>
      <w:r>
        <w:rPr>
          <w:rStyle w:val="Sprotnaopomba-sklic"/>
        </w:rPr>
        <w:footnoteRef/>
      </w:r>
      <w:r>
        <w:t xml:space="preserve"> </w:t>
      </w:r>
      <w:proofErr w:type="spellStart"/>
      <w:r>
        <w:rPr>
          <w:lang w:val="en-US"/>
        </w:rPr>
        <w:t>Skupni</w:t>
      </w:r>
      <w:proofErr w:type="spellEnd"/>
      <w:r>
        <w:rPr>
          <w:lang w:val="en-US"/>
        </w:rPr>
        <w:t xml:space="preserve"> </w:t>
      </w:r>
      <w:proofErr w:type="spellStart"/>
      <w:r>
        <w:rPr>
          <w:lang w:val="en-US"/>
        </w:rPr>
        <w:t>znesek</w:t>
      </w:r>
      <w:proofErr w:type="spellEnd"/>
      <w:r>
        <w:rPr>
          <w:lang w:val="en-US"/>
        </w:rPr>
        <w:t xml:space="preserve"> </w:t>
      </w:r>
      <w:proofErr w:type="spellStart"/>
      <w:r>
        <w:rPr>
          <w:lang w:val="en-US"/>
        </w:rPr>
        <w:t>občinskih</w:t>
      </w:r>
      <w:proofErr w:type="spellEnd"/>
      <w:r>
        <w:rPr>
          <w:lang w:val="en-US"/>
        </w:rPr>
        <w:t xml:space="preserve"> </w:t>
      </w:r>
      <w:proofErr w:type="spellStart"/>
      <w:r>
        <w:rPr>
          <w:lang w:val="en-US"/>
        </w:rPr>
        <w:t>proračunov</w:t>
      </w:r>
      <w:proofErr w:type="spellEnd"/>
      <w:r>
        <w:rPr>
          <w:lang w:val="en-US"/>
        </w:rPr>
        <w:t xml:space="preserve"> </w:t>
      </w:r>
      <w:proofErr w:type="spellStart"/>
      <w:r>
        <w:rPr>
          <w:lang w:val="en-US"/>
        </w:rPr>
        <w:t>za</w:t>
      </w:r>
      <w:proofErr w:type="spellEnd"/>
      <w:r>
        <w:rPr>
          <w:lang w:val="en-US"/>
        </w:rPr>
        <w:t xml:space="preserve"> </w:t>
      </w:r>
      <w:proofErr w:type="spellStart"/>
      <w:r>
        <w:rPr>
          <w:lang w:val="en-US"/>
        </w:rPr>
        <w:t>kulturo</w:t>
      </w:r>
      <w:proofErr w:type="spellEnd"/>
      <w:r>
        <w:rPr>
          <w:lang w:val="en-US"/>
        </w:rPr>
        <w:t xml:space="preserve"> je </w:t>
      </w:r>
      <w:proofErr w:type="spellStart"/>
      <w:r>
        <w:rPr>
          <w:lang w:val="en-US"/>
        </w:rPr>
        <w:t>znan</w:t>
      </w:r>
      <w:proofErr w:type="spellEnd"/>
      <w:r>
        <w:rPr>
          <w:lang w:val="en-US"/>
        </w:rPr>
        <w:t xml:space="preserve"> </w:t>
      </w:r>
      <w:proofErr w:type="spellStart"/>
      <w:r>
        <w:rPr>
          <w:lang w:val="en-US"/>
        </w:rPr>
        <w:t>šele</w:t>
      </w:r>
      <w:proofErr w:type="spellEnd"/>
      <w:r>
        <w:rPr>
          <w:lang w:val="en-US"/>
        </w:rPr>
        <w:t xml:space="preserve"> </w:t>
      </w:r>
      <w:proofErr w:type="spellStart"/>
      <w:r>
        <w:rPr>
          <w:lang w:val="en-US"/>
        </w:rPr>
        <w:t>iz</w:t>
      </w:r>
      <w:proofErr w:type="spellEnd"/>
      <w:r>
        <w:rPr>
          <w:lang w:val="en-US"/>
        </w:rPr>
        <w:t xml:space="preserve"> </w:t>
      </w:r>
      <w:proofErr w:type="spellStart"/>
      <w:r>
        <w:rPr>
          <w:lang w:val="en-US"/>
        </w:rPr>
        <w:t>poročil</w:t>
      </w:r>
      <w:proofErr w:type="spellEnd"/>
      <w:r>
        <w:rPr>
          <w:lang w:val="en-US"/>
        </w:rPr>
        <w:t xml:space="preserve"> o </w:t>
      </w:r>
      <w:proofErr w:type="spellStart"/>
      <w:r>
        <w:rPr>
          <w:lang w:val="en-US"/>
        </w:rPr>
        <w:t>realizaciji</w:t>
      </w:r>
      <w:proofErr w:type="spellEnd"/>
      <w:r>
        <w:rPr>
          <w:lang w:val="en-US"/>
        </w:rPr>
        <w:t xml:space="preserve"> </w:t>
      </w:r>
      <w:proofErr w:type="spellStart"/>
      <w:r>
        <w:rPr>
          <w:lang w:val="en-US"/>
        </w:rPr>
        <w:t>proračuna</w:t>
      </w:r>
      <w:proofErr w:type="spellEnd"/>
      <w:r>
        <w:rPr>
          <w:lang w:val="en-US"/>
        </w:rPr>
        <w:t xml:space="preserve">, je pa </w:t>
      </w:r>
      <w:proofErr w:type="spellStart"/>
      <w:r>
        <w:rPr>
          <w:lang w:val="en-US"/>
        </w:rPr>
        <w:t>iz</w:t>
      </w:r>
      <w:proofErr w:type="spellEnd"/>
      <w:r>
        <w:rPr>
          <w:lang w:val="en-US"/>
        </w:rPr>
        <w:t xml:space="preserve"> </w:t>
      </w:r>
      <w:proofErr w:type="spellStart"/>
      <w:r>
        <w:rPr>
          <w:lang w:val="en-US"/>
        </w:rPr>
        <w:t>dosedanjih</w:t>
      </w:r>
      <w:proofErr w:type="spellEnd"/>
      <w:r>
        <w:rPr>
          <w:lang w:val="en-US"/>
        </w:rPr>
        <w:t xml:space="preserve"> </w:t>
      </w:r>
      <w:proofErr w:type="spellStart"/>
      <w:r>
        <w:rPr>
          <w:lang w:val="en-US"/>
        </w:rPr>
        <w:t>podatkov</w:t>
      </w:r>
      <w:proofErr w:type="spellEnd"/>
      <w:r>
        <w:rPr>
          <w:lang w:val="en-US"/>
        </w:rPr>
        <w:t xml:space="preserve"> </w:t>
      </w:r>
      <w:proofErr w:type="spellStart"/>
      <w:r>
        <w:rPr>
          <w:lang w:val="en-US"/>
        </w:rPr>
        <w:t>razvidno</w:t>
      </w:r>
      <w:proofErr w:type="spellEnd"/>
      <w:r>
        <w:rPr>
          <w:lang w:val="en-US"/>
        </w:rPr>
        <w:t xml:space="preserve">, da </w:t>
      </w:r>
      <w:proofErr w:type="spellStart"/>
      <w:r>
        <w:rPr>
          <w:lang w:val="en-US"/>
        </w:rPr>
        <w:t>občine</w:t>
      </w:r>
      <w:proofErr w:type="spellEnd"/>
      <w:r>
        <w:rPr>
          <w:lang w:val="en-US"/>
        </w:rPr>
        <w:t xml:space="preserve"> </w:t>
      </w:r>
      <w:proofErr w:type="spellStart"/>
      <w:r>
        <w:rPr>
          <w:lang w:val="en-US"/>
        </w:rPr>
        <w:t>namenijo</w:t>
      </w:r>
      <w:proofErr w:type="spellEnd"/>
      <w:r>
        <w:rPr>
          <w:lang w:val="en-US"/>
        </w:rPr>
        <w:t xml:space="preserve"> </w:t>
      </w:r>
      <w:proofErr w:type="spellStart"/>
      <w:r>
        <w:rPr>
          <w:lang w:val="en-US"/>
        </w:rPr>
        <w:t>za</w:t>
      </w:r>
      <w:proofErr w:type="spellEnd"/>
      <w:r>
        <w:rPr>
          <w:lang w:val="en-US"/>
        </w:rPr>
        <w:t xml:space="preserve"> </w:t>
      </w:r>
      <w:proofErr w:type="spellStart"/>
      <w:r>
        <w:rPr>
          <w:lang w:val="en-US"/>
        </w:rPr>
        <w:t>kulturne</w:t>
      </w:r>
      <w:proofErr w:type="spellEnd"/>
      <w:r>
        <w:rPr>
          <w:lang w:val="en-US"/>
        </w:rPr>
        <w:t xml:space="preserve"> </w:t>
      </w:r>
      <w:proofErr w:type="spellStart"/>
      <w:r>
        <w:rPr>
          <w:lang w:val="en-US"/>
        </w:rPr>
        <w:t>dejavnosti</w:t>
      </w:r>
      <w:proofErr w:type="spellEnd"/>
      <w:r>
        <w:rPr>
          <w:lang w:val="en-US"/>
        </w:rPr>
        <w:t xml:space="preserve"> </w:t>
      </w:r>
      <w:proofErr w:type="spellStart"/>
      <w:r>
        <w:rPr>
          <w:lang w:val="en-US"/>
        </w:rPr>
        <w:t>približno</w:t>
      </w:r>
      <w:proofErr w:type="spellEnd"/>
      <w:r>
        <w:rPr>
          <w:lang w:val="en-US"/>
        </w:rPr>
        <w:t xml:space="preserve"> </w:t>
      </w:r>
      <w:proofErr w:type="spellStart"/>
      <w:r>
        <w:rPr>
          <w:lang w:val="en-US"/>
        </w:rPr>
        <w:t>toliko</w:t>
      </w:r>
      <w:proofErr w:type="spellEnd"/>
      <w:r>
        <w:rPr>
          <w:lang w:val="en-US"/>
        </w:rPr>
        <w:t xml:space="preserve"> </w:t>
      </w:r>
      <w:proofErr w:type="spellStart"/>
      <w:r>
        <w:rPr>
          <w:lang w:val="en-US"/>
        </w:rPr>
        <w:t>kot</w:t>
      </w:r>
      <w:proofErr w:type="spellEnd"/>
      <w:r>
        <w:rPr>
          <w:lang w:val="en-US"/>
        </w:rPr>
        <w:t xml:space="preserve"> </w:t>
      </w:r>
      <w:proofErr w:type="spellStart"/>
      <w:r>
        <w:rPr>
          <w:lang w:val="en-US"/>
        </w:rPr>
        <w:t>država</w:t>
      </w:r>
      <w:proofErr w:type="spellEnd"/>
      <w:r>
        <w:rPr>
          <w:lang w:val="en-US"/>
        </w:rPr>
        <w:t xml:space="preserve"> (</w:t>
      </w:r>
      <w:proofErr w:type="spellStart"/>
      <w:r>
        <w:rPr>
          <w:lang w:val="en-US"/>
        </w:rPr>
        <w:t>glej</w:t>
      </w:r>
      <w:proofErr w:type="spellEnd"/>
      <w:r>
        <w:rPr>
          <w:lang w:val="en-US"/>
        </w:rPr>
        <w:t xml:space="preserve"> </w:t>
      </w:r>
      <w:proofErr w:type="spellStart"/>
      <w:r>
        <w:rPr>
          <w:lang w:val="en-US"/>
        </w:rPr>
        <w:t>graf</w:t>
      </w:r>
      <w:proofErr w:type="spellEnd"/>
      <w:r>
        <w:rPr>
          <w:lang w:val="en-US"/>
        </w:rPr>
        <w:t xml:space="preserve"> </w:t>
      </w:r>
      <w:r w:rsidRPr="00E72446">
        <w:rPr>
          <w:i/>
          <w:lang w:val="en-US"/>
        </w:rPr>
        <w:t xml:space="preserve">9 </w:t>
      </w:r>
      <w:proofErr w:type="spellStart"/>
      <w:r w:rsidRPr="00E72446">
        <w:rPr>
          <w:i/>
          <w:lang w:val="en-US"/>
        </w:rPr>
        <w:t>Javni</w:t>
      </w:r>
      <w:proofErr w:type="spellEnd"/>
      <w:r w:rsidRPr="00E72446">
        <w:rPr>
          <w:i/>
          <w:lang w:val="en-US"/>
        </w:rPr>
        <w:t xml:space="preserve"> </w:t>
      </w:r>
      <w:proofErr w:type="spellStart"/>
      <w:r w:rsidRPr="00E72446">
        <w:rPr>
          <w:i/>
          <w:lang w:val="en-US"/>
        </w:rPr>
        <w:t>izdatki</w:t>
      </w:r>
      <w:proofErr w:type="spellEnd"/>
      <w:r w:rsidRPr="00E72446">
        <w:rPr>
          <w:i/>
          <w:lang w:val="en-US"/>
        </w:rPr>
        <w:t xml:space="preserve"> </w:t>
      </w:r>
      <w:proofErr w:type="spellStart"/>
      <w:r w:rsidRPr="00E72446">
        <w:rPr>
          <w:i/>
          <w:lang w:val="en-US"/>
        </w:rPr>
        <w:t>za</w:t>
      </w:r>
      <w:proofErr w:type="spellEnd"/>
      <w:r w:rsidRPr="00E72446">
        <w:rPr>
          <w:i/>
          <w:lang w:val="en-US"/>
        </w:rPr>
        <w:t xml:space="preserve"> </w:t>
      </w:r>
      <w:proofErr w:type="spellStart"/>
      <w:r w:rsidRPr="00E72446">
        <w:rPr>
          <w:i/>
          <w:lang w:val="en-US"/>
        </w:rPr>
        <w:t>kulturne</w:t>
      </w:r>
      <w:proofErr w:type="spellEnd"/>
      <w:r w:rsidRPr="00E72446">
        <w:rPr>
          <w:i/>
          <w:lang w:val="en-US"/>
        </w:rPr>
        <w:t xml:space="preserve"> </w:t>
      </w:r>
      <w:proofErr w:type="spellStart"/>
      <w:r w:rsidRPr="00E72446">
        <w:rPr>
          <w:i/>
          <w:lang w:val="en-US"/>
        </w:rPr>
        <w:t>storitve</w:t>
      </w:r>
      <w:proofErr w:type="spellEnd"/>
      <w:r w:rsidRPr="00E72446">
        <w:rPr>
          <w:i/>
          <w:lang w:val="en-US"/>
        </w:rPr>
        <w:t xml:space="preserve"> </w:t>
      </w:r>
      <w:r>
        <w:rPr>
          <w:i/>
          <w:lang w:val="en-US"/>
        </w:rPr>
        <w:t>v</w:t>
      </w:r>
      <w:r w:rsidRPr="00E72446">
        <w:rPr>
          <w:i/>
          <w:lang w:val="en-US"/>
        </w:rPr>
        <w:t xml:space="preserve"> </w:t>
      </w:r>
      <w:proofErr w:type="spellStart"/>
      <w:r w:rsidRPr="00E72446">
        <w:rPr>
          <w:i/>
          <w:lang w:val="en-US"/>
        </w:rPr>
        <w:t>nominalni</w:t>
      </w:r>
      <w:r>
        <w:rPr>
          <w:i/>
          <w:lang w:val="en-US"/>
        </w:rPr>
        <w:t>h</w:t>
      </w:r>
      <w:proofErr w:type="spellEnd"/>
      <w:r>
        <w:rPr>
          <w:i/>
          <w:lang w:val="en-US"/>
        </w:rPr>
        <w:t xml:space="preserve"> </w:t>
      </w:r>
      <w:proofErr w:type="spellStart"/>
      <w:r>
        <w:rPr>
          <w:i/>
          <w:lang w:val="en-US"/>
        </w:rPr>
        <w:t>zneskih</w:t>
      </w:r>
      <w:proofErr w:type="spellEnd"/>
      <w:r w:rsidRPr="00E72446">
        <w:rPr>
          <w:i/>
          <w:lang w:val="en-US"/>
        </w:rPr>
        <w:t xml:space="preserve"> (</w:t>
      </w:r>
      <w:proofErr w:type="spellStart"/>
      <w:r w:rsidRPr="00E72446">
        <w:rPr>
          <w:i/>
          <w:lang w:val="en-US"/>
        </w:rPr>
        <w:t>Slovenija</w:t>
      </w:r>
      <w:proofErr w:type="spellEnd"/>
      <w:r w:rsidRPr="00E72446">
        <w:rPr>
          <w:i/>
          <w:lang w:val="en-US"/>
        </w:rPr>
        <w:t>, 2008–2015)</w:t>
      </w:r>
      <w:r>
        <w:rPr>
          <w:lang w:val="en-US"/>
        </w:rPr>
        <w:t>).</w:t>
      </w:r>
    </w:p>
  </w:footnote>
  <w:footnote w:id="4">
    <w:p w:rsidR="00754F44" w:rsidRPr="00646584" w:rsidRDefault="00754F44">
      <w:pPr>
        <w:pStyle w:val="Sprotnaopomba-besedilo"/>
        <w:rPr>
          <w:lang w:val="en-US"/>
        </w:rPr>
      </w:pPr>
      <w:r>
        <w:rPr>
          <w:rStyle w:val="Sprotnaopomba-sklic"/>
        </w:rPr>
        <w:footnoteRef/>
      </w:r>
      <w:r>
        <w:t xml:space="preserve"> </w:t>
      </w:r>
      <w:r>
        <w:rPr>
          <w:lang w:val="en-US"/>
        </w:rPr>
        <w:t xml:space="preserve">V tem </w:t>
      </w:r>
      <w:proofErr w:type="spellStart"/>
      <w:r>
        <w:rPr>
          <w:lang w:val="en-US"/>
        </w:rPr>
        <w:t>delu</w:t>
      </w:r>
      <w:proofErr w:type="spellEnd"/>
      <w:r>
        <w:rPr>
          <w:lang w:val="en-US"/>
        </w:rPr>
        <w:t xml:space="preserve"> </w:t>
      </w:r>
      <w:proofErr w:type="spellStart"/>
      <w:r>
        <w:rPr>
          <w:lang w:val="en-US"/>
        </w:rPr>
        <w:t>ankete</w:t>
      </w:r>
      <w:proofErr w:type="spellEnd"/>
      <w:r>
        <w:rPr>
          <w:lang w:val="en-US"/>
        </w:rPr>
        <w:t xml:space="preserve"> </w:t>
      </w:r>
      <w:proofErr w:type="spellStart"/>
      <w:r>
        <w:rPr>
          <w:lang w:val="en-US"/>
        </w:rPr>
        <w:t>smo</w:t>
      </w:r>
      <w:proofErr w:type="spellEnd"/>
      <w:r>
        <w:rPr>
          <w:lang w:val="en-US"/>
        </w:rPr>
        <w:t xml:space="preserve"> se </w:t>
      </w:r>
      <w:proofErr w:type="spellStart"/>
      <w:r>
        <w:rPr>
          <w:lang w:val="en-US"/>
        </w:rPr>
        <w:t>zgledovali</w:t>
      </w:r>
      <w:proofErr w:type="spellEnd"/>
      <w:r>
        <w:rPr>
          <w:lang w:val="en-US"/>
        </w:rPr>
        <w:t xml:space="preserve"> </w:t>
      </w:r>
      <w:proofErr w:type="spellStart"/>
      <w:r>
        <w:rPr>
          <w:lang w:val="en-US"/>
        </w:rPr>
        <w:t>po</w:t>
      </w:r>
      <w:proofErr w:type="spellEnd"/>
      <w:r>
        <w:rPr>
          <w:lang w:val="en-US"/>
        </w:rPr>
        <w:t xml:space="preserve"> </w:t>
      </w:r>
      <w:proofErr w:type="spellStart"/>
      <w:r>
        <w:rPr>
          <w:lang w:val="en-US"/>
        </w:rPr>
        <w:t>raziskavi</w:t>
      </w:r>
      <w:proofErr w:type="spellEnd"/>
      <w:r>
        <w:rPr>
          <w:lang w:val="en-US"/>
        </w:rPr>
        <w:t xml:space="preserve"> </w:t>
      </w:r>
      <w:proofErr w:type="spellStart"/>
      <w:r>
        <w:rPr>
          <w:lang w:val="en-US"/>
        </w:rPr>
        <w:t>Eurobarometer</w:t>
      </w:r>
      <w:proofErr w:type="spellEnd"/>
      <w:r>
        <w:rPr>
          <w:lang w:val="en-US"/>
        </w:rPr>
        <w:t xml:space="preserve"> </w:t>
      </w:r>
      <w:hyperlink r:id="rId1" w:history="1">
        <w:r w:rsidRPr="0004077F">
          <w:rPr>
            <w:rStyle w:val="Hiperpovezava"/>
            <w:lang w:val="en-US"/>
          </w:rPr>
          <w:t>Cultural Access and participation, 2013</w:t>
        </w:r>
      </w:hyperlink>
      <w:r>
        <w:rPr>
          <w:lang w:val="en-US"/>
        </w:rPr>
        <w:t xml:space="preserve"> (Special </w:t>
      </w:r>
      <w:proofErr w:type="spellStart"/>
      <w:r>
        <w:rPr>
          <w:lang w:val="en-US"/>
        </w:rPr>
        <w:t>Eurobarometer</w:t>
      </w:r>
      <w:proofErr w:type="spellEnd"/>
      <w:r>
        <w:rPr>
          <w:lang w:val="en-US"/>
        </w:rPr>
        <w:t xml:space="preserve"> 399).</w:t>
      </w:r>
    </w:p>
  </w:footnote>
  <w:footnote w:id="5">
    <w:p w:rsidR="00754F44" w:rsidRPr="00764214" w:rsidRDefault="00754F44">
      <w:pPr>
        <w:pStyle w:val="Sprotnaopomba-besedilo"/>
        <w:rPr>
          <w:lang w:val="en-US"/>
        </w:rPr>
      </w:pPr>
      <w:r>
        <w:rPr>
          <w:rStyle w:val="Sprotnaopomba-sklic"/>
        </w:rPr>
        <w:footnoteRef/>
      </w:r>
      <w:r>
        <w:t xml:space="preserve"> </w:t>
      </w:r>
      <w:proofErr w:type="spellStart"/>
      <w:r>
        <w:rPr>
          <w:lang w:val="en-US"/>
        </w:rPr>
        <w:t>Pomanjkanje</w:t>
      </w:r>
      <w:proofErr w:type="spellEnd"/>
      <w:r>
        <w:rPr>
          <w:lang w:val="en-US"/>
        </w:rPr>
        <w:t xml:space="preserve"> </w:t>
      </w:r>
      <w:proofErr w:type="spellStart"/>
      <w:r>
        <w:rPr>
          <w:lang w:val="en-US"/>
        </w:rPr>
        <w:t>časa</w:t>
      </w:r>
      <w:proofErr w:type="spellEnd"/>
      <w:r>
        <w:rPr>
          <w:lang w:val="en-US"/>
        </w:rPr>
        <w:t xml:space="preserve"> in </w:t>
      </w:r>
      <w:proofErr w:type="spellStart"/>
      <w:r>
        <w:rPr>
          <w:lang w:val="en-US"/>
        </w:rPr>
        <w:t>previsoka</w:t>
      </w:r>
      <w:proofErr w:type="spellEnd"/>
      <w:r>
        <w:rPr>
          <w:lang w:val="en-US"/>
        </w:rPr>
        <w:t xml:space="preserve"> </w:t>
      </w:r>
      <w:proofErr w:type="spellStart"/>
      <w:r>
        <w:rPr>
          <w:lang w:val="en-US"/>
        </w:rPr>
        <w:t>cena</w:t>
      </w:r>
      <w:proofErr w:type="spellEnd"/>
      <w:r>
        <w:rPr>
          <w:lang w:val="en-US"/>
        </w:rPr>
        <w:t xml:space="preserve"> </w:t>
      </w:r>
      <w:proofErr w:type="spellStart"/>
      <w:r>
        <w:rPr>
          <w:lang w:val="en-US"/>
        </w:rPr>
        <w:t>sta</w:t>
      </w:r>
      <w:proofErr w:type="spellEnd"/>
      <w:r>
        <w:rPr>
          <w:lang w:val="en-US"/>
        </w:rPr>
        <w:t xml:space="preserve"> </w:t>
      </w:r>
      <w:proofErr w:type="spellStart"/>
      <w:r>
        <w:rPr>
          <w:lang w:val="en-US"/>
        </w:rPr>
        <w:t>bili</w:t>
      </w:r>
      <w:proofErr w:type="spellEnd"/>
      <w:r>
        <w:rPr>
          <w:lang w:val="en-US"/>
        </w:rPr>
        <w:t xml:space="preserve"> v </w:t>
      </w:r>
      <w:proofErr w:type="spellStart"/>
      <w:r>
        <w:rPr>
          <w:lang w:val="en-US"/>
        </w:rPr>
        <w:t>Eurobarometrovi</w:t>
      </w:r>
      <w:proofErr w:type="spellEnd"/>
      <w:r>
        <w:rPr>
          <w:lang w:val="en-US"/>
        </w:rPr>
        <w:t xml:space="preserve"> </w:t>
      </w:r>
      <w:proofErr w:type="spellStart"/>
      <w:r>
        <w:rPr>
          <w:lang w:val="en-US"/>
        </w:rPr>
        <w:t>raziskavi</w:t>
      </w:r>
      <w:proofErr w:type="spellEnd"/>
      <w:r>
        <w:rPr>
          <w:lang w:val="en-US"/>
        </w:rPr>
        <w:t xml:space="preserve"> </w:t>
      </w:r>
      <w:r w:rsidRPr="00764214">
        <w:rPr>
          <w:lang w:val="en-US"/>
        </w:rPr>
        <w:t>Cul</w:t>
      </w:r>
      <w:r>
        <w:rPr>
          <w:lang w:val="en-US"/>
        </w:rPr>
        <w:t>tural Access and participation (</w:t>
      </w:r>
      <w:r w:rsidRPr="00764214">
        <w:rPr>
          <w:lang w:val="en-US"/>
        </w:rPr>
        <w:t>2013</w:t>
      </w:r>
      <w:r>
        <w:rPr>
          <w:lang w:val="en-US"/>
        </w:rPr>
        <w:t>)</w:t>
      </w:r>
      <w:r w:rsidRPr="00764214">
        <w:rPr>
          <w:lang w:val="en-US"/>
        </w:rPr>
        <w:t xml:space="preserve"> </w:t>
      </w:r>
      <w:proofErr w:type="spellStart"/>
      <w:r>
        <w:rPr>
          <w:lang w:val="en-US"/>
        </w:rPr>
        <w:t>druga</w:t>
      </w:r>
      <w:proofErr w:type="spellEnd"/>
      <w:r>
        <w:rPr>
          <w:lang w:val="en-US"/>
        </w:rPr>
        <w:t xml:space="preserve"> in </w:t>
      </w:r>
      <w:proofErr w:type="spellStart"/>
      <w:r>
        <w:rPr>
          <w:lang w:val="en-US"/>
        </w:rPr>
        <w:t>tretja</w:t>
      </w:r>
      <w:proofErr w:type="spellEnd"/>
      <w:r>
        <w:rPr>
          <w:lang w:val="en-US"/>
        </w:rPr>
        <w:t xml:space="preserve"> od </w:t>
      </w:r>
      <w:proofErr w:type="spellStart"/>
      <w:r>
        <w:rPr>
          <w:lang w:val="en-US"/>
        </w:rPr>
        <w:t>najpogosteje</w:t>
      </w:r>
      <w:proofErr w:type="spellEnd"/>
      <w:r>
        <w:rPr>
          <w:lang w:val="en-US"/>
        </w:rPr>
        <w:t xml:space="preserve"> </w:t>
      </w:r>
      <w:proofErr w:type="spellStart"/>
      <w:r>
        <w:rPr>
          <w:lang w:val="en-US"/>
        </w:rPr>
        <w:t>navajanih</w:t>
      </w:r>
      <w:proofErr w:type="spellEnd"/>
      <w:r>
        <w:rPr>
          <w:lang w:val="en-US"/>
        </w:rPr>
        <w:t xml:space="preserve"> </w:t>
      </w:r>
      <w:proofErr w:type="spellStart"/>
      <w:r>
        <w:rPr>
          <w:lang w:val="en-US"/>
        </w:rPr>
        <w:t>ovir</w:t>
      </w:r>
      <w:proofErr w:type="spellEnd"/>
      <w:r>
        <w:rPr>
          <w:lang w:val="en-US"/>
        </w:rPr>
        <w:t xml:space="preserve"> (</w:t>
      </w:r>
      <w:proofErr w:type="spellStart"/>
      <w:r>
        <w:rPr>
          <w:lang w:val="en-US"/>
        </w:rPr>
        <w:t>prva</w:t>
      </w:r>
      <w:proofErr w:type="spellEnd"/>
      <w:r>
        <w:rPr>
          <w:lang w:val="en-US"/>
        </w:rPr>
        <w:t xml:space="preserve"> je </w:t>
      </w:r>
      <w:proofErr w:type="spellStart"/>
      <w:r>
        <w:rPr>
          <w:lang w:val="en-US"/>
        </w:rPr>
        <w:t>bila</w:t>
      </w:r>
      <w:proofErr w:type="spellEnd"/>
      <w:r>
        <w:rPr>
          <w:lang w:val="en-US"/>
        </w:rPr>
        <w:t xml:space="preserve"> </w:t>
      </w:r>
      <w:proofErr w:type="spellStart"/>
      <w:r>
        <w:rPr>
          <w:lang w:val="en-US"/>
        </w:rPr>
        <w:t>pomanjkanje</w:t>
      </w:r>
      <w:proofErr w:type="spellEnd"/>
      <w:r>
        <w:rPr>
          <w:lang w:val="en-US"/>
        </w:rPr>
        <w:t xml:space="preserve"> </w:t>
      </w:r>
      <w:proofErr w:type="spellStart"/>
      <w:r>
        <w:rPr>
          <w:lang w:val="en-US"/>
        </w:rPr>
        <w:t>interesa</w:t>
      </w:r>
      <w:proofErr w:type="spellEnd"/>
      <w:r>
        <w:rPr>
          <w:lang w:val="en-US"/>
        </w:rPr>
        <w:t xml:space="preserve">) </w:t>
      </w:r>
      <w:proofErr w:type="spellStart"/>
      <w:r>
        <w:rPr>
          <w:lang w:val="en-US"/>
        </w:rPr>
        <w:t>za</w:t>
      </w:r>
      <w:proofErr w:type="spellEnd"/>
      <w:r>
        <w:rPr>
          <w:lang w:val="en-US"/>
        </w:rPr>
        <w:t xml:space="preserve"> </w:t>
      </w:r>
      <w:proofErr w:type="spellStart"/>
      <w:r>
        <w:rPr>
          <w:lang w:val="en-US"/>
        </w:rPr>
        <w:t>majhno</w:t>
      </w:r>
      <w:proofErr w:type="spellEnd"/>
      <w:r>
        <w:rPr>
          <w:lang w:val="en-US"/>
        </w:rPr>
        <w:t xml:space="preserve"> </w:t>
      </w:r>
      <w:proofErr w:type="spellStart"/>
      <w:r>
        <w:rPr>
          <w:lang w:val="en-US"/>
        </w:rPr>
        <w:t>kulturno</w:t>
      </w:r>
      <w:proofErr w:type="spellEnd"/>
      <w:r>
        <w:rPr>
          <w:lang w:val="en-US"/>
        </w:rPr>
        <w:t xml:space="preserve"> </w:t>
      </w:r>
      <w:proofErr w:type="spellStart"/>
      <w:r>
        <w:rPr>
          <w:lang w:val="en-US"/>
        </w:rPr>
        <w:t>udeležbo</w:t>
      </w:r>
      <w:proofErr w:type="spellEnd"/>
      <w:r>
        <w:rPr>
          <w:lang w:val="en-US"/>
        </w:rPr>
        <w:t xml:space="preserve"> </w:t>
      </w:r>
      <w:proofErr w:type="spellStart"/>
      <w:r>
        <w:rPr>
          <w:lang w:val="en-US"/>
        </w:rPr>
        <w:t>pri</w:t>
      </w:r>
      <w:proofErr w:type="spellEnd"/>
      <w:r>
        <w:rPr>
          <w:lang w:val="en-US"/>
        </w:rPr>
        <w:t xml:space="preserve"> </w:t>
      </w:r>
      <w:proofErr w:type="spellStart"/>
      <w:r>
        <w:rPr>
          <w:lang w:val="en-US"/>
        </w:rPr>
        <w:t>anketirancih</w:t>
      </w:r>
      <w:proofErr w:type="spellEnd"/>
      <w:r>
        <w:rPr>
          <w:lang w:val="en-US"/>
        </w:rPr>
        <w:t xml:space="preserve"> </w:t>
      </w:r>
      <w:proofErr w:type="spellStart"/>
      <w:r>
        <w:rPr>
          <w:lang w:val="en-US"/>
        </w:rPr>
        <w:t>iz</w:t>
      </w:r>
      <w:proofErr w:type="spellEnd"/>
      <w:r>
        <w:rPr>
          <w:lang w:val="en-US"/>
        </w:rPr>
        <w:t xml:space="preserve"> </w:t>
      </w:r>
      <w:proofErr w:type="spellStart"/>
      <w:r>
        <w:rPr>
          <w:lang w:val="en-US"/>
        </w:rPr>
        <w:t>Slovenije</w:t>
      </w:r>
      <w:proofErr w:type="spellEnd"/>
      <w:r>
        <w:rPr>
          <w:lang w:val="en-US"/>
        </w:rPr>
        <w:t>.</w:t>
      </w:r>
    </w:p>
  </w:footnote>
  <w:footnote w:id="6">
    <w:p w:rsidR="00754F44" w:rsidRPr="001959D2" w:rsidRDefault="00754F44">
      <w:pPr>
        <w:pStyle w:val="Sprotnaopomba-besedilo"/>
        <w:rPr>
          <w:lang w:val="en-US"/>
        </w:rPr>
      </w:pPr>
      <w:r>
        <w:rPr>
          <w:rStyle w:val="Sprotnaopomba-sklic"/>
        </w:rPr>
        <w:footnoteRef/>
      </w:r>
      <w:r>
        <w:t xml:space="preserve"> </w:t>
      </w:r>
      <w:bookmarkStart w:id="14" w:name="OLE_LINK11"/>
      <w:r>
        <w:rPr>
          <w:lang w:val="en-US"/>
        </w:rPr>
        <w:t xml:space="preserve">Ker je </w:t>
      </w:r>
      <w:proofErr w:type="spellStart"/>
      <w:r>
        <w:rPr>
          <w:lang w:val="en-US"/>
        </w:rPr>
        <w:t>zbiranje</w:t>
      </w:r>
      <w:proofErr w:type="spellEnd"/>
      <w:r>
        <w:rPr>
          <w:lang w:val="en-US"/>
        </w:rPr>
        <w:t xml:space="preserve"> </w:t>
      </w:r>
      <w:proofErr w:type="spellStart"/>
      <w:r>
        <w:rPr>
          <w:lang w:val="en-US"/>
        </w:rPr>
        <w:t>podatkov</w:t>
      </w:r>
      <w:proofErr w:type="spellEnd"/>
      <w:r>
        <w:rPr>
          <w:lang w:val="en-US"/>
        </w:rPr>
        <w:t xml:space="preserve"> </w:t>
      </w:r>
      <w:proofErr w:type="spellStart"/>
      <w:r>
        <w:rPr>
          <w:lang w:val="en-US"/>
        </w:rPr>
        <w:t>potekalo</w:t>
      </w:r>
      <w:proofErr w:type="spellEnd"/>
      <w:r>
        <w:rPr>
          <w:lang w:val="en-US"/>
        </w:rPr>
        <w:t xml:space="preserve"> </w:t>
      </w:r>
      <w:proofErr w:type="spellStart"/>
      <w:r>
        <w:rPr>
          <w:lang w:val="en-US"/>
        </w:rPr>
        <w:t>prek</w:t>
      </w:r>
      <w:proofErr w:type="spellEnd"/>
      <w:r>
        <w:rPr>
          <w:lang w:val="en-US"/>
        </w:rPr>
        <w:t xml:space="preserve"> </w:t>
      </w:r>
      <w:proofErr w:type="spellStart"/>
      <w:r>
        <w:rPr>
          <w:lang w:val="en-US"/>
        </w:rPr>
        <w:t>spleta</w:t>
      </w:r>
      <w:proofErr w:type="spellEnd"/>
      <w:r>
        <w:rPr>
          <w:lang w:val="en-US"/>
        </w:rPr>
        <w:t xml:space="preserve"> (</w:t>
      </w:r>
      <w:proofErr w:type="spellStart"/>
      <w:r>
        <w:rPr>
          <w:lang w:val="en-US"/>
        </w:rPr>
        <w:t>tj</w:t>
      </w:r>
      <w:proofErr w:type="spellEnd"/>
      <w:r>
        <w:rPr>
          <w:lang w:val="en-US"/>
        </w:rPr>
        <w:t xml:space="preserve">. v </w:t>
      </w:r>
      <w:proofErr w:type="spellStart"/>
      <w:r>
        <w:rPr>
          <w:lang w:val="en-US"/>
        </w:rPr>
        <w:t>spletnem</w:t>
      </w:r>
      <w:proofErr w:type="spellEnd"/>
      <w:r>
        <w:rPr>
          <w:lang w:val="en-US"/>
        </w:rPr>
        <w:t xml:space="preserve"> </w:t>
      </w:r>
      <w:proofErr w:type="spellStart"/>
      <w:r>
        <w:rPr>
          <w:lang w:val="en-US"/>
        </w:rPr>
        <w:t>panelu</w:t>
      </w:r>
      <w:proofErr w:type="spellEnd"/>
      <w:r>
        <w:rPr>
          <w:lang w:val="en-US"/>
        </w:rPr>
        <w:t xml:space="preserve">), je </w:t>
      </w:r>
      <w:proofErr w:type="spellStart"/>
      <w:r>
        <w:rPr>
          <w:lang w:val="en-US"/>
        </w:rPr>
        <w:t>glede</w:t>
      </w:r>
      <w:proofErr w:type="spellEnd"/>
      <w:r>
        <w:rPr>
          <w:lang w:val="en-US"/>
        </w:rPr>
        <w:t xml:space="preserve"> </w:t>
      </w:r>
      <w:proofErr w:type="spellStart"/>
      <w:r>
        <w:rPr>
          <w:lang w:val="en-US"/>
        </w:rPr>
        <w:t>na</w:t>
      </w:r>
      <w:proofErr w:type="spellEnd"/>
      <w:r>
        <w:rPr>
          <w:lang w:val="en-US"/>
        </w:rPr>
        <w:t xml:space="preserve"> </w:t>
      </w:r>
      <w:proofErr w:type="spellStart"/>
      <w:r>
        <w:rPr>
          <w:lang w:val="en-US"/>
        </w:rPr>
        <w:t>specifičnost</w:t>
      </w:r>
      <w:proofErr w:type="spellEnd"/>
      <w:r>
        <w:rPr>
          <w:lang w:val="en-US"/>
        </w:rPr>
        <w:t xml:space="preserve"> </w:t>
      </w:r>
      <w:proofErr w:type="spellStart"/>
      <w:r>
        <w:rPr>
          <w:lang w:val="en-US"/>
        </w:rPr>
        <w:t>vprašanja</w:t>
      </w:r>
      <w:proofErr w:type="spellEnd"/>
      <w:r>
        <w:rPr>
          <w:lang w:val="en-US"/>
        </w:rPr>
        <w:t xml:space="preserve">, </w:t>
      </w:r>
      <w:proofErr w:type="spellStart"/>
      <w:r>
        <w:rPr>
          <w:lang w:val="en-US"/>
        </w:rPr>
        <w:t>pogostost</w:t>
      </w:r>
      <w:proofErr w:type="spellEnd"/>
      <w:r>
        <w:rPr>
          <w:lang w:val="en-US"/>
        </w:rPr>
        <w:t xml:space="preserve"> </w:t>
      </w:r>
      <w:proofErr w:type="spellStart"/>
      <w:r>
        <w:rPr>
          <w:lang w:val="en-US"/>
        </w:rPr>
        <w:t>rabe</w:t>
      </w:r>
      <w:proofErr w:type="spellEnd"/>
      <w:r>
        <w:rPr>
          <w:lang w:val="en-US"/>
        </w:rPr>
        <w:t xml:space="preserve"> </w:t>
      </w:r>
      <w:proofErr w:type="spellStart"/>
      <w:r>
        <w:rPr>
          <w:lang w:val="en-US"/>
        </w:rPr>
        <w:t>interneta</w:t>
      </w:r>
      <w:proofErr w:type="spellEnd"/>
      <w:r>
        <w:rPr>
          <w:lang w:val="en-US"/>
        </w:rPr>
        <w:t xml:space="preserve"> </w:t>
      </w:r>
      <w:proofErr w:type="spellStart"/>
      <w:r>
        <w:rPr>
          <w:lang w:val="en-US"/>
        </w:rPr>
        <w:t>verjetno</w:t>
      </w:r>
      <w:proofErr w:type="spellEnd"/>
      <w:r>
        <w:rPr>
          <w:lang w:val="en-US"/>
        </w:rPr>
        <w:t xml:space="preserve"> </w:t>
      </w:r>
      <w:proofErr w:type="spellStart"/>
      <w:r>
        <w:rPr>
          <w:lang w:val="en-US"/>
        </w:rPr>
        <w:t>precenjena</w:t>
      </w:r>
      <w:proofErr w:type="spellEnd"/>
      <w:r>
        <w:rPr>
          <w:lang w:val="en-US"/>
        </w:rPr>
        <w:t xml:space="preserve"> </w:t>
      </w:r>
      <w:proofErr w:type="spellStart"/>
      <w:r>
        <w:rPr>
          <w:lang w:val="en-US"/>
        </w:rPr>
        <w:t>za</w:t>
      </w:r>
      <w:proofErr w:type="spellEnd"/>
      <w:r>
        <w:rPr>
          <w:lang w:val="en-US"/>
        </w:rPr>
        <w:t xml:space="preserve"> 10–15 %</w:t>
      </w:r>
      <w:bookmarkEnd w:id="14"/>
      <w:r>
        <w:rPr>
          <w:lang w:val="en-US"/>
        </w:rPr>
        <w:t xml:space="preserve">. Po </w:t>
      </w:r>
      <w:proofErr w:type="spellStart"/>
      <w:r>
        <w:rPr>
          <w:lang w:val="en-US"/>
        </w:rPr>
        <w:t>podatkih</w:t>
      </w:r>
      <w:proofErr w:type="spellEnd"/>
      <w:r>
        <w:rPr>
          <w:lang w:val="en-US"/>
        </w:rPr>
        <w:t xml:space="preserve"> </w:t>
      </w:r>
      <w:proofErr w:type="spellStart"/>
      <w:r>
        <w:rPr>
          <w:lang w:val="en-US"/>
        </w:rPr>
        <w:t>Statističnega</w:t>
      </w:r>
      <w:proofErr w:type="spellEnd"/>
      <w:r>
        <w:rPr>
          <w:lang w:val="en-US"/>
        </w:rPr>
        <w:t xml:space="preserve"> </w:t>
      </w:r>
      <w:proofErr w:type="spellStart"/>
      <w:r>
        <w:rPr>
          <w:lang w:val="en-US"/>
        </w:rPr>
        <w:t>urada</w:t>
      </w:r>
      <w:proofErr w:type="spellEnd"/>
      <w:r>
        <w:rPr>
          <w:lang w:val="en-US"/>
        </w:rPr>
        <w:t xml:space="preserve"> RS je v </w:t>
      </w:r>
      <w:proofErr w:type="spellStart"/>
      <w:r>
        <w:rPr>
          <w:lang w:val="en-US"/>
        </w:rPr>
        <w:t>prvem</w:t>
      </w:r>
      <w:proofErr w:type="spellEnd"/>
      <w:r>
        <w:rPr>
          <w:lang w:val="en-US"/>
        </w:rPr>
        <w:t xml:space="preserve"> </w:t>
      </w:r>
      <w:proofErr w:type="spellStart"/>
      <w:r>
        <w:rPr>
          <w:lang w:val="en-US"/>
        </w:rPr>
        <w:t>četrtletju</w:t>
      </w:r>
      <w:proofErr w:type="spellEnd"/>
      <w:r>
        <w:rPr>
          <w:lang w:val="en-US"/>
        </w:rPr>
        <w:t xml:space="preserve"> 2016 75 %</w:t>
      </w:r>
      <w:r w:rsidRPr="00290567">
        <w:rPr>
          <w:lang w:val="en-US"/>
        </w:rPr>
        <w:t xml:space="preserve"> </w:t>
      </w:r>
      <w:proofErr w:type="spellStart"/>
      <w:r w:rsidRPr="00290567">
        <w:rPr>
          <w:lang w:val="en-US"/>
        </w:rPr>
        <w:t>oseb</w:t>
      </w:r>
      <w:proofErr w:type="spellEnd"/>
      <w:r w:rsidRPr="00290567">
        <w:rPr>
          <w:lang w:val="en-US"/>
        </w:rPr>
        <w:t xml:space="preserve">, </w:t>
      </w:r>
      <w:proofErr w:type="spellStart"/>
      <w:r w:rsidRPr="00290567">
        <w:rPr>
          <w:lang w:val="en-US"/>
        </w:rPr>
        <w:t>starih</w:t>
      </w:r>
      <w:proofErr w:type="spellEnd"/>
      <w:r w:rsidRPr="00290567">
        <w:rPr>
          <w:lang w:val="en-US"/>
        </w:rPr>
        <w:t xml:space="preserve"> 16–74 let, </w:t>
      </w:r>
      <w:proofErr w:type="spellStart"/>
      <w:r w:rsidRPr="00290567">
        <w:rPr>
          <w:lang w:val="en-US"/>
        </w:rPr>
        <w:t>redno</w:t>
      </w:r>
      <w:proofErr w:type="spellEnd"/>
      <w:r w:rsidRPr="00290567">
        <w:rPr>
          <w:lang w:val="en-US"/>
        </w:rPr>
        <w:t xml:space="preserve"> </w:t>
      </w:r>
      <w:proofErr w:type="spellStart"/>
      <w:r w:rsidRPr="00290567">
        <w:rPr>
          <w:lang w:val="en-US"/>
        </w:rPr>
        <w:t>uporabljajo</w:t>
      </w:r>
      <w:proofErr w:type="spellEnd"/>
      <w:r w:rsidRPr="00290567">
        <w:rPr>
          <w:lang w:val="en-US"/>
        </w:rPr>
        <w:t xml:space="preserve"> internet (v 2015: 73 %)</w:t>
      </w:r>
      <w:r>
        <w:rPr>
          <w:lang w:val="en-US"/>
        </w:rPr>
        <w:t xml:space="preserve">, 55 % </w:t>
      </w:r>
      <w:proofErr w:type="spellStart"/>
      <w:r>
        <w:rPr>
          <w:lang w:val="en-US"/>
        </w:rPr>
        <w:t>prek</w:t>
      </w:r>
      <w:proofErr w:type="spellEnd"/>
      <w:r>
        <w:rPr>
          <w:lang w:val="en-US"/>
        </w:rPr>
        <w:t xml:space="preserve"> </w:t>
      </w:r>
      <w:proofErr w:type="spellStart"/>
      <w:r>
        <w:rPr>
          <w:lang w:val="en-US"/>
        </w:rPr>
        <w:t>mobilnega</w:t>
      </w:r>
      <w:proofErr w:type="spellEnd"/>
      <w:r>
        <w:rPr>
          <w:lang w:val="en-US"/>
        </w:rPr>
        <w:t xml:space="preserve"> </w:t>
      </w:r>
      <w:proofErr w:type="spellStart"/>
      <w:r>
        <w:rPr>
          <w:lang w:val="en-US"/>
        </w:rPr>
        <w:t>telefona</w:t>
      </w:r>
      <w:proofErr w:type="spellEnd"/>
      <w:r w:rsidRPr="00290567">
        <w:rPr>
          <w:lang w:val="en-US"/>
        </w:rPr>
        <w:t xml:space="preserve">. 64 % </w:t>
      </w:r>
      <w:proofErr w:type="spellStart"/>
      <w:r w:rsidRPr="00290567">
        <w:rPr>
          <w:lang w:val="en-US"/>
        </w:rPr>
        <w:t>jih</w:t>
      </w:r>
      <w:proofErr w:type="spellEnd"/>
      <w:r w:rsidRPr="00290567">
        <w:rPr>
          <w:lang w:val="en-US"/>
        </w:rPr>
        <w:t xml:space="preserve"> je internet </w:t>
      </w:r>
      <w:proofErr w:type="spellStart"/>
      <w:r w:rsidRPr="00290567">
        <w:rPr>
          <w:lang w:val="en-US"/>
        </w:rPr>
        <w:t>uporabljalo</w:t>
      </w:r>
      <w:proofErr w:type="spellEnd"/>
      <w:r w:rsidRPr="00290567">
        <w:rPr>
          <w:lang w:val="en-US"/>
        </w:rPr>
        <w:t xml:space="preserve"> </w:t>
      </w:r>
      <w:proofErr w:type="spellStart"/>
      <w:r w:rsidRPr="00290567">
        <w:rPr>
          <w:lang w:val="en-US"/>
        </w:rPr>
        <w:t>vsak</w:t>
      </w:r>
      <w:proofErr w:type="spellEnd"/>
      <w:r w:rsidRPr="00290567">
        <w:rPr>
          <w:lang w:val="en-US"/>
        </w:rPr>
        <w:t xml:space="preserve"> </w:t>
      </w:r>
      <w:proofErr w:type="spellStart"/>
      <w:r w:rsidRPr="00290567">
        <w:rPr>
          <w:lang w:val="en-US"/>
        </w:rPr>
        <w:t>dan</w:t>
      </w:r>
      <w:proofErr w:type="spellEnd"/>
      <w:r w:rsidRPr="00290567">
        <w:rPr>
          <w:lang w:val="en-US"/>
        </w:rPr>
        <w:t xml:space="preserve"> </w:t>
      </w:r>
      <w:proofErr w:type="spellStart"/>
      <w:r w:rsidRPr="00290567">
        <w:rPr>
          <w:lang w:val="en-US"/>
        </w:rPr>
        <w:t>ali</w:t>
      </w:r>
      <w:proofErr w:type="spellEnd"/>
      <w:r w:rsidRPr="00290567">
        <w:rPr>
          <w:lang w:val="en-US"/>
        </w:rPr>
        <w:t xml:space="preserve"> </w:t>
      </w:r>
      <w:proofErr w:type="spellStart"/>
      <w:r w:rsidRPr="00290567">
        <w:rPr>
          <w:lang w:val="en-US"/>
        </w:rPr>
        <w:t>skoraj</w:t>
      </w:r>
      <w:proofErr w:type="spellEnd"/>
      <w:r w:rsidRPr="00290567">
        <w:rPr>
          <w:lang w:val="en-US"/>
        </w:rPr>
        <w:t xml:space="preserve"> </w:t>
      </w:r>
      <w:proofErr w:type="spellStart"/>
      <w:r w:rsidRPr="00290567">
        <w:rPr>
          <w:lang w:val="en-US"/>
        </w:rPr>
        <w:t>vsak</w:t>
      </w:r>
      <w:proofErr w:type="spellEnd"/>
      <w:r w:rsidRPr="00290567">
        <w:rPr>
          <w:lang w:val="en-US"/>
        </w:rPr>
        <w:t xml:space="preserve"> </w:t>
      </w:r>
      <w:proofErr w:type="spellStart"/>
      <w:r w:rsidRPr="00290567">
        <w:rPr>
          <w:lang w:val="en-US"/>
        </w:rPr>
        <w:t>dan</w:t>
      </w:r>
      <w:proofErr w:type="spellEnd"/>
      <w:r w:rsidRPr="00290567">
        <w:rPr>
          <w:lang w:val="en-US"/>
        </w:rPr>
        <w:t xml:space="preserve"> (v 2015: 61 %). </w:t>
      </w:r>
      <w:proofErr w:type="spellStart"/>
      <w:r>
        <w:rPr>
          <w:lang w:val="en-US"/>
        </w:rPr>
        <w:t>Več</w:t>
      </w:r>
      <w:proofErr w:type="spellEnd"/>
      <w:r>
        <w:rPr>
          <w:lang w:val="en-US"/>
        </w:rPr>
        <w:t xml:space="preserve"> </w:t>
      </w:r>
      <w:proofErr w:type="spellStart"/>
      <w:r>
        <w:rPr>
          <w:lang w:val="en-US"/>
        </w:rPr>
        <w:t>podatkov</w:t>
      </w:r>
      <w:proofErr w:type="spellEnd"/>
      <w:r>
        <w:rPr>
          <w:lang w:val="en-US"/>
        </w:rPr>
        <w:t xml:space="preserve"> je </w:t>
      </w:r>
      <w:proofErr w:type="spellStart"/>
      <w:r>
        <w:rPr>
          <w:lang w:val="en-US"/>
        </w:rPr>
        <w:t>na</w:t>
      </w:r>
      <w:proofErr w:type="spellEnd"/>
      <w:r>
        <w:rPr>
          <w:lang w:val="en-US"/>
        </w:rPr>
        <w:t xml:space="preserve"> </w:t>
      </w:r>
      <w:proofErr w:type="spellStart"/>
      <w:r>
        <w:rPr>
          <w:lang w:val="en-US"/>
        </w:rPr>
        <w:t>spletni</w:t>
      </w:r>
      <w:proofErr w:type="spellEnd"/>
      <w:r>
        <w:rPr>
          <w:lang w:val="en-US"/>
        </w:rPr>
        <w:t xml:space="preserve"> </w:t>
      </w:r>
      <w:proofErr w:type="spellStart"/>
      <w:r>
        <w:rPr>
          <w:lang w:val="en-US"/>
        </w:rPr>
        <w:t>strani</w:t>
      </w:r>
      <w:proofErr w:type="spellEnd"/>
      <w:r>
        <w:rPr>
          <w:lang w:val="en-US"/>
        </w:rPr>
        <w:t xml:space="preserve"> </w:t>
      </w:r>
      <w:hyperlink r:id="rId2" w:history="1">
        <w:r w:rsidRPr="00CA1355">
          <w:rPr>
            <w:rStyle w:val="Hiperpovezava"/>
            <w:lang w:val="en-US"/>
          </w:rPr>
          <w:t>SURS</w:t>
        </w:r>
      </w:hyperlink>
      <w:r>
        <w:rPr>
          <w:lang w:val="en-US"/>
        </w:rPr>
        <w:t xml:space="preserve"> in v </w:t>
      </w:r>
      <w:proofErr w:type="spellStart"/>
      <w:r>
        <w:rPr>
          <w:lang w:val="en-US"/>
        </w:rPr>
        <w:t>podatkovnem</w:t>
      </w:r>
      <w:proofErr w:type="spellEnd"/>
      <w:r>
        <w:rPr>
          <w:lang w:val="en-US"/>
        </w:rPr>
        <w:t xml:space="preserve"> portal </w:t>
      </w:r>
      <w:proofErr w:type="spellStart"/>
      <w:r>
        <w:rPr>
          <w:lang w:val="en-US"/>
        </w:rPr>
        <w:t>SiStat</w:t>
      </w:r>
      <w:proofErr w:type="spellEnd"/>
      <w:r w:rsidRPr="00777FDA">
        <w:rPr>
          <w:lang w:val="en-US"/>
        </w:rPr>
        <w:sym w:font="Wingdings" w:char="F0E0"/>
      </w:r>
      <w:proofErr w:type="spellStart"/>
      <w:r>
        <w:rPr>
          <w:lang w:val="en-US"/>
        </w:rPr>
        <w:t>Ekonomsko</w:t>
      </w:r>
      <w:proofErr w:type="spellEnd"/>
      <w:r>
        <w:rPr>
          <w:lang w:val="en-US"/>
        </w:rPr>
        <w:t xml:space="preserve"> </w:t>
      </w:r>
      <w:proofErr w:type="spellStart"/>
      <w:r>
        <w:rPr>
          <w:lang w:val="en-US"/>
        </w:rPr>
        <w:t>področje</w:t>
      </w:r>
      <w:proofErr w:type="spellEnd"/>
      <w:r w:rsidRPr="00777FDA">
        <w:rPr>
          <w:lang w:val="en-US"/>
        </w:rPr>
        <w:sym w:font="Wingdings" w:char="F0E0"/>
      </w:r>
      <w:proofErr w:type="spellStart"/>
      <w:r>
        <w:rPr>
          <w:lang w:val="en-US"/>
        </w:rPr>
        <w:t>Informacijska</w:t>
      </w:r>
      <w:proofErr w:type="spellEnd"/>
      <w:r>
        <w:rPr>
          <w:lang w:val="en-US"/>
        </w:rPr>
        <w:t xml:space="preserve"> </w:t>
      </w:r>
      <w:proofErr w:type="spellStart"/>
      <w:r>
        <w:rPr>
          <w:lang w:val="en-US"/>
        </w:rPr>
        <w:t>družba</w:t>
      </w:r>
      <w:proofErr w:type="spellEnd"/>
      <w:r>
        <w:rPr>
          <w:lang w:val="en-US"/>
        </w:rPr>
        <w:t>.</w:t>
      </w:r>
    </w:p>
  </w:footnote>
  <w:footnote w:id="7">
    <w:p w:rsidR="00754F44" w:rsidRDefault="00754F44" w:rsidP="00853A62">
      <w:pPr>
        <w:pStyle w:val="Sprotnaopomba-besedilo"/>
      </w:pPr>
      <w:r>
        <w:rPr>
          <w:rStyle w:val="Sprotnaopomba-sklic"/>
        </w:rPr>
        <w:footnoteRef/>
      </w:r>
      <w:r>
        <w:t xml:space="preserve"> Svoj Facebook profil ima v Sloveniji </w:t>
      </w:r>
      <w:proofErr w:type="spellStart"/>
      <w:r>
        <w:t>vec</w:t>
      </w:r>
      <w:proofErr w:type="spellEnd"/>
      <w:r>
        <w:t xml:space="preserve">̌ kot 830.000 oseb v starosti od 15 do 75 let, od teh ga dnevno uporablja dobrih 70 %, to je skoraj 600.000 oseb. Po številu ustvarjenih profilov je drugi na lestvici Twitter z nekaj </w:t>
      </w:r>
      <w:proofErr w:type="spellStart"/>
      <w:r>
        <w:t>vec</w:t>
      </w:r>
      <w:proofErr w:type="spellEnd"/>
      <w:r>
        <w:t xml:space="preserve">̌ kot 200.000 profili, od teh ga dnevno uporablja 33.000 oseb, torej ena šestina vseh, ki imajo profil. Po številu dnevnih uporabnikov sta na sicer drugem in tretjem mestu </w:t>
      </w:r>
      <w:proofErr w:type="spellStart"/>
      <w:r>
        <w:t>Snapchat</w:t>
      </w:r>
      <w:proofErr w:type="spellEnd"/>
      <w:r>
        <w:t xml:space="preserve"> in </w:t>
      </w:r>
      <w:proofErr w:type="spellStart"/>
      <w:r>
        <w:t>Instagram</w:t>
      </w:r>
      <w:proofErr w:type="spellEnd"/>
      <w:r>
        <w:t>, z nekaj čez 66.000 oz. 62.000 dnevnih uporabnikov (</w:t>
      </w:r>
      <w:hyperlink r:id="rId3" w:history="1">
        <w:r w:rsidRPr="00853A62">
          <w:rPr>
            <w:rStyle w:val="Hiperpovezava"/>
          </w:rPr>
          <w:t xml:space="preserve">Uporaba </w:t>
        </w:r>
        <w:proofErr w:type="spellStart"/>
        <w:r w:rsidRPr="00853A62">
          <w:rPr>
            <w:rStyle w:val="Hiperpovezava"/>
          </w:rPr>
          <w:t>druz</w:t>
        </w:r>
        <w:proofErr w:type="spellEnd"/>
        <w:r w:rsidRPr="00853A62">
          <w:rPr>
            <w:rStyle w:val="Hiperpovezava"/>
          </w:rPr>
          <w:t xml:space="preserve">̌benih </w:t>
        </w:r>
        <w:proofErr w:type="spellStart"/>
        <w:r w:rsidRPr="00853A62">
          <w:rPr>
            <w:rStyle w:val="Hiperpovezava"/>
          </w:rPr>
          <w:t>omrez</w:t>
        </w:r>
        <w:proofErr w:type="spellEnd"/>
        <w:r w:rsidRPr="00853A62">
          <w:rPr>
            <w:rStyle w:val="Hiperpovezava"/>
          </w:rPr>
          <w:t>̌ij v Sloveniji v številkah</w:t>
        </w:r>
      </w:hyperlink>
      <w:r>
        <w:t xml:space="preserve">, </w:t>
      </w:r>
      <w:r w:rsidRPr="005658DD">
        <w:t xml:space="preserve">Raziskava MEDIA+, </w:t>
      </w:r>
      <w:proofErr w:type="spellStart"/>
      <w:r w:rsidRPr="005658DD">
        <w:t>Valicon</w:t>
      </w:r>
      <w:proofErr w:type="spellEnd"/>
      <w:r w:rsidRPr="005658DD">
        <w:t>. Maj/Junij 2016, n=9.798</w:t>
      </w:r>
      <w:r>
        <w:t>).</w:t>
      </w:r>
    </w:p>
    <w:p w:rsidR="00754F44" w:rsidRPr="00853A62" w:rsidRDefault="00754F44" w:rsidP="00853A62">
      <w:pPr>
        <w:pStyle w:val="Sprotnaopomba-besedilo"/>
        <w:rPr>
          <w:lang w:val="en-US"/>
        </w:rPr>
      </w:pPr>
    </w:p>
  </w:footnote>
  <w:footnote w:id="8">
    <w:p w:rsidR="00754F44" w:rsidRDefault="00754F44">
      <w:pPr>
        <w:pStyle w:val="Sprotnaopomba-besedilo"/>
      </w:pPr>
      <w:r>
        <w:rPr>
          <w:rStyle w:val="Sprotnaopomba-sklic"/>
        </w:rPr>
        <w:footnoteRef/>
      </w:r>
      <w:r>
        <w:t xml:space="preserve"> Zadnje oz. najnovejše leto, za katerega so na voljo mednarodno primerljivi podatki.</w:t>
      </w:r>
    </w:p>
  </w:footnote>
  <w:footnote w:id="9">
    <w:p w:rsidR="00754F44" w:rsidRPr="00A67860" w:rsidRDefault="00754F44">
      <w:pPr>
        <w:pStyle w:val="Sprotnaopomba-besedilo"/>
        <w:rPr>
          <w:szCs w:val="16"/>
        </w:rPr>
      </w:pPr>
      <w:r w:rsidRPr="00A67860">
        <w:rPr>
          <w:rStyle w:val="Sprotnaopomba-sklic"/>
          <w:szCs w:val="16"/>
        </w:rPr>
        <w:footnoteRef/>
      </w:r>
      <w:r w:rsidRPr="00A67860">
        <w:rPr>
          <w:szCs w:val="16"/>
        </w:rPr>
        <w:t xml:space="preserve"> Funkcionalna klasifikacija izdatkov države (COFOG) </w:t>
      </w:r>
      <w:r>
        <w:rPr>
          <w:szCs w:val="16"/>
        </w:rPr>
        <w:t>je</w:t>
      </w:r>
      <w:r w:rsidRPr="00A67860">
        <w:rPr>
          <w:szCs w:val="16"/>
        </w:rPr>
        <w:t xml:space="preserve"> prikaz namenske razvrstitve izdatkov po posameznih funkcijah države. Klasifikacija razčlenjuje celotno porabo vseh institucionalnih enot, ki so vključene v sektor države: državni in občinski proračuni, skladi socialnega zavarovanja, javni skladi in agencije, javni zavodi ter druge osebe javnega prava</w:t>
      </w:r>
      <w:r>
        <w:rPr>
          <w:szCs w:val="16"/>
        </w:rPr>
        <w:t xml:space="preserve">. </w:t>
      </w:r>
      <w:r w:rsidRPr="00A67860">
        <w:rPr>
          <w:szCs w:val="16"/>
        </w:rPr>
        <w:t>Prikazuje za kakšne funkcionalne namene država v širšem smis</w:t>
      </w:r>
      <w:r>
        <w:rPr>
          <w:szCs w:val="16"/>
        </w:rPr>
        <w:t>lu troši javnofinančna sredstva (</w:t>
      </w:r>
      <w:hyperlink r:id="rId4" w:history="1">
        <w:r w:rsidRPr="00C40FE8">
          <w:rPr>
            <w:rStyle w:val="Hiperpovezava"/>
            <w:szCs w:val="16"/>
          </w:rPr>
          <w:t>Ministrstvo za finance</w:t>
        </w:r>
      </w:hyperlink>
      <w:r>
        <w:rPr>
          <w:szCs w:val="16"/>
        </w:rPr>
        <w:t>).</w:t>
      </w:r>
    </w:p>
  </w:footnote>
  <w:footnote w:id="10">
    <w:p w:rsidR="00754F44" w:rsidRDefault="00754F44">
      <w:pPr>
        <w:pStyle w:val="Sprotnaopomba-besedilo"/>
      </w:pPr>
      <w:r>
        <w:rPr>
          <w:rStyle w:val="Sprotnaopomba-sklic"/>
        </w:rPr>
        <w:footnoteRef/>
      </w:r>
      <w:r>
        <w:t xml:space="preserve"> Izdatki za RTV in založništvo so po metodologiji COFOG enovita skupina.</w:t>
      </w:r>
    </w:p>
  </w:footnote>
  <w:footnote w:id="11">
    <w:p w:rsidR="00754F44" w:rsidRPr="00F64EAC" w:rsidRDefault="00754F44" w:rsidP="00F64EAC">
      <w:pPr>
        <w:pStyle w:val="Sprotnaopomba-besedilo"/>
        <w:rPr>
          <w:szCs w:val="16"/>
        </w:rPr>
      </w:pPr>
      <w:r>
        <w:rPr>
          <w:rStyle w:val="Sprotnaopomba-sklic"/>
        </w:rPr>
        <w:footnoteRef/>
      </w:r>
      <w:r>
        <w:rPr>
          <w:szCs w:val="16"/>
        </w:rPr>
        <w:t xml:space="preserve"> »</w:t>
      </w:r>
      <w:r w:rsidRPr="00F64EAC">
        <w:rPr>
          <w:szCs w:val="16"/>
        </w:rPr>
        <w:t>0820 Kulturne storitve</w:t>
      </w:r>
      <w:r>
        <w:rPr>
          <w:szCs w:val="16"/>
        </w:rPr>
        <w:t>:</w:t>
      </w:r>
      <w:r w:rsidRPr="00F64EAC">
        <w:rPr>
          <w:szCs w:val="16"/>
        </w:rPr>
        <w:t xml:space="preserve"> </w:t>
      </w:r>
    </w:p>
    <w:p w:rsidR="00754F44" w:rsidRPr="00F64EAC" w:rsidRDefault="00754F44" w:rsidP="00F64EAC">
      <w:pPr>
        <w:pStyle w:val="Sprotnaopomba-besedilo"/>
        <w:rPr>
          <w:szCs w:val="16"/>
        </w:rPr>
      </w:pPr>
      <w:r w:rsidRPr="00F64EAC">
        <w:rPr>
          <w:szCs w:val="16"/>
        </w:rPr>
        <w:t xml:space="preserve">- </w:t>
      </w:r>
      <w:r>
        <w:rPr>
          <w:szCs w:val="16"/>
        </w:rPr>
        <w:t>z</w:t>
      </w:r>
      <w:r w:rsidRPr="00F64EAC">
        <w:rPr>
          <w:szCs w:val="16"/>
        </w:rPr>
        <w:t>agotavljanje kulturnih storitev; upravljanje kulturnih storitev; nadzor in urejanje kulturnih ustanov;</w:t>
      </w:r>
    </w:p>
    <w:p w:rsidR="00754F44" w:rsidRPr="00F64EAC" w:rsidRDefault="00754F44" w:rsidP="00F64EAC">
      <w:pPr>
        <w:pStyle w:val="Sprotnaopomba-besedilo"/>
        <w:rPr>
          <w:szCs w:val="16"/>
        </w:rPr>
      </w:pPr>
      <w:r>
        <w:rPr>
          <w:szCs w:val="16"/>
        </w:rPr>
        <w:t xml:space="preserve">- delovanje ali </w:t>
      </w:r>
      <w:r w:rsidRPr="00F64EAC">
        <w:rPr>
          <w:szCs w:val="16"/>
        </w:rPr>
        <w:t>podpora ustanov za kulturno udejstvovanje (knjižnice, muzeji, galerije, gledališča, razstavišča, spomeniki, spominske hiše in zgodovinske znamenitosti, živalski in botanični vrtovi, akvariji, arboretumi itd.); produkcija, delovanje in podpora kulturnim dogodkom (koncerti, odrska in filmska produkcija, umetniške prireditve itd.);</w:t>
      </w:r>
    </w:p>
    <w:p w:rsidR="00754F44" w:rsidRPr="00F64EAC" w:rsidRDefault="00754F44" w:rsidP="00F64EAC">
      <w:pPr>
        <w:pStyle w:val="Sprotnaopomba-besedilo"/>
        <w:rPr>
          <w:szCs w:val="16"/>
        </w:rPr>
      </w:pPr>
      <w:r w:rsidRPr="00F64EAC">
        <w:rPr>
          <w:szCs w:val="16"/>
        </w:rPr>
        <w:t>- donacije, posojila ali subvencije umetnikom, pisateljem, oblikovalcem, skladateljem in drugim, ki delajo v kulturi ali organizacijam, ki se ukvarjajo s spodbujanjem kulturnih dejavnosti.</w:t>
      </w:r>
    </w:p>
    <w:p w:rsidR="00754F44" w:rsidRPr="00F64EAC" w:rsidRDefault="00754F44" w:rsidP="00F64EAC">
      <w:pPr>
        <w:pStyle w:val="Sprotnaopomba-besedilo"/>
        <w:rPr>
          <w:szCs w:val="16"/>
        </w:rPr>
      </w:pPr>
      <w:r w:rsidRPr="00F64EAC">
        <w:rPr>
          <w:szCs w:val="16"/>
        </w:rPr>
        <w:t xml:space="preserve">Vključuje: nacionalna, regionalna in lokalna praznovanja, če niso pretežno namenjena privabljanju turistov. </w:t>
      </w:r>
    </w:p>
    <w:p w:rsidR="00754F44" w:rsidRPr="00F64EAC" w:rsidRDefault="00754F44" w:rsidP="00F64EAC">
      <w:pPr>
        <w:pStyle w:val="Sprotnaopomba-besedilo"/>
        <w:rPr>
          <w:szCs w:val="16"/>
        </w:rPr>
      </w:pPr>
      <w:r w:rsidRPr="00F64EAC">
        <w:rPr>
          <w:szCs w:val="16"/>
        </w:rPr>
        <w:t>Ne vključuje: kulturne prireditve izven nacionalnih meja (0113); nacionalna, regionalna in lokalna praznovanja, namenjena privabljanju turistov (0473); priprava kulturnega gradiva namenjenega oddajanju po radiu in televiziji (0830).</w:t>
      </w:r>
      <w:r>
        <w:rPr>
          <w:szCs w:val="16"/>
        </w:rPr>
        <w:t>« (</w:t>
      </w:r>
      <w:hyperlink r:id="rId5" w:history="1">
        <w:r>
          <w:rPr>
            <w:rStyle w:val="Hiperpovezava"/>
            <w:szCs w:val="16"/>
          </w:rPr>
          <w:t>OZN-Statistični oddelek</w:t>
        </w:r>
      </w:hyperlink>
      <w:r>
        <w:rPr>
          <w:szCs w:val="16"/>
        </w:rPr>
        <w:t>)</w:t>
      </w:r>
    </w:p>
  </w:footnote>
  <w:footnote w:id="12">
    <w:p w:rsidR="00754F44" w:rsidRDefault="00754F44">
      <w:pPr>
        <w:pStyle w:val="Sprotnaopomba-besedilo"/>
      </w:pPr>
      <w:r>
        <w:rPr>
          <w:rStyle w:val="Sprotnaopomba-sklic"/>
        </w:rPr>
        <w:footnoteRef/>
      </w:r>
      <w:r>
        <w:t xml:space="preserve"> Brez mednarodnih primerjav zato, ker vse države ne prištevajo izdatkov za nacionalno TV in radio med javne izdatke, čeprav jih zberejo z obveznimi prispevki gospodinjstev.</w:t>
      </w:r>
    </w:p>
  </w:footnote>
  <w:footnote w:id="13">
    <w:p w:rsidR="00754F44" w:rsidRDefault="00754F44">
      <w:pPr>
        <w:pStyle w:val="Sprotnaopomba-besedilo"/>
      </w:pPr>
      <w:r>
        <w:rPr>
          <w:rStyle w:val="Sprotnaopomba-sklic"/>
        </w:rPr>
        <w:footnoteRef/>
      </w:r>
      <w:r>
        <w:t xml:space="preserve"> Večina sredstev za kulturo v državnem proračunu, je v proračunu Ministrstva za kulturo, ne pa vsa – nekaj sredstev je tudi v proračunih Ministrstva za zunanje zadeve, Urada Vlade RS za Slovence v zamejstvu in po svetu, Urada Vlade RS za narodnosti itd.</w:t>
      </w:r>
    </w:p>
  </w:footnote>
  <w:footnote w:id="14">
    <w:p w:rsidR="00754F44" w:rsidRDefault="00754F44">
      <w:pPr>
        <w:pStyle w:val="Sprotnaopomba-besedilo"/>
      </w:pPr>
      <w:r>
        <w:rPr>
          <w:rStyle w:val="Sprotnaopomba-sklic"/>
        </w:rPr>
        <w:footnoteRef/>
      </w:r>
      <w:r>
        <w:t xml:space="preserve"> Stolpci »lokalna država« prikazujejo javne izdatke lokalnih skupnosti, stolpci »centralna država« pa prikazujejo izdatke državnega proračuna.</w:t>
      </w:r>
    </w:p>
  </w:footnote>
  <w:footnote w:id="15">
    <w:p w:rsidR="00754F44" w:rsidRPr="00436259" w:rsidRDefault="00754F44">
      <w:pPr>
        <w:pStyle w:val="Sprotnaopomba-besedilo"/>
        <w:rPr>
          <w:szCs w:val="16"/>
        </w:rPr>
      </w:pPr>
      <w:r w:rsidRPr="00436259">
        <w:rPr>
          <w:rStyle w:val="Sprotnaopomba-sklic"/>
          <w:szCs w:val="16"/>
        </w:rPr>
        <w:footnoteRef/>
      </w:r>
      <w:r>
        <w:rPr>
          <w:szCs w:val="16"/>
        </w:rPr>
        <w:t xml:space="preserve"> Razlaga metodologije COFOG je v opombi št. 9.</w:t>
      </w:r>
    </w:p>
  </w:footnote>
  <w:footnote w:id="16">
    <w:p w:rsidR="00754F44" w:rsidRPr="00FB768A" w:rsidRDefault="00754F44" w:rsidP="006F53FE">
      <w:pPr>
        <w:pStyle w:val="Sprotnaopomba-besedilo"/>
        <w:rPr>
          <w:i/>
          <w:szCs w:val="16"/>
        </w:rPr>
      </w:pPr>
      <w:r w:rsidRPr="00E72446">
        <w:rPr>
          <w:rStyle w:val="Sprotnaopomba-sklic"/>
        </w:rPr>
        <w:footnoteRef/>
      </w:r>
      <w:r w:rsidRPr="00E72446">
        <w:t xml:space="preserve"> </w:t>
      </w:r>
      <w:r w:rsidRPr="00E72446">
        <w:rPr>
          <w:szCs w:val="16"/>
        </w:rPr>
        <w:t xml:space="preserve">Glej grafa </w:t>
      </w:r>
      <w:r w:rsidRPr="00FB768A">
        <w:rPr>
          <w:szCs w:val="16"/>
        </w:rPr>
        <w:t>9 Javni izdatki za kulturne storitve v nominalnih zneskih (Slovenija, 2008–2015)</w:t>
      </w:r>
      <w:r>
        <w:rPr>
          <w:szCs w:val="16"/>
        </w:rPr>
        <w:t xml:space="preserve"> i</w:t>
      </w:r>
      <w:r w:rsidRPr="00E72446">
        <w:rPr>
          <w:szCs w:val="16"/>
        </w:rPr>
        <w:t xml:space="preserve">n </w:t>
      </w:r>
      <w:r w:rsidRPr="00FB768A">
        <w:rPr>
          <w:i/>
          <w:szCs w:val="16"/>
        </w:rPr>
        <w:t>10</w:t>
      </w:r>
      <w:r>
        <w:rPr>
          <w:i/>
          <w:szCs w:val="16"/>
        </w:rPr>
        <w:t xml:space="preserve"> Javni izdatki za storitve radia, televizije in založništva (2008–2015).</w:t>
      </w:r>
    </w:p>
  </w:footnote>
  <w:footnote w:id="17">
    <w:p w:rsidR="00754F44" w:rsidRDefault="00754F44" w:rsidP="00C65772">
      <w:pPr>
        <w:pStyle w:val="Sprotnaopomba-besedilo"/>
      </w:pPr>
      <w:r w:rsidRPr="00C65772">
        <w:rPr>
          <w:rStyle w:val="Sprotnaopomba-sklic"/>
        </w:rPr>
        <w:footnoteRef/>
      </w:r>
      <w:r>
        <w:t xml:space="preserve"> Ministrstvo za kulturo je pod sedanjim imenom začelo delovati 30. junija 1991.</w:t>
      </w:r>
    </w:p>
  </w:footnote>
  <w:footnote w:id="18">
    <w:p w:rsidR="00754F44" w:rsidRDefault="00754F44" w:rsidP="00D857F2">
      <w:pPr>
        <w:pStyle w:val="Sprotnaopomba-besedilo"/>
      </w:pPr>
      <w:r>
        <w:rPr>
          <w:rStyle w:val="Sprotnaopomba-sklic"/>
        </w:rPr>
        <w:footnoteRef/>
      </w:r>
      <w:r>
        <w:t xml:space="preserve"> Sem sodijo tudi stroški delovanja Javne agencije RS za knjigo.</w:t>
      </w:r>
    </w:p>
  </w:footnote>
  <w:footnote w:id="19">
    <w:p w:rsidR="00754F44" w:rsidRDefault="00754F44" w:rsidP="001540BD">
      <w:pPr>
        <w:pStyle w:val="Sprotnaopomba-besedilo"/>
      </w:pPr>
      <w:r>
        <w:rPr>
          <w:rStyle w:val="Sprotnaopomba-sklic"/>
        </w:rPr>
        <w:footnoteRef/>
      </w:r>
      <w:r>
        <w:t xml:space="preserve"> Pri tem kaže upoštevati, da so o</w:t>
      </w:r>
      <w:r w:rsidRPr="00BB4949">
        <w:t xml:space="preserve">d leta 2002 naprej na proračunski postavki Mednarodno sodelovanje le sredstva, ki so neposredno povezana z mednarodno sodelovanjem </w:t>
      </w:r>
      <w:r>
        <w:t>Ministrstva za kulturo</w:t>
      </w:r>
      <w:r w:rsidRPr="00BB4949">
        <w:t>, sredstva za mednarodno sodelovanje izvajalcev kulturnih programov in projektov pa so se prenesla proračunske postavke iz katerih se financira programe.</w:t>
      </w:r>
    </w:p>
  </w:footnote>
  <w:footnote w:id="20">
    <w:p w:rsidR="00754F44" w:rsidRDefault="00754F44" w:rsidP="00D147C8">
      <w:pPr>
        <w:pStyle w:val="Sprotnaopomba-besedilo"/>
      </w:pPr>
      <w:r>
        <w:rPr>
          <w:rStyle w:val="Sprotnaopomba-sklic"/>
        </w:rPr>
        <w:footnoteRef/>
      </w:r>
      <w:r>
        <w:t xml:space="preserve"> </w:t>
      </w:r>
      <w:r w:rsidRPr="00902939">
        <w:t xml:space="preserve">Sem sodijo tudi stroški delovanja </w:t>
      </w:r>
      <w:r>
        <w:t>Slovenskega filmskega centra.</w:t>
      </w:r>
    </w:p>
  </w:footnote>
  <w:footnote w:id="21">
    <w:p w:rsidR="00754F44" w:rsidRDefault="00754F44" w:rsidP="001540BD">
      <w:pPr>
        <w:pStyle w:val="Sprotnaopomba-besedilo"/>
      </w:pPr>
      <w:r>
        <w:rPr>
          <w:rStyle w:val="Sprotnaopomba-sklic"/>
        </w:rPr>
        <w:footnoteRef/>
      </w:r>
      <w:r>
        <w:t xml:space="preserve"> Sem sodijo tudi stroški delovanja Javnega sklada RS za kulturne dejavnosti.</w:t>
      </w:r>
    </w:p>
  </w:footnote>
  <w:footnote w:id="22">
    <w:p w:rsidR="00754F44" w:rsidRDefault="00754F44">
      <w:pPr>
        <w:pStyle w:val="Sprotnaopomba-besedilo"/>
      </w:pPr>
      <w:r>
        <w:rPr>
          <w:rStyle w:val="Sprotnaopomba-sklic"/>
        </w:rPr>
        <w:footnoteRef/>
      </w:r>
      <w:r>
        <w:t xml:space="preserve"> </w:t>
      </w:r>
      <w:r w:rsidRPr="00626BDB">
        <w:t>Razlog za povišanje sredstev na področju varstva nepremične kulturne dediščine je bilo uspešno črpanje sredstev ESRR za obnovo in oživljanje kulturnih spomenikov v obeh programskih obdobjih 2004–2006 in 2007–2013. V skupnih proračunskih sredstvih 2008–2015 predstavljajo evropska sredstva za kulturne spomenike kar 62 % vseh sredstev, medtem ko je od leta 2008 do 2015 zaznati na tem področju drastičen padec integralnih sredstev, in sicer kar za 63,3 %. Žal v novi finančni perspektivi 2014–2020 področje kulturne dediščine ne bo več deležno evropskega sofinanciranja v takem obsegu kot doslej, integralna sredstva pa ostajajo na približno enako nizki ravni kot v letu 2015.</w:t>
      </w:r>
    </w:p>
  </w:footnote>
  <w:footnote w:id="23">
    <w:p w:rsidR="00754F44" w:rsidRDefault="00754F44" w:rsidP="00D147C8">
      <w:pPr>
        <w:pStyle w:val="Sprotnaopomba-besedilo"/>
      </w:pPr>
      <w:r>
        <w:rPr>
          <w:rStyle w:val="Sprotnaopomba-sklic"/>
        </w:rPr>
        <w:footnoteRef/>
      </w:r>
      <w:r>
        <w:t xml:space="preserve"> </w:t>
      </w:r>
      <w:r w:rsidRPr="00BB4949">
        <w:t xml:space="preserve">Sem sodijo stroški, kot so npr. popularizacija kulturnih dejavnosti, stroški strokovnih komisij, stroški tehnične pomoči za projekte iz evropske kohezijske politike, plače in materialni stroški Ministrstva za kulturo in Inšpektorata za kulturo in medije, stroški nepremičnin v upravljanju, </w:t>
      </w:r>
      <w:proofErr w:type="spellStart"/>
      <w:r w:rsidRPr="00BB4949">
        <w:t>najemnine.V</w:t>
      </w:r>
      <w:proofErr w:type="spellEnd"/>
      <w:r w:rsidRPr="00BB4949">
        <w:t xml:space="preserve"> letu 2010 je bila na Ministrstvo za kulturo </w:t>
      </w:r>
      <w:proofErr w:type="spellStart"/>
      <w:r w:rsidRPr="00BB4949">
        <w:t>prenešena</w:t>
      </w:r>
      <w:proofErr w:type="spellEnd"/>
      <w:r w:rsidRPr="00BB4949">
        <w:t xml:space="preserve"> proračunska postavka za državne proslave, v letu 2012</w:t>
      </w:r>
      <w:r>
        <w:t xml:space="preserve"> </w:t>
      </w:r>
      <w:r w:rsidRPr="00BB4949">
        <w:t>so jo prenesli nazaj na Generalni sekretariat Vlade RS, leta 2014 pa spet na Ministrstvo za kulturo.</w:t>
      </w:r>
    </w:p>
  </w:footnote>
  <w:footnote w:id="24">
    <w:p w:rsidR="00754F44" w:rsidRDefault="00754F44">
      <w:pPr>
        <w:pStyle w:val="Sprotnaopomba-besedilo"/>
      </w:pPr>
      <w:r>
        <w:rPr>
          <w:rStyle w:val="Sprotnaopomba-sklic"/>
        </w:rPr>
        <w:footnoteRef/>
      </w:r>
      <w:r>
        <w:t xml:space="preserve"> </w:t>
      </w:r>
      <w:r w:rsidRPr="00626BDB">
        <w:t>Razlog za povišanje sredstev na področju varstva nepremične kulturne dediščine je bilo uspešno črpanje sredstev ESRR za obnovo in oživljanje kulturnih spomenikov v obeh programskih obdobjih 2004–2006 in 2007–2013. V skupnih proračunskih sredstvih 2008–2015 predstavljajo evropska sredstva za kulturne spomenike kar 62 % vseh sredstev, medtem ko je od leta 2008 do 2015 zaznati na tem področju drastičen padec integralnih sredstev, in sicer kar za 63,3 %. Žal v novi finančni perspektivi 2014–2020 področje kulturne dediščine ne bo več deležno evropskega sofinanciranja v takem obsegu kot doslej, integralna sredstva pa ostajajo na približno enako nizki ravni kot v letu 2015.</w:t>
      </w:r>
    </w:p>
  </w:footnote>
  <w:footnote w:id="25">
    <w:p w:rsidR="00754F44" w:rsidRPr="000D7823" w:rsidRDefault="00754F44">
      <w:pPr>
        <w:pStyle w:val="Sprotnaopomba-besedilo"/>
        <w:rPr>
          <w:lang w:val="en-US"/>
        </w:rPr>
      </w:pPr>
      <w:r>
        <w:rPr>
          <w:rStyle w:val="Sprotnaopomba-sklic"/>
        </w:rPr>
        <w:footnoteRef/>
      </w:r>
      <w:r>
        <w:t xml:space="preserve"> </w:t>
      </w:r>
      <w:proofErr w:type="spellStart"/>
      <w:r>
        <w:rPr>
          <w:lang w:val="en-US"/>
        </w:rPr>
        <w:t>Struktura</w:t>
      </w:r>
      <w:proofErr w:type="spellEnd"/>
      <w:r>
        <w:rPr>
          <w:lang w:val="en-US"/>
        </w:rPr>
        <w:t xml:space="preserve"> </w:t>
      </w:r>
      <w:proofErr w:type="spellStart"/>
      <w:r>
        <w:rPr>
          <w:lang w:val="en-US"/>
        </w:rPr>
        <w:t>po</w:t>
      </w:r>
      <w:proofErr w:type="spellEnd"/>
      <w:r>
        <w:rPr>
          <w:lang w:val="en-US"/>
        </w:rPr>
        <w:t xml:space="preserve"> </w:t>
      </w:r>
      <w:proofErr w:type="spellStart"/>
      <w:r>
        <w:rPr>
          <w:lang w:val="en-US"/>
        </w:rPr>
        <w:t>prejemnikih</w:t>
      </w:r>
      <w:proofErr w:type="spellEnd"/>
      <w:r>
        <w:rPr>
          <w:lang w:val="en-US"/>
        </w:rPr>
        <w:t xml:space="preserve"> je </w:t>
      </w:r>
      <w:proofErr w:type="spellStart"/>
      <w:r>
        <w:rPr>
          <w:lang w:val="en-US"/>
        </w:rPr>
        <w:t>na</w:t>
      </w:r>
      <w:proofErr w:type="spellEnd"/>
      <w:r>
        <w:rPr>
          <w:lang w:val="en-US"/>
        </w:rPr>
        <w:t xml:space="preserve"> </w:t>
      </w:r>
      <w:proofErr w:type="spellStart"/>
      <w:r>
        <w:rPr>
          <w:lang w:val="en-US"/>
        </w:rPr>
        <w:t>razpolago</w:t>
      </w:r>
      <w:proofErr w:type="spellEnd"/>
      <w:r>
        <w:rPr>
          <w:lang w:val="en-US"/>
        </w:rPr>
        <w:t xml:space="preserve"> </w:t>
      </w:r>
      <w:proofErr w:type="spellStart"/>
      <w:r>
        <w:rPr>
          <w:lang w:val="en-US"/>
        </w:rPr>
        <w:t>šele</w:t>
      </w:r>
      <w:proofErr w:type="spellEnd"/>
      <w:r>
        <w:rPr>
          <w:lang w:val="en-US"/>
        </w:rPr>
        <w:t xml:space="preserve"> </w:t>
      </w:r>
      <w:proofErr w:type="spellStart"/>
      <w:r>
        <w:rPr>
          <w:lang w:val="en-US"/>
        </w:rPr>
        <w:t>od</w:t>
      </w:r>
      <w:proofErr w:type="spellEnd"/>
      <w:r>
        <w:rPr>
          <w:lang w:val="en-US"/>
        </w:rPr>
        <w:t xml:space="preserve"> </w:t>
      </w:r>
      <w:proofErr w:type="spellStart"/>
      <w:r>
        <w:rPr>
          <w:lang w:val="en-US"/>
        </w:rPr>
        <w:t>leta</w:t>
      </w:r>
      <w:proofErr w:type="spellEnd"/>
      <w:r>
        <w:rPr>
          <w:lang w:val="en-US"/>
        </w:rPr>
        <w:t xml:space="preserve"> 2002 </w:t>
      </w:r>
      <w:proofErr w:type="spellStart"/>
      <w:r>
        <w:rPr>
          <w:lang w:val="en-US"/>
        </w:rPr>
        <w:t>naprej</w:t>
      </w:r>
      <w:proofErr w:type="spellEnd"/>
      <w:r>
        <w:rPr>
          <w:lang w:val="en-US"/>
        </w:rPr>
        <w:t xml:space="preserve">, </w:t>
      </w:r>
      <w:proofErr w:type="spellStart"/>
      <w:r>
        <w:rPr>
          <w:lang w:val="en-US"/>
        </w:rPr>
        <w:t>ko</w:t>
      </w:r>
      <w:proofErr w:type="spellEnd"/>
      <w:r>
        <w:rPr>
          <w:lang w:val="en-US"/>
        </w:rPr>
        <w:t xml:space="preserve"> je </w:t>
      </w:r>
      <w:proofErr w:type="spellStart"/>
      <w:r>
        <w:rPr>
          <w:lang w:val="en-US"/>
        </w:rPr>
        <w:t>državna</w:t>
      </w:r>
      <w:proofErr w:type="spellEnd"/>
      <w:r>
        <w:rPr>
          <w:lang w:val="en-US"/>
        </w:rPr>
        <w:t xml:space="preserve"> </w:t>
      </w:r>
      <w:proofErr w:type="spellStart"/>
      <w:r>
        <w:rPr>
          <w:lang w:val="en-US"/>
        </w:rPr>
        <w:t>uprava</w:t>
      </w:r>
      <w:proofErr w:type="spellEnd"/>
      <w:r>
        <w:rPr>
          <w:lang w:val="en-US"/>
        </w:rPr>
        <w:t xml:space="preserve"> </w:t>
      </w:r>
      <w:proofErr w:type="spellStart"/>
      <w:r>
        <w:rPr>
          <w:lang w:val="en-US"/>
        </w:rPr>
        <w:t>začela</w:t>
      </w:r>
      <w:proofErr w:type="spellEnd"/>
      <w:r>
        <w:rPr>
          <w:lang w:val="en-US"/>
        </w:rPr>
        <w:t xml:space="preserve"> </w:t>
      </w:r>
      <w:proofErr w:type="spellStart"/>
      <w:r>
        <w:rPr>
          <w:lang w:val="en-US"/>
        </w:rPr>
        <w:t>za</w:t>
      </w:r>
      <w:proofErr w:type="spellEnd"/>
      <w:r>
        <w:rPr>
          <w:lang w:val="en-US"/>
        </w:rPr>
        <w:t xml:space="preserve"> </w:t>
      </w:r>
      <w:proofErr w:type="spellStart"/>
      <w:r>
        <w:rPr>
          <w:lang w:val="en-US"/>
        </w:rPr>
        <w:t>izplačila</w:t>
      </w:r>
      <w:proofErr w:type="spellEnd"/>
      <w:r>
        <w:rPr>
          <w:lang w:val="en-US"/>
        </w:rPr>
        <w:t xml:space="preserve"> </w:t>
      </w:r>
      <w:proofErr w:type="spellStart"/>
      <w:r>
        <w:rPr>
          <w:lang w:val="en-US"/>
        </w:rPr>
        <w:t>uporabljati</w:t>
      </w:r>
      <w:proofErr w:type="spellEnd"/>
      <w:r>
        <w:rPr>
          <w:lang w:val="en-US"/>
        </w:rPr>
        <w:t xml:space="preserve"> </w:t>
      </w:r>
      <w:proofErr w:type="spellStart"/>
      <w:r>
        <w:rPr>
          <w:lang w:val="en-US"/>
        </w:rPr>
        <w:t>enotni</w:t>
      </w:r>
      <w:proofErr w:type="spellEnd"/>
      <w:r>
        <w:rPr>
          <w:lang w:val="en-US"/>
        </w:rPr>
        <w:t xml:space="preserve"> </w:t>
      </w:r>
      <w:proofErr w:type="spellStart"/>
      <w:r>
        <w:rPr>
          <w:lang w:val="en-US"/>
        </w:rPr>
        <w:t>računovodski</w:t>
      </w:r>
      <w:proofErr w:type="spellEnd"/>
      <w:r>
        <w:rPr>
          <w:lang w:val="en-US"/>
        </w:rPr>
        <w:t xml:space="preserve"> </w:t>
      </w:r>
      <w:proofErr w:type="spellStart"/>
      <w:r>
        <w:rPr>
          <w:lang w:val="en-US"/>
        </w:rPr>
        <w:t>sistem</w:t>
      </w:r>
      <w:proofErr w:type="spellEnd"/>
      <w:r>
        <w:rPr>
          <w:lang w:val="en-US"/>
        </w:rPr>
        <w:t xml:space="preserve"> MFERAC.</w:t>
      </w:r>
    </w:p>
  </w:footnote>
  <w:footnote w:id="26">
    <w:p w:rsidR="00754F44" w:rsidRDefault="00754F44" w:rsidP="001439A8">
      <w:pPr>
        <w:pStyle w:val="Sprotnaopomba-besedilo"/>
      </w:pPr>
      <w:r>
        <w:rPr>
          <w:rStyle w:val="Sprotnaopomba-sklic"/>
        </w:rPr>
        <w:footnoteRef/>
      </w:r>
      <w:r>
        <w:t xml:space="preserve"> </w:t>
      </w:r>
      <w:r w:rsidRPr="00B9459E">
        <w:t xml:space="preserve">Pri ugotovitvi o nesorazmerjih med nevladnimi </w:t>
      </w:r>
      <w:r>
        <w:t xml:space="preserve">/neprofitnimi </w:t>
      </w:r>
      <w:r w:rsidRPr="00B9459E">
        <w:t>organizacijami in samozaposlenimi na eni strani in javnimi zavodi na drugi kaže upoštevati, da javni zavodi za izvajanje programov angažirajo tudi zasebne zavode in društva, ki delujejo v kulturi ter samozaposlene ustvarjalce in ustvarjalke.</w:t>
      </w:r>
    </w:p>
  </w:footnote>
  <w:footnote w:id="27">
    <w:p w:rsidR="00754F44" w:rsidRDefault="00754F44" w:rsidP="00F6212D">
      <w:pPr>
        <w:pStyle w:val="Sprotnaopomba-besedilo"/>
      </w:pPr>
      <w:r>
        <w:rPr>
          <w:rStyle w:val="Sprotnaopomba-sklic"/>
        </w:rPr>
        <w:footnoteRef/>
      </w:r>
      <w:r>
        <w:t xml:space="preserve"> </w:t>
      </w:r>
      <w:hyperlink r:id="rId6" w:history="1">
        <w:proofErr w:type="spellStart"/>
        <w:r w:rsidRPr="0037430B">
          <w:rPr>
            <w:rStyle w:val="Hiperpovezava"/>
          </w:rPr>
          <w:t>ESSnet</w:t>
        </w:r>
        <w:proofErr w:type="spellEnd"/>
        <w:r w:rsidRPr="0037430B">
          <w:rPr>
            <w:rStyle w:val="Hiperpovezava"/>
            <w:rFonts w:ascii="Cambria Math" w:hAnsi="Cambria Math" w:cs="Cambria Math"/>
          </w:rPr>
          <w:t>‐</w:t>
        </w:r>
        <w:r w:rsidRPr="0037430B">
          <w:rPr>
            <w:rStyle w:val="Hiperpovezava"/>
          </w:rPr>
          <w:t xml:space="preserve">CULTURE, </w:t>
        </w:r>
        <w:proofErr w:type="spellStart"/>
        <w:r w:rsidRPr="0037430B">
          <w:rPr>
            <w:rStyle w:val="Hiperpovezava"/>
          </w:rPr>
          <w:t>European</w:t>
        </w:r>
        <w:proofErr w:type="spellEnd"/>
        <w:r w:rsidRPr="0037430B">
          <w:rPr>
            <w:rStyle w:val="Hiperpovezava"/>
          </w:rPr>
          <w:t xml:space="preserve"> </w:t>
        </w:r>
        <w:proofErr w:type="spellStart"/>
        <w:r w:rsidRPr="0037430B">
          <w:rPr>
            <w:rStyle w:val="Hiperpovezava"/>
          </w:rPr>
          <w:t>Statistical</w:t>
        </w:r>
        <w:proofErr w:type="spellEnd"/>
        <w:r w:rsidRPr="0037430B">
          <w:rPr>
            <w:rStyle w:val="Hiperpovezava"/>
          </w:rPr>
          <w:t xml:space="preserve"> </w:t>
        </w:r>
        <w:proofErr w:type="spellStart"/>
        <w:r w:rsidRPr="0037430B">
          <w:rPr>
            <w:rStyle w:val="Hiperpovezava"/>
          </w:rPr>
          <w:t>System</w:t>
        </w:r>
        <w:proofErr w:type="spellEnd"/>
        <w:r w:rsidRPr="0037430B">
          <w:rPr>
            <w:rStyle w:val="Hiperpovezava"/>
          </w:rPr>
          <w:t xml:space="preserve"> </w:t>
        </w:r>
        <w:proofErr w:type="spellStart"/>
        <w:r w:rsidRPr="0037430B">
          <w:rPr>
            <w:rStyle w:val="Hiperpovezava"/>
          </w:rPr>
          <w:t>Network</w:t>
        </w:r>
        <w:proofErr w:type="spellEnd"/>
        <w:r w:rsidRPr="0037430B">
          <w:rPr>
            <w:rStyle w:val="Hiperpovezava"/>
          </w:rPr>
          <w:t xml:space="preserve"> on </w:t>
        </w:r>
        <w:proofErr w:type="spellStart"/>
        <w:r w:rsidRPr="0037430B">
          <w:rPr>
            <w:rStyle w:val="Hiperpovezava"/>
          </w:rPr>
          <w:t>Culture</w:t>
        </w:r>
        <w:proofErr w:type="spellEnd"/>
        <w:r w:rsidRPr="0037430B">
          <w:rPr>
            <w:rStyle w:val="Hiperpovezava"/>
          </w:rPr>
          <w:t xml:space="preserve">, </w:t>
        </w:r>
        <w:proofErr w:type="spellStart"/>
        <w:r w:rsidRPr="0037430B">
          <w:rPr>
            <w:rStyle w:val="Hiperpovezava"/>
          </w:rPr>
          <w:t>Final</w:t>
        </w:r>
        <w:proofErr w:type="spellEnd"/>
        <w:r w:rsidRPr="0037430B">
          <w:rPr>
            <w:rStyle w:val="Hiperpovezava"/>
          </w:rPr>
          <w:t xml:space="preserve"> </w:t>
        </w:r>
        <w:proofErr w:type="spellStart"/>
        <w:r w:rsidRPr="0037430B">
          <w:rPr>
            <w:rStyle w:val="Hiperpovezava"/>
          </w:rPr>
          <w:t>Report</w:t>
        </w:r>
        <w:proofErr w:type="spellEnd"/>
      </w:hyperlink>
      <w:r>
        <w:t>, 2012, str. 64–67.</w:t>
      </w:r>
    </w:p>
  </w:footnote>
  <w:footnote w:id="28">
    <w:p w:rsidR="00754F44" w:rsidRDefault="00754F44">
      <w:pPr>
        <w:pStyle w:val="Sprotnaopomba-besedilo"/>
      </w:pPr>
      <w:r>
        <w:rPr>
          <w:rStyle w:val="Sprotnaopomba-sklic"/>
        </w:rPr>
        <w:footnoteRef/>
      </w:r>
      <w:r>
        <w:t xml:space="preserve"> Raven 1 je npr. področje </w:t>
      </w:r>
      <w:r w:rsidRPr="00363EE3">
        <w:rPr>
          <w:i/>
        </w:rPr>
        <w:t>Rekreacija, kultura in religija,</w:t>
      </w:r>
      <w:r>
        <w:t xml:space="preserve"> raven 2 znotraj nje pa t.i. oddelki oz. skupine: </w:t>
      </w:r>
      <w:r w:rsidRPr="00363EE3">
        <w:rPr>
          <w:i/>
        </w:rPr>
        <w:t>Kulturne storitve,</w:t>
      </w:r>
      <w:r>
        <w:t xml:space="preserve"> </w:t>
      </w:r>
      <w:r w:rsidRPr="00363EE3">
        <w:t>Storitve RTV in založništva</w:t>
      </w:r>
      <w:r>
        <w:t xml:space="preserve"> itn.; raven 1 je npr. </w:t>
      </w:r>
      <w:r w:rsidRPr="00363EE3">
        <w:rPr>
          <w:i/>
        </w:rPr>
        <w:t>Izobraževanje,</w:t>
      </w:r>
      <w:r>
        <w:t xml:space="preserve"> v okviru katerega so t.i. oddelki oz. skupine 2. ravni, npr. </w:t>
      </w:r>
      <w:r w:rsidRPr="00363EE3">
        <w:rPr>
          <w:i/>
        </w:rPr>
        <w:t>Predšolska vzgoja in osnovnošolsko izobraževanje, Srednješolsko izobraževanje, Višješolsko izobraževanje</w:t>
      </w:r>
      <w:r>
        <w:t xml:space="preserve"> itn.</w:t>
      </w:r>
    </w:p>
  </w:footnote>
  <w:footnote w:id="29">
    <w:p w:rsidR="00754F44" w:rsidRDefault="00754F44">
      <w:pPr>
        <w:pStyle w:val="Sprotnaopomba-besedilo"/>
      </w:pPr>
      <w:r>
        <w:rPr>
          <w:rStyle w:val="Sprotnaopomba-sklic"/>
        </w:rPr>
        <w:footnoteRef/>
      </w:r>
      <w:r>
        <w:t xml:space="preserve"> </w:t>
      </w:r>
      <w:r w:rsidRPr="00EE0A6F">
        <w:t xml:space="preserve">Pozoren bralec bo opazil znatne razlike v absolutnih zneskih javnih izdatkov lokalnih skupnosti (oz. lokalne države) za kulturne storitve, ki so navedeni v </w:t>
      </w:r>
      <w:r w:rsidRPr="00491E22">
        <w:t xml:space="preserve">grafu 9 </w:t>
      </w:r>
      <w:r w:rsidRPr="00491E22">
        <w:rPr>
          <w:i/>
        </w:rPr>
        <w:t>Javni izdatki za kulturn</w:t>
      </w:r>
      <w:r>
        <w:rPr>
          <w:i/>
        </w:rPr>
        <w:t>e storitve v nominalnih zneskih</w:t>
      </w:r>
      <w:r w:rsidRPr="00491E22">
        <w:rPr>
          <w:i/>
        </w:rPr>
        <w:t xml:space="preserve"> (Slovenija, 2008–2015)</w:t>
      </w:r>
      <w:r w:rsidRPr="00EE0A6F">
        <w:t xml:space="preserve"> in absolutnimi zneski v </w:t>
      </w:r>
      <w:r w:rsidRPr="00491E22">
        <w:t>tabeli 14.</w:t>
      </w:r>
      <w:r w:rsidRPr="00EE0A6F">
        <w:t xml:space="preserve"> Prvi so podatki Statističnega urada, drugi pa Ministrstva za finance. Razlog za razlike je, da so v podatkih Ministrstva za finance le izdatki lokalnih proračunov, v podatkih Statističnega urada pa so </w:t>
      </w:r>
      <w:r>
        <w:t>k njim prišteti tudi</w:t>
      </w:r>
      <w:r w:rsidRPr="00EE0A6F">
        <w:t xml:space="preserve"> </w:t>
      </w:r>
      <w:r>
        <w:t xml:space="preserve">izdatki </w:t>
      </w:r>
      <w:r w:rsidRPr="00EE0A6F">
        <w:t>javnih zavodov, ki so</w:t>
      </w:r>
      <w:r>
        <w:t xml:space="preserve"> si</w:t>
      </w:r>
      <w:r w:rsidRPr="00EE0A6F">
        <w:t xml:space="preserve"> jih </w:t>
      </w:r>
      <w:r>
        <w:t>le-ti pokrili</w:t>
      </w:r>
      <w:r w:rsidRPr="00EE0A6F">
        <w:t xml:space="preserve"> iz </w:t>
      </w:r>
      <w:r>
        <w:t>drugih virov.</w:t>
      </w:r>
    </w:p>
  </w:footnote>
  <w:footnote w:id="30">
    <w:p w:rsidR="00754F44" w:rsidRDefault="00754F44">
      <w:pPr>
        <w:pStyle w:val="Sprotnaopomba-besedilo"/>
      </w:pPr>
      <w:r>
        <w:rPr>
          <w:rStyle w:val="Sprotnaopomba-sklic"/>
        </w:rPr>
        <w:footnoteRef/>
      </w:r>
      <w:r>
        <w:t xml:space="preserve"> Glej podatkovni portal SI-STAT: Demografsko in socialno področje–Življenjska raven–Poraba v gospodinjstvih–</w:t>
      </w:r>
      <w:hyperlink r:id="rId7" w:history="1">
        <w:r w:rsidRPr="005D583B">
          <w:rPr>
            <w:rStyle w:val="Hiperpovezava"/>
          </w:rPr>
          <w:t>Porabljena sredstva in količine</w:t>
        </w:r>
      </w:hyperlink>
      <w:r>
        <w:t>: Povprečna porabljena denarna sredstva gospodinjstev, Slovenija, večletno.</w:t>
      </w:r>
    </w:p>
  </w:footnote>
  <w:footnote w:id="31">
    <w:p w:rsidR="00754F44" w:rsidRDefault="00754F44" w:rsidP="00302386">
      <w:pPr>
        <w:pStyle w:val="Sprotnaopomba-besedilo"/>
      </w:pPr>
      <w:r w:rsidRPr="005329CC">
        <w:rPr>
          <w:rStyle w:val="Sprotnaopomba-sklic"/>
        </w:rPr>
        <w:footnoteRef/>
      </w:r>
      <w:r w:rsidRPr="005329CC">
        <w:t xml:space="preserve"> Glej graf 37 </w:t>
      </w:r>
      <w:r w:rsidRPr="005329CC">
        <w:rPr>
          <w:i/>
        </w:rPr>
        <w:t>Poslovni subjekti (ki so oddali poslovno poročilo) glede na pravno-organizacijsko obliko (2008 in 2015).</w:t>
      </w:r>
      <w:r w:rsidRPr="005329CC">
        <w:rPr>
          <w:i/>
          <w:highlight w:val="cyan"/>
        </w:rPr>
        <w:t xml:space="preserve"> </w:t>
      </w:r>
    </w:p>
  </w:footnote>
  <w:footnote w:id="32">
    <w:p w:rsidR="00754F44" w:rsidRDefault="00754F44">
      <w:pPr>
        <w:pStyle w:val="Sprotnaopomba-besedilo"/>
      </w:pPr>
      <w:r>
        <w:rPr>
          <w:rStyle w:val="Sprotnaopomba-sklic"/>
        </w:rPr>
        <w:footnoteRef/>
      </w:r>
      <w:r>
        <w:t xml:space="preserve"> </w:t>
      </w:r>
      <w:r w:rsidRPr="004722BB">
        <w:t xml:space="preserve">To so </w:t>
      </w:r>
      <w:hyperlink r:id="rId8" w:history="1">
        <w:r w:rsidRPr="004722BB">
          <w:rPr>
            <w:rStyle w:val="Hiperpovezava"/>
          </w:rPr>
          <w:t>deklaracije konvencije in priporočila</w:t>
        </w:r>
      </w:hyperlink>
      <w:r w:rsidRPr="004722BB">
        <w:t>, pri čemer kaže poudariti, da so za države pravno zavezujoče le konvencije.</w:t>
      </w:r>
    </w:p>
  </w:footnote>
  <w:footnote w:id="33">
    <w:p w:rsidR="00754F44" w:rsidRPr="00780D83" w:rsidRDefault="00754F44">
      <w:pPr>
        <w:pStyle w:val="Sprotnaopomba-besedilo"/>
        <w:rPr>
          <w:lang w:val="en-US"/>
        </w:rPr>
      </w:pPr>
      <w:r>
        <w:rPr>
          <w:rStyle w:val="Sprotnaopomba-sklic"/>
        </w:rPr>
        <w:footnoteRef/>
      </w:r>
      <w:r>
        <w:t xml:space="preserve"> </w:t>
      </w:r>
      <w:proofErr w:type="spellStart"/>
      <w:r>
        <w:rPr>
          <w:lang w:val="en-US"/>
        </w:rPr>
        <w:t>Urad</w:t>
      </w:r>
      <w:proofErr w:type="spellEnd"/>
      <w:r>
        <w:rPr>
          <w:lang w:val="en-US"/>
        </w:rPr>
        <w:t xml:space="preserve"> </w:t>
      </w:r>
      <w:proofErr w:type="spellStart"/>
      <w:r w:rsidRPr="009A2EE8">
        <w:rPr>
          <w:lang w:val="en-US"/>
        </w:rPr>
        <w:t>Slovenske</w:t>
      </w:r>
      <w:proofErr w:type="spellEnd"/>
      <w:r w:rsidRPr="009A2EE8">
        <w:rPr>
          <w:lang w:val="en-US"/>
        </w:rPr>
        <w:t xml:space="preserve"> </w:t>
      </w:r>
      <w:proofErr w:type="spellStart"/>
      <w:r w:rsidRPr="009A2EE8">
        <w:rPr>
          <w:lang w:val="en-US"/>
        </w:rPr>
        <w:t>nacionalne</w:t>
      </w:r>
      <w:proofErr w:type="spellEnd"/>
      <w:r w:rsidRPr="009A2EE8">
        <w:rPr>
          <w:lang w:val="en-US"/>
        </w:rPr>
        <w:t xml:space="preserve"> </w:t>
      </w:r>
      <w:proofErr w:type="spellStart"/>
      <w:r w:rsidRPr="009A2EE8">
        <w:rPr>
          <w:lang w:val="en-US"/>
        </w:rPr>
        <w:t>komisije</w:t>
      </w:r>
      <w:proofErr w:type="spellEnd"/>
      <w:r w:rsidRPr="009A2EE8">
        <w:rPr>
          <w:lang w:val="en-US"/>
        </w:rPr>
        <w:t xml:space="preserve"> </w:t>
      </w:r>
      <w:proofErr w:type="spellStart"/>
      <w:r w:rsidRPr="009A2EE8">
        <w:rPr>
          <w:lang w:val="en-US"/>
        </w:rPr>
        <w:t>za</w:t>
      </w:r>
      <w:proofErr w:type="spellEnd"/>
      <w:r w:rsidRPr="009A2EE8">
        <w:rPr>
          <w:lang w:val="en-US"/>
        </w:rPr>
        <w:t xml:space="preserve"> UNESCO</w:t>
      </w:r>
      <w:r>
        <w:rPr>
          <w:lang w:val="en-US"/>
        </w:rPr>
        <w:t xml:space="preserve"> je o tem </w:t>
      </w:r>
      <w:proofErr w:type="spellStart"/>
      <w:r>
        <w:rPr>
          <w:lang w:val="en-US"/>
        </w:rPr>
        <w:t>vprašanju</w:t>
      </w:r>
      <w:proofErr w:type="spellEnd"/>
      <w:r>
        <w:rPr>
          <w:lang w:val="en-US"/>
        </w:rPr>
        <w:t xml:space="preserve"> </w:t>
      </w:r>
      <w:proofErr w:type="spellStart"/>
      <w:r>
        <w:rPr>
          <w:lang w:val="en-US"/>
        </w:rPr>
        <w:t>opravil</w:t>
      </w:r>
      <w:proofErr w:type="spellEnd"/>
      <w:r>
        <w:rPr>
          <w:lang w:val="en-US"/>
        </w:rPr>
        <w:t xml:space="preserve"> </w:t>
      </w:r>
      <w:proofErr w:type="spellStart"/>
      <w:r>
        <w:rPr>
          <w:lang w:val="en-US"/>
        </w:rPr>
        <w:t>poizvedbo</w:t>
      </w:r>
      <w:proofErr w:type="spellEnd"/>
      <w:r>
        <w:rPr>
          <w:lang w:val="en-US"/>
        </w:rPr>
        <w:t xml:space="preserve"> v </w:t>
      </w:r>
      <w:proofErr w:type="spellStart"/>
      <w:r>
        <w:rPr>
          <w:lang w:val="en-US"/>
        </w:rPr>
        <w:t>pravni</w:t>
      </w:r>
      <w:proofErr w:type="spellEnd"/>
      <w:r>
        <w:rPr>
          <w:lang w:val="en-US"/>
        </w:rPr>
        <w:t xml:space="preserve"> </w:t>
      </w:r>
      <w:proofErr w:type="spellStart"/>
      <w:r>
        <w:rPr>
          <w:lang w:val="en-US"/>
        </w:rPr>
        <w:t>službi</w:t>
      </w:r>
      <w:proofErr w:type="spellEnd"/>
      <w:r>
        <w:rPr>
          <w:lang w:val="en-US"/>
        </w:rPr>
        <w:t xml:space="preserve"> </w:t>
      </w:r>
      <w:proofErr w:type="spellStart"/>
      <w:r>
        <w:rPr>
          <w:lang w:val="en-US"/>
        </w:rPr>
        <w:t>na</w:t>
      </w:r>
      <w:proofErr w:type="spellEnd"/>
      <w:r>
        <w:rPr>
          <w:lang w:val="en-US"/>
        </w:rPr>
        <w:t xml:space="preserve"> </w:t>
      </w:r>
      <w:proofErr w:type="spellStart"/>
      <w:r>
        <w:rPr>
          <w:lang w:val="en-US"/>
        </w:rPr>
        <w:t>sedežu</w:t>
      </w:r>
      <w:proofErr w:type="spellEnd"/>
      <w:r>
        <w:rPr>
          <w:lang w:val="en-US"/>
        </w:rPr>
        <w:t xml:space="preserve"> UNESCO v </w:t>
      </w:r>
      <w:proofErr w:type="spellStart"/>
      <w:r>
        <w:rPr>
          <w:lang w:val="en-US"/>
        </w:rPr>
        <w:t>Parizu</w:t>
      </w:r>
      <w:proofErr w:type="spellEnd"/>
      <w:r>
        <w:rPr>
          <w:lang w:val="en-US"/>
        </w:rPr>
        <w:t>.</w:t>
      </w:r>
    </w:p>
  </w:footnote>
  <w:footnote w:id="34">
    <w:p w:rsidR="00754F44" w:rsidRPr="005759EB" w:rsidRDefault="00754F44">
      <w:pPr>
        <w:pStyle w:val="Sprotnaopomba-besedilo"/>
        <w:rPr>
          <w:lang w:val="en-US"/>
        </w:rPr>
      </w:pPr>
      <w:r>
        <w:rPr>
          <w:rStyle w:val="Sprotnaopomba-sklic"/>
        </w:rPr>
        <w:footnoteRef/>
      </w:r>
      <w:r>
        <w:t xml:space="preserve"> </w:t>
      </w:r>
      <w:proofErr w:type="spellStart"/>
      <w:r>
        <w:rPr>
          <w:lang w:val="en-US"/>
        </w:rPr>
        <w:t>Več</w:t>
      </w:r>
      <w:proofErr w:type="spellEnd"/>
      <w:r>
        <w:rPr>
          <w:lang w:val="en-US"/>
        </w:rPr>
        <w:t xml:space="preserve"> </w:t>
      </w:r>
      <w:proofErr w:type="spellStart"/>
      <w:r>
        <w:rPr>
          <w:lang w:val="en-US"/>
        </w:rPr>
        <w:t>pojasnil</w:t>
      </w:r>
      <w:proofErr w:type="spellEnd"/>
      <w:r>
        <w:rPr>
          <w:lang w:val="en-US"/>
        </w:rPr>
        <w:t xml:space="preserve"> o </w:t>
      </w:r>
      <w:proofErr w:type="spellStart"/>
      <w:r>
        <w:rPr>
          <w:lang w:val="en-US"/>
        </w:rPr>
        <w:t>metodologiji</w:t>
      </w:r>
      <w:proofErr w:type="spellEnd"/>
      <w:r>
        <w:rPr>
          <w:lang w:val="en-US"/>
        </w:rPr>
        <w:t xml:space="preserve"> COFOG je v </w:t>
      </w:r>
      <w:proofErr w:type="spellStart"/>
      <w:r>
        <w:rPr>
          <w:lang w:val="en-US"/>
        </w:rPr>
        <w:t>opombi</w:t>
      </w:r>
      <w:proofErr w:type="spellEnd"/>
      <w:r>
        <w:rPr>
          <w:lang w:val="en-US"/>
        </w:rPr>
        <w:t xml:space="preserve"> 9.</w:t>
      </w:r>
    </w:p>
  </w:footnote>
  <w:footnote w:id="35">
    <w:p w:rsidR="00754F44" w:rsidRPr="00D7389B" w:rsidRDefault="00754F44">
      <w:pPr>
        <w:pStyle w:val="Sprotnaopomba-besedilo"/>
        <w:rPr>
          <w:lang w:val="en-US"/>
        </w:rPr>
      </w:pPr>
      <w:r>
        <w:rPr>
          <w:rStyle w:val="Sprotnaopomba-sklic"/>
        </w:rPr>
        <w:footnoteRef/>
      </w:r>
      <w:r>
        <w:t xml:space="preserve"> </w:t>
      </w:r>
      <w:hyperlink r:id="rId9" w:history="1">
        <w:r w:rsidRPr="00F868DE">
          <w:rPr>
            <w:rStyle w:val="Hiperpovezava"/>
          </w:rPr>
          <w:t xml:space="preserve">Povezava do </w:t>
        </w:r>
        <w:proofErr w:type="spellStart"/>
        <w:r w:rsidRPr="00F868DE">
          <w:rPr>
            <w:rStyle w:val="Hiperpovezava"/>
            <w:lang w:val="en-US"/>
          </w:rPr>
          <w:t>vprašalnikov</w:t>
        </w:r>
        <w:proofErr w:type="spellEnd"/>
        <w:r w:rsidRPr="00F868DE">
          <w:rPr>
            <w:rStyle w:val="Hiperpovezava"/>
            <w:lang w:val="en-US"/>
          </w:rPr>
          <w:t>.</w:t>
        </w:r>
      </w:hyperlink>
      <w:r>
        <w:rPr>
          <w:lang w:val="en-US"/>
        </w:rPr>
        <w:t xml:space="preserve"> </w:t>
      </w:r>
    </w:p>
  </w:footnote>
  <w:footnote w:id="36">
    <w:p w:rsidR="00754F44" w:rsidRDefault="00754F44" w:rsidP="00801DD1">
      <w:pPr>
        <w:pStyle w:val="Sprotnaopomba-besedilo"/>
      </w:pPr>
      <w:r>
        <w:rPr>
          <w:rStyle w:val="Sprotnaopomba-sklic"/>
        </w:rPr>
        <w:footnoteRef/>
      </w:r>
      <w:r>
        <w:t xml:space="preserve"> </w:t>
      </w:r>
      <w:proofErr w:type="spellStart"/>
      <w:r w:rsidRPr="00801DD1">
        <w:t>Aveyard</w:t>
      </w:r>
      <w:proofErr w:type="spellEnd"/>
      <w:r>
        <w:t xml:space="preserve">, </w:t>
      </w:r>
      <w:r w:rsidRPr="00801DD1">
        <w:t xml:space="preserve">Karina </w:t>
      </w:r>
      <w:r>
        <w:t xml:space="preserve">(2016). </w:t>
      </w:r>
      <w:r w:rsidRPr="00E86A78">
        <w:t xml:space="preserve">Film </w:t>
      </w:r>
      <w:proofErr w:type="spellStart"/>
      <w:r w:rsidRPr="00E86A78">
        <w:t>consumption</w:t>
      </w:r>
      <w:proofErr w:type="spellEnd"/>
      <w:r w:rsidRPr="00E86A78">
        <w:t xml:space="preserve"> in the 21st </w:t>
      </w:r>
      <w:proofErr w:type="spellStart"/>
      <w:r w:rsidRPr="00E86A78">
        <w:t>century</w:t>
      </w:r>
      <w:proofErr w:type="spellEnd"/>
      <w:r w:rsidRPr="00E86A78">
        <w:t xml:space="preserve">: </w:t>
      </w:r>
      <w:proofErr w:type="spellStart"/>
      <w:r w:rsidRPr="00E86A78">
        <w:t>engaging</w:t>
      </w:r>
      <w:proofErr w:type="spellEnd"/>
      <w:r w:rsidRPr="00E86A78">
        <w:t xml:space="preserve"> </w:t>
      </w:r>
      <w:proofErr w:type="spellStart"/>
      <w:r w:rsidRPr="00E86A78">
        <w:t>with</w:t>
      </w:r>
      <w:proofErr w:type="spellEnd"/>
      <w:r w:rsidRPr="00E86A78">
        <w:t xml:space="preserve"> non-</w:t>
      </w:r>
      <w:proofErr w:type="spellStart"/>
      <w:r w:rsidRPr="00E86A78">
        <w:t>theatrical</w:t>
      </w:r>
      <w:proofErr w:type="spellEnd"/>
      <w:r w:rsidRPr="00E86A78">
        <w:t xml:space="preserve"> </w:t>
      </w:r>
      <w:proofErr w:type="spellStart"/>
      <w:r w:rsidRPr="00E86A78">
        <w:t>viewing</w:t>
      </w:r>
      <w:proofErr w:type="spellEnd"/>
      <w:r>
        <w:t xml:space="preserve">. </w:t>
      </w:r>
      <w:proofErr w:type="spellStart"/>
      <w:r>
        <w:t>Media</w:t>
      </w:r>
      <w:proofErr w:type="spellEnd"/>
      <w:r>
        <w:t xml:space="preserve"> </w:t>
      </w:r>
      <w:proofErr w:type="spellStart"/>
      <w:r>
        <w:t>International</w:t>
      </w:r>
      <w:proofErr w:type="spellEnd"/>
      <w:r>
        <w:t xml:space="preserve"> </w:t>
      </w:r>
      <w:proofErr w:type="spellStart"/>
      <w:r>
        <w:t>Australia</w:t>
      </w:r>
      <w:proofErr w:type="spellEnd"/>
      <w:r>
        <w:t xml:space="preserve"> 160 (1), str. 140–</w:t>
      </w:r>
    </w:p>
    <w:p w:rsidR="00754F44" w:rsidRDefault="00754F44" w:rsidP="00801DD1">
      <w:pPr>
        <w:pStyle w:val="Sprotnaopomba-besedilo"/>
      </w:pPr>
      <w:r>
        <w:t>149.</w:t>
      </w:r>
    </w:p>
  </w:footnote>
  <w:footnote w:id="37">
    <w:p w:rsidR="00754F44" w:rsidRDefault="00754F44">
      <w:pPr>
        <w:pStyle w:val="Sprotnaopomba-besedilo"/>
      </w:pPr>
      <w:r>
        <w:rPr>
          <w:rStyle w:val="Sprotnaopomba-sklic"/>
        </w:rPr>
        <w:footnoteRef/>
      </w:r>
      <w:r>
        <w:t xml:space="preserve"> AKOS (2017). </w:t>
      </w:r>
      <w:hyperlink r:id="rId10" w:history="1">
        <w:r w:rsidRPr="005E7B29">
          <w:rPr>
            <w:rStyle w:val="Hiperpovezava"/>
          </w:rPr>
          <w:t>Poročilo o razvoju trga elektronskih komunikacij za prvo četrtletje 2017</w:t>
        </w:r>
      </w:hyperlink>
      <w:r>
        <w:t>.</w:t>
      </w:r>
    </w:p>
  </w:footnote>
  <w:footnote w:id="38">
    <w:p w:rsidR="00754F44" w:rsidRPr="000C0478" w:rsidRDefault="00754F44" w:rsidP="000C0478">
      <w:pPr>
        <w:pStyle w:val="Sprotnaopomba-besedilo"/>
      </w:pPr>
      <w:r w:rsidRPr="000C0478">
        <w:rPr>
          <w:rStyle w:val="Sprotnaopomba-sklic"/>
          <w:szCs w:val="16"/>
        </w:rPr>
        <w:footnoteRef/>
      </w:r>
      <w:r w:rsidRPr="000C0478">
        <w:t xml:space="preserve"> </w:t>
      </w:r>
      <w:proofErr w:type="spellStart"/>
      <w:r w:rsidRPr="000C0478">
        <w:rPr>
          <w:lang w:val="en-US"/>
        </w:rPr>
        <w:t>Kljub</w:t>
      </w:r>
      <w:proofErr w:type="spellEnd"/>
      <w:r w:rsidRPr="000C0478">
        <w:rPr>
          <w:lang w:val="en-US"/>
        </w:rPr>
        <w:t xml:space="preserve"> </w:t>
      </w:r>
      <w:proofErr w:type="spellStart"/>
      <w:r w:rsidRPr="000C0478">
        <w:rPr>
          <w:lang w:val="en-US"/>
        </w:rPr>
        <w:t>temu</w:t>
      </w:r>
      <w:proofErr w:type="spellEnd"/>
      <w:r w:rsidRPr="000C0478">
        <w:rPr>
          <w:lang w:val="en-US"/>
        </w:rPr>
        <w:t xml:space="preserve"> pa </w:t>
      </w:r>
      <w:proofErr w:type="spellStart"/>
      <w:r w:rsidRPr="000C0478">
        <w:rPr>
          <w:lang w:val="en-US"/>
        </w:rPr>
        <w:t>na</w:t>
      </w:r>
      <w:proofErr w:type="spellEnd"/>
      <w:r w:rsidRPr="000C0478">
        <w:rPr>
          <w:lang w:val="en-US"/>
        </w:rPr>
        <w:t xml:space="preserve"> </w:t>
      </w:r>
      <w:proofErr w:type="spellStart"/>
      <w:r w:rsidRPr="000C0478">
        <w:rPr>
          <w:lang w:val="en-US"/>
        </w:rPr>
        <w:t>področju</w:t>
      </w:r>
      <w:proofErr w:type="spellEnd"/>
      <w:r w:rsidRPr="000C0478">
        <w:rPr>
          <w:lang w:val="en-US"/>
        </w:rPr>
        <w:t xml:space="preserve"> </w:t>
      </w:r>
      <w:proofErr w:type="spellStart"/>
      <w:r w:rsidRPr="000C0478">
        <w:rPr>
          <w:lang w:val="en-US"/>
        </w:rPr>
        <w:t>povezljivosti</w:t>
      </w:r>
      <w:proofErr w:type="spellEnd"/>
      <w:r w:rsidRPr="000C0478">
        <w:rPr>
          <w:lang w:val="en-US"/>
        </w:rPr>
        <w:t xml:space="preserve"> </w:t>
      </w:r>
      <w:proofErr w:type="spellStart"/>
      <w:r w:rsidRPr="000C0478">
        <w:rPr>
          <w:lang w:val="en-US"/>
        </w:rPr>
        <w:t>še</w:t>
      </w:r>
      <w:proofErr w:type="spellEnd"/>
      <w:r w:rsidRPr="000C0478">
        <w:rPr>
          <w:lang w:val="en-US"/>
        </w:rPr>
        <w:t xml:space="preserve"> </w:t>
      </w:r>
      <w:proofErr w:type="spellStart"/>
      <w:r w:rsidRPr="000C0478">
        <w:rPr>
          <w:lang w:val="en-US"/>
        </w:rPr>
        <w:t>ne</w:t>
      </w:r>
      <w:proofErr w:type="spellEnd"/>
      <w:r w:rsidRPr="000C0478">
        <w:rPr>
          <w:lang w:val="en-US"/>
        </w:rPr>
        <w:t xml:space="preserve"> </w:t>
      </w:r>
      <w:proofErr w:type="spellStart"/>
      <w:r w:rsidRPr="000C0478">
        <w:rPr>
          <w:lang w:val="en-US"/>
        </w:rPr>
        <w:t>dosegamo</w:t>
      </w:r>
      <w:proofErr w:type="spellEnd"/>
      <w:r w:rsidRPr="000C0478">
        <w:rPr>
          <w:lang w:val="en-US"/>
        </w:rPr>
        <w:t xml:space="preserve"> </w:t>
      </w:r>
      <w:proofErr w:type="spellStart"/>
      <w:r w:rsidRPr="000C0478">
        <w:rPr>
          <w:lang w:val="en-US"/>
        </w:rPr>
        <w:t>evropskega</w:t>
      </w:r>
      <w:proofErr w:type="spellEnd"/>
      <w:r w:rsidRPr="000C0478">
        <w:rPr>
          <w:lang w:val="en-US"/>
        </w:rPr>
        <w:t xml:space="preserve"> </w:t>
      </w:r>
      <w:proofErr w:type="spellStart"/>
      <w:r w:rsidRPr="000C0478">
        <w:rPr>
          <w:lang w:val="en-US"/>
        </w:rPr>
        <w:t>povprečja</w:t>
      </w:r>
      <w:proofErr w:type="spellEnd"/>
      <w:r w:rsidRPr="000C0478">
        <w:rPr>
          <w:lang w:val="en-US"/>
        </w:rPr>
        <w:t xml:space="preserve">. V </w:t>
      </w:r>
      <w:proofErr w:type="spellStart"/>
      <w:r w:rsidRPr="000C0478">
        <w:rPr>
          <w:lang w:val="en-US"/>
        </w:rPr>
        <w:t>Sloveniji</w:t>
      </w:r>
      <w:proofErr w:type="spellEnd"/>
      <w:r w:rsidRPr="000C0478">
        <w:rPr>
          <w:lang w:val="en-US"/>
        </w:rPr>
        <w:t xml:space="preserve"> </w:t>
      </w:r>
      <w:proofErr w:type="spellStart"/>
      <w:r w:rsidRPr="000C0478">
        <w:rPr>
          <w:lang w:val="en-US"/>
        </w:rPr>
        <w:t>ima</w:t>
      </w:r>
      <w:proofErr w:type="spellEnd"/>
      <w:r w:rsidRPr="000C0478">
        <w:rPr>
          <w:lang w:val="en-US"/>
        </w:rPr>
        <w:t xml:space="preserve"> </w:t>
      </w:r>
      <w:proofErr w:type="spellStart"/>
      <w:r w:rsidRPr="000C0478">
        <w:rPr>
          <w:lang w:val="en-US"/>
        </w:rPr>
        <w:t>mobilno</w:t>
      </w:r>
      <w:proofErr w:type="spellEnd"/>
      <w:r w:rsidRPr="000C0478">
        <w:rPr>
          <w:lang w:val="en-US"/>
        </w:rPr>
        <w:t xml:space="preserve"> </w:t>
      </w:r>
      <w:proofErr w:type="spellStart"/>
      <w:r w:rsidRPr="000C0478">
        <w:rPr>
          <w:lang w:val="en-US"/>
        </w:rPr>
        <w:t>širokopasovno</w:t>
      </w:r>
      <w:proofErr w:type="spellEnd"/>
      <w:r w:rsidRPr="000C0478">
        <w:rPr>
          <w:lang w:val="en-US"/>
        </w:rPr>
        <w:t xml:space="preserve"> </w:t>
      </w:r>
      <w:proofErr w:type="spellStart"/>
      <w:r w:rsidRPr="000C0478">
        <w:rPr>
          <w:lang w:val="en-US"/>
        </w:rPr>
        <w:t>omrežje</w:t>
      </w:r>
      <w:proofErr w:type="spellEnd"/>
      <w:r w:rsidRPr="000C0478">
        <w:rPr>
          <w:lang w:val="en-US"/>
        </w:rPr>
        <w:t xml:space="preserve"> 57 % </w:t>
      </w:r>
      <w:proofErr w:type="spellStart"/>
      <w:r w:rsidRPr="000C0478">
        <w:rPr>
          <w:lang w:val="en-US"/>
        </w:rPr>
        <w:t>naročnikov</w:t>
      </w:r>
      <w:proofErr w:type="spellEnd"/>
      <w:r w:rsidRPr="000C0478">
        <w:rPr>
          <w:lang w:val="en-US"/>
        </w:rPr>
        <w:t xml:space="preserve"> v </w:t>
      </w:r>
      <w:proofErr w:type="spellStart"/>
      <w:r w:rsidRPr="000C0478">
        <w:rPr>
          <w:lang w:val="en-US"/>
        </w:rPr>
        <w:t>primerjavi</w:t>
      </w:r>
      <w:proofErr w:type="spellEnd"/>
      <w:r w:rsidRPr="000C0478">
        <w:rPr>
          <w:lang w:val="en-US"/>
        </w:rPr>
        <w:t xml:space="preserve"> s </w:t>
      </w:r>
      <w:proofErr w:type="spellStart"/>
      <w:r w:rsidRPr="000C0478">
        <w:rPr>
          <w:lang w:val="en-US"/>
        </w:rPr>
        <w:t>povprečjem</w:t>
      </w:r>
      <w:proofErr w:type="spellEnd"/>
      <w:r w:rsidRPr="000C0478">
        <w:rPr>
          <w:lang w:val="en-US"/>
        </w:rPr>
        <w:t xml:space="preserve"> EU, </w:t>
      </w:r>
      <w:proofErr w:type="spellStart"/>
      <w:r w:rsidRPr="000C0478">
        <w:rPr>
          <w:lang w:val="en-US"/>
        </w:rPr>
        <w:t>ki</w:t>
      </w:r>
      <w:proofErr w:type="spellEnd"/>
      <w:r w:rsidRPr="000C0478">
        <w:rPr>
          <w:lang w:val="en-US"/>
        </w:rPr>
        <w:t xml:space="preserve"> </w:t>
      </w:r>
      <w:proofErr w:type="spellStart"/>
      <w:r w:rsidRPr="000C0478">
        <w:rPr>
          <w:lang w:val="en-US"/>
        </w:rPr>
        <w:t>znaša</w:t>
      </w:r>
      <w:proofErr w:type="spellEnd"/>
      <w:r w:rsidRPr="000C0478">
        <w:rPr>
          <w:lang w:val="en-US"/>
        </w:rPr>
        <w:t xml:space="preserve"> 84 %, </w:t>
      </w:r>
      <w:proofErr w:type="spellStart"/>
      <w:r w:rsidRPr="000C0478">
        <w:rPr>
          <w:lang w:val="en-US"/>
        </w:rPr>
        <w:t>fiksno</w:t>
      </w:r>
      <w:proofErr w:type="spellEnd"/>
      <w:r w:rsidRPr="000C0478">
        <w:rPr>
          <w:lang w:val="en-US"/>
        </w:rPr>
        <w:t xml:space="preserve"> </w:t>
      </w:r>
      <w:proofErr w:type="spellStart"/>
      <w:r w:rsidRPr="000C0478">
        <w:rPr>
          <w:lang w:val="en-US"/>
        </w:rPr>
        <w:t>širokopasovno</w:t>
      </w:r>
      <w:proofErr w:type="spellEnd"/>
      <w:r w:rsidRPr="000C0478">
        <w:rPr>
          <w:lang w:val="en-US"/>
        </w:rPr>
        <w:t xml:space="preserve"> </w:t>
      </w:r>
      <w:proofErr w:type="spellStart"/>
      <w:r w:rsidRPr="000C0478">
        <w:rPr>
          <w:lang w:val="en-US"/>
        </w:rPr>
        <w:t>omrežje</w:t>
      </w:r>
      <w:proofErr w:type="spellEnd"/>
      <w:r w:rsidRPr="000C0478">
        <w:rPr>
          <w:lang w:val="en-US"/>
        </w:rPr>
        <w:t xml:space="preserve"> s </w:t>
      </w:r>
      <w:proofErr w:type="spellStart"/>
      <w:r w:rsidRPr="000C0478">
        <w:rPr>
          <w:lang w:val="en-US"/>
        </w:rPr>
        <w:t>hitrostjo</w:t>
      </w:r>
      <w:proofErr w:type="spellEnd"/>
      <w:r w:rsidRPr="000C0478">
        <w:rPr>
          <w:lang w:val="en-US"/>
        </w:rPr>
        <w:t xml:space="preserve"> </w:t>
      </w:r>
      <w:proofErr w:type="spellStart"/>
      <w:r w:rsidRPr="000C0478">
        <w:rPr>
          <w:lang w:val="en-US"/>
        </w:rPr>
        <w:t>nad</w:t>
      </w:r>
      <w:proofErr w:type="spellEnd"/>
      <w:r w:rsidRPr="000C0478">
        <w:rPr>
          <w:lang w:val="en-US"/>
        </w:rPr>
        <w:t xml:space="preserve"> 30 Mb/s pa 24 %, v </w:t>
      </w:r>
      <w:proofErr w:type="spellStart"/>
      <w:r w:rsidRPr="000C0478">
        <w:rPr>
          <w:lang w:val="en-US"/>
        </w:rPr>
        <w:t>primerjavi</w:t>
      </w:r>
      <w:proofErr w:type="spellEnd"/>
      <w:r w:rsidRPr="000C0478">
        <w:rPr>
          <w:lang w:val="en-US"/>
        </w:rPr>
        <w:t xml:space="preserve"> s </w:t>
      </w:r>
      <w:proofErr w:type="spellStart"/>
      <w:r w:rsidRPr="000C0478">
        <w:rPr>
          <w:lang w:val="en-US"/>
        </w:rPr>
        <w:t>povprečjem</w:t>
      </w:r>
      <w:proofErr w:type="spellEnd"/>
      <w:r w:rsidRPr="000C0478">
        <w:rPr>
          <w:lang w:val="en-US"/>
        </w:rPr>
        <w:t xml:space="preserve"> EU, </w:t>
      </w:r>
      <w:proofErr w:type="spellStart"/>
      <w:r w:rsidRPr="000C0478">
        <w:rPr>
          <w:lang w:val="en-US"/>
        </w:rPr>
        <w:t>ki</w:t>
      </w:r>
      <w:proofErr w:type="spellEnd"/>
      <w:r w:rsidRPr="000C0478">
        <w:rPr>
          <w:lang w:val="en-US"/>
        </w:rPr>
        <w:t xml:space="preserve"> je 37 % (</w:t>
      </w:r>
      <w:proofErr w:type="spellStart"/>
      <w:r>
        <w:fldChar w:fldCharType="begin"/>
      </w:r>
      <w:r>
        <w:instrText xml:space="preserve"> HYPERLINK "https://ec.europa.eu/digital-single-market/en/news/europes-digital-progress-report-2017" </w:instrText>
      </w:r>
      <w:r>
        <w:fldChar w:fldCharType="separate"/>
      </w:r>
      <w:r w:rsidRPr="000C0478">
        <w:rPr>
          <w:rStyle w:val="Hiperpovezava"/>
          <w:lang w:val="en-US"/>
        </w:rPr>
        <w:t>Poročilo</w:t>
      </w:r>
      <w:proofErr w:type="spellEnd"/>
      <w:r w:rsidRPr="000C0478">
        <w:rPr>
          <w:rStyle w:val="Hiperpovezava"/>
          <w:lang w:val="en-US"/>
        </w:rPr>
        <w:t xml:space="preserve"> o </w:t>
      </w:r>
      <w:proofErr w:type="spellStart"/>
      <w:r w:rsidRPr="000C0478">
        <w:rPr>
          <w:rStyle w:val="Hiperpovezava"/>
          <w:lang w:val="en-US"/>
        </w:rPr>
        <w:t>digitalnem</w:t>
      </w:r>
      <w:proofErr w:type="spellEnd"/>
      <w:r w:rsidRPr="000C0478">
        <w:rPr>
          <w:rStyle w:val="Hiperpovezava"/>
          <w:lang w:val="en-US"/>
        </w:rPr>
        <w:t xml:space="preserve"> </w:t>
      </w:r>
      <w:proofErr w:type="spellStart"/>
      <w:r w:rsidRPr="000C0478">
        <w:rPr>
          <w:rStyle w:val="Hiperpovezava"/>
          <w:lang w:val="en-US"/>
        </w:rPr>
        <w:t>napredku</w:t>
      </w:r>
      <w:proofErr w:type="spellEnd"/>
      <w:r w:rsidRPr="000C0478">
        <w:rPr>
          <w:rStyle w:val="Hiperpovezava"/>
          <w:lang w:val="en-US"/>
        </w:rPr>
        <w:t xml:space="preserve"> v </w:t>
      </w:r>
      <w:proofErr w:type="spellStart"/>
      <w:r w:rsidRPr="000C0478">
        <w:rPr>
          <w:rStyle w:val="Hiperpovezava"/>
          <w:lang w:val="en-US"/>
        </w:rPr>
        <w:t>Evropi</w:t>
      </w:r>
      <w:proofErr w:type="spellEnd"/>
      <w:r w:rsidRPr="000C0478">
        <w:rPr>
          <w:rStyle w:val="Hiperpovezava"/>
          <w:lang w:val="en-US"/>
        </w:rPr>
        <w:t xml:space="preserve"> (EDPR) </w:t>
      </w:r>
      <w:proofErr w:type="spellStart"/>
      <w:r w:rsidRPr="000C0478">
        <w:rPr>
          <w:rStyle w:val="Hiperpovezava"/>
          <w:lang w:val="en-US"/>
        </w:rPr>
        <w:t>za</w:t>
      </w:r>
      <w:proofErr w:type="spellEnd"/>
      <w:r w:rsidRPr="000C0478">
        <w:rPr>
          <w:rStyle w:val="Hiperpovezava"/>
          <w:lang w:val="en-US"/>
        </w:rPr>
        <w:t xml:space="preserve"> </w:t>
      </w:r>
      <w:proofErr w:type="spellStart"/>
      <w:r w:rsidRPr="000C0478">
        <w:rPr>
          <w:rStyle w:val="Hiperpovezava"/>
          <w:lang w:val="en-US"/>
        </w:rPr>
        <w:t>leto</w:t>
      </w:r>
      <w:proofErr w:type="spellEnd"/>
      <w:r w:rsidRPr="000C0478">
        <w:rPr>
          <w:rStyle w:val="Hiperpovezava"/>
          <w:lang w:val="en-US"/>
        </w:rPr>
        <w:t xml:space="preserve"> 2017.</w:t>
      </w:r>
      <w:r>
        <w:rPr>
          <w:rStyle w:val="Hiperpovezava"/>
          <w:lang w:val="en-US"/>
        </w:rPr>
        <w:fldChar w:fldCharType="end"/>
      </w:r>
      <w:r w:rsidRPr="000C0478">
        <w:rPr>
          <w:lang w:val="en-US"/>
        </w:rPr>
        <w:t xml:space="preserve"> </w:t>
      </w:r>
      <w:proofErr w:type="spellStart"/>
      <w:r w:rsidRPr="000C0478">
        <w:rPr>
          <w:lang w:val="en-US"/>
        </w:rPr>
        <w:t>Profil</w:t>
      </w:r>
      <w:proofErr w:type="spellEnd"/>
      <w:r w:rsidRPr="000C0478">
        <w:rPr>
          <w:lang w:val="en-US"/>
        </w:rPr>
        <w:t xml:space="preserve"> </w:t>
      </w:r>
      <w:proofErr w:type="spellStart"/>
      <w:r w:rsidRPr="000C0478">
        <w:rPr>
          <w:lang w:val="en-US"/>
        </w:rPr>
        <w:t>države</w:t>
      </w:r>
      <w:proofErr w:type="spellEnd"/>
      <w:r w:rsidRPr="000C0478">
        <w:rPr>
          <w:lang w:val="en-US"/>
        </w:rPr>
        <w:t xml:space="preserve"> </w:t>
      </w:r>
      <w:proofErr w:type="spellStart"/>
      <w:r w:rsidRPr="000C0478">
        <w:rPr>
          <w:lang w:val="en-US"/>
        </w:rPr>
        <w:t>Slovenije</w:t>
      </w:r>
      <w:proofErr w:type="spellEnd"/>
      <w:r w:rsidRPr="000C0478">
        <w:rPr>
          <w:lang w:val="en-US"/>
        </w:rPr>
        <w:t>, str. 3.)</w:t>
      </w:r>
    </w:p>
  </w:footnote>
  <w:footnote w:id="39">
    <w:p w:rsidR="00754F44" w:rsidRPr="000C0478" w:rsidRDefault="00754F44">
      <w:pPr>
        <w:pStyle w:val="Sprotnaopomba-besedilo"/>
        <w:rPr>
          <w:lang w:val="en-US"/>
        </w:rPr>
      </w:pPr>
      <w:r>
        <w:rPr>
          <w:rStyle w:val="Sprotnaopomba-sklic"/>
        </w:rPr>
        <w:footnoteRef/>
      </w:r>
      <w:r>
        <w:t xml:space="preserve"> </w:t>
      </w:r>
      <w:r>
        <w:rPr>
          <w:lang w:val="en-US"/>
        </w:rPr>
        <w:t xml:space="preserve">SURS (2016). </w:t>
      </w:r>
      <w:hyperlink r:id="rId11" w:history="1">
        <w:proofErr w:type="spellStart"/>
        <w:r w:rsidRPr="000C0478">
          <w:rPr>
            <w:rStyle w:val="Hiperpovezava"/>
            <w:lang w:val="en-US"/>
          </w:rPr>
          <w:t>Uporaba</w:t>
        </w:r>
        <w:proofErr w:type="spellEnd"/>
        <w:r w:rsidRPr="000C0478">
          <w:rPr>
            <w:rStyle w:val="Hiperpovezava"/>
            <w:lang w:val="en-US"/>
          </w:rPr>
          <w:t xml:space="preserve"> </w:t>
        </w:r>
        <w:proofErr w:type="spellStart"/>
        <w:r w:rsidRPr="000C0478">
          <w:rPr>
            <w:rStyle w:val="Hiperpovezava"/>
            <w:lang w:val="en-US"/>
          </w:rPr>
          <w:t>interneta</w:t>
        </w:r>
        <w:proofErr w:type="spellEnd"/>
        <w:r w:rsidRPr="000C0478">
          <w:rPr>
            <w:rStyle w:val="Hiperpovezava"/>
            <w:lang w:val="en-US"/>
          </w:rPr>
          <w:t xml:space="preserve"> v </w:t>
        </w:r>
        <w:proofErr w:type="spellStart"/>
        <w:r w:rsidRPr="000C0478">
          <w:rPr>
            <w:rStyle w:val="Hiperpovezava"/>
            <w:lang w:val="en-US"/>
          </w:rPr>
          <w:t>gospodinjstvih</w:t>
        </w:r>
        <w:proofErr w:type="spellEnd"/>
        <w:r w:rsidRPr="000C0478">
          <w:rPr>
            <w:rStyle w:val="Hiperpovezava"/>
            <w:lang w:val="en-US"/>
          </w:rPr>
          <w:t xml:space="preserve"> in </w:t>
        </w:r>
        <w:proofErr w:type="spellStart"/>
        <w:r w:rsidRPr="000C0478">
          <w:rPr>
            <w:rStyle w:val="Hiperpovezava"/>
            <w:lang w:val="en-US"/>
          </w:rPr>
          <w:t>pri</w:t>
        </w:r>
        <w:proofErr w:type="spellEnd"/>
        <w:r w:rsidRPr="000C0478">
          <w:rPr>
            <w:rStyle w:val="Hiperpovezava"/>
            <w:lang w:val="en-US"/>
          </w:rPr>
          <w:t xml:space="preserve"> </w:t>
        </w:r>
        <w:proofErr w:type="spellStart"/>
        <w:r w:rsidRPr="000C0478">
          <w:rPr>
            <w:rStyle w:val="Hiperpovezava"/>
            <w:lang w:val="en-US"/>
          </w:rPr>
          <w:t>posameznikih</w:t>
        </w:r>
        <w:proofErr w:type="spellEnd"/>
        <w:r w:rsidRPr="000C0478">
          <w:rPr>
            <w:rStyle w:val="Hiperpovezava"/>
            <w:lang w:val="en-US"/>
          </w:rPr>
          <w:t>.</w:t>
        </w:r>
      </w:hyperlink>
    </w:p>
  </w:footnote>
  <w:footnote w:id="40">
    <w:p w:rsidR="00754F44" w:rsidRDefault="00754F44" w:rsidP="0029550A">
      <w:pPr>
        <w:pStyle w:val="Sprotnaopomba-besedilo"/>
      </w:pPr>
      <w:r>
        <w:rPr>
          <w:rStyle w:val="Sprotnaopomba-sklic"/>
        </w:rPr>
        <w:footnoteRef/>
      </w:r>
      <w:r>
        <w:t xml:space="preserve"> Ključ je torej posameznikov poklic in ne dejavnost, v kateri ga opravlja, zato so upoštevani tudi npr. takšni primeri: industrijska oblikovalka v oddelku za razvoj v avtomobilski industriji, novinarka v oddelku za stike z javnostmi v finančnem podjetju, prevajalec v farmacevtski družbi, krajinska arhitektka v gradbeniškem podjetju, itn.</w:t>
      </w:r>
    </w:p>
  </w:footnote>
  <w:footnote w:id="41">
    <w:p w:rsidR="00754F44" w:rsidRDefault="00754F44" w:rsidP="0029550A">
      <w:pPr>
        <w:pStyle w:val="Sprotnaopomba-besedilo"/>
      </w:pPr>
      <w:r>
        <w:rPr>
          <w:rStyle w:val="Sprotnaopomba-sklic"/>
        </w:rPr>
        <w:footnoteRef/>
      </w:r>
      <w:r>
        <w:t xml:space="preserve"> Ključ je dejavnost, v kateri j e posameznik zaposlen in ne vrsta njegovega poklica, zato so upoštevani tudi npr. takšni primeri: računovodja v knjižnici, računalniška inženirka v arhitekturnem biroju itn.</w:t>
      </w:r>
    </w:p>
  </w:footnote>
  <w:footnote w:id="42">
    <w:p w:rsidR="00754F44" w:rsidRPr="00B176CA" w:rsidRDefault="00754F44" w:rsidP="0029550A">
      <w:pPr>
        <w:pStyle w:val="Sprotnaopomba-besedilo"/>
        <w:rPr>
          <w:szCs w:val="16"/>
        </w:rPr>
      </w:pPr>
      <w:r>
        <w:rPr>
          <w:rStyle w:val="Sprotnaopomba-sklic"/>
        </w:rPr>
        <w:footnoteRef/>
      </w:r>
      <w:r>
        <w:t xml:space="preserve"> </w:t>
      </w:r>
      <w:r w:rsidRPr="00B176CA">
        <w:rPr>
          <w:szCs w:val="16"/>
        </w:rPr>
        <w:t xml:space="preserve">Statistično zaupen podatek je </w:t>
      </w:r>
      <w:r>
        <w:rPr>
          <w:szCs w:val="16"/>
        </w:rPr>
        <w:t>tisti</w:t>
      </w:r>
      <w:r w:rsidRPr="00B176CA">
        <w:rPr>
          <w:szCs w:val="16"/>
        </w:rPr>
        <w:t xml:space="preserve">, ki ne </w:t>
      </w:r>
      <w:r>
        <w:rPr>
          <w:szCs w:val="16"/>
        </w:rPr>
        <w:t>presega</w:t>
      </w:r>
      <w:r w:rsidRPr="00B176CA">
        <w:rPr>
          <w:szCs w:val="16"/>
        </w:rPr>
        <w:t xml:space="preserve"> (</w:t>
      </w:r>
      <w:r>
        <w:rPr>
          <w:szCs w:val="16"/>
        </w:rPr>
        <w:t xml:space="preserve">npr. </w:t>
      </w:r>
      <w:r w:rsidRPr="00B176CA">
        <w:rPr>
          <w:szCs w:val="16"/>
        </w:rPr>
        <w:t>številskega) praga statistične zaupnosti</w:t>
      </w:r>
      <w:r>
        <w:rPr>
          <w:szCs w:val="16"/>
        </w:rPr>
        <w:t>, ki je prav tako tajen</w:t>
      </w:r>
      <w:r w:rsidRPr="00B176CA">
        <w:rPr>
          <w:szCs w:val="16"/>
        </w:rPr>
        <w:t xml:space="preserve">. Npr. če je v določeni dejavnosti, manj kot </w:t>
      </w:r>
      <w:r w:rsidRPr="002A0403">
        <w:rPr>
          <w:i/>
          <w:szCs w:val="16"/>
        </w:rPr>
        <w:t>n</w:t>
      </w:r>
      <w:r w:rsidRPr="00B176CA">
        <w:rPr>
          <w:szCs w:val="16"/>
        </w:rPr>
        <w:t xml:space="preserve"> poslovnih subjektov, Statistični urad RS števila zapos</w:t>
      </w:r>
      <w:r>
        <w:rPr>
          <w:szCs w:val="16"/>
        </w:rPr>
        <w:t>lenih v teh subjektih na objavi (tudi, če jih je več sto) in tudi pojasnila čemu ne (razen, da ne presega praga statistične zaupnosti).</w:t>
      </w:r>
    </w:p>
  </w:footnote>
  <w:footnote w:id="43">
    <w:p w:rsidR="00754F44" w:rsidRDefault="00754F44" w:rsidP="0029550A">
      <w:pPr>
        <w:pStyle w:val="Sprotnaopomba-besedilo"/>
      </w:pPr>
      <w:r>
        <w:rPr>
          <w:rStyle w:val="Sprotnaopomba-sklic"/>
        </w:rPr>
        <w:footnoteRef/>
      </w:r>
      <w:r>
        <w:t xml:space="preserve"> Več o statistični zaupnosti glej tukaj: </w:t>
      </w:r>
      <w:r w:rsidRPr="000C693C">
        <w:t>http://www.stat.si/statweb/FundamentalPrinciples/StatConf</w:t>
      </w:r>
    </w:p>
  </w:footnote>
  <w:footnote w:id="44">
    <w:p w:rsidR="00754F44" w:rsidRDefault="00754F44" w:rsidP="0029550A">
      <w:pPr>
        <w:pStyle w:val="Sprotnaopomba-besedilo"/>
      </w:pPr>
      <w:r>
        <w:rPr>
          <w:rStyle w:val="Sprotnaopomba-sklic"/>
        </w:rPr>
        <w:footnoteRef/>
      </w:r>
      <w:r>
        <w:t xml:space="preserve"> </w:t>
      </w:r>
      <w:r w:rsidRPr="00BD6CAF">
        <w:t>Upoštevani zaposleni in samozaposleni</w:t>
      </w:r>
      <w:r>
        <w:t xml:space="preserve"> </w:t>
      </w:r>
      <w:r w:rsidRPr="00BD6CAF">
        <w:t xml:space="preserve">v </w:t>
      </w:r>
      <w:r>
        <w:t xml:space="preserve">dejavnostih iz Standardne klasifikacije dejavnosti, ki jih po priporočilih projekta </w:t>
      </w:r>
      <w:proofErr w:type="spellStart"/>
      <w:r>
        <w:t>ESSnet</w:t>
      </w:r>
      <w:proofErr w:type="spellEnd"/>
      <w:r>
        <w:t xml:space="preserve"> (</w:t>
      </w:r>
      <w:hyperlink r:id="rId12" w:history="1">
        <w:r w:rsidRPr="0037430B">
          <w:rPr>
            <w:rStyle w:val="Hiperpovezava"/>
          </w:rPr>
          <w:t>ESSnet</w:t>
        </w:r>
        <w:r w:rsidRPr="0037430B">
          <w:rPr>
            <w:rStyle w:val="Hiperpovezava"/>
            <w:rFonts w:ascii="Cambria Math" w:hAnsi="Cambria Math" w:cs="Cambria Math"/>
          </w:rPr>
          <w:t>‐</w:t>
        </w:r>
        <w:r w:rsidRPr="0037430B">
          <w:rPr>
            <w:rStyle w:val="Hiperpovezava"/>
          </w:rPr>
          <w:t>CULTURE, European Statistical System Network on Culture, Final Report</w:t>
        </w:r>
      </w:hyperlink>
      <w:r>
        <w:t xml:space="preserve">, 2012, str. 64–67) uvrščamo na področje kulture: </w:t>
      </w:r>
      <w:r w:rsidRPr="00F50D6B">
        <w:rPr>
          <w:i/>
        </w:rPr>
        <w:t xml:space="preserve">izdajanje knjig; izdajanje časopisov; izdajanje revij in druge periodike; izdajanje računalniških iger; dejavnosti v zvezi s filmi, video- in zvočnimi zapisi; radijska in televizijska dejavnost; dejavnost tiskovnih agencij; arhitekturna in urbanistična dejavnost; oblikovanje, </w:t>
      </w:r>
      <w:proofErr w:type="spellStart"/>
      <w:r w:rsidRPr="00F50D6B">
        <w:rPr>
          <w:i/>
        </w:rPr>
        <w:t>aranžerstvo</w:t>
      </w:r>
      <w:proofErr w:type="spellEnd"/>
      <w:r w:rsidRPr="00F50D6B">
        <w:rPr>
          <w:i/>
        </w:rPr>
        <w:t xml:space="preserve">, </w:t>
      </w:r>
      <w:proofErr w:type="spellStart"/>
      <w:r w:rsidRPr="00F50D6B">
        <w:rPr>
          <w:i/>
        </w:rPr>
        <w:t>dekoraterstvo</w:t>
      </w:r>
      <w:proofErr w:type="spellEnd"/>
      <w:r w:rsidRPr="00F50D6B">
        <w:rPr>
          <w:i/>
        </w:rPr>
        <w:t>; izobraževanje, izpopolnjevanje in usposabljanje na področju kulture in umetnosti; kulturne in razvedrilne dejavnosti, dejavnost knjižnic, arhivov, muzejev in druge kulturne dejavnosti</w:t>
      </w:r>
      <w:r>
        <w:rPr>
          <w:i/>
        </w:rPr>
        <w:t xml:space="preserve">, </w:t>
      </w:r>
      <w:r>
        <w:t xml:space="preserve">ne glede na vrsto izobrazbe, </w:t>
      </w:r>
      <w:r w:rsidRPr="00BD6CAF">
        <w:t>ki je lahko</w:t>
      </w:r>
      <w:r>
        <w:t xml:space="preserve"> tudi </w:t>
      </w:r>
      <w:proofErr w:type="spellStart"/>
      <w:r>
        <w:t>nekulturniška</w:t>
      </w:r>
      <w:proofErr w:type="spellEnd"/>
      <w:r>
        <w:t>/neumetniška</w:t>
      </w:r>
      <w:r w:rsidRPr="00BD6CAF">
        <w:t xml:space="preserve"> in zaposleni v drugih dejavnostih, ki imajo </w:t>
      </w:r>
      <w:r>
        <w:t>izobrazbo</w:t>
      </w:r>
      <w:r w:rsidRPr="00BD6CAF">
        <w:t xml:space="preserve"> s področja kulture oz umetnosti.</w:t>
      </w:r>
      <w:r>
        <w:t xml:space="preserve"> Več na povezavi: </w:t>
      </w:r>
      <w:r w:rsidRPr="00C61230">
        <w:t>http://ec.europa.eu/eurostat/statistics-explained/index.php/Culture_statistics_-_cultural_employment#Data_sources_and_availability</w:t>
      </w:r>
    </w:p>
  </w:footnote>
  <w:footnote w:id="45">
    <w:p w:rsidR="00754F44" w:rsidRDefault="00754F44">
      <w:pPr>
        <w:pStyle w:val="Sprotnaopomba-besedilo"/>
      </w:pPr>
      <w:r>
        <w:rPr>
          <w:rStyle w:val="Sprotnaopomba-sklic"/>
        </w:rPr>
        <w:footnoteRef/>
      </w:r>
      <w:r>
        <w:t xml:space="preserve"> </w:t>
      </w:r>
      <w:hyperlink r:id="rId13" w:history="1">
        <w:proofErr w:type="spellStart"/>
        <w:r w:rsidRPr="006025F6">
          <w:rPr>
            <w:rStyle w:val="Hiperpovezava"/>
          </w:rPr>
          <w:t>Culture</w:t>
        </w:r>
        <w:proofErr w:type="spellEnd"/>
        <w:r w:rsidRPr="006025F6">
          <w:rPr>
            <w:rStyle w:val="Hiperpovezava"/>
          </w:rPr>
          <w:t xml:space="preserve"> </w:t>
        </w:r>
        <w:proofErr w:type="spellStart"/>
        <w:r w:rsidRPr="006025F6">
          <w:rPr>
            <w:rStyle w:val="Hiperpovezava"/>
          </w:rPr>
          <w:t>Statistics</w:t>
        </w:r>
        <w:proofErr w:type="spellEnd"/>
        <w:r w:rsidRPr="006025F6">
          <w:rPr>
            <w:rStyle w:val="Hiperpovezava"/>
          </w:rPr>
          <w:t xml:space="preserve">, 2016 </w:t>
        </w:r>
        <w:proofErr w:type="spellStart"/>
        <w:r w:rsidRPr="006025F6">
          <w:rPr>
            <w:rStyle w:val="Hiperpovezava"/>
          </w:rPr>
          <w:t>Edition</w:t>
        </w:r>
        <w:proofErr w:type="spellEnd"/>
        <w:r w:rsidRPr="006025F6">
          <w:rPr>
            <w:rStyle w:val="Hiperpovezava"/>
          </w:rPr>
          <w:t xml:space="preserve"> (2016). Luxembourg: </w:t>
        </w:r>
        <w:proofErr w:type="spellStart"/>
        <w:r w:rsidRPr="006025F6">
          <w:rPr>
            <w:rStyle w:val="Hiperpovezava"/>
          </w:rPr>
          <w:t>Publications</w:t>
        </w:r>
        <w:proofErr w:type="spellEnd"/>
        <w:r w:rsidRPr="006025F6">
          <w:rPr>
            <w:rStyle w:val="Hiperpovezava"/>
          </w:rPr>
          <w:t xml:space="preserve"> Office of the </w:t>
        </w:r>
        <w:proofErr w:type="spellStart"/>
        <w:r w:rsidRPr="006025F6">
          <w:rPr>
            <w:rStyle w:val="Hiperpovezava"/>
          </w:rPr>
          <w:t>European</w:t>
        </w:r>
        <w:proofErr w:type="spellEnd"/>
        <w:r w:rsidRPr="006025F6">
          <w:rPr>
            <w:rStyle w:val="Hiperpovezava"/>
          </w:rPr>
          <w:t xml:space="preserve"> Union.</w:t>
        </w:r>
      </w:hyperlink>
      <w:r>
        <w:t xml:space="preserve"> </w:t>
      </w:r>
    </w:p>
  </w:footnote>
  <w:footnote w:id="46">
    <w:p w:rsidR="00754F44" w:rsidRDefault="00754F44" w:rsidP="0029550A">
      <w:pPr>
        <w:pStyle w:val="Sprotnaopomba-besedilo"/>
      </w:pPr>
      <w:r>
        <w:rPr>
          <w:rStyle w:val="Sprotnaopomba-sklic"/>
        </w:rPr>
        <w:footnoteRef/>
      </w:r>
      <w:r>
        <w:t xml:space="preserve"> </w:t>
      </w:r>
      <w:r w:rsidRPr="006E4232">
        <w:t xml:space="preserve">Vir: </w:t>
      </w:r>
      <w:r>
        <w:t xml:space="preserve">podatki iz mednarodne Ankete o delovni sili: </w:t>
      </w:r>
      <w:r w:rsidRPr="006E4232">
        <w:t>http://ec.europa.eu/eurostat/web/culture/cultural-employment/data/database</w:t>
      </w:r>
      <w:r>
        <w:t>.</w:t>
      </w:r>
    </w:p>
  </w:footnote>
  <w:footnote w:id="47">
    <w:p w:rsidR="00754F44" w:rsidRDefault="00754F44" w:rsidP="0029550A">
      <w:pPr>
        <w:pStyle w:val="Sprotnaopomba-besedilo"/>
      </w:pPr>
      <w:r>
        <w:rPr>
          <w:rStyle w:val="Sprotnaopomba-sklic"/>
        </w:rPr>
        <w:footnoteRef/>
      </w:r>
      <w:r>
        <w:t xml:space="preserve"> Ti dve skupini Standardne klasifikacije poklicev – SKP-08 zajemata naslednje poklice: v skupini 264 z imenom »pisatelji, novinarji in jezikoslovci« so poleg njih tudi kritiki, dramaturgi, scenaristi, prevajalci, tolmači ipd.; v skupini 265 »umetniški ustvarjalci, poustvarjalci« pa so vizualni umetniki, glasbeniki, pevci, skladatelji, plesalci, koreografi, igralci, režiserji, producenti, napovedovalci, </w:t>
      </w:r>
      <w:proofErr w:type="spellStart"/>
      <w:r>
        <w:t>stand</w:t>
      </w:r>
      <w:proofErr w:type="spellEnd"/>
      <w:r>
        <w:t xml:space="preserve">-up komedijanti itd. Podrobnejši pregled poklicev je na voljo v kodirnih seznamih Standardne klasifikacije poklicev, npr. </w:t>
      </w:r>
      <w:hyperlink r:id="rId14" w:history="1">
        <w:r w:rsidRPr="005A583C">
          <w:rPr>
            <w:rStyle w:val="Hiperpovezava"/>
          </w:rPr>
          <w:t>tukaj</w:t>
        </w:r>
      </w:hyperlink>
      <w:r>
        <w:t xml:space="preserve">. </w:t>
      </w:r>
    </w:p>
  </w:footnote>
  <w:footnote w:id="48">
    <w:p w:rsidR="00754F44" w:rsidRDefault="00754F44" w:rsidP="0029550A">
      <w:pPr>
        <w:pStyle w:val="Sprotnaopomba-besedilo"/>
      </w:pPr>
      <w:r>
        <w:rPr>
          <w:rStyle w:val="Sprotnaopomba-sklic"/>
        </w:rPr>
        <w:footnoteRef/>
      </w:r>
      <w:r>
        <w:t xml:space="preserve"> </w:t>
      </w:r>
      <w:proofErr w:type="spellStart"/>
      <w:r w:rsidRPr="006432A6">
        <w:t>Eurostat</w:t>
      </w:r>
      <w:proofErr w:type="spellEnd"/>
      <w:r>
        <w:t xml:space="preserve"> ne pove čemu so manj zanesljivi, le označi jih kot takšne. Glej </w:t>
      </w:r>
      <w:r w:rsidRPr="000B0E65">
        <w:t>grafe</w:t>
      </w:r>
      <w:r>
        <w:t xml:space="preserve"> </w:t>
      </w:r>
      <w:hyperlink r:id="rId15" w:history="1">
        <w:r w:rsidRPr="000B0E65">
          <w:rPr>
            <w:rStyle w:val="Hiperpovezava"/>
          </w:rPr>
          <w:t>tukaj</w:t>
        </w:r>
      </w:hyperlink>
      <w:r>
        <w:t xml:space="preserve"> in datoteko </w:t>
      </w:r>
      <w:hyperlink r:id="rId16" w:history="1">
        <w:r w:rsidRPr="000B0E65">
          <w:rPr>
            <w:rStyle w:val="Hiperpovezava"/>
          </w:rPr>
          <w:t>tukaj</w:t>
        </w:r>
      </w:hyperlink>
      <w:r>
        <w:t>.</w:t>
      </w:r>
    </w:p>
  </w:footnote>
  <w:footnote w:id="49">
    <w:p w:rsidR="00754F44" w:rsidRDefault="00754F44" w:rsidP="0029550A">
      <w:pPr>
        <w:pStyle w:val="Sprotnaopomba-besedilo"/>
      </w:pPr>
      <w:r>
        <w:rPr>
          <w:rStyle w:val="Sprotnaopomba-sklic"/>
        </w:rPr>
        <w:footnoteRef/>
      </w:r>
      <w:r>
        <w:t xml:space="preserve"> Podatki o teh poklicih pred letom 2011 so bili zbrani z drugačno metodologijo, zato referenčno leto ni 2008 (kot prej), temveč 2011.</w:t>
      </w:r>
    </w:p>
  </w:footnote>
  <w:footnote w:id="50">
    <w:p w:rsidR="00754F44" w:rsidRDefault="00754F44" w:rsidP="0029550A">
      <w:pPr>
        <w:pStyle w:val="Sprotnaopomba-besedilo"/>
      </w:pPr>
      <w:r>
        <w:rPr>
          <w:rStyle w:val="Sprotnaopomba-sklic"/>
        </w:rPr>
        <w:footnoteRef/>
      </w:r>
      <w:r>
        <w:t xml:space="preserve"> </w:t>
      </w:r>
      <w:hyperlink r:id="rId17" w:history="1">
        <w:proofErr w:type="spellStart"/>
        <w:r w:rsidRPr="0037430B">
          <w:rPr>
            <w:rStyle w:val="Hiperpovezava"/>
          </w:rPr>
          <w:t>ESSnet</w:t>
        </w:r>
        <w:proofErr w:type="spellEnd"/>
        <w:r w:rsidRPr="0037430B">
          <w:rPr>
            <w:rStyle w:val="Hiperpovezava"/>
            <w:rFonts w:ascii="Cambria Math" w:hAnsi="Cambria Math" w:cs="Cambria Math"/>
          </w:rPr>
          <w:t>‐</w:t>
        </w:r>
        <w:r w:rsidRPr="0037430B">
          <w:rPr>
            <w:rStyle w:val="Hiperpovezava"/>
          </w:rPr>
          <w:t xml:space="preserve">CULTURE, </w:t>
        </w:r>
        <w:proofErr w:type="spellStart"/>
        <w:r w:rsidRPr="0037430B">
          <w:rPr>
            <w:rStyle w:val="Hiperpovezava"/>
          </w:rPr>
          <w:t>European</w:t>
        </w:r>
        <w:proofErr w:type="spellEnd"/>
        <w:r w:rsidRPr="0037430B">
          <w:rPr>
            <w:rStyle w:val="Hiperpovezava"/>
          </w:rPr>
          <w:t xml:space="preserve"> </w:t>
        </w:r>
        <w:proofErr w:type="spellStart"/>
        <w:r w:rsidRPr="0037430B">
          <w:rPr>
            <w:rStyle w:val="Hiperpovezava"/>
          </w:rPr>
          <w:t>Statistical</w:t>
        </w:r>
        <w:proofErr w:type="spellEnd"/>
        <w:r w:rsidRPr="0037430B">
          <w:rPr>
            <w:rStyle w:val="Hiperpovezava"/>
          </w:rPr>
          <w:t xml:space="preserve"> </w:t>
        </w:r>
        <w:proofErr w:type="spellStart"/>
        <w:r w:rsidRPr="0037430B">
          <w:rPr>
            <w:rStyle w:val="Hiperpovezava"/>
          </w:rPr>
          <w:t>System</w:t>
        </w:r>
        <w:proofErr w:type="spellEnd"/>
        <w:r w:rsidRPr="0037430B">
          <w:rPr>
            <w:rStyle w:val="Hiperpovezava"/>
          </w:rPr>
          <w:t xml:space="preserve"> </w:t>
        </w:r>
        <w:proofErr w:type="spellStart"/>
        <w:r w:rsidRPr="0037430B">
          <w:rPr>
            <w:rStyle w:val="Hiperpovezava"/>
          </w:rPr>
          <w:t>Network</w:t>
        </w:r>
        <w:proofErr w:type="spellEnd"/>
        <w:r w:rsidRPr="0037430B">
          <w:rPr>
            <w:rStyle w:val="Hiperpovezava"/>
          </w:rPr>
          <w:t xml:space="preserve"> on </w:t>
        </w:r>
        <w:proofErr w:type="spellStart"/>
        <w:r w:rsidRPr="0037430B">
          <w:rPr>
            <w:rStyle w:val="Hiperpovezava"/>
          </w:rPr>
          <w:t>Culture</w:t>
        </w:r>
        <w:proofErr w:type="spellEnd"/>
        <w:r w:rsidRPr="0037430B">
          <w:rPr>
            <w:rStyle w:val="Hiperpovezava"/>
          </w:rPr>
          <w:t xml:space="preserve">, </w:t>
        </w:r>
        <w:proofErr w:type="spellStart"/>
        <w:r w:rsidRPr="0037430B">
          <w:rPr>
            <w:rStyle w:val="Hiperpovezava"/>
          </w:rPr>
          <w:t>Final</w:t>
        </w:r>
        <w:proofErr w:type="spellEnd"/>
        <w:r w:rsidRPr="0037430B">
          <w:rPr>
            <w:rStyle w:val="Hiperpovezava"/>
          </w:rPr>
          <w:t xml:space="preserve"> </w:t>
        </w:r>
        <w:proofErr w:type="spellStart"/>
        <w:r w:rsidRPr="0037430B">
          <w:rPr>
            <w:rStyle w:val="Hiperpovezava"/>
          </w:rPr>
          <w:t>Report</w:t>
        </w:r>
        <w:proofErr w:type="spellEnd"/>
      </w:hyperlink>
      <w:r>
        <w:t>, 2012, str. 64–67.</w:t>
      </w:r>
    </w:p>
  </w:footnote>
  <w:footnote w:id="51">
    <w:p w:rsidR="00754F44" w:rsidRDefault="00754F44" w:rsidP="0029550A">
      <w:pPr>
        <w:pStyle w:val="Sprotnaopomba-besedilo"/>
      </w:pPr>
      <w:r>
        <w:rPr>
          <w:rStyle w:val="Sprotnaopomba-sklic"/>
        </w:rPr>
        <w:footnoteRef/>
      </w:r>
      <w:r>
        <w:t xml:space="preserve"> To so t.i. mesečni podatki, ki se nanašajo na stanje v zadnjem dnevu koledarskega leta. </w:t>
      </w:r>
      <w:r w:rsidRPr="00DF0DB9">
        <w:t>Obstajajo tudi</w:t>
      </w:r>
      <w:r>
        <w:t xml:space="preserve"> </w:t>
      </w:r>
      <w:r w:rsidRPr="00DF0DB9">
        <w:t>t.i. letni podatki , ki so povprečje mesečnih podatkov.</w:t>
      </w:r>
      <w:r>
        <w:t xml:space="preserve"> </w:t>
      </w:r>
    </w:p>
  </w:footnote>
  <w:footnote w:id="52">
    <w:p w:rsidR="00754F44" w:rsidRPr="0038694E" w:rsidRDefault="00754F44" w:rsidP="0029550A">
      <w:pPr>
        <w:pStyle w:val="Sprotnaopomba-besedilo"/>
        <w:rPr>
          <w:lang w:val="en-US"/>
        </w:rPr>
      </w:pPr>
      <w:r>
        <w:rPr>
          <w:rStyle w:val="Sprotnaopomba-sklic"/>
        </w:rPr>
        <w:footnoteRef/>
      </w:r>
      <w:r>
        <w:t xml:space="preserve"> </w:t>
      </w:r>
      <w:proofErr w:type="spellStart"/>
      <w:r>
        <w:rPr>
          <w:lang w:val="en-US"/>
        </w:rPr>
        <w:t>Zvišanje</w:t>
      </w:r>
      <w:proofErr w:type="spellEnd"/>
      <w:r>
        <w:rPr>
          <w:lang w:val="en-US"/>
        </w:rPr>
        <w:t xml:space="preserve"> se </w:t>
      </w:r>
      <w:proofErr w:type="spellStart"/>
      <w:r>
        <w:rPr>
          <w:lang w:val="en-US"/>
        </w:rPr>
        <w:t>nanaša</w:t>
      </w:r>
      <w:proofErr w:type="spellEnd"/>
      <w:r>
        <w:rPr>
          <w:lang w:val="en-US"/>
        </w:rPr>
        <w:t xml:space="preserve"> </w:t>
      </w:r>
      <w:proofErr w:type="spellStart"/>
      <w:r>
        <w:rPr>
          <w:lang w:val="en-US"/>
        </w:rPr>
        <w:t>na</w:t>
      </w:r>
      <w:proofErr w:type="spellEnd"/>
      <w:r>
        <w:rPr>
          <w:lang w:val="en-US"/>
        </w:rPr>
        <w:t xml:space="preserve"> </w:t>
      </w:r>
      <w:proofErr w:type="spellStart"/>
      <w:r>
        <w:rPr>
          <w:lang w:val="en-US"/>
        </w:rPr>
        <w:t>področje</w:t>
      </w:r>
      <w:proofErr w:type="spellEnd"/>
      <w:r>
        <w:rPr>
          <w:lang w:val="en-US"/>
        </w:rPr>
        <w:t xml:space="preserve"> </w:t>
      </w:r>
      <w:proofErr w:type="spellStart"/>
      <w:r>
        <w:rPr>
          <w:lang w:val="en-US"/>
        </w:rPr>
        <w:t>kot</w:t>
      </w:r>
      <w:proofErr w:type="spellEnd"/>
      <w:r>
        <w:rPr>
          <w:lang w:val="en-US"/>
        </w:rPr>
        <w:t xml:space="preserve"> </w:t>
      </w:r>
      <w:proofErr w:type="spellStart"/>
      <w:r>
        <w:rPr>
          <w:lang w:val="en-US"/>
        </w:rPr>
        <w:t>celoto</w:t>
      </w:r>
      <w:proofErr w:type="spellEnd"/>
      <w:r>
        <w:rPr>
          <w:lang w:val="en-US"/>
        </w:rPr>
        <w:t xml:space="preserve"> in ne </w:t>
      </w:r>
      <w:proofErr w:type="spellStart"/>
      <w:r>
        <w:rPr>
          <w:lang w:val="en-US"/>
        </w:rPr>
        <w:t>na</w:t>
      </w:r>
      <w:proofErr w:type="spellEnd"/>
      <w:r>
        <w:rPr>
          <w:lang w:val="en-US"/>
        </w:rPr>
        <w:t xml:space="preserve"> </w:t>
      </w:r>
      <w:proofErr w:type="spellStart"/>
      <w:r>
        <w:rPr>
          <w:lang w:val="en-US"/>
        </w:rPr>
        <w:t>posamezne</w:t>
      </w:r>
      <w:proofErr w:type="spellEnd"/>
      <w:r>
        <w:rPr>
          <w:lang w:val="en-US"/>
        </w:rPr>
        <w:t xml:space="preserve"> </w:t>
      </w:r>
      <w:proofErr w:type="spellStart"/>
      <w:r>
        <w:rPr>
          <w:lang w:val="en-US"/>
        </w:rPr>
        <w:t>dejavnosti</w:t>
      </w:r>
      <w:proofErr w:type="spellEnd"/>
      <w:r>
        <w:rPr>
          <w:lang w:val="en-US"/>
        </w:rPr>
        <w:t xml:space="preserve">, </w:t>
      </w:r>
      <w:proofErr w:type="spellStart"/>
      <w:r>
        <w:rPr>
          <w:lang w:val="en-US"/>
        </w:rPr>
        <w:t>ki</w:t>
      </w:r>
      <w:proofErr w:type="spellEnd"/>
      <w:r>
        <w:rPr>
          <w:lang w:val="en-US"/>
        </w:rPr>
        <w:t xml:space="preserve"> </w:t>
      </w:r>
      <w:proofErr w:type="spellStart"/>
      <w:r>
        <w:rPr>
          <w:lang w:val="en-US"/>
        </w:rPr>
        <w:t>ga</w:t>
      </w:r>
      <w:proofErr w:type="spellEnd"/>
      <w:r>
        <w:rPr>
          <w:lang w:val="en-US"/>
        </w:rPr>
        <w:t xml:space="preserve"> </w:t>
      </w:r>
      <w:proofErr w:type="spellStart"/>
      <w:r>
        <w:rPr>
          <w:lang w:val="en-US"/>
        </w:rPr>
        <w:t>sestavljajo</w:t>
      </w:r>
      <w:proofErr w:type="spellEnd"/>
      <w:r>
        <w:rPr>
          <w:lang w:val="en-US"/>
        </w:rPr>
        <w:t>.</w:t>
      </w:r>
    </w:p>
  </w:footnote>
  <w:footnote w:id="53">
    <w:p w:rsidR="00754F44" w:rsidRDefault="00754F44">
      <w:pPr>
        <w:pStyle w:val="Sprotnaopomba-besedilo"/>
      </w:pPr>
      <w:r>
        <w:rPr>
          <w:rStyle w:val="Sprotnaopomba-sklic"/>
        </w:rPr>
        <w:footnoteRef/>
      </w:r>
      <w:r>
        <w:t xml:space="preserve"> Lahko pa iz letnih podatkov o številu založnikov (glej poglavje … ) sklepamo, da se je število zaposlenih v dejavnosti zmanjšalo in ne povečalo.</w:t>
      </w:r>
    </w:p>
  </w:footnote>
  <w:footnote w:id="54">
    <w:p w:rsidR="00754F44" w:rsidRDefault="00754F44" w:rsidP="0029550A">
      <w:pPr>
        <w:pStyle w:val="Sprotnaopomba-besedilo"/>
      </w:pPr>
      <w:r w:rsidRPr="00CF216A">
        <w:rPr>
          <w:rStyle w:val="Sprotnaopomba-sklic"/>
        </w:rPr>
        <w:footnoteRef/>
      </w:r>
      <w:r w:rsidRPr="00CF216A">
        <w:t xml:space="preserve"> »SKD, Standardna klasifikacija dejavnosti, je slovenski statistični standard za evidentiranje, zbiranje, analiziranje in izkazovanje podatkov, pomembnih za prikaz značilnosti gospodarstva in za spremljanje razvojnih gibanj in strukturnih sprememb. Ta standard se uporablja za razvrščanje poslovnih subjektov in njihovih enot po dejavnosti v različnih statističnih in administrativnih zbirkah podatkov. SKD je bila razvita na osnovi evropske klasifikacije dejavnosti NACE /…/ Evropska uredba o NACE Rev. 2 dopušča državam članicam, da klasifikacijo dodatno členijo za nacionalne potrebe. Statistični urad Republike Slovenije, ki je skrbnik slovenske različice te klasifikacije, je tako pri pripravi SKD 2008 – po razpravi z zainteresirano javnostjo in upoštevajoč potrebe uporabnikov – vanjo uvedel nekatere nacionalne podrazrede (5-mestna raven) v okviru evropskih razredov (4-mestna raven) dejavnosti. Pri tem je vsebina nacionalnih podrazredov skladna z vsebino nadrejenih evropskih razredov, kot to zahteva evropska uredba, saj morajo biti podatki držav članic med seboj primerljivi.« (Statistični urad RS, Standardna klasifikacija dejavnosti 2008, 2010, str. 5)</w:t>
      </w:r>
    </w:p>
  </w:footnote>
  <w:footnote w:id="55">
    <w:p w:rsidR="00754F44" w:rsidRDefault="00754F44" w:rsidP="005B1E59">
      <w:pPr>
        <w:pStyle w:val="Sprotnaopomba-besedilo"/>
      </w:pPr>
      <w:r>
        <w:rPr>
          <w:rStyle w:val="Sprotnaopomba-sklic"/>
        </w:rPr>
        <w:footnoteRef/>
      </w:r>
      <w:r>
        <w:t xml:space="preserve"> Poslovna poročila za leto 2015 je oddalo 95,6 % vseh zavezancev. </w:t>
      </w:r>
      <w:r w:rsidRPr="00D04BF9">
        <w:t xml:space="preserve">Letnih poročil ni treba </w:t>
      </w:r>
      <w:r>
        <w:t>oddati</w:t>
      </w:r>
      <w:r w:rsidRPr="00D04BF9">
        <w:t xml:space="preserve"> samostojnim podjetnikom, ki so obdavčeni na podlagi ugotovljenega dobička z upoštevanjem normiranih odhodkov </w:t>
      </w:r>
      <w:r>
        <w:t>(konec</w:t>
      </w:r>
      <w:r w:rsidRPr="00D04BF9">
        <w:t xml:space="preserve"> leta 2015 je bilo </w:t>
      </w:r>
      <w:r>
        <w:t>teh</w:t>
      </w:r>
      <w:r w:rsidRPr="00D04BF9">
        <w:t xml:space="preserve"> 20.025</w:t>
      </w:r>
      <w:r>
        <w:t xml:space="preserve">) in </w:t>
      </w:r>
      <w:r w:rsidRPr="00D04BF9">
        <w:t>poslovnim subjektom, ki niso ustanovljeni kot pravne osebe oziroma nimajo statusa samostojnega podjetnika</w:t>
      </w:r>
      <w:r>
        <w:t xml:space="preserve"> (npr. </w:t>
      </w:r>
      <w:r w:rsidRPr="00D04BF9">
        <w:t xml:space="preserve">notarji, odvetniki, samostojni zdravstveni delavci, </w:t>
      </w:r>
      <w:r>
        <w:t>samozaposleni v kulturi</w:t>
      </w:r>
      <w:r w:rsidRPr="00D04BF9">
        <w:t xml:space="preserve">, športniki, </w:t>
      </w:r>
      <w:r>
        <w:t xml:space="preserve">samostojni </w:t>
      </w:r>
      <w:r w:rsidRPr="00D04BF9">
        <w:t>no</w:t>
      </w:r>
      <w:r>
        <w:t>vinarji</w:t>
      </w:r>
      <w:r w:rsidRPr="00D04BF9">
        <w:t xml:space="preserve"> </w:t>
      </w:r>
      <w:r>
        <w:t>ter</w:t>
      </w:r>
      <w:r w:rsidRPr="00D04BF9">
        <w:t xml:space="preserve"> nekateri drugi poslovni subjekti in civilna združenja</w:t>
      </w:r>
      <w:r>
        <w:t>)</w:t>
      </w:r>
      <w:r w:rsidRPr="00D04BF9">
        <w:t xml:space="preserve">, ki jih je bilo </w:t>
      </w:r>
      <w:r>
        <w:t xml:space="preserve">konec leta 2015 skupaj 13.005 (Vir: </w:t>
      </w:r>
      <w:hyperlink r:id="rId18" w:history="1">
        <w:r w:rsidRPr="00D04BF9">
          <w:rPr>
            <w:rStyle w:val="Hiperpovezava"/>
          </w:rPr>
          <w:t>Letno poročilo AJPES za leto 2016</w:t>
        </w:r>
      </w:hyperlink>
      <w:r>
        <w:t>, str. 45–46).</w:t>
      </w:r>
    </w:p>
  </w:footnote>
  <w:footnote w:id="56">
    <w:p w:rsidR="00754F44" w:rsidRPr="0049478E" w:rsidRDefault="00754F44" w:rsidP="005B1E59">
      <w:pPr>
        <w:pStyle w:val="Sprotnaopomba-besedilo"/>
        <w:rPr>
          <w:i/>
        </w:rPr>
      </w:pPr>
      <w:r>
        <w:rPr>
          <w:rStyle w:val="Sprotnaopomba-sklic"/>
        </w:rPr>
        <w:footnoteRef/>
      </w:r>
      <w:r>
        <w:t xml:space="preserve"> Upoštevane so dejavnosti </w:t>
      </w:r>
      <w:proofErr w:type="spellStart"/>
      <w:r>
        <w:t>uz</w:t>
      </w:r>
      <w:proofErr w:type="spellEnd"/>
      <w:r>
        <w:t xml:space="preserve"> Standardne klasifikacije dejavnosti,</w:t>
      </w:r>
      <w:r w:rsidRPr="0049478E">
        <w:t xml:space="preserve"> ki jih po priporočilu projekta </w:t>
      </w:r>
      <w:proofErr w:type="spellStart"/>
      <w:r w:rsidRPr="0049478E">
        <w:t>ESSnet</w:t>
      </w:r>
      <w:proofErr w:type="spellEnd"/>
      <w:r w:rsidRPr="0049478E">
        <w:rPr>
          <w:rFonts w:ascii="Cambria Math" w:hAnsi="Cambria Math" w:cs="Cambria Math"/>
        </w:rPr>
        <w:t>‐</w:t>
      </w:r>
      <w:r w:rsidRPr="0049478E">
        <w:t>CULTURE uvr</w:t>
      </w:r>
      <w:r w:rsidRPr="0049478E">
        <w:rPr>
          <w:rFonts w:cs="Arial"/>
        </w:rPr>
        <w:t>šč</w:t>
      </w:r>
      <w:r w:rsidRPr="0049478E">
        <w:t>amo med kulturne (</w:t>
      </w:r>
      <w:proofErr w:type="spellStart"/>
      <w:r w:rsidRPr="0049478E">
        <w:t>ESSnet</w:t>
      </w:r>
      <w:proofErr w:type="spellEnd"/>
      <w:r w:rsidRPr="0049478E">
        <w:rPr>
          <w:rFonts w:ascii="Cambria Math" w:hAnsi="Cambria Math" w:cs="Cambria Math"/>
        </w:rPr>
        <w:t>‐</w:t>
      </w:r>
      <w:r w:rsidRPr="0049478E">
        <w:t xml:space="preserve">CULTURE, </w:t>
      </w:r>
      <w:proofErr w:type="spellStart"/>
      <w:r w:rsidRPr="0049478E">
        <w:t>European</w:t>
      </w:r>
      <w:proofErr w:type="spellEnd"/>
      <w:r w:rsidRPr="0049478E">
        <w:t xml:space="preserve"> </w:t>
      </w:r>
      <w:proofErr w:type="spellStart"/>
      <w:r w:rsidRPr="0049478E">
        <w:t>Statistical</w:t>
      </w:r>
      <w:proofErr w:type="spellEnd"/>
      <w:r w:rsidRPr="0049478E">
        <w:t xml:space="preserve"> </w:t>
      </w:r>
      <w:proofErr w:type="spellStart"/>
      <w:r w:rsidRPr="0049478E">
        <w:t>System</w:t>
      </w:r>
      <w:proofErr w:type="spellEnd"/>
      <w:r w:rsidRPr="0049478E">
        <w:t xml:space="preserve"> </w:t>
      </w:r>
      <w:proofErr w:type="spellStart"/>
      <w:r w:rsidRPr="0049478E">
        <w:t>Network</w:t>
      </w:r>
      <w:proofErr w:type="spellEnd"/>
      <w:r w:rsidRPr="0049478E">
        <w:t xml:space="preserve"> on </w:t>
      </w:r>
      <w:proofErr w:type="spellStart"/>
      <w:r w:rsidRPr="0049478E">
        <w:t>Culture</w:t>
      </w:r>
      <w:proofErr w:type="spellEnd"/>
      <w:r w:rsidRPr="0049478E">
        <w:t xml:space="preserve">, </w:t>
      </w:r>
      <w:proofErr w:type="spellStart"/>
      <w:r w:rsidRPr="0049478E">
        <w:t>Final</w:t>
      </w:r>
      <w:proofErr w:type="spellEnd"/>
      <w:r w:rsidRPr="0049478E">
        <w:t xml:space="preserve"> </w:t>
      </w:r>
      <w:proofErr w:type="spellStart"/>
      <w:r w:rsidRPr="0049478E">
        <w:t>Report</w:t>
      </w:r>
      <w:proofErr w:type="spellEnd"/>
      <w:r w:rsidRPr="0049478E">
        <w:t>, 2012, str. 64</w:t>
      </w:r>
      <w:r w:rsidRPr="0049478E">
        <w:rPr>
          <w:rFonts w:cs="Arial"/>
        </w:rPr>
        <w:t>–</w:t>
      </w:r>
      <w:r w:rsidRPr="0049478E">
        <w:t xml:space="preserve">67.) Seznam dejavnosti je razviden tudi iz tabele </w:t>
      </w:r>
      <w:r w:rsidRPr="000B45A6">
        <w:rPr>
          <w:rFonts w:cs="Arial"/>
          <w:i/>
        </w:rPr>
        <w:t>29</w:t>
      </w:r>
      <w:r w:rsidRPr="0049478E">
        <w:t xml:space="preserve"> </w:t>
      </w:r>
      <w:r w:rsidRPr="0049478E">
        <w:rPr>
          <w:i/>
        </w:rPr>
        <w:t xml:space="preserve">Delovno aktivni v </w:t>
      </w:r>
      <w:r>
        <w:rPr>
          <w:i/>
        </w:rPr>
        <w:t>kulturnih dejavnostih</w:t>
      </w:r>
      <w:r w:rsidRPr="0049478E">
        <w:rPr>
          <w:i/>
        </w:rPr>
        <w:t xml:space="preserve"> po </w:t>
      </w:r>
      <w:r>
        <w:rPr>
          <w:i/>
        </w:rPr>
        <w:t>Statističnem registru delovno aktivnega prebivalstva</w:t>
      </w:r>
      <w:r w:rsidRPr="0049478E">
        <w:rPr>
          <w:i/>
        </w:rPr>
        <w:t xml:space="preserve"> (2008</w:t>
      </w:r>
      <w:r w:rsidRPr="0049478E">
        <w:rPr>
          <w:rFonts w:cs="Arial"/>
          <w:i/>
        </w:rPr>
        <w:t>–</w:t>
      </w:r>
      <w:r w:rsidRPr="0049478E">
        <w:rPr>
          <w:i/>
        </w:rPr>
        <w:t>2015).</w:t>
      </w:r>
    </w:p>
  </w:footnote>
  <w:footnote w:id="57">
    <w:p w:rsidR="00754F44" w:rsidRDefault="00754F44">
      <w:pPr>
        <w:pStyle w:val="Sprotnaopomba-besedilo"/>
      </w:pPr>
      <w:r>
        <w:rPr>
          <w:rStyle w:val="Sprotnaopomba-sklic"/>
        </w:rPr>
        <w:footnoteRef/>
      </w:r>
      <w:r w:rsidRPr="00642FD9">
        <w:t xml:space="preserve">Sem spada: priprava in izvedba gledaliških, opernih ali plesnih predstav, koncertov, lutkovnih predstav ter drugih odrskih prireditev; dejavnost gledaliških in cirkuških skupin, ansamblov, orkestrov ipd.; dejavnost samostojnih umetnikov, kot so igralci, plesalci, glasbeniki, govorniki, predavatelji; dejavnost voditeljev predstav in prireditev, </w:t>
      </w:r>
      <w:proofErr w:type="spellStart"/>
      <w:r w:rsidRPr="00642FD9">
        <w:t>diskdžokejev</w:t>
      </w:r>
      <w:proofErr w:type="spellEnd"/>
      <w:r w:rsidRPr="00642FD9">
        <w:t xml:space="preserve"> (glej str. 179 v Pojasnilih k standardni klasifikaciji dejavnosti – SKD 2008).</w:t>
      </w:r>
    </w:p>
  </w:footnote>
  <w:footnote w:id="58">
    <w:p w:rsidR="00754F44" w:rsidRDefault="00754F44">
      <w:pPr>
        <w:pStyle w:val="Sprotnaopomba-besedilo"/>
      </w:pPr>
      <w:r>
        <w:rPr>
          <w:rStyle w:val="Sprotnaopomba-sklic"/>
        </w:rPr>
        <w:footnoteRef/>
      </w:r>
      <w:r>
        <w:t xml:space="preserve"> Npr. nakup računalniške opreme, pisarniškega materiala ipd., plačilo elektrike, vode, ogrevanja, poštnih storitev itd. </w:t>
      </w:r>
    </w:p>
  </w:footnote>
  <w:footnote w:id="59">
    <w:p w:rsidR="00754F44" w:rsidRDefault="00754F44">
      <w:pPr>
        <w:pStyle w:val="Sprotnaopomba-besedilo"/>
      </w:pPr>
      <w:r>
        <w:rPr>
          <w:rStyle w:val="Sprotnaopomba-sklic"/>
        </w:rPr>
        <w:footnoteRef/>
      </w:r>
      <w:r>
        <w:t xml:space="preserve"> Za leto 2002 je na razpolago le podatek o številu prejemnikov ne pa tudi elektronski poimenski seznam, kar onemogoča, da bi primerjali seznamov samozaposlenih s pravico do plačila socialnih prispevkov in prejemnikov republiških priznavalnin s seznamom posameznikov, ki so prejeli sredstva za projekte v letu 2002. Sezname bi bilo treba primerjati zato, da bi se izognili </w:t>
      </w:r>
      <w:proofErr w:type="spellStart"/>
      <w:r>
        <w:t>vrčkratnemu</w:t>
      </w:r>
      <w:proofErr w:type="spellEnd"/>
      <w:r>
        <w:t xml:space="preserve"> štetju samozaposlenim v kulturi, ki jim je država plačevala socialne prispevke oz. priznavalnino in so bili hkrati prejemnikih sredstev na projektnih razpisih Ministrstva za kulturo. Zato v tabeli 30 prikazujemo fizične osebe v ločenih rubrikah in jih med seboj ne seštevamo.</w:t>
      </w:r>
    </w:p>
  </w:footnote>
  <w:footnote w:id="60">
    <w:p w:rsidR="00754F44" w:rsidRDefault="00754F44">
      <w:pPr>
        <w:pStyle w:val="Sprotnaopomba-besedilo"/>
      </w:pPr>
      <w:r>
        <w:rPr>
          <w:rStyle w:val="Sprotnaopomba-sklic"/>
        </w:rPr>
        <w:footnoteRef/>
      </w:r>
      <w:r>
        <w:t xml:space="preserve"> Podatkov o kulturnih izseljenskih in zamejskih društvih, ki jih je leta 2015 financiral Urad za Slovence v zamejstvu in po svetu, ta analiza ne vsebuje, saj ta sredstva niso več del proračuna Ministrstva za kulturo.</w:t>
      </w:r>
    </w:p>
  </w:footnote>
  <w:footnote w:id="61">
    <w:p w:rsidR="00754F44" w:rsidRDefault="00754F44">
      <w:pPr>
        <w:pStyle w:val="Sprotnaopomba-besedilo"/>
      </w:pPr>
      <w:r>
        <w:rPr>
          <w:rStyle w:val="Sprotnaopomba-sklic"/>
        </w:rPr>
        <w:footnoteRef/>
      </w:r>
      <w:r>
        <w:t xml:space="preserve"> Glej poglavje </w:t>
      </w:r>
      <w:r w:rsidRPr="00120EA2">
        <w:rPr>
          <w:i/>
        </w:rPr>
        <w:t>Samozaposleni v kulturi.</w:t>
      </w:r>
    </w:p>
  </w:footnote>
  <w:footnote w:id="62">
    <w:p w:rsidR="00754F44" w:rsidRDefault="00754F44" w:rsidP="00E77ACB">
      <w:pPr>
        <w:pStyle w:val="Sprotnaopomba-besedilo"/>
      </w:pPr>
      <w:r>
        <w:rPr>
          <w:rStyle w:val="Sprotnaopomba-sklic"/>
        </w:rPr>
        <w:footnoteRef/>
      </w:r>
      <w:r>
        <w:t xml:space="preserve"> Mišljeni so avtorji izvirnih monografskih publikacij, prevajalci besedila monografskih publikacij, likovni ustvarjalci in fotografi ter avtorji na področju glasbe in filma. Več glej na spletni strani </w:t>
      </w:r>
      <w:hyperlink r:id="rId19" w:history="1">
        <w:r w:rsidRPr="00120EA2">
          <w:rPr>
            <w:rStyle w:val="Hiperpovezava"/>
          </w:rPr>
          <w:t>COBISS</w:t>
        </w:r>
      </w:hyperlink>
      <w:r>
        <w:t>.</w:t>
      </w:r>
    </w:p>
  </w:footnote>
  <w:footnote w:id="63">
    <w:p w:rsidR="00754F44" w:rsidRDefault="00754F44" w:rsidP="00F45CD2">
      <w:pPr>
        <w:pStyle w:val="Sprotnaopomba-besedilo"/>
      </w:pPr>
      <w:r>
        <w:rPr>
          <w:rStyle w:val="Sprotnaopomba-sklic"/>
        </w:rPr>
        <w:footnoteRef/>
      </w:r>
      <w:r>
        <w:t xml:space="preserve"> V letu 2017 lahko izplačilo prispevkov za socialno varnost uveljavljajo tisti samozaposleni s priznano pravico do plačila prispevkov za socialno varnost iz državnega proračuna, katerih povprečni dohodek zadnjih treh let ne presega 19.826,22 evrov bruto. Dohodkovni cenzus v letu 2016 pa je znašal 19.839,86 evrov.</w:t>
      </w:r>
    </w:p>
  </w:footnote>
  <w:footnote w:id="64">
    <w:p w:rsidR="00754F44" w:rsidRDefault="00754F44">
      <w:pPr>
        <w:pStyle w:val="Sprotnaopomba-besedilo"/>
      </w:pPr>
      <w:r>
        <w:rPr>
          <w:rStyle w:val="Sprotnaopomba-sklic"/>
        </w:rPr>
        <w:footnoteRef/>
      </w:r>
      <w:r>
        <w:t xml:space="preserve"> Gre za osebe, ki so vpisane v razvid samozaposlenih v kulturi pri Ministrstvu za kulturo na podlagi statusa, ki jim ga je podelilo ministrstvo in ne tudi za samostojne podjetnike v kulturi. Šteti so tako tisti, ki imajo pravico do plačila prispevkov za socialno varnost iz državnega proračuna kot tisti, ki je nimajo. </w:t>
      </w:r>
    </w:p>
  </w:footnote>
  <w:footnote w:id="65">
    <w:p w:rsidR="00754F44" w:rsidRDefault="00754F44">
      <w:pPr>
        <w:pStyle w:val="Sprotnaopomba-besedilo"/>
      </w:pPr>
      <w:r>
        <w:rPr>
          <w:rStyle w:val="Sprotnaopomba-sklic"/>
        </w:rPr>
        <w:footnoteRef/>
      </w:r>
      <w:r>
        <w:t xml:space="preserve"> Dohodki, ki so oproščeni plačila dohodnine so npr. </w:t>
      </w:r>
      <w:r w:rsidRPr="00897431">
        <w:t>otroški dodatek, dodatek za veliko družino, določene pomoči in subvencije</w:t>
      </w:r>
      <w:r>
        <w:t xml:space="preserve"> itd.</w:t>
      </w:r>
    </w:p>
  </w:footnote>
  <w:footnote w:id="66">
    <w:p w:rsidR="00754F44" w:rsidRDefault="00754F44">
      <w:pPr>
        <w:pStyle w:val="Sprotnaopomba-besedilo"/>
      </w:pPr>
      <w:r>
        <w:rPr>
          <w:rStyle w:val="Sprotnaopomba-sklic"/>
        </w:rPr>
        <w:footnoteRef/>
      </w:r>
      <w:r>
        <w:t xml:space="preserve"> Minimalna plača je v Sloveniji leta 2015 za delo s polnim delovnim časom</w:t>
      </w:r>
      <w:r w:rsidRPr="00080211">
        <w:t xml:space="preserve"> </w:t>
      </w:r>
      <w:r>
        <w:t>znašala</w:t>
      </w:r>
      <w:r w:rsidRPr="00080211">
        <w:t xml:space="preserve"> 790,73 </w:t>
      </w:r>
      <w:proofErr w:type="spellStart"/>
      <w:r w:rsidRPr="00080211">
        <w:t>eurov</w:t>
      </w:r>
      <w:proofErr w:type="spellEnd"/>
      <w:r>
        <w:t xml:space="preserve"> bruto, letno torej </w:t>
      </w:r>
      <w:r w:rsidRPr="00080211">
        <w:t>9.488,76</w:t>
      </w:r>
      <w:r>
        <w:t xml:space="preserve"> evrov bruto. Prejemalo jo je povprečno 6,8 % zaposlenih (po kolektivni pogodbah) </w:t>
      </w:r>
      <w:r w:rsidRPr="007F2FBF">
        <w:t xml:space="preserve">v zasebnem sektorju in povprečno 5,4 % zaposlenih (po kolektivnih pogodbah) v javnem sektorju. (Izračun na podlagi podatkov </w:t>
      </w:r>
      <w:hyperlink r:id="rId20" w:history="1">
        <w:r w:rsidRPr="007F2FBF">
          <w:rPr>
            <w:rStyle w:val="Hiperpovezava"/>
          </w:rPr>
          <w:t>AJPES-zasebni sektor</w:t>
        </w:r>
      </w:hyperlink>
      <w:r w:rsidRPr="007F2FBF">
        <w:t xml:space="preserve"> in </w:t>
      </w:r>
      <w:hyperlink r:id="rId21" w:history="1">
        <w:r w:rsidRPr="007F2FBF">
          <w:rPr>
            <w:rStyle w:val="Hiperpovezava"/>
          </w:rPr>
          <w:t>AJPES-javni sektor</w:t>
        </w:r>
      </w:hyperlink>
      <w:r>
        <w:t>).</w:t>
      </w:r>
    </w:p>
  </w:footnote>
  <w:footnote w:id="67">
    <w:p w:rsidR="00754F44" w:rsidRDefault="00754F44">
      <w:pPr>
        <w:pStyle w:val="Sprotnaopomba-besedilo"/>
      </w:pPr>
      <w:r>
        <w:rPr>
          <w:rStyle w:val="Sprotnaopomba-sklic"/>
        </w:rPr>
        <w:footnoteRef/>
      </w:r>
      <w:r>
        <w:t xml:space="preserve"> Povprečna plača je v Sloveniji leta 2015 znašala 1.649 evrov bruto, letno torej 19.788 evrov bruto.</w:t>
      </w:r>
    </w:p>
  </w:footnote>
  <w:footnote w:id="68">
    <w:p w:rsidR="00754F44" w:rsidRDefault="00754F44">
      <w:pPr>
        <w:pStyle w:val="Sprotnaopomba-besedilo"/>
      </w:pPr>
      <w:r>
        <w:rPr>
          <w:rStyle w:val="Sprotnaopomba-sklic"/>
        </w:rPr>
        <w:footnoteRef/>
      </w:r>
      <w:r>
        <w:t xml:space="preserve"> Če dohodke razvrstimo od najnižjega do najvišjega, predstavlja mediano tisti dohodek, ki se nahaja na sredini lestvice. Zato je 50 % dohodkov od njega nižjih in 50 % višjih. To v našem primeru pomeni, da je imelo leta </w:t>
      </w:r>
      <w:r w:rsidRPr="004A16B3">
        <w:rPr>
          <w:b/>
        </w:rPr>
        <w:t>2009</w:t>
      </w:r>
      <w:r>
        <w:t xml:space="preserve"> 50 % samozaposlenih letni bruto dohodek nižji od </w:t>
      </w:r>
      <w:r w:rsidRPr="00C53125">
        <w:rPr>
          <w:b/>
        </w:rPr>
        <w:t xml:space="preserve">12.110,20 </w:t>
      </w:r>
      <w:r>
        <w:rPr>
          <w:b/>
        </w:rPr>
        <w:t>evrov</w:t>
      </w:r>
      <w:r>
        <w:t xml:space="preserve"> in 50 % višjega, leta </w:t>
      </w:r>
      <w:r w:rsidRPr="004A16B3">
        <w:rPr>
          <w:b/>
        </w:rPr>
        <w:t>2015</w:t>
      </w:r>
      <w:r>
        <w:t xml:space="preserve"> pa je imelo 50 % samozaposlenih letni bruto dohodek nižji od </w:t>
      </w:r>
      <w:r w:rsidRPr="00C53125">
        <w:rPr>
          <w:b/>
        </w:rPr>
        <w:t>11.160</w:t>
      </w:r>
      <w:r>
        <w:rPr>
          <w:b/>
        </w:rPr>
        <w:t>,32</w:t>
      </w:r>
      <w:r w:rsidRPr="00C53125">
        <w:rPr>
          <w:b/>
        </w:rPr>
        <w:t xml:space="preserve"> </w:t>
      </w:r>
      <w:r>
        <w:rPr>
          <w:b/>
        </w:rPr>
        <w:t>evrov</w:t>
      </w:r>
      <w:r>
        <w:t xml:space="preserve">, 50 % in 50 % višjega. </w:t>
      </w:r>
      <w:r w:rsidRPr="00182357">
        <w:t xml:space="preserve">Mediana </w:t>
      </w:r>
      <w:r>
        <w:t xml:space="preserve">bruto plače za zaposlene v </w:t>
      </w:r>
      <w:r w:rsidRPr="004A16B3">
        <w:rPr>
          <w:b/>
        </w:rPr>
        <w:t>Sloveniji</w:t>
      </w:r>
      <w:r>
        <w:t xml:space="preserve"> je leta 2015 znašala </w:t>
      </w:r>
      <w:r w:rsidRPr="00182357">
        <w:t xml:space="preserve">1.362 </w:t>
      </w:r>
      <w:r>
        <w:t xml:space="preserve">evrov mesečno oz. </w:t>
      </w:r>
      <w:r w:rsidRPr="004A16B3">
        <w:rPr>
          <w:b/>
        </w:rPr>
        <w:t>16.344 evrov</w:t>
      </w:r>
      <w:r>
        <w:t xml:space="preserve"> letno. </w:t>
      </w:r>
    </w:p>
  </w:footnote>
  <w:footnote w:id="69">
    <w:p w:rsidR="00754F44" w:rsidRDefault="00754F44">
      <w:pPr>
        <w:pStyle w:val="Sprotnaopomba-besedilo"/>
      </w:pPr>
      <w:r>
        <w:rPr>
          <w:rStyle w:val="Sprotnaopomba-sklic"/>
        </w:rPr>
        <w:footnoteRef/>
      </w:r>
      <w:r>
        <w:t xml:space="preserve"> P</w:t>
      </w:r>
      <w:r w:rsidRPr="007674B2">
        <w:t>rag tveganja revščine</w:t>
      </w:r>
      <w:r>
        <w:t xml:space="preserve"> je</w:t>
      </w:r>
      <w:r w:rsidRPr="007674B2">
        <w:t xml:space="preserve"> 60 % mediane ekvivalentnega (neto) razpoložlji</w:t>
      </w:r>
      <w:r>
        <w:t xml:space="preserve">vega dohodka vseh gospodinjstev. Podrobnosti so opisane na spletni strani </w:t>
      </w:r>
      <w:hyperlink r:id="rId22" w:history="1">
        <w:r w:rsidRPr="001A2861">
          <w:rPr>
            <w:rStyle w:val="Hiperpovezava"/>
          </w:rPr>
          <w:t>Statističnega urada RS.</w:t>
        </w:r>
      </w:hyperlink>
    </w:p>
  </w:footnote>
  <w:footnote w:id="70">
    <w:p w:rsidR="00754F44" w:rsidRDefault="00754F44">
      <w:pPr>
        <w:pStyle w:val="Sprotnaopomba-besedilo"/>
      </w:pPr>
      <w:r>
        <w:rPr>
          <w:rStyle w:val="Sprotnaopomba-sklic"/>
        </w:rPr>
        <w:footnoteRef/>
      </w:r>
      <w:r>
        <w:t xml:space="preserve"> Plut Jadranka, Pungerčar Marija Mojca in Srakar Andrej (2016). Analiza o položaju samozaposlenih v kulturi v Sloveniji s predlogi izboljšav. Ljubljana: Nacionalni svet za kulturo.</w:t>
      </w:r>
    </w:p>
  </w:footnote>
  <w:footnote w:id="71">
    <w:p w:rsidR="00754F44" w:rsidRDefault="00754F44" w:rsidP="00B972E3">
      <w:pPr>
        <w:pStyle w:val="Sprotnaopomba-besedilo"/>
      </w:pPr>
      <w:r>
        <w:rPr>
          <w:rStyle w:val="Sprotnaopomba-sklic"/>
        </w:rPr>
        <w:footnoteRef/>
      </w:r>
      <w:r>
        <w:t xml:space="preserve"> Ograjenšek Irena in </w:t>
      </w:r>
      <w:proofErr w:type="spellStart"/>
      <w:r>
        <w:t>Perviz</w:t>
      </w:r>
      <w:proofErr w:type="spellEnd"/>
      <w:r>
        <w:t xml:space="preserve"> Lejla (2015). Socioekonomski položaj samozaposlenih v kulturi: oris stanja v Sloveniji. Andragoška spoznanja, </w:t>
      </w:r>
      <w:r w:rsidRPr="00B972E3">
        <w:t>21(4), 53–67</w:t>
      </w:r>
      <w:r>
        <w:t>.</w:t>
      </w:r>
    </w:p>
  </w:footnote>
  <w:footnote w:id="72">
    <w:p w:rsidR="00754F44" w:rsidRDefault="00754F44">
      <w:pPr>
        <w:pStyle w:val="Sprotnaopomba-besedilo"/>
      </w:pPr>
      <w:r>
        <w:rPr>
          <w:rStyle w:val="Sprotnaopomba-sklic"/>
        </w:rPr>
        <w:footnoteRef/>
      </w:r>
      <w:r>
        <w:t xml:space="preserve"> </w:t>
      </w:r>
      <w:r w:rsidRPr="003C6C8D">
        <w:t>Plut Jadranka, Pungerčar Marija Mojca in Srakar Andrej (2016). Analiza o položaju samozaposlenih v kulturi v Sloveniji s predlogi izboljšav. Ljubljana: Nacionalni svet za kulturo.</w:t>
      </w:r>
    </w:p>
  </w:footnote>
  <w:footnote w:id="73">
    <w:p w:rsidR="00754F44" w:rsidRDefault="00754F44" w:rsidP="009F091C">
      <w:pPr>
        <w:pStyle w:val="Sprotnaopomba-besedilo"/>
      </w:pPr>
      <w:r>
        <w:rPr>
          <w:rStyle w:val="Sprotnaopomba-sklic"/>
        </w:rPr>
        <w:footnoteRef/>
      </w:r>
      <w:r>
        <w:t xml:space="preserve"> Stopnja tveganja revščine</w:t>
      </w:r>
      <w:r w:rsidRPr="001A2861">
        <w:t xml:space="preserve"> je odstotek oseb, ki živijo v gospodinjstvih z ekvivalentnim razpoložljivim dohodkom, nižjim od praga tveganja revščine.</w:t>
      </w:r>
      <w:r>
        <w:t xml:space="preserve"> Podrobnosti so opisane na spletni strani </w:t>
      </w:r>
      <w:hyperlink r:id="rId23" w:history="1">
        <w:r w:rsidRPr="001A2861">
          <w:rPr>
            <w:rStyle w:val="Hiperpovezava"/>
          </w:rPr>
          <w:t>Statističnega urada RS.</w:t>
        </w:r>
      </w:hyperlink>
    </w:p>
  </w:footnote>
  <w:footnote w:id="74">
    <w:p w:rsidR="00754F44" w:rsidRPr="00E01FBA" w:rsidRDefault="00754F44">
      <w:pPr>
        <w:pStyle w:val="Sprotnaopomba-besedilo"/>
      </w:pPr>
      <w:r>
        <w:rPr>
          <w:rStyle w:val="Sprotnaopomba-sklic"/>
        </w:rPr>
        <w:footnoteRef/>
      </w:r>
      <w:r>
        <w:t xml:space="preserve"> Mesečni znesek prispevkov se lahko spreminja </w:t>
      </w:r>
      <w:r w:rsidRPr="00E01FBA">
        <w:t xml:space="preserve">zaradi bolniškega ali porodniškega dopusta, delne zaposlitve ipd. </w:t>
      </w:r>
    </w:p>
  </w:footnote>
  <w:footnote w:id="75">
    <w:p w:rsidR="00754F44" w:rsidRPr="001E537A" w:rsidRDefault="00754F44" w:rsidP="00E74A2C">
      <w:pPr>
        <w:pStyle w:val="Sprotnaopomba-besedilo"/>
        <w:rPr>
          <w:szCs w:val="16"/>
        </w:rPr>
      </w:pPr>
      <w:r>
        <w:rPr>
          <w:rStyle w:val="Sprotnaopomba-sklic"/>
        </w:rPr>
        <w:footnoteRef/>
      </w:r>
      <w:r>
        <w:t xml:space="preserve"> </w:t>
      </w:r>
      <w:r>
        <w:rPr>
          <w:szCs w:val="16"/>
        </w:rPr>
        <w:t xml:space="preserve">Leta 2017 jih je bilo že 73. Novi je Center za upravljanje z dediščino živega srebra Idrija, katerega financiranje si delita Ministrstvo za kulturo in Ministrstvo za gospodarstvo. </w:t>
      </w:r>
    </w:p>
  </w:footnote>
  <w:footnote w:id="76">
    <w:p w:rsidR="00754F44" w:rsidRPr="00191845" w:rsidRDefault="00754F44" w:rsidP="00E74A2C">
      <w:pPr>
        <w:pStyle w:val="Sprotnaopomba-besedilo"/>
        <w:rPr>
          <w:szCs w:val="16"/>
        </w:rPr>
      </w:pPr>
      <w:r>
        <w:rPr>
          <w:rStyle w:val="Sprotnaopomba-sklic"/>
        </w:rPr>
        <w:footnoteRef/>
      </w:r>
      <w:r>
        <w:t xml:space="preserve"> </w:t>
      </w:r>
      <w:r>
        <w:rPr>
          <w:szCs w:val="16"/>
        </w:rPr>
        <w:t>Gre za javne zavode</w:t>
      </w:r>
      <w:r w:rsidRPr="00191845">
        <w:rPr>
          <w:szCs w:val="16"/>
        </w:rPr>
        <w:t xml:space="preserve"> </w:t>
      </w:r>
      <w:r>
        <w:rPr>
          <w:szCs w:val="16"/>
        </w:rPr>
        <w:t xml:space="preserve">na naslednjih področjih: muzeji, galerije in arhivi (premična dediščina); </w:t>
      </w:r>
      <w:r w:rsidRPr="00191845">
        <w:rPr>
          <w:szCs w:val="16"/>
        </w:rPr>
        <w:t>Zavo</w:t>
      </w:r>
      <w:r>
        <w:rPr>
          <w:szCs w:val="16"/>
        </w:rPr>
        <w:t>d za varstvo kulturne dediščine in</w:t>
      </w:r>
      <w:r w:rsidRPr="00191845">
        <w:rPr>
          <w:szCs w:val="16"/>
        </w:rPr>
        <w:t xml:space="preserve"> Arboretum Volčji Potok</w:t>
      </w:r>
      <w:r>
        <w:rPr>
          <w:szCs w:val="16"/>
        </w:rPr>
        <w:t xml:space="preserve"> (nepremična dediščina), 13</w:t>
      </w:r>
      <w:r w:rsidRPr="00191845">
        <w:rPr>
          <w:szCs w:val="16"/>
        </w:rPr>
        <w:t xml:space="preserve"> gledališč, 2 operi</w:t>
      </w:r>
      <w:r>
        <w:rPr>
          <w:szCs w:val="16"/>
        </w:rPr>
        <w:t xml:space="preserve"> in 2 baleta</w:t>
      </w:r>
      <w:r w:rsidRPr="00191845">
        <w:rPr>
          <w:szCs w:val="16"/>
        </w:rPr>
        <w:t>, filharmonija, Slovenski gleda</w:t>
      </w:r>
      <w:r>
        <w:rPr>
          <w:szCs w:val="16"/>
        </w:rPr>
        <w:t>liški inštitut (uprizoritvene umetnosti in glasba), Filmski studio Viba (in Kinoteka, ki je formalno filmski muzej</w:t>
      </w:r>
      <w:r w:rsidRPr="00191845">
        <w:rPr>
          <w:szCs w:val="16"/>
        </w:rPr>
        <w:t>), kulturni dom Cankarjev dom ter Narodna in univerzitetna knjižnica.</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0A3022"/>
    <w:multiLevelType w:val="hybridMultilevel"/>
    <w:tmpl w:val="7520B3B8"/>
    <w:lvl w:ilvl="0" w:tplc="26EA6B8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08683C62"/>
    <w:multiLevelType w:val="hybridMultilevel"/>
    <w:tmpl w:val="9C52A6A2"/>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0C8F0D33"/>
    <w:multiLevelType w:val="multilevel"/>
    <w:tmpl w:val="0424001D"/>
    <w:styleLink w:val="analiza"/>
    <w:lvl w:ilvl="0">
      <w:start w:val="1"/>
      <w:numFmt w:val="bullet"/>
      <w:lvlText w:val="–"/>
      <w:lvlJc w:val="left"/>
      <w:pPr>
        <w:tabs>
          <w:tab w:val="num" w:pos="360"/>
        </w:tabs>
        <w:ind w:left="360" w:hanging="360"/>
      </w:pPr>
      <w:rPr>
        <w:rFonts w:ascii="Times New Roman" w:hAnsi="Times New Roman" w:cs="Times New Roman" w:hint="default"/>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nsid w:val="10110B49"/>
    <w:multiLevelType w:val="hybridMultilevel"/>
    <w:tmpl w:val="4E7C5212"/>
    <w:lvl w:ilvl="0" w:tplc="26EA6B88">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12DB182C"/>
    <w:multiLevelType w:val="hybridMultilevel"/>
    <w:tmpl w:val="F788BAB4"/>
    <w:lvl w:ilvl="0" w:tplc="4ADAEEA0">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13695926"/>
    <w:multiLevelType w:val="hybridMultilevel"/>
    <w:tmpl w:val="C5C225AA"/>
    <w:lvl w:ilvl="0" w:tplc="26EA6B8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nsid w:val="15FD3393"/>
    <w:multiLevelType w:val="hybridMultilevel"/>
    <w:tmpl w:val="B0B0DEFC"/>
    <w:lvl w:ilvl="0" w:tplc="26EA6B8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nsid w:val="16920E10"/>
    <w:multiLevelType w:val="hybridMultilevel"/>
    <w:tmpl w:val="FC9A6D5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1CF17A65"/>
    <w:multiLevelType w:val="hybridMultilevel"/>
    <w:tmpl w:val="7682BB9C"/>
    <w:lvl w:ilvl="0" w:tplc="26EA6B88">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nsid w:val="1D312658"/>
    <w:multiLevelType w:val="hybridMultilevel"/>
    <w:tmpl w:val="B0760F7E"/>
    <w:lvl w:ilvl="0" w:tplc="26EA6B8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nsid w:val="245D48F5"/>
    <w:multiLevelType w:val="hybridMultilevel"/>
    <w:tmpl w:val="24145CA4"/>
    <w:lvl w:ilvl="0" w:tplc="26EA6B88">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nsid w:val="295A0C0D"/>
    <w:multiLevelType w:val="hybridMultilevel"/>
    <w:tmpl w:val="E0FA7554"/>
    <w:lvl w:ilvl="0" w:tplc="26EA6B8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nsid w:val="2A314342"/>
    <w:multiLevelType w:val="hybridMultilevel"/>
    <w:tmpl w:val="064606F0"/>
    <w:lvl w:ilvl="0" w:tplc="26EA6B8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nsid w:val="2AEB462B"/>
    <w:multiLevelType w:val="hybridMultilevel"/>
    <w:tmpl w:val="77C4FA5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nsid w:val="384438E7"/>
    <w:multiLevelType w:val="hybridMultilevel"/>
    <w:tmpl w:val="AE4C268C"/>
    <w:lvl w:ilvl="0" w:tplc="26EA6B8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nsid w:val="39EE251C"/>
    <w:multiLevelType w:val="hybridMultilevel"/>
    <w:tmpl w:val="C622C0E0"/>
    <w:lvl w:ilvl="0" w:tplc="5CBAC7EE">
      <w:start w:val="1"/>
      <w:numFmt w:val="bullet"/>
      <w:pStyle w:val="SAlinea1"/>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nsid w:val="3A79671D"/>
    <w:multiLevelType w:val="hybridMultilevel"/>
    <w:tmpl w:val="41B41A5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nsid w:val="3AC72CB2"/>
    <w:multiLevelType w:val="hybridMultilevel"/>
    <w:tmpl w:val="BB5642FE"/>
    <w:lvl w:ilvl="0" w:tplc="26EA6B8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nsid w:val="3C7E671E"/>
    <w:multiLevelType w:val="hybridMultilevel"/>
    <w:tmpl w:val="19B496A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nsid w:val="4026418D"/>
    <w:multiLevelType w:val="hybridMultilevel"/>
    <w:tmpl w:val="F3EE9C0C"/>
    <w:lvl w:ilvl="0" w:tplc="26EA6B8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nsid w:val="419361C8"/>
    <w:multiLevelType w:val="hybridMultilevel"/>
    <w:tmpl w:val="9334C616"/>
    <w:lvl w:ilvl="0" w:tplc="26EA6B88">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nsid w:val="43DC7EFA"/>
    <w:multiLevelType w:val="hybridMultilevel"/>
    <w:tmpl w:val="487AFCBC"/>
    <w:lvl w:ilvl="0" w:tplc="26EA6B8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nsid w:val="4553460E"/>
    <w:multiLevelType w:val="hybridMultilevel"/>
    <w:tmpl w:val="B5367A56"/>
    <w:lvl w:ilvl="0" w:tplc="26EA6B88">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nsid w:val="60AD179F"/>
    <w:multiLevelType w:val="hybridMultilevel"/>
    <w:tmpl w:val="7996ECD2"/>
    <w:lvl w:ilvl="0" w:tplc="26EA6B88">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nsid w:val="64B94F2C"/>
    <w:multiLevelType w:val="hybridMultilevel"/>
    <w:tmpl w:val="31EEE3BA"/>
    <w:lvl w:ilvl="0" w:tplc="26EA6B88">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nsid w:val="64CB0E7C"/>
    <w:multiLevelType w:val="hybridMultilevel"/>
    <w:tmpl w:val="0DC2453C"/>
    <w:lvl w:ilvl="0" w:tplc="26EA6B8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nsid w:val="6A6500A4"/>
    <w:multiLevelType w:val="hybridMultilevel"/>
    <w:tmpl w:val="77C4FA5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nsid w:val="6B125A7C"/>
    <w:multiLevelType w:val="hybridMultilevel"/>
    <w:tmpl w:val="DE08639A"/>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nsid w:val="6D5D5A8C"/>
    <w:multiLevelType w:val="hybridMultilevel"/>
    <w:tmpl w:val="76203482"/>
    <w:lvl w:ilvl="0" w:tplc="26EA6B8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nsid w:val="6DA05FD7"/>
    <w:multiLevelType w:val="hybridMultilevel"/>
    <w:tmpl w:val="FC9A6D5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nsid w:val="78454D7F"/>
    <w:multiLevelType w:val="hybridMultilevel"/>
    <w:tmpl w:val="74B81818"/>
    <w:lvl w:ilvl="0" w:tplc="26EC845A">
      <w:start w:val="1"/>
      <w:numFmt w:val="decimal"/>
      <w:pStyle w:val="StrategNaslov2"/>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nsid w:val="78984142"/>
    <w:multiLevelType w:val="hybridMultilevel"/>
    <w:tmpl w:val="6E7A9AE0"/>
    <w:lvl w:ilvl="0" w:tplc="26EA6B88">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nsid w:val="7C9F4484"/>
    <w:multiLevelType w:val="hybridMultilevel"/>
    <w:tmpl w:val="3640B46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nsid w:val="7FA40F02"/>
    <w:multiLevelType w:val="hybridMultilevel"/>
    <w:tmpl w:val="E4922FB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2"/>
  </w:num>
  <w:num w:numId="2">
    <w:abstractNumId w:val="17"/>
  </w:num>
  <w:num w:numId="3">
    <w:abstractNumId w:val="24"/>
  </w:num>
  <w:num w:numId="4">
    <w:abstractNumId w:val="11"/>
  </w:num>
  <w:num w:numId="5">
    <w:abstractNumId w:val="30"/>
  </w:num>
  <w:num w:numId="6">
    <w:abstractNumId w:val="15"/>
  </w:num>
  <w:num w:numId="7">
    <w:abstractNumId w:val="28"/>
  </w:num>
  <w:num w:numId="8">
    <w:abstractNumId w:val="9"/>
  </w:num>
  <w:num w:numId="9">
    <w:abstractNumId w:val="6"/>
  </w:num>
  <w:num w:numId="10">
    <w:abstractNumId w:val="5"/>
  </w:num>
  <w:num w:numId="11">
    <w:abstractNumId w:val="0"/>
  </w:num>
  <w:num w:numId="12">
    <w:abstractNumId w:val="12"/>
  </w:num>
  <w:num w:numId="13">
    <w:abstractNumId w:val="7"/>
  </w:num>
  <w:num w:numId="14">
    <w:abstractNumId w:val="29"/>
  </w:num>
  <w:num w:numId="15">
    <w:abstractNumId w:val="26"/>
  </w:num>
  <w:num w:numId="16">
    <w:abstractNumId w:val="13"/>
  </w:num>
  <w:num w:numId="17">
    <w:abstractNumId w:val="4"/>
  </w:num>
  <w:num w:numId="18">
    <w:abstractNumId w:val="33"/>
  </w:num>
  <w:num w:numId="19">
    <w:abstractNumId w:val="18"/>
  </w:num>
  <w:num w:numId="20">
    <w:abstractNumId w:val="20"/>
  </w:num>
  <w:num w:numId="21">
    <w:abstractNumId w:val="25"/>
  </w:num>
  <w:num w:numId="22">
    <w:abstractNumId w:val="14"/>
  </w:num>
  <w:num w:numId="23">
    <w:abstractNumId w:val="19"/>
  </w:num>
  <w:num w:numId="24">
    <w:abstractNumId w:val="3"/>
  </w:num>
  <w:num w:numId="25">
    <w:abstractNumId w:val="27"/>
  </w:num>
  <w:num w:numId="26">
    <w:abstractNumId w:val="21"/>
  </w:num>
  <w:num w:numId="27">
    <w:abstractNumId w:val="8"/>
  </w:num>
  <w:num w:numId="28">
    <w:abstractNumId w:val="1"/>
  </w:num>
  <w:num w:numId="29">
    <w:abstractNumId w:val="22"/>
  </w:num>
  <w:num w:numId="30">
    <w:abstractNumId w:val="16"/>
  </w:num>
  <w:num w:numId="31">
    <w:abstractNumId w:val="23"/>
  </w:num>
  <w:num w:numId="32">
    <w:abstractNumId w:val="10"/>
  </w:num>
  <w:num w:numId="33">
    <w:abstractNumId w:val="32"/>
  </w:num>
  <w:num w:numId="34">
    <w:abstractNumId w:val="31"/>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hyphenationZone w:val="425"/>
  <w:drawingGridHorizontalSpacing w:val="10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078BF"/>
    <w:rsid w:val="000018D9"/>
    <w:rsid w:val="00001942"/>
    <w:rsid w:val="00001CF1"/>
    <w:rsid w:val="0000252D"/>
    <w:rsid w:val="0000263D"/>
    <w:rsid w:val="00002D42"/>
    <w:rsid w:val="0000335A"/>
    <w:rsid w:val="00003572"/>
    <w:rsid w:val="00003BCC"/>
    <w:rsid w:val="0000412C"/>
    <w:rsid w:val="00004D97"/>
    <w:rsid w:val="00004E11"/>
    <w:rsid w:val="000060E3"/>
    <w:rsid w:val="00007D91"/>
    <w:rsid w:val="00010779"/>
    <w:rsid w:val="000107CC"/>
    <w:rsid w:val="000108DE"/>
    <w:rsid w:val="000110DD"/>
    <w:rsid w:val="00011BC5"/>
    <w:rsid w:val="00012C06"/>
    <w:rsid w:val="00013963"/>
    <w:rsid w:val="000141C9"/>
    <w:rsid w:val="00015BC3"/>
    <w:rsid w:val="00015DD0"/>
    <w:rsid w:val="00017437"/>
    <w:rsid w:val="00022C5E"/>
    <w:rsid w:val="00022EFE"/>
    <w:rsid w:val="000239A2"/>
    <w:rsid w:val="000241B2"/>
    <w:rsid w:val="000250D9"/>
    <w:rsid w:val="00025706"/>
    <w:rsid w:val="00026620"/>
    <w:rsid w:val="00026B1D"/>
    <w:rsid w:val="00026CB7"/>
    <w:rsid w:val="00026CEE"/>
    <w:rsid w:val="0003029E"/>
    <w:rsid w:val="00030956"/>
    <w:rsid w:val="000332BA"/>
    <w:rsid w:val="00033C58"/>
    <w:rsid w:val="00033F43"/>
    <w:rsid w:val="00036827"/>
    <w:rsid w:val="00037F05"/>
    <w:rsid w:val="0004077F"/>
    <w:rsid w:val="00042359"/>
    <w:rsid w:val="000447C3"/>
    <w:rsid w:val="0004610C"/>
    <w:rsid w:val="0004651A"/>
    <w:rsid w:val="00046A1F"/>
    <w:rsid w:val="000471D1"/>
    <w:rsid w:val="00047839"/>
    <w:rsid w:val="000516ED"/>
    <w:rsid w:val="00051F7F"/>
    <w:rsid w:val="00051F9F"/>
    <w:rsid w:val="00052E30"/>
    <w:rsid w:val="00053135"/>
    <w:rsid w:val="00053295"/>
    <w:rsid w:val="00054CBF"/>
    <w:rsid w:val="00054E68"/>
    <w:rsid w:val="00054F33"/>
    <w:rsid w:val="00055060"/>
    <w:rsid w:val="00055503"/>
    <w:rsid w:val="00056E05"/>
    <w:rsid w:val="00060177"/>
    <w:rsid w:val="0006205B"/>
    <w:rsid w:val="00066194"/>
    <w:rsid w:val="00067581"/>
    <w:rsid w:val="00067DF8"/>
    <w:rsid w:val="00071A1A"/>
    <w:rsid w:val="00073584"/>
    <w:rsid w:val="000738B1"/>
    <w:rsid w:val="00074E82"/>
    <w:rsid w:val="00076079"/>
    <w:rsid w:val="00077331"/>
    <w:rsid w:val="00077C4D"/>
    <w:rsid w:val="00077C87"/>
    <w:rsid w:val="00080211"/>
    <w:rsid w:val="000814C1"/>
    <w:rsid w:val="000814CF"/>
    <w:rsid w:val="00081B33"/>
    <w:rsid w:val="00082E0C"/>
    <w:rsid w:val="000842A4"/>
    <w:rsid w:val="00084C93"/>
    <w:rsid w:val="00085214"/>
    <w:rsid w:val="00085C8E"/>
    <w:rsid w:val="000861FE"/>
    <w:rsid w:val="000866CD"/>
    <w:rsid w:val="000879D5"/>
    <w:rsid w:val="000913CE"/>
    <w:rsid w:val="00092ACA"/>
    <w:rsid w:val="00092F0C"/>
    <w:rsid w:val="000930D4"/>
    <w:rsid w:val="00093EF6"/>
    <w:rsid w:val="00094966"/>
    <w:rsid w:val="00095473"/>
    <w:rsid w:val="00095D52"/>
    <w:rsid w:val="00096ABA"/>
    <w:rsid w:val="000974C3"/>
    <w:rsid w:val="000A07B1"/>
    <w:rsid w:val="000A1536"/>
    <w:rsid w:val="000A1DD2"/>
    <w:rsid w:val="000A3183"/>
    <w:rsid w:val="000A36BA"/>
    <w:rsid w:val="000A57A7"/>
    <w:rsid w:val="000A5C73"/>
    <w:rsid w:val="000A7317"/>
    <w:rsid w:val="000B021B"/>
    <w:rsid w:val="000B0D63"/>
    <w:rsid w:val="000B0E65"/>
    <w:rsid w:val="000B163D"/>
    <w:rsid w:val="000B1BE4"/>
    <w:rsid w:val="000B25F7"/>
    <w:rsid w:val="000B2C78"/>
    <w:rsid w:val="000B423A"/>
    <w:rsid w:val="000B45A6"/>
    <w:rsid w:val="000B4BDB"/>
    <w:rsid w:val="000B5EA3"/>
    <w:rsid w:val="000B6D78"/>
    <w:rsid w:val="000B74BF"/>
    <w:rsid w:val="000B7534"/>
    <w:rsid w:val="000C008B"/>
    <w:rsid w:val="000C0131"/>
    <w:rsid w:val="000C0478"/>
    <w:rsid w:val="000C0D15"/>
    <w:rsid w:val="000C1283"/>
    <w:rsid w:val="000C2609"/>
    <w:rsid w:val="000C328D"/>
    <w:rsid w:val="000C43EC"/>
    <w:rsid w:val="000C4733"/>
    <w:rsid w:val="000C555D"/>
    <w:rsid w:val="000C5CAC"/>
    <w:rsid w:val="000C5E4A"/>
    <w:rsid w:val="000C693C"/>
    <w:rsid w:val="000C6BA2"/>
    <w:rsid w:val="000C731C"/>
    <w:rsid w:val="000C7643"/>
    <w:rsid w:val="000C77E6"/>
    <w:rsid w:val="000D0E32"/>
    <w:rsid w:val="000D1B21"/>
    <w:rsid w:val="000D337E"/>
    <w:rsid w:val="000D33AA"/>
    <w:rsid w:val="000D591F"/>
    <w:rsid w:val="000D5FDF"/>
    <w:rsid w:val="000D7823"/>
    <w:rsid w:val="000D7844"/>
    <w:rsid w:val="000D7D44"/>
    <w:rsid w:val="000E2096"/>
    <w:rsid w:val="000E2C17"/>
    <w:rsid w:val="000E50AB"/>
    <w:rsid w:val="000E51A9"/>
    <w:rsid w:val="000E53CD"/>
    <w:rsid w:val="000E54E2"/>
    <w:rsid w:val="000E5986"/>
    <w:rsid w:val="000E5D09"/>
    <w:rsid w:val="000E6B57"/>
    <w:rsid w:val="000E6BCC"/>
    <w:rsid w:val="000E6BCF"/>
    <w:rsid w:val="000E73E9"/>
    <w:rsid w:val="000E7789"/>
    <w:rsid w:val="000F030D"/>
    <w:rsid w:val="000F1897"/>
    <w:rsid w:val="000F5A9B"/>
    <w:rsid w:val="000F5DA8"/>
    <w:rsid w:val="000F654D"/>
    <w:rsid w:val="000F67E6"/>
    <w:rsid w:val="000F6802"/>
    <w:rsid w:val="000F6DCA"/>
    <w:rsid w:val="00100161"/>
    <w:rsid w:val="00101809"/>
    <w:rsid w:val="00102B0F"/>
    <w:rsid w:val="00103553"/>
    <w:rsid w:val="001046C5"/>
    <w:rsid w:val="001046EE"/>
    <w:rsid w:val="00104908"/>
    <w:rsid w:val="00105559"/>
    <w:rsid w:val="00105646"/>
    <w:rsid w:val="0010574D"/>
    <w:rsid w:val="00105F9F"/>
    <w:rsid w:val="00110038"/>
    <w:rsid w:val="001109B5"/>
    <w:rsid w:val="001111DD"/>
    <w:rsid w:val="001130BE"/>
    <w:rsid w:val="00113281"/>
    <w:rsid w:val="0011340A"/>
    <w:rsid w:val="00113626"/>
    <w:rsid w:val="00115E4C"/>
    <w:rsid w:val="00115E62"/>
    <w:rsid w:val="00116347"/>
    <w:rsid w:val="00116DDE"/>
    <w:rsid w:val="0011748C"/>
    <w:rsid w:val="00117B7E"/>
    <w:rsid w:val="00117DAC"/>
    <w:rsid w:val="00117E88"/>
    <w:rsid w:val="0012099E"/>
    <w:rsid w:val="00120C01"/>
    <w:rsid w:val="00120EA2"/>
    <w:rsid w:val="00120EF2"/>
    <w:rsid w:val="001219ED"/>
    <w:rsid w:val="00122CFE"/>
    <w:rsid w:val="001238AB"/>
    <w:rsid w:val="00124254"/>
    <w:rsid w:val="00124814"/>
    <w:rsid w:val="00124BC3"/>
    <w:rsid w:val="0012593F"/>
    <w:rsid w:val="00125D63"/>
    <w:rsid w:val="00126171"/>
    <w:rsid w:val="001311FF"/>
    <w:rsid w:val="00132340"/>
    <w:rsid w:val="001334B7"/>
    <w:rsid w:val="00134F53"/>
    <w:rsid w:val="001361C1"/>
    <w:rsid w:val="00136DE1"/>
    <w:rsid w:val="00136E46"/>
    <w:rsid w:val="00137425"/>
    <w:rsid w:val="001379D0"/>
    <w:rsid w:val="00137CF0"/>
    <w:rsid w:val="00141827"/>
    <w:rsid w:val="001419A0"/>
    <w:rsid w:val="00141C9B"/>
    <w:rsid w:val="00142D6A"/>
    <w:rsid w:val="001439A8"/>
    <w:rsid w:val="00145065"/>
    <w:rsid w:val="0014544F"/>
    <w:rsid w:val="00147080"/>
    <w:rsid w:val="001479AB"/>
    <w:rsid w:val="00151811"/>
    <w:rsid w:val="001526B3"/>
    <w:rsid w:val="001537A2"/>
    <w:rsid w:val="00153A4D"/>
    <w:rsid w:val="001540BD"/>
    <w:rsid w:val="00154319"/>
    <w:rsid w:val="00155460"/>
    <w:rsid w:val="00156F31"/>
    <w:rsid w:val="001603A5"/>
    <w:rsid w:val="00160B97"/>
    <w:rsid w:val="00160C09"/>
    <w:rsid w:val="001611DF"/>
    <w:rsid w:val="001612C2"/>
    <w:rsid w:val="0016266A"/>
    <w:rsid w:val="00162CF6"/>
    <w:rsid w:val="0016471E"/>
    <w:rsid w:val="00164BD7"/>
    <w:rsid w:val="00165249"/>
    <w:rsid w:val="0016569D"/>
    <w:rsid w:val="00166120"/>
    <w:rsid w:val="0017044D"/>
    <w:rsid w:val="001711FE"/>
    <w:rsid w:val="001715B3"/>
    <w:rsid w:val="00172017"/>
    <w:rsid w:val="00172952"/>
    <w:rsid w:val="001731F1"/>
    <w:rsid w:val="00174690"/>
    <w:rsid w:val="00175C6F"/>
    <w:rsid w:val="00175F32"/>
    <w:rsid w:val="00180199"/>
    <w:rsid w:val="001810CE"/>
    <w:rsid w:val="00181215"/>
    <w:rsid w:val="0018136B"/>
    <w:rsid w:val="00182300"/>
    <w:rsid w:val="00182357"/>
    <w:rsid w:val="00182D75"/>
    <w:rsid w:val="00183CDE"/>
    <w:rsid w:val="001846F7"/>
    <w:rsid w:val="00184C50"/>
    <w:rsid w:val="00184D73"/>
    <w:rsid w:val="0018501B"/>
    <w:rsid w:val="001856C4"/>
    <w:rsid w:val="00185E33"/>
    <w:rsid w:val="001870F9"/>
    <w:rsid w:val="001875D0"/>
    <w:rsid w:val="00187AC7"/>
    <w:rsid w:val="00187CB0"/>
    <w:rsid w:val="0019092C"/>
    <w:rsid w:val="00190C47"/>
    <w:rsid w:val="001912D3"/>
    <w:rsid w:val="00191845"/>
    <w:rsid w:val="00191C0D"/>
    <w:rsid w:val="001927EB"/>
    <w:rsid w:val="00192D3D"/>
    <w:rsid w:val="00193263"/>
    <w:rsid w:val="0019437C"/>
    <w:rsid w:val="00194F25"/>
    <w:rsid w:val="001958BF"/>
    <w:rsid w:val="001959D2"/>
    <w:rsid w:val="0019665A"/>
    <w:rsid w:val="00196BDD"/>
    <w:rsid w:val="001976CB"/>
    <w:rsid w:val="001A0946"/>
    <w:rsid w:val="001A0FC7"/>
    <w:rsid w:val="001A2861"/>
    <w:rsid w:val="001A3639"/>
    <w:rsid w:val="001A3D6B"/>
    <w:rsid w:val="001A492C"/>
    <w:rsid w:val="001A55B9"/>
    <w:rsid w:val="001A61D3"/>
    <w:rsid w:val="001A73AA"/>
    <w:rsid w:val="001A7B8F"/>
    <w:rsid w:val="001B0862"/>
    <w:rsid w:val="001B0C77"/>
    <w:rsid w:val="001B19E5"/>
    <w:rsid w:val="001B3C10"/>
    <w:rsid w:val="001B5DE7"/>
    <w:rsid w:val="001B6A61"/>
    <w:rsid w:val="001B7BA8"/>
    <w:rsid w:val="001C1524"/>
    <w:rsid w:val="001C1B2C"/>
    <w:rsid w:val="001C1E71"/>
    <w:rsid w:val="001C2B30"/>
    <w:rsid w:val="001C3EAD"/>
    <w:rsid w:val="001C5708"/>
    <w:rsid w:val="001C7887"/>
    <w:rsid w:val="001D018F"/>
    <w:rsid w:val="001D028A"/>
    <w:rsid w:val="001D08D0"/>
    <w:rsid w:val="001D1438"/>
    <w:rsid w:val="001D14C6"/>
    <w:rsid w:val="001D1C7A"/>
    <w:rsid w:val="001D1E60"/>
    <w:rsid w:val="001D230A"/>
    <w:rsid w:val="001D23A7"/>
    <w:rsid w:val="001D2682"/>
    <w:rsid w:val="001D666C"/>
    <w:rsid w:val="001D6E0C"/>
    <w:rsid w:val="001E01AA"/>
    <w:rsid w:val="001E0DE7"/>
    <w:rsid w:val="001E0E23"/>
    <w:rsid w:val="001E2C3F"/>
    <w:rsid w:val="001E316E"/>
    <w:rsid w:val="001E3B29"/>
    <w:rsid w:val="001E4993"/>
    <w:rsid w:val="001E537A"/>
    <w:rsid w:val="001E5F84"/>
    <w:rsid w:val="001E6411"/>
    <w:rsid w:val="001E6BEF"/>
    <w:rsid w:val="001E7218"/>
    <w:rsid w:val="001F02B5"/>
    <w:rsid w:val="001F086B"/>
    <w:rsid w:val="001F0ADC"/>
    <w:rsid w:val="001F213E"/>
    <w:rsid w:val="001F4486"/>
    <w:rsid w:val="001F4F70"/>
    <w:rsid w:val="001F6D0A"/>
    <w:rsid w:val="00200E28"/>
    <w:rsid w:val="00200EE1"/>
    <w:rsid w:val="002013BB"/>
    <w:rsid w:val="00203185"/>
    <w:rsid w:val="0020325B"/>
    <w:rsid w:val="002078BF"/>
    <w:rsid w:val="00207F73"/>
    <w:rsid w:val="00210C20"/>
    <w:rsid w:val="0021101F"/>
    <w:rsid w:val="00211AF6"/>
    <w:rsid w:val="00213EB6"/>
    <w:rsid w:val="0021404A"/>
    <w:rsid w:val="00214DBE"/>
    <w:rsid w:val="0021591F"/>
    <w:rsid w:val="00217262"/>
    <w:rsid w:val="00217BB7"/>
    <w:rsid w:val="00220340"/>
    <w:rsid w:val="00220389"/>
    <w:rsid w:val="0022066F"/>
    <w:rsid w:val="00220AD7"/>
    <w:rsid w:val="00221A86"/>
    <w:rsid w:val="00221E6B"/>
    <w:rsid w:val="00221F41"/>
    <w:rsid w:val="00222F5B"/>
    <w:rsid w:val="00222F69"/>
    <w:rsid w:val="00223459"/>
    <w:rsid w:val="00223E8A"/>
    <w:rsid w:val="00224551"/>
    <w:rsid w:val="00225808"/>
    <w:rsid w:val="00227559"/>
    <w:rsid w:val="00227AB3"/>
    <w:rsid w:val="00227F50"/>
    <w:rsid w:val="0023012C"/>
    <w:rsid w:val="002308A7"/>
    <w:rsid w:val="002308AB"/>
    <w:rsid w:val="00231CB6"/>
    <w:rsid w:val="00231F5C"/>
    <w:rsid w:val="002320CA"/>
    <w:rsid w:val="00234445"/>
    <w:rsid w:val="00234598"/>
    <w:rsid w:val="002356C6"/>
    <w:rsid w:val="00236A16"/>
    <w:rsid w:val="00236C44"/>
    <w:rsid w:val="00237892"/>
    <w:rsid w:val="00237893"/>
    <w:rsid w:val="00237F02"/>
    <w:rsid w:val="00240081"/>
    <w:rsid w:val="002400B5"/>
    <w:rsid w:val="0024139F"/>
    <w:rsid w:val="00241719"/>
    <w:rsid w:val="00242053"/>
    <w:rsid w:val="0024267E"/>
    <w:rsid w:val="002434F3"/>
    <w:rsid w:val="002435E6"/>
    <w:rsid w:val="00243986"/>
    <w:rsid w:val="0024640E"/>
    <w:rsid w:val="00246A22"/>
    <w:rsid w:val="0024718F"/>
    <w:rsid w:val="00247B34"/>
    <w:rsid w:val="00251EE8"/>
    <w:rsid w:val="0025306F"/>
    <w:rsid w:val="002536BB"/>
    <w:rsid w:val="0025572F"/>
    <w:rsid w:val="0025597B"/>
    <w:rsid w:val="00255C1B"/>
    <w:rsid w:val="00256124"/>
    <w:rsid w:val="002575D2"/>
    <w:rsid w:val="002579A6"/>
    <w:rsid w:val="00257F4E"/>
    <w:rsid w:val="002608F0"/>
    <w:rsid w:val="00261CB0"/>
    <w:rsid w:val="00262A90"/>
    <w:rsid w:val="00262B41"/>
    <w:rsid w:val="00263DE3"/>
    <w:rsid w:val="002646BB"/>
    <w:rsid w:val="00264B79"/>
    <w:rsid w:val="00264E2E"/>
    <w:rsid w:val="00266F8B"/>
    <w:rsid w:val="00267782"/>
    <w:rsid w:val="00270273"/>
    <w:rsid w:val="002706CF"/>
    <w:rsid w:val="00270967"/>
    <w:rsid w:val="002716E9"/>
    <w:rsid w:val="00271B5C"/>
    <w:rsid w:val="00272636"/>
    <w:rsid w:val="002727E3"/>
    <w:rsid w:val="00274804"/>
    <w:rsid w:val="002755A6"/>
    <w:rsid w:val="002777B4"/>
    <w:rsid w:val="002778CA"/>
    <w:rsid w:val="00277F8B"/>
    <w:rsid w:val="0028054D"/>
    <w:rsid w:val="002816A9"/>
    <w:rsid w:val="002826C8"/>
    <w:rsid w:val="0029020C"/>
    <w:rsid w:val="002902C2"/>
    <w:rsid w:val="00290567"/>
    <w:rsid w:val="002907A0"/>
    <w:rsid w:val="00291768"/>
    <w:rsid w:val="00291C65"/>
    <w:rsid w:val="002927CC"/>
    <w:rsid w:val="00292A4B"/>
    <w:rsid w:val="002934BE"/>
    <w:rsid w:val="00293B14"/>
    <w:rsid w:val="0029508F"/>
    <w:rsid w:val="0029550A"/>
    <w:rsid w:val="00295BB9"/>
    <w:rsid w:val="00295C07"/>
    <w:rsid w:val="002A0403"/>
    <w:rsid w:val="002A1306"/>
    <w:rsid w:val="002A1E4F"/>
    <w:rsid w:val="002A22AC"/>
    <w:rsid w:val="002A398E"/>
    <w:rsid w:val="002A3D56"/>
    <w:rsid w:val="002A42F3"/>
    <w:rsid w:val="002A45CF"/>
    <w:rsid w:val="002A4931"/>
    <w:rsid w:val="002A4FD0"/>
    <w:rsid w:val="002A516B"/>
    <w:rsid w:val="002A57C6"/>
    <w:rsid w:val="002A5C4D"/>
    <w:rsid w:val="002A5F73"/>
    <w:rsid w:val="002A60AF"/>
    <w:rsid w:val="002A6EDF"/>
    <w:rsid w:val="002B08E4"/>
    <w:rsid w:val="002B0C9D"/>
    <w:rsid w:val="002B1DE3"/>
    <w:rsid w:val="002B1F45"/>
    <w:rsid w:val="002B2DCA"/>
    <w:rsid w:val="002B375D"/>
    <w:rsid w:val="002B3A88"/>
    <w:rsid w:val="002C0F24"/>
    <w:rsid w:val="002C1925"/>
    <w:rsid w:val="002C262F"/>
    <w:rsid w:val="002C28F5"/>
    <w:rsid w:val="002C29F2"/>
    <w:rsid w:val="002C2D87"/>
    <w:rsid w:val="002C510C"/>
    <w:rsid w:val="002C6666"/>
    <w:rsid w:val="002C73C9"/>
    <w:rsid w:val="002D0363"/>
    <w:rsid w:val="002D091F"/>
    <w:rsid w:val="002D0F3D"/>
    <w:rsid w:val="002D1748"/>
    <w:rsid w:val="002D22ED"/>
    <w:rsid w:val="002D23F3"/>
    <w:rsid w:val="002D2CEE"/>
    <w:rsid w:val="002D3E7F"/>
    <w:rsid w:val="002D40A8"/>
    <w:rsid w:val="002D49BA"/>
    <w:rsid w:val="002D4BDC"/>
    <w:rsid w:val="002D5169"/>
    <w:rsid w:val="002D518D"/>
    <w:rsid w:val="002D5DD3"/>
    <w:rsid w:val="002D5EF5"/>
    <w:rsid w:val="002E14BC"/>
    <w:rsid w:val="002E1703"/>
    <w:rsid w:val="002E1A3E"/>
    <w:rsid w:val="002E1AEF"/>
    <w:rsid w:val="002E21E7"/>
    <w:rsid w:val="002E251F"/>
    <w:rsid w:val="002E28A8"/>
    <w:rsid w:val="002E31FD"/>
    <w:rsid w:val="002E3257"/>
    <w:rsid w:val="002E4163"/>
    <w:rsid w:val="002E56E7"/>
    <w:rsid w:val="002E581A"/>
    <w:rsid w:val="002E6B52"/>
    <w:rsid w:val="002E7BCB"/>
    <w:rsid w:val="002F06F5"/>
    <w:rsid w:val="002F0B2A"/>
    <w:rsid w:val="002F1318"/>
    <w:rsid w:val="002F1539"/>
    <w:rsid w:val="002F1ADC"/>
    <w:rsid w:val="002F2F89"/>
    <w:rsid w:val="002F39B2"/>
    <w:rsid w:val="002F39D8"/>
    <w:rsid w:val="002F421A"/>
    <w:rsid w:val="002F5758"/>
    <w:rsid w:val="002F5ABD"/>
    <w:rsid w:val="002F7358"/>
    <w:rsid w:val="002F77D1"/>
    <w:rsid w:val="002F7FAD"/>
    <w:rsid w:val="003007C4"/>
    <w:rsid w:val="003009B0"/>
    <w:rsid w:val="00300FFE"/>
    <w:rsid w:val="00301908"/>
    <w:rsid w:val="00301DD0"/>
    <w:rsid w:val="00302386"/>
    <w:rsid w:val="003023DF"/>
    <w:rsid w:val="00302DB6"/>
    <w:rsid w:val="0030333D"/>
    <w:rsid w:val="0030427A"/>
    <w:rsid w:val="003043AE"/>
    <w:rsid w:val="00304644"/>
    <w:rsid w:val="00304BD3"/>
    <w:rsid w:val="00305A3A"/>
    <w:rsid w:val="00305D2B"/>
    <w:rsid w:val="003070ED"/>
    <w:rsid w:val="00307813"/>
    <w:rsid w:val="003078D3"/>
    <w:rsid w:val="00310C8B"/>
    <w:rsid w:val="00311095"/>
    <w:rsid w:val="00311618"/>
    <w:rsid w:val="003130C9"/>
    <w:rsid w:val="0031396F"/>
    <w:rsid w:val="00313D0D"/>
    <w:rsid w:val="00313FC8"/>
    <w:rsid w:val="003141B5"/>
    <w:rsid w:val="00315092"/>
    <w:rsid w:val="0031579E"/>
    <w:rsid w:val="0031631F"/>
    <w:rsid w:val="00320D13"/>
    <w:rsid w:val="003212BE"/>
    <w:rsid w:val="003232B1"/>
    <w:rsid w:val="00324183"/>
    <w:rsid w:val="003265F8"/>
    <w:rsid w:val="0032701B"/>
    <w:rsid w:val="00327039"/>
    <w:rsid w:val="00330415"/>
    <w:rsid w:val="00331C44"/>
    <w:rsid w:val="00333F86"/>
    <w:rsid w:val="00334CC4"/>
    <w:rsid w:val="00334ED0"/>
    <w:rsid w:val="00335F44"/>
    <w:rsid w:val="00336F8E"/>
    <w:rsid w:val="0033718F"/>
    <w:rsid w:val="0033760B"/>
    <w:rsid w:val="00337D16"/>
    <w:rsid w:val="003413D3"/>
    <w:rsid w:val="00341A6F"/>
    <w:rsid w:val="00343850"/>
    <w:rsid w:val="00344E6D"/>
    <w:rsid w:val="00344E8A"/>
    <w:rsid w:val="003450BC"/>
    <w:rsid w:val="00345F6A"/>
    <w:rsid w:val="003502F8"/>
    <w:rsid w:val="003509C5"/>
    <w:rsid w:val="003534EF"/>
    <w:rsid w:val="00353FBB"/>
    <w:rsid w:val="0035522C"/>
    <w:rsid w:val="003562EB"/>
    <w:rsid w:val="00361D20"/>
    <w:rsid w:val="003631E1"/>
    <w:rsid w:val="00363A55"/>
    <w:rsid w:val="00363EE3"/>
    <w:rsid w:val="00365B05"/>
    <w:rsid w:val="00367B4B"/>
    <w:rsid w:val="00367DF7"/>
    <w:rsid w:val="00371F22"/>
    <w:rsid w:val="00372B7A"/>
    <w:rsid w:val="003730DD"/>
    <w:rsid w:val="003739C5"/>
    <w:rsid w:val="0037430B"/>
    <w:rsid w:val="003743A6"/>
    <w:rsid w:val="00375117"/>
    <w:rsid w:val="0037519B"/>
    <w:rsid w:val="003763C7"/>
    <w:rsid w:val="00376E56"/>
    <w:rsid w:val="00376E7D"/>
    <w:rsid w:val="00377684"/>
    <w:rsid w:val="003778DA"/>
    <w:rsid w:val="00381666"/>
    <w:rsid w:val="00383416"/>
    <w:rsid w:val="0038675B"/>
    <w:rsid w:val="0038694E"/>
    <w:rsid w:val="0038719F"/>
    <w:rsid w:val="00387EE8"/>
    <w:rsid w:val="003905C9"/>
    <w:rsid w:val="003911F6"/>
    <w:rsid w:val="003913E2"/>
    <w:rsid w:val="003921A3"/>
    <w:rsid w:val="00393A4B"/>
    <w:rsid w:val="00393AD9"/>
    <w:rsid w:val="0039451F"/>
    <w:rsid w:val="003946D7"/>
    <w:rsid w:val="00394C14"/>
    <w:rsid w:val="00394D0E"/>
    <w:rsid w:val="00395742"/>
    <w:rsid w:val="00396423"/>
    <w:rsid w:val="00397BDE"/>
    <w:rsid w:val="003A0152"/>
    <w:rsid w:val="003A0808"/>
    <w:rsid w:val="003A0ADD"/>
    <w:rsid w:val="003A0D51"/>
    <w:rsid w:val="003A20D2"/>
    <w:rsid w:val="003A2AD1"/>
    <w:rsid w:val="003A441F"/>
    <w:rsid w:val="003A5C6A"/>
    <w:rsid w:val="003B0E97"/>
    <w:rsid w:val="003B12D1"/>
    <w:rsid w:val="003B143E"/>
    <w:rsid w:val="003B1E16"/>
    <w:rsid w:val="003B27D9"/>
    <w:rsid w:val="003B2EB8"/>
    <w:rsid w:val="003B35D3"/>
    <w:rsid w:val="003B398B"/>
    <w:rsid w:val="003B4DF3"/>
    <w:rsid w:val="003B5665"/>
    <w:rsid w:val="003B76B8"/>
    <w:rsid w:val="003B7B67"/>
    <w:rsid w:val="003B7FFB"/>
    <w:rsid w:val="003C05C5"/>
    <w:rsid w:val="003C0FF2"/>
    <w:rsid w:val="003C1F44"/>
    <w:rsid w:val="003C2391"/>
    <w:rsid w:val="003C37F0"/>
    <w:rsid w:val="003C3DA8"/>
    <w:rsid w:val="003C451B"/>
    <w:rsid w:val="003C62EA"/>
    <w:rsid w:val="003C6C8D"/>
    <w:rsid w:val="003C6D78"/>
    <w:rsid w:val="003C78F1"/>
    <w:rsid w:val="003C7CC8"/>
    <w:rsid w:val="003D031D"/>
    <w:rsid w:val="003D05DF"/>
    <w:rsid w:val="003D0E0F"/>
    <w:rsid w:val="003D11EF"/>
    <w:rsid w:val="003D2965"/>
    <w:rsid w:val="003D33BE"/>
    <w:rsid w:val="003D53B5"/>
    <w:rsid w:val="003D55D3"/>
    <w:rsid w:val="003D5C9D"/>
    <w:rsid w:val="003E0A64"/>
    <w:rsid w:val="003E25A6"/>
    <w:rsid w:val="003E44DE"/>
    <w:rsid w:val="003E5DED"/>
    <w:rsid w:val="003E6185"/>
    <w:rsid w:val="003F0584"/>
    <w:rsid w:val="003F0BC3"/>
    <w:rsid w:val="003F131B"/>
    <w:rsid w:val="003F20B6"/>
    <w:rsid w:val="003F2183"/>
    <w:rsid w:val="003F2366"/>
    <w:rsid w:val="003F25AE"/>
    <w:rsid w:val="003F2660"/>
    <w:rsid w:val="003F2EAA"/>
    <w:rsid w:val="003F3CB2"/>
    <w:rsid w:val="003F4E9C"/>
    <w:rsid w:val="003F5661"/>
    <w:rsid w:val="003F5935"/>
    <w:rsid w:val="003F5CC6"/>
    <w:rsid w:val="003F6030"/>
    <w:rsid w:val="003F60DF"/>
    <w:rsid w:val="00401DAF"/>
    <w:rsid w:val="00402B7B"/>
    <w:rsid w:val="004030A3"/>
    <w:rsid w:val="0040313A"/>
    <w:rsid w:val="0040347A"/>
    <w:rsid w:val="00404E88"/>
    <w:rsid w:val="00405AEF"/>
    <w:rsid w:val="00405EEE"/>
    <w:rsid w:val="00406471"/>
    <w:rsid w:val="00407D01"/>
    <w:rsid w:val="00413084"/>
    <w:rsid w:val="0041352F"/>
    <w:rsid w:val="00414A0F"/>
    <w:rsid w:val="00415852"/>
    <w:rsid w:val="00415BB3"/>
    <w:rsid w:val="00415C56"/>
    <w:rsid w:val="004174E9"/>
    <w:rsid w:val="00417E93"/>
    <w:rsid w:val="004200F8"/>
    <w:rsid w:val="0042027E"/>
    <w:rsid w:val="004203F4"/>
    <w:rsid w:val="00420DB2"/>
    <w:rsid w:val="004217F1"/>
    <w:rsid w:val="0042219B"/>
    <w:rsid w:val="004223F3"/>
    <w:rsid w:val="004233E5"/>
    <w:rsid w:val="0042489A"/>
    <w:rsid w:val="00425668"/>
    <w:rsid w:val="004256B2"/>
    <w:rsid w:val="00425B5B"/>
    <w:rsid w:val="00425DEA"/>
    <w:rsid w:val="004263BD"/>
    <w:rsid w:val="004264E5"/>
    <w:rsid w:val="0042747E"/>
    <w:rsid w:val="004277DB"/>
    <w:rsid w:val="00430246"/>
    <w:rsid w:val="00430ED4"/>
    <w:rsid w:val="00430F60"/>
    <w:rsid w:val="00431058"/>
    <w:rsid w:val="00431B8D"/>
    <w:rsid w:val="00431E24"/>
    <w:rsid w:val="00434352"/>
    <w:rsid w:val="004352C0"/>
    <w:rsid w:val="004356BD"/>
    <w:rsid w:val="00435871"/>
    <w:rsid w:val="00436259"/>
    <w:rsid w:val="00436A8E"/>
    <w:rsid w:val="004448C0"/>
    <w:rsid w:val="0044718A"/>
    <w:rsid w:val="00447393"/>
    <w:rsid w:val="004475C6"/>
    <w:rsid w:val="00447CFA"/>
    <w:rsid w:val="00451248"/>
    <w:rsid w:val="00452F9A"/>
    <w:rsid w:val="004532B6"/>
    <w:rsid w:val="004539B2"/>
    <w:rsid w:val="004539BB"/>
    <w:rsid w:val="00453B99"/>
    <w:rsid w:val="004548D2"/>
    <w:rsid w:val="00454B74"/>
    <w:rsid w:val="00454DA6"/>
    <w:rsid w:val="00455AC3"/>
    <w:rsid w:val="0045715B"/>
    <w:rsid w:val="004575A1"/>
    <w:rsid w:val="0045780A"/>
    <w:rsid w:val="00457D20"/>
    <w:rsid w:val="00461594"/>
    <w:rsid w:val="00461D5E"/>
    <w:rsid w:val="00462B93"/>
    <w:rsid w:val="00464A88"/>
    <w:rsid w:val="004720B5"/>
    <w:rsid w:val="004720F2"/>
    <w:rsid w:val="004722BB"/>
    <w:rsid w:val="00472D7A"/>
    <w:rsid w:val="004741FB"/>
    <w:rsid w:val="0047444E"/>
    <w:rsid w:val="0047646E"/>
    <w:rsid w:val="0047750C"/>
    <w:rsid w:val="00481B48"/>
    <w:rsid w:val="00481C64"/>
    <w:rsid w:val="00481D2A"/>
    <w:rsid w:val="00482099"/>
    <w:rsid w:val="004825B7"/>
    <w:rsid w:val="004835E5"/>
    <w:rsid w:val="0048493F"/>
    <w:rsid w:val="00485377"/>
    <w:rsid w:val="00486408"/>
    <w:rsid w:val="00491E22"/>
    <w:rsid w:val="004925CE"/>
    <w:rsid w:val="0049298C"/>
    <w:rsid w:val="004931DD"/>
    <w:rsid w:val="004939A7"/>
    <w:rsid w:val="0049478E"/>
    <w:rsid w:val="00494A92"/>
    <w:rsid w:val="00494C62"/>
    <w:rsid w:val="00494E46"/>
    <w:rsid w:val="00495197"/>
    <w:rsid w:val="004955AD"/>
    <w:rsid w:val="00495950"/>
    <w:rsid w:val="0049667C"/>
    <w:rsid w:val="00497F53"/>
    <w:rsid w:val="004A087D"/>
    <w:rsid w:val="004A0DE9"/>
    <w:rsid w:val="004A16B3"/>
    <w:rsid w:val="004A27A0"/>
    <w:rsid w:val="004A363C"/>
    <w:rsid w:val="004A36DF"/>
    <w:rsid w:val="004A3A3C"/>
    <w:rsid w:val="004A3DAF"/>
    <w:rsid w:val="004A45EA"/>
    <w:rsid w:val="004A4E0D"/>
    <w:rsid w:val="004A56B4"/>
    <w:rsid w:val="004A6395"/>
    <w:rsid w:val="004A68F0"/>
    <w:rsid w:val="004A78EE"/>
    <w:rsid w:val="004B1AC6"/>
    <w:rsid w:val="004B1BF4"/>
    <w:rsid w:val="004B2744"/>
    <w:rsid w:val="004B2982"/>
    <w:rsid w:val="004B3884"/>
    <w:rsid w:val="004B3ABB"/>
    <w:rsid w:val="004B5A98"/>
    <w:rsid w:val="004C03BC"/>
    <w:rsid w:val="004C10DC"/>
    <w:rsid w:val="004C1DF7"/>
    <w:rsid w:val="004C2244"/>
    <w:rsid w:val="004C450E"/>
    <w:rsid w:val="004C498A"/>
    <w:rsid w:val="004C5725"/>
    <w:rsid w:val="004C6845"/>
    <w:rsid w:val="004C6BAE"/>
    <w:rsid w:val="004C7229"/>
    <w:rsid w:val="004C72B7"/>
    <w:rsid w:val="004D0850"/>
    <w:rsid w:val="004D0865"/>
    <w:rsid w:val="004D2387"/>
    <w:rsid w:val="004D4C53"/>
    <w:rsid w:val="004D5ABB"/>
    <w:rsid w:val="004D66AC"/>
    <w:rsid w:val="004D72B7"/>
    <w:rsid w:val="004D7990"/>
    <w:rsid w:val="004E0A90"/>
    <w:rsid w:val="004E0FA5"/>
    <w:rsid w:val="004E133E"/>
    <w:rsid w:val="004E1881"/>
    <w:rsid w:val="004E22A0"/>
    <w:rsid w:val="004E3637"/>
    <w:rsid w:val="004E39F7"/>
    <w:rsid w:val="004E4105"/>
    <w:rsid w:val="004E451C"/>
    <w:rsid w:val="004E5F82"/>
    <w:rsid w:val="004E617D"/>
    <w:rsid w:val="004E6286"/>
    <w:rsid w:val="004E70DB"/>
    <w:rsid w:val="004E79F4"/>
    <w:rsid w:val="004F1A5E"/>
    <w:rsid w:val="004F2196"/>
    <w:rsid w:val="004F331F"/>
    <w:rsid w:val="004F387D"/>
    <w:rsid w:val="004F3C95"/>
    <w:rsid w:val="004F470F"/>
    <w:rsid w:val="004F5691"/>
    <w:rsid w:val="004F5747"/>
    <w:rsid w:val="004F62AE"/>
    <w:rsid w:val="004F67A7"/>
    <w:rsid w:val="004F7072"/>
    <w:rsid w:val="004F779D"/>
    <w:rsid w:val="00500736"/>
    <w:rsid w:val="005008A5"/>
    <w:rsid w:val="005026D5"/>
    <w:rsid w:val="0050299F"/>
    <w:rsid w:val="00503245"/>
    <w:rsid w:val="00505CCA"/>
    <w:rsid w:val="0050617F"/>
    <w:rsid w:val="00506A2E"/>
    <w:rsid w:val="00506A58"/>
    <w:rsid w:val="005074D0"/>
    <w:rsid w:val="00510475"/>
    <w:rsid w:val="00510707"/>
    <w:rsid w:val="005124E6"/>
    <w:rsid w:val="00512FBD"/>
    <w:rsid w:val="00514D5F"/>
    <w:rsid w:val="00514EBE"/>
    <w:rsid w:val="005168D3"/>
    <w:rsid w:val="00516E3A"/>
    <w:rsid w:val="00516E79"/>
    <w:rsid w:val="00517901"/>
    <w:rsid w:val="00517A32"/>
    <w:rsid w:val="00522BEA"/>
    <w:rsid w:val="00522E2B"/>
    <w:rsid w:val="005241AC"/>
    <w:rsid w:val="00524836"/>
    <w:rsid w:val="00524A2A"/>
    <w:rsid w:val="005251E4"/>
    <w:rsid w:val="005252BB"/>
    <w:rsid w:val="0052667A"/>
    <w:rsid w:val="005313AC"/>
    <w:rsid w:val="00531C62"/>
    <w:rsid w:val="005329CC"/>
    <w:rsid w:val="00533BEC"/>
    <w:rsid w:val="00534707"/>
    <w:rsid w:val="005364BD"/>
    <w:rsid w:val="00536659"/>
    <w:rsid w:val="00540669"/>
    <w:rsid w:val="005412EA"/>
    <w:rsid w:val="005413C6"/>
    <w:rsid w:val="005437FC"/>
    <w:rsid w:val="005458C8"/>
    <w:rsid w:val="00545AEA"/>
    <w:rsid w:val="00547574"/>
    <w:rsid w:val="00547CEA"/>
    <w:rsid w:val="00550830"/>
    <w:rsid w:val="00550891"/>
    <w:rsid w:val="0055198C"/>
    <w:rsid w:val="00553348"/>
    <w:rsid w:val="005553FB"/>
    <w:rsid w:val="005559CB"/>
    <w:rsid w:val="0055610D"/>
    <w:rsid w:val="005576CB"/>
    <w:rsid w:val="00557B10"/>
    <w:rsid w:val="00557C4E"/>
    <w:rsid w:val="005606C9"/>
    <w:rsid w:val="00560DD7"/>
    <w:rsid w:val="00562719"/>
    <w:rsid w:val="00563C7C"/>
    <w:rsid w:val="0056455F"/>
    <w:rsid w:val="005647F6"/>
    <w:rsid w:val="0056490D"/>
    <w:rsid w:val="005658DD"/>
    <w:rsid w:val="00567D5A"/>
    <w:rsid w:val="00570132"/>
    <w:rsid w:val="0057147F"/>
    <w:rsid w:val="00571F51"/>
    <w:rsid w:val="00572773"/>
    <w:rsid w:val="00574C47"/>
    <w:rsid w:val="0057512D"/>
    <w:rsid w:val="005759EB"/>
    <w:rsid w:val="00576683"/>
    <w:rsid w:val="00577A50"/>
    <w:rsid w:val="00577D77"/>
    <w:rsid w:val="0058088E"/>
    <w:rsid w:val="005812B3"/>
    <w:rsid w:val="00581A6E"/>
    <w:rsid w:val="00581D84"/>
    <w:rsid w:val="00581F2F"/>
    <w:rsid w:val="005822A0"/>
    <w:rsid w:val="005827C0"/>
    <w:rsid w:val="005827DA"/>
    <w:rsid w:val="00583007"/>
    <w:rsid w:val="00583086"/>
    <w:rsid w:val="00583718"/>
    <w:rsid w:val="00583A46"/>
    <w:rsid w:val="0058447C"/>
    <w:rsid w:val="005844EE"/>
    <w:rsid w:val="005847F8"/>
    <w:rsid w:val="005922F6"/>
    <w:rsid w:val="00592921"/>
    <w:rsid w:val="00592D3F"/>
    <w:rsid w:val="00592D43"/>
    <w:rsid w:val="005951AE"/>
    <w:rsid w:val="00595EB1"/>
    <w:rsid w:val="0059699B"/>
    <w:rsid w:val="005977AA"/>
    <w:rsid w:val="005A1700"/>
    <w:rsid w:val="005A183E"/>
    <w:rsid w:val="005A3BBB"/>
    <w:rsid w:val="005A3E01"/>
    <w:rsid w:val="005A47BF"/>
    <w:rsid w:val="005A583C"/>
    <w:rsid w:val="005A5EE2"/>
    <w:rsid w:val="005B0F26"/>
    <w:rsid w:val="005B1E59"/>
    <w:rsid w:val="005B4114"/>
    <w:rsid w:val="005B4AF6"/>
    <w:rsid w:val="005B4EF2"/>
    <w:rsid w:val="005B558B"/>
    <w:rsid w:val="005B5A90"/>
    <w:rsid w:val="005B6232"/>
    <w:rsid w:val="005B7001"/>
    <w:rsid w:val="005B74B5"/>
    <w:rsid w:val="005C0B85"/>
    <w:rsid w:val="005C23F7"/>
    <w:rsid w:val="005C43D4"/>
    <w:rsid w:val="005C5480"/>
    <w:rsid w:val="005C6019"/>
    <w:rsid w:val="005C6974"/>
    <w:rsid w:val="005D060D"/>
    <w:rsid w:val="005D0C69"/>
    <w:rsid w:val="005D0F7B"/>
    <w:rsid w:val="005D28AC"/>
    <w:rsid w:val="005D583B"/>
    <w:rsid w:val="005D695F"/>
    <w:rsid w:val="005E1D0E"/>
    <w:rsid w:val="005E2346"/>
    <w:rsid w:val="005E2FE9"/>
    <w:rsid w:val="005E47DA"/>
    <w:rsid w:val="005E4A17"/>
    <w:rsid w:val="005E5755"/>
    <w:rsid w:val="005E7153"/>
    <w:rsid w:val="005E7909"/>
    <w:rsid w:val="005E7B29"/>
    <w:rsid w:val="005F0808"/>
    <w:rsid w:val="005F093B"/>
    <w:rsid w:val="005F0982"/>
    <w:rsid w:val="005F150A"/>
    <w:rsid w:val="005F194C"/>
    <w:rsid w:val="005F3751"/>
    <w:rsid w:val="005F4826"/>
    <w:rsid w:val="005F50D3"/>
    <w:rsid w:val="00600D25"/>
    <w:rsid w:val="006011FD"/>
    <w:rsid w:val="006025F6"/>
    <w:rsid w:val="00602D51"/>
    <w:rsid w:val="00603A56"/>
    <w:rsid w:val="00605318"/>
    <w:rsid w:val="0060546F"/>
    <w:rsid w:val="00605E98"/>
    <w:rsid w:val="006105C5"/>
    <w:rsid w:val="00610BDE"/>
    <w:rsid w:val="00611263"/>
    <w:rsid w:val="00612980"/>
    <w:rsid w:val="00612BAB"/>
    <w:rsid w:val="00612EBC"/>
    <w:rsid w:val="0061358B"/>
    <w:rsid w:val="00614FA0"/>
    <w:rsid w:val="0061562C"/>
    <w:rsid w:val="00620445"/>
    <w:rsid w:val="006206C2"/>
    <w:rsid w:val="00621CBC"/>
    <w:rsid w:val="006235DD"/>
    <w:rsid w:val="006241E8"/>
    <w:rsid w:val="0062441F"/>
    <w:rsid w:val="00626BDB"/>
    <w:rsid w:val="00626C53"/>
    <w:rsid w:val="0063065D"/>
    <w:rsid w:val="00630939"/>
    <w:rsid w:val="006309B8"/>
    <w:rsid w:val="00630A60"/>
    <w:rsid w:val="00632308"/>
    <w:rsid w:val="00634529"/>
    <w:rsid w:val="0063494B"/>
    <w:rsid w:val="00635A75"/>
    <w:rsid w:val="00640B5C"/>
    <w:rsid w:val="00640E86"/>
    <w:rsid w:val="00640F44"/>
    <w:rsid w:val="00642FD9"/>
    <w:rsid w:val="00643010"/>
    <w:rsid w:val="006432A6"/>
    <w:rsid w:val="0064433C"/>
    <w:rsid w:val="00644597"/>
    <w:rsid w:val="006449FE"/>
    <w:rsid w:val="00644D82"/>
    <w:rsid w:val="006458EA"/>
    <w:rsid w:val="00646584"/>
    <w:rsid w:val="0064677E"/>
    <w:rsid w:val="0065087D"/>
    <w:rsid w:val="00654111"/>
    <w:rsid w:val="006541FE"/>
    <w:rsid w:val="00654267"/>
    <w:rsid w:val="006542B4"/>
    <w:rsid w:val="00655511"/>
    <w:rsid w:val="00656F44"/>
    <w:rsid w:val="00657BB5"/>
    <w:rsid w:val="00657FEF"/>
    <w:rsid w:val="00660383"/>
    <w:rsid w:val="00660E21"/>
    <w:rsid w:val="006610AB"/>
    <w:rsid w:val="00661202"/>
    <w:rsid w:val="00661551"/>
    <w:rsid w:val="0066168B"/>
    <w:rsid w:val="00661E17"/>
    <w:rsid w:val="00661FD7"/>
    <w:rsid w:val="00662256"/>
    <w:rsid w:val="00662325"/>
    <w:rsid w:val="0066375C"/>
    <w:rsid w:val="00664719"/>
    <w:rsid w:val="0066488B"/>
    <w:rsid w:val="006649C2"/>
    <w:rsid w:val="00667798"/>
    <w:rsid w:val="006677C4"/>
    <w:rsid w:val="00667D1D"/>
    <w:rsid w:val="00670FA7"/>
    <w:rsid w:val="00671CB2"/>
    <w:rsid w:val="00672A71"/>
    <w:rsid w:val="006737FB"/>
    <w:rsid w:val="00673CA2"/>
    <w:rsid w:val="006740AC"/>
    <w:rsid w:val="006742AF"/>
    <w:rsid w:val="0067513A"/>
    <w:rsid w:val="00675D22"/>
    <w:rsid w:val="006769BE"/>
    <w:rsid w:val="006775BB"/>
    <w:rsid w:val="0068047B"/>
    <w:rsid w:val="006822C7"/>
    <w:rsid w:val="006824B2"/>
    <w:rsid w:val="0068424D"/>
    <w:rsid w:val="00686B44"/>
    <w:rsid w:val="00686F85"/>
    <w:rsid w:val="00687A52"/>
    <w:rsid w:val="00690D81"/>
    <w:rsid w:val="00691619"/>
    <w:rsid w:val="006918EB"/>
    <w:rsid w:val="00691A1A"/>
    <w:rsid w:val="00691F41"/>
    <w:rsid w:val="0069275D"/>
    <w:rsid w:val="00693B38"/>
    <w:rsid w:val="00694A06"/>
    <w:rsid w:val="00695C9D"/>
    <w:rsid w:val="00697385"/>
    <w:rsid w:val="006973A6"/>
    <w:rsid w:val="006A1288"/>
    <w:rsid w:val="006A28CD"/>
    <w:rsid w:val="006A3DAD"/>
    <w:rsid w:val="006A3DFA"/>
    <w:rsid w:val="006A4E31"/>
    <w:rsid w:val="006A6459"/>
    <w:rsid w:val="006A670E"/>
    <w:rsid w:val="006B025E"/>
    <w:rsid w:val="006B1535"/>
    <w:rsid w:val="006B17D8"/>
    <w:rsid w:val="006B2694"/>
    <w:rsid w:val="006B46F8"/>
    <w:rsid w:val="006B59F4"/>
    <w:rsid w:val="006B6EDE"/>
    <w:rsid w:val="006C05EF"/>
    <w:rsid w:val="006C0C92"/>
    <w:rsid w:val="006C14EF"/>
    <w:rsid w:val="006C2E28"/>
    <w:rsid w:val="006C446E"/>
    <w:rsid w:val="006C45FF"/>
    <w:rsid w:val="006C4C02"/>
    <w:rsid w:val="006C580F"/>
    <w:rsid w:val="006C5A7E"/>
    <w:rsid w:val="006C6CFA"/>
    <w:rsid w:val="006C761C"/>
    <w:rsid w:val="006D0478"/>
    <w:rsid w:val="006D1211"/>
    <w:rsid w:val="006D1590"/>
    <w:rsid w:val="006D250E"/>
    <w:rsid w:val="006D25E2"/>
    <w:rsid w:val="006D2CA1"/>
    <w:rsid w:val="006D2D21"/>
    <w:rsid w:val="006D3381"/>
    <w:rsid w:val="006D5140"/>
    <w:rsid w:val="006D5222"/>
    <w:rsid w:val="006D5D69"/>
    <w:rsid w:val="006D6A82"/>
    <w:rsid w:val="006D702B"/>
    <w:rsid w:val="006D7E9F"/>
    <w:rsid w:val="006E2398"/>
    <w:rsid w:val="006E2B53"/>
    <w:rsid w:val="006E2FA9"/>
    <w:rsid w:val="006E4232"/>
    <w:rsid w:val="006E4584"/>
    <w:rsid w:val="006E4FCE"/>
    <w:rsid w:val="006E5E1A"/>
    <w:rsid w:val="006E630E"/>
    <w:rsid w:val="006F0AF0"/>
    <w:rsid w:val="006F1156"/>
    <w:rsid w:val="006F14A8"/>
    <w:rsid w:val="006F16D3"/>
    <w:rsid w:val="006F1735"/>
    <w:rsid w:val="006F1CE3"/>
    <w:rsid w:val="006F1FC3"/>
    <w:rsid w:val="006F282B"/>
    <w:rsid w:val="006F2C21"/>
    <w:rsid w:val="006F2D61"/>
    <w:rsid w:val="006F364D"/>
    <w:rsid w:val="006F4D02"/>
    <w:rsid w:val="006F53FE"/>
    <w:rsid w:val="006F54E8"/>
    <w:rsid w:val="006F575E"/>
    <w:rsid w:val="006F62B2"/>
    <w:rsid w:val="006F76AB"/>
    <w:rsid w:val="006F77DE"/>
    <w:rsid w:val="006F7DD8"/>
    <w:rsid w:val="007010D5"/>
    <w:rsid w:val="00701189"/>
    <w:rsid w:val="007016FC"/>
    <w:rsid w:val="00701761"/>
    <w:rsid w:val="0070181F"/>
    <w:rsid w:val="007026C2"/>
    <w:rsid w:val="00703035"/>
    <w:rsid w:val="0070377B"/>
    <w:rsid w:val="00705636"/>
    <w:rsid w:val="0070565C"/>
    <w:rsid w:val="00707BD7"/>
    <w:rsid w:val="00711184"/>
    <w:rsid w:val="007113C3"/>
    <w:rsid w:val="00711640"/>
    <w:rsid w:val="0071341A"/>
    <w:rsid w:val="007144D9"/>
    <w:rsid w:val="00714D69"/>
    <w:rsid w:val="0071539D"/>
    <w:rsid w:val="00715915"/>
    <w:rsid w:val="00715A47"/>
    <w:rsid w:val="007164FA"/>
    <w:rsid w:val="00717479"/>
    <w:rsid w:val="007206C0"/>
    <w:rsid w:val="00720DA1"/>
    <w:rsid w:val="0072274F"/>
    <w:rsid w:val="0073020A"/>
    <w:rsid w:val="00730575"/>
    <w:rsid w:val="00731432"/>
    <w:rsid w:val="00732119"/>
    <w:rsid w:val="00733FD5"/>
    <w:rsid w:val="007349B5"/>
    <w:rsid w:val="00735B96"/>
    <w:rsid w:val="007364FB"/>
    <w:rsid w:val="00736DA1"/>
    <w:rsid w:val="0073714E"/>
    <w:rsid w:val="00737A7E"/>
    <w:rsid w:val="00740011"/>
    <w:rsid w:val="007401F1"/>
    <w:rsid w:val="0074073A"/>
    <w:rsid w:val="0074358C"/>
    <w:rsid w:val="00744016"/>
    <w:rsid w:val="007451ED"/>
    <w:rsid w:val="00750731"/>
    <w:rsid w:val="00751C46"/>
    <w:rsid w:val="007522EA"/>
    <w:rsid w:val="00752998"/>
    <w:rsid w:val="00754F44"/>
    <w:rsid w:val="00755A0A"/>
    <w:rsid w:val="007564F5"/>
    <w:rsid w:val="00756854"/>
    <w:rsid w:val="007574FA"/>
    <w:rsid w:val="00757A76"/>
    <w:rsid w:val="00760798"/>
    <w:rsid w:val="00762297"/>
    <w:rsid w:val="007629E2"/>
    <w:rsid w:val="00763C7E"/>
    <w:rsid w:val="00764214"/>
    <w:rsid w:val="007643CB"/>
    <w:rsid w:val="007650C6"/>
    <w:rsid w:val="00766170"/>
    <w:rsid w:val="00766595"/>
    <w:rsid w:val="007666DF"/>
    <w:rsid w:val="00766D7F"/>
    <w:rsid w:val="00766D8F"/>
    <w:rsid w:val="00767449"/>
    <w:rsid w:val="007674B2"/>
    <w:rsid w:val="00771962"/>
    <w:rsid w:val="00772E36"/>
    <w:rsid w:val="007747AA"/>
    <w:rsid w:val="007750C5"/>
    <w:rsid w:val="00775186"/>
    <w:rsid w:val="00776007"/>
    <w:rsid w:val="007763C1"/>
    <w:rsid w:val="0077651D"/>
    <w:rsid w:val="0077686F"/>
    <w:rsid w:val="00777FDA"/>
    <w:rsid w:val="0078047C"/>
    <w:rsid w:val="00780D24"/>
    <w:rsid w:val="00780D83"/>
    <w:rsid w:val="00780F72"/>
    <w:rsid w:val="0078130E"/>
    <w:rsid w:val="00782983"/>
    <w:rsid w:val="00783CAC"/>
    <w:rsid w:val="0078469E"/>
    <w:rsid w:val="00784D91"/>
    <w:rsid w:val="0078500B"/>
    <w:rsid w:val="0078564D"/>
    <w:rsid w:val="00785A71"/>
    <w:rsid w:val="00786C2A"/>
    <w:rsid w:val="00787E6B"/>
    <w:rsid w:val="007909AB"/>
    <w:rsid w:val="00790B14"/>
    <w:rsid w:val="00790FAF"/>
    <w:rsid w:val="0079204E"/>
    <w:rsid w:val="00792A36"/>
    <w:rsid w:val="00792E2D"/>
    <w:rsid w:val="00793584"/>
    <w:rsid w:val="00793658"/>
    <w:rsid w:val="007A052B"/>
    <w:rsid w:val="007A0C8F"/>
    <w:rsid w:val="007A1473"/>
    <w:rsid w:val="007A182D"/>
    <w:rsid w:val="007A1B74"/>
    <w:rsid w:val="007A1BDD"/>
    <w:rsid w:val="007A23A6"/>
    <w:rsid w:val="007A30D6"/>
    <w:rsid w:val="007A35F8"/>
    <w:rsid w:val="007A409E"/>
    <w:rsid w:val="007A45EA"/>
    <w:rsid w:val="007A5678"/>
    <w:rsid w:val="007A6052"/>
    <w:rsid w:val="007B009F"/>
    <w:rsid w:val="007B14E8"/>
    <w:rsid w:val="007B1555"/>
    <w:rsid w:val="007B279A"/>
    <w:rsid w:val="007B2DFF"/>
    <w:rsid w:val="007B567E"/>
    <w:rsid w:val="007B6016"/>
    <w:rsid w:val="007B7607"/>
    <w:rsid w:val="007B7975"/>
    <w:rsid w:val="007C03D2"/>
    <w:rsid w:val="007C040F"/>
    <w:rsid w:val="007C162A"/>
    <w:rsid w:val="007C1749"/>
    <w:rsid w:val="007C19C8"/>
    <w:rsid w:val="007C21A8"/>
    <w:rsid w:val="007C24FF"/>
    <w:rsid w:val="007C2F62"/>
    <w:rsid w:val="007C362D"/>
    <w:rsid w:val="007C4A8D"/>
    <w:rsid w:val="007C5AAB"/>
    <w:rsid w:val="007C5BBC"/>
    <w:rsid w:val="007C69C1"/>
    <w:rsid w:val="007D2A4B"/>
    <w:rsid w:val="007D4C49"/>
    <w:rsid w:val="007D4D03"/>
    <w:rsid w:val="007D5243"/>
    <w:rsid w:val="007D5C92"/>
    <w:rsid w:val="007D6C8B"/>
    <w:rsid w:val="007D7058"/>
    <w:rsid w:val="007E00E2"/>
    <w:rsid w:val="007E3952"/>
    <w:rsid w:val="007E3F7D"/>
    <w:rsid w:val="007E4266"/>
    <w:rsid w:val="007E4AD4"/>
    <w:rsid w:val="007E5435"/>
    <w:rsid w:val="007E6625"/>
    <w:rsid w:val="007E6684"/>
    <w:rsid w:val="007F1C17"/>
    <w:rsid w:val="007F1E52"/>
    <w:rsid w:val="007F1FDF"/>
    <w:rsid w:val="007F2FBF"/>
    <w:rsid w:val="007F40A7"/>
    <w:rsid w:val="007F433F"/>
    <w:rsid w:val="007F45F3"/>
    <w:rsid w:val="007F4AAE"/>
    <w:rsid w:val="007F4B54"/>
    <w:rsid w:val="007F4D8B"/>
    <w:rsid w:val="007F5514"/>
    <w:rsid w:val="007F6A3A"/>
    <w:rsid w:val="00800401"/>
    <w:rsid w:val="00800516"/>
    <w:rsid w:val="00800A3F"/>
    <w:rsid w:val="00801DD1"/>
    <w:rsid w:val="00802A99"/>
    <w:rsid w:val="00802F7B"/>
    <w:rsid w:val="00803B9D"/>
    <w:rsid w:val="00804ED2"/>
    <w:rsid w:val="00804F28"/>
    <w:rsid w:val="00805BB8"/>
    <w:rsid w:val="00805ED2"/>
    <w:rsid w:val="00811D9F"/>
    <w:rsid w:val="008125D1"/>
    <w:rsid w:val="00812643"/>
    <w:rsid w:val="00812C73"/>
    <w:rsid w:val="00812C79"/>
    <w:rsid w:val="0081309C"/>
    <w:rsid w:val="00813722"/>
    <w:rsid w:val="0081506C"/>
    <w:rsid w:val="00816834"/>
    <w:rsid w:val="00817E66"/>
    <w:rsid w:val="008200A6"/>
    <w:rsid w:val="00820A68"/>
    <w:rsid w:val="0082127F"/>
    <w:rsid w:val="008215B7"/>
    <w:rsid w:val="008215C5"/>
    <w:rsid w:val="0082166F"/>
    <w:rsid w:val="0082369D"/>
    <w:rsid w:val="008239A1"/>
    <w:rsid w:val="008246E4"/>
    <w:rsid w:val="0082519F"/>
    <w:rsid w:val="008259FB"/>
    <w:rsid w:val="00825FD4"/>
    <w:rsid w:val="00827003"/>
    <w:rsid w:val="0082746D"/>
    <w:rsid w:val="00827F6B"/>
    <w:rsid w:val="00830F09"/>
    <w:rsid w:val="00831422"/>
    <w:rsid w:val="00831E3D"/>
    <w:rsid w:val="008332D3"/>
    <w:rsid w:val="0083333C"/>
    <w:rsid w:val="00833503"/>
    <w:rsid w:val="008338D3"/>
    <w:rsid w:val="00834B2E"/>
    <w:rsid w:val="0083534F"/>
    <w:rsid w:val="0083691B"/>
    <w:rsid w:val="008400A5"/>
    <w:rsid w:val="00841AD3"/>
    <w:rsid w:val="00842D64"/>
    <w:rsid w:val="00843511"/>
    <w:rsid w:val="00843F88"/>
    <w:rsid w:val="00845345"/>
    <w:rsid w:val="0084777D"/>
    <w:rsid w:val="00847AE7"/>
    <w:rsid w:val="0085079F"/>
    <w:rsid w:val="0085116A"/>
    <w:rsid w:val="00851325"/>
    <w:rsid w:val="00852DFF"/>
    <w:rsid w:val="00853A62"/>
    <w:rsid w:val="008554FD"/>
    <w:rsid w:val="00856BB9"/>
    <w:rsid w:val="00856CF1"/>
    <w:rsid w:val="0086035F"/>
    <w:rsid w:val="00860DDD"/>
    <w:rsid w:val="008621AD"/>
    <w:rsid w:val="00862E9F"/>
    <w:rsid w:val="008645EE"/>
    <w:rsid w:val="00865323"/>
    <w:rsid w:val="00866580"/>
    <w:rsid w:val="00870FC9"/>
    <w:rsid w:val="00871102"/>
    <w:rsid w:val="00871E9D"/>
    <w:rsid w:val="00872225"/>
    <w:rsid w:val="00872645"/>
    <w:rsid w:val="00872693"/>
    <w:rsid w:val="0087364A"/>
    <w:rsid w:val="00874C7C"/>
    <w:rsid w:val="008754DD"/>
    <w:rsid w:val="008766B8"/>
    <w:rsid w:val="0087782E"/>
    <w:rsid w:val="00880687"/>
    <w:rsid w:val="00880796"/>
    <w:rsid w:val="00882585"/>
    <w:rsid w:val="0088302A"/>
    <w:rsid w:val="00884A33"/>
    <w:rsid w:val="00885E9A"/>
    <w:rsid w:val="00886186"/>
    <w:rsid w:val="0088778A"/>
    <w:rsid w:val="008878EA"/>
    <w:rsid w:val="0089086E"/>
    <w:rsid w:val="00891751"/>
    <w:rsid w:val="008919EC"/>
    <w:rsid w:val="00892C9B"/>
    <w:rsid w:val="008941E4"/>
    <w:rsid w:val="00894EB8"/>
    <w:rsid w:val="00895559"/>
    <w:rsid w:val="008961D8"/>
    <w:rsid w:val="00896654"/>
    <w:rsid w:val="00896713"/>
    <w:rsid w:val="008971C4"/>
    <w:rsid w:val="00897396"/>
    <w:rsid w:val="00897431"/>
    <w:rsid w:val="00897991"/>
    <w:rsid w:val="00897CC8"/>
    <w:rsid w:val="008A0CCA"/>
    <w:rsid w:val="008A2DA5"/>
    <w:rsid w:val="008A31B2"/>
    <w:rsid w:val="008A3436"/>
    <w:rsid w:val="008A511C"/>
    <w:rsid w:val="008A5D55"/>
    <w:rsid w:val="008A673B"/>
    <w:rsid w:val="008B1980"/>
    <w:rsid w:val="008B2AF3"/>
    <w:rsid w:val="008B2CD2"/>
    <w:rsid w:val="008B3698"/>
    <w:rsid w:val="008B3748"/>
    <w:rsid w:val="008B4CAA"/>
    <w:rsid w:val="008B58D8"/>
    <w:rsid w:val="008B6314"/>
    <w:rsid w:val="008B729A"/>
    <w:rsid w:val="008C1124"/>
    <w:rsid w:val="008C262F"/>
    <w:rsid w:val="008C2A3C"/>
    <w:rsid w:val="008C30DD"/>
    <w:rsid w:val="008C5E80"/>
    <w:rsid w:val="008C713A"/>
    <w:rsid w:val="008D0859"/>
    <w:rsid w:val="008D137F"/>
    <w:rsid w:val="008D1A24"/>
    <w:rsid w:val="008D1F42"/>
    <w:rsid w:val="008D3596"/>
    <w:rsid w:val="008D3933"/>
    <w:rsid w:val="008D4598"/>
    <w:rsid w:val="008D48A8"/>
    <w:rsid w:val="008D5C01"/>
    <w:rsid w:val="008D5C26"/>
    <w:rsid w:val="008D5E16"/>
    <w:rsid w:val="008D67C1"/>
    <w:rsid w:val="008D728F"/>
    <w:rsid w:val="008E0732"/>
    <w:rsid w:val="008E21AC"/>
    <w:rsid w:val="008E2AB0"/>
    <w:rsid w:val="008E31D3"/>
    <w:rsid w:val="008E402E"/>
    <w:rsid w:val="008E45DC"/>
    <w:rsid w:val="008E6C60"/>
    <w:rsid w:val="008E7627"/>
    <w:rsid w:val="008F0384"/>
    <w:rsid w:val="008F1021"/>
    <w:rsid w:val="008F11E9"/>
    <w:rsid w:val="008F1EEC"/>
    <w:rsid w:val="008F3282"/>
    <w:rsid w:val="008F3CB3"/>
    <w:rsid w:val="008F4B23"/>
    <w:rsid w:val="008F4CBF"/>
    <w:rsid w:val="008F530B"/>
    <w:rsid w:val="008F5701"/>
    <w:rsid w:val="008F5A7C"/>
    <w:rsid w:val="008F5E24"/>
    <w:rsid w:val="008F6F80"/>
    <w:rsid w:val="00901517"/>
    <w:rsid w:val="009027BB"/>
    <w:rsid w:val="00902939"/>
    <w:rsid w:val="009033A0"/>
    <w:rsid w:val="00906E53"/>
    <w:rsid w:val="00907870"/>
    <w:rsid w:val="00907895"/>
    <w:rsid w:val="00907C72"/>
    <w:rsid w:val="00911C28"/>
    <w:rsid w:val="009138D9"/>
    <w:rsid w:val="009143D6"/>
    <w:rsid w:val="00915026"/>
    <w:rsid w:val="00915E35"/>
    <w:rsid w:val="00915F48"/>
    <w:rsid w:val="009161B5"/>
    <w:rsid w:val="009169D2"/>
    <w:rsid w:val="00916B1E"/>
    <w:rsid w:val="00916E99"/>
    <w:rsid w:val="00917225"/>
    <w:rsid w:val="00917EAF"/>
    <w:rsid w:val="009205A0"/>
    <w:rsid w:val="00920E89"/>
    <w:rsid w:val="00921592"/>
    <w:rsid w:val="0092190F"/>
    <w:rsid w:val="0092338C"/>
    <w:rsid w:val="00924CC4"/>
    <w:rsid w:val="00924CD0"/>
    <w:rsid w:val="009275BA"/>
    <w:rsid w:val="0093019B"/>
    <w:rsid w:val="00930B30"/>
    <w:rsid w:val="0093181F"/>
    <w:rsid w:val="00931914"/>
    <w:rsid w:val="00931DE4"/>
    <w:rsid w:val="00932519"/>
    <w:rsid w:val="00932D6A"/>
    <w:rsid w:val="009368A1"/>
    <w:rsid w:val="00937722"/>
    <w:rsid w:val="00942177"/>
    <w:rsid w:val="00942B25"/>
    <w:rsid w:val="009457B2"/>
    <w:rsid w:val="009461A4"/>
    <w:rsid w:val="00946A45"/>
    <w:rsid w:val="0094796B"/>
    <w:rsid w:val="00950118"/>
    <w:rsid w:val="00950BA3"/>
    <w:rsid w:val="00950DCF"/>
    <w:rsid w:val="009511B4"/>
    <w:rsid w:val="00951DEE"/>
    <w:rsid w:val="0095212C"/>
    <w:rsid w:val="0095219A"/>
    <w:rsid w:val="009539CA"/>
    <w:rsid w:val="00955D47"/>
    <w:rsid w:val="00956988"/>
    <w:rsid w:val="00956FD5"/>
    <w:rsid w:val="00957551"/>
    <w:rsid w:val="00957E26"/>
    <w:rsid w:val="0096091A"/>
    <w:rsid w:val="00961208"/>
    <w:rsid w:val="009653EE"/>
    <w:rsid w:val="00966907"/>
    <w:rsid w:val="00966DF8"/>
    <w:rsid w:val="009676EF"/>
    <w:rsid w:val="00970546"/>
    <w:rsid w:val="0097206B"/>
    <w:rsid w:val="0097206D"/>
    <w:rsid w:val="009721D4"/>
    <w:rsid w:val="009724F4"/>
    <w:rsid w:val="00972C48"/>
    <w:rsid w:val="0097307A"/>
    <w:rsid w:val="00973DEC"/>
    <w:rsid w:val="009746F1"/>
    <w:rsid w:val="00977EED"/>
    <w:rsid w:val="0098043A"/>
    <w:rsid w:val="009811C3"/>
    <w:rsid w:val="00981242"/>
    <w:rsid w:val="009821EA"/>
    <w:rsid w:val="00982F24"/>
    <w:rsid w:val="00983C30"/>
    <w:rsid w:val="00983CDC"/>
    <w:rsid w:val="009843D9"/>
    <w:rsid w:val="0098592B"/>
    <w:rsid w:val="00985EAC"/>
    <w:rsid w:val="0098634A"/>
    <w:rsid w:val="009867DC"/>
    <w:rsid w:val="0098685D"/>
    <w:rsid w:val="00986A44"/>
    <w:rsid w:val="00987161"/>
    <w:rsid w:val="00990558"/>
    <w:rsid w:val="00991376"/>
    <w:rsid w:val="0099140E"/>
    <w:rsid w:val="0099321C"/>
    <w:rsid w:val="00993B30"/>
    <w:rsid w:val="00993B99"/>
    <w:rsid w:val="009942DB"/>
    <w:rsid w:val="00994AE4"/>
    <w:rsid w:val="009955B3"/>
    <w:rsid w:val="00995AE8"/>
    <w:rsid w:val="009961C1"/>
    <w:rsid w:val="009961C7"/>
    <w:rsid w:val="00997624"/>
    <w:rsid w:val="009A07F4"/>
    <w:rsid w:val="009A1C94"/>
    <w:rsid w:val="009A21CF"/>
    <w:rsid w:val="009A2EE8"/>
    <w:rsid w:val="009A4A6C"/>
    <w:rsid w:val="009A504D"/>
    <w:rsid w:val="009A7018"/>
    <w:rsid w:val="009A7504"/>
    <w:rsid w:val="009B1C04"/>
    <w:rsid w:val="009B209F"/>
    <w:rsid w:val="009B2F51"/>
    <w:rsid w:val="009B4430"/>
    <w:rsid w:val="009B4E66"/>
    <w:rsid w:val="009C078C"/>
    <w:rsid w:val="009C4873"/>
    <w:rsid w:val="009C4D90"/>
    <w:rsid w:val="009C59DA"/>
    <w:rsid w:val="009C6814"/>
    <w:rsid w:val="009C6B39"/>
    <w:rsid w:val="009C7EB3"/>
    <w:rsid w:val="009D02C7"/>
    <w:rsid w:val="009D12C9"/>
    <w:rsid w:val="009D1FFD"/>
    <w:rsid w:val="009D2088"/>
    <w:rsid w:val="009D2CA4"/>
    <w:rsid w:val="009D3CF9"/>
    <w:rsid w:val="009D517C"/>
    <w:rsid w:val="009D548D"/>
    <w:rsid w:val="009D54A2"/>
    <w:rsid w:val="009D5766"/>
    <w:rsid w:val="009D5B59"/>
    <w:rsid w:val="009D6855"/>
    <w:rsid w:val="009D69DE"/>
    <w:rsid w:val="009D7144"/>
    <w:rsid w:val="009D771A"/>
    <w:rsid w:val="009D7837"/>
    <w:rsid w:val="009D7E22"/>
    <w:rsid w:val="009E05E0"/>
    <w:rsid w:val="009E141D"/>
    <w:rsid w:val="009E22D8"/>
    <w:rsid w:val="009E2ACA"/>
    <w:rsid w:val="009E2D46"/>
    <w:rsid w:val="009E3362"/>
    <w:rsid w:val="009E3D01"/>
    <w:rsid w:val="009E3EBA"/>
    <w:rsid w:val="009E4E27"/>
    <w:rsid w:val="009E68B8"/>
    <w:rsid w:val="009E6A50"/>
    <w:rsid w:val="009E6FE4"/>
    <w:rsid w:val="009E718D"/>
    <w:rsid w:val="009E7DD6"/>
    <w:rsid w:val="009F091C"/>
    <w:rsid w:val="009F12E6"/>
    <w:rsid w:val="009F2445"/>
    <w:rsid w:val="009F2CF2"/>
    <w:rsid w:val="009F2EC1"/>
    <w:rsid w:val="009F2EEA"/>
    <w:rsid w:val="009F2FB3"/>
    <w:rsid w:val="009F2FEE"/>
    <w:rsid w:val="009F701B"/>
    <w:rsid w:val="00A00209"/>
    <w:rsid w:val="00A00571"/>
    <w:rsid w:val="00A00BF0"/>
    <w:rsid w:val="00A0109B"/>
    <w:rsid w:val="00A012B9"/>
    <w:rsid w:val="00A01778"/>
    <w:rsid w:val="00A02CDC"/>
    <w:rsid w:val="00A0329A"/>
    <w:rsid w:val="00A03981"/>
    <w:rsid w:val="00A03C8A"/>
    <w:rsid w:val="00A040FA"/>
    <w:rsid w:val="00A049D3"/>
    <w:rsid w:val="00A04C36"/>
    <w:rsid w:val="00A05111"/>
    <w:rsid w:val="00A05706"/>
    <w:rsid w:val="00A05B62"/>
    <w:rsid w:val="00A065CF"/>
    <w:rsid w:val="00A06766"/>
    <w:rsid w:val="00A071AF"/>
    <w:rsid w:val="00A0754F"/>
    <w:rsid w:val="00A10F29"/>
    <w:rsid w:val="00A11050"/>
    <w:rsid w:val="00A11434"/>
    <w:rsid w:val="00A117EB"/>
    <w:rsid w:val="00A128CE"/>
    <w:rsid w:val="00A140E7"/>
    <w:rsid w:val="00A144AF"/>
    <w:rsid w:val="00A144F4"/>
    <w:rsid w:val="00A149D6"/>
    <w:rsid w:val="00A154EE"/>
    <w:rsid w:val="00A155A8"/>
    <w:rsid w:val="00A17040"/>
    <w:rsid w:val="00A1764B"/>
    <w:rsid w:val="00A177B0"/>
    <w:rsid w:val="00A17EE9"/>
    <w:rsid w:val="00A22EAC"/>
    <w:rsid w:val="00A24693"/>
    <w:rsid w:val="00A24C49"/>
    <w:rsid w:val="00A24F60"/>
    <w:rsid w:val="00A259AE"/>
    <w:rsid w:val="00A30F9E"/>
    <w:rsid w:val="00A32166"/>
    <w:rsid w:val="00A321E2"/>
    <w:rsid w:val="00A32215"/>
    <w:rsid w:val="00A323D1"/>
    <w:rsid w:val="00A326AC"/>
    <w:rsid w:val="00A3325D"/>
    <w:rsid w:val="00A341D5"/>
    <w:rsid w:val="00A34538"/>
    <w:rsid w:val="00A34F5F"/>
    <w:rsid w:val="00A35198"/>
    <w:rsid w:val="00A3789D"/>
    <w:rsid w:val="00A378AD"/>
    <w:rsid w:val="00A37B65"/>
    <w:rsid w:val="00A4243C"/>
    <w:rsid w:val="00A43F45"/>
    <w:rsid w:val="00A4704C"/>
    <w:rsid w:val="00A47669"/>
    <w:rsid w:val="00A505DB"/>
    <w:rsid w:val="00A511D2"/>
    <w:rsid w:val="00A51728"/>
    <w:rsid w:val="00A518CD"/>
    <w:rsid w:val="00A5207F"/>
    <w:rsid w:val="00A52129"/>
    <w:rsid w:val="00A52EF9"/>
    <w:rsid w:val="00A53117"/>
    <w:rsid w:val="00A574D1"/>
    <w:rsid w:val="00A5787A"/>
    <w:rsid w:val="00A605EC"/>
    <w:rsid w:val="00A60C0B"/>
    <w:rsid w:val="00A61500"/>
    <w:rsid w:val="00A6168D"/>
    <w:rsid w:val="00A616AE"/>
    <w:rsid w:val="00A630D0"/>
    <w:rsid w:val="00A647F3"/>
    <w:rsid w:val="00A64ACA"/>
    <w:rsid w:val="00A665CE"/>
    <w:rsid w:val="00A667D4"/>
    <w:rsid w:val="00A66BA2"/>
    <w:rsid w:val="00A66C64"/>
    <w:rsid w:val="00A674E7"/>
    <w:rsid w:val="00A67860"/>
    <w:rsid w:val="00A67D53"/>
    <w:rsid w:val="00A706FB"/>
    <w:rsid w:val="00A70FBB"/>
    <w:rsid w:val="00A72202"/>
    <w:rsid w:val="00A752E6"/>
    <w:rsid w:val="00A75E33"/>
    <w:rsid w:val="00A765C5"/>
    <w:rsid w:val="00A77E1F"/>
    <w:rsid w:val="00A80465"/>
    <w:rsid w:val="00A804BF"/>
    <w:rsid w:val="00A80BA2"/>
    <w:rsid w:val="00A821C7"/>
    <w:rsid w:val="00A8264B"/>
    <w:rsid w:val="00A827C6"/>
    <w:rsid w:val="00A834D1"/>
    <w:rsid w:val="00A84879"/>
    <w:rsid w:val="00A849D2"/>
    <w:rsid w:val="00A84CB5"/>
    <w:rsid w:val="00A85651"/>
    <w:rsid w:val="00A868EA"/>
    <w:rsid w:val="00A911EC"/>
    <w:rsid w:val="00A91AD5"/>
    <w:rsid w:val="00A9312A"/>
    <w:rsid w:val="00A93372"/>
    <w:rsid w:val="00A933FD"/>
    <w:rsid w:val="00A93523"/>
    <w:rsid w:val="00A9412A"/>
    <w:rsid w:val="00A9503F"/>
    <w:rsid w:val="00A95302"/>
    <w:rsid w:val="00A9572D"/>
    <w:rsid w:val="00A9630F"/>
    <w:rsid w:val="00A967E6"/>
    <w:rsid w:val="00AA04DA"/>
    <w:rsid w:val="00AA14BC"/>
    <w:rsid w:val="00AA1D38"/>
    <w:rsid w:val="00AA235B"/>
    <w:rsid w:val="00AA2A53"/>
    <w:rsid w:val="00AA664E"/>
    <w:rsid w:val="00AA6CEC"/>
    <w:rsid w:val="00AA744C"/>
    <w:rsid w:val="00AA7F01"/>
    <w:rsid w:val="00AB130B"/>
    <w:rsid w:val="00AB2DCD"/>
    <w:rsid w:val="00AB32BD"/>
    <w:rsid w:val="00AB3747"/>
    <w:rsid w:val="00AB37CC"/>
    <w:rsid w:val="00AB3E5C"/>
    <w:rsid w:val="00AB5C83"/>
    <w:rsid w:val="00AB626D"/>
    <w:rsid w:val="00AB73A9"/>
    <w:rsid w:val="00AC04C9"/>
    <w:rsid w:val="00AC0E8E"/>
    <w:rsid w:val="00AC14D2"/>
    <w:rsid w:val="00AC3047"/>
    <w:rsid w:val="00AC32ED"/>
    <w:rsid w:val="00AC3878"/>
    <w:rsid w:val="00AC44A3"/>
    <w:rsid w:val="00AC45B4"/>
    <w:rsid w:val="00AC4A2C"/>
    <w:rsid w:val="00AC6260"/>
    <w:rsid w:val="00AC6EA5"/>
    <w:rsid w:val="00AC7810"/>
    <w:rsid w:val="00AC7AA3"/>
    <w:rsid w:val="00AC7ADF"/>
    <w:rsid w:val="00AC7F27"/>
    <w:rsid w:val="00AC7FFA"/>
    <w:rsid w:val="00AD20D0"/>
    <w:rsid w:val="00AD2203"/>
    <w:rsid w:val="00AD3007"/>
    <w:rsid w:val="00AD3F9C"/>
    <w:rsid w:val="00AD496D"/>
    <w:rsid w:val="00AD4AB7"/>
    <w:rsid w:val="00AD64F7"/>
    <w:rsid w:val="00AD684E"/>
    <w:rsid w:val="00AE06A8"/>
    <w:rsid w:val="00AE17E5"/>
    <w:rsid w:val="00AE1BD4"/>
    <w:rsid w:val="00AE2670"/>
    <w:rsid w:val="00AE4770"/>
    <w:rsid w:val="00AE6485"/>
    <w:rsid w:val="00AE6E0F"/>
    <w:rsid w:val="00AE73A9"/>
    <w:rsid w:val="00AF0A8C"/>
    <w:rsid w:val="00AF0BA8"/>
    <w:rsid w:val="00AF2158"/>
    <w:rsid w:val="00AF21CF"/>
    <w:rsid w:val="00AF22D6"/>
    <w:rsid w:val="00AF231C"/>
    <w:rsid w:val="00AF237D"/>
    <w:rsid w:val="00AF3AC8"/>
    <w:rsid w:val="00AF3E37"/>
    <w:rsid w:val="00AF42BF"/>
    <w:rsid w:val="00AF469E"/>
    <w:rsid w:val="00AF4E42"/>
    <w:rsid w:val="00AF5CC9"/>
    <w:rsid w:val="00AF6F7F"/>
    <w:rsid w:val="00AF7427"/>
    <w:rsid w:val="00AF749D"/>
    <w:rsid w:val="00AF7E75"/>
    <w:rsid w:val="00B01185"/>
    <w:rsid w:val="00B01741"/>
    <w:rsid w:val="00B01829"/>
    <w:rsid w:val="00B02AA2"/>
    <w:rsid w:val="00B04D6C"/>
    <w:rsid w:val="00B053EF"/>
    <w:rsid w:val="00B0583F"/>
    <w:rsid w:val="00B06DF9"/>
    <w:rsid w:val="00B104C1"/>
    <w:rsid w:val="00B10F43"/>
    <w:rsid w:val="00B14BCF"/>
    <w:rsid w:val="00B14C29"/>
    <w:rsid w:val="00B150B3"/>
    <w:rsid w:val="00B15468"/>
    <w:rsid w:val="00B15956"/>
    <w:rsid w:val="00B16087"/>
    <w:rsid w:val="00B16324"/>
    <w:rsid w:val="00B16CEF"/>
    <w:rsid w:val="00B17463"/>
    <w:rsid w:val="00B176CA"/>
    <w:rsid w:val="00B2098E"/>
    <w:rsid w:val="00B20C2E"/>
    <w:rsid w:val="00B24727"/>
    <w:rsid w:val="00B254C9"/>
    <w:rsid w:val="00B25A39"/>
    <w:rsid w:val="00B25CE2"/>
    <w:rsid w:val="00B25F00"/>
    <w:rsid w:val="00B262CD"/>
    <w:rsid w:val="00B26365"/>
    <w:rsid w:val="00B266F7"/>
    <w:rsid w:val="00B26B0A"/>
    <w:rsid w:val="00B26B2F"/>
    <w:rsid w:val="00B26FCE"/>
    <w:rsid w:val="00B300D8"/>
    <w:rsid w:val="00B30CCF"/>
    <w:rsid w:val="00B342C9"/>
    <w:rsid w:val="00B34828"/>
    <w:rsid w:val="00B364A1"/>
    <w:rsid w:val="00B365DE"/>
    <w:rsid w:val="00B371E3"/>
    <w:rsid w:val="00B37E39"/>
    <w:rsid w:val="00B4069C"/>
    <w:rsid w:val="00B41837"/>
    <w:rsid w:val="00B41A3F"/>
    <w:rsid w:val="00B41D95"/>
    <w:rsid w:val="00B42E2F"/>
    <w:rsid w:val="00B43CCF"/>
    <w:rsid w:val="00B44059"/>
    <w:rsid w:val="00B4454A"/>
    <w:rsid w:val="00B44952"/>
    <w:rsid w:val="00B4514D"/>
    <w:rsid w:val="00B45DB6"/>
    <w:rsid w:val="00B46B81"/>
    <w:rsid w:val="00B46ED1"/>
    <w:rsid w:val="00B50CE5"/>
    <w:rsid w:val="00B50F5E"/>
    <w:rsid w:val="00B50F75"/>
    <w:rsid w:val="00B51843"/>
    <w:rsid w:val="00B524E9"/>
    <w:rsid w:val="00B534FC"/>
    <w:rsid w:val="00B53C4A"/>
    <w:rsid w:val="00B53D9A"/>
    <w:rsid w:val="00B57508"/>
    <w:rsid w:val="00B61DDA"/>
    <w:rsid w:val="00B622A3"/>
    <w:rsid w:val="00B62459"/>
    <w:rsid w:val="00B638B9"/>
    <w:rsid w:val="00B642EA"/>
    <w:rsid w:val="00B66F6F"/>
    <w:rsid w:val="00B71400"/>
    <w:rsid w:val="00B71439"/>
    <w:rsid w:val="00B7180C"/>
    <w:rsid w:val="00B72685"/>
    <w:rsid w:val="00B72A3A"/>
    <w:rsid w:val="00B7523A"/>
    <w:rsid w:val="00B763D3"/>
    <w:rsid w:val="00B76665"/>
    <w:rsid w:val="00B77C5A"/>
    <w:rsid w:val="00B805A8"/>
    <w:rsid w:val="00B807D9"/>
    <w:rsid w:val="00B811A8"/>
    <w:rsid w:val="00B8123C"/>
    <w:rsid w:val="00B81763"/>
    <w:rsid w:val="00B81EB8"/>
    <w:rsid w:val="00B82A66"/>
    <w:rsid w:val="00B82B3A"/>
    <w:rsid w:val="00B83709"/>
    <w:rsid w:val="00B83E82"/>
    <w:rsid w:val="00B877B1"/>
    <w:rsid w:val="00B87B0C"/>
    <w:rsid w:val="00B87C28"/>
    <w:rsid w:val="00B87D4B"/>
    <w:rsid w:val="00B90A37"/>
    <w:rsid w:val="00B90CFE"/>
    <w:rsid w:val="00B91C9E"/>
    <w:rsid w:val="00B92C41"/>
    <w:rsid w:val="00B93432"/>
    <w:rsid w:val="00B94207"/>
    <w:rsid w:val="00B944CF"/>
    <w:rsid w:val="00B9459E"/>
    <w:rsid w:val="00B945B1"/>
    <w:rsid w:val="00B94B3B"/>
    <w:rsid w:val="00B96BA7"/>
    <w:rsid w:val="00B96C77"/>
    <w:rsid w:val="00B972E3"/>
    <w:rsid w:val="00B97C1F"/>
    <w:rsid w:val="00BA02B6"/>
    <w:rsid w:val="00BA41C0"/>
    <w:rsid w:val="00BA43B9"/>
    <w:rsid w:val="00BA451A"/>
    <w:rsid w:val="00BA482E"/>
    <w:rsid w:val="00BA64A6"/>
    <w:rsid w:val="00BA65B5"/>
    <w:rsid w:val="00BB0E59"/>
    <w:rsid w:val="00BB0EE4"/>
    <w:rsid w:val="00BB0F0E"/>
    <w:rsid w:val="00BB1CD1"/>
    <w:rsid w:val="00BB25B3"/>
    <w:rsid w:val="00BB2EB7"/>
    <w:rsid w:val="00BB42DC"/>
    <w:rsid w:val="00BB4949"/>
    <w:rsid w:val="00BB4E21"/>
    <w:rsid w:val="00BB569D"/>
    <w:rsid w:val="00BB57D8"/>
    <w:rsid w:val="00BB6379"/>
    <w:rsid w:val="00BB655F"/>
    <w:rsid w:val="00BB6E93"/>
    <w:rsid w:val="00BB6F64"/>
    <w:rsid w:val="00BB7241"/>
    <w:rsid w:val="00BC39FB"/>
    <w:rsid w:val="00BC3E0E"/>
    <w:rsid w:val="00BC4B19"/>
    <w:rsid w:val="00BC70B7"/>
    <w:rsid w:val="00BD0075"/>
    <w:rsid w:val="00BD0109"/>
    <w:rsid w:val="00BD077C"/>
    <w:rsid w:val="00BD08B7"/>
    <w:rsid w:val="00BD17E2"/>
    <w:rsid w:val="00BD18AA"/>
    <w:rsid w:val="00BD326C"/>
    <w:rsid w:val="00BD3602"/>
    <w:rsid w:val="00BD3A63"/>
    <w:rsid w:val="00BD52E1"/>
    <w:rsid w:val="00BD5313"/>
    <w:rsid w:val="00BD6EB7"/>
    <w:rsid w:val="00BD75DA"/>
    <w:rsid w:val="00BE00CF"/>
    <w:rsid w:val="00BE02E1"/>
    <w:rsid w:val="00BE1590"/>
    <w:rsid w:val="00BE15AD"/>
    <w:rsid w:val="00BE172A"/>
    <w:rsid w:val="00BE1E94"/>
    <w:rsid w:val="00BE2075"/>
    <w:rsid w:val="00BE2F23"/>
    <w:rsid w:val="00BE333F"/>
    <w:rsid w:val="00BE3601"/>
    <w:rsid w:val="00BE4198"/>
    <w:rsid w:val="00BE5BF6"/>
    <w:rsid w:val="00BE677E"/>
    <w:rsid w:val="00BE6AD6"/>
    <w:rsid w:val="00BE6CCB"/>
    <w:rsid w:val="00BF2FEF"/>
    <w:rsid w:val="00BF3281"/>
    <w:rsid w:val="00BF3863"/>
    <w:rsid w:val="00BF3B8C"/>
    <w:rsid w:val="00BF4C9E"/>
    <w:rsid w:val="00BF5309"/>
    <w:rsid w:val="00C00400"/>
    <w:rsid w:val="00C00E0A"/>
    <w:rsid w:val="00C017AA"/>
    <w:rsid w:val="00C01D75"/>
    <w:rsid w:val="00C02B4F"/>
    <w:rsid w:val="00C02B56"/>
    <w:rsid w:val="00C02D90"/>
    <w:rsid w:val="00C05AE5"/>
    <w:rsid w:val="00C05FAF"/>
    <w:rsid w:val="00C10A3D"/>
    <w:rsid w:val="00C10DD3"/>
    <w:rsid w:val="00C13ADD"/>
    <w:rsid w:val="00C14091"/>
    <w:rsid w:val="00C17030"/>
    <w:rsid w:val="00C170B1"/>
    <w:rsid w:val="00C17360"/>
    <w:rsid w:val="00C203CE"/>
    <w:rsid w:val="00C211E3"/>
    <w:rsid w:val="00C217ED"/>
    <w:rsid w:val="00C225D9"/>
    <w:rsid w:val="00C22B12"/>
    <w:rsid w:val="00C236C3"/>
    <w:rsid w:val="00C24B8A"/>
    <w:rsid w:val="00C24D12"/>
    <w:rsid w:val="00C2529D"/>
    <w:rsid w:val="00C25C44"/>
    <w:rsid w:val="00C2798B"/>
    <w:rsid w:val="00C27DEF"/>
    <w:rsid w:val="00C30372"/>
    <w:rsid w:val="00C309D1"/>
    <w:rsid w:val="00C31456"/>
    <w:rsid w:val="00C337BA"/>
    <w:rsid w:val="00C349BE"/>
    <w:rsid w:val="00C34AC6"/>
    <w:rsid w:val="00C34D8C"/>
    <w:rsid w:val="00C34F75"/>
    <w:rsid w:val="00C34FCF"/>
    <w:rsid w:val="00C36333"/>
    <w:rsid w:val="00C36FCF"/>
    <w:rsid w:val="00C37950"/>
    <w:rsid w:val="00C37A06"/>
    <w:rsid w:val="00C37F8B"/>
    <w:rsid w:val="00C40953"/>
    <w:rsid w:val="00C40FE8"/>
    <w:rsid w:val="00C41251"/>
    <w:rsid w:val="00C446DD"/>
    <w:rsid w:val="00C44F41"/>
    <w:rsid w:val="00C450F3"/>
    <w:rsid w:val="00C4567B"/>
    <w:rsid w:val="00C45E06"/>
    <w:rsid w:val="00C4667E"/>
    <w:rsid w:val="00C508FA"/>
    <w:rsid w:val="00C50B45"/>
    <w:rsid w:val="00C50DB0"/>
    <w:rsid w:val="00C511A5"/>
    <w:rsid w:val="00C517C4"/>
    <w:rsid w:val="00C52130"/>
    <w:rsid w:val="00C522CF"/>
    <w:rsid w:val="00C52658"/>
    <w:rsid w:val="00C53125"/>
    <w:rsid w:val="00C533A7"/>
    <w:rsid w:val="00C543C4"/>
    <w:rsid w:val="00C5542C"/>
    <w:rsid w:val="00C56D50"/>
    <w:rsid w:val="00C61877"/>
    <w:rsid w:val="00C61A33"/>
    <w:rsid w:val="00C6278F"/>
    <w:rsid w:val="00C628A9"/>
    <w:rsid w:val="00C62F87"/>
    <w:rsid w:val="00C643AA"/>
    <w:rsid w:val="00C6486D"/>
    <w:rsid w:val="00C64CC4"/>
    <w:rsid w:val="00C65772"/>
    <w:rsid w:val="00C663A0"/>
    <w:rsid w:val="00C67029"/>
    <w:rsid w:val="00C716AA"/>
    <w:rsid w:val="00C71864"/>
    <w:rsid w:val="00C71FCE"/>
    <w:rsid w:val="00C721E2"/>
    <w:rsid w:val="00C721ED"/>
    <w:rsid w:val="00C724A5"/>
    <w:rsid w:val="00C74096"/>
    <w:rsid w:val="00C74208"/>
    <w:rsid w:val="00C75A32"/>
    <w:rsid w:val="00C75E6E"/>
    <w:rsid w:val="00C7797D"/>
    <w:rsid w:val="00C827F6"/>
    <w:rsid w:val="00C83B71"/>
    <w:rsid w:val="00C9275A"/>
    <w:rsid w:val="00C94659"/>
    <w:rsid w:val="00C95263"/>
    <w:rsid w:val="00C95A44"/>
    <w:rsid w:val="00C96903"/>
    <w:rsid w:val="00CA0B9F"/>
    <w:rsid w:val="00CA12DC"/>
    <w:rsid w:val="00CA1355"/>
    <w:rsid w:val="00CA1671"/>
    <w:rsid w:val="00CA16DF"/>
    <w:rsid w:val="00CA19BE"/>
    <w:rsid w:val="00CA2762"/>
    <w:rsid w:val="00CA5708"/>
    <w:rsid w:val="00CA704D"/>
    <w:rsid w:val="00CA7D0A"/>
    <w:rsid w:val="00CA7F6D"/>
    <w:rsid w:val="00CB1A7D"/>
    <w:rsid w:val="00CB5688"/>
    <w:rsid w:val="00CB5F25"/>
    <w:rsid w:val="00CB62CF"/>
    <w:rsid w:val="00CB6CC5"/>
    <w:rsid w:val="00CB7772"/>
    <w:rsid w:val="00CC0C91"/>
    <w:rsid w:val="00CC1495"/>
    <w:rsid w:val="00CC1D73"/>
    <w:rsid w:val="00CC1DD9"/>
    <w:rsid w:val="00CC3362"/>
    <w:rsid w:val="00CC3B67"/>
    <w:rsid w:val="00CC3D3A"/>
    <w:rsid w:val="00CC41D1"/>
    <w:rsid w:val="00CC51CC"/>
    <w:rsid w:val="00CC544A"/>
    <w:rsid w:val="00CC6293"/>
    <w:rsid w:val="00CC7A0A"/>
    <w:rsid w:val="00CD06CA"/>
    <w:rsid w:val="00CD0DF0"/>
    <w:rsid w:val="00CD179F"/>
    <w:rsid w:val="00CD1DC5"/>
    <w:rsid w:val="00CD3F26"/>
    <w:rsid w:val="00CD4674"/>
    <w:rsid w:val="00CD4756"/>
    <w:rsid w:val="00CD4FF9"/>
    <w:rsid w:val="00CD50A1"/>
    <w:rsid w:val="00CD651D"/>
    <w:rsid w:val="00CD7554"/>
    <w:rsid w:val="00CE079F"/>
    <w:rsid w:val="00CE0B91"/>
    <w:rsid w:val="00CE138D"/>
    <w:rsid w:val="00CE25C4"/>
    <w:rsid w:val="00CE28A6"/>
    <w:rsid w:val="00CE2D83"/>
    <w:rsid w:val="00CE4818"/>
    <w:rsid w:val="00CE4965"/>
    <w:rsid w:val="00CE4EC7"/>
    <w:rsid w:val="00CE4F66"/>
    <w:rsid w:val="00CE542C"/>
    <w:rsid w:val="00CE55DE"/>
    <w:rsid w:val="00CE6372"/>
    <w:rsid w:val="00CE6662"/>
    <w:rsid w:val="00CE6B18"/>
    <w:rsid w:val="00CE750B"/>
    <w:rsid w:val="00CE7850"/>
    <w:rsid w:val="00CF0692"/>
    <w:rsid w:val="00CF216A"/>
    <w:rsid w:val="00CF4672"/>
    <w:rsid w:val="00CF4CCD"/>
    <w:rsid w:val="00CF5B6F"/>
    <w:rsid w:val="00D0023F"/>
    <w:rsid w:val="00D004E0"/>
    <w:rsid w:val="00D02325"/>
    <w:rsid w:val="00D02C9D"/>
    <w:rsid w:val="00D04711"/>
    <w:rsid w:val="00D0484F"/>
    <w:rsid w:val="00D048E0"/>
    <w:rsid w:val="00D04906"/>
    <w:rsid w:val="00D04BF9"/>
    <w:rsid w:val="00D0657A"/>
    <w:rsid w:val="00D06AB1"/>
    <w:rsid w:val="00D06BE8"/>
    <w:rsid w:val="00D070CC"/>
    <w:rsid w:val="00D076DE"/>
    <w:rsid w:val="00D11BDC"/>
    <w:rsid w:val="00D12D91"/>
    <w:rsid w:val="00D144B4"/>
    <w:rsid w:val="00D147C8"/>
    <w:rsid w:val="00D14D6F"/>
    <w:rsid w:val="00D171F6"/>
    <w:rsid w:val="00D201D0"/>
    <w:rsid w:val="00D20683"/>
    <w:rsid w:val="00D20E29"/>
    <w:rsid w:val="00D21309"/>
    <w:rsid w:val="00D21B1A"/>
    <w:rsid w:val="00D221F3"/>
    <w:rsid w:val="00D23A41"/>
    <w:rsid w:val="00D24A48"/>
    <w:rsid w:val="00D24D5D"/>
    <w:rsid w:val="00D26678"/>
    <w:rsid w:val="00D26F8E"/>
    <w:rsid w:val="00D27684"/>
    <w:rsid w:val="00D30436"/>
    <w:rsid w:val="00D31EE4"/>
    <w:rsid w:val="00D32FB0"/>
    <w:rsid w:val="00D3342C"/>
    <w:rsid w:val="00D34476"/>
    <w:rsid w:val="00D354A0"/>
    <w:rsid w:val="00D35555"/>
    <w:rsid w:val="00D35925"/>
    <w:rsid w:val="00D36D45"/>
    <w:rsid w:val="00D40ACC"/>
    <w:rsid w:val="00D41377"/>
    <w:rsid w:val="00D4172F"/>
    <w:rsid w:val="00D41D8F"/>
    <w:rsid w:val="00D42211"/>
    <w:rsid w:val="00D42823"/>
    <w:rsid w:val="00D42E79"/>
    <w:rsid w:val="00D44265"/>
    <w:rsid w:val="00D44B1C"/>
    <w:rsid w:val="00D47110"/>
    <w:rsid w:val="00D473A7"/>
    <w:rsid w:val="00D475E8"/>
    <w:rsid w:val="00D47841"/>
    <w:rsid w:val="00D47DF6"/>
    <w:rsid w:val="00D50FCF"/>
    <w:rsid w:val="00D51B7F"/>
    <w:rsid w:val="00D52100"/>
    <w:rsid w:val="00D523AE"/>
    <w:rsid w:val="00D527DF"/>
    <w:rsid w:val="00D5302D"/>
    <w:rsid w:val="00D53832"/>
    <w:rsid w:val="00D53C6C"/>
    <w:rsid w:val="00D54FB1"/>
    <w:rsid w:val="00D550BC"/>
    <w:rsid w:val="00D5686D"/>
    <w:rsid w:val="00D573B0"/>
    <w:rsid w:val="00D57A61"/>
    <w:rsid w:val="00D615A5"/>
    <w:rsid w:val="00D626CA"/>
    <w:rsid w:val="00D643E1"/>
    <w:rsid w:val="00D64BE3"/>
    <w:rsid w:val="00D65969"/>
    <w:rsid w:val="00D65B09"/>
    <w:rsid w:val="00D65B43"/>
    <w:rsid w:val="00D66459"/>
    <w:rsid w:val="00D704D8"/>
    <w:rsid w:val="00D715AF"/>
    <w:rsid w:val="00D718F1"/>
    <w:rsid w:val="00D729A9"/>
    <w:rsid w:val="00D737B5"/>
    <w:rsid w:val="00D74B9D"/>
    <w:rsid w:val="00D74C9F"/>
    <w:rsid w:val="00D74E7E"/>
    <w:rsid w:val="00D754A6"/>
    <w:rsid w:val="00D7563C"/>
    <w:rsid w:val="00D768F1"/>
    <w:rsid w:val="00D76D57"/>
    <w:rsid w:val="00D776FA"/>
    <w:rsid w:val="00D81639"/>
    <w:rsid w:val="00D81AD0"/>
    <w:rsid w:val="00D83188"/>
    <w:rsid w:val="00D84F93"/>
    <w:rsid w:val="00D857F2"/>
    <w:rsid w:val="00D85E45"/>
    <w:rsid w:val="00D8609D"/>
    <w:rsid w:val="00D86491"/>
    <w:rsid w:val="00D8695B"/>
    <w:rsid w:val="00D9047E"/>
    <w:rsid w:val="00D90E1D"/>
    <w:rsid w:val="00D91127"/>
    <w:rsid w:val="00D9268B"/>
    <w:rsid w:val="00D928DE"/>
    <w:rsid w:val="00D92C45"/>
    <w:rsid w:val="00D93866"/>
    <w:rsid w:val="00D93953"/>
    <w:rsid w:val="00D93C11"/>
    <w:rsid w:val="00D94F65"/>
    <w:rsid w:val="00D9639E"/>
    <w:rsid w:val="00DA0B08"/>
    <w:rsid w:val="00DA0E8C"/>
    <w:rsid w:val="00DA1578"/>
    <w:rsid w:val="00DA1DAB"/>
    <w:rsid w:val="00DA266C"/>
    <w:rsid w:val="00DA3250"/>
    <w:rsid w:val="00DA34B7"/>
    <w:rsid w:val="00DB1656"/>
    <w:rsid w:val="00DB2A5F"/>
    <w:rsid w:val="00DB3390"/>
    <w:rsid w:val="00DB3DDD"/>
    <w:rsid w:val="00DB435C"/>
    <w:rsid w:val="00DB515E"/>
    <w:rsid w:val="00DB5794"/>
    <w:rsid w:val="00DB6387"/>
    <w:rsid w:val="00DB643A"/>
    <w:rsid w:val="00DB6BD5"/>
    <w:rsid w:val="00DB7A02"/>
    <w:rsid w:val="00DC033B"/>
    <w:rsid w:val="00DC0ADC"/>
    <w:rsid w:val="00DC1A93"/>
    <w:rsid w:val="00DC2143"/>
    <w:rsid w:val="00DC24CA"/>
    <w:rsid w:val="00DC2D12"/>
    <w:rsid w:val="00DC3F2D"/>
    <w:rsid w:val="00DC444C"/>
    <w:rsid w:val="00DC4DF6"/>
    <w:rsid w:val="00DC5779"/>
    <w:rsid w:val="00DC5AD4"/>
    <w:rsid w:val="00DC63AC"/>
    <w:rsid w:val="00DC6A4A"/>
    <w:rsid w:val="00DC7089"/>
    <w:rsid w:val="00DD09A1"/>
    <w:rsid w:val="00DD1026"/>
    <w:rsid w:val="00DD1EB0"/>
    <w:rsid w:val="00DD34CC"/>
    <w:rsid w:val="00DD3715"/>
    <w:rsid w:val="00DD4306"/>
    <w:rsid w:val="00DD5702"/>
    <w:rsid w:val="00DD77CC"/>
    <w:rsid w:val="00DE0D4E"/>
    <w:rsid w:val="00DE1B00"/>
    <w:rsid w:val="00DE1B13"/>
    <w:rsid w:val="00DE1E54"/>
    <w:rsid w:val="00DE1E84"/>
    <w:rsid w:val="00DE28FF"/>
    <w:rsid w:val="00DE4278"/>
    <w:rsid w:val="00DE4BDB"/>
    <w:rsid w:val="00DE50A0"/>
    <w:rsid w:val="00DE6BA1"/>
    <w:rsid w:val="00DE703C"/>
    <w:rsid w:val="00DE73E1"/>
    <w:rsid w:val="00DF01AD"/>
    <w:rsid w:val="00DF0933"/>
    <w:rsid w:val="00DF0DB9"/>
    <w:rsid w:val="00DF1C6E"/>
    <w:rsid w:val="00DF1CBB"/>
    <w:rsid w:val="00DF2D6B"/>
    <w:rsid w:val="00DF2FCA"/>
    <w:rsid w:val="00DF36AF"/>
    <w:rsid w:val="00DF3EB7"/>
    <w:rsid w:val="00DF6D6C"/>
    <w:rsid w:val="00DF7086"/>
    <w:rsid w:val="00E014AE"/>
    <w:rsid w:val="00E01506"/>
    <w:rsid w:val="00E01FBA"/>
    <w:rsid w:val="00E03A48"/>
    <w:rsid w:val="00E042A3"/>
    <w:rsid w:val="00E04324"/>
    <w:rsid w:val="00E0480C"/>
    <w:rsid w:val="00E06A75"/>
    <w:rsid w:val="00E06CC2"/>
    <w:rsid w:val="00E07742"/>
    <w:rsid w:val="00E10EA8"/>
    <w:rsid w:val="00E12814"/>
    <w:rsid w:val="00E12820"/>
    <w:rsid w:val="00E14EB6"/>
    <w:rsid w:val="00E1649F"/>
    <w:rsid w:val="00E17ED8"/>
    <w:rsid w:val="00E229B1"/>
    <w:rsid w:val="00E22FEF"/>
    <w:rsid w:val="00E25A0A"/>
    <w:rsid w:val="00E2642C"/>
    <w:rsid w:val="00E269E2"/>
    <w:rsid w:val="00E27475"/>
    <w:rsid w:val="00E277B0"/>
    <w:rsid w:val="00E30FEC"/>
    <w:rsid w:val="00E32FA0"/>
    <w:rsid w:val="00E33FC1"/>
    <w:rsid w:val="00E3496A"/>
    <w:rsid w:val="00E34990"/>
    <w:rsid w:val="00E35607"/>
    <w:rsid w:val="00E35F6B"/>
    <w:rsid w:val="00E41FFE"/>
    <w:rsid w:val="00E44208"/>
    <w:rsid w:val="00E448A4"/>
    <w:rsid w:val="00E451FA"/>
    <w:rsid w:val="00E46AAC"/>
    <w:rsid w:val="00E471C5"/>
    <w:rsid w:val="00E471D5"/>
    <w:rsid w:val="00E5063C"/>
    <w:rsid w:val="00E5067A"/>
    <w:rsid w:val="00E51544"/>
    <w:rsid w:val="00E52363"/>
    <w:rsid w:val="00E54DCB"/>
    <w:rsid w:val="00E55470"/>
    <w:rsid w:val="00E57FD5"/>
    <w:rsid w:val="00E61549"/>
    <w:rsid w:val="00E61F65"/>
    <w:rsid w:val="00E6288A"/>
    <w:rsid w:val="00E62FBC"/>
    <w:rsid w:val="00E64139"/>
    <w:rsid w:val="00E64F95"/>
    <w:rsid w:val="00E6573E"/>
    <w:rsid w:val="00E65B0E"/>
    <w:rsid w:val="00E678CD"/>
    <w:rsid w:val="00E7040E"/>
    <w:rsid w:val="00E72446"/>
    <w:rsid w:val="00E733CB"/>
    <w:rsid w:val="00E73449"/>
    <w:rsid w:val="00E73A59"/>
    <w:rsid w:val="00E73C2F"/>
    <w:rsid w:val="00E73F5D"/>
    <w:rsid w:val="00E74A2C"/>
    <w:rsid w:val="00E7525F"/>
    <w:rsid w:val="00E75A16"/>
    <w:rsid w:val="00E76D1C"/>
    <w:rsid w:val="00E77522"/>
    <w:rsid w:val="00E77ACB"/>
    <w:rsid w:val="00E80FDE"/>
    <w:rsid w:val="00E81C9D"/>
    <w:rsid w:val="00E81F25"/>
    <w:rsid w:val="00E821D6"/>
    <w:rsid w:val="00E82B18"/>
    <w:rsid w:val="00E83540"/>
    <w:rsid w:val="00E83EA7"/>
    <w:rsid w:val="00E84198"/>
    <w:rsid w:val="00E84A87"/>
    <w:rsid w:val="00E866F4"/>
    <w:rsid w:val="00E86A09"/>
    <w:rsid w:val="00E86A78"/>
    <w:rsid w:val="00E87C93"/>
    <w:rsid w:val="00E92576"/>
    <w:rsid w:val="00E92EC0"/>
    <w:rsid w:val="00E93051"/>
    <w:rsid w:val="00E93529"/>
    <w:rsid w:val="00E93B9C"/>
    <w:rsid w:val="00E94259"/>
    <w:rsid w:val="00E95F2A"/>
    <w:rsid w:val="00E969A4"/>
    <w:rsid w:val="00E96B0D"/>
    <w:rsid w:val="00E96CB0"/>
    <w:rsid w:val="00EA14AF"/>
    <w:rsid w:val="00EA21A2"/>
    <w:rsid w:val="00EA2433"/>
    <w:rsid w:val="00EA4170"/>
    <w:rsid w:val="00EA497E"/>
    <w:rsid w:val="00EA5ED1"/>
    <w:rsid w:val="00EA65A9"/>
    <w:rsid w:val="00EA72BC"/>
    <w:rsid w:val="00EB0AD7"/>
    <w:rsid w:val="00EB27C9"/>
    <w:rsid w:val="00EB2857"/>
    <w:rsid w:val="00EB337E"/>
    <w:rsid w:val="00EB350B"/>
    <w:rsid w:val="00EB39FC"/>
    <w:rsid w:val="00EB46FC"/>
    <w:rsid w:val="00EB5438"/>
    <w:rsid w:val="00EB5851"/>
    <w:rsid w:val="00EB6C5D"/>
    <w:rsid w:val="00EB7D4F"/>
    <w:rsid w:val="00EB7E05"/>
    <w:rsid w:val="00EC0435"/>
    <w:rsid w:val="00EC1250"/>
    <w:rsid w:val="00EC13B2"/>
    <w:rsid w:val="00EC1647"/>
    <w:rsid w:val="00EC1AF5"/>
    <w:rsid w:val="00EC1DF5"/>
    <w:rsid w:val="00EC2409"/>
    <w:rsid w:val="00EC3959"/>
    <w:rsid w:val="00EC4122"/>
    <w:rsid w:val="00EC4EAB"/>
    <w:rsid w:val="00EC511C"/>
    <w:rsid w:val="00EC5CA8"/>
    <w:rsid w:val="00EC619E"/>
    <w:rsid w:val="00EC7432"/>
    <w:rsid w:val="00EC7580"/>
    <w:rsid w:val="00EC76DB"/>
    <w:rsid w:val="00EC7858"/>
    <w:rsid w:val="00ED1C77"/>
    <w:rsid w:val="00ED1FC1"/>
    <w:rsid w:val="00ED27DD"/>
    <w:rsid w:val="00ED473A"/>
    <w:rsid w:val="00ED4C15"/>
    <w:rsid w:val="00ED675A"/>
    <w:rsid w:val="00ED6AE4"/>
    <w:rsid w:val="00ED718D"/>
    <w:rsid w:val="00ED7C40"/>
    <w:rsid w:val="00ED7E07"/>
    <w:rsid w:val="00EE0113"/>
    <w:rsid w:val="00EE0148"/>
    <w:rsid w:val="00EE04D5"/>
    <w:rsid w:val="00EE0A63"/>
    <w:rsid w:val="00EE0A6F"/>
    <w:rsid w:val="00EE0D1F"/>
    <w:rsid w:val="00EE10DA"/>
    <w:rsid w:val="00EE1823"/>
    <w:rsid w:val="00EE1D3E"/>
    <w:rsid w:val="00EE1DB6"/>
    <w:rsid w:val="00EE1E92"/>
    <w:rsid w:val="00EE2206"/>
    <w:rsid w:val="00EE3077"/>
    <w:rsid w:val="00EE3663"/>
    <w:rsid w:val="00EE3C7F"/>
    <w:rsid w:val="00EE4B81"/>
    <w:rsid w:val="00EE4C7A"/>
    <w:rsid w:val="00EF1995"/>
    <w:rsid w:val="00EF1E53"/>
    <w:rsid w:val="00EF430C"/>
    <w:rsid w:val="00EF5CAB"/>
    <w:rsid w:val="00EF752B"/>
    <w:rsid w:val="00EF7859"/>
    <w:rsid w:val="00EF7D15"/>
    <w:rsid w:val="00EF7F28"/>
    <w:rsid w:val="00F01BE2"/>
    <w:rsid w:val="00F02A16"/>
    <w:rsid w:val="00F031ED"/>
    <w:rsid w:val="00F03509"/>
    <w:rsid w:val="00F05516"/>
    <w:rsid w:val="00F0619F"/>
    <w:rsid w:val="00F06258"/>
    <w:rsid w:val="00F06F11"/>
    <w:rsid w:val="00F10EFF"/>
    <w:rsid w:val="00F119AA"/>
    <w:rsid w:val="00F13C4F"/>
    <w:rsid w:val="00F13C72"/>
    <w:rsid w:val="00F13E23"/>
    <w:rsid w:val="00F14BED"/>
    <w:rsid w:val="00F14C53"/>
    <w:rsid w:val="00F15397"/>
    <w:rsid w:val="00F1592C"/>
    <w:rsid w:val="00F15ACB"/>
    <w:rsid w:val="00F16834"/>
    <w:rsid w:val="00F229B9"/>
    <w:rsid w:val="00F23BAA"/>
    <w:rsid w:val="00F24806"/>
    <w:rsid w:val="00F24B34"/>
    <w:rsid w:val="00F25514"/>
    <w:rsid w:val="00F26608"/>
    <w:rsid w:val="00F27FDF"/>
    <w:rsid w:val="00F315B1"/>
    <w:rsid w:val="00F31B3E"/>
    <w:rsid w:val="00F32D55"/>
    <w:rsid w:val="00F32E3B"/>
    <w:rsid w:val="00F32E7C"/>
    <w:rsid w:val="00F34375"/>
    <w:rsid w:val="00F34B3C"/>
    <w:rsid w:val="00F358C1"/>
    <w:rsid w:val="00F3659D"/>
    <w:rsid w:val="00F37A49"/>
    <w:rsid w:val="00F40201"/>
    <w:rsid w:val="00F4121C"/>
    <w:rsid w:val="00F41A22"/>
    <w:rsid w:val="00F41E10"/>
    <w:rsid w:val="00F43665"/>
    <w:rsid w:val="00F44CCB"/>
    <w:rsid w:val="00F4511A"/>
    <w:rsid w:val="00F45889"/>
    <w:rsid w:val="00F45CD2"/>
    <w:rsid w:val="00F46577"/>
    <w:rsid w:val="00F474DA"/>
    <w:rsid w:val="00F47C1D"/>
    <w:rsid w:val="00F507D3"/>
    <w:rsid w:val="00F50874"/>
    <w:rsid w:val="00F51408"/>
    <w:rsid w:val="00F52C09"/>
    <w:rsid w:val="00F52EBB"/>
    <w:rsid w:val="00F533C0"/>
    <w:rsid w:val="00F561EB"/>
    <w:rsid w:val="00F567CE"/>
    <w:rsid w:val="00F56B02"/>
    <w:rsid w:val="00F56C33"/>
    <w:rsid w:val="00F577B1"/>
    <w:rsid w:val="00F605F3"/>
    <w:rsid w:val="00F60DF6"/>
    <w:rsid w:val="00F60F53"/>
    <w:rsid w:val="00F6212D"/>
    <w:rsid w:val="00F6284A"/>
    <w:rsid w:val="00F63CAC"/>
    <w:rsid w:val="00F63EE4"/>
    <w:rsid w:val="00F64EAC"/>
    <w:rsid w:val="00F652A5"/>
    <w:rsid w:val="00F65678"/>
    <w:rsid w:val="00F7031A"/>
    <w:rsid w:val="00F705A2"/>
    <w:rsid w:val="00F71313"/>
    <w:rsid w:val="00F715E5"/>
    <w:rsid w:val="00F721A0"/>
    <w:rsid w:val="00F726C4"/>
    <w:rsid w:val="00F72707"/>
    <w:rsid w:val="00F72FC3"/>
    <w:rsid w:val="00F733D7"/>
    <w:rsid w:val="00F73EFC"/>
    <w:rsid w:val="00F744BD"/>
    <w:rsid w:val="00F753D3"/>
    <w:rsid w:val="00F7579E"/>
    <w:rsid w:val="00F772F8"/>
    <w:rsid w:val="00F77E08"/>
    <w:rsid w:val="00F80848"/>
    <w:rsid w:val="00F81FD0"/>
    <w:rsid w:val="00F835B6"/>
    <w:rsid w:val="00F839D4"/>
    <w:rsid w:val="00F85F2C"/>
    <w:rsid w:val="00F87844"/>
    <w:rsid w:val="00F90C8D"/>
    <w:rsid w:val="00F91E05"/>
    <w:rsid w:val="00F92C54"/>
    <w:rsid w:val="00F93353"/>
    <w:rsid w:val="00F946C5"/>
    <w:rsid w:val="00F96BB9"/>
    <w:rsid w:val="00F976D5"/>
    <w:rsid w:val="00F9791E"/>
    <w:rsid w:val="00F97A9D"/>
    <w:rsid w:val="00F97CD5"/>
    <w:rsid w:val="00FA1E02"/>
    <w:rsid w:val="00FA2833"/>
    <w:rsid w:val="00FA30B0"/>
    <w:rsid w:val="00FA392F"/>
    <w:rsid w:val="00FA4493"/>
    <w:rsid w:val="00FA5454"/>
    <w:rsid w:val="00FA7B64"/>
    <w:rsid w:val="00FB0A40"/>
    <w:rsid w:val="00FB2A38"/>
    <w:rsid w:val="00FB3A10"/>
    <w:rsid w:val="00FB3F80"/>
    <w:rsid w:val="00FB48EC"/>
    <w:rsid w:val="00FB4CB1"/>
    <w:rsid w:val="00FB54D9"/>
    <w:rsid w:val="00FB6627"/>
    <w:rsid w:val="00FB67F9"/>
    <w:rsid w:val="00FB6C66"/>
    <w:rsid w:val="00FB74C2"/>
    <w:rsid w:val="00FB74D4"/>
    <w:rsid w:val="00FB768A"/>
    <w:rsid w:val="00FC000E"/>
    <w:rsid w:val="00FC0215"/>
    <w:rsid w:val="00FC1460"/>
    <w:rsid w:val="00FC2268"/>
    <w:rsid w:val="00FC4140"/>
    <w:rsid w:val="00FC4310"/>
    <w:rsid w:val="00FC480C"/>
    <w:rsid w:val="00FC690A"/>
    <w:rsid w:val="00FC742B"/>
    <w:rsid w:val="00FC7652"/>
    <w:rsid w:val="00FD1253"/>
    <w:rsid w:val="00FD1609"/>
    <w:rsid w:val="00FD227C"/>
    <w:rsid w:val="00FD23FE"/>
    <w:rsid w:val="00FD2B6A"/>
    <w:rsid w:val="00FD3E5C"/>
    <w:rsid w:val="00FD692F"/>
    <w:rsid w:val="00FD6C27"/>
    <w:rsid w:val="00FD7331"/>
    <w:rsid w:val="00FD7901"/>
    <w:rsid w:val="00FE3049"/>
    <w:rsid w:val="00FE3462"/>
    <w:rsid w:val="00FE3FB5"/>
    <w:rsid w:val="00FE47E4"/>
    <w:rsid w:val="00FE7E14"/>
    <w:rsid w:val="00FF0B3A"/>
    <w:rsid w:val="00FF2334"/>
    <w:rsid w:val="00FF291A"/>
    <w:rsid w:val="00FF44E3"/>
    <w:rsid w:val="00FF550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pPr>
        <w:spacing w:after="120" w:line="276" w:lineRule="auto"/>
      </w:pPr>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99" w:qFormat="1"/>
    <w:lsdException w:name="footer" w:uiPriority="99"/>
    <w:lsdException w:name="caption" w:qFormat="1"/>
    <w:lsdException w:name="table of figures" w:uiPriority="99"/>
    <w:lsdException w:name="footnote reference" w:uiPriority="99" w:qFormat="1"/>
    <w:lsdException w:name="List" w:semiHidden="0" w:unhideWhenUsed="0"/>
    <w:lsdException w:name="List 2" w:semiHidden="0" w:unhideWhenUsed="0"/>
    <w:lsdException w:name="List 3" w:semiHidden="0" w:unhideWhenUsed="0"/>
    <w:lsdException w:name="List 4" w:semiHidden="0" w:unhideWhenUsed="0"/>
    <w:lsdException w:name="List 5" w:semiHidden="0" w:unhideWhenUsed="0"/>
    <w:lsdException w:name="List Bullet 2" w:semiHidden="0" w:unhideWhenUsed="0"/>
    <w:lsdException w:name="List Bullet 3" w:semiHidden="0" w:unhideWhenUsed="0"/>
    <w:lsdException w:name="List Bullet 4" w:semiHidden="0" w:unhideWhenUsed="0"/>
    <w:lsdException w:name="List Bullet 5" w:semiHidden="0" w:unhideWhenUsed="0"/>
    <w:lsdException w:name="List Number 2" w:semiHidden="0" w:unhideWhenUsed="0"/>
    <w:lsdException w:name="List Number 3" w:semiHidden="0" w:unhideWhenUsed="0"/>
    <w:lsdException w:name="List Number 4" w:semiHidden="0" w:unhideWhenUsed="0"/>
    <w:lsdException w:name="Title" w:semiHidden="0" w:unhideWhenUsed="0" w:qFormat="1"/>
    <w:lsdException w:name="Subtitle" w:semiHidden="0" w:unhideWhenUsed="0" w:qFormat="1"/>
    <w:lsdException w:name="Body Text 3" w:semiHidden="0" w:unhideWhenUsed="0"/>
    <w:lsdException w:name="Body Text Indent 2" w:semiHidden="0" w:unhideWhenUsed="0"/>
    <w:lsdException w:name="Body Text Indent 3" w:semiHidden="0" w:unhideWhenUsed="0"/>
    <w:lsdException w:name="Block Text" w:semiHidden="0" w:unhideWhenUsed="0"/>
    <w:lsdException w:name="Hyperlink" w:uiPriority="99"/>
    <w:lsdException w:name="FollowedHyperlink" w:uiPriority="99"/>
    <w:lsdException w:name="Strong" w:semiHidden="0" w:unhideWhenUsed="0" w:qFormat="1"/>
    <w:lsdException w:name="Emphasis" w:semiHidden="0" w:unhideWhenUsed="0" w:qFormat="1"/>
    <w:lsdException w:name="Plain Text" w:uiPriority="99"/>
    <w:lsdException w:name="Normal (Web)" w:uiPriority="99"/>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C5542C"/>
    <w:rPr>
      <w:rFonts w:ascii="Arial" w:hAnsi="Arial"/>
      <w:szCs w:val="24"/>
      <w:lang w:eastAsia="en-US"/>
    </w:rPr>
  </w:style>
  <w:style w:type="paragraph" w:styleId="Naslov1">
    <w:name w:val="heading 1"/>
    <w:basedOn w:val="Navaden"/>
    <w:next w:val="Navaden"/>
    <w:link w:val="Naslov1Znak"/>
    <w:qFormat/>
    <w:rsid w:val="00C02B56"/>
    <w:pPr>
      <w:keepNext/>
      <w:keepLines/>
      <w:spacing w:before="480" w:after="0"/>
      <w:outlineLvl w:val="0"/>
    </w:pPr>
    <w:rPr>
      <w:rFonts w:eastAsiaTheme="majorEastAsia" w:cstheme="majorBidi"/>
      <w:b/>
      <w:bCs/>
      <w:color w:val="4F81BD" w:themeColor="accent1"/>
      <w:sz w:val="28"/>
      <w:szCs w:val="28"/>
    </w:rPr>
  </w:style>
  <w:style w:type="paragraph" w:styleId="Naslov2">
    <w:name w:val="heading 2"/>
    <w:basedOn w:val="Navaden"/>
    <w:next w:val="Navaden"/>
    <w:link w:val="Naslov2Znak"/>
    <w:unhideWhenUsed/>
    <w:qFormat/>
    <w:rsid w:val="00C95A44"/>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Naslov3">
    <w:name w:val="heading 3"/>
    <w:basedOn w:val="Navaden"/>
    <w:next w:val="Navaden"/>
    <w:link w:val="Naslov3Znak"/>
    <w:unhideWhenUsed/>
    <w:qFormat/>
    <w:rsid w:val="00A35198"/>
    <w:pPr>
      <w:keepNext/>
      <w:keepLines/>
      <w:spacing w:before="200" w:after="0"/>
      <w:outlineLvl w:val="2"/>
    </w:pPr>
    <w:rPr>
      <w:rFonts w:asciiTheme="majorHAnsi" w:eastAsiaTheme="majorEastAsia" w:hAnsiTheme="majorHAnsi" w:cstheme="majorBidi"/>
      <w:b/>
      <w:bCs/>
      <w:color w:val="4F81BD" w:themeColor="accent1"/>
    </w:rPr>
  </w:style>
  <w:style w:type="paragraph" w:styleId="Naslov4">
    <w:name w:val="heading 4"/>
    <w:basedOn w:val="Navaden"/>
    <w:next w:val="Navaden"/>
    <w:link w:val="Naslov4Znak"/>
    <w:unhideWhenUsed/>
    <w:qFormat/>
    <w:rsid w:val="00C95A44"/>
    <w:pPr>
      <w:keepNext/>
      <w:keepLines/>
      <w:spacing w:before="200" w:after="0"/>
      <w:outlineLvl w:val="3"/>
    </w:pPr>
    <w:rPr>
      <w:rFonts w:asciiTheme="majorHAnsi" w:eastAsiaTheme="majorEastAsia" w:hAnsiTheme="majorHAnsi" w:cstheme="majorBidi"/>
      <w:b/>
      <w:bCs/>
      <w:i/>
      <w:iCs/>
      <w:color w:val="4F81BD" w:themeColor="accent1"/>
    </w:rPr>
  </w:style>
  <w:style w:type="paragraph" w:styleId="Naslov5">
    <w:name w:val="heading 5"/>
    <w:basedOn w:val="Navaden"/>
    <w:next w:val="Navaden"/>
    <w:link w:val="Naslov5Znak"/>
    <w:semiHidden/>
    <w:unhideWhenUsed/>
    <w:qFormat/>
    <w:rsid w:val="00C95A44"/>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rsid w:val="00C02B56"/>
    <w:rPr>
      <w:rFonts w:ascii="Arial" w:eastAsiaTheme="majorEastAsia" w:hAnsi="Arial" w:cstheme="majorBidi"/>
      <w:b/>
      <w:bCs/>
      <w:color w:val="4F81BD" w:themeColor="accent1"/>
      <w:sz w:val="28"/>
      <w:szCs w:val="28"/>
      <w:lang w:eastAsia="en-US"/>
    </w:rPr>
  </w:style>
  <w:style w:type="paragraph" w:styleId="Sprotnaopomba-besedilo">
    <w:name w:val="footnote text"/>
    <w:aliases w:val="Sprotna opomba-besedilo,Char Char,Char Char Char Char,Char Char Char,Sprotna opomba - besedilo Znak1,Sprotna opomba - besedilo Znak Znak2,Sprotna opomba - besedilo Znak1 Znak Znak1,Sprotna opomba - besedilo Znak1 Znak Znak Znak"/>
    <w:basedOn w:val="Navaden"/>
    <w:link w:val="Sprotnaopomba-besediloZnak"/>
    <w:uiPriority w:val="99"/>
    <w:qFormat/>
    <w:rsid w:val="00AE1BD4"/>
    <w:pPr>
      <w:spacing w:after="0" w:line="240" w:lineRule="auto"/>
    </w:pPr>
    <w:rPr>
      <w:spacing w:val="-10"/>
      <w:sz w:val="16"/>
      <w:szCs w:val="20"/>
    </w:rPr>
  </w:style>
  <w:style w:type="character" w:customStyle="1" w:styleId="Sprotnaopomba-besediloZnak">
    <w:name w:val="Sprotna opomba - besedilo Znak"/>
    <w:aliases w:val="Sprotna opomba-besedilo Znak,Char Char Znak,Char Char Char Char Znak,Char Char Char Znak,Sprotna opomba - besedilo Znak1 Znak,Sprotna opomba - besedilo Znak Znak2 Znak,Sprotna opomba - besedilo Znak1 Znak Znak1 Znak"/>
    <w:basedOn w:val="Privzetapisavaodstavka"/>
    <w:link w:val="Sprotnaopomba-besedilo"/>
    <w:uiPriority w:val="99"/>
    <w:rsid w:val="00AE1BD4"/>
    <w:rPr>
      <w:rFonts w:ascii="Arial" w:hAnsi="Arial"/>
      <w:spacing w:val="-10"/>
      <w:sz w:val="16"/>
      <w:lang w:eastAsia="en-US"/>
    </w:rPr>
  </w:style>
  <w:style w:type="character" w:styleId="Sprotnaopomba-sklic">
    <w:name w:val="footnote reference"/>
    <w:aliases w:val="Footnote symbol,Fussnota,Footnote,Footnote reference number,note TESI,SUPERS,EN Footnote Reference,-E Fußnotenzeichen,Times 10 Point,Exposant 3 Point,E...,nota de rodapé,Footnote Reference_LVL6,Footnote Reference_LVL61,Footnot"/>
    <w:basedOn w:val="Privzetapisavaodstavka"/>
    <w:uiPriority w:val="99"/>
    <w:qFormat/>
    <w:rsid w:val="00CD06CA"/>
    <w:rPr>
      <w:vertAlign w:val="superscript"/>
    </w:rPr>
  </w:style>
  <w:style w:type="table" w:styleId="Tabelamrea">
    <w:name w:val="Table Grid"/>
    <w:basedOn w:val="Navadnatabela"/>
    <w:rsid w:val="00BE419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iperpovezava">
    <w:name w:val="Hyperlink"/>
    <w:basedOn w:val="Privzetapisavaodstavka"/>
    <w:uiPriority w:val="99"/>
    <w:rsid w:val="00915E35"/>
    <w:rPr>
      <w:color w:val="0000FF" w:themeColor="hyperlink"/>
      <w:u w:val="single"/>
    </w:rPr>
  </w:style>
  <w:style w:type="paragraph" w:styleId="Glava">
    <w:name w:val="header"/>
    <w:basedOn w:val="Navaden"/>
    <w:link w:val="GlavaZnak"/>
    <w:rsid w:val="004720F2"/>
    <w:pPr>
      <w:tabs>
        <w:tab w:val="center" w:pos="4536"/>
        <w:tab w:val="right" w:pos="9072"/>
      </w:tabs>
      <w:spacing w:after="0" w:line="240" w:lineRule="auto"/>
    </w:pPr>
  </w:style>
  <w:style w:type="character" w:customStyle="1" w:styleId="GlavaZnak">
    <w:name w:val="Glava Znak"/>
    <w:basedOn w:val="Privzetapisavaodstavka"/>
    <w:link w:val="Glava"/>
    <w:rsid w:val="004720F2"/>
    <w:rPr>
      <w:rFonts w:ascii="Arial" w:hAnsi="Arial"/>
      <w:szCs w:val="24"/>
      <w:lang w:eastAsia="en-US"/>
    </w:rPr>
  </w:style>
  <w:style w:type="paragraph" w:styleId="Noga">
    <w:name w:val="footer"/>
    <w:basedOn w:val="Navaden"/>
    <w:link w:val="NogaZnak"/>
    <w:uiPriority w:val="99"/>
    <w:rsid w:val="004720F2"/>
    <w:pPr>
      <w:tabs>
        <w:tab w:val="center" w:pos="4536"/>
        <w:tab w:val="right" w:pos="9072"/>
      </w:tabs>
      <w:spacing w:after="0" w:line="240" w:lineRule="auto"/>
    </w:pPr>
  </w:style>
  <w:style w:type="character" w:customStyle="1" w:styleId="NogaZnak">
    <w:name w:val="Noga Znak"/>
    <w:basedOn w:val="Privzetapisavaodstavka"/>
    <w:link w:val="Noga"/>
    <w:uiPriority w:val="99"/>
    <w:rsid w:val="004720F2"/>
    <w:rPr>
      <w:rFonts w:ascii="Arial" w:hAnsi="Arial"/>
      <w:szCs w:val="24"/>
      <w:lang w:eastAsia="en-US"/>
    </w:rPr>
  </w:style>
  <w:style w:type="paragraph" w:customStyle="1" w:styleId="Default">
    <w:name w:val="Default"/>
    <w:rsid w:val="00394D0E"/>
    <w:pPr>
      <w:autoSpaceDE w:val="0"/>
      <w:autoSpaceDN w:val="0"/>
      <w:adjustRightInd w:val="0"/>
    </w:pPr>
    <w:rPr>
      <w:color w:val="000000"/>
      <w:sz w:val="24"/>
      <w:szCs w:val="24"/>
    </w:rPr>
  </w:style>
  <w:style w:type="table" w:customStyle="1" w:styleId="Tabelamrea1">
    <w:name w:val="Tabela – mreža1"/>
    <w:basedOn w:val="Navadnatabela"/>
    <w:next w:val="Tabelamrea"/>
    <w:rsid w:val="0025306F"/>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Naslov3Znak">
    <w:name w:val="Naslov 3 Znak"/>
    <w:basedOn w:val="Privzetapisavaodstavka"/>
    <w:link w:val="Naslov3"/>
    <w:rsid w:val="00A35198"/>
    <w:rPr>
      <w:rFonts w:asciiTheme="majorHAnsi" w:eastAsiaTheme="majorEastAsia" w:hAnsiTheme="majorHAnsi" w:cstheme="majorBidi"/>
      <w:b/>
      <w:bCs/>
      <w:color w:val="4F81BD" w:themeColor="accent1"/>
      <w:szCs w:val="24"/>
      <w:lang w:eastAsia="en-US"/>
    </w:rPr>
  </w:style>
  <w:style w:type="numbering" w:customStyle="1" w:styleId="analiza">
    <w:name w:val="analiza"/>
    <w:basedOn w:val="Brezseznama"/>
    <w:rsid w:val="00A35198"/>
    <w:pPr>
      <w:numPr>
        <w:numId w:val="1"/>
      </w:numPr>
    </w:pPr>
  </w:style>
  <w:style w:type="paragraph" w:styleId="Besedilooblaka">
    <w:name w:val="Balloon Text"/>
    <w:basedOn w:val="Navaden"/>
    <w:link w:val="BesedilooblakaZnak"/>
    <w:rsid w:val="00A35198"/>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rsid w:val="00A35198"/>
    <w:rPr>
      <w:rFonts w:ascii="Tahoma" w:hAnsi="Tahoma" w:cs="Tahoma"/>
      <w:sz w:val="16"/>
      <w:szCs w:val="16"/>
      <w:lang w:eastAsia="en-US"/>
    </w:rPr>
  </w:style>
  <w:style w:type="paragraph" w:styleId="Odstavekseznama">
    <w:name w:val="List Paragraph"/>
    <w:basedOn w:val="Navaden"/>
    <w:uiPriority w:val="34"/>
    <w:qFormat/>
    <w:rsid w:val="00583007"/>
    <w:pPr>
      <w:ind w:left="720"/>
      <w:contextualSpacing/>
    </w:pPr>
  </w:style>
  <w:style w:type="character" w:styleId="Pripombasklic">
    <w:name w:val="annotation reference"/>
    <w:basedOn w:val="Privzetapisavaodstavka"/>
    <w:semiHidden/>
    <w:unhideWhenUsed/>
    <w:rsid w:val="00B24727"/>
    <w:rPr>
      <w:sz w:val="18"/>
      <w:szCs w:val="18"/>
    </w:rPr>
  </w:style>
  <w:style w:type="paragraph" w:styleId="Pripombabesedilo">
    <w:name w:val="annotation text"/>
    <w:basedOn w:val="Navaden"/>
    <w:link w:val="PripombabesediloZnak"/>
    <w:semiHidden/>
    <w:unhideWhenUsed/>
    <w:rsid w:val="00B24727"/>
    <w:pPr>
      <w:spacing w:line="240" w:lineRule="auto"/>
    </w:pPr>
    <w:rPr>
      <w:sz w:val="24"/>
    </w:rPr>
  </w:style>
  <w:style w:type="character" w:customStyle="1" w:styleId="PripombabesediloZnak">
    <w:name w:val="Pripomba – besedilo Znak"/>
    <w:basedOn w:val="Privzetapisavaodstavka"/>
    <w:link w:val="Pripombabesedilo"/>
    <w:semiHidden/>
    <w:rsid w:val="00B24727"/>
    <w:rPr>
      <w:rFonts w:ascii="Arial" w:hAnsi="Arial"/>
      <w:sz w:val="24"/>
      <w:szCs w:val="24"/>
      <w:lang w:eastAsia="en-US"/>
    </w:rPr>
  </w:style>
  <w:style w:type="paragraph" w:styleId="Zadevapripombe">
    <w:name w:val="annotation subject"/>
    <w:basedOn w:val="Pripombabesedilo"/>
    <w:next w:val="Pripombabesedilo"/>
    <w:link w:val="ZadevapripombeZnak"/>
    <w:semiHidden/>
    <w:unhideWhenUsed/>
    <w:rsid w:val="00B24727"/>
    <w:rPr>
      <w:b/>
      <w:bCs/>
      <w:sz w:val="20"/>
      <w:szCs w:val="20"/>
    </w:rPr>
  </w:style>
  <w:style w:type="character" w:customStyle="1" w:styleId="ZadevapripombeZnak">
    <w:name w:val="Zadeva pripombe Znak"/>
    <w:basedOn w:val="PripombabesediloZnak"/>
    <w:link w:val="Zadevapripombe"/>
    <w:semiHidden/>
    <w:rsid w:val="00B24727"/>
    <w:rPr>
      <w:rFonts w:ascii="Arial" w:hAnsi="Arial"/>
      <w:b/>
      <w:bCs/>
      <w:sz w:val="24"/>
      <w:szCs w:val="24"/>
      <w:lang w:eastAsia="en-US"/>
    </w:rPr>
  </w:style>
  <w:style w:type="paragraph" w:styleId="Revizija">
    <w:name w:val="Revision"/>
    <w:hidden/>
    <w:uiPriority w:val="99"/>
    <w:semiHidden/>
    <w:rsid w:val="0088778A"/>
    <w:rPr>
      <w:rFonts w:ascii="Arial" w:hAnsi="Arial"/>
      <w:szCs w:val="24"/>
      <w:lang w:eastAsia="en-US"/>
    </w:rPr>
  </w:style>
  <w:style w:type="paragraph" w:styleId="Naslov">
    <w:name w:val="Title"/>
    <w:aliases w:val="Naslov prispevka"/>
    <w:basedOn w:val="Navaden"/>
    <w:next w:val="Navaden"/>
    <w:link w:val="NaslovZnak"/>
    <w:qFormat/>
    <w:rsid w:val="003905C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aslovZnak">
    <w:name w:val="Naslov Znak"/>
    <w:aliases w:val="Naslov prispevka Znak"/>
    <w:basedOn w:val="Privzetapisavaodstavka"/>
    <w:link w:val="Naslov"/>
    <w:rsid w:val="003905C9"/>
    <w:rPr>
      <w:rFonts w:asciiTheme="majorHAnsi" w:eastAsiaTheme="majorEastAsia" w:hAnsiTheme="majorHAnsi" w:cstheme="majorBidi"/>
      <w:color w:val="17365D" w:themeColor="text2" w:themeShade="BF"/>
      <w:spacing w:val="5"/>
      <w:kern w:val="28"/>
      <w:sz w:val="52"/>
      <w:szCs w:val="52"/>
      <w:lang w:eastAsia="en-US"/>
    </w:rPr>
  </w:style>
  <w:style w:type="paragraph" w:styleId="Podnaslov">
    <w:name w:val="Subtitle"/>
    <w:aliases w:val="Podnaslov1"/>
    <w:basedOn w:val="Navaden"/>
    <w:next w:val="Navaden"/>
    <w:link w:val="PodnaslovZnak"/>
    <w:qFormat/>
    <w:rsid w:val="004D72B7"/>
    <w:pPr>
      <w:numPr>
        <w:ilvl w:val="1"/>
      </w:numPr>
      <w:spacing w:before="240" w:after="240" w:line="240" w:lineRule="auto"/>
    </w:pPr>
    <w:rPr>
      <w:rFonts w:eastAsiaTheme="majorEastAsia" w:cstheme="majorBidi"/>
      <w:i/>
      <w:iCs/>
      <w:color w:val="4F81BD" w:themeColor="accent1"/>
      <w:spacing w:val="15"/>
      <w:sz w:val="24"/>
    </w:rPr>
  </w:style>
  <w:style w:type="character" w:customStyle="1" w:styleId="PodnaslovZnak">
    <w:name w:val="Podnaslov Znak"/>
    <w:aliases w:val="Podnaslov1 Znak"/>
    <w:basedOn w:val="Privzetapisavaodstavka"/>
    <w:link w:val="Podnaslov"/>
    <w:rsid w:val="004D72B7"/>
    <w:rPr>
      <w:rFonts w:ascii="Arial" w:eastAsiaTheme="majorEastAsia" w:hAnsi="Arial" w:cstheme="majorBidi"/>
      <w:i/>
      <w:iCs/>
      <w:color w:val="4F81BD" w:themeColor="accent1"/>
      <w:spacing w:val="15"/>
      <w:sz w:val="24"/>
      <w:szCs w:val="24"/>
      <w:lang w:eastAsia="en-US"/>
    </w:rPr>
  </w:style>
  <w:style w:type="paragraph" w:customStyle="1" w:styleId="Naslovtabele">
    <w:name w:val="Naslov tabele"/>
    <w:basedOn w:val="Navaden"/>
    <w:next w:val="Navaden"/>
    <w:qFormat/>
    <w:rsid w:val="008A31B2"/>
    <w:pPr>
      <w:spacing w:before="240" w:after="240" w:line="240" w:lineRule="auto"/>
    </w:pPr>
    <w:rPr>
      <w:b/>
    </w:rPr>
  </w:style>
  <w:style w:type="paragraph" w:customStyle="1" w:styleId="Podnaslov2">
    <w:name w:val="Podnaslov2"/>
    <w:basedOn w:val="Navaden"/>
    <w:next w:val="Navaden"/>
    <w:link w:val="Podnaslov2Znak"/>
    <w:qFormat/>
    <w:rsid w:val="001E0E23"/>
    <w:pPr>
      <w:spacing w:before="120" w:line="240" w:lineRule="auto"/>
    </w:pPr>
    <w:rPr>
      <w:i/>
      <w:color w:val="4F81BD" w:themeColor="accent1"/>
      <w:spacing w:val="15"/>
    </w:rPr>
  </w:style>
  <w:style w:type="paragraph" w:customStyle="1" w:styleId="Podnaslov3">
    <w:name w:val="Podnaslov 3"/>
    <w:basedOn w:val="Navaden"/>
    <w:link w:val="Podnaslov3Znak"/>
    <w:qFormat/>
    <w:rsid w:val="001E0E23"/>
    <w:pPr>
      <w:spacing w:before="60" w:after="60" w:line="240" w:lineRule="auto"/>
    </w:pPr>
    <w:rPr>
      <w:i/>
      <w:color w:val="4F81BD" w:themeColor="accent1"/>
    </w:rPr>
  </w:style>
  <w:style w:type="character" w:customStyle="1" w:styleId="Podnaslov2Znak">
    <w:name w:val="Podnaslov2 Znak"/>
    <w:basedOn w:val="Privzetapisavaodstavka"/>
    <w:link w:val="Podnaslov2"/>
    <w:rsid w:val="001E0E23"/>
    <w:rPr>
      <w:rFonts w:ascii="Arial" w:hAnsi="Arial"/>
      <w:i/>
      <w:color w:val="4F81BD" w:themeColor="accent1"/>
      <w:spacing w:val="15"/>
      <w:szCs w:val="24"/>
      <w:lang w:eastAsia="en-US"/>
    </w:rPr>
  </w:style>
  <w:style w:type="character" w:customStyle="1" w:styleId="Naslov2Znak">
    <w:name w:val="Naslov 2 Znak"/>
    <w:basedOn w:val="Privzetapisavaodstavka"/>
    <w:link w:val="Naslov2"/>
    <w:rsid w:val="00C95A44"/>
    <w:rPr>
      <w:rFonts w:asciiTheme="majorHAnsi" w:eastAsiaTheme="majorEastAsia" w:hAnsiTheme="majorHAnsi" w:cstheme="majorBidi"/>
      <w:b/>
      <w:bCs/>
      <w:color w:val="4F81BD" w:themeColor="accent1"/>
      <w:sz w:val="26"/>
      <w:szCs w:val="26"/>
      <w:lang w:eastAsia="en-US"/>
    </w:rPr>
  </w:style>
  <w:style w:type="character" w:customStyle="1" w:styleId="Podnaslov3Znak">
    <w:name w:val="Podnaslov 3 Znak"/>
    <w:basedOn w:val="Privzetapisavaodstavka"/>
    <w:link w:val="Podnaslov3"/>
    <w:rsid w:val="001E0E23"/>
    <w:rPr>
      <w:rFonts w:ascii="Arial" w:hAnsi="Arial"/>
      <w:i/>
      <w:color w:val="4F81BD" w:themeColor="accent1"/>
      <w:szCs w:val="24"/>
      <w:lang w:eastAsia="en-US"/>
    </w:rPr>
  </w:style>
  <w:style w:type="paragraph" w:styleId="Kazalovsebine1">
    <w:name w:val="toc 1"/>
    <w:basedOn w:val="Navaden"/>
    <w:next w:val="Navaden"/>
    <w:autoRedefine/>
    <w:uiPriority w:val="39"/>
    <w:unhideWhenUsed/>
    <w:rsid w:val="00C95A44"/>
    <w:pPr>
      <w:spacing w:before="120" w:after="0"/>
    </w:pPr>
    <w:rPr>
      <w:rFonts w:asciiTheme="minorHAnsi" w:hAnsiTheme="minorHAnsi"/>
      <w:b/>
      <w:bCs/>
      <w:i/>
      <w:iCs/>
      <w:sz w:val="24"/>
    </w:rPr>
  </w:style>
  <w:style w:type="paragraph" w:styleId="Kazalovsebine5">
    <w:name w:val="toc 5"/>
    <w:basedOn w:val="Navaden"/>
    <w:next w:val="Navaden"/>
    <w:autoRedefine/>
    <w:uiPriority w:val="39"/>
    <w:unhideWhenUsed/>
    <w:rsid w:val="00C95A44"/>
    <w:pPr>
      <w:spacing w:after="0"/>
      <w:ind w:left="800"/>
    </w:pPr>
    <w:rPr>
      <w:rFonts w:asciiTheme="minorHAnsi" w:hAnsiTheme="minorHAnsi"/>
      <w:szCs w:val="20"/>
    </w:rPr>
  </w:style>
  <w:style w:type="paragraph" w:styleId="Kazalovsebine2">
    <w:name w:val="toc 2"/>
    <w:basedOn w:val="Navaden"/>
    <w:next w:val="Navaden"/>
    <w:autoRedefine/>
    <w:uiPriority w:val="39"/>
    <w:unhideWhenUsed/>
    <w:rsid w:val="00C95A44"/>
    <w:pPr>
      <w:spacing w:before="120" w:after="0"/>
      <w:ind w:left="200"/>
    </w:pPr>
    <w:rPr>
      <w:rFonts w:asciiTheme="minorHAnsi" w:hAnsiTheme="minorHAnsi"/>
      <w:b/>
      <w:bCs/>
      <w:sz w:val="22"/>
      <w:szCs w:val="22"/>
    </w:rPr>
  </w:style>
  <w:style w:type="paragraph" w:styleId="Kazalovsebine3">
    <w:name w:val="toc 3"/>
    <w:basedOn w:val="Navaden"/>
    <w:next w:val="Navaden"/>
    <w:autoRedefine/>
    <w:uiPriority w:val="39"/>
    <w:unhideWhenUsed/>
    <w:rsid w:val="00C95A44"/>
    <w:pPr>
      <w:spacing w:after="0"/>
      <w:ind w:left="400"/>
    </w:pPr>
    <w:rPr>
      <w:rFonts w:asciiTheme="minorHAnsi" w:hAnsiTheme="minorHAnsi"/>
      <w:szCs w:val="20"/>
    </w:rPr>
  </w:style>
  <w:style w:type="paragraph" w:styleId="Kazalovsebine4">
    <w:name w:val="toc 4"/>
    <w:basedOn w:val="Navaden"/>
    <w:next w:val="Navaden"/>
    <w:autoRedefine/>
    <w:uiPriority w:val="39"/>
    <w:unhideWhenUsed/>
    <w:rsid w:val="00C95A44"/>
    <w:pPr>
      <w:spacing w:after="0"/>
      <w:ind w:left="600"/>
    </w:pPr>
    <w:rPr>
      <w:rFonts w:asciiTheme="minorHAnsi" w:hAnsiTheme="minorHAnsi"/>
      <w:szCs w:val="20"/>
    </w:rPr>
  </w:style>
  <w:style w:type="character" w:customStyle="1" w:styleId="Naslov4Znak">
    <w:name w:val="Naslov 4 Znak"/>
    <w:basedOn w:val="Privzetapisavaodstavka"/>
    <w:link w:val="Naslov4"/>
    <w:rsid w:val="00C95A44"/>
    <w:rPr>
      <w:rFonts w:asciiTheme="majorHAnsi" w:eastAsiaTheme="majorEastAsia" w:hAnsiTheme="majorHAnsi" w:cstheme="majorBidi"/>
      <w:b/>
      <w:bCs/>
      <w:i/>
      <w:iCs/>
      <w:color w:val="4F81BD" w:themeColor="accent1"/>
      <w:szCs w:val="24"/>
      <w:lang w:eastAsia="en-US"/>
    </w:rPr>
  </w:style>
  <w:style w:type="character" w:customStyle="1" w:styleId="Naslov5Znak">
    <w:name w:val="Naslov 5 Znak"/>
    <w:basedOn w:val="Privzetapisavaodstavka"/>
    <w:link w:val="Naslov5"/>
    <w:semiHidden/>
    <w:rsid w:val="00C95A44"/>
    <w:rPr>
      <w:rFonts w:asciiTheme="majorHAnsi" w:eastAsiaTheme="majorEastAsia" w:hAnsiTheme="majorHAnsi" w:cstheme="majorBidi"/>
      <w:color w:val="243F60" w:themeColor="accent1" w:themeShade="7F"/>
      <w:szCs w:val="24"/>
      <w:lang w:eastAsia="en-US"/>
    </w:rPr>
  </w:style>
  <w:style w:type="paragraph" w:styleId="Kazalovsebine6">
    <w:name w:val="toc 6"/>
    <w:basedOn w:val="Navaden"/>
    <w:next w:val="Navaden"/>
    <w:autoRedefine/>
    <w:uiPriority w:val="39"/>
    <w:unhideWhenUsed/>
    <w:rsid w:val="00C95A44"/>
    <w:pPr>
      <w:spacing w:after="0"/>
      <w:ind w:left="1000"/>
    </w:pPr>
    <w:rPr>
      <w:rFonts w:asciiTheme="minorHAnsi" w:hAnsiTheme="minorHAnsi"/>
      <w:szCs w:val="20"/>
    </w:rPr>
  </w:style>
  <w:style w:type="paragraph" w:styleId="Kazalovsebine7">
    <w:name w:val="toc 7"/>
    <w:basedOn w:val="Navaden"/>
    <w:next w:val="Navaden"/>
    <w:autoRedefine/>
    <w:uiPriority w:val="39"/>
    <w:unhideWhenUsed/>
    <w:rsid w:val="00C95A44"/>
    <w:pPr>
      <w:spacing w:after="0"/>
      <w:ind w:left="1200"/>
    </w:pPr>
    <w:rPr>
      <w:rFonts w:asciiTheme="minorHAnsi" w:hAnsiTheme="minorHAnsi"/>
      <w:szCs w:val="20"/>
    </w:rPr>
  </w:style>
  <w:style w:type="paragraph" w:styleId="Kazalovsebine8">
    <w:name w:val="toc 8"/>
    <w:basedOn w:val="Navaden"/>
    <w:next w:val="Navaden"/>
    <w:autoRedefine/>
    <w:uiPriority w:val="39"/>
    <w:unhideWhenUsed/>
    <w:rsid w:val="00C95A44"/>
    <w:pPr>
      <w:spacing w:after="0"/>
      <w:ind w:left="1400"/>
    </w:pPr>
    <w:rPr>
      <w:rFonts w:asciiTheme="minorHAnsi" w:hAnsiTheme="minorHAnsi"/>
      <w:szCs w:val="20"/>
    </w:rPr>
  </w:style>
  <w:style w:type="paragraph" w:styleId="Kazalovsebine9">
    <w:name w:val="toc 9"/>
    <w:basedOn w:val="Navaden"/>
    <w:next w:val="Navaden"/>
    <w:autoRedefine/>
    <w:uiPriority w:val="39"/>
    <w:unhideWhenUsed/>
    <w:rsid w:val="00C95A44"/>
    <w:pPr>
      <w:spacing w:after="0"/>
      <w:ind w:left="1600"/>
    </w:pPr>
    <w:rPr>
      <w:rFonts w:asciiTheme="minorHAnsi" w:hAnsiTheme="minorHAnsi"/>
      <w:szCs w:val="20"/>
    </w:rPr>
  </w:style>
  <w:style w:type="paragraph" w:customStyle="1" w:styleId="Podpispodtabeloaligrafom">
    <w:name w:val="Podpis pod tabelo ali grafom"/>
    <w:basedOn w:val="Navaden"/>
    <w:link w:val="PodpispodtabeloaligrafomZnak"/>
    <w:qFormat/>
    <w:rsid w:val="00172952"/>
    <w:pPr>
      <w:spacing w:line="240" w:lineRule="auto"/>
    </w:pPr>
    <w:rPr>
      <w:rFonts w:ascii="Arial Narrow" w:hAnsi="Arial Narrow"/>
      <w:spacing w:val="-10"/>
      <w:sz w:val="16"/>
      <w:szCs w:val="16"/>
    </w:rPr>
  </w:style>
  <w:style w:type="paragraph" w:customStyle="1" w:styleId="NePozabi">
    <w:name w:val="NePozabi"/>
    <w:basedOn w:val="Navaden"/>
    <w:next w:val="Navaden"/>
    <w:link w:val="NePozabiZnak"/>
    <w:qFormat/>
    <w:rsid w:val="005B4AF6"/>
    <w:pPr>
      <w:spacing w:after="0" w:line="240" w:lineRule="auto"/>
    </w:pPr>
    <w:rPr>
      <w:i/>
      <w:color w:val="FF0000"/>
    </w:rPr>
  </w:style>
  <w:style w:type="character" w:customStyle="1" w:styleId="PodpispodtabeloaligrafomZnak">
    <w:name w:val="Podpis pod tabelo ali grafom Znak"/>
    <w:basedOn w:val="Privzetapisavaodstavka"/>
    <w:link w:val="Podpispodtabeloaligrafom"/>
    <w:rsid w:val="00172952"/>
    <w:rPr>
      <w:rFonts w:ascii="Arial Narrow" w:hAnsi="Arial Narrow"/>
      <w:spacing w:val="-10"/>
      <w:sz w:val="16"/>
      <w:szCs w:val="16"/>
      <w:lang w:eastAsia="en-US"/>
    </w:rPr>
  </w:style>
  <w:style w:type="character" w:customStyle="1" w:styleId="NePozabiZnak">
    <w:name w:val="NePozabi Znak"/>
    <w:basedOn w:val="Privzetapisavaodstavka"/>
    <w:link w:val="NePozabi"/>
    <w:rsid w:val="005B4AF6"/>
    <w:rPr>
      <w:rFonts w:ascii="Arial" w:hAnsi="Arial"/>
      <w:i/>
      <w:color w:val="FF0000"/>
      <w:szCs w:val="24"/>
      <w:lang w:eastAsia="en-US"/>
    </w:rPr>
  </w:style>
  <w:style w:type="character" w:styleId="SledenaHiperpovezava">
    <w:name w:val="FollowedHyperlink"/>
    <w:basedOn w:val="Privzetapisavaodstavka"/>
    <w:uiPriority w:val="99"/>
    <w:semiHidden/>
    <w:unhideWhenUsed/>
    <w:rsid w:val="0037430B"/>
    <w:rPr>
      <w:color w:val="800080" w:themeColor="followedHyperlink"/>
      <w:u w:val="single"/>
    </w:rPr>
  </w:style>
  <w:style w:type="table" w:styleId="Svetlosenenjepoudarek3">
    <w:name w:val="Light Shading Accent 3"/>
    <w:basedOn w:val="Navadnatabela"/>
    <w:uiPriority w:val="60"/>
    <w:rsid w:val="00447393"/>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Svetelseznampoudarek3">
    <w:name w:val="Light List Accent 3"/>
    <w:basedOn w:val="Navadnatabela"/>
    <w:uiPriority w:val="61"/>
    <w:rsid w:val="00447393"/>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Svetlamreapoudarek3">
    <w:name w:val="Light Grid Accent 3"/>
    <w:basedOn w:val="Navadnatabela"/>
    <w:uiPriority w:val="62"/>
    <w:rsid w:val="00447393"/>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Svetlamreapoudarek1">
    <w:name w:val="Light Grid Accent 1"/>
    <w:basedOn w:val="Navadnatabela"/>
    <w:uiPriority w:val="62"/>
    <w:rsid w:val="00447393"/>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Srednjiseznam1poudarek3">
    <w:name w:val="Medium List 1 Accent 3"/>
    <w:basedOn w:val="Navadnatabela"/>
    <w:uiPriority w:val="65"/>
    <w:rsid w:val="00447393"/>
    <w:rPr>
      <w:color w:val="000000" w:themeColor="text1"/>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Srednjiseznam2poudarek3">
    <w:name w:val="Medium List 2 Accent 3"/>
    <w:basedOn w:val="Navadnatabela"/>
    <w:uiPriority w:val="66"/>
    <w:rsid w:val="00447393"/>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Svetlosenenje">
    <w:name w:val="Light Shading"/>
    <w:basedOn w:val="Navadnatabela"/>
    <w:uiPriority w:val="60"/>
    <w:rsid w:val="00447393"/>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Svetelseznampoudarek6">
    <w:name w:val="Light List Accent 6"/>
    <w:basedOn w:val="Navadnatabela"/>
    <w:uiPriority w:val="61"/>
    <w:rsid w:val="00447393"/>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Svetelseznampoudarek5">
    <w:name w:val="Light List Accent 5"/>
    <w:basedOn w:val="Navadnatabela"/>
    <w:uiPriority w:val="61"/>
    <w:rsid w:val="00447393"/>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Svetlamreapoudarek5">
    <w:name w:val="Light Grid Accent 5"/>
    <w:basedOn w:val="Navadnatabela"/>
    <w:uiPriority w:val="62"/>
    <w:rsid w:val="00DF2FCA"/>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Srednjesenenje1poudarek3">
    <w:name w:val="Medium Shading 1 Accent 3"/>
    <w:basedOn w:val="Navadnatabela"/>
    <w:uiPriority w:val="63"/>
    <w:rsid w:val="00DF2FCA"/>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Svetlosenenjepoudarek5">
    <w:name w:val="Light Shading Accent 5"/>
    <w:basedOn w:val="Navadnatabela"/>
    <w:uiPriority w:val="60"/>
    <w:rsid w:val="00DF2FCA"/>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Svetelseznampoudarek1">
    <w:name w:val="Light List Accent 1"/>
    <w:basedOn w:val="Navadnatabela"/>
    <w:uiPriority w:val="61"/>
    <w:rsid w:val="00DF2FCA"/>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Navadensplet">
    <w:name w:val="Normal (Web)"/>
    <w:basedOn w:val="Navaden"/>
    <w:uiPriority w:val="99"/>
    <w:semiHidden/>
    <w:unhideWhenUsed/>
    <w:rsid w:val="00DE28FF"/>
    <w:pPr>
      <w:spacing w:before="100" w:beforeAutospacing="1" w:after="100" w:afterAutospacing="1" w:line="240" w:lineRule="auto"/>
    </w:pPr>
    <w:rPr>
      <w:rFonts w:ascii="Times New Roman" w:eastAsiaTheme="minorEastAsia" w:hAnsi="Times New Roman"/>
      <w:sz w:val="24"/>
      <w:lang w:val="en-GB" w:eastAsia="en-GB"/>
    </w:rPr>
  </w:style>
  <w:style w:type="table" w:customStyle="1" w:styleId="GridTable5Dark-Accent31">
    <w:name w:val="Grid Table 5 Dark - Accent 31"/>
    <w:basedOn w:val="Navadnatabela"/>
    <w:uiPriority w:val="50"/>
    <w:rsid w:val="00CC1495"/>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GridTable4-Accent31">
    <w:name w:val="Grid Table 4 - Accent 31"/>
    <w:basedOn w:val="Navadnatabela"/>
    <w:uiPriority w:val="49"/>
    <w:rsid w:val="00CC1495"/>
    <w:tblPr>
      <w:tblStyleRowBandSize w:val="1"/>
      <w:tblStyleColBandSize w:val="1"/>
      <w:tblInd w:w="0" w:type="dxa"/>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GridTable3-Accent31">
    <w:name w:val="Grid Table 3 - Accent 31"/>
    <w:basedOn w:val="Navadnatabela"/>
    <w:uiPriority w:val="48"/>
    <w:rsid w:val="00CC1495"/>
    <w:tblPr>
      <w:tblStyleRowBandSize w:val="1"/>
      <w:tblStyleColBandSize w:val="1"/>
      <w:tblInd w:w="0" w:type="dxa"/>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AF1DD" w:themeFill="accent3" w:themeFillTint="33"/>
      </w:tcPr>
    </w:tblStylePr>
    <w:tblStylePr w:type="band1Horz">
      <w:tblPr/>
      <w:tcPr>
        <w:shd w:val="clear" w:color="auto" w:fill="EAF1DD" w:themeFill="accent3" w:themeFillTint="33"/>
      </w:tcPr>
    </w:tblStylePr>
    <w:tblStylePr w:type="neCell">
      <w:tblPr/>
      <w:tcPr>
        <w:tcBorders>
          <w:bottom w:val="single" w:sz="4" w:space="0" w:color="C2D69B" w:themeColor="accent3" w:themeTint="99"/>
        </w:tcBorders>
      </w:tcPr>
    </w:tblStylePr>
    <w:tblStylePr w:type="nwCell">
      <w:tblPr/>
      <w:tcPr>
        <w:tcBorders>
          <w:bottom w:val="single" w:sz="4" w:space="0" w:color="C2D69B" w:themeColor="accent3" w:themeTint="99"/>
        </w:tcBorders>
      </w:tcPr>
    </w:tblStylePr>
    <w:tblStylePr w:type="seCell">
      <w:tblPr/>
      <w:tcPr>
        <w:tcBorders>
          <w:top w:val="single" w:sz="4" w:space="0" w:color="C2D69B" w:themeColor="accent3" w:themeTint="99"/>
        </w:tcBorders>
      </w:tcPr>
    </w:tblStylePr>
    <w:tblStylePr w:type="swCell">
      <w:tblPr/>
      <w:tcPr>
        <w:tcBorders>
          <w:top w:val="single" w:sz="4" w:space="0" w:color="C2D69B" w:themeColor="accent3" w:themeTint="99"/>
        </w:tcBorders>
      </w:tcPr>
    </w:tblStylePr>
  </w:style>
  <w:style w:type="table" w:customStyle="1" w:styleId="GridTable2-Accent31">
    <w:name w:val="Grid Table 2 - Accent 31"/>
    <w:basedOn w:val="Navadnatabela"/>
    <w:uiPriority w:val="47"/>
    <w:rsid w:val="00CC1495"/>
    <w:tblPr>
      <w:tblStyleRowBandSize w:val="1"/>
      <w:tblStyleColBandSize w:val="1"/>
      <w:tblInd w:w="0" w:type="dxa"/>
      <w:tblBorders>
        <w:top w:val="single" w:sz="2" w:space="0" w:color="C2D69B" w:themeColor="accent3" w:themeTint="99"/>
        <w:bottom w:val="single" w:sz="2" w:space="0" w:color="C2D69B" w:themeColor="accent3" w:themeTint="99"/>
        <w:insideH w:val="single" w:sz="2" w:space="0" w:color="C2D69B" w:themeColor="accent3" w:themeTint="99"/>
        <w:insideV w:val="single" w:sz="2" w:space="0" w:color="C2D69B" w:themeColor="accent3" w:themeTint="99"/>
      </w:tblBorders>
      <w:tblCellMar>
        <w:top w:w="0" w:type="dxa"/>
        <w:left w:w="108" w:type="dxa"/>
        <w:bottom w:w="0" w:type="dxa"/>
        <w:right w:w="108" w:type="dxa"/>
      </w:tblCellMar>
    </w:tblPr>
    <w:tblStylePr w:type="firstRow">
      <w:rPr>
        <w:b/>
        <w:bCs/>
      </w:rPr>
      <w:tblPr/>
      <w:tcPr>
        <w:tcBorders>
          <w:top w:val="nil"/>
          <w:bottom w:val="single" w:sz="12" w:space="0" w:color="C2D69B" w:themeColor="accent3" w:themeTint="99"/>
          <w:insideH w:val="nil"/>
          <w:insideV w:val="nil"/>
        </w:tcBorders>
        <w:shd w:val="clear" w:color="auto" w:fill="FFFFFF" w:themeFill="background1"/>
      </w:tcPr>
    </w:tblStylePr>
    <w:tblStylePr w:type="lastRow">
      <w:rPr>
        <w:b/>
        <w:bCs/>
      </w:rPr>
      <w:tblPr/>
      <w:tcPr>
        <w:tcBorders>
          <w:top w:val="double" w:sz="2" w:space="0" w:color="C2D69B"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GridTable1Light-Accent31">
    <w:name w:val="Grid Table 1 Light - Accent 31"/>
    <w:basedOn w:val="Navadnatabela"/>
    <w:uiPriority w:val="46"/>
    <w:rsid w:val="00CC1495"/>
    <w:tblPr>
      <w:tblStyleRowBandSize w:val="1"/>
      <w:tblStyleColBandSize w:val="1"/>
      <w:tblInd w:w="0" w:type="dxa"/>
      <w:tblBorders>
        <w:top w:val="single" w:sz="4" w:space="0" w:color="D6E3BC" w:themeColor="accent3" w:themeTint="66"/>
        <w:left w:val="single" w:sz="4" w:space="0" w:color="D6E3BC" w:themeColor="accent3" w:themeTint="66"/>
        <w:bottom w:val="single" w:sz="4" w:space="0" w:color="D6E3BC" w:themeColor="accent3" w:themeTint="66"/>
        <w:right w:val="single" w:sz="4" w:space="0" w:color="D6E3BC" w:themeColor="accent3" w:themeTint="66"/>
        <w:insideH w:val="single" w:sz="4" w:space="0" w:color="D6E3BC" w:themeColor="accent3" w:themeTint="66"/>
        <w:insideV w:val="single" w:sz="4" w:space="0" w:color="D6E3BC" w:themeColor="accent3" w:themeTint="66"/>
      </w:tblBorders>
      <w:tblCellMar>
        <w:top w:w="0" w:type="dxa"/>
        <w:left w:w="108" w:type="dxa"/>
        <w:bottom w:w="0" w:type="dxa"/>
        <w:right w:w="108" w:type="dxa"/>
      </w:tblCellMar>
    </w:tblPr>
    <w:tblStylePr w:type="firstRow">
      <w:rPr>
        <w:b/>
        <w:bCs/>
      </w:rPr>
      <w:tblPr/>
      <w:tcPr>
        <w:tcBorders>
          <w:bottom w:val="single" w:sz="12" w:space="0" w:color="C2D69B" w:themeColor="accent3" w:themeTint="99"/>
        </w:tcBorders>
      </w:tcPr>
    </w:tblStylePr>
    <w:tblStylePr w:type="lastRow">
      <w:rPr>
        <w:b/>
        <w:bCs/>
      </w:rPr>
      <w:tblPr/>
      <w:tcPr>
        <w:tcBorders>
          <w:top w:val="double" w:sz="2" w:space="0" w:color="C2D69B" w:themeColor="accent3" w:themeTint="99"/>
        </w:tcBorders>
      </w:tcPr>
    </w:tblStylePr>
    <w:tblStylePr w:type="firstCol">
      <w:rPr>
        <w:b/>
        <w:bCs/>
      </w:rPr>
    </w:tblStylePr>
    <w:tblStylePr w:type="lastCol">
      <w:rPr>
        <w:b/>
        <w:bCs/>
      </w:rPr>
    </w:tblStylePr>
  </w:style>
  <w:style w:type="table" w:customStyle="1" w:styleId="ListTable3-Accent31">
    <w:name w:val="List Table 3 - Accent 31"/>
    <w:basedOn w:val="Navadnatabela"/>
    <w:uiPriority w:val="48"/>
    <w:rsid w:val="00F14BED"/>
    <w:tblPr>
      <w:tblStyleRowBandSize w:val="1"/>
      <w:tblStyleColBandSize w:val="1"/>
      <w:tblInd w:w="0" w:type="dxa"/>
      <w:tblBorders>
        <w:top w:val="single" w:sz="4" w:space="0" w:color="9BBB59" w:themeColor="accent3"/>
        <w:left w:val="single" w:sz="4" w:space="0" w:color="9BBB59" w:themeColor="accent3"/>
        <w:bottom w:val="single" w:sz="4" w:space="0" w:color="9BBB59" w:themeColor="accent3"/>
        <w:right w:val="single" w:sz="4" w:space="0" w:color="9BBB59" w:themeColor="accent3"/>
      </w:tblBorders>
      <w:tblCellMar>
        <w:top w:w="0" w:type="dxa"/>
        <w:left w:w="108" w:type="dxa"/>
        <w:bottom w:w="0" w:type="dxa"/>
        <w:right w:w="108" w:type="dxa"/>
      </w:tblCellMar>
    </w:tblPr>
    <w:tblStylePr w:type="firstRow">
      <w:rPr>
        <w:b/>
        <w:bCs/>
        <w:color w:val="FFFFFF" w:themeColor="background1"/>
      </w:rPr>
      <w:tblPr/>
      <w:tcPr>
        <w:shd w:val="clear" w:color="auto" w:fill="9BBB59" w:themeFill="accent3"/>
      </w:tcPr>
    </w:tblStylePr>
    <w:tblStylePr w:type="lastRow">
      <w:rPr>
        <w:b/>
        <w:bCs/>
      </w:rPr>
      <w:tblPr/>
      <w:tcPr>
        <w:tcBorders>
          <w:top w:val="double" w:sz="4" w:space="0" w:color="9BBB59"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9BBB59" w:themeColor="accent3"/>
          <w:right w:val="single" w:sz="4" w:space="0" w:color="9BBB59" w:themeColor="accent3"/>
        </w:tcBorders>
      </w:tcPr>
    </w:tblStylePr>
    <w:tblStylePr w:type="band1Horz">
      <w:tblPr/>
      <w:tcPr>
        <w:tcBorders>
          <w:top w:val="single" w:sz="4" w:space="0" w:color="9BBB59" w:themeColor="accent3"/>
          <w:bottom w:val="single" w:sz="4" w:space="0" w:color="9BBB59"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9BBB59" w:themeColor="accent3"/>
          <w:left w:val="nil"/>
        </w:tcBorders>
      </w:tcPr>
    </w:tblStylePr>
    <w:tblStylePr w:type="swCell">
      <w:tblPr/>
      <w:tcPr>
        <w:tcBorders>
          <w:top w:val="double" w:sz="4" w:space="0" w:color="9BBB59" w:themeColor="accent3"/>
          <w:right w:val="nil"/>
        </w:tcBorders>
      </w:tcPr>
    </w:tblStylePr>
  </w:style>
  <w:style w:type="paragraph" w:customStyle="1" w:styleId="StrategijaNaslov1">
    <w:name w:val="Strategija Naslov1"/>
    <w:basedOn w:val="Navaden"/>
    <w:next w:val="Navaden"/>
    <w:qFormat/>
    <w:rsid w:val="00C71FCE"/>
    <w:pPr>
      <w:spacing w:after="0" w:line="240" w:lineRule="auto"/>
    </w:pPr>
    <w:rPr>
      <w:rFonts w:eastAsia="Arial"/>
      <w:b/>
      <w:bCs/>
      <w:sz w:val="24"/>
      <w:szCs w:val="22"/>
    </w:rPr>
  </w:style>
  <w:style w:type="paragraph" w:customStyle="1" w:styleId="StrategNaslov1">
    <w:name w:val="Strateg Naslov1"/>
    <w:basedOn w:val="Navaden"/>
    <w:next w:val="Navaden"/>
    <w:autoRedefine/>
    <w:qFormat/>
    <w:rsid w:val="00C71FCE"/>
    <w:pPr>
      <w:spacing w:after="0" w:line="240" w:lineRule="auto"/>
    </w:pPr>
    <w:rPr>
      <w:rFonts w:eastAsia="Arial"/>
      <w:b/>
      <w:sz w:val="24"/>
      <w:szCs w:val="22"/>
    </w:rPr>
  </w:style>
  <w:style w:type="paragraph" w:customStyle="1" w:styleId="StrategNaslov2">
    <w:name w:val="Strateg Naslov2"/>
    <w:basedOn w:val="Navaden"/>
    <w:next w:val="Navaden"/>
    <w:qFormat/>
    <w:rsid w:val="00C71FCE"/>
    <w:pPr>
      <w:numPr>
        <w:numId w:val="5"/>
      </w:numPr>
      <w:spacing w:after="0" w:line="240" w:lineRule="auto"/>
    </w:pPr>
    <w:rPr>
      <w:rFonts w:eastAsia="Arial"/>
      <w:b/>
      <w:szCs w:val="22"/>
    </w:rPr>
  </w:style>
  <w:style w:type="paragraph" w:customStyle="1" w:styleId="StrategTabele">
    <w:name w:val="Strateg Tabele"/>
    <w:basedOn w:val="Navaden"/>
    <w:next w:val="Navaden"/>
    <w:qFormat/>
    <w:rsid w:val="00C71FCE"/>
    <w:pPr>
      <w:spacing w:after="0" w:line="240" w:lineRule="auto"/>
    </w:pPr>
    <w:rPr>
      <w:rFonts w:ascii="Arial Narrow" w:eastAsia="Arial" w:hAnsi="Arial Narrow"/>
      <w:sz w:val="18"/>
      <w:szCs w:val="22"/>
    </w:rPr>
  </w:style>
  <w:style w:type="paragraph" w:customStyle="1" w:styleId="StrategNaslov3">
    <w:name w:val="StrategNaslov3"/>
    <w:basedOn w:val="Navaden"/>
    <w:qFormat/>
    <w:rsid w:val="00C71FCE"/>
    <w:pPr>
      <w:spacing w:after="0" w:line="240" w:lineRule="auto"/>
      <w:ind w:firstLine="454"/>
    </w:pPr>
    <w:rPr>
      <w:rFonts w:eastAsia="Arial"/>
      <w:b/>
      <w:szCs w:val="22"/>
    </w:rPr>
  </w:style>
  <w:style w:type="paragraph" w:customStyle="1" w:styleId="SNaslov2">
    <w:name w:val="S Naslov2"/>
    <w:basedOn w:val="Navaden"/>
    <w:next w:val="Navaden"/>
    <w:qFormat/>
    <w:rsid w:val="00C71FCE"/>
    <w:pPr>
      <w:spacing w:before="360" w:after="240" w:line="240" w:lineRule="auto"/>
    </w:pPr>
    <w:rPr>
      <w:rFonts w:eastAsia="Arial"/>
      <w:b/>
      <w:color w:val="1F497D" w:themeColor="text2"/>
      <w:szCs w:val="22"/>
    </w:rPr>
  </w:style>
  <w:style w:type="paragraph" w:customStyle="1" w:styleId="SNaslov3">
    <w:name w:val="S Naslov3"/>
    <w:basedOn w:val="Navaden"/>
    <w:next w:val="Navaden"/>
    <w:qFormat/>
    <w:rsid w:val="00C71FCE"/>
    <w:pPr>
      <w:spacing w:after="0" w:line="240" w:lineRule="auto"/>
      <w:ind w:firstLine="454"/>
    </w:pPr>
    <w:rPr>
      <w:rFonts w:eastAsia="Arial"/>
      <w:b/>
      <w:szCs w:val="22"/>
    </w:rPr>
  </w:style>
  <w:style w:type="paragraph" w:styleId="Golobesedilo">
    <w:name w:val="Plain Text"/>
    <w:basedOn w:val="Navaden"/>
    <w:link w:val="GolobesediloZnak"/>
    <w:uiPriority w:val="99"/>
    <w:semiHidden/>
    <w:unhideWhenUsed/>
    <w:rsid w:val="00C71FCE"/>
    <w:pPr>
      <w:spacing w:after="0" w:line="240" w:lineRule="auto"/>
    </w:pPr>
    <w:rPr>
      <w:rFonts w:ascii="Courier" w:eastAsia="Arial" w:hAnsi="Courier"/>
      <w:sz w:val="21"/>
      <w:szCs w:val="21"/>
    </w:rPr>
  </w:style>
  <w:style w:type="character" w:customStyle="1" w:styleId="GolobesediloZnak">
    <w:name w:val="Golo besedilo Znak"/>
    <w:basedOn w:val="Privzetapisavaodstavka"/>
    <w:link w:val="Golobesedilo"/>
    <w:uiPriority w:val="99"/>
    <w:semiHidden/>
    <w:rsid w:val="00C71FCE"/>
    <w:rPr>
      <w:rFonts w:ascii="Courier" w:eastAsia="Arial" w:hAnsi="Courier"/>
      <w:sz w:val="21"/>
      <w:szCs w:val="21"/>
      <w:lang w:eastAsia="en-US"/>
    </w:rPr>
  </w:style>
  <w:style w:type="paragraph" w:customStyle="1" w:styleId="SNaslov1">
    <w:name w:val="S Naslov1"/>
    <w:basedOn w:val="Navaden"/>
    <w:next w:val="Navaden"/>
    <w:qFormat/>
    <w:rsid w:val="00C71FCE"/>
    <w:pPr>
      <w:spacing w:before="480" w:after="0" w:line="240" w:lineRule="auto"/>
    </w:pPr>
    <w:rPr>
      <w:rFonts w:eastAsia="Arial"/>
      <w:b/>
      <w:bCs/>
      <w:caps/>
      <w:color w:val="1F497D" w:themeColor="text2"/>
      <w:sz w:val="24"/>
      <w:szCs w:val="22"/>
    </w:rPr>
  </w:style>
  <w:style w:type="paragraph" w:customStyle="1" w:styleId="SAlinea1">
    <w:name w:val="S Alinea 1"/>
    <w:basedOn w:val="Navaden"/>
    <w:qFormat/>
    <w:rsid w:val="00C71FCE"/>
    <w:pPr>
      <w:numPr>
        <w:numId w:val="6"/>
      </w:numPr>
      <w:spacing w:after="0" w:line="240" w:lineRule="auto"/>
      <w:contextualSpacing/>
    </w:pPr>
    <w:rPr>
      <w:rFonts w:eastAsia="Arial"/>
      <w:szCs w:val="22"/>
    </w:rPr>
  </w:style>
  <w:style w:type="table" w:customStyle="1" w:styleId="GridTable4-Accent61">
    <w:name w:val="Grid Table 4 - Accent 61"/>
    <w:basedOn w:val="Navadnatabela"/>
    <w:uiPriority w:val="49"/>
    <w:rsid w:val="00C71FCE"/>
    <w:rPr>
      <w:rFonts w:asciiTheme="minorHAnsi" w:eastAsia="Arial" w:hAnsiTheme="minorHAnsi" w:cstheme="minorBidi"/>
      <w:sz w:val="24"/>
      <w:szCs w:val="24"/>
      <w:lang w:val="en-GB" w:eastAsia="en-US"/>
    </w:rPr>
    <w:tblPr>
      <w:tblStyleRowBandSize w:val="1"/>
      <w:tblStyleColBandSize w:val="1"/>
      <w:tblInd w:w="0" w:type="dxa"/>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insideV w:val="nil"/>
        </w:tcBorders>
        <w:shd w:val="clear" w:color="auto" w:fill="F79646" w:themeFill="accent6"/>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ListTable3-Accent61">
    <w:name w:val="List Table 3 - Accent 61"/>
    <w:basedOn w:val="Navadnatabela"/>
    <w:uiPriority w:val="48"/>
    <w:rsid w:val="00C71FCE"/>
    <w:rPr>
      <w:rFonts w:asciiTheme="minorHAnsi" w:eastAsia="Arial" w:hAnsiTheme="minorHAnsi" w:cstheme="minorBidi"/>
      <w:sz w:val="24"/>
      <w:szCs w:val="24"/>
      <w:lang w:val="en-GB" w:eastAsia="en-US"/>
    </w:rPr>
    <w:tblPr>
      <w:tblStyleRowBandSize w:val="1"/>
      <w:tblStyleColBandSize w:val="1"/>
      <w:tblInd w:w="0" w:type="dxa"/>
      <w:tblBorders>
        <w:top w:val="single" w:sz="4" w:space="0" w:color="F79646" w:themeColor="accent6"/>
        <w:left w:val="single" w:sz="4" w:space="0" w:color="F79646" w:themeColor="accent6"/>
        <w:bottom w:val="single" w:sz="4" w:space="0" w:color="F79646" w:themeColor="accent6"/>
        <w:right w:val="single" w:sz="4" w:space="0" w:color="F79646" w:themeColor="accent6"/>
      </w:tblBorders>
      <w:tblCellMar>
        <w:top w:w="0" w:type="dxa"/>
        <w:left w:w="108" w:type="dxa"/>
        <w:bottom w:w="0" w:type="dxa"/>
        <w:right w:w="108" w:type="dxa"/>
      </w:tblCellMar>
    </w:tblPr>
    <w:tblStylePr w:type="firstRow">
      <w:rPr>
        <w:b/>
        <w:bCs/>
        <w:color w:val="FFFFFF" w:themeColor="background1"/>
      </w:rPr>
      <w:tblPr/>
      <w:tcPr>
        <w:shd w:val="clear" w:color="auto" w:fill="F79646" w:themeFill="accent6"/>
      </w:tcPr>
    </w:tblStylePr>
    <w:tblStylePr w:type="lastRow">
      <w:rPr>
        <w:b/>
        <w:bCs/>
      </w:rPr>
      <w:tblPr/>
      <w:tcPr>
        <w:tcBorders>
          <w:top w:val="double" w:sz="4" w:space="0" w:color="F79646" w:themeColor="accent6"/>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F79646" w:themeColor="accent6"/>
          <w:right w:val="single" w:sz="4" w:space="0" w:color="F79646" w:themeColor="accent6"/>
        </w:tcBorders>
      </w:tcPr>
    </w:tblStylePr>
    <w:tblStylePr w:type="band1Horz">
      <w:tblPr/>
      <w:tcPr>
        <w:tcBorders>
          <w:top w:val="single" w:sz="4" w:space="0" w:color="F79646" w:themeColor="accent6"/>
          <w:bottom w:val="single" w:sz="4" w:space="0" w:color="F79646" w:themeColor="accent6"/>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F79646" w:themeColor="accent6"/>
          <w:left w:val="nil"/>
        </w:tcBorders>
      </w:tcPr>
    </w:tblStylePr>
    <w:tblStylePr w:type="swCell">
      <w:tblPr/>
      <w:tcPr>
        <w:tcBorders>
          <w:top w:val="double" w:sz="4" w:space="0" w:color="F79646" w:themeColor="accent6"/>
          <w:right w:val="nil"/>
        </w:tcBorders>
      </w:tcPr>
    </w:tblStylePr>
  </w:style>
  <w:style w:type="table" w:customStyle="1" w:styleId="ListTable4-Accent31">
    <w:name w:val="List Table 4 - Accent 31"/>
    <w:basedOn w:val="Navadnatabela"/>
    <w:uiPriority w:val="49"/>
    <w:rsid w:val="00C71FCE"/>
    <w:tblPr>
      <w:tblStyleRowBandSize w:val="1"/>
      <w:tblStyleColBandSize w:val="1"/>
      <w:tblInd w:w="0" w:type="dxa"/>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tcBorders>
        <w:shd w:val="clear" w:color="auto" w:fill="9BBB59" w:themeFill="accent3"/>
      </w:tcPr>
    </w:tblStylePr>
    <w:tblStylePr w:type="lastRow">
      <w:rPr>
        <w:b/>
        <w:bCs/>
      </w:rPr>
      <w:tblPr/>
      <w:tcPr>
        <w:tcBorders>
          <w:top w:val="double" w:sz="4" w:space="0" w:color="C2D69B" w:themeColor="accent3" w:themeTint="99"/>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character" w:styleId="Krepko">
    <w:name w:val="Strong"/>
    <w:basedOn w:val="Privzetapisavaodstavka"/>
    <w:qFormat/>
    <w:rsid w:val="009C078C"/>
    <w:rPr>
      <w:b/>
      <w:bCs/>
    </w:rPr>
  </w:style>
  <w:style w:type="paragraph" w:styleId="Konnaopomba-besedilo">
    <w:name w:val="endnote text"/>
    <w:basedOn w:val="Navaden"/>
    <w:link w:val="Konnaopomba-besediloZnak"/>
    <w:semiHidden/>
    <w:unhideWhenUsed/>
    <w:rsid w:val="00F50874"/>
    <w:pPr>
      <w:spacing w:after="0" w:line="240" w:lineRule="auto"/>
    </w:pPr>
    <w:rPr>
      <w:szCs w:val="20"/>
    </w:rPr>
  </w:style>
  <w:style w:type="character" w:customStyle="1" w:styleId="Konnaopomba-besediloZnak">
    <w:name w:val="Končna opomba - besedilo Znak"/>
    <w:basedOn w:val="Privzetapisavaodstavka"/>
    <w:link w:val="Konnaopomba-besedilo"/>
    <w:semiHidden/>
    <w:rsid w:val="00F50874"/>
    <w:rPr>
      <w:rFonts w:ascii="Arial" w:hAnsi="Arial"/>
      <w:lang w:eastAsia="en-US"/>
    </w:rPr>
  </w:style>
  <w:style w:type="character" w:styleId="Konnaopomba-sklic">
    <w:name w:val="endnote reference"/>
    <w:basedOn w:val="Privzetapisavaodstavka"/>
    <w:semiHidden/>
    <w:unhideWhenUsed/>
    <w:rsid w:val="00F50874"/>
    <w:rPr>
      <w:vertAlign w:val="superscript"/>
    </w:rPr>
  </w:style>
  <w:style w:type="paragraph" w:styleId="NaslovTOC">
    <w:name w:val="TOC Heading"/>
    <w:basedOn w:val="Naslov1"/>
    <w:next w:val="Navaden"/>
    <w:uiPriority w:val="39"/>
    <w:semiHidden/>
    <w:unhideWhenUsed/>
    <w:qFormat/>
    <w:rsid w:val="002C28F5"/>
    <w:pPr>
      <w:outlineLvl w:val="9"/>
    </w:pPr>
    <w:rPr>
      <w:rFonts w:asciiTheme="majorHAnsi" w:hAnsiTheme="majorHAnsi"/>
      <w:color w:val="365F91" w:themeColor="accent1" w:themeShade="BF"/>
      <w:lang w:eastAsia="sl-SI"/>
    </w:rPr>
  </w:style>
  <w:style w:type="paragraph" w:styleId="Kazaloslik">
    <w:name w:val="table of figures"/>
    <w:basedOn w:val="Navaden"/>
    <w:next w:val="Navaden"/>
    <w:uiPriority w:val="99"/>
    <w:unhideWhenUsed/>
    <w:rsid w:val="003946D7"/>
    <w:pPr>
      <w:spacing w:after="0"/>
    </w:pPr>
  </w:style>
  <w:style w:type="character" w:customStyle="1" w:styleId="apple-converted-space">
    <w:name w:val="apple-converted-space"/>
    <w:basedOn w:val="Privzetapisavaodstavka"/>
    <w:rsid w:val="000C0478"/>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pPr>
        <w:spacing w:after="120" w:line="276" w:lineRule="auto"/>
      </w:pPr>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99" w:qFormat="1"/>
    <w:lsdException w:name="footer" w:uiPriority="99"/>
    <w:lsdException w:name="caption" w:qFormat="1"/>
    <w:lsdException w:name="table of figures" w:uiPriority="99"/>
    <w:lsdException w:name="footnote reference" w:uiPriority="99" w:qFormat="1"/>
    <w:lsdException w:name="List" w:semiHidden="0" w:unhideWhenUsed="0"/>
    <w:lsdException w:name="List 2" w:semiHidden="0" w:unhideWhenUsed="0"/>
    <w:lsdException w:name="List 3" w:semiHidden="0" w:unhideWhenUsed="0"/>
    <w:lsdException w:name="List 4" w:semiHidden="0" w:unhideWhenUsed="0"/>
    <w:lsdException w:name="List 5" w:semiHidden="0" w:unhideWhenUsed="0"/>
    <w:lsdException w:name="List Bullet 2" w:semiHidden="0" w:unhideWhenUsed="0"/>
    <w:lsdException w:name="List Bullet 3" w:semiHidden="0" w:unhideWhenUsed="0"/>
    <w:lsdException w:name="List Bullet 4" w:semiHidden="0" w:unhideWhenUsed="0"/>
    <w:lsdException w:name="List Bullet 5" w:semiHidden="0" w:unhideWhenUsed="0"/>
    <w:lsdException w:name="List Number 2" w:semiHidden="0" w:unhideWhenUsed="0"/>
    <w:lsdException w:name="List Number 3" w:semiHidden="0" w:unhideWhenUsed="0"/>
    <w:lsdException w:name="List Number 4" w:semiHidden="0" w:unhideWhenUsed="0"/>
    <w:lsdException w:name="Title" w:semiHidden="0" w:unhideWhenUsed="0" w:qFormat="1"/>
    <w:lsdException w:name="Subtitle" w:semiHidden="0" w:unhideWhenUsed="0" w:qFormat="1"/>
    <w:lsdException w:name="Body Text 3" w:semiHidden="0" w:unhideWhenUsed="0"/>
    <w:lsdException w:name="Body Text Indent 2" w:semiHidden="0" w:unhideWhenUsed="0"/>
    <w:lsdException w:name="Body Text Indent 3" w:semiHidden="0" w:unhideWhenUsed="0"/>
    <w:lsdException w:name="Block Text" w:semiHidden="0" w:unhideWhenUsed="0"/>
    <w:lsdException w:name="Hyperlink" w:uiPriority="99"/>
    <w:lsdException w:name="FollowedHyperlink" w:uiPriority="99"/>
    <w:lsdException w:name="Strong" w:semiHidden="0" w:unhideWhenUsed="0" w:qFormat="1"/>
    <w:lsdException w:name="Emphasis" w:semiHidden="0" w:unhideWhenUsed="0" w:qFormat="1"/>
    <w:lsdException w:name="Plain Text" w:uiPriority="99"/>
    <w:lsdException w:name="Normal (Web)" w:uiPriority="99"/>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C5542C"/>
    <w:rPr>
      <w:rFonts w:ascii="Arial" w:hAnsi="Arial"/>
      <w:szCs w:val="24"/>
      <w:lang w:eastAsia="en-US"/>
    </w:rPr>
  </w:style>
  <w:style w:type="paragraph" w:styleId="Naslov1">
    <w:name w:val="heading 1"/>
    <w:basedOn w:val="Navaden"/>
    <w:next w:val="Navaden"/>
    <w:link w:val="Naslov1Znak"/>
    <w:qFormat/>
    <w:rsid w:val="00C02B56"/>
    <w:pPr>
      <w:keepNext/>
      <w:keepLines/>
      <w:spacing w:before="480" w:after="0"/>
      <w:outlineLvl w:val="0"/>
    </w:pPr>
    <w:rPr>
      <w:rFonts w:eastAsiaTheme="majorEastAsia" w:cstheme="majorBidi"/>
      <w:b/>
      <w:bCs/>
      <w:color w:val="4F81BD" w:themeColor="accent1"/>
      <w:sz w:val="28"/>
      <w:szCs w:val="28"/>
    </w:rPr>
  </w:style>
  <w:style w:type="paragraph" w:styleId="Naslov2">
    <w:name w:val="heading 2"/>
    <w:basedOn w:val="Navaden"/>
    <w:next w:val="Navaden"/>
    <w:link w:val="Naslov2Znak"/>
    <w:unhideWhenUsed/>
    <w:qFormat/>
    <w:rsid w:val="00C95A44"/>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Naslov3">
    <w:name w:val="heading 3"/>
    <w:basedOn w:val="Navaden"/>
    <w:next w:val="Navaden"/>
    <w:link w:val="Naslov3Znak"/>
    <w:unhideWhenUsed/>
    <w:qFormat/>
    <w:rsid w:val="00A35198"/>
    <w:pPr>
      <w:keepNext/>
      <w:keepLines/>
      <w:spacing w:before="200" w:after="0"/>
      <w:outlineLvl w:val="2"/>
    </w:pPr>
    <w:rPr>
      <w:rFonts w:asciiTheme="majorHAnsi" w:eastAsiaTheme="majorEastAsia" w:hAnsiTheme="majorHAnsi" w:cstheme="majorBidi"/>
      <w:b/>
      <w:bCs/>
      <w:color w:val="4F81BD" w:themeColor="accent1"/>
    </w:rPr>
  </w:style>
  <w:style w:type="paragraph" w:styleId="Naslov4">
    <w:name w:val="heading 4"/>
    <w:basedOn w:val="Navaden"/>
    <w:next w:val="Navaden"/>
    <w:link w:val="Naslov4Znak"/>
    <w:unhideWhenUsed/>
    <w:qFormat/>
    <w:rsid w:val="00C95A44"/>
    <w:pPr>
      <w:keepNext/>
      <w:keepLines/>
      <w:spacing w:before="200" w:after="0"/>
      <w:outlineLvl w:val="3"/>
    </w:pPr>
    <w:rPr>
      <w:rFonts w:asciiTheme="majorHAnsi" w:eastAsiaTheme="majorEastAsia" w:hAnsiTheme="majorHAnsi" w:cstheme="majorBidi"/>
      <w:b/>
      <w:bCs/>
      <w:i/>
      <w:iCs/>
      <w:color w:val="4F81BD" w:themeColor="accent1"/>
    </w:rPr>
  </w:style>
  <w:style w:type="paragraph" w:styleId="Naslov5">
    <w:name w:val="heading 5"/>
    <w:basedOn w:val="Navaden"/>
    <w:next w:val="Navaden"/>
    <w:link w:val="Naslov5Znak"/>
    <w:semiHidden/>
    <w:unhideWhenUsed/>
    <w:qFormat/>
    <w:rsid w:val="00C95A44"/>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rsid w:val="00C02B56"/>
    <w:rPr>
      <w:rFonts w:ascii="Arial" w:eastAsiaTheme="majorEastAsia" w:hAnsi="Arial" w:cstheme="majorBidi"/>
      <w:b/>
      <w:bCs/>
      <w:color w:val="4F81BD" w:themeColor="accent1"/>
      <w:sz w:val="28"/>
      <w:szCs w:val="28"/>
      <w:lang w:eastAsia="en-US"/>
    </w:rPr>
  </w:style>
  <w:style w:type="paragraph" w:styleId="Sprotnaopomba-besedilo">
    <w:name w:val="footnote text"/>
    <w:aliases w:val="Sprotna opomba-besedilo,Char Char,Char Char Char Char,Char Char Char,Sprotna opomba - besedilo Znak1,Sprotna opomba - besedilo Znak Znak2,Sprotna opomba - besedilo Znak1 Znak Znak1,Sprotna opomba - besedilo Znak1 Znak Znak Znak"/>
    <w:basedOn w:val="Navaden"/>
    <w:link w:val="Sprotnaopomba-besediloZnak"/>
    <w:uiPriority w:val="99"/>
    <w:qFormat/>
    <w:rsid w:val="00AE1BD4"/>
    <w:pPr>
      <w:spacing w:after="0" w:line="240" w:lineRule="auto"/>
    </w:pPr>
    <w:rPr>
      <w:spacing w:val="-10"/>
      <w:sz w:val="16"/>
      <w:szCs w:val="20"/>
    </w:rPr>
  </w:style>
  <w:style w:type="character" w:customStyle="1" w:styleId="Sprotnaopomba-besediloZnak">
    <w:name w:val="Sprotna opomba - besedilo Znak"/>
    <w:aliases w:val="Sprotna opomba-besedilo Znak,Char Char Znak,Char Char Char Char Znak,Char Char Char Znak,Sprotna opomba - besedilo Znak1 Znak,Sprotna opomba - besedilo Znak Znak2 Znak,Sprotna opomba - besedilo Znak1 Znak Znak1 Znak"/>
    <w:basedOn w:val="Privzetapisavaodstavka"/>
    <w:link w:val="Sprotnaopomba-besedilo"/>
    <w:uiPriority w:val="99"/>
    <w:rsid w:val="00AE1BD4"/>
    <w:rPr>
      <w:rFonts w:ascii="Arial" w:hAnsi="Arial"/>
      <w:spacing w:val="-10"/>
      <w:sz w:val="16"/>
      <w:lang w:eastAsia="en-US"/>
    </w:rPr>
  </w:style>
  <w:style w:type="character" w:styleId="Sprotnaopomba-sklic">
    <w:name w:val="footnote reference"/>
    <w:aliases w:val="Footnote symbol,Fussnota,Footnote,Footnote reference number,note TESI,SUPERS,EN Footnote Reference,-E Fußnotenzeichen,Times 10 Point,Exposant 3 Point,E...,nota de rodapé,Footnote Reference_LVL6,Footnote Reference_LVL61,Footnot"/>
    <w:basedOn w:val="Privzetapisavaodstavka"/>
    <w:uiPriority w:val="99"/>
    <w:qFormat/>
    <w:rsid w:val="00CD06CA"/>
    <w:rPr>
      <w:vertAlign w:val="superscript"/>
    </w:rPr>
  </w:style>
  <w:style w:type="table" w:styleId="Tabelamrea">
    <w:name w:val="Table Grid"/>
    <w:basedOn w:val="Navadnatabela"/>
    <w:rsid w:val="00BE419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iperpovezava">
    <w:name w:val="Hyperlink"/>
    <w:basedOn w:val="Privzetapisavaodstavka"/>
    <w:uiPriority w:val="99"/>
    <w:rsid w:val="00915E35"/>
    <w:rPr>
      <w:color w:val="0000FF" w:themeColor="hyperlink"/>
      <w:u w:val="single"/>
    </w:rPr>
  </w:style>
  <w:style w:type="paragraph" w:styleId="Glava">
    <w:name w:val="header"/>
    <w:basedOn w:val="Navaden"/>
    <w:link w:val="GlavaZnak"/>
    <w:rsid w:val="004720F2"/>
    <w:pPr>
      <w:tabs>
        <w:tab w:val="center" w:pos="4536"/>
        <w:tab w:val="right" w:pos="9072"/>
      </w:tabs>
      <w:spacing w:after="0" w:line="240" w:lineRule="auto"/>
    </w:pPr>
  </w:style>
  <w:style w:type="character" w:customStyle="1" w:styleId="GlavaZnak">
    <w:name w:val="Glava Znak"/>
    <w:basedOn w:val="Privzetapisavaodstavka"/>
    <w:link w:val="Glava"/>
    <w:rsid w:val="004720F2"/>
    <w:rPr>
      <w:rFonts w:ascii="Arial" w:hAnsi="Arial"/>
      <w:szCs w:val="24"/>
      <w:lang w:eastAsia="en-US"/>
    </w:rPr>
  </w:style>
  <w:style w:type="paragraph" w:styleId="Noga">
    <w:name w:val="footer"/>
    <w:basedOn w:val="Navaden"/>
    <w:link w:val="NogaZnak"/>
    <w:uiPriority w:val="99"/>
    <w:rsid w:val="004720F2"/>
    <w:pPr>
      <w:tabs>
        <w:tab w:val="center" w:pos="4536"/>
        <w:tab w:val="right" w:pos="9072"/>
      </w:tabs>
      <w:spacing w:after="0" w:line="240" w:lineRule="auto"/>
    </w:pPr>
  </w:style>
  <w:style w:type="character" w:customStyle="1" w:styleId="NogaZnak">
    <w:name w:val="Noga Znak"/>
    <w:basedOn w:val="Privzetapisavaodstavka"/>
    <w:link w:val="Noga"/>
    <w:uiPriority w:val="99"/>
    <w:rsid w:val="004720F2"/>
    <w:rPr>
      <w:rFonts w:ascii="Arial" w:hAnsi="Arial"/>
      <w:szCs w:val="24"/>
      <w:lang w:eastAsia="en-US"/>
    </w:rPr>
  </w:style>
  <w:style w:type="paragraph" w:customStyle="1" w:styleId="Default">
    <w:name w:val="Default"/>
    <w:rsid w:val="00394D0E"/>
    <w:pPr>
      <w:autoSpaceDE w:val="0"/>
      <w:autoSpaceDN w:val="0"/>
      <w:adjustRightInd w:val="0"/>
    </w:pPr>
    <w:rPr>
      <w:color w:val="000000"/>
      <w:sz w:val="24"/>
      <w:szCs w:val="24"/>
    </w:rPr>
  </w:style>
  <w:style w:type="table" w:customStyle="1" w:styleId="Tabelamrea1">
    <w:name w:val="Tabela – mreža1"/>
    <w:basedOn w:val="Navadnatabela"/>
    <w:next w:val="Tabelamrea"/>
    <w:rsid w:val="0025306F"/>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Naslov3Znak">
    <w:name w:val="Naslov 3 Znak"/>
    <w:basedOn w:val="Privzetapisavaodstavka"/>
    <w:link w:val="Naslov3"/>
    <w:rsid w:val="00A35198"/>
    <w:rPr>
      <w:rFonts w:asciiTheme="majorHAnsi" w:eastAsiaTheme="majorEastAsia" w:hAnsiTheme="majorHAnsi" w:cstheme="majorBidi"/>
      <w:b/>
      <w:bCs/>
      <w:color w:val="4F81BD" w:themeColor="accent1"/>
      <w:szCs w:val="24"/>
      <w:lang w:eastAsia="en-US"/>
    </w:rPr>
  </w:style>
  <w:style w:type="numbering" w:customStyle="1" w:styleId="analiza">
    <w:name w:val="analiza"/>
    <w:basedOn w:val="Brezseznama"/>
    <w:rsid w:val="00A35198"/>
    <w:pPr>
      <w:numPr>
        <w:numId w:val="1"/>
      </w:numPr>
    </w:pPr>
  </w:style>
  <w:style w:type="paragraph" w:styleId="Besedilooblaka">
    <w:name w:val="Balloon Text"/>
    <w:basedOn w:val="Navaden"/>
    <w:link w:val="BesedilooblakaZnak"/>
    <w:rsid w:val="00A35198"/>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rsid w:val="00A35198"/>
    <w:rPr>
      <w:rFonts w:ascii="Tahoma" w:hAnsi="Tahoma" w:cs="Tahoma"/>
      <w:sz w:val="16"/>
      <w:szCs w:val="16"/>
      <w:lang w:eastAsia="en-US"/>
    </w:rPr>
  </w:style>
  <w:style w:type="paragraph" w:styleId="Odstavekseznama">
    <w:name w:val="List Paragraph"/>
    <w:basedOn w:val="Navaden"/>
    <w:uiPriority w:val="34"/>
    <w:qFormat/>
    <w:rsid w:val="00583007"/>
    <w:pPr>
      <w:ind w:left="720"/>
      <w:contextualSpacing/>
    </w:pPr>
  </w:style>
  <w:style w:type="character" w:styleId="Pripombasklic">
    <w:name w:val="annotation reference"/>
    <w:basedOn w:val="Privzetapisavaodstavka"/>
    <w:semiHidden/>
    <w:unhideWhenUsed/>
    <w:rsid w:val="00B24727"/>
    <w:rPr>
      <w:sz w:val="18"/>
      <w:szCs w:val="18"/>
    </w:rPr>
  </w:style>
  <w:style w:type="paragraph" w:styleId="Pripombabesedilo">
    <w:name w:val="annotation text"/>
    <w:basedOn w:val="Navaden"/>
    <w:link w:val="PripombabesediloZnak"/>
    <w:semiHidden/>
    <w:unhideWhenUsed/>
    <w:rsid w:val="00B24727"/>
    <w:pPr>
      <w:spacing w:line="240" w:lineRule="auto"/>
    </w:pPr>
    <w:rPr>
      <w:sz w:val="24"/>
    </w:rPr>
  </w:style>
  <w:style w:type="character" w:customStyle="1" w:styleId="PripombabesediloZnak">
    <w:name w:val="Pripomba – besedilo Znak"/>
    <w:basedOn w:val="Privzetapisavaodstavka"/>
    <w:link w:val="Pripombabesedilo"/>
    <w:semiHidden/>
    <w:rsid w:val="00B24727"/>
    <w:rPr>
      <w:rFonts w:ascii="Arial" w:hAnsi="Arial"/>
      <w:sz w:val="24"/>
      <w:szCs w:val="24"/>
      <w:lang w:eastAsia="en-US"/>
    </w:rPr>
  </w:style>
  <w:style w:type="paragraph" w:styleId="Zadevapripombe">
    <w:name w:val="annotation subject"/>
    <w:basedOn w:val="Pripombabesedilo"/>
    <w:next w:val="Pripombabesedilo"/>
    <w:link w:val="ZadevapripombeZnak"/>
    <w:semiHidden/>
    <w:unhideWhenUsed/>
    <w:rsid w:val="00B24727"/>
    <w:rPr>
      <w:b/>
      <w:bCs/>
      <w:sz w:val="20"/>
      <w:szCs w:val="20"/>
    </w:rPr>
  </w:style>
  <w:style w:type="character" w:customStyle="1" w:styleId="ZadevapripombeZnak">
    <w:name w:val="Zadeva pripombe Znak"/>
    <w:basedOn w:val="PripombabesediloZnak"/>
    <w:link w:val="Zadevapripombe"/>
    <w:semiHidden/>
    <w:rsid w:val="00B24727"/>
    <w:rPr>
      <w:rFonts w:ascii="Arial" w:hAnsi="Arial"/>
      <w:b/>
      <w:bCs/>
      <w:sz w:val="24"/>
      <w:szCs w:val="24"/>
      <w:lang w:eastAsia="en-US"/>
    </w:rPr>
  </w:style>
  <w:style w:type="paragraph" w:styleId="Revizija">
    <w:name w:val="Revision"/>
    <w:hidden/>
    <w:uiPriority w:val="99"/>
    <w:semiHidden/>
    <w:rsid w:val="0088778A"/>
    <w:rPr>
      <w:rFonts w:ascii="Arial" w:hAnsi="Arial"/>
      <w:szCs w:val="24"/>
      <w:lang w:eastAsia="en-US"/>
    </w:rPr>
  </w:style>
  <w:style w:type="paragraph" w:styleId="Naslov">
    <w:name w:val="Title"/>
    <w:aliases w:val="Naslov prispevka"/>
    <w:basedOn w:val="Navaden"/>
    <w:next w:val="Navaden"/>
    <w:link w:val="NaslovZnak"/>
    <w:qFormat/>
    <w:rsid w:val="003905C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aslovZnak">
    <w:name w:val="Naslov Znak"/>
    <w:aliases w:val="Naslov prispevka Znak"/>
    <w:basedOn w:val="Privzetapisavaodstavka"/>
    <w:link w:val="Naslov"/>
    <w:rsid w:val="003905C9"/>
    <w:rPr>
      <w:rFonts w:asciiTheme="majorHAnsi" w:eastAsiaTheme="majorEastAsia" w:hAnsiTheme="majorHAnsi" w:cstheme="majorBidi"/>
      <w:color w:val="17365D" w:themeColor="text2" w:themeShade="BF"/>
      <w:spacing w:val="5"/>
      <w:kern w:val="28"/>
      <w:sz w:val="52"/>
      <w:szCs w:val="52"/>
      <w:lang w:eastAsia="en-US"/>
    </w:rPr>
  </w:style>
  <w:style w:type="paragraph" w:styleId="Podnaslov">
    <w:name w:val="Subtitle"/>
    <w:aliases w:val="Podnaslov1"/>
    <w:basedOn w:val="Navaden"/>
    <w:next w:val="Navaden"/>
    <w:link w:val="PodnaslovZnak"/>
    <w:qFormat/>
    <w:rsid w:val="004D72B7"/>
    <w:pPr>
      <w:numPr>
        <w:ilvl w:val="1"/>
      </w:numPr>
      <w:spacing w:before="240" w:after="240" w:line="240" w:lineRule="auto"/>
    </w:pPr>
    <w:rPr>
      <w:rFonts w:eastAsiaTheme="majorEastAsia" w:cstheme="majorBidi"/>
      <w:i/>
      <w:iCs/>
      <w:color w:val="4F81BD" w:themeColor="accent1"/>
      <w:spacing w:val="15"/>
      <w:sz w:val="24"/>
    </w:rPr>
  </w:style>
  <w:style w:type="character" w:customStyle="1" w:styleId="PodnaslovZnak">
    <w:name w:val="Podnaslov Znak"/>
    <w:aliases w:val="Podnaslov1 Znak"/>
    <w:basedOn w:val="Privzetapisavaodstavka"/>
    <w:link w:val="Podnaslov"/>
    <w:rsid w:val="004D72B7"/>
    <w:rPr>
      <w:rFonts w:ascii="Arial" w:eastAsiaTheme="majorEastAsia" w:hAnsi="Arial" w:cstheme="majorBidi"/>
      <w:i/>
      <w:iCs/>
      <w:color w:val="4F81BD" w:themeColor="accent1"/>
      <w:spacing w:val="15"/>
      <w:sz w:val="24"/>
      <w:szCs w:val="24"/>
      <w:lang w:eastAsia="en-US"/>
    </w:rPr>
  </w:style>
  <w:style w:type="paragraph" w:customStyle="1" w:styleId="Naslovtabele">
    <w:name w:val="Naslov tabele"/>
    <w:basedOn w:val="Navaden"/>
    <w:next w:val="Navaden"/>
    <w:qFormat/>
    <w:rsid w:val="008A31B2"/>
    <w:pPr>
      <w:spacing w:before="240" w:after="240" w:line="240" w:lineRule="auto"/>
    </w:pPr>
    <w:rPr>
      <w:b/>
    </w:rPr>
  </w:style>
  <w:style w:type="paragraph" w:customStyle="1" w:styleId="Podnaslov2">
    <w:name w:val="Podnaslov2"/>
    <w:basedOn w:val="Navaden"/>
    <w:next w:val="Navaden"/>
    <w:link w:val="Podnaslov2Znak"/>
    <w:qFormat/>
    <w:rsid w:val="001E0E23"/>
    <w:pPr>
      <w:spacing w:before="120" w:line="240" w:lineRule="auto"/>
    </w:pPr>
    <w:rPr>
      <w:i/>
      <w:color w:val="4F81BD" w:themeColor="accent1"/>
      <w:spacing w:val="15"/>
    </w:rPr>
  </w:style>
  <w:style w:type="paragraph" w:customStyle="1" w:styleId="Podnaslov3">
    <w:name w:val="Podnaslov 3"/>
    <w:basedOn w:val="Navaden"/>
    <w:link w:val="Podnaslov3Znak"/>
    <w:qFormat/>
    <w:rsid w:val="001E0E23"/>
    <w:pPr>
      <w:spacing w:before="60" w:after="60" w:line="240" w:lineRule="auto"/>
    </w:pPr>
    <w:rPr>
      <w:i/>
      <w:color w:val="4F81BD" w:themeColor="accent1"/>
    </w:rPr>
  </w:style>
  <w:style w:type="character" w:customStyle="1" w:styleId="Podnaslov2Znak">
    <w:name w:val="Podnaslov2 Znak"/>
    <w:basedOn w:val="Privzetapisavaodstavka"/>
    <w:link w:val="Podnaslov2"/>
    <w:rsid w:val="001E0E23"/>
    <w:rPr>
      <w:rFonts w:ascii="Arial" w:hAnsi="Arial"/>
      <w:i/>
      <w:color w:val="4F81BD" w:themeColor="accent1"/>
      <w:spacing w:val="15"/>
      <w:szCs w:val="24"/>
      <w:lang w:eastAsia="en-US"/>
    </w:rPr>
  </w:style>
  <w:style w:type="character" w:customStyle="1" w:styleId="Naslov2Znak">
    <w:name w:val="Naslov 2 Znak"/>
    <w:basedOn w:val="Privzetapisavaodstavka"/>
    <w:link w:val="Naslov2"/>
    <w:rsid w:val="00C95A44"/>
    <w:rPr>
      <w:rFonts w:asciiTheme="majorHAnsi" w:eastAsiaTheme="majorEastAsia" w:hAnsiTheme="majorHAnsi" w:cstheme="majorBidi"/>
      <w:b/>
      <w:bCs/>
      <w:color w:val="4F81BD" w:themeColor="accent1"/>
      <w:sz w:val="26"/>
      <w:szCs w:val="26"/>
      <w:lang w:eastAsia="en-US"/>
    </w:rPr>
  </w:style>
  <w:style w:type="character" w:customStyle="1" w:styleId="Podnaslov3Znak">
    <w:name w:val="Podnaslov 3 Znak"/>
    <w:basedOn w:val="Privzetapisavaodstavka"/>
    <w:link w:val="Podnaslov3"/>
    <w:rsid w:val="001E0E23"/>
    <w:rPr>
      <w:rFonts w:ascii="Arial" w:hAnsi="Arial"/>
      <w:i/>
      <w:color w:val="4F81BD" w:themeColor="accent1"/>
      <w:szCs w:val="24"/>
      <w:lang w:eastAsia="en-US"/>
    </w:rPr>
  </w:style>
  <w:style w:type="paragraph" w:styleId="Kazalovsebine1">
    <w:name w:val="toc 1"/>
    <w:basedOn w:val="Navaden"/>
    <w:next w:val="Navaden"/>
    <w:autoRedefine/>
    <w:uiPriority w:val="39"/>
    <w:unhideWhenUsed/>
    <w:rsid w:val="00C95A44"/>
    <w:pPr>
      <w:spacing w:before="120" w:after="0"/>
    </w:pPr>
    <w:rPr>
      <w:rFonts w:asciiTheme="minorHAnsi" w:hAnsiTheme="minorHAnsi"/>
      <w:b/>
      <w:bCs/>
      <w:i/>
      <w:iCs/>
      <w:sz w:val="24"/>
    </w:rPr>
  </w:style>
  <w:style w:type="paragraph" w:styleId="Kazalovsebine5">
    <w:name w:val="toc 5"/>
    <w:basedOn w:val="Navaden"/>
    <w:next w:val="Navaden"/>
    <w:autoRedefine/>
    <w:uiPriority w:val="39"/>
    <w:unhideWhenUsed/>
    <w:rsid w:val="00C95A44"/>
    <w:pPr>
      <w:spacing w:after="0"/>
      <w:ind w:left="800"/>
    </w:pPr>
    <w:rPr>
      <w:rFonts w:asciiTheme="minorHAnsi" w:hAnsiTheme="minorHAnsi"/>
      <w:szCs w:val="20"/>
    </w:rPr>
  </w:style>
  <w:style w:type="paragraph" w:styleId="Kazalovsebine2">
    <w:name w:val="toc 2"/>
    <w:basedOn w:val="Navaden"/>
    <w:next w:val="Navaden"/>
    <w:autoRedefine/>
    <w:uiPriority w:val="39"/>
    <w:unhideWhenUsed/>
    <w:rsid w:val="00C95A44"/>
    <w:pPr>
      <w:spacing w:before="120" w:after="0"/>
      <w:ind w:left="200"/>
    </w:pPr>
    <w:rPr>
      <w:rFonts w:asciiTheme="minorHAnsi" w:hAnsiTheme="minorHAnsi"/>
      <w:b/>
      <w:bCs/>
      <w:sz w:val="22"/>
      <w:szCs w:val="22"/>
    </w:rPr>
  </w:style>
  <w:style w:type="paragraph" w:styleId="Kazalovsebine3">
    <w:name w:val="toc 3"/>
    <w:basedOn w:val="Navaden"/>
    <w:next w:val="Navaden"/>
    <w:autoRedefine/>
    <w:uiPriority w:val="39"/>
    <w:unhideWhenUsed/>
    <w:rsid w:val="00C95A44"/>
    <w:pPr>
      <w:spacing w:after="0"/>
      <w:ind w:left="400"/>
    </w:pPr>
    <w:rPr>
      <w:rFonts w:asciiTheme="minorHAnsi" w:hAnsiTheme="minorHAnsi"/>
      <w:szCs w:val="20"/>
    </w:rPr>
  </w:style>
  <w:style w:type="paragraph" w:styleId="Kazalovsebine4">
    <w:name w:val="toc 4"/>
    <w:basedOn w:val="Navaden"/>
    <w:next w:val="Navaden"/>
    <w:autoRedefine/>
    <w:uiPriority w:val="39"/>
    <w:unhideWhenUsed/>
    <w:rsid w:val="00C95A44"/>
    <w:pPr>
      <w:spacing w:after="0"/>
      <w:ind w:left="600"/>
    </w:pPr>
    <w:rPr>
      <w:rFonts w:asciiTheme="minorHAnsi" w:hAnsiTheme="minorHAnsi"/>
      <w:szCs w:val="20"/>
    </w:rPr>
  </w:style>
  <w:style w:type="character" w:customStyle="1" w:styleId="Naslov4Znak">
    <w:name w:val="Naslov 4 Znak"/>
    <w:basedOn w:val="Privzetapisavaodstavka"/>
    <w:link w:val="Naslov4"/>
    <w:rsid w:val="00C95A44"/>
    <w:rPr>
      <w:rFonts w:asciiTheme="majorHAnsi" w:eastAsiaTheme="majorEastAsia" w:hAnsiTheme="majorHAnsi" w:cstheme="majorBidi"/>
      <w:b/>
      <w:bCs/>
      <w:i/>
      <w:iCs/>
      <w:color w:val="4F81BD" w:themeColor="accent1"/>
      <w:szCs w:val="24"/>
      <w:lang w:eastAsia="en-US"/>
    </w:rPr>
  </w:style>
  <w:style w:type="character" w:customStyle="1" w:styleId="Naslov5Znak">
    <w:name w:val="Naslov 5 Znak"/>
    <w:basedOn w:val="Privzetapisavaodstavka"/>
    <w:link w:val="Naslov5"/>
    <w:semiHidden/>
    <w:rsid w:val="00C95A44"/>
    <w:rPr>
      <w:rFonts w:asciiTheme="majorHAnsi" w:eastAsiaTheme="majorEastAsia" w:hAnsiTheme="majorHAnsi" w:cstheme="majorBidi"/>
      <w:color w:val="243F60" w:themeColor="accent1" w:themeShade="7F"/>
      <w:szCs w:val="24"/>
      <w:lang w:eastAsia="en-US"/>
    </w:rPr>
  </w:style>
  <w:style w:type="paragraph" w:styleId="Kazalovsebine6">
    <w:name w:val="toc 6"/>
    <w:basedOn w:val="Navaden"/>
    <w:next w:val="Navaden"/>
    <w:autoRedefine/>
    <w:uiPriority w:val="39"/>
    <w:unhideWhenUsed/>
    <w:rsid w:val="00C95A44"/>
    <w:pPr>
      <w:spacing w:after="0"/>
      <w:ind w:left="1000"/>
    </w:pPr>
    <w:rPr>
      <w:rFonts w:asciiTheme="minorHAnsi" w:hAnsiTheme="minorHAnsi"/>
      <w:szCs w:val="20"/>
    </w:rPr>
  </w:style>
  <w:style w:type="paragraph" w:styleId="Kazalovsebine7">
    <w:name w:val="toc 7"/>
    <w:basedOn w:val="Navaden"/>
    <w:next w:val="Navaden"/>
    <w:autoRedefine/>
    <w:uiPriority w:val="39"/>
    <w:unhideWhenUsed/>
    <w:rsid w:val="00C95A44"/>
    <w:pPr>
      <w:spacing w:after="0"/>
      <w:ind w:left="1200"/>
    </w:pPr>
    <w:rPr>
      <w:rFonts w:asciiTheme="minorHAnsi" w:hAnsiTheme="minorHAnsi"/>
      <w:szCs w:val="20"/>
    </w:rPr>
  </w:style>
  <w:style w:type="paragraph" w:styleId="Kazalovsebine8">
    <w:name w:val="toc 8"/>
    <w:basedOn w:val="Navaden"/>
    <w:next w:val="Navaden"/>
    <w:autoRedefine/>
    <w:uiPriority w:val="39"/>
    <w:unhideWhenUsed/>
    <w:rsid w:val="00C95A44"/>
    <w:pPr>
      <w:spacing w:after="0"/>
      <w:ind w:left="1400"/>
    </w:pPr>
    <w:rPr>
      <w:rFonts w:asciiTheme="minorHAnsi" w:hAnsiTheme="minorHAnsi"/>
      <w:szCs w:val="20"/>
    </w:rPr>
  </w:style>
  <w:style w:type="paragraph" w:styleId="Kazalovsebine9">
    <w:name w:val="toc 9"/>
    <w:basedOn w:val="Navaden"/>
    <w:next w:val="Navaden"/>
    <w:autoRedefine/>
    <w:uiPriority w:val="39"/>
    <w:unhideWhenUsed/>
    <w:rsid w:val="00C95A44"/>
    <w:pPr>
      <w:spacing w:after="0"/>
      <w:ind w:left="1600"/>
    </w:pPr>
    <w:rPr>
      <w:rFonts w:asciiTheme="minorHAnsi" w:hAnsiTheme="minorHAnsi"/>
      <w:szCs w:val="20"/>
    </w:rPr>
  </w:style>
  <w:style w:type="paragraph" w:customStyle="1" w:styleId="Podpispodtabeloaligrafom">
    <w:name w:val="Podpis pod tabelo ali grafom"/>
    <w:basedOn w:val="Navaden"/>
    <w:link w:val="PodpispodtabeloaligrafomZnak"/>
    <w:qFormat/>
    <w:rsid w:val="00172952"/>
    <w:pPr>
      <w:spacing w:line="240" w:lineRule="auto"/>
    </w:pPr>
    <w:rPr>
      <w:rFonts w:ascii="Arial Narrow" w:hAnsi="Arial Narrow"/>
      <w:spacing w:val="-10"/>
      <w:sz w:val="16"/>
      <w:szCs w:val="16"/>
    </w:rPr>
  </w:style>
  <w:style w:type="paragraph" w:customStyle="1" w:styleId="NePozabi">
    <w:name w:val="NePozabi"/>
    <w:basedOn w:val="Navaden"/>
    <w:next w:val="Navaden"/>
    <w:link w:val="NePozabiZnak"/>
    <w:qFormat/>
    <w:rsid w:val="005B4AF6"/>
    <w:pPr>
      <w:spacing w:after="0" w:line="240" w:lineRule="auto"/>
    </w:pPr>
    <w:rPr>
      <w:i/>
      <w:color w:val="FF0000"/>
    </w:rPr>
  </w:style>
  <w:style w:type="character" w:customStyle="1" w:styleId="PodpispodtabeloaligrafomZnak">
    <w:name w:val="Podpis pod tabelo ali grafom Znak"/>
    <w:basedOn w:val="Privzetapisavaodstavka"/>
    <w:link w:val="Podpispodtabeloaligrafom"/>
    <w:rsid w:val="00172952"/>
    <w:rPr>
      <w:rFonts w:ascii="Arial Narrow" w:hAnsi="Arial Narrow"/>
      <w:spacing w:val="-10"/>
      <w:sz w:val="16"/>
      <w:szCs w:val="16"/>
      <w:lang w:eastAsia="en-US"/>
    </w:rPr>
  </w:style>
  <w:style w:type="character" w:customStyle="1" w:styleId="NePozabiZnak">
    <w:name w:val="NePozabi Znak"/>
    <w:basedOn w:val="Privzetapisavaodstavka"/>
    <w:link w:val="NePozabi"/>
    <w:rsid w:val="005B4AF6"/>
    <w:rPr>
      <w:rFonts w:ascii="Arial" w:hAnsi="Arial"/>
      <w:i/>
      <w:color w:val="FF0000"/>
      <w:szCs w:val="24"/>
      <w:lang w:eastAsia="en-US"/>
    </w:rPr>
  </w:style>
  <w:style w:type="character" w:styleId="SledenaHiperpovezava">
    <w:name w:val="FollowedHyperlink"/>
    <w:basedOn w:val="Privzetapisavaodstavka"/>
    <w:uiPriority w:val="99"/>
    <w:semiHidden/>
    <w:unhideWhenUsed/>
    <w:rsid w:val="0037430B"/>
    <w:rPr>
      <w:color w:val="800080" w:themeColor="followedHyperlink"/>
      <w:u w:val="single"/>
    </w:rPr>
  </w:style>
  <w:style w:type="table" w:styleId="Svetlosenenjepoudarek3">
    <w:name w:val="Light Shading Accent 3"/>
    <w:basedOn w:val="Navadnatabela"/>
    <w:uiPriority w:val="60"/>
    <w:rsid w:val="00447393"/>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Svetelseznampoudarek3">
    <w:name w:val="Light List Accent 3"/>
    <w:basedOn w:val="Navadnatabela"/>
    <w:uiPriority w:val="61"/>
    <w:rsid w:val="00447393"/>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Svetlamreapoudarek3">
    <w:name w:val="Light Grid Accent 3"/>
    <w:basedOn w:val="Navadnatabela"/>
    <w:uiPriority w:val="62"/>
    <w:rsid w:val="00447393"/>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Svetlamreapoudarek1">
    <w:name w:val="Light Grid Accent 1"/>
    <w:basedOn w:val="Navadnatabela"/>
    <w:uiPriority w:val="62"/>
    <w:rsid w:val="00447393"/>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Srednjiseznam1poudarek3">
    <w:name w:val="Medium List 1 Accent 3"/>
    <w:basedOn w:val="Navadnatabela"/>
    <w:uiPriority w:val="65"/>
    <w:rsid w:val="00447393"/>
    <w:rPr>
      <w:color w:val="000000" w:themeColor="text1"/>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Srednjiseznam2poudarek3">
    <w:name w:val="Medium List 2 Accent 3"/>
    <w:basedOn w:val="Navadnatabela"/>
    <w:uiPriority w:val="66"/>
    <w:rsid w:val="00447393"/>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Svetlosenenje">
    <w:name w:val="Light Shading"/>
    <w:basedOn w:val="Navadnatabela"/>
    <w:uiPriority w:val="60"/>
    <w:rsid w:val="00447393"/>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Svetelseznampoudarek6">
    <w:name w:val="Light List Accent 6"/>
    <w:basedOn w:val="Navadnatabela"/>
    <w:uiPriority w:val="61"/>
    <w:rsid w:val="00447393"/>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Svetelseznampoudarek5">
    <w:name w:val="Light List Accent 5"/>
    <w:basedOn w:val="Navadnatabela"/>
    <w:uiPriority w:val="61"/>
    <w:rsid w:val="00447393"/>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Svetlamreapoudarek5">
    <w:name w:val="Light Grid Accent 5"/>
    <w:basedOn w:val="Navadnatabela"/>
    <w:uiPriority w:val="62"/>
    <w:rsid w:val="00DF2FCA"/>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Srednjesenenje1poudarek3">
    <w:name w:val="Medium Shading 1 Accent 3"/>
    <w:basedOn w:val="Navadnatabela"/>
    <w:uiPriority w:val="63"/>
    <w:rsid w:val="00DF2FCA"/>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Svetlosenenjepoudarek5">
    <w:name w:val="Light Shading Accent 5"/>
    <w:basedOn w:val="Navadnatabela"/>
    <w:uiPriority w:val="60"/>
    <w:rsid w:val="00DF2FCA"/>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Svetelseznampoudarek1">
    <w:name w:val="Light List Accent 1"/>
    <w:basedOn w:val="Navadnatabela"/>
    <w:uiPriority w:val="61"/>
    <w:rsid w:val="00DF2FCA"/>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Navadensplet">
    <w:name w:val="Normal (Web)"/>
    <w:basedOn w:val="Navaden"/>
    <w:uiPriority w:val="99"/>
    <w:semiHidden/>
    <w:unhideWhenUsed/>
    <w:rsid w:val="00DE28FF"/>
    <w:pPr>
      <w:spacing w:before="100" w:beforeAutospacing="1" w:after="100" w:afterAutospacing="1" w:line="240" w:lineRule="auto"/>
    </w:pPr>
    <w:rPr>
      <w:rFonts w:ascii="Times New Roman" w:eastAsiaTheme="minorEastAsia" w:hAnsi="Times New Roman"/>
      <w:sz w:val="24"/>
      <w:lang w:val="en-GB" w:eastAsia="en-GB"/>
    </w:rPr>
  </w:style>
  <w:style w:type="table" w:customStyle="1" w:styleId="GridTable5Dark-Accent31">
    <w:name w:val="Grid Table 5 Dark - Accent 31"/>
    <w:basedOn w:val="Navadnatabela"/>
    <w:uiPriority w:val="50"/>
    <w:rsid w:val="00CC1495"/>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GridTable4-Accent31">
    <w:name w:val="Grid Table 4 - Accent 31"/>
    <w:basedOn w:val="Navadnatabela"/>
    <w:uiPriority w:val="49"/>
    <w:rsid w:val="00CC1495"/>
    <w:tblPr>
      <w:tblStyleRowBandSize w:val="1"/>
      <w:tblStyleColBandSize w:val="1"/>
      <w:tblInd w:w="0" w:type="dxa"/>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GridTable3-Accent31">
    <w:name w:val="Grid Table 3 - Accent 31"/>
    <w:basedOn w:val="Navadnatabela"/>
    <w:uiPriority w:val="48"/>
    <w:rsid w:val="00CC1495"/>
    <w:tblPr>
      <w:tblStyleRowBandSize w:val="1"/>
      <w:tblStyleColBandSize w:val="1"/>
      <w:tblInd w:w="0" w:type="dxa"/>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AF1DD" w:themeFill="accent3" w:themeFillTint="33"/>
      </w:tcPr>
    </w:tblStylePr>
    <w:tblStylePr w:type="band1Horz">
      <w:tblPr/>
      <w:tcPr>
        <w:shd w:val="clear" w:color="auto" w:fill="EAF1DD" w:themeFill="accent3" w:themeFillTint="33"/>
      </w:tcPr>
    </w:tblStylePr>
    <w:tblStylePr w:type="neCell">
      <w:tblPr/>
      <w:tcPr>
        <w:tcBorders>
          <w:bottom w:val="single" w:sz="4" w:space="0" w:color="C2D69B" w:themeColor="accent3" w:themeTint="99"/>
        </w:tcBorders>
      </w:tcPr>
    </w:tblStylePr>
    <w:tblStylePr w:type="nwCell">
      <w:tblPr/>
      <w:tcPr>
        <w:tcBorders>
          <w:bottom w:val="single" w:sz="4" w:space="0" w:color="C2D69B" w:themeColor="accent3" w:themeTint="99"/>
        </w:tcBorders>
      </w:tcPr>
    </w:tblStylePr>
    <w:tblStylePr w:type="seCell">
      <w:tblPr/>
      <w:tcPr>
        <w:tcBorders>
          <w:top w:val="single" w:sz="4" w:space="0" w:color="C2D69B" w:themeColor="accent3" w:themeTint="99"/>
        </w:tcBorders>
      </w:tcPr>
    </w:tblStylePr>
    <w:tblStylePr w:type="swCell">
      <w:tblPr/>
      <w:tcPr>
        <w:tcBorders>
          <w:top w:val="single" w:sz="4" w:space="0" w:color="C2D69B" w:themeColor="accent3" w:themeTint="99"/>
        </w:tcBorders>
      </w:tcPr>
    </w:tblStylePr>
  </w:style>
  <w:style w:type="table" w:customStyle="1" w:styleId="GridTable2-Accent31">
    <w:name w:val="Grid Table 2 - Accent 31"/>
    <w:basedOn w:val="Navadnatabela"/>
    <w:uiPriority w:val="47"/>
    <w:rsid w:val="00CC1495"/>
    <w:tblPr>
      <w:tblStyleRowBandSize w:val="1"/>
      <w:tblStyleColBandSize w:val="1"/>
      <w:tblInd w:w="0" w:type="dxa"/>
      <w:tblBorders>
        <w:top w:val="single" w:sz="2" w:space="0" w:color="C2D69B" w:themeColor="accent3" w:themeTint="99"/>
        <w:bottom w:val="single" w:sz="2" w:space="0" w:color="C2D69B" w:themeColor="accent3" w:themeTint="99"/>
        <w:insideH w:val="single" w:sz="2" w:space="0" w:color="C2D69B" w:themeColor="accent3" w:themeTint="99"/>
        <w:insideV w:val="single" w:sz="2" w:space="0" w:color="C2D69B" w:themeColor="accent3" w:themeTint="99"/>
      </w:tblBorders>
      <w:tblCellMar>
        <w:top w:w="0" w:type="dxa"/>
        <w:left w:w="108" w:type="dxa"/>
        <w:bottom w:w="0" w:type="dxa"/>
        <w:right w:w="108" w:type="dxa"/>
      </w:tblCellMar>
    </w:tblPr>
    <w:tblStylePr w:type="firstRow">
      <w:rPr>
        <w:b/>
        <w:bCs/>
      </w:rPr>
      <w:tblPr/>
      <w:tcPr>
        <w:tcBorders>
          <w:top w:val="nil"/>
          <w:bottom w:val="single" w:sz="12" w:space="0" w:color="C2D69B" w:themeColor="accent3" w:themeTint="99"/>
          <w:insideH w:val="nil"/>
          <w:insideV w:val="nil"/>
        </w:tcBorders>
        <w:shd w:val="clear" w:color="auto" w:fill="FFFFFF" w:themeFill="background1"/>
      </w:tcPr>
    </w:tblStylePr>
    <w:tblStylePr w:type="lastRow">
      <w:rPr>
        <w:b/>
        <w:bCs/>
      </w:rPr>
      <w:tblPr/>
      <w:tcPr>
        <w:tcBorders>
          <w:top w:val="double" w:sz="2" w:space="0" w:color="C2D69B"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GridTable1Light-Accent31">
    <w:name w:val="Grid Table 1 Light - Accent 31"/>
    <w:basedOn w:val="Navadnatabela"/>
    <w:uiPriority w:val="46"/>
    <w:rsid w:val="00CC1495"/>
    <w:tblPr>
      <w:tblStyleRowBandSize w:val="1"/>
      <w:tblStyleColBandSize w:val="1"/>
      <w:tblInd w:w="0" w:type="dxa"/>
      <w:tblBorders>
        <w:top w:val="single" w:sz="4" w:space="0" w:color="D6E3BC" w:themeColor="accent3" w:themeTint="66"/>
        <w:left w:val="single" w:sz="4" w:space="0" w:color="D6E3BC" w:themeColor="accent3" w:themeTint="66"/>
        <w:bottom w:val="single" w:sz="4" w:space="0" w:color="D6E3BC" w:themeColor="accent3" w:themeTint="66"/>
        <w:right w:val="single" w:sz="4" w:space="0" w:color="D6E3BC" w:themeColor="accent3" w:themeTint="66"/>
        <w:insideH w:val="single" w:sz="4" w:space="0" w:color="D6E3BC" w:themeColor="accent3" w:themeTint="66"/>
        <w:insideV w:val="single" w:sz="4" w:space="0" w:color="D6E3BC" w:themeColor="accent3" w:themeTint="66"/>
      </w:tblBorders>
      <w:tblCellMar>
        <w:top w:w="0" w:type="dxa"/>
        <w:left w:w="108" w:type="dxa"/>
        <w:bottom w:w="0" w:type="dxa"/>
        <w:right w:w="108" w:type="dxa"/>
      </w:tblCellMar>
    </w:tblPr>
    <w:tblStylePr w:type="firstRow">
      <w:rPr>
        <w:b/>
        <w:bCs/>
      </w:rPr>
      <w:tblPr/>
      <w:tcPr>
        <w:tcBorders>
          <w:bottom w:val="single" w:sz="12" w:space="0" w:color="C2D69B" w:themeColor="accent3" w:themeTint="99"/>
        </w:tcBorders>
      </w:tcPr>
    </w:tblStylePr>
    <w:tblStylePr w:type="lastRow">
      <w:rPr>
        <w:b/>
        <w:bCs/>
      </w:rPr>
      <w:tblPr/>
      <w:tcPr>
        <w:tcBorders>
          <w:top w:val="double" w:sz="2" w:space="0" w:color="C2D69B" w:themeColor="accent3" w:themeTint="99"/>
        </w:tcBorders>
      </w:tcPr>
    </w:tblStylePr>
    <w:tblStylePr w:type="firstCol">
      <w:rPr>
        <w:b/>
        <w:bCs/>
      </w:rPr>
    </w:tblStylePr>
    <w:tblStylePr w:type="lastCol">
      <w:rPr>
        <w:b/>
        <w:bCs/>
      </w:rPr>
    </w:tblStylePr>
  </w:style>
  <w:style w:type="table" w:customStyle="1" w:styleId="ListTable3-Accent31">
    <w:name w:val="List Table 3 - Accent 31"/>
    <w:basedOn w:val="Navadnatabela"/>
    <w:uiPriority w:val="48"/>
    <w:rsid w:val="00F14BED"/>
    <w:tblPr>
      <w:tblStyleRowBandSize w:val="1"/>
      <w:tblStyleColBandSize w:val="1"/>
      <w:tblInd w:w="0" w:type="dxa"/>
      <w:tblBorders>
        <w:top w:val="single" w:sz="4" w:space="0" w:color="9BBB59" w:themeColor="accent3"/>
        <w:left w:val="single" w:sz="4" w:space="0" w:color="9BBB59" w:themeColor="accent3"/>
        <w:bottom w:val="single" w:sz="4" w:space="0" w:color="9BBB59" w:themeColor="accent3"/>
        <w:right w:val="single" w:sz="4" w:space="0" w:color="9BBB59" w:themeColor="accent3"/>
      </w:tblBorders>
      <w:tblCellMar>
        <w:top w:w="0" w:type="dxa"/>
        <w:left w:w="108" w:type="dxa"/>
        <w:bottom w:w="0" w:type="dxa"/>
        <w:right w:w="108" w:type="dxa"/>
      </w:tblCellMar>
    </w:tblPr>
    <w:tblStylePr w:type="firstRow">
      <w:rPr>
        <w:b/>
        <w:bCs/>
        <w:color w:val="FFFFFF" w:themeColor="background1"/>
      </w:rPr>
      <w:tblPr/>
      <w:tcPr>
        <w:shd w:val="clear" w:color="auto" w:fill="9BBB59" w:themeFill="accent3"/>
      </w:tcPr>
    </w:tblStylePr>
    <w:tblStylePr w:type="lastRow">
      <w:rPr>
        <w:b/>
        <w:bCs/>
      </w:rPr>
      <w:tblPr/>
      <w:tcPr>
        <w:tcBorders>
          <w:top w:val="double" w:sz="4" w:space="0" w:color="9BBB59"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9BBB59" w:themeColor="accent3"/>
          <w:right w:val="single" w:sz="4" w:space="0" w:color="9BBB59" w:themeColor="accent3"/>
        </w:tcBorders>
      </w:tcPr>
    </w:tblStylePr>
    <w:tblStylePr w:type="band1Horz">
      <w:tblPr/>
      <w:tcPr>
        <w:tcBorders>
          <w:top w:val="single" w:sz="4" w:space="0" w:color="9BBB59" w:themeColor="accent3"/>
          <w:bottom w:val="single" w:sz="4" w:space="0" w:color="9BBB59"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9BBB59" w:themeColor="accent3"/>
          <w:left w:val="nil"/>
        </w:tcBorders>
      </w:tcPr>
    </w:tblStylePr>
    <w:tblStylePr w:type="swCell">
      <w:tblPr/>
      <w:tcPr>
        <w:tcBorders>
          <w:top w:val="double" w:sz="4" w:space="0" w:color="9BBB59" w:themeColor="accent3"/>
          <w:right w:val="nil"/>
        </w:tcBorders>
      </w:tcPr>
    </w:tblStylePr>
  </w:style>
  <w:style w:type="paragraph" w:customStyle="1" w:styleId="StrategijaNaslov1">
    <w:name w:val="Strategija Naslov1"/>
    <w:basedOn w:val="Navaden"/>
    <w:next w:val="Navaden"/>
    <w:qFormat/>
    <w:rsid w:val="00C71FCE"/>
    <w:pPr>
      <w:spacing w:after="0" w:line="240" w:lineRule="auto"/>
    </w:pPr>
    <w:rPr>
      <w:rFonts w:eastAsia="Arial"/>
      <w:b/>
      <w:bCs/>
      <w:sz w:val="24"/>
      <w:szCs w:val="22"/>
    </w:rPr>
  </w:style>
  <w:style w:type="paragraph" w:customStyle="1" w:styleId="StrategNaslov1">
    <w:name w:val="Strateg Naslov1"/>
    <w:basedOn w:val="Navaden"/>
    <w:next w:val="Navaden"/>
    <w:autoRedefine/>
    <w:qFormat/>
    <w:rsid w:val="00C71FCE"/>
    <w:pPr>
      <w:spacing w:after="0" w:line="240" w:lineRule="auto"/>
    </w:pPr>
    <w:rPr>
      <w:rFonts w:eastAsia="Arial"/>
      <w:b/>
      <w:sz w:val="24"/>
      <w:szCs w:val="22"/>
    </w:rPr>
  </w:style>
  <w:style w:type="paragraph" w:customStyle="1" w:styleId="StrategNaslov2">
    <w:name w:val="Strateg Naslov2"/>
    <w:basedOn w:val="Navaden"/>
    <w:next w:val="Navaden"/>
    <w:qFormat/>
    <w:rsid w:val="00C71FCE"/>
    <w:pPr>
      <w:numPr>
        <w:numId w:val="5"/>
      </w:numPr>
      <w:spacing w:after="0" w:line="240" w:lineRule="auto"/>
    </w:pPr>
    <w:rPr>
      <w:rFonts w:eastAsia="Arial"/>
      <w:b/>
      <w:szCs w:val="22"/>
    </w:rPr>
  </w:style>
  <w:style w:type="paragraph" w:customStyle="1" w:styleId="StrategTabele">
    <w:name w:val="Strateg Tabele"/>
    <w:basedOn w:val="Navaden"/>
    <w:next w:val="Navaden"/>
    <w:qFormat/>
    <w:rsid w:val="00C71FCE"/>
    <w:pPr>
      <w:spacing w:after="0" w:line="240" w:lineRule="auto"/>
    </w:pPr>
    <w:rPr>
      <w:rFonts w:ascii="Arial Narrow" w:eastAsia="Arial" w:hAnsi="Arial Narrow"/>
      <w:sz w:val="18"/>
      <w:szCs w:val="22"/>
    </w:rPr>
  </w:style>
  <w:style w:type="paragraph" w:customStyle="1" w:styleId="StrategNaslov3">
    <w:name w:val="StrategNaslov3"/>
    <w:basedOn w:val="Navaden"/>
    <w:qFormat/>
    <w:rsid w:val="00C71FCE"/>
    <w:pPr>
      <w:spacing w:after="0" w:line="240" w:lineRule="auto"/>
      <w:ind w:firstLine="454"/>
    </w:pPr>
    <w:rPr>
      <w:rFonts w:eastAsia="Arial"/>
      <w:b/>
      <w:szCs w:val="22"/>
    </w:rPr>
  </w:style>
  <w:style w:type="paragraph" w:customStyle="1" w:styleId="SNaslov2">
    <w:name w:val="S Naslov2"/>
    <w:basedOn w:val="Navaden"/>
    <w:next w:val="Navaden"/>
    <w:qFormat/>
    <w:rsid w:val="00C71FCE"/>
    <w:pPr>
      <w:spacing w:before="360" w:after="240" w:line="240" w:lineRule="auto"/>
    </w:pPr>
    <w:rPr>
      <w:rFonts w:eastAsia="Arial"/>
      <w:b/>
      <w:color w:val="1F497D" w:themeColor="text2"/>
      <w:szCs w:val="22"/>
    </w:rPr>
  </w:style>
  <w:style w:type="paragraph" w:customStyle="1" w:styleId="SNaslov3">
    <w:name w:val="S Naslov3"/>
    <w:basedOn w:val="Navaden"/>
    <w:next w:val="Navaden"/>
    <w:qFormat/>
    <w:rsid w:val="00C71FCE"/>
    <w:pPr>
      <w:spacing w:after="0" w:line="240" w:lineRule="auto"/>
      <w:ind w:firstLine="454"/>
    </w:pPr>
    <w:rPr>
      <w:rFonts w:eastAsia="Arial"/>
      <w:b/>
      <w:szCs w:val="22"/>
    </w:rPr>
  </w:style>
  <w:style w:type="paragraph" w:styleId="Golobesedilo">
    <w:name w:val="Plain Text"/>
    <w:basedOn w:val="Navaden"/>
    <w:link w:val="GolobesediloZnak"/>
    <w:uiPriority w:val="99"/>
    <w:semiHidden/>
    <w:unhideWhenUsed/>
    <w:rsid w:val="00C71FCE"/>
    <w:pPr>
      <w:spacing w:after="0" w:line="240" w:lineRule="auto"/>
    </w:pPr>
    <w:rPr>
      <w:rFonts w:ascii="Courier" w:eastAsia="Arial" w:hAnsi="Courier"/>
      <w:sz w:val="21"/>
      <w:szCs w:val="21"/>
    </w:rPr>
  </w:style>
  <w:style w:type="character" w:customStyle="1" w:styleId="GolobesediloZnak">
    <w:name w:val="Golo besedilo Znak"/>
    <w:basedOn w:val="Privzetapisavaodstavka"/>
    <w:link w:val="Golobesedilo"/>
    <w:uiPriority w:val="99"/>
    <w:semiHidden/>
    <w:rsid w:val="00C71FCE"/>
    <w:rPr>
      <w:rFonts w:ascii="Courier" w:eastAsia="Arial" w:hAnsi="Courier"/>
      <w:sz w:val="21"/>
      <w:szCs w:val="21"/>
      <w:lang w:eastAsia="en-US"/>
    </w:rPr>
  </w:style>
  <w:style w:type="paragraph" w:customStyle="1" w:styleId="SNaslov1">
    <w:name w:val="S Naslov1"/>
    <w:basedOn w:val="Navaden"/>
    <w:next w:val="Navaden"/>
    <w:qFormat/>
    <w:rsid w:val="00C71FCE"/>
    <w:pPr>
      <w:spacing w:before="480" w:after="0" w:line="240" w:lineRule="auto"/>
    </w:pPr>
    <w:rPr>
      <w:rFonts w:eastAsia="Arial"/>
      <w:b/>
      <w:bCs/>
      <w:caps/>
      <w:color w:val="1F497D" w:themeColor="text2"/>
      <w:sz w:val="24"/>
      <w:szCs w:val="22"/>
    </w:rPr>
  </w:style>
  <w:style w:type="paragraph" w:customStyle="1" w:styleId="SAlinea1">
    <w:name w:val="S Alinea 1"/>
    <w:basedOn w:val="Navaden"/>
    <w:qFormat/>
    <w:rsid w:val="00C71FCE"/>
    <w:pPr>
      <w:numPr>
        <w:numId w:val="6"/>
      </w:numPr>
      <w:spacing w:after="0" w:line="240" w:lineRule="auto"/>
      <w:contextualSpacing/>
    </w:pPr>
    <w:rPr>
      <w:rFonts w:eastAsia="Arial"/>
      <w:szCs w:val="22"/>
    </w:rPr>
  </w:style>
  <w:style w:type="table" w:customStyle="1" w:styleId="GridTable4-Accent61">
    <w:name w:val="Grid Table 4 - Accent 61"/>
    <w:basedOn w:val="Navadnatabela"/>
    <w:uiPriority w:val="49"/>
    <w:rsid w:val="00C71FCE"/>
    <w:rPr>
      <w:rFonts w:asciiTheme="minorHAnsi" w:eastAsia="Arial" w:hAnsiTheme="minorHAnsi" w:cstheme="minorBidi"/>
      <w:sz w:val="24"/>
      <w:szCs w:val="24"/>
      <w:lang w:val="en-GB" w:eastAsia="en-US"/>
    </w:rPr>
    <w:tblPr>
      <w:tblStyleRowBandSize w:val="1"/>
      <w:tblStyleColBandSize w:val="1"/>
      <w:tblInd w:w="0" w:type="dxa"/>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insideV w:val="nil"/>
        </w:tcBorders>
        <w:shd w:val="clear" w:color="auto" w:fill="F79646" w:themeFill="accent6"/>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ListTable3-Accent61">
    <w:name w:val="List Table 3 - Accent 61"/>
    <w:basedOn w:val="Navadnatabela"/>
    <w:uiPriority w:val="48"/>
    <w:rsid w:val="00C71FCE"/>
    <w:rPr>
      <w:rFonts w:asciiTheme="minorHAnsi" w:eastAsia="Arial" w:hAnsiTheme="minorHAnsi" w:cstheme="minorBidi"/>
      <w:sz w:val="24"/>
      <w:szCs w:val="24"/>
      <w:lang w:val="en-GB" w:eastAsia="en-US"/>
    </w:rPr>
    <w:tblPr>
      <w:tblStyleRowBandSize w:val="1"/>
      <w:tblStyleColBandSize w:val="1"/>
      <w:tblInd w:w="0" w:type="dxa"/>
      <w:tblBorders>
        <w:top w:val="single" w:sz="4" w:space="0" w:color="F79646" w:themeColor="accent6"/>
        <w:left w:val="single" w:sz="4" w:space="0" w:color="F79646" w:themeColor="accent6"/>
        <w:bottom w:val="single" w:sz="4" w:space="0" w:color="F79646" w:themeColor="accent6"/>
        <w:right w:val="single" w:sz="4" w:space="0" w:color="F79646" w:themeColor="accent6"/>
      </w:tblBorders>
      <w:tblCellMar>
        <w:top w:w="0" w:type="dxa"/>
        <w:left w:w="108" w:type="dxa"/>
        <w:bottom w:w="0" w:type="dxa"/>
        <w:right w:w="108" w:type="dxa"/>
      </w:tblCellMar>
    </w:tblPr>
    <w:tblStylePr w:type="firstRow">
      <w:rPr>
        <w:b/>
        <w:bCs/>
        <w:color w:val="FFFFFF" w:themeColor="background1"/>
      </w:rPr>
      <w:tblPr/>
      <w:tcPr>
        <w:shd w:val="clear" w:color="auto" w:fill="F79646" w:themeFill="accent6"/>
      </w:tcPr>
    </w:tblStylePr>
    <w:tblStylePr w:type="lastRow">
      <w:rPr>
        <w:b/>
        <w:bCs/>
      </w:rPr>
      <w:tblPr/>
      <w:tcPr>
        <w:tcBorders>
          <w:top w:val="double" w:sz="4" w:space="0" w:color="F79646" w:themeColor="accent6"/>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F79646" w:themeColor="accent6"/>
          <w:right w:val="single" w:sz="4" w:space="0" w:color="F79646" w:themeColor="accent6"/>
        </w:tcBorders>
      </w:tcPr>
    </w:tblStylePr>
    <w:tblStylePr w:type="band1Horz">
      <w:tblPr/>
      <w:tcPr>
        <w:tcBorders>
          <w:top w:val="single" w:sz="4" w:space="0" w:color="F79646" w:themeColor="accent6"/>
          <w:bottom w:val="single" w:sz="4" w:space="0" w:color="F79646" w:themeColor="accent6"/>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F79646" w:themeColor="accent6"/>
          <w:left w:val="nil"/>
        </w:tcBorders>
      </w:tcPr>
    </w:tblStylePr>
    <w:tblStylePr w:type="swCell">
      <w:tblPr/>
      <w:tcPr>
        <w:tcBorders>
          <w:top w:val="double" w:sz="4" w:space="0" w:color="F79646" w:themeColor="accent6"/>
          <w:right w:val="nil"/>
        </w:tcBorders>
      </w:tcPr>
    </w:tblStylePr>
  </w:style>
  <w:style w:type="table" w:customStyle="1" w:styleId="ListTable4-Accent31">
    <w:name w:val="List Table 4 - Accent 31"/>
    <w:basedOn w:val="Navadnatabela"/>
    <w:uiPriority w:val="49"/>
    <w:rsid w:val="00C71FCE"/>
    <w:tblPr>
      <w:tblStyleRowBandSize w:val="1"/>
      <w:tblStyleColBandSize w:val="1"/>
      <w:tblInd w:w="0" w:type="dxa"/>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tcBorders>
        <w:shd w:val="clear" w:color="auto" w:fill="9BBB59" w:themeFill="accent3"/>
      </w:tcPr>
    </w:tblStylePr>
    <w:tblStylePr w:type="lastRow">
      <w:rPr>
        <w:b/>
        <w:bCs/>
      </w:rPr>
      <w:tblPr/>
      <w:tcPr>
        <w:tcBorders>
          <w:top w:val="double" w:sz="4" w:space="0" w:color="C2D69B" w:themeColor="accent3" w:themeTint="99"/>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character" w:styleId="Krepko">
    <w:name w:val="Strong"/>
    <w:basedOn w:val="Privzetapisavaodstavka"/>
    <w:qFormat/>
    <w:rsid w:val="009C078C"/>
    <w:rPr>
      <w:b/>
      <w:bCs/>
    </w:rPr>
  </w:style>
  <w:style w:type="paragraph" w:styleId="Konnaopomba-besedilo">
    <w:name w:val="endnote text"/>
    <w:basedOn w:val="Navaden"/>
    <w:link w:val="Konnaopomba-besediloZnak"/>
    <w:semiHidden/>
    <w:unhideWhenUsed/>
    <w:rsid w:val="00F50874"/>
    <w:pPr>
      <w:spacing w:after="0" w:line="240" w:lineRule="auto"/>
    </w:pPr>
    <w:rPr>
      <w:szCs w:val="20"/>
    </w:rPr>
  </w:style>
  <w:style w:type="character" w:customStyle="1" w:styleId="Konnaopomba-besediloZnak">
    <w:name w:val="Končna opomba - besedilo Znak"/>
    <w:basedOn w:val="Privzetapisavaodstavka"/>
    <w:link w:val="Konnaopomba-besedilo"/>
    <w:semiHidden/>
    <w:rsid w:val="00F50874"/>
    <w:rPr>
      <w:rFonts w:ascii="Arial" w:hAnsi="Arial"/>
      <w:lang w:eastAsia="en-US"/>
    </w:rPr>
  </w:style>
  <w:style w:type="character" w:styleId="Konnaopomba-sklic">
    <w:name w:val="endnote reference"/>
    <w:basedOn w:val="Privzetapisavaodstavka"/>
    <w:semiHidden/>
    <w:unhideWhenUsed/>
    <w:rsid w:val="00F50874"/>
    <w:rPr>
      <w:vertAlign w:val="superscript"/>
    </w:rPr>
  </w:style>
  <w:style w:type="paragraph" w:styleId="NaslovTOC">
    <w:name w:val="TOC Heading"/>
    <w:basedOn w:val="Naslov1"/>
    <w:next w:val="Navaden"/>
    <w:uiPriority w:val="39"/>
    <w:semiHidden/>
    <w:unhideWhenUsed/>
    <w:qFormat/>
    <w:rsid w:val="002C28F5"/>
    <w:pPr>
      <w:outlineLvl w:val="9"/>
    </w:pPr>
    <w:rPr>
      <w:rFonts w:asciiTheme="majorHAnsi" w:hAnsiTheme="majorHAnsi"/>
      <w:color w:val="365F91" w:themeColor="accent1" w:themeShade="BF"/>
      <w:lang w:eastAsia="sl-SI"/>
    </w:rPr>
  </w:style>
  <w:style w:type="paragraph" w:styleId="Kazaloslik">
    <w:name w:val="table of figures"/>
    <w:basedOn w:val="Navaden"/>
    <w:next w:val="Navaden"/>
    <w:uiPriority w:val="99"/>
    <w:unhideWhenUsed/>
    <w:rsid w:val="003946D7"/>
    <w:pPr>
      <w:spacing w:after="0"/>
    </w:pPr>
  </w:style>
  <w:style w:type="character" w:customStyle="1" w:styleId="apple-converted-space">
    <w:name w:val="apple-converted-space"/>
    <w:basedOn w:val="Privzetapisavaodstavka"/>
    <w:rsid w:val="000C047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72057">
      <w:bodyDiv w:val="1"/>
      <w:marLeft w:val="0"/>
      <w:marRight w:val="0"/>
      <w:marTop w:val="0"/>
      <w:marBottom w:val="0"/>
      <w:divBdr>
        <w:top w:val="none" w:sz="0" w:space="0" w:color="auto"/>
        <w:left w:val="none" w:sz="0" w:space="0" w:color="auto"/>
        <w:bottom w:val="none" w:sz="0" w:space="0" w:color="auto"/>
        <w:right w:val="none" w:sz="0" w:space="0" w:color="auto"/>
      </w:divBdr>
    </w:div>
    <w:div w:id="28653140">
      <w:bodyDiv w:val="1"/>
      <w:marLeft w:val="0"/>
      <w:marRight w:val="0"/>
      <w:marTop w:val="0"/>
      <w:marBottom w:val="0"/>
      <w:divBdr>
        <w:top w:val="none" w:sz="0" w:space="0" w:color="auto"/>
        <w:left w:val="none" w:sz="0" w:space="0" w:color="auto"/>
        <w:bottom w:val="none" w:sz="0" w:space="0" w:color="auto"/>
        <w:right w:val="none" w:sz="0" w:space="0" w:color="auto"/>
      </w:divBdr>
    </w:div>
    <w:div w:id="65567800">
      <w:bodyDiv w:val="1"/>
      <w:marLeft w:val="0"/>
      <w:marRight w:val="0"/>
      <w:marTop w:val="0"/>
      <w:marBottom w:val="0"/>
      <w:divBdr>
        <w:top w:val="none" w:sz="0" w:space="0" w:color="auto"/>
        <w:left w:val="none" w:sz="0" w:space="0" w:color="auto"/>
        <w:bottom w:val="none" w:sz="0" w:space="0" w:color="auto"/>
        <w:right w:val="none" w:sz="0" w:space="0" w:color="auto"/>
      </w:divBdr>
    </w:div>
    <w:div w:id="68619394">
      <w:bodyDiv w:val="1"/>
      <w:marLeft w:val="0"/>
      <w:marRight w:val="0"/>
      <w:marTop w:val="0"/>
      <w:marBottom w:val="0"/>
      <w:divBdr>
        <w:top w:val="none" w:sz="0" w:space="0" w:color="auto"/>
        <w:left w:val="none" w:sz="0" w:space="0" w:color="auto"/>
        <w:bottom w:val="none" w:sz="0" w:space="0" w:color="auto"/>
        <w:right w:val="none" w:sz="0" w:space="0" w:color="auto"/>
      </w:divBdr>
    </w:div>
    <w:div w:id="78213525">
      <w:bodyDiv w:val="1"/>
      <w:marLeft w:val="0"/>
      <w:marRight w:val="0"/>
      <w:marTop w:val="0"/>
      <w:marBottom w:val="0"/>
      <w:divBdr>
        <w:top w:val="none" w:sz="0" w:space="0" w:color="auto"/>
        <w:left w:val="none" w:sz="0" w:space="0" w:color="auto"/>
        <w:bottom w:val="none" w:sz="0" w:space="0" w:color="auto"/>
        <w:right w:val="none" w:sz="0" w:space="0" w:color="auto"/>
      </w:divBdr>
    </w:div>
    <w:div w:id="94519492">
      <w:bodyDiv w:val="1"/>
      <w:marLeft w:val="0"/>
      <w:marRight w:val="0"/>
      <w:marTop w:val="0"/>
      <w:marBottom w:val="0"/>
      <w:divBdr>
        <w:top w:val="none" w:sz="0" w:space="0" w:color="auto"/>
        <w:left w:val="none" w:sz="0" w:space="0" w:color="auto"/>
        <w:bottom w:val="none" w:sz="0" w:space="0" w:color="auto"/>
        <w:right w:val="none" w:sz="0" w:space="0" w:color="auto"/>
      </w:divBdr>
    </w:div>
    <w:div w:id="110322375">
      <w:bodyDiv w:val="1"/>
      <w:marLeft w:val="0"/>
      <w:marRight w:val="0"/>
      <w:marTop w:val="0"/>
      <w:marBottom w:val="0"/>
      <w:divBdr>
        <w:top w:val="none" w:sz="0" w:space="0" w:color="auto"/>
        <w:left w:val="none" w:sz="0" w:space="0" w:color="auto"/>
        <w:bottom w:val="none" w:sz="0" w:space="0" w:color="auto"/>
        <w:right w:val="none" w:sz="0" w:space="0" w:color="auto"/>
      </w:divBdr>
    </w:div>
    <w:div w:id="117528161">
      <w:bodyDiv w:val="1"/>
      <w:marLeft w:val="0"/>
      <w:marRight w:val="0"/>
      <w:marTop w:val="0"/>
      <w:marBottom w:val="0"/>
      <w:divBdr>
        <w:top w:val="none" w:sz="0" w:space="0" w:color="auto"/>
        <w:left w:val="none" w:sz="0" w:space="0" w:color="auto"/>
        <w:bottom w:val="none" w:sz="0" w:space="0" w:color="auto"/>
        <w:right w:val="none" w:sz="0" w:space="0" w:color="auto"/>
      </w:divBdr>
    </w:div>
    <w:div w:id="159272955">
      <w:bodyDiv w:val="1"/>
      <w:marLeft w:val="0"/>
      <w:marRight w:val="0"/>
      <w:marTop w:val="0"/>
      <w:marBottom w:val="0"/>
      <w:divBdr>
        <w:top w:val="none" w:sz="0" w:space="0" w:color="auto"/>
        <w:left w:val="none" w:sz="0" w:space="0" w:color="auto"/>
        <w:bottom w:val="none" w:sz="0" w:space="0" w:color="auto"/>
        <w:right w:val="none" w:sz="0" w:space="0" w:color="auto"/>
      </w:divBdr>
    </w:div>
    <w:div w:id="209540099">
      <w:bodyDiv w:val="1"/>
      <w:marLeft w:val="0"/>
      <w:marRight w:val="0"/>
      <w:marTop w:val="0"/>
      <w:marBottom w:val="0"/>
      <w:divBdr>
        <w:top w:val="none" w:sz="0" w:space="0" w:color="auto"/>
        <w:left w:val="none" w:sz="0" w:space="0" w:color="auto"/>
        <w:bottom w:val="none" w:sz="0" w:space="0" w:color="auto"/>
        <w:right w:val="none" w:sz="0" w:space="0" w:color="auto"/>
      </w:divBdr>
    </w:div>
    <w:div w:id="233899646">
      <w:bodyDiv w:val="1"/>
      <w:marLeft w:val="0"/>
      <w:marRight w:val="0"/>
      <w:marTop w:val="0"/>
      <w:marBottom w:val="0"/>
      <w:divBdr>
        <w:top w:val="none" w:sz="0" w:space="0" w:color="auto"/>
        <w:left w:val="none" w:sz="0" w:space="0" w:color="auto"/>
        <w:bottom w:val="none" w:sz="0" w:space="0" w:color="auto"/>
        <w:right w:val="none" w:sz="0" w:space="0" w:color="auto"/>
      </w:divBdr>
    </w:div>
    <w:div w:id="236088133">
      <w:bodyDiv w:val="1"/>
      <w:marLeft w:val="0"/>
      <w:marRight w:val="0"/>
      <w:marTop w:val="0"/>
      <w:marBottom w:val="0"/>
      <w:divBdr>
        <w:top w:val="none" w:sz="0" w:space="0" w:color="auto"/>
        <w:left w:val="none" w:sz="0" w:space="0" w:color="auto"/>
        <w:bottom w:val="none" w:sz="0" w:space="0" w:color="auto"/>
        <w:right w:val="none" w:sz="0" w:space="0" w:color="auto"/>
      </w:divBdr>
    </w:div>
    <w:div w:id="282076910">
      <w:bodyDiv w:val="1"/>
      <w:marLeft w:val="0"/>
      <w:marRight w:val="0"/>
      <w:marTop w:val="0"/>
      <w:marBottom w:val="0"/>
      <w:divBdr>
        <w:top w:val="none" w:sz="0" w:space="0" w:color="auto"/>
        <w:left w:val="none" w:sz="0" w:space="0" w:color="auto"/>
        <w:bottom w:val="none" w:sz="0" w:space="0" w:color="auto"/>
        <w:right w:val="none" w:sz="0" w:space="0" w:color="auto"/>
      </w:divBdr>
    </w:div>
    <w:div w:id="304702945">
      <w:bodyDiv w:val="1"/>
      <w:marLeft w:val="0"/>
      <w:marRight w:val="0"/>
      <w:marTop w:val="0"/>
      <w:marBottom w:val="0"/>
      <w:divBdr>
        <w:top w:val="none" w:sz="0" w:space="0" w:color="auto"/>
        <w:left w:val="none" w:sz="0" w:space="0" w:color="auto"/>
        <w:bottom w:val="none" w:sz="0" w:space="0" w:color="auto"/>
        <w:right w:val="none" w:sz="0" w:space="0" w:color="auto"/>
      </w:divBdr>
    </w:div>
    <w:div w:id="319432120">
      <w:bodyDiv w:val="1"/>
      <w:marLeft w:val="0"/>
      <w:marRight w:val="0"/>
      <w:marTop w:val="0"/>
      <w:marBottom w:val="0"/>
      <w:divBdr>
        <w:top w:val="none" w:sz="0" w:space="0" w:color="auto"/>
        <w:left w:val="none" w:sz="0" w:space="0" w:color="auto"/>
        <w:bottom w:val="none" w:sz="0" w:space="0" w:color="auto"/>
        <w:right w:val="none" w:sz="0" w:space="0" w:color="auto"/>
      </w:divBdr>
    </w:div>
    <w:div w:id="358773960">
      <w:bodyDiv w:val="1"/>
      <w:marLeft w:val="0"/>
      <w:marRight w:val="0"/>
      <w:marTop w:val="0"/>
      <w:marBottom w:val="0"/>
      <w:divBdr>
        <w:top w:val="none" w:sz="0" w:space="0" w:color="auto"/>
        <w:left w:val="none" w:sz="0" w:space="0" w:color="auto"/>
        <w:bottom w:val="none" w:sz="0" w:space="0" w:color="auto"/>
        <w:right w:val="none" w:sz="0" w:space="0" w:color="auto"/>
      </w:divBdr>
    </w:div>
    <w:div w:id="402340920">
      <w:bodyDiv w:val="1"/>
      <w:marLeft w:val="0"/>
      <w:marRight w:val="0"/>
      <w:marTop w:val="0"/>
      <w:marBottom w:val="0"/>
      <w:divBdr>
        <w:top w:val="none" w:sz="0" w:space="0" w:color="auto"/>
        <w:left w:val="none" w:sz="0" w:space="0" w:color="auto"/>
        <w:bottom w:val="none" w:sz="0" w:space="0" w:color="auto"/>
        <w:right w:val="none" w:sz="0" w:space="0" w:color="auto"/>
      </w:divBdr>
    </w:div>
    <w:div w:id="405734929">
      <w:bodyDiv w:val="1"/>
      <w:marLeft w:val="0"/>
      <w:marRight w:val="0"/>
      <w:marTop w:val="0"/>
      <w:marBottom w:val="0"/>
      <w:divBdr>
        <w:top w:val="none" w:sz="0" w:space="0" w:color="auto"/>
        <w:left w:val="none" w:sz="0" w:space="0" w:color="auto"/>
        <w:bottom w:val="none" w:sz="0" w:space="0" w:color="auto"/>
        <w:right w:val="none" w:sz="0" w:space="0" w:color="auto"/>
      </w:divBdr>
    </w:div>
    <w:div w:id="412626289">
      <w:bodyDiv w:val="1"/>
      <w:marLeft w:val="0"/>
      <w:marRight w:val="0"/>
      <w:marTop w:val="0"/>
      <w:marBottom w:val="0"/>
      <w:divBdr>
        <w:top w:val="none" w:sz="0" w:space="0" w:color="auto"/>
        <w:left w:val="none" w:sz="0" w:space="0" w:color="auto"/>
        <w:bottom w:val="none" w:sz="0" w:space="0" w:color="auto"/>
        <w:right w:val="none" w:sz="0" w:space="0" w:color="auto"/>
      </w:divBdr>
    </w:div>
    <w:div w:id="414403180">
      <w:bodyDiv w:val="1"/>
      <w:marLeft w:val="0"/>
      <w:marRight w:val="0"/>
      <w:marTop w:val="0"/>
      <w:marBottom w:val="0"/>
      <w:divBdr>
        <w:top w:val="none" w:sz="0" w:space="0" w:color="auto"/>
        <w:left w:val="none" w:sz="0" w:space="0" w:color="auto"/>
        <w:bottom w:val="none" w:sz="0" w:space="0" w:color="auto"/>
        <w:right w:val="none" w:sz="0" w:space="0" w:color="auto"/>
      </w:divBdr>
    </w:div>
    <w:div w:id="421878296">
      <w:bodyDiv w:val="1"/>
      <w:marLeft w:val="0"/>
      <w:marRight w:val="0"/>
      <w:marTop w:val="0"/>
      <w:marBottom w:val="0"/>
      <w:divBdr>
        <w:top w:val="none" w:sz="0" w:space="0" w:color="auto"/>
        <w:left w:val="none" w:sz="0" w:space="0" w:color="auto"/>
        <w:bottom w:val="none" w:sz="0" w:space="0" w:color="auto"/>
        <w:right w:val="none" w:sz="0" w:space="0" w:color="auto"/>
      </w:divBdr>
    </w:div>
    <w:div w:id="430204682">
      <w:bodyDiv w:val="1"/>
      <w:marLeft w:val="0"/>
      <w:marRight w:val="0"/>
      <w:marTop w:val="0"/>
      <w:marBottom w:val="0"/>
      <w:divBdr>
        <w:top w:val="none" w:sz="0" w:space="0" w:color="auto"/>
        <w:left w:val="none" w:sz="0" w:space="0" w:color="auto"/>
        <w:bottom w:val="none" w:sz="0" w:space="0" w:color="auto"/>
        <w:right w:val="none" w:sz="0" w:space="0" w:color="auto"/>
      </w:divBdr>
    </w:div>
    <w:div w:id="441607835">
      <w:bodyDiv w:val="1"/>
      <w:marLeft w:val="0"/>
      <w:marRight w:val="0"/>
      <w:marTop w:val="0"/>
      <w:marBottom w:val="0"/>
      <w:divBdr>
        <w:top w:val="none" w:sz="0" w:space="0" w:color="auto"/>
        <w:left w:val="none" w:sz="0" w:space="0" w:color="auto"/>
        <w:bottom w:val="none" w:sz="0" w:space="0" w:color="auto"/>
        <w:right w:val="none" w:sz="0" w:space="0" w:color="auto"/>
      </w:divBdr>
    </w:div>
    <w:div w:id="465783392">
      <w:bodyDiv w:val="1"/>
      <w:marLeft w:val="0"/>
      <w:marRight w:val="0"/>
      <w:marTop w:val="0"/>
      <w:marBottom w:val="0"/>
      <w:divBdr>
        <w:top w:val="none" w:sz="0" w:space="0" w:color="auto"/>
        <w:left w:val="none" w:sz="0" w:space="0" w:color="auto"/>
        <w:bottom w:val="none" w:sz="0" w:space="0" w:color="auto"/>
        <w:right w:val="none" w:sz="0" w:space="0" w:color="auto"/>
      </w:divBdr>
    </w:div>
    <w:div w:id="470175200">
      <w:bodyDiv w:val="1"/>
      <w:marLeft w:val="0"/>
      <w:marRight w:val="0"/>
      <w:marTop w:val="0"/>
      <w:marBottom w:val="0"/>
      <w:divBdr>
        <w:top w:val="none" w:sz="0" w:space="0" w:color="auto"/>
        <w:left w:val="none" w:sz="0" w:space="0" w:color="auto"/>
        <w:bottom w:val="none" w:sz="0" w:space="0" w:color="auto"/>
        <w:right w:val="none" w:sz="0" w:space="0" w:color="auto"/>
      </w:divBdr>
    </w:div>
    <w:div w:id="488987031">
      <w:bodyDiv w:val="1"/>
      <w:marLeft w:val="0"/>
      <w:marRight w:val="0"/>
      <w:marTop w:val="0"/>
      <w:marBottom w:val="0"/>
      <w:divBdr>
        <w:top w:val="none" w:sz="0" w:space="0" w:color="auto"/>
        <w:left w:val="none" w:sz="0" w:space="0" w:color="auto"/>
        <w:bottom w:val="none" w:sz="0" w:space="0" w:color="auto"/>
        <w:right w:val="none" w:sz="0" w:space="0" w:color="auto"/>
      </w:divBdr>
    </w:div>
    <w:div w:id="516817372">
      <w:bodyDiv w:val="1"/>
      <w:marLeft w:val="0"/>
      <w:marRight w:val="0"/>
      <w:marTop w:val="0"/>
      <w:marBottom w:val="0"/>
      <w:divBdr>
        <w:top w:val="none" w:sz="0" w:space="0" w:color="auto"/>
        <w:left w:val="none" w:sz="0" w:space="0" w:color="auto"/>
        <w:bottom w:val="none" w:sz="0" w:space="0" w:color="auto"/>
        <w:right w:val="none" w:sz="0" w:space="0" w:color="auto"/>
      </w:divBdr>
    </w:div>
    <w:div w:id="529605989">
      <w:bodyDiv w:val="1"/>
      <w:marLeft w:val="0"/>
      <w:marRight w:val="0"/>
      <w:marTop w:val="0"/>
      <w:marBottom w:val="0"/>
      <w:divBdr>
        <w:top w:val="none" w:sz="0" w:space="0" w:color="auto"/>
        <w:left w:val="none" w:sz="0" w:space="0" w:color="auto"/>
        <w:bottom w:val="none" w:sz="0" w:space="0" w:color="auto"/>
        <w:right w:val="none" w:sz="0" w:space="0" w:color="auto"/>
      </w:divBdr>
    </w:div>
    <w:div w:id="548035670">
      <w:bodyDiv w:val="1"/>
      <w:marLeft w:val="0"/>
      <w:marRight w:val="0"/>
      <w:marTop w:val="0"/>
      <w:marBottom w:val="0"/>
      <w:divBdr>
        <w:top w:val="none" w:sz="0" w:space="0" w:color="auto"/>
        <w:left w:val="none" w:sz="0" w:space="0" w:color="auto"/>
        <w:bottom w:val="none" w:sz="0" w:space="0" w:color="auto"/>
        <w:right w:val="none" w:sz="0" w:space="0" w:color="auto"/>
      </w:divBdr>
    </w:div>
    <w:div w:id="553004395">
      <w:bodyDiv w:val="1"/>
      <w:marLeft w:val="0"/>
      <w:marRight w:val="0"/>
      <w:marTop w:val="0"/>
      <w:marBottom w:val="0"/>
      <w:divBdr>
        <w:top w:val="none" w:sz="0" w:space="0" w:color="auto"/>
        <w:left w:val="none" w:sz="0" w:space="0" w:color="auto"/>
        <w:bottom w:val="none" w:sz="0" w:space="0" w:color="auto"/>
        <w:right w:val="none" w:sz="0" w:space="0" w:color="auto"/>
      </w:divBdr>
    </w:div>
    <w:div w:id="604506025">
      <w:bodyDiv w:val="1"/>
      <w:marLeft w:val="0"/>
      <w:marRight w:val="0"/>
      <w:marTop w:val="0"/>
      <w:marBottom w:val="0"/>
      <w:divBdr>
        <w:top w:val="none" w:sz="0" w:space="0" w:color="auto"/>
        <w:left w:val="none" w:sz="0" w:space="0" w:color="auto"/>
        <w:bottom w:val="none" w:sz="0" w:space="0" w:color="auto"/>
        <w:right w:val="none" w:sz="0" w:space="0" w:color="auto"/>
      </w:divBdr>
    </w:div>
    <w:div w:id="697583884">
      <w:bodyDiv w:val="1"/>
      <w:marLeft w:val="0"/>
      <w:marRight w:val="0"/>
      <w:marTop w:val="0"/>
      <w:marBottom w:val="0"/>
      <w:divBdr>
        <w:top w:val="none" w:sz="0" w:space="0" w:color="auto"/>
        <w:left w:val="none" w:sz="0" w:space="0" w:color="auto"/>
        <w:bottom w:val="none" w:sz="0" w:space="0" w:color="auto"/>
        <w:right w:val="none" w:sz="0" w:space="0" w:color="auto"/>
      </w:divBdr>
    </w:div>
    <w:div w:id="709308867">
      <w:bodyDiv w:val="1"/>
      <w:marLeft w:val="0"/>
      <w:marRight w:val="0"/>
      <w:marTop w:val="0"/>
      <w:marBottom w:val="0"/>
      <w:divBdr>
        <w:top w:val="none" w:sz="0" w:space="0" w:color="auto"/>
        <w:left w:val="none" w:sz="0" w:space="0" w:color="auto"/>
        <w:bottom w:val="none" w:sz="0" w:space="0" w:color="auto"/>
        <w:right w:val="none" w:sz="0" w:space="0" w:color="auto"/>
      </w:divBdr>
    </w:div>
    <w:div w:id="758788813">
      <w:bodyDiv w:val="1"/>
      <w:marLeft w:val="0"/>
      <w:marRight w:val="0"/>
      <w:marTop w:val="0"/>
      <w:marBottom w:val="0"/>
      <w:divBdr>
        <w:top w:val="none" w:sz="0" w:space="0" w:color="auto"/>
        <w:left w:val="none" w:sz="0" w:space="0" w:color="auto"/>
        <w:bottom w:val="none" w:sz="0" w:space="0" w:color="auto"/>
        <w:right w:val="none" w:sz="0" w:space="0" w:color="auto"/>
      </w:divBdr>
    </w:div>
    <w:div w:id="784037939">
      <w:bodyDiv w:val="1"/>
      <w:marLeft w:val="0"/>
      <w:marRight w:val="0"/>
      <w:marTop w:val="0"/>
      <w:marBottom w:val="0"/>
      <w:divBdr>
        <w:top w:val="none" w:sz="0" w:space="0" w:color="auto"/>
        <w:left w:val="none" w:sz="0" w:space="0" w:color="auto"/>
        <w:bottom w:val="none" w:sz="0" w:space="0" w:color="auto"/>
        <w:right w:val="none" w:sz="0" w:space="0" w:color="auto"/>
      </w:divBdr>
    </w:div>
    <w:div w:id="787047759">
      <w:bodyDiv w:val="1"/>
      <w:marLeft w:val="0"/>
      <w:marRight w:val="0"/>
      <w:marTop w:val="0"/>
      <w:marBottom w:val="0"/>
      <w:divBdr>
        <w:top w:val="none" w:sz="0" w:space="0" w:color="auto"/>
        <w:left w:val="none" w:sz="0" w:space="0" w:color="auto"/>
        <w:bottom w:val="none" w:sz="0" w:space="0" w:color="auto"/>
        <w:right w:val="none" w:sz="0" w:space="0" w:color="auto"/>
      </w:divBdr>
    </w:div>
    <w:div w:id="819350541">
      <w:bodyDiv w:val="1"/>
      <w:marLeft w:val="0"/>
      <w:marRight w:val="0"/>
      <w:marTop w:val="0"/>
      <w:marBottom w:val="0"/>
      <w:divBdr>
        <w:top w:val="none" w:sz="0" w:space="0" w:color="auto"/>
        <w:left w:val="none" w:sz="0" w:space="0" w:color="auto"/>
        <w:bottom w:val="none" w:sz="0" w:space="0" w:color="auto"/>
        <w:right w:val="none" w:sz="0" w:space="0" w:color="auto"/>
      </w:divBdr>
    </w:div>
    <w:div w:id="825975070">
      <w:bodyDiv w:val="1"/>
      <w:marLeft w:val="0"/>
      <w:marRight w:val="0"/>
      <w:marTop w:val="0"/>
      <w:marBottom w:val="0"/>
      <w:divBdr>
        <w:top w:val="none" w:sz="0" w:space="0" w:color="auto"/>
        <w:left w:val="none" w:sz="0" w:space="0" w:color="auto"/>
        <w:bottom w:val="none" w:sz="0" w:space="0" w:color="auto"/>
        <w:right w:val="none" w:sz="0" w:space="0" w:color="auto"/>
      </w:divBdr>
    </w:div>
    <w:div w:id="834078710">
      <w:bodyDiv w:val="1"/>
      <w:marLeft w:val="0"/>
      <w:marRight w:val="0"/>
      <w:marTop w:val="0"/>
      <w:marBottom w:val="0"/>
      <w:divBdr>
        <w:top w:val="none" w:sz="0" w:space="0" w:color="auto"/>
        <w:left w:val="none" w:sz="0" w:space="0" w:color="auto"/>
        <w:bottom w:val="none" w:sz="0" w:space="0" w:color="auto"/>
        <w:right w:val="none" w:sz="0" w:space="0" w:color="auto"/>
      </w:divBdr>
    </w:div>
    <w:div w:id="836772480">
      <w:bodyDiv w:val="1"/>
      <w:marLeft w:val="0"/>
      <w:marRight w:val="0"/>
      <w:marTop w:val="0"/>
      <w:marBottom w:val="0"/>
      <w:divBdr>
        <w:top w:val="none" w:sz="0" w:space="0" w:color="auto"/>
        <w:left w:val="none" w:sz="0" w:space="0" w:color="auto"/>
        <w:bottom w:val="none" w:sz="0" w:space="0" w:color="auto"/>
        <w:right w:val="none" w:sz="0" w:space="0" w:color="auto"/>
      </w:divBdr>
    </w:div>
    <w:div w:id="848301208">
      <w:bodyDiv w:val="1"/>
      <w:marLeft w:val="0"/>
      <w:marRight w:val="0"/>
      <w:marTop w:val="0"/>
      <w:marBottom w:val="0"/>
      <w:divBdr>
        <w:top w:val="none" w:sz="0" w:space="0" w:color="auto"/>
        <w:left w:val="none" w:sz="0" w:space="0" w:color="auto"/>
        <w:bottom w:val="none" w:sz="0" w:space="0" w:color="auto"/>
        <w:right w:val="none" w:sz="0" w:space="0" w:color="auto"/>
      </w:divBdr>
    </w:div>
    <w:div w:id="868689692">
      <w:bodyDiv w:val="1"/>
      <w:marLeft w:val="0"/>
      <w:marRight w:val="0"/>
      <w:marTop w:val="0"/>
      <w:marBottom w:val="0"/>
      <w:divBdr>
        <w:top w:val="none" w:sz="0" w:space="0" w:color="auto"/>
        <w:left w:val="none" w:sz="0" w:space="0" w:color="auto"/>
        <w:bottom w:val="none" w:sz="0" w:space="0" w:color="auto"/>
        <w:right w:val="none" w:sz="0" w:space="0" w:color="auto"/>
      </w:divBdr>
    </w:div>
    <w:div w:id="884878237">
      <w:bodyDiv w:val="1"/>
      <w:marLeft w:val="0"/>
      <w:marRight w:val="0"/>
      <w:marTop w:val="0"/>
      <w:marBottom w:val="0"/>
      <w:divBdr>
        <w:top w:val="none" w:sz="0" w:space="0" w:color="auto"/>
        <w:left w:val="none" w:sz="0" w:space="0" w:color="auto"/>
        <w:bottom w:val="none" w:sz="0" w:space="0" w:color="auto"/>
        <w:right w:val="none" w:sz="0" w:space="0" w:color="auto"/>
      </w:divBdr>
    </w:div>
    <w:div w:id="899243030">
      <w:bodyDiv w:val="1"/>
      <w:marLeft w:val="0"/>
      <w:marRight w:val="0"/>
      <w:marTop w:val="0"/>
      <w:marBottom w:val="0"/>
      <w:divBdr>
        <w:top w:val="none" w:sz="0" w:space="0" w:color="auto"/>
        <w:left w:val="none" w:sz="0" w:space="0" w:color="auto"/>
        <w:bottom w:val="none" w:sz="0" w:space="0" w:color="auto"/>
        <w:right w:val="none" w:sz="0" w:space="0" w:color="auto"/>
      </w:divBdr>
    </w:div>
    <w:div w:id="927619302">
      <w:bodyDiv w:val="1"/>
      <w:marLeft w:val="0"/>
      <w:marRight w:val="0"/>
      <w:marTop w:val="0"/>
      <w:marBottom w:val="0"/>
      <w:divBdr>
        <w:top w:val="none" w:sz="0" w:space="0" w:color="auto"/>
        <w:left w:val="none" w:sz="0" w:space="0" w:color="auto"/>
        <w:bottom w:val="none" w:sz="0" w:space="0" w:color="auto"/>
        <w:right w:val="none" w:sz="0" w:space="0" w:color="auto"/>
      </w:divBdr>
    </w:div>
    <w:div w:id="940457284">
      <w:bodyDiv w:val="1"/>
      <w:marLeft w:val="0"/>
      <w:marRight w:val="0"/>
      <w:marTop w:val="0"/>
      <w:marBottom w:val="0"/>
      <w:divBdr>
        <w:top w:val="none" w:sz="0" w:space="0" w:color="auto"/>
        <w:left w:val="none" w:sz="0" w:space="0" w:color="auto"/>
        <w:bottom w:val="none" w:sz="0" w:space="0" w:color="auto"/>
        <w:right w:val="none" w:sz="0" w:space="0" w:color="auto"/>
      </w:divBdr>
    </w:div>
    <w:div w:id="955717031">
      <w:bodyDiv w:val="1"/>
      <w:marLeft w:val="0"/>
      <w:marRight w:val="0"/>
      <w:marTop w:val="0"/>
      <w:marBottom w:val="0"/>
      <w:divBdr>
        <w:top w:val="none" w:sz="0" w:space="0" w:color="auto"/>
        <w:left w:val="none" w:sz="0" w:space="0" w:color="auto"/>
        <w:bottom w:val="none" w:sz="0" w:space="0" w:color="auto"/>
        <w:right w:val="none" w:sz="0" w:space="0" w:color="auto"/>
      </w:divBdr>
    </w:div>
    <w:div w:id="969634374">
      <w:bodyDiv w:val="1"/>
      <w:marLeft w:val="0"/>
      <w:marRight w:val="0"/>
      <w:marTop w:val="0"/>
      <w:marBottom w:val="0"/>
      <w:divBdr>
        <w:top w:val="none" w:sz="0" w:space="0" w:color="auto"/>
        <w:left w:val="none" w:sz="0" w:space="0" w:color="auto"/>
        <w:bottom w:val="none" w:sz="0" w:space="0" w:color="auto"/>
        <w:right w:val="none" w:sz="0" w:space="0" w:color="auto"/>
      </w:divBdr>
    </w:div>
    <w:div w:id="971712445">
      <w:bodyDiv w:val="1"/>
      <w:marLeft w:val="0"/>
      <w:marRight w:val="0"/>
      <w:marTop w:val="0"/>
      <w:marBottom w:val="0"/>
      <w:divBdr>
        <w:top w:val="none" w:sz="0" w:space="0" w:color="auto"/>
        <w:left w:val="none" w:sz="0" w:space="0" w:color="auto"/>
        <w:bottom w:val="none" w:sz="0" w:space="0" w:color="auto"/>
        <w:right w:val="none" w:sz="0" w:space="0" w:color="auto"/>
      </w:divBdr>
    </w:div>
    <w:div w:id="1006126658">
      <w:bodyDiv w:val="1"/>
      <w:marLeft w:val="0"/>
      <w:marRight w:val="0"/>
      <w:marTop w:val="0"/>
      <w:marBottom w:val="0"/>
      <w:divBdr>
        <w:top w:val="none" w:sz="0" w:space="0" w:color="auto"/>
        <w:left w:val="none" w:sz="0" w:space="0" w:color="auto"/>
        <w:bottom w:val="none" w:sz="0" w:space="0" w:color="auto"/>
        <w:right w:val="none" w:sz="0" w:space="0" w:color="auto"/>
      </w:divBdr>
    </w:div>
    <w:div w:id="1034427381">
      <w:bodyDiv w:val="1"/>
      <w:marLeft w:val="0"/>
      <w:marRight w:val="0"/>
      <w:marTop w:val="0"/>
      <w:marBottom w:val="0"/>
      <w:divBdr>
        <w:top w:val="none" w:sz="0" w:space="0" w:color="auto"/>
        <w:left w:val="none" w:sz="0" w:space="0" w:color="auto"/>
        <w:bottom w:val="none" w:sz="0" w:space="0" w:color="auto"/>
        <w:right w:val="none" w:sz="0" w:space="0" w:color="auto"/>
      </w:divBdr>
    </w:div>
    <w:div w:id="1039665965">
      <w:bodyDiv w:val="1"/>
      <w:marLeft w:val="0"/>
      <w:marRight w:val="0"/>
      <w:marTop w:val="0"/>
      <w:marBottom w:val="0"/>
      <w:divBdr>
        <w:top w:val="none" w:sz="0" w:space="0" w:color="auto"/>
        <w:left w:val="none" w:sz="0" w:space="0" w:color="auto"/>
        <w:bottom w:val="none" w:sz="0" w:space="0" w:color="auto"/>
        <w:right w:val="none" w:sz="0" w:space="0" w:color="auto"/>
      </w:divBdr>
    </w:div>
    <w:div w:id="1136947759">
      <w:bodyDiv w:val="1"/>
      <w:marLeft w:val="0"/>
      <w:marRight w:val="0"/>
      <w:marTop w:val="0"/>
      <w:marBottom w:val="0"/>
      <w:divBdr>
        <w:top w:val="none" w:sz="0" w:space="0" w:color="auto"/>
        <w:left w:val="none" w:sz="0" w:space="0" w:color="auto"/>
        <w:bottom w:val="none" w:sz="0" w:space="0" w:color="auto"/>
        <w:right w:val="none" w:sz="0" w:space="0" w:color="auto"/>
      </w:divBdr>
    </w:div>
    <w:div w:id="1149445921">
      <w:bodyDiv w:val="1"/>
      <w:marLeft w:val="0"/>
      <w:marRight w:val="0"/>
      <w:marTop w:val="0"/>
      <w:marBottom w:val="0"/>
      <w:divBdr>
        <w:top w:val="none" w:sz="0" w:space="0" w:color="auto"/>
        <w:left w:val="none" w:sz="0" w:space="0" w:color="auto"/>
        <w:bottom w:val="none" w:sz="0" w:space="0" w:color="auto"/>
        <w:right w:val="none" w:sz="0" w:space="0" w:color="auto"/>
      </w:divBdr>
    </w:div>
    <w:div w:id="1172529327">
      <w:bodyDiv w:val="1"/>
      <w:marLeft w:val="0"/>
      <w:marRight w:val="0"/>
      <w:marTop w:val="0"/>
      <w:marBottom w:val="0"/>
      <w:divBdr>
        <w:top w:val="none" w:sz="0" w:space="0" w:color="auto"/>
        <w:left w:val="none" w:sz="0" w:space="0" w:color="auto"/>
        <w:bottom w:val="none" w:sz="0" w:space="0" w:color="auto"/>
        <w:right w:val="none" w:sz="0" w:space="0" w:color="auto"/>
      </w:divBdr>
    </w:div>
    <w:div w:id="1186166616">
      <w:bodyDiv w:val="1"/>
      <w:marLeft w:val="0"/>
      <w:marRight w:val="0"/>
      <w:marTop w:val="0"/>
      <w:marBottom w:val="0"/>
      <w:divBdr>
        <w:top w:val="none" w:sz="0" w:space="0" w:color="auto"/>
        <w:left w:val="none" w:sz="0" w:space="0" w:color="auto"/>
        <w:bottom w:val="none" w:sz="0" w:space="0" w:color="auto"/>
        <w:right w:val="none" w:sz="0" w:space="0" w:color="auto"/>
      </w:divBdr>
    </w:div>
    <w:div w:id="1188716782">
      <w:bodyDiv w:val="1"/>
      <w:marLeft w:val="0"/>
      <w:marRight w:val="0"/>
      <w:marTop w:val="0"/>
      <w:marBottom w:val="0"/>
      <w:divBdr>
        <w:top w:val="none" w:sz="0" w:space="0" w:color="auto"/>
        <w:left w:val="none" w:sz="0" w:space="0" w:color="auto"/>
        <w:bottom w:val="none" w:sz="0" w:space="0" w:color="auto"/>
        <w:right w:val="none" w:sz="0" w:space="0" w:color="auto"/>
      </w:divBdr>
    </w:div>
    <w:div w:id="1253246881">
      <w:bodyDiv w:val="1"/>
      <w:marLeft w:val="0"/>
      <w:marRight w:val="0"/>
      <w:marTop w:val="0"/>
      <w:marBottom w:val="0"/>
      <w:divBdr>
        <w:top w:val="none" w:sz="0" w:space="0" w:color="auto"/>
        <w:left w:val="none" w:sz="0" w:space="0" w:color="auto"/>
        <w:bottom w:val="none" w:sz="0" w:space="0" w:color="auto"/>
        <w:right w:val="none" w:sz="0" w:space="0" w:color="auto"/>
      </w:divBdr>
    </w:div>
    <w:div w:id="1254972474">
      <w:bodyDiv w:val="1"/>
      <w:marLeft w:val="0"/>
      <w:marRight w:val="0"/>
      <w:marTop w:val="0"/>
      <w:marBottom w:val="0"/>
      <w:divBdr>
        <w:top w:val="none" w:sz="0" w:space="0" w:color="auto"/>
        <w:left w:val="none" w:sz="0" w:space="0" w:color="auto"/>
        <w:bottom w:val="none" w:sz="0" w:space="0" w:color="auto"/>
        <w:right w:val="none" w:sz="0" w:space="0" w:color="auto"/>
      </w:divBdr>
    </w:div>
    <w:div w:id="1316954437">
      <w:bodyDiv w:val="1"/>
      <w:marLeft w:val="0"/>
      <w:marRight w:val="0"/>
      <w:marTop w:val="0"/>
      <w:marBottom w:val="0"/>
      <w:divBdr>
        <w:top w:val="none" w:sz="0" w:space="0" w:color="auto"/>
        <w:left w:val="none" w:sz="0" w:space="0" w:color="auto"/>
        <w:bottom w:val="none" w:sz="0" w:space="0" w:color="auto"/>
        <w:right w:val="none" w:sz="0" w:space="0" w:color="auto"/>
      </w:divBdr>
    </w:div>
    <w:div w:id="1318873450">
      <w:bodyDiv w:val="1"/>
      <w:marLeft w:val="0"/>
      <w:marRight w:val="0"/>
      <w:marTop w:val="0"/>
      <w:marBottom w:val="0"/>
      <w:divBdr>
        <w:top w:val="none" w:sz="0" w:space="0" w:color="auto"/>
        <w:left w:val="none" w:sz="0" w:space="0" w:color="auto"/>
        <w:bottom w:val="none" w:sz="0" w:space="0" w:color="auto"/>
        <w:right w:val="none" w:sz="0" w:space="0" w:color="auto"/>
      </w:divBdr>
    </w:div>
    <w:div w:id="1319190160">
      <w:bodyDiv w:val="1"/>
      <w:marLeft w:val="0"/>
      <w:marRight w:val="0"/>
      <w:marTop w:val="0"/>
      <w:marBottom w:val="0"/>
      <w:divBdr>
        <w:top w:val="none" w:sz="0" w:space="0" w:color="auto"/>
        <w:left w:val="none" w:sz="0" w:space="0" w:color="auto"/>
        <w:bottom w:val="none" w:sz="0" w:space="0" w:color="auto"/>
        <w:right w:val="none" w:sz="0" w:space="0" w:color="auto"/>
      </w:divBdr>
    </w:div>
    <w:div w:id="1328634734">
      <w:bodyDiv w:val="1"/>
      <w:marLeft w:val="0"/>
      <w:marRight w:val="0"/>
      <w:marTop w:val="0"/>
      <w:marBottom w:val="0"/>
      <w:divBdr>
        <w:top w:val="none" w:sz="0" w:space="0" w:color="auto"/>
        <w:left w:val="none" w:sz="0" w:space="0" w:color="auto"/>
        <w:bottom w:val="none" w:sz="0" w:space="0" w:color="auto"/>
        <w:right w:val="none" w:sz="0" w:space="0" w:color="auto"/>
      </w:divBdr>
    </w:div>
    <w:div w:id="1335305329">
      <w:bodyDiv w:val="1"/>
      <w:marLeft w:val="0"/>
      <w:marRight w:val="0"/>
      <w:marTop w:val="0"/>
      <w:marBottom w:val="0"/>
      <w:divBdr>
        <w:top w:val="none" w:sz="0" w:space="0" w:color="auto"/>
        <w:left w:val="none" w:sz="0" w:space="0" w:color="auto"/>
        <w:bottom w:val="none" w:sz="0" w:space="0" w:color="auto"/>
        <w:right w:val="none" w:sz="0" w:space="0" w:color="auto"/>
      </w:divBdr>
    </w:div>
    <w:div w:id="1338775161">
      <w:bodyDiv w:val="1"/>
      <w:marLeft w:val="0"/>
      <w:marRight w:val="0"/>
      <w:marTop w:val="0"/>
      <w:marBottom w:val="0"/>
      <w:divBdr>
        <w:top w:val="none" w:sz="0" w:space="0" w:color="auto"/>
        <w:left w:val="none" w:sz="0" w:space="0" w:color="auto"/>
        <w:bottom w:val="none" w:sz="0" w:space="0" w:color="auto"/>
        <w:right w:val="none" w:sz="0" w:space="0" w:color="auto"/>
      </w:divBdr>
    </w:div>
    <w:div w:id="1340309224">
      <w:bodyDiv w:val="1"/>
      <w:marLeft w:val="0"/>
      <w:marRight w:val="0"/>
      <w:marTop w:val="0"/>
      <w:marBottom w:val="0"/>
      <w:divBdr>
        <w:top w:val="none" w:sz="0" w:space="0" w:color="auto"/>
        <w:left w:val="none" w:sz="0" w:space="0" w:color="auto"/>
        <w:bottom w:val="none" w:sz="0" w:space="0" w:color="auto"/>
        <w:right w:val="none" w:sz="0" w:space="0" w:color="auto"/>
      </w:divBdr>
    </w:div>
    <w:div w:id="1350374609">
      <w:bodyDiv w:val="1"/>
      <w:marLeft w:val="0"/>
      <w:marRight w:val="0"/>
      <w:marTop w:val="0"/>
      <w:marBottom w:val="0"/>
      <w:divBdr>
        <w:top w:val="none" w:sz="0" w:space="0" w:color="auto"/>
        <w:left w:val="none" w:sz="0" w:space="0" w:color="auto"/>
        <w:bottom w:val="none" w:sz="0" w:space="0" w:color="auto"/>
        <w:right w:val="none" w:sz="0" w:space="0" w:color="auto"/>
      </w:divBdr>
    </w:div>
    <w:div w:id="1366833997">
      <w:bodyDiv w:val="1"/>
      <w:marLeft w:val="0"/>
      <w:marRight w:val="0"/>
      <w:marTop w:val="0"/>
      <w:marBottom w:val="0"/>
      <w:divBdr>
        <w:top w:val="none" w:sz="0" w:space="0" w:color="auto"/>
        <w:left w:val="none" w:sz="0" w:space="0" w:color="auto"/>
        <w:bottom w:val="none" w:sz="0" w:space="0" w:color="auto"/>
        <w:right w:val="none" w:sz="0" w:space="0" w:color="auto"/>
      </w:divBdr>
    </w:div>
    <w:div w:id="1370648988">
      <w:bodyDiv w:val="1"/>
      <w:marLeft w:val="0"/>
      <w:marRight w:val="0"/>
      <w:marTop w:val="0"/>
      <w:marBottom w:val="0"/>
      <w:divBdr>
        <w:top w:val="none" w:sz="0" w:space="0" w:color="auto"/>
        <w:left w:val="none" w:sz="0" w:space="0" w:color="auto"/>
        <w:bottom w:val="none" w:sz="0" w:space="0" w:color="auto"/>
        <w:right w:val="none" w:sz="0" w:space="0" w:color="auto"/>
      </w:divBdr>
    </w:div>
    <w:div w:id="1382826021">
      <w:bodyDiv w:val="1"/>
      <w:marLeft w:val="0"/>
      <w:marRight w:val="0"/>
      <w:marTop w:val="0"/>
      <w:marBottom w:val="0"/>
      <w:divBdr>
        <w:top w:val="none" w:sz="0" w:space="0" w:color="auto"/>
        <w:left w:val="none" w:sz="0" w:space="0" w:color="auto"/>
        <w:bottom w:val="none" w:sz="0" w:space="0" w:color="auto"/>
        <w:right w:val="none" w:sz="0" w:space="0" w:color="auto"/>
      </w:divBdr>
    </w:div>
    <w:div w:id="1392264917">
      <w:bodyDiv w:val="1"/>
      <w:marLeft w:val="0"/>
      <w:marRight w:val="0"/>
      <w:marTop w:val="0"/>
      <w:marBottom w:val="0"/>
      <w:divBdr>
        <w:top w:val="none" w:sz="0" w:space="0" w:color="auto"/>
        <w:left w:val="none" w:sz="0" w:space="0" w:color="auto"/>
        <w:bottom w:val="none" w:sz="0" w:space="0" w:color="auto"/>
        <w:right w:val="none" w:sz="0" w:space="0" w:color="auto"/>
      </w:divBdr>
    </w:div>
    <w:div w:id="1413963553">
      <w:bodyDiv w:val="1"/>
      <w:marLeft w:val="0"/>
      <w:marRight w:val="0"/>
      <w:marTop w:val="0"/>
      <w:marBottom w:val="0"/>
      <w:divBdr>
        <w:top w:val="none" w:sz="0" w:space="0" w:color="auto"/>
        <w:left w:val="none" w:sz="0" w:space="0" w:color="auto"/>
        <w:bottom w:val="none" w:sz="0" w:space="0" w:color="auto"/>
        <w:right w:val="none" w:sz="0" w:space="0" w:color="auto"/>
      </w:divBdr>
    </w:div>
    <w:div w:id="1453476643">
      <w:bodyDiv w:val="1"/>
      <w:marLeft w:val="0"/>
      <w:marRight w:val="0"/>
      <w:marTop w:val="0"/>
      <w:marBottom w:val="0"/>
      <w:divBdr>
        <w:top w:val="none" w:sz="0" w:space="0" w:color="auto"/>
        <w:left w:val="none" w:sz="0" w:space="0" w:color="auto"/>
        <w:bottom w:val="none" w:sz="0" w:space="0" w:color="auto"/>
        <w:right w:val="none" w:sz="0" w:space="0" w:color="auto"/>
      </w:divBdr>
    </w:div>
    <w:div w:id="1467698376">
      <w:bodyDiv w:val="1"/>
      <w:marLeft w:val="0"/>
      <w:marRight w:val="0"/>
      <w:marTop w:val="0"/>
      <w:marBottom w:val="0"/>
      <w:divBdr>
        <w:top w:val="none" w:sz="0" w:space="0" w:color="auto"/>
        <w:left w:val="none" w:sz="0" w:space="0" w:color="auto"/>
        <w:bottom w:val="none" w:sz="0" w:space="0" w:color="auto"/>
        <w:right w:val="none" w:sz="0" w:space="0" w:color="auto"/>
      </w:divBdr>
    </w:div>
    <w:div w:id="1532496583">
      <w:bodyDiv w:val="1"/>
      <w:marLeft w:val="0"/>
      <w:marRight w:val="0"/>
      <w:marTop w:val="0"/>
      <w:marBottom w:val="0"/>
      <w:divBdr>
        <w:top w:val="none" w:sz="0" w:space="0" w:color="auto"/>
        <w:left w:val="none" w:sz="0" w:space="0" w:color="auto"/>
        <w:bottom w:val="none" w:sz="0" w:space="0" w:color="auto"/>
        <w:right w:val="none" w:sz="0" w:space="0" w:color="auto"/>
      </w:divBdr>
    </w:div>
    <w:div w:id="1541938727">
      <w:bodyDiv w:val="1"/>
      <w:marLeft w:val="0"/>
      <w:marRight w:val="0"/>
      <w:marTop w:val="0"/>
      <w:marBottom w:val="0"/>
      <w:divBdr>
        <w:top w:val="none" w:sz="0" w:space="0" w:color="auto"/>
        <w:left w:val="none" w:sz="0" w:space="0" w:color="auto"/>
        <w:bottom w:val="none" w:sz="0" w:space="0" w:color="auto"/>
        <w:right w:val="none" w:sz="0" w:space="0" w:color="auto"/>
      </w:divBdr>
    </w:div>
    <w:div w:id="1572503485">
      <w:bodyDiv w:val="1"/>
      <w:marLeft w:val="0"/>
      <w:marRight w:val="0"/>
      <w:marTop w:val="0"/>
      <w:marBottom w:val="0"/>
      <w:divBdr>
        <w:top w:val="none" w:sz="0" w:space="0" w:color="auto"/>
        <w:left w:val="none" w:sz="0" w:space="0" w:color="auto"/>
        <w:bottom w:val="none" w:sz="0" w:space="0" w:color="auto"/>
        <w:right w:val="none" w:sz="0" w:space="0" w:color="auto"/>
      </w:divBdr>
    </w:div>
    <w:div w:id="1589656230">
      <w:bodyDiv w:val="1"/>
      <w:marLeft w:val="0"/>
      <w:marRight w:val="0"/>
      <w:marTop w:val="0"/>
      <w:marBottom w:val="0"/>
      <w:divBdr>
        <w:top w:val="none" w:sz="0" w:space="0" w:color="auto"/>
        <w:left w:val="none" w:sz="0" w:space="0" w:color="auto"/>
        <w:bottom w:val="none" w:sz="0" w:space="0" w:color="auto"/>
        <w:right w:val="none" w:sz="0" w:space="0" w:color="auto"/>
      </w:divBdr>
    </w:div>
    <w:div w:id="1601378454">
      <w:bodyDiv w:val="1"/>
      <w:marLeft w:val="0"/>
      <w:marRight w:val="0"/>
      <w:marTop w:val="0"/>
      <w:marBottom w:val="0"/>
      <w:divBdr>
        <w:top w:val="none" w:sz="0" w:space="0" w:color="auto"/>
        <w:left w:val="none" w:sz="0" w:space="0" w:color="auto"/>
        <w:bottom w:val="none" w:sz="0" w:space="0" w:color="auto"/>
        <w:right w:val="none" w:sz="0" w:space="0" w:color="auto"/>
      </w:divBdr>
    </w:div>
    <w:div w:id="1604068876">
      <w:bodyDiv w:val="1"/>
      <w:marLeft w:val="0"/>
      <w:marRight w:val="0"/>
      <w:marTop w:val="0"/>
      <w:marBottom w:val="0"/>
      <w:divBdr>
        <w:top w:val="none" w:sz="0" w:space="0" w:color="auto"/>
        <w:left w:val="none" w:sz="0" w:space="0" w:color="auto"/>
        <w:bottom w:val="none" w:sz="0" w:space="0" w:color="auto"/>
        <w:right w:val="none" w:sz="0" w:space="0" w:color="auto"/>
      </w:divBdr>
    </w:div>
    <w:div w:id="1624770441">
      <w:bodyDiv w:val="1"/>
      <w:marLeft w:val="0"/>
      <w:marRight w:val="0"/>
      <w:marTop w:val="0"/>
      <w:marBottom w:val="0"/>
      <w:divBdr>
        <w:top w:val="none" w:sz="0" w:space="0" w:color="auto"/>
        <w:left w:val="none" w:sz="0" w:space="0" w:color="auto"/>
        <w:bottom w:val="none" w:sz="0" w:space="0" w:color="auto"/>
        <w:right w:val="none" w:sz="0" w:space="0" w:color="auto"/>
      </w:divBdr>
    </w:div>
    <w:div w:id="1645964625">
      <w:bodyDiv w:val="1"/>
      <w:marLeft w:val="0"/>
      <w:marRight w:val="0"/>
      <w:marTop w:val="0"/>
      <w:marBottom w:val="0"/>
      <w:divBdr>
        <w:top w:val="none" w:sz="0" w:space="0" w:color="auto"/>
        <w:left w:val="none" w:sz="0" w:space="0" w:color="auto"/>
        <w:bottom w:val="none" w:sz="0" w:space="0" w:color="auto"/>
        <w:right w:val="none" w:sz="0" w:space="0" w:color="auto"/>
      </w:divBdr>
    </w:div>
    <w:div w:id="1666475648">
      <w:bodyDiv w:val="1"/>
      <w:marLeft w:val="0"/>
      <w:marRight w:val="0"/>
      <w:marTop w:val="0"/>
      <w:marBottom w:val="0"/>
      <w:divBdr>
        <w:top w:val="none" w:sz="0" w:space="0" w:color="auto"/>
        <w:left w:val="none" w:sz="0" w:space="0" w:color="auto"/>
        <w:bottom w:val="none" w:sz="0" w:space="0" w:color="auto"/>
        <w:right w:val="none" w:sz="0" w:space="0" w:color="auto"/>
      </w:divBdr>
    </w:div>
    <w:div w:id="1677346660">
      <w:bodyDiv w:val="1"/>
      <w:marLeft w:val="0"/>
      <w:marRight w:val="0"/>
      <w:marTop w:val="0"/>
      <w:marBottom w:val="0"/>
      <w:divBdr>
        <w:top w:val="none" w:sz="0" w:space="0" w:color="auto"/>
        <w:left w:val="none" w:sz="0" w:space="0" w:color="auto"/>
        <w:bottom w:val="none" w:sz="0" w:space="0" w:color="auto"/>
        <w:right w:val="none" w:sz="0" w:space="0" w:color="auto"/>
      </w:divBdr>
    </w:div>
    <w:div w:id="1683701794">
      <w:bodyDiv w:val="1"/>
      <w:marLeft w:val="0"/>
      <w:marRight w:val="0"/>
      <w:marTop w:val="0"/>
      <w:marBottom w:val="0"/>
      <w:divBdr>
        <w:top w:val="none" w:sz="0" w:space="0" w:color="auto"/>
        <w:left w:val="none" w:sz="0" w:space="0" w:color="auto"/>
        <w:bottom w:val="none" w:sz="0" w:space="0" w:color="auto"/>
        <w:right w:val="none" w:sz="0" w:space="0" w:color="auto"/>
      </w:divBdr>
    </w:div>
    <w:div w:id="1711689482">
      <w:bodyDiv w:val="1"/>
      <w:marLeft w:val="0"/>
      <w:marRight w:val="0"/>
      <w:marTop w:val="0"/>
      <w:marBottom w:val="0"/>
      <w:divBdr>
        <w:top w:val="none" w:sz="0" w:space="0" w:color="auto"/>
        <w:left w:val="none" w:sz="0" w:space="0" w:color="auto"/>
        <w:bottom w:val="none" w:sz="0" w:space="0" w:color="auto"/>
        <w:right w:val="none" w:sz="0" w:space="0" w:color="auto"/>
      </w:divBdr>
    </w:div>
    <w:div w:id="1722438166">
      <w:bodyDiv w:val="1"/>
      <w:marLeft w:val="0"/>
      <w:marRight w:val="0"/>
      <w:marTop w:val="0"/>
      <w:marBottom w:val="0"/>
      <w:divBdr>
        <w:top w:val="none" w:sz="0" w:space="0" w:color="auto"/>
        <w:left w:val="none" w:sz="0" w:space="0" w:color="auto"/>
        <w:bottom w:val="none" w:sz="0" w:space="0" w:color="auto"/>
        <w:right w:val="none" w:sz="0" w:space="0" w:color="auto"/>
      </w:divBdr>
    </w:div>
    <w:div w:id="1736511366">
      <w:bodyDiv w:val="1"/>
      <w:marLeft w:val="0"/>
      <w:marRight w:val="0"/>
      <w:marTop w:val="0"/>
      <w:marBottom w:val="0"/>
      <w:divBdr>
        <w:top w:val="none" w:sz="0" w:space="0" w:color="auto"/>
        <w:left w:val="none" w:sz="0" w:space="0" w:color="auto"/>
        <w:bottom w:val="none" w:sz="0" w:space="0" w:color="auto"/>
        <w:right w:val="none" w:sz="0" w:space="0" w:color="auto"/>
      </w:divBdr>
    </w:div>
    <w:div w:id="1765228320">
      <w:bodyDiv w:val="1"/>
      <w:marLeft w:val="0"/>
      <w:marRight w:val="0"/>
      <w:marTop w:val="0"/>
      <w:marBottom w:val="0"/>
      <w:divBdr>
        <w:top w:val="none" w:sz="0" w:space="0" w:color="auto"/>
        <w:left w:val="none" w:sz="0" w:space="0" w:color="auto"/>
        <w:bottom w:val="none" w:sz="0" w:space="0" w:color="auto"/>
        <w:right w:val="none" w:sz="0" w:space="0" w:color="auto"/>
      </w:divBdr>
    </w:div>
    <w:div w:id="1770543126">
      <w:bodyDiv w:val="1"/>
      <w:marLeft w:val="0"/>
      <w:marRight w:val="0"/>
      <w:marTop w:val="0"/>
      <w:marBottom w:val="0"/>
      <w:divBdr>
        <w:top w:val="none" w:sz="0" w:space="0" w:color="auto"/>
        <w:left w:val="none" w:sz="0" w:space="0" w:color="auto"/>
        <w:bottom w:val="none" w:sz="0" w:space="0" w:color="auto"/>
        <w:right w:val="none" w:sz="0" w:space="0" w:color="auto"/>
      </w:divBdr>
    </w:div>
    <w:div w:id="1779980954">
      <w:bodyDiv w:val="1"/>
      <w:marLeft w:val="0"/>
      <w:marRight w:val="0"/>
      <w:marTop w:val="0"/>
      <w:marBottom w:val="0"/>
      <w:divBdr>
        <w:top w:val="none" w:sz="0" w:space="0" w:color="auto"/>
        <w:left w:val="none" w:sz="0" w:space="0" w:color="auto"/>
        <w:bottom w:val="none" w:sz="0" w:space="0" w:color="auto"/>
        <w:right w:val="none" w:sz="0" w:space="0" w:color="auto"/>
      </w:divBdr>
    </w:div>
    <w:div w:id="1790858748">
      <w:bodyDiv w:val="1"/>
      <w:marLeft w:val="0"/>
      <w:marRight w:val="0"/>
      <w:marTop w:val="0"/>
      <w:marBottom w:val="0"/>
      <w:divBdr>
        <w:top w:val="none" w:sz="0" w:space="0" w:color="auto"/>
        <w:left w:val="none" w:sz="0" w:space="0" w:color="auto"/>
        <w:bottom w:val="none" w:sz="0" w:space="0" w:color="auto"/>
        <w:right w:val="none" w:sz="0" w:space="0" w:color="auto"/>
      </w:divBdr>
    </w:div>
    <w:div w:id="1855656096">
      <w:bodyDiv w:val="1"/>
      <w:marLeft w:val="0"/>
      <w:marRight w:val="0"/>
      <w:marTop w:val="0"/>
      <w:marBottom w:val="0"/>
      <w:divBdr>
        <w:top w:val="none" w:sz="0" w:space="0" w:color="auto"/>
        <w:left w:val="none" w:sz="0" w:space="0" w:color="auto"/>
        <w:bottom w:val="none" w:sz="0" w:space="0" w:color="auto"/>
        <w:right w:val="none" w:sz="0" w:space="0" w:color="auto"/>
      </w:divBdr>
    </w:div>
    <w:div w:id="1894122467">
      <w:bodyDiv w:val="1"/>
      <w:marLeft w:val="0"/>
      <w:marRight w:val="0"/>
      <w:marTop w:val="0"/>
      <w:marBottom w:val="0"/>
      <w:divBdr>
        <w:top w:val="none" w:sz="0" w:space="0" w:color="auto"/>
        <w:left w:val="none" w:sz="0" w:space="0" w:color="auto"/>
        <w:bottom w:val="none" w:sz="0" w:space="0" w:color="auto"/>
        <w:right w:val="none" w:sz="0" w:space="0" w:color="auto"/>
      </w:divBdr>
    </w:div>
    <w:div w:id="1908999573">
      <w:bodyDiv w:val="1"/>
      <w:marLeft w:val="0"/>
      <w:marRight w:val="0"/>
      <w:marTop w:val="0"/>
      <w:marBottom w:val="0"/>
      <w:divBdr>
        <w:top w:val="none" w:sz="0" w:space="0" w:color="auto"/>
        <w:left w:val="none" w:sz="0" w:space="0" w:color="auto"/>
        <w:bottom w:val="none" w:sz="0" w:space="0" w:color="auto"/>
        <w:right w:val="none" w:sz="0" w:space="0" w:color="auto"/>
      </w:divBdr>
    </w:div>
    <w:div w:id="1912234629">
      <w:bodyDiv w:val="1"/>
      <w:marLeft w:val="0"/>
      <w:marRight w:val="0"/>
      <w:marTop w:val="0"/>
      <w:marBottom w:val="0"/>
      <w:divBdr>
        <w:top w:val="none" w:sz="0" w:space="0" w:color="auto"/>
        <w:left w:val="none" w:sz="0" w:space="0" w:color="auto"/>
        <w:bottom w:val="none" w:sz="0" w:space="0" w:color="auto"/>
        <w:right w:val="none" w:sz="0" w:space="0" w:color="auto"/>
      </w:divBdr>
    </w:div>
    <w:div w:id="1923759753">
      <w:bodyDiv w:val="1"/>
      <w:marLeft w:val="0"/>
      <w:marRight w:val="0"/>
      <w:marTop w:val="0"/>
      <w:marBottom w:val="0"/>
      <w:divBdr>
        <w:top w:val="none" w:sz="0" w:space="0" w:color="auto"/>
        <w:left w:val="none" w:sz="0" w:space="0" w:color="auto"/>
        <w:bottom w:val="none" w:sz="0" w:space="0" w:color="auto"/>
        <w:right w:val="none" w:sz="0" w:space="0" w:color="auto"/>
      </w:divBdr>
    </w:div>
    <w:div w:id="1952855516">
      <w:bodyDiv w:val="1"/>
      <w:marLeft w:val="0"/>
      <w:marRight w:val="0"/>
      <w:marTop w:val="0"/>
      <w:marBottom w:val="0"/>
      <w:divBdr>
        <w:top w:val="none" w:sz="0" w:space="0" w:color="auto"/>
        <w:left w:val="none" w:sz="0" w:space="0" w:color="auto"/>
        <w:bottom w:val="none" w:sz="0" w:space="0" w:color="auto"/>
        <w:right w:val="none" w:sz="0" w:space="0" w:color="auto"/>
      </w:divBdr>
    </w:div>
    <w:div w:id="1981685939">
      <w:bodyDiv w:val="1"/>
      <w:marLeft w:val="0"/>
      <w:marRight w:val="0"/>
      <w:marTop w:val="0"/>
      <w:marBottom w:val="0"/>
      <w:divBdr>
        <w:top w:val="none" w:sz="0" w:space="0" w:color="auto"/>
        <w:left w:val="none" w:sz="0" w:space="0" w:color="auto"/>
        <w:bottom w:val="none" w:sz="0" w:space="0" w:color="auto"/>
        <w:right w:val="none" w:sz="0" w:space="0" w:color="auto"/>
      </w:divBdr>
    </w:div>
    <w:div w:id="2023316223">
      <w:bodyDiv w:val="1"/>
      <w:marLeft w:val="0"/>
      <w:marRight w:val="0"/>
      <w:marTop w:val="0"/>
      <w:marBottom w:val="0"/>
      <w:divBdr>
        <w:top w:val="none" w:sz="0" w:space="0" w:color="auto"/>
        <w:left w:val="none" w:sz="0" w:space="0" w:color="auto"/>
        <w:bottom w:val="none" w:sz="0" w:space="0" w:color="auto"/>
        <w:right w:val="none" w:sz="0" w:space="0" w:color="auto"/>
      </w:divBdr>
    </w:div>
    <w:div w:id="2072969468">
      <w:bodyDiv w:val="1"/>
      <w:marLeft w:val="0"/>
      <w:marRight w:val="0"/>
      <w:marTop w:val="0"/>
      <w:marBottom w:val="0"/>
      <w:divBdr>
        <w:top w:val="none" w:sz="0" w:space="0" w:color="auto"/>
        <w:left w:val="none" w:sz="0" w:space="0" w:color="auto"/>
        <w:bottom w:val="none" w:sz="0" w:space="0" w:color="auto"/>
        <w:right w:val="none" w:sz="0" w:space="0" w:color="auto"/>
      </w:divBdr>
    </w:div>
    <w:div w:id="2074617376">
      <w:bodyDiv w:val="1"/>
      <w:marLeft w:val="0"/>
      <w:marRight w:val="0"/>
      <w:marTop w:val="0"/>
      <w:marBottom w:val="0"/>
      <w:divBdr>
        <w:top w:val="none" w:sz="0" w:space="0" w:color="auto"/>
        <w:left w:val="none" w:sz="0" w:space="0" w:color="auto"/>
        <w:bottom w:val="none" w:sz="0" w:space="0" w:color="auto"/>
        <w:right w:val="none" w:sz="0" w:space="0" w:color="auto"/>
      </w:divBdr>
    </w:div>
    <w:div w:id="2092043841">
      <w:bodyDiv w:val="1"/>
      <w:marLeft w:val="0"/>
      <w:marRight w:val="0"/>
      <w:marTop w:val="0"/>
      <w:marBottom w:val="0"/>
      <w:divBdr>
        <w:top w:val="none" w:sz="0" w:space="0" w:color="auto"/>
        <w:left w:val="none" w:sz="0" w:space="0" w:color="auto"/>
        <w:bottom w:val="none" w:sz="0" w:space="0" w:color="auto"/>
        <w:right w:val="none" w:sz="0" w:space="0" w:color="auto"/>
      </w:divBdr>
    </w:div>
    <w:div w:id="2092197954">
      <w:bodyDiv w:val="1"/>
      <w:marLeft w:val="0"/>
      <w:marRight w:val="0"/>
      <w:marTop w:val="0"/>
      <w:marBottom w:val="0"/>
      <w:divBdr>
        <w:top w:val="none" w:sz="0" w:space="0" w:color="auto"/>
        <w:left w:val="none" w:sz="0" w:space="0" w:color="auto"/>
        <w:bottom w:val="none" w:sz="0" w:space="0" w:color="auto"/>
        <w:right w:val="none" w:sz="0" w:space="0" w:color="auto"/>
      </w:divBdr>
    </w:div>
    <w:div w:id="21402939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5.xml"/><Relationship Id="rId18" Type="http://schemas.openxmlformats.org/officeDocument/2006/relationships/hyperlink" Target="http://www.rtvslo.si/files/letno_porocilo/letno_porocilo_2015_lektorirano.pdf" TargetMode="External"/><Relationship Id="rId26" Type="http://schemas.openxmlformats.org/officeDocument/2006/relationships/chart" Target="charts/chart14.xml"/><Relationship Id="rId39" Type="http://schemas.openxmlformats.org/officeDocument/2006/relationships/chart" Target="charts/chart23.xml"/><Relationship Id="rId21" Type="http://schemas.openxmlformats.org/officeDocument/2006/relationships/footer" Target="footer1.xml"/><Relationship Id="rId34" Type="http://schemas.openxmlformats.org/officeDocument/2006/relationships/chart" Target="charts/chart18.xml"/><Relationship Id="rId42" Type="http://schemas.openxmlformats.org/officeDocument/2006/relationships/chart" Target="charts/chart26.xml"/><Relationship Id="rId47" Type="http://schemas.openxmlformats.org/officeDocument/2006/relationships/chart" Target="charts/chart30.xml"/><Relationship Id="rId50" Type="http://schemas.openxmlformats.org/officeDocument/2006/relationships/chart" Target="charts/chart31.xml"/><Relationship Id="rId55" Type="http://schemas.openxmlformats.org/officeDocument/2006/relationships/chart" Target="charts/chart33.xml"/><Relationship Id="rId63" Type="http://schemas.openxmlformats.org/officeDocument/2006/relationships/hyperlink" Target="https://www.ajpes.si/Statistike/Place_v_javnem_sektorju/Porocila" TargetMode="External"/><Relationship Id="rId68" Type="http://schemas.openxmlformats.org/officeDocument/2006/relationships/hyperlink" Target="http://www.jakrs.si/knjiznicno_nadomestilo/" TargetMode="External"/><Relationship Id="rId76" Type="http://schemas.openxmlformats.org/officeDocument/2006/relationships/chart" Target="charts/chart45.xml"/><Relationship Id="rId7" Type="http://schemas.openxmlformats.org/officeDocument/2006/relationships/footnotes" Target="footnotes.xml"/><Relationship Id="rId71" Type="http://schemas.openxmlformats.org/officeDocument/2006/relationships/hyperlink" Target="http://nsk-slo.si/images/uploads/02_1_gradivo_Analiza_u%C4%8Dinkov_na_samozaposlene1.pdf" TargetMode="External"/><Relationship Id="rId2" Type="http://schemas.openxmlformats.org/officeDocument/2006/relationships/numbering" Target="numbering.xml"/><Relationship Id="rId16" Type="http://schemas.openxmlformats.org/officeDocument/2006/relationships/chart" Target="charts/chart8.xml"/><Relationship Id="rId29" Type="http://schemas.openxmlformats.org/officeDocument/2006/relationships/hyperlink" Target="http://www.sistory.si/" TargetMode="External"/><Relationship Id="rId11" Type="http://schemas.openxmlformats.org/officeDocument/2006/relationships/chart" Target="charts/chart3.xml"/><Relationship Id="rId24" Type="http://schemas.openxmlformats.org/officeDocument/2006/relationships/chart" Target="charts/chart13.xml"/><Relationship Id="rId32" Type="http://schemas.openxmlformats.org/officeDocument/2006/relationships/chart" Target="charts/chart16.xml"/><Relationship Id="rId37" Type="http://schemas.openxmlformats.org/officeDocument/2006/relationships/chart" Target="charts/chart21.xml"/><Relationship Id="rId40" Type="http://schemas.openxmlformats.org/officeDocument/2006/relationships/chart" Target="charts/chart24.xml"/><Relationship Id="rId45" Type="http://schemas.openxmlformats.org/officeDocument/2006/relationships/chart" Target="charts/chart29.xml"/><Relationship Id="rId53" Type="http://schemas.openxmlformats.org/officeDocument/2006/relationships/chart" Target="charts/chart32.xml"/><Relationship Id="rId58" Type="http://schemas.openxmlformats.org/officeDocument/2006/relationships/hyperlink" Target="http://ec.europa.eu/eurostat/web/culture/cultural-employment/data/database" TargetMode="External"/><Relationship Id="rId66" Type="http://schemas.openxmlformats.org/officeDocument/2006/relationships/chart" Target="charts/chart38.xml"/><Relationship Id="rId74" Type="http://schemas.openxmlformats.org/officeDocument/2006/relationships/chart" Target="charts/chart43.xml"/><Relationship Id="rId79" Type="http://schemas.openxmlformats.org/officeDocument/2006/relationships/chart" Target="charts/chart48.xml"/><Relationship Id="rId5" Type="http://schemas.openxmlformats.org/officeDocument/2006/relationships/settings" Target="settings.xml"/><Relationship Id="rId61" Type="http://schemas.openxmlformats.org/officeDocument/2006/relationships/chart" Target="charts/chart35.xml"/><Relationship Id="rId82" Type="http://schemas.openxmlformats.org/officeDocument/2006/relationships/fontTable" Target="fontTable.xml"/><Relationship Id="rId10" Type="http://schemas.openxmlformats.org/officeDocument/2006/relationships/chart" Target="charts/chart2.xml"/><Relationship Id="rId19" Type="http://schemas.openxmlformats.org/officeDocument/2006/relationships/chart" Target="charts/chart10.xml"/><Relationship Id="rId31" Type="http://schemas.openxmlformats.org/officeDocument/2006/relationships/hyperlink" Target="http://www.openculture.com/" TargetMode="External"/><Relationship Id="rId44" Type="http://schemas.openxmlformats.org/officeDocument/2006/relationships/chart" Target="charts/chart28.xml"/><Relationship Id="rId52" Type="http://schemas.openxmlformats.org/officeDocument/2006/relationships/hyperlink" Target="http://ec.europa.eu/eurostat/web/culture/cultural-employment/data/database" TargetMode="External"/><Relationship Id="rId60" Type="http://schemas.openxmlformats.org/officeDocument/2006/relationships/hyperlink" Target="https://ec.europa.eu/eurostat/cros/system/files/ESSnet%20Culture%20Final%20report.pdf" TargetMode="External"/><Relationship Id="rId65" Type="http://schemas.openxmlformats.org/officeDocument/2006/relationships/chart" Target="charts/chart37.xml"/><Relationship Id="rId73" Type="http://schemas.openxmlformats.org/officeDocument/2006/relationships/chart" Target="charts/chart42.xml"/><Relationship Id="rId78" Type="http://schemas.openxmlformats.org/officeDocument/2006/relationships/chart" Target="charts/chart47.xml"/><Relationship Id="rId81" Type="http://schemas.openxmlformats.org/officeDocument/2006/relationships/chart" Target="charts/chart50.xml"/><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chart" Target="charts/chart6.xml"/><Relationship Id="rId22" Type="http://schemas.openxmlformats.org/officeDocument/2006/relationships/footer" Target="footer2.xml"/><Relationship Id="rId27" Type="http://schemas.openxmlformats.org/officeDocument/2006/relationships/chart" Target="charts/chart15.xml"/><Relationship Id="rId30" Type="http://schemas.openxmlformats.org/officeDocument/2006/relationships/hyperlink" Target="http://www.europeana.eu/portal/en" TargetMode="External"/><Relationship Id="rId35" Type="http://schemas.openxmlformats.org/officeDocument/2006/relationships/chart" Target="charts/chart19.xml"/><Relationship Id="rId43" Type="http://schemas.openxmlformats.org/officeDocument/2006/relationships/chart" Target="charts/chart27.xml"/><Relationship Id="rId48" Type="http://schemas.openxmlformats.org/officeDocument/2006/relationships/hyperlink" Target="http://www.culture.si/en/Timeline_of_festivals" TargetMode="External"/><Relationship Id="rId56" Type="http://schemas.openxmlformats.org/officeDocument/2006/relationships/hyperlink" Target="http://ec.europa.eu/eurostat/web/culture/cultural-employment/data/database" TargetMode="External"/><Relationship Id="rId64" Type="http://schemas.openxmlformats.org/officeDocument/2006/relationships/hyperlink" Target="https://podatki.gov.si/dataset/stevilo-zaposlenih-na-podlagi-opravljenih-ur" TargetMode="External"/><Relationship Id="rId69" Type="http://schemas.openxmlformats.org/officeDocument/2006/relationships/chart" Target="charts/chart40.xml"/><Relationship Id="rId77" Type="http://schemas.openxmlformats.org/officeDocument/2006/relationships/chart" Target="charts/chart46.xml"/><Relationship Id="rId8" Type="http://schemas.openxmlformats.org/officeDocument/2006/relationships/endnotes" Target="endnotes.xml"/><Relationship Id="rId51" Type="http://schemas.openxmlformats.org/officeDocument/2006/relationships/hyperlink" Target="http://ec.europa.eu/eurostat/web/culture/cultural-employment/data/database" TargetMode="External"/><Relationship Id="rId72" Type="http://schemas.openxmlformats.org/officeDocument/2006/relationships/chart" Target="charts/chart41.xml"/><Relationship Id="rId80" Type="http://schemas.openxmlformats.org/officeDocument/2006/relationships/chart" Target="charts/chart49.xml"/><Relationship Id="rId3" Type="http://schemas.openxmlformats.org/officeDocument/2006/relationships/styles" Target="styles.xml"/><Relationship Id="rId12" Type="http://schemas.openxmlformats.org/officeDocument/2006/relationships/chart" Target="charts/chart4.xml"/><Relationship Id="rId17" Type="http://schemas.openxmlformats.org/officeDocument/2006/relationships/chart" Target="charts/chart9.xml"/><Relationship Id="rId25" Type="http://schemas.openxmlformats.org/officeDocument/2006/relationships/hyperlink" Target="http://www.stat.si/StatWeb/File/DocSysFile/7782" TargetMode="External"/><Relationship Id="rId33" Type="http://schemas.openxmlformats.org/officeDocument/2006/relationships/chart" Target="charts/chart17.xml"/><Relationship Id="rId38" Type="http://schemas.openxmlformats.org/officeDocument/2006/relationships/chart" Target="charts/chart22.xml"/><Relationship Id="rId46" Type="http://schemas.openxmlformats.org/officeDocument/2006/relationships/hyperlink" Target="http://www.culture.si/en/Festivals_in_Slovenia" TargetMode="External"/><Relationship Id="rId59" Type="http://schemas.openxmlformats.org/officeDocument/2006/relationships/hyperlink" Target="http://ec.europa.eu/eurostat/web/culture/cultural-employment/data/database" TargetMode="External"/><Relationship Id="rId67" Type="http://schemas.openxmlformats.org/officeDocument/2006/relationships/chart" Target="charts/chart39.xml"/><Relationship Id="rId20" Type="http://schemas.openxmlformats.org/officeDocument/2006/relationships/chart" Target="charts/chart11.xml"/><Relationship Id="rId41" Type="http://schemas.openxmlformats.org/officeDocument/2006/relationships/chart" Target="charts/chart25.xml"/><Relationship Id="rId54" Type="http://schemas.openxmlformats.org/officeDocument/2006/relationships/hyperlink" Target="http://ec.europa.eu/eurostat/web/culture/cultural-employment/data/database" TargetMode="External"/><Relationship Id="rId62" Type="http://schemas.openxmlformats.org/officeDocument/2006/relationships/chart" Target="charts/chart36.xml"/><Relationship Id="rId70" Type="http://schemas.openxmlformats.org/officeDocument/2006/relationships/hyperlink" Target="http://nsk-slo.si/images/uploads/02_1_gradivo_Analiza_u%C4%8Dinkov_na_samozaposlene1.pdf" TargetMode="External"/><Relationship Id="rId75" Type="http://schemas.openxmlformats.org/officeDocument/2006/relationships/chart" Target="charts/chart44.xml"/><Relationship Id="rId83"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chart" Target="charts/chart7.xml"/><Relationship Id="rId23" Type="http://schemas.openxmlformats.org/officeDocument/2006/relationships/chart" Target="charts/chart12.xml"/><Relationship Id="rId28" Type="http://schemas.openxmlformats.org/officeDocument/2006/relationships/hyperlink" Target="http://www.dlib.si/" TargetMode="External"/><Relationship Id="rId36" Type="http://schemas.openxmlformats.org/officeDocument/2006/relationships/chart" Target="charts/chart20.xml"/><Relationship Id="rId49" Type="http://schemas.openxmlformats.org/officeDocument/2006/relationships/hyperlink" Target="http://www.culture.si/en/Festivals_in_Slovenia" TargetMode="External"/><Relationship Id="rId57" Type="http://schemas.openxmlformats.org/officeDocument/2006/relationships/chart" Target="charts/chart34.xml"/></Relationships>
</file>

<file path=word/_rels/footnotes.xml.rels><?xml version="1.0" encoding="UTF-8" standalone="yes"?>
<Relationships xmlns="http://schemas.openxmlformats.org/package/2006/relationships"><Relationship Id="rId8" Type="http://schemas.openxmlformats.org/officeDocument/2006/relationships/hyperlink" Target="http://portal.unesco.org/en/ev.php-URL_ID=23772&amp;URL_DO=DO_TOPIC&amp;URL_SECTION=201.html" TargetMode="External"/><Relationship Id="rId13" Type="http://schemas.openxmlformats.org/officeDocument/2006/relationships/hyperlink" Target="http://ec.europa.eu/eurostat/documents/3217494/7551543/KS-04-15-737-EN-N.pdf/648072f3-63c4-47d8-905a-6fdc742b8605" TargetMode="External"/><Relationship Id="rId18" Type="http://schemas.openxmlformats.org/officeDocument/2006/relationships/hyperlink" Target="https://www.ajpes.si/Doc/AJPES/KIJZ/Letno_porocilo_AJPES_za_leto_2016.pdf" TargetMode="External"/><Relationship Id="rId3" Type="http://schemas.openxmlformats.org/officeDocument/2006/relationships/hyperlink" Target="http://www.valicon.net/files/Sporocilo%20za%20javnost%202016-06-23%20(1).pdf" TargetMode="External"/><Relationship Id="rId21" Type="http://schemas.openxmlformats.org/officeDocument/2006/relationships/hyperlink" Target="https://www.ajpes.si/Doc/Statistike/Place/Porocila/Izplacane_place_javni_sektor_oktober_2015%20(1).pdf" TargetMode="External"/><Relationship Id="rId7" Type="http://schemas.openxmlformats.org/officeDocument/2006/relationships/hyperlink" Target="http://pxweb.stat.si/pxweb/Database/Dem_soc/08_zivljenjska_raven/03_poraba_gospodinjstev/05_08787_porab_sred_kol/05_08787_porab_sred_kol.asp" TargetMode="External"/><Relationship Id="rId12" Type="http://schemas.openxmlformats.org/officeDocument/2006/relationships/hyperlink" Target="https://ec.europa.eu/eurostat/cros/system/files/ESSnet%20Culture%20Final%20report.pdf" TargetMode="External"/><Relationship Id="rId17" Type="http://schemas.openxmlformats.org/officeDocument/2006/relationships/hyperlink" Target="https://ec.europa.eu/eurostat/cros/system/files/ESSnet%20Culture%20Final%20report.pdf" TargetMode="External"/><Relationship Id="rId2" Type="http://schemas.openxmlformats.org/officeDocument/2006/relationships/hyperlink" Target="http://www.stat.si/StatWeb/News/Index/6263" TargetMode="External"/><Relationship Id="rId16" Type="http://schemas.openxmlformats.org/officeDocument/2006/relationships/hyperlink" Target="http://appsso.eurostat.ec.europa.eu/nui/show.do?dataset=cult_emp_artpc&amp;lang=en" TargetMode="External"/><Relationship Id="rId20" Type="http://schemas.openxmlformats.org/officeDocument/2006/relationships/hyperlink" Target="https://www.ajpes.si/doc/Statistike/Place/Porocila/Izplacane_place_brez_javnega_sektorja_v_letu_2015.pdf" TargetMode="External"/><Relationship Id="rId1" Type="http://schemas.openxmlformats.org/officeDocument/2006/relationships/hyperlink" Target="http://ec.europa.eu/commfrontoffice/publicopinion/archives/ebs/ebs_399_en.pdf" TargetMode="External"/><Relationship Id="rId6" Type="http://schemas.openxmlformats.org/officeDocument/2006/relationships/hyperlink" Target="https://ec.europa.eu/eurostat/cros/system/files/ESSnet%20Culture%20Final%20report.pdf" TargetMode="External"/><Relationship Id="rId11" Type="http://schemas.openxmlformats.org/officeDocument/2006/relationships/hyperlink" Target="http://www.stat.si/StatWeb/News/Index/6263" TargetMode="External"/><Relationship Id="rId5" Type="http://schemas.openxmlformats.org/officeDocument/2006/relationships/hyperlink" Target="https://unstats.un.org/unsd/cr/registry/regcs.asp?Cl=4&amp;Lg=1&amp;Co=08.2.0" TargetMode="External"/><Relationship Id="rId15" Type="http://schemas.openxmlformats.org/officeDocument/2006/relationships/hyperlink" Target="http://ec.europa.eu/eurostat/statistics-explained/index.php/Culture_statistics_-_cultural_employment" TargetMode="External"/><Relationship Id="rId23" Type="http://schemas.openxmlformats.org/officeDocument/2006/relationships/hyperlink" Target="http://www.stat.si/StatWeb/File/DocSysFile/8141" TargetMode="External"/><Relationship Id="rId10" Type="http://schemas.openxmlformats.org/officeDocument/2006/relationships/hyperlink" Target="http://www.akos-rs.si/files/Telekomunikacije/Novice/2017/23_6/Cetrtletno-porocilo-Q1-2017-23-06-20171.pdf" TargetMode="External"/><Relationship Id="rId19" Type="http://schemas.openxmlformats.org/officeDocument/2006/relationships/hyperlink" Target="http://home.izum.si/cobiss/nadomestiloarh/nadomestilo.asp?leto=2015&amp;status=3" TargetMode="External"/><Relationship Id="rId4" Type="http://schemas.openxmlformats.org/officeDocument/2006/relationships/hyperlink" Target="http://www.mf.gov.si/si/delovna_podrocja/javne_finance/tekoca_gibanja_v_javnih_financah/primerjava_izdatkov_drzav_slo_eu_po_funkcionalni_klasifikaciji_cofog/" TargetMode="External"/><Relationship Id="rId9" Type="http://schemas.openxmlformats.org/officeDocument/2006/relationships/hyperlink" Target="http://www.stat.si/StatWeb/Methods/QuestionnairesMethodologicalExplanationsQualityReports?id=43" TargetMode="External"/><Relationship Id="rId14" Type="http://schemas.openxmlformats.org/officeDocument/2006/relationships/hyperlink" Target="http://www.stat.si/skp/" TargetMode="External"/><Relationship Id="rId22" Type="http://schemas.openxmlformats.org/officeDocument/2006/relationships/hyperlink" Target="http://www.stat.si/StatWeb/File/DocSysFile/8141"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Users\BT\Desktop\Analize%20MK\A%20Finis&#780;iranje%20analize%20za%20novi%20NPK\01_analiza\Razna%20gradiva%20za%20analizo\AnketnaRaziskava2017.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vega\podatki\Statistika%20in%20analize\NPK%20-%20SKUPNO\delo%20na%20NPK%202018-2025\01_analiza\Razna%20gradiva%20za%20analizo\SURS%20Slovenija%20za%20RTV%20in%20zalo&#382;ni&#353;tvo%202005-2015.xls.xlsx" TargetMode="External"/></Relationships>
</file>

<file path=word/charts/_rels/chart1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12.xml.rels><?xml version="1.0" encoding="UTF-8" standalone="yes"?>
<Relationships xmlns="http://schemas.openxmlformats.org/package/2006/relationships"><Relationship Id="rId1" Type="http://schemas.openxmlformats.org/officeDocument/2006/relationships/oleObject" Target="Workbook19" TargetMode="External"/></Relationships>
</file>

<file path=word/charts/_rels/chart13.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15.xml.rels><?xml version="1.0" encoding="UTF-8" standalone="yes"?>
<Relationships xmlns="http://schemas.openxmlformats.org/package/2006/relationships"><Relationship Id="rId1" Type="http://schemas.openxmlformats.org/officeDocument/2006/relationships/oleObject" Target="../embeddings/oleObject1.bin"/></Relationships>
</file>

<file path=word/charts/_rels/chart16.xml.rels><?xml version="1.0" encoding="UTF-8" standalone="yes"?>
<Relationships xmlns="http://schemas.openxmlformats.org/package/2006/relationships"><Relationship Id="rId1" Type="http://schemas.openxmlformats.org/officeDocument/2006/relationships/oleObject" Target="file:///\\Users\BT\Desktop\Analize%20MK\00%20NPK%20-%20SKUPNO\delo%20na%20NPK%202018-2025\01_analiza\Razna%20gradiva%20za%20analizo\SURS%20Kulturna%20produkcija%20za%20grafe.xlsx"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file:///\\Users\BT\Desktop\Analize%20MK\00%20NPK%20-%20SKUPNO\delo%20na%20NPK%202018-2025\01_analiza\Razna%20gradiva%20za%20analizo\SURS%20Kulturna%20produkcija%20za%20grafe.xlsx"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file:///\\Users\BT\Desktop\Analize%20MK\00%20NPK%20-%20SKUPNO\delo%20na%20NPK%202018-2025\01_analiza\Razna%20gradiva%20za%20analizo\SURS%20Kulturna%20produkcija%20za%20grafe.xlsx" TargetMode="External"/></Relationships>
</file>

<file path=word/charts/_rels/chart19.xml.rels><?xml version="1.0" encoding="UTF-8" standalone="yes"?>
<Relationships xmlns="http://schemas.openxmlformats.org/package/2006/relationships"><Relationship Id="rId1" Type="http://schemas.openxmlformats.org/officeDocument/2006/relationships/oleObject" Target="file:///\\Users\BT\Desktop\Analize%20MK\00%20NPK%20-%20SKUPNO\delo%20na%20NPK%202018-2025\01_analiza\Razna%20gradiva%20za%20analizo\SURS%20Kulturna%20produkcija%20za%20grafe.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Users\BT\Desktop\Analize%20MK\A%20Finis&#780;iranje%20analize%20za%20novi%20NPK\01_analiza\Razna%20gradiva%20za%20analizo\AnketnaRaziskava2017.xlsx" TargetMode="External"/></Relationships>
</file>

<file path=word/charts/_rels/chart20.xml.rels><?xml version="1.0" encoding="UTF-8" standalone="yes"?>
<Relationships xmlns="http://schemas.openxmlformats.org/package/2006/relationships"><Relationship Id="rId1" Type="http://schemas.openxmlformats.org/officeDocument/2006/relationships/oleObject" Target="file:///\\Users\BT\Desktop\Analize%20MK\00%20NPK%20-%20SKUPNO\delo%20na%20NPK%202018-2025\01_analiza\Razna%20gradiva%20za%20analizo\SURS%20Kulturne%20prireditve%20in%20obiskovalci\Ure%20programa.xlsx" TargetMode="External"/></Relationships>
</file>

<file path=word/charts/_rels/chart21.xml.rels><?xml version="1.0" encoding="UTF-8" standalone="yes"?>
<Relationships xmlns="http://schemas.openxmlformats.org/package/2006/relationships"><Relationship Id="rId1" Type="http://schemas.openxmlformats.org/officeDocument/2006/relationships/oleObject" Target="file:///\\Users\BT\Desktop\Analize%20MK\00%20NPK%20-%20SKUPNO\delo%20na%20NPK%202018-2025\01_analiza\Razna%20gradiva%20za%20analizo\SURS%20Kulturna%20produkcija%20za%20grafe.xlsx" TargetMode="External"/></Relationships>
</file>

<file path=word/charts/_rels/chart22.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23.xml.rels><?xml version="1.0" encoding="UTF-8" standalone="yes"?>
<Relationships xmlns="http://schemas.openxmlformats.org/package/2006/relationships"><Relationship Id="rId1" Type="http://schemas.openxmlformats.org/officeDocument/2006/relationships/oleObject" Target="file:///\\Users\BT\Desktop\Analize%20MK\00%20NPK%20-%20SKUPNO\delo%20na%20NPK%202018-2025\01_analiza\Razna%20gradiva%20za%20analizo\SURS%20Kulturna%20produkcija%20za%20grafe.xlsx" TargetMode="External"/></Relationships>
</file>

<file path=word/charts/_rels/chart24.xml.rels><?xml version="1.0" encoding="UTF-8" standalone="yes"?>
<Relationships xmlns="http://schemas.openxmlformats.org/package/2006/relationships"><Relationship Id="rId1" Type="http://schemas.openxmlformats.org/officeDocument/2006/relationships/oleObject" Target="file:///\\Users\BT\Desktop\Analize%20MK\00%20NPK%20-%20SKUPNO\delo%20na%20NPK%202018-2025\01_analiza\Razna%20gradiva%20za%20analizo\SURS%20Kulturna%20produkcija%20za%20grafe.xlsx" TargetMode="External"/></Relationships>
</file>

<file path=word/charts/_rels/chart25.xml.rels><?xml version="1.0" encoding="UTF-8" standalone="yes"?>
<Relationships xmlns="http://schemas.openxmlformats.org/package/2006/relationships"><Relationship Id="rId1" Type="http://schemas.openxmlformats.org/officeDocument/2006/relationships/oleObject" Target="file:///\\Users\BT\Desktop\Analize%20MK\00%20NPK%20-%20SKUPNO\delo%20na%20NPK%202018-2025\01_analiza\Razna%20gradiva%20za%20analizo\SURS%20Kulturna%20produkcija%20za%20grafe.xlsx" TargetMode="External"/></Relationships>
</file>

<file path=word/charts/_rels/chart26.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27.xml.rels><?xml version="1.0" encoding="UTF-8" standalone="yes"?>
<Relationships xmlns="http://schemas.openxmlformats.org/package/2006/relationships"><Relationship Id="rId1" Type="http://schemas.openxmlformats.org/officeDocument/2006/relationships/oleObject" Target="file:///\\Users\BT\Desktop\Analize%20MK\00%20NPK%20-%20SKUPNO\delo%20na%20NPK%202018-2025\01_analiza\Razna%20gradiva%20za%20analizo\SURS%20Kulturna%20produkcija%20za%20grafe.xlsx" TargetMode="External"/></Relationships>
</file>

<file path=word/charts/_rels/chart28.xml.rels><?xml version="1.0" encoding="UTF-8" standalone="yes"?>
<Relationships xmlns="http://schemas.openxmlformats.org/package/2006/relationships"><Relationship Id="rId1" Type="http://schemas.openxmlformats.org/officeDocument/2006/relationships/oleObject" Target="Grafikon%20v%20programu%20Microsoft%20Word" TargetMode="External"/></Relationships>
</file>

<file path=word/charts/_rels/chart29.xml.rels><?xml version="1.0" encoding="UTF-8" standalone="yes"?>
<Relationships xmlns="http://schemas.openxmlformats.org/package/2006/relationships"><Relationship Id="rId1" Type="http://schemas.openxmlformats.org/officeDocument/2006/relationships/oleObject" Target="file:///\\Users\BT\Desktop\Analize%20MK\00%20NPK%20-%20SKUPNO\delo%20na%20NPK%202018-2025\01_analiza\Razna%20gradiva%20za%20analizo\SURS%20Kulturna%20produkcija%20za%20grafe.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Users\BT\Desktop\Analize%20MK\A%20Finis&#780;iranje%20analize%20za%20novi%20NPK\01_analiza\Razna%20gradiva%20za%20analizo\AnketnaRaziskava2017.xlsx" TargetMode="External"/></Relationships>
</file>

<file path=word/charts/_rels/chart30.xml.rels><?xml version="1.0" encoding="UTF-8" standalone="yes"?>
<Relationships xmlns="http://schemas.openxmlformats.org/package/2006/relationships"><Relationship Id="rId1" Type="http://schemas.openxmlformats.org/officeDocument/2006/relationships/oleObject" Target="file:///\\vega\podatki\Statistika%20in%20analize\NPK%20-%20SKUPNO\delo%20na%20NPK%202018-2025\01_analiza\Razna%20gradiva%20za%20analizo\CultureSi%20Festivali.xlsx" TargetMode="External"/></Relationships>
</file>

<file path=word/charts/_rels/chart31.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themeOverride" Target="../theme/themeOverride2.xml"/></Relationships>
</file>

<file path=word/charts/_rels/chart32.xml.rels><?xml version="1.0" encoding="UTF-8" standalone="yes"?>
<Relationships xmlns="http://schemas.openxmlformats.org/package/2006/relationships"><Relationship Id="rId2" Type="http://schemas.openxmlformats.org/officeDocument/2006/relationships/oleObject" Target="../embeddings/oleObject3.bin"/><Relationship Id="rId1" Type="http://schemas.openxmlformats.org/officeDocument/2006/relationships/themeOverride" Target="../theme/themeOverride3.xml"/></Relationships>
</file>

<file path=word/charts/_rels/chart33.xml.rels><?xml version="1.0" encoding="UTF-8" standalone="yes"?>
<Relationships xmlns="http://schemas.openxmlformats.org/package/2006/relationships"><Relationship Id="rId2" Type="http://schemas.openxmlformats.org/officeDocument/2006/relationships/oleObject" Target="../embeddings/oleObject4.bin"/><Relationship Id="rId1" Type="http://schemas.openxmlformats.org/officeDocument/2006/relationships/themeOverride" Target="../theme/themeOverride4.xml"/></Relationships>
</file>

<file path=word/charts/_rels/chart34.xml.rels><?xml version="1.0" encoding="UTF-8" standalone="yes"?>
<Relationships xmlns="http://schemas.openxmlformats.org/package/2006/relationships"><Relationship Id="rId2" Type="http://schemas.openxmlformats.org/officeDocument/2006/relationships/oleObject" Target="../embeddings/oleObject5.bin"/><Relationship Id="rId1" Type="http://schemas.openxmlformats.org/officeDocument/2006/relationships/themeOverride" Target="../theme/themeOverride5.xml"/></Relationships>
</file>

<file path=word/charts/_rels/chart35.xml.rels><?xml version="1.0" encoding="UTF-8" standalone="yes"?>
<Relationships xmlns="http://schemas.openxmlformats.org/package/2006/relationships"><Relationship Id="rId2" Type="http://schemas.openxmlformats.org/officeDocument/2006/relationships/package" Target="../embeddings/Microsoft_Excel_Worksheet6.xlsx"/><Relationship Id="rId1" Type="http://schemas.openxmlformats.org/officeDocument/2006/relationships/themeOverride" Target="../theme/themeOverride6.xml"/></Relationships>
</file>

<file path=word/charts/_rels/chart36.xml.rels><?xml version="1.0" encoding="UTF-8" standalone="yes"?>
<Relationships xmlns="http://schemas.openxmlformats.org/package/2006/relationships"><Relationship Id="rId1" Type="http://schemas.openxmlformats.org/officeDocument/2006/relationships/package" Target="../embeddings/Microsoft_Excel_Worksheet7.xlsx"/></Relationships>
</file>

<file path=word/charts/_rels/chart37.xml.rels><?xml version="1.0" encoding="UTF-8" standalone="yes"?>
<Relationships xmlns="http://schemas.openxmlformats.org/package/2006/relationships"><Relationship Id="rId1" Type="http://schemas.openxmlformats.org/officeDocument/2006/relationships/package" Target="../embeddings/Microsoft_Excel_Worksheet8.xlsx"/></Relationships>
</file>

<file path=word/charts/_rels/chart38.xml.rels><?xml version="1.0" encoding="UTF-8" standalone="yes"?>
<Relationships xmlns="http://schemas.openxmlformats.org/package/2006/relationships"><Relationship Id="rId1" Type="http://schemas.openxmlformats.org/officeDocument/2006/relationships/package" Target="../embeddings/Microsoft_Excel_Worksheet9.xlsx"/></Relationships>
</file>

<file path=word/charts/_rels/chart39.xml.rels><?xml version="1.0" encoding="UTF-8" standalone="yes"?>
<Relationships xmlns="http://schemas.openxmlformats.org/package/2006/relationships"><Relationship Id="rId1" Type="http://schemas.openxmlformats.org/officeDocument/2006/relationships/package" Target="../embeddings/Microsoft_Excel_Worksheet10.xlsx"/></Relationships>
</file>

<file path=word/charts/_rels/chart4.xml.rels><?xml version="1.0" encoding="UTF-8" standalone="yes"?>
<Relationships xmlns="http://schemas.openxmlformats.org/package/2006/relationships"><Relationship Id="rId1" Type="http://schemas.openxmlformats.org/officeDocument/2006/relationships/oleObject" Target="file:///\\Users\BT\Desktop\Analize%20MK\A%20Finis&#780;iranje%20analize%20za%20novi%20NPK\01_analiza\Razna%20gradiva%20za%20analizo\AnketnaRaziskava2017.xlsx" TargetMode="External"/></Relationships>
</file>

<file path=word/charts/_rels/chart40.xml.rels><?xml version="1.0" encoding="UTF-8" standalone="yes"?>
<Relationships xmlns="http://schemas.openxmlformats.org/package/2006/relationships"><Relationship Id="rId1" Type="http://schemas.openxmlformats.org/officeDocument/2006/relationships/oleObject" Target="file:///\\vega\podatki\Statistika%20in%20analize\NPK%20-%20SKUPNO\delo%20na%20NPK%202018-2025\01_analiza\Razna%20gradiva%20za%20analizo\MK%20festivali_10052017.xlsx" TargetMode="External"/></Relationships>
</file>

<file path=word/charts/_rels/chart41.xml.rels><?xml version="1.0" encoding="UTF-8" standalone="yes"?>
<Relationships xmlns="http://schemas.openxmlformats.org/package/2006/relationships"><Relationship Id="rId2" Type="http://schemas.openxmlformats.org/officeDocument/2006/relationships/package" Target="../embeddings/Microsoft_Excel_Worksheet11.xlsx"/><Relationship Id="rId1" Type="http://schemas.openxmlformats.org/officeDocument/2006/relationships/themeOverride" Target="../theme/themeOverride7.xml"/></Relationships>
</file>

<file path=word/charts/_rels/chart42.xml.rels><?xml version="1.0" encoding="UTF-8" standalone="yes"?>
<Relationships xmlns="http://schemas.openxmlformats.org/package/2006/relationships"><Relationship Id="rId2" Type="http://schemas.openxmlformats.org/officeDocument/2006/relationships/oleObject" Target="Grafikon%20v%20programu%20Microsoft%20Word" TargetMode="External"/><Relationship Id="rId1" Type="http://schemas.openxmlformats.org/officeDocument/2006/relationships/themeOverride" Target="../theme/themeOverride8.xml"/></Relationships>
</file>

<file path=word/charts/_rels/chart43.xml.rels><?xml version="1.0" encoding="UTF-8" standalone="yes"?>
<Relationships xmlns="http://schemas.openxmlformats.org/package/2006/relationships"><Relationship Id="rId1" Type="http://schemas.openxmlformats.org/officeDocument/2006/relationships/package" Target="../embeddings/Microsoft_Excel_Worksheet12.xlsx"/></Relationships>
</file>

<file path=word/charts/_rels/chart44.xml.rels><?xml version="1.0" encoding="UTF-8" standalone="yes"?>
<Relationships xmlns="http://schemas.openxmlformats.org/package/2006/relationships"><Relationship Id="rId1" Type="http://schemas.openxmlformats.org/officeDocument/2006/relationships/package" Target="../embeddings/Microsoft_Excel_Worksheet13.xlsx"/></Relationships>
</file>

<file path=word/charts/_rels/chart45.xml.rels><?xml version="1.0" encoding="UTF-8" standalone="yes"?>
<Relationships xmlns="http://schemas.openxmlformats.org/package/2006/relationships"><Relationship Id="rId1" Type="http://schemas.openxmlformats.org/officeDocument/2006/relationships/package" Target="../embeddings/Microsoft_Excel_Worksheet14.xlsx"/></Relationships>
</file>

<file path=word/charts/_rels/chart46.xml.rels><?xml version="1.0" encoding="UTF-8" standalone="yes"?>
<Relationships xmlns="http://schemas.openxmlformats.org/package/2006/relationships"><Relationship Id="rId2" Type="http://schemas.openxmlformats.org/officeDocument/2006/relationships/oleObject" Target="Grafikon%20v%20programu%20Microsoft%20Word" TargetMode="External"/><Relationship Id="rId1" Type="http://schemas.openxmlformats.org/officeDocument/2006/relationships/themeOverride" Target="../theme/themeOverride9.xml"/></Relationships>
</file>

<file path=word/charts/_rels/chart47.xml.rels><?xml version="1.0" encoding="UTF-8" standalone="yes"?>
<Relationships xmlns="http://schemas.openxmlformats.org/package/2006/relationships"><Relationship Id="rId1" Type="http://schemas.openxmlformats.org/officeDocument/2006/relationships/package" Target="../embeddings/Microsoft_Excel_Worksheet15.xlsx"/></Relationships>
</file>

<file path=word/charts/_rels/chart48.xml.rels><?xml version="1.0" encoding="UTF-8" standalone="yes"?>
<Relationships xmlns="http://schemas.openxmlformats.org/package/2006/relationships"><Relationship Id="rId2" Type="http://schemas.openxmlformats.org/officeDocument/2006/relationships/oleObject" Target="Grafikon%20v%20programu%20Microsoft%20Word" TargetMode="External"/><Relationship Id="rId1" Type="http://schemas.openxmlformats.org/officeDocument/2006/relationships/themeOverride" Target="../theme/themeOverride10.xml"/></Relationships>
</file>

<file path=word/charts/_rels/chart49.xml.rels><?xml version="1.0" encoding="UTF-8" standalone="yes"?>
<Relationships xmlns="http://schemas.openxmlformats.org/package/2006/relationships"><Relationship Id="rId1" Type="http://schemas.openxmlformats.org/officeDocument/2006/relationships/package" Target="../embeddings/Microsoft_Excel_Worksheet16.xlsx"/></Relationships>
</file>

<file path=word/charts/_rels/chart5.xml.rels><?xml version="1.0" encoding="UTF-8" standalone="yes"?>
<Relationships xmlns="http://schemas.openxmlformats.org/package/2006/relationships"><Relationship Id="rId1" Type="http://schemas.openxmlformats.org/officeDocument/2006/relationships/oleObject" Target="file:///\\Users\BT\Desktop\Analize%20MK\A%20Finis&#780;iranje%20analize%20za%20novi%20NPK\01_analiza\Razna%20gradiva%20za%20analizo\AnketnaRaziskava2017.xlsx" TargetMode="External"/></Relationships>
</file>

<file path=word/charts/_rels/chart50.xml.rels><?xml version="1.0" encoding="UTF-8" standalone="yes"?>
<Relationships xmlns="http://schemas.openxmlformats.org/package/2006/relationships"><Relationship Id="rId1" Type="http://schemas.openxmlformats.org/officeDocument/2006/relationships/package" Target="../embeddings/Microsoft_Excel_Worksheet17.xlsx"/></Relationships>
</file>

<file path=word/charts/_rels/chart6.xml.rels><?xml version="1.0" encoding="UTF-8" standalone="yes"?>
<Relationships xmlns="http://schemas.openxmlformats.org/package/2006/relationships"><Relationship Id="rId1" Type="http://schemas.openxmlformats.org/officeDocument/2006/relationships/oleObject" Target="file:///\\Users\BT\Desktop\Analize%20MK\A%20Finis&#780;iranje%20analize%20za%20novi%20NPK\01_analiza\Razna%20gradiva%20za%20analizo\AnketnaRaziskava2017.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Users\BT\Desktop\Analize%20MK\A%20Finis&#780;iranje%20analize%20za%20novi%20NPK\01_analiza\Razna%20gradiva%20za%20analizo\AnketnaRaziskava2017.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Users\BT\Desktop\Analize%20MK\A%20Finis&#780;iranje%20analize%20za%20novi%20NPK\01_analiza\Razna%20gradiva%20za%20analizo\AnketnaRaziskava2017.xlsx" TargetMode="External"/></Relationships>
</file>

<file path=word/charts/_rels/chart9.xml.rels><?xml version="1.0" encoding="UTF-8" standalone="yes"?>
<Relationships xmlns="http://schemas.openxmlformats.org/package/2006/relationships"><Relationship Id="rId2" Type="http://schemas.openxmlformats.org/officeDocument/2006/relationships/oleObject" Target="Grafikon%20v%20programu%20Microsoft%20Word" TargetMode="External"/><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bar"/>
        <c:grouping val="percentStacked"/>
        <c:varyColors val="0"/>
        <c:ser>
          <c:idx val="0"/>
          <c:order val="0"/>
          <c:tx>
            <c:strRef>
              <c:f>List1!$C$3</c:f>
              <c:strCache>
                <c:ptCount val="1"/>
                <c:pt idx="0">
                  <c:v>Tovrstno razmišljanje mi je zelo blizu - 5</c:v>
                </c:pt>
              </c:strCache>
            </c:strRef>
          </c:tx>
          <c:spPr>
            <a:solidFill>
              <a:schemeClr val="accent1"/>
            </a:solidFill>
          </c:spPr>
          <c:invertIfNegative val="0"/>
          <c:dLbls>
            <c:spPr>
              <a:noFill/>
              <a:ln>
                <a:noFill/>
              </a:ln>
              <a:effectLst/>
            </c:spPr>
            <c:txPr>
              <a:bodyPr/>
              <a:lstStyle/>
              <a:p>
                <a:pPr>
                  <a:defRPr baseline="0">
                    <a:solidFill>
                      <a:schemeClr val="bg1"/>
                    </a:solidFill>
                  </a:defRPr>
                </a:pPr>
                <a:endParaRPr lang="sl-SI"/>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List1!$B$4:$B$9</c:f>
              <c:strCache>
                <c:ptCount val="6"/>
                <c:pt idx="0">
                  <c:v>Če ne bi bilo slovenske kulture in umetnosti, tudi samostojne države danes ne bi imeli.</c:v>
                </c:pt>
                <c:pt idx="1">
                  <c:v>Umetnost in politični aktivizem (kot so na primer zavzemanje za razne pravice, pritoževanje nad oblastjo, kritika socialnih razlik med ljudmi itd.) nista za  skupaj. Umetniki naj se ukvarjajo z umetnostjo, drugo pa naj pustijo pri miru.</c:v>
                </c:pt>
                <c:pt idx="2">
                  <c:v>Država bi morala v večji meri finančno podpirati slovensko umetnost in kulturo.</c:v>
                </c:pt>
                <c:pt idx="3">
                  <c:v>Umetniki ne morejo sami preživeti, ker je Slovenija premajhen trg. Zato je prav, da jih država finančno podpira.</c:v>
                </c:pt>
                <c:pt idx="4">
                  <c:v>Če je nekdo zares dober umetnik, lahko s svojim delom zasluži za dostojno življenje.</c:v>
                </c:pt>
                <c:pt idx="5">
                  <c:v>Naša država dopušča, da umetniki živijo v revščini.</c:v>
                </c:pt>
              </c:strCache>
            </c:strRef>
          </c:cat>
          <c:val>
            <c:numRef>
              <c:f>List1!$C$4:$C$9</c:f>
              <c:numCache>
                <c:formatCode>General</c:formatCode>
                <c:ptCount val="6"/>
                <c:pt idx="0">
                  <c:v>38</c:v>
                </c:pt>
                <c:pt idx="1">
                  <c:v>28</c:v>
                </c:pt>
                <c:pt idx="2">
                  <c:v>34</c:v>
                </c:pt>
                <c:pt idx="3">
                  <c:v>27</c:v>
                </c:pt>
                <c:pt idx="4">
                  <c:v>35</c:v>
                </c:pt>
                <c:pt idx="5">
                  <c:v>22</c:v>
                </c:pt>
              </c:numCache>
            </c:numRef>
          </c:val>
        </c:ser>
        <c:ser>
          <c:idx val="1"/>
          <c:order val="1"/>
          <c:tx>
            <c:strRef>
              <c:f>List1!$D$3</c:f>
              <c:strCache>
                <c:ptCount val="1"/>
                <c:pt idx="0">
                  <c:v>4</c:v>
                </c:pt>
              </c:strCache>
            </c:strRef>
          </c:tx>
          <c:spPr>
            <a:solidFill>
              <a:schemeClr val="accent2"/>
            </a:solidFill>
          </c:spPr>
          <c:invertIfNegative val="0"/>
          <c:dLbls>
            <c:spPr>
              <a:noFill/>
              <a:ln>
                <a:noFill/>
              </a:ln>
              <a:effectLst/>
            </c:spPr>
            <c:txPr>
              <a:bodyPr/>
              <a:lstStyle/>
              <a:p>
                <a:pPr>
                  <a:defRPr baseline="0">
                    <a:solidFill>
                      <a:schemeClr val="bg1"/>
                    </a:solidFill>
                  </a:defRPr>
                </a:pPr>
                <a:endParaRPr lang="sl-SI"/>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List1!$B$4:$B$9</c:f>
              <c:strCache>
                <c:ptCount val="6"/>
                <c:pt idx="0">
                  <c:v>Če ne bi bilo slovenske kulture in umetnosti, tudi samostojne države danes ne bi imeli.</c:v>
                </c:pt>
                <c:pt idx="1">
                  <c:v>Umetnost in politični aktivizem (kot so na primer zavzemanje za razne pravice, pritoževanje nad oblastjo, kritika socialnih razlik med ljudmi itd.) nista za  skupaj. Umetniki naj se ukvarjajo z umetnostjo, drugo pa naj pustijo pri miru.</c:v>
                </c:pt>
                <c:pt idx="2">
                  <c:v>Država bi morala v večji meri finančno podpirati slovensko umetnost in kulturo.</c:v>
                </c:pt>
                <c:pt idx="3">
                  <c:v>Umetniki ne morejo sami preživeti, ker je Slovenija premajhen trg. Zato je prav, da jih država finančno podpira.</c:v>
                </c:pt>
                <c:pt idx="4">
                  <c:v>Če je nekdo zares dober umetnik, lahko s svojim delom zasluži za dostojno življenje.</c:v>
                </c:pt>
                <c:pt idx="5">
                  <c:v>Naša država dopušča, da umetniki živijo v revščini.</c:v>
                </c:pt>
              </c:strCache>
            </c:strRef>
          </c:cat>
          <c:val>
            <c:numRef>
              <c:f>List1!$D$4:$D$9</c:f>
              <c:numCache>
                <c:formatCode>General</c:formatCode>
                <c:ptCount val="6"/>
                <c:pt idx="0">
                  <c:v>19</c:v>
                </c:pt>
                <c:pt idx="1">
                  <c:v>16</c:v>
                </c:pt>
                <c:pt idx="2">
                  <c:v>26</c:v>
                </c:pt>
                <c:pt idx="3">
                  <c:v>22</c:v>
                </c:pt>
                <c:pt idx="4">
                  <c:v>24</c:v>
                </c:pt>
                <c:pt idx="5">
                  <c:v>20</c:v>
                </c:pt>
              </c:numCache>
            </c:numRef>
          </c:val>
        </c:ser>
        <c:ser>
          <c:idx val="2"/>
          <c:order val="2"/>
          <c:tx>
            <c:strRef>
              <c:f>List1!$E$3</c:f>
              <c:strCache>
                <c:ptCount val="1"/>
                <c:pt idx="0">
                  <c:v>Niti, niti - 3</c:v>
                </c:pt>
              </c:strCache>
            </c:strRef>
          </c:tx>
          <c:spPr>
            <a:solidFill>
              <a:schemeClr val="accent3"/>
            </a:solidFill>
          </c:spPr>
          <c:invertIfNegative val="0"/>
          <c:dLbls>
            <c:spPr>
              <a:noFill/>
              <a:ln>
                <a:noFill/>
              </a:ln>
              <a:effectLst/>
            </c:spPr>
            <c:txPr>
              <a:bodyPr/>
              <a:lstStyle/>
              <a:p>
                <a:pPr>
                  <a:defRPr baseline="0">
                    <a:solidFill>
                      <a:schemeClr val="bg1"/>
                    </a:solidFill>
                  </a:defRPr>
                </a:pPr>
                <a:endParaRPr lang="sl-SI"/>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List1!$B$4:$B$9</c:f>
              <c:strCache>
                <c:ptCount val="6"/>
                <c:pt idx="0">
                  <c:v>Če ne bi bilo slovenske kulture in umetnosti, tudi samostojne države danes ne bi imeli.</c:v>
                </c:pt>
                <c:pt idx="1">
                  <c:v>Umetnost in politični aktivizem (kot so na primer zavzemanje za razne pravice, pritoževanje nad oblastjo, kritika socialnih razlik med ljudmi itd.) nista za  skupaj. Umetniki naj se ukvarjajo z umetnostjo, drugo pa naj pustijo pri miru.</c:v>
                </c:pt>
                <c:pt idx="2">
                  <c:v>Država bi morala v večji meri finančno podpirati slovensko umetnost in kulturo.</c:v>
                </c:pt>
                <c:pt idx="3">
                  <c:v>Umetniki ne morejo sami preživeti, ker je Slovenija premajhen trg. Zato je prav, da jih država finančno podpira.</c:v>
                </c:pt>
                <c:pt idx="4">
                  <c:v>Če je nekdo zares dober umetnik, lahko s svojim delom zasluži za dostojno življenje.</c:v>
                </c:pt>
                <c:pt idx="5">
                  <c:v>Naša država dopušča, da umetniki živijo v revščini.</c:v>
                </c:pt>
              </c:strCache>
            </c:strRef>
          </c:cat>
          <c:val>
            <c:numRef>
              <c:f>List1!$E$4:$E$9</c:f>
              <c:numCache>
                <c:formatCode>General</c:formatCode>
                <c:ptCount val="6"/>
                <c:pt idx="0">
                  <c:v>22</c:v>
                </c:pt>
                <c:pt idx="1">
                  <c:v>29</c:v>
                </c:pt>
                <c:pt idx="2">
                  <c:v>23</c:v>
                </c:pt>
                <c:pt idx="3">
                  <c:v>28</c:v>
                </c:pt>
                <c:pt idx="4">
                  <c:v>26</c:v>
                </c:pt>
                <c:pt idx="5">
                  <c:v>31</c:v>
                </c:pt>
              </c:numCache>
            </c:numRef>
          </c:val>
        </c:ser>
        <c:ser>
          <c:idx val="3"/>
          <c:order val="3"/>
          <c:tx>
            <c:strRef>
              <c:f>List1!$F$3</c:f>
              <c:strCache>
                <c:ptCount val="1"/>
                <c:pt idx="0">
                  <c:v>2</c:v>
                </c:pt>
              </c:strCache>
            </c:strRef>
          </c:tx>
          <c:spPr>
            <a:solidFill>
              <a:schemeClr val="accent4"/>
            </a:solidFill>
          </c:spPr>
          <c:invertIfNegative val="0"/>
          <c:dLbls>
            <c:spPr>
              <a:noFill/>
              <a:ln>
                <a:noFill/>
              </a:ln>
              <a:effectLst/>
            </c:spPr>
            <c:txPr>
              <a:bodyPr/>
              <a:lstStyle/>
              <a:p>
                <a:pPr>
                  <a:defRPr baseline="0">
                    <a:solidFill>
                      <a:schemeClr val="bg1"/>
                    </a:solidFill>
                  </a:defRPr>
                </a:pPr>
                <a:endParaRPr lang="sl-SI"/>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List1!$B$4:$B$9</c:f>
              <c:strCache>
                <c:ptCount val="6"/>
                <c:pt idx="0">
                  <c:v>Če ne bi bilo slovenske kulture in umetnosti, tudi samostojne države danes ne bi imeli.</c:v>
                </c:pt>
                <c:pt idx="1">
                  <c:v>Umetnost in politični aktivizem (kot so na primer zavzemanje za razne pravice, pritoževanje nad oblastjo, kritika socialnih razlik med ljudmi itd.) nista za  skupaj. Umetniki naj se ukvarjajo z umetnostjo, drugo pa naj pustijo pri miru.</c:v>
                </c:pt>
                <c:pt idx="2">
                  <c:v>Država bi morala v večji meri finančno podpirati slovensko umetnost in kulturo.</c:v>
                </c:pt>
                <c:pt idx="3">
                  <c:v>Umetniki ne morejo sami preživeti, ker je Slovenija premajhen trg. Zato je prav, da jih država finančno podpira.</c:v>
                </c:pt>
                <c:pt idx="4">
                  <c:v>Če je nekdo zares dober umetnik, lahko s svojim delom zasluži za dostojno življenje.</c:v>
                </c:pt>
                <c:pt idx="5">
                  <c:v>Naša država dopušča, da umetniki živijo v revščini.</c:v>
                </c:pt>
              </c:strCache>
            </c:strRef>
          </c:cat>
          <c:val>
            <c:numRef>
              <c:f>List1!$F$4:$F$9</c:f>
              <c:numCache>
                <c:formatCode>General</c:formatCode>
                <c:ptCount val="6"/>
                <c:pt idx="0">
                  <c:v>7</c:v>
                </c:pt>
                <c:pt idx="1">
                  <c:v>9</c:v>
                </c:pt>
                <c:pt idx="2">
                  <c:v>7</c:v>
                </c:pt>
                <c:pt idx="3">
                  <c:v>9</c:v>
                </c:pt>
                <c:pt idx="4">
                  <c:v>7</c:v>
                </c:pt>
                <c:pt idx="5">
                  <c:v>10</c:v>
                </c:pt>
              </c:numCache>
            </c:numRef>
          </c:val>
        </c:ser>
        <c:ser>
          <c:idx val="4"/>
          <c:order val="4"/>
          <c:tx>
            <c:strRef>
              <c:f>List1!$G$3</c:f>
              <c:strCache>
                <c:ptCount val="1"/>
                <c:pt idx="0">
                  <c:v>Tovrstno razmišljanje mi sploh ni blizu - 1</c:v>
                </c:pt>
              </c:strCache>
            </c:strRef>
          </c:tx>
          <c:spPr>
            <a:solidFill>
              <a:schemeClr val="accent6"/>
            </a:solidFill>
          </c:spPr>
          <c:invertIfNegative val="0"/>
          <c:dLbls>
            <c:spPr>
              <a:noFill/>
              <a:ln>
                <a:noFill/>
              </a:ln>
              <a:effectLst/>
            </c:spPr>
            <c:txPr>
              <a:bodyPr/>
              <a:lstStyle/>
              <a:p>
                <a:pPr>
                  <a:defRPr baseline="0">
                    <a:solidFill>
                      <a:schemeClr val="bg1"/>
                    </a:solidFill>
                  </a:defRPr>
                </a:pPr>
                <a:endParaRPr lang="sl-SI"/>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List1!$B$4:$B$9</c:f>
              <c:strCache>
                <c:ptCount val="6"/>
                <c:pt idx="0">
                  <c:v>Če ne bi bilo slovenske kulture in umetnosti, tudi samostojne države danes ne bi imeli.</c:v>
                </c:pt>
                <c:pt idx="1">
                  <c:v>Umetnost in politični aktivizem (kot so na primer zavzemanje za razne pravice, pritoževanje nad oblastjo, kritika socialnih razlik med ljudmi itd.) nista za  skupaj. Umetniki naj se ukvarjajo z umetnostjo, drugo pa naj pustijo pri miru.</c:v>
                </c:pt>
                <c:pt idx="2">
                  <c:v>Država bi morala v večji meri finančno podpirati slovensko umetnost in kulturo.</c:v>
                </c:pt>
                <c:pt idx="3">
                  <c:v>Umetniki ne morejo sami preživeti, ker je Slovenija premajhen trg. Zato je prav, da jih država finančno podpira.</c:v>
                </c:pt>
                <c:pt idx="4">
                  <c:v>Če je nekdo zares dober umetnik, lahko s svojim delom zasluži za dostojno življenje.</c:v>
                </c:pt>
                <c:pt idx="5">
                  <c:v>Naša država dopušča, da umetniki živijo v revščini.</c:v>
                </c:pt>
              </c:strCache>
            </c:strRef>
          </c:cat>
          <c:val>
            <c:numRef>
              <c:f>List1!$G$4:$G$9</c:f>
              <c:numCache>
                <c:formatCode>General</c:formatCode>
                <c:ptCount val="6"/>
                <c:pt idx="0">
                  <c:v>7</c:v>
                </c:pt>
                <c:pt idx="1">
                  <c:v>15</c:v>
                </c:pt>
                <c:pt idx="2">
                  <c:v>5</c:v>
                </c:pt>
                <c:pt idx="3">
                  <c:v>9</c:v>
                </c:pt>
                <c:pt idx="4">
                  <c:v>3</c:v>
                </c:pt>
                <c:pt idx="5">
                  <c:v>9</c:v>
                </c:pt>
              </c:numCache>
            </c:numRef>
          </c:val>
        </c:ser>
        <c:ser>
          <c:idx val="5"/>
          <c:order val="5"/>
          <c:tx>
            <c:strRef>
              <c:f>List1!$H$3</c:f>
              <c:strCache>
                <c:ptCount val="1"/>
                <c:pt idx="0">
                  <c:v>Ne vem</c:v>
                </c:pt>
              </c:strCache>
            </c:strRef>
          </c:tx>
          <c:spPr>
            <a:solidFill>
              <a:schemeClr val="accent5"/>
            </a:solidFill>
          </c:spPr>
          <c:invertIfNegative val="0"/>
          <c:dLbls>
            <c:spPr>
              <a:noFill/>
              <a:ln>
                <a:noFill/>
              </a:ln>
              <a:effectLst/>
            </c:spPr>
            <c:txPr>
              <a:bodyPr/>
              <a:lstStyle/>
              <a:p>
                <a:pPr>
                  <a:defRPr baseline="0">
                    <a:solidFill>
                      <a:schemeClr val="bg1"/>
                    </a:solidFill>
                  </a:defRPr>
                </a:pPr>
                <a:endParaRPr lang="sl-SI"/>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List1!$B$4:$B$9</c:f>
              <c:strCache>
                <c:ptCount val="6"/>
                <c:pt idx="0">
                  <c:v>Če ne bi bilo slovenske kulture in umetnosti, tudi samostojne države danes ne bi imeli.</c:v>
                </c:pt>
                <c:pt idx="1">
                  <c:v>Umetnost in politični aktivizem (kot so na primer zavzemanje za razne pravice, pritoževanje nad oblastjo, kritika socialnih razlik med ljudmi itd.) nista za  skupaj. Umetniki naj se ukvarjajo z umetnostjo, drugo pa naj pustijo pri miru.</c:v>
                </c:pt>
                <c:pt idx="2">
                  <c:v>Država bi morala v večji meri finančno podpirati slovensko umetnost in kulturo.</c:v>
                </c:pt>
                <c:pt idx="3">
                  <c:v>Umetniki ne morejo sami preživeti, ker je Slovenija premajhen trg. Zato je prav, da jih država finančno podpira.</c:v>
                </c:pt>
                <c:pt idx="4">
                  <c:v>Če je nekdo zares dober umetnik, lahko s svojim delom zasluži za dostojno življenje.</c:v>
                </c:pt>
                <c:pt idx="5">
                  <c:v>Naša država dopušča, da umetniki živijo v revščini.</c:v>
                </c:pt>
              </c:strCache>
            </c:strRef>
          </c:cat>
          <c:val>
            <c:numRef>
              <c:f>List1!$H$4:$H$9</c:f>
              <c:numCache>
                <c:formatCode>General</c:formatCode>
                <c:ptCount val="6"/>
                <c:pt idx="0">
                  <c:v>6</c:v>
                </c:pt>
                <c:pt idx="1">
                  <c:v>4</c:v>
                </c:pt>
                <c:pt idx="2">
                  <c:v>5</c:v>
                </c:pt>
                <c:pt idx="3">
                  <c:v>4</c:v>
                </c:pt>
                <c:pt idx="4">
                  <c:v>6</c:v>
                </c:pt>
                <c:pt idx="5">
                  <c:v>7</c:v>
                </c:pt>
              </c:numCache>
            </c:numRef>
          </c:val>
        </c:ser>
        <c:dLbls>
          <c:showLegendKey val="0"/>
          <c:showVal val="1"/>
          <c:showCatName val="0"/>
          <c:showSerName val="0"/>
          <c:showPercent val="0"/>
          <c:showBubbleSize val="0"/>
        </c:dLbls>
        <c:gapWidth val="75"/>
        <c:overlap val="100"/>
        <c:axId val="210086144"/>
        <c:axId val="210092032"/>
      </c:barChart>
      <c:catAx>
        <c:axId val="210086144"/>
        <c:scaling>
          <c:orientation val="minMax"/>
        </c:scaling>
        <c:delete val="0"/>
        <c:axPos val="l"/>
        <c:numFmt formatCode="General" sourceLinked="0"/>
        <c:majorTickMark val="none"/>
        <c:minorTickMark val="none"/>
        <c:tickLblPos val="nextTo"/>
        <c:crossAx val="210092032"/>
        <c:crosses val="autoZero"/>
        <c:auto val="1"/>
        <c:lblAlgn val="ctr"/>
        <c:lblOffset val="100"/>
        <c:noMultiLvlLbl val="0"/>
      </c:catAx>
      <c:valAx>
        <c:axId val="210092032"/>
        <c:scaling>
          <c:orientation val="minMax"/>
        </c:scaling>
        <c:delete val="0"/>
        <c:axPos val="b"/>
        <c:numFmt formatCode="0%" sourceLinked="1"/>
        <c:majorTickMark val="none"/>
        <c:minorTickMark val="none"/>
        <c:tickLblPos val="nextTo"/>
        <c:txPr>
          <a:bodyPr/>
          <a:lstStyle/>
          <a:p>
            <a:pPr>
              <a:defRPr sz="700" baseline="0"/>
            </a:pPr>
            <a:endParaRPr lang="sl-SI"/>
          </a:p>
        </c:txPr>
        <c:crossAx val="210086144"/>
        <c:crosses val="autoZero"/>
        <c:crossBetween val="between"/>
      </c:valAx>
    </c:plotArea>
    <c:legend>
      <c:legendPos val="b"/>
      <c:overlay val="0"/>
    </c:legend>
    <c:plotVisOnly val="1"/>
    <c:dispBlanksAs val="gap"/>
    <c:showDLblsOverMax val="0"/>
  </c:chart>
  <c:spPr>
    <a:ln>
      <a:noFill/>
    </a:ln>
  </c:spPr>
  <c:txPr>
    <a:bodyPr/>
    <a:lstStyle/>
    <a:p>
      <a:pPr>
        <a:defRPr sz="800" baseline="0">
          <a:solidFill>
            <a:schemeClr val="bg2">
              <a:lumMod val="25000"/>
            </a:schemeClr>
          </a:solidFill>
        </a:defRPr>
      </a:pPr>
      <a:endParaRPr lang="sl-SI"/>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matrix!$B$71</c:f>
              <c:strCache>
                <c:ptCount val="1"/>
                <c:pt idx="0">
                  <c:v>Država*</c:v>
                </c:pt>
              </c:strCache>
            </c:strRef>
          </c:tx>
          <c:invertIfNegative val="0"/>
          <c:cat>
            <c:strRef>
              <c:f>matrix!$A$72:$A$79</c:f>
              <c:strCache>
                <c:ptCount val="8"/>
                <c:pt idx="0">
                  <c:v>2008</c:v>
                </c:pt>
                <c:pt idx="1">
                  <c:v>2009</c:v>
                </c:pt>
                <c:pt idx="2">
                  <c:v>2010</c:v>
                </c:pt>
                <c:pt idx="3">
                  <c:v>2011</c:v>
                </c:pt>
                <c:pt idx="4">
                  <c:v>2012</c:v>
                </c:pt>
                <c:pt idx="5">
                  <c:v>2013</c:v>
                </c:pt>
                <c:pt idx="6">
                  <c:v>2014</c:v>
                </c:pt>
                <c:pt idx="7">
                  <c:v>2015</c:v>
                </c:pt>
              </c:strCache>
            </c:strRef>
          </c:cat>
          <c:val>
            <c:numRef>
              <c:f>matrix!$B$72:$B$79</c:f>
              <c:numCache>
                <c:formatCode>General</c:formatCode>
                <c:ptCount val="8"/>
                <c:pt idx="0">
                  <c:v>147.6</c:v>
                </c:pt>
                <c:pt idx="1">
                  <c:v>145.4</c:v>
                </c:pt>
                <c:pt idx="2">
                  <c:v>160.9</c:v>
                </c:pt>
                <c:pt idx="3">
                  <c:v>155.80000000000001</c:v>
                </c:pt>
                <c:pt idx="4">
                  <c:v>153.6</c:v>
                </c:pt>
                <c:pt idx="5">
                  <c:v>146</c:v>
                </c:pt>
                <c:pt idx="6">
                  <c:v>134.6</c:v>
                </c:pt>
                <c:pt idx="7">
                  <c:v>132.69999999999999</c:v>
                </c:pt>
              </c:numCache>
            </c:numRef>
          </c:val>
        </c:ser>
        <c:ser>
          <c:idx val="1"/>
          <c:order val="1"/>
          <c:tx>
            <c:strRef>
              <c:f>matrix!$C$71</c:f>
              <c:strCache>
                <c:ptCount val="1"/>
                <c:pt idx="0">
                  <c:v>Centralna država</c:v>
                </c:pt>
              </c:strCache>
            </c:strRef>
          </c:tx>
          <c:invertIfNegative val="0"/>
          <c:cat>
            <c:strRef>
              <c:f>matrix!$A$72:$A$79</c:f>
              <c:strCache>
                <c:ptCount val="8"/>
                <c:pt idx="0">
                  <c:v>2008</c:v>
                </c:pt>
                <c:pt idx="1">
                  <c:v>2009</c:v>
                </c:pt>
                <c:pt idx="2">
                  <c:v>2010</c:v>
                </c:pt>
                <c:pt idx="3">
                  <c:v>2011</c:v>
                </c:pt>
                <c:pt idx="4">
                  <c:v>2012</c:v>
                </c:pt>
                <c:pt idx="5">
                  <c:v>2013</c:v>
                </c:pt>
                <c:pt idx="6">
                  <c:v>2014</c:v>
                </c:pt>
                <c:pt idx="7">
                  <c:v>2015</c:v>
                </c:pt>
              </c:strCache>
            </c:strRef>
          </c:cat>
          <c:val>
            <c:numRef>
              <c:f>matrix!$C$72:$C$79</c:f>
              <c:numCache>
                <c:formatCode>General</c:formatCode>
                <c:ptCount val="8"/>
                <c:pt idx="0">
                  <c:v>144.19999999999999</c:v>
                </c:pt>
                <c:pt idx="1">
                  <c:v>141.6</c:v>
                </c:pt>
                <c:pt idx="2">
                  <c:v>156.30000000000001</c:v>
                </c:pt>
                <c:pt idx="3">
                  <c:v>152.6</c:v>
                </c:pt>
                <c:pt idx="4">
                  <c:v>150.30000000000001</c:v>
                </c:pt>
                <c:pt idx="5">
                  <c:v>142.80000000000001</c:v>
                </c:pt>
                <c:pt idx="6">
                  <c:v>131.30000000000001</c:v>
                </c:pt>
                <c:pt idx="7">
                  <c:v>129.5</c:v>
                </c:pt>
              </c:numCache>
            </c:numRef>
          </c:val>
        </c:ser>
        <c:ser>
          <c:idx val="2"/>
          <c:order val="2"/>
          <c:tx>
            <c:strRef>
              <c:f>matrix!$D$71</c:f>
              <c:strCache>
                <c:ptCount val="1"/>
                <c:pt idx="0">
                  <c:v>Lokalna država</c:v>
                </c:pt>
              </c:strCache>
            </c:strRef>
          </c:tx>
          <c:invertIfNegative val="0"/>
          <c:cat>
            <c:strRef>
              <c:f>matrix!$A$72:$A$79</c:f>
              <c:strCache>
                <c:ptCount val="8"/>
                <c:pt idx="0">
                  <c:v>2008</c:v>
                </c:pt>
                <c:pt idx="1">
                  <c:v>2009</c:v>
                </c:pt>
                <c:pt idx="2">
                  <c:v>2010</c:v>
                </c:pt>
                <c:pt idx="3">
                  <c:v>2011</c:v>
                </c:pt>
                <c:pt idx="4">
                  <c:v>2012</c:v>
                </c:pt>
                <c:pt idx="5">
                  <c:v>2013</c:v>
                </c:pt>
                <c:pt idx="6">
                  <c:v>2014</c:v>
                </c:pt>
                <c:pt idx="7">
                  <c:v>2015</c:v>
                </c:pt>
              </c:strCache>
            </c:strRef>
          </c:cat>
          <c:val>
            <c:numRef>
              <c:f>matrix!$D$72:$D$79</c:f>
              <c:numCache>
                <c:formatCode>General</c:formatCode>
                <c:ptCount val="8"/>
                <c:pt idx="0">
                  <c:v>3.4</c:v>
                </c:pt>
                <c:pt idx="1">
                  <c:v>4.2</c:v>
                </c:pt>
                <c:pt idx="2">
                  <c:v>4.7</c:v>
                </c:pt>
                <c:pt idx="3">
                  <c:v>3.3</c:v>
                </c:pt>
                <c:pt idx="4">
                  <c:v>3.4</c:v>
                </c:pt>
                <c:pt idx="5">
                  <c:v>3.2</c:v>
                </c:pt>
                <c:pt idx="6">
                  <c:v>3.2</c:v>
                </c:pt>
                <c:pt idx="7">
                  <c:v>3.1</c:v>
                </c:pt>
              </c:numCache>
            </c:numRef>
          </c:val>
        </c:ser>
        <c:dLbls>
          <c:showLegendKey val="0"/>
          <c:showVal val="0"/>
          <c:showCatName val="0"/>
          <c:showSerName val="0"/>
          <c:showPercent val="0"/>
          <c:showBubbleSize val="0"/>
        </c:dLbls>
        <c:gapWidth val="150"/>
        <c:axId val="215363968"/>
        <c:axId val="215365888"/>
      </c:barChart>
      <c:lineChart>
        <c:grouping val="standard"/>
        <c:varyColors val="0"/>
        <c:ser>
          <c:idx val="3"/>
          <c:order val="3"/>
          <c:tx>
            <c:strRef>
              <c:f>matrix!$E$71</c:f>
              <c:strCache>
                <c:ptCount val="1"/>
                <c:pt idx="0">
                  <c:v>% BDP</c:v>
                </c:pt>
              </c:strCache>
            </c:strRef>
          </c:tx>
          <c:spPr>
            <a:ln>
              <a:noFill/>
            </a:ln>
          </c:spPr>
          <c:marker>
            <c:symbol val="square"/>
            <c:size val="5"/>
            <c:spPr>
              <a:solidFill>
                <a:srgbClr val="FFFF00"/>
              </a:solidFill>
              <a:ln>
                <a:solidFill>
                  <a:srgbClr val="FFFF00"/>
                </a:solidFill>
              </a:ln>
            </c:spPr>
          </c:marker>
          <c:cat>
            <c:strRef>
              <c:f>matrix!$A$72:$A$79</c:f>
              <c:strCache>
                <c:ptCount val="8"/>
                <c:pt idx="0">
                  <c:v>2008</c:v>
                </c:pt>
                <c:pt idx="1">
                  <c:v>2009</c:v>
                </c:pt>
                <c:pt idx="2">
                  <c:v>2010</c:v>
                </c:pt>
                <c:pt idx="3">
                  <c:v>2011</c:v>
                </c:pt>
                <c:pt idx="4">
                  <c:v>2012</c:v>
                </c:pt>
                <c:pt idx="5">
                  <c:v>2013</c:v>
                </c:pt>
                <c:pt idx="6">
                  <c:v>2014</c:v>
                </c:pt>
                <c:pt idx="7">
                  <c:v>2015</c:v>
                </c:pt>
              </c:strCache>
            </c:strRef>
          </c:cat>
          <c:val>
            <c:numRef>
              <c:f>matrix!$E$72:$E$79</c:f>
              <c:numCache>
                <c:formatCode>General</c:formatCode>
                <c:ptCount val="8"/>
                <c:pt idx="0">
                  <c:v>0.4</c:v>
                </c:pt>
                <c:pt idx="1">
                  <c:v>0.4</c:v>
                </c:pt>
                <c:pt idx="2">
                  <c:v>0.4</c:v>
                </c:pt>
                <c:pt idx="3">
                  <c:v>0.4</c:v>
                </c:pt>
                <c:pt idx="4">
                  <c:v>0.4</c:v>
                </c:pt>
                <c:pt idx="5">
                  <c:v>0.4</c:v>
                </c:pt>
                <c:pt idx="6">
                  <c:v>0.4</c:v>
                </c:pt>
                <c:pt idx="7">
                  <c:v>0.3</c:v>
                </c:pt>
              </c:numCache>
            </c:numRef>
          </c:val>
          <c:smooth val="0"/>
        </c:ser>
        <c:ser>
          <c:idx val="4"/>
          <c:order val="4"/>
          <c:tx>
            <c:strRef>
              <c:f>matrix!$F$71</c:f>
              <c:strCache>
                <c:ptCount val="1"/>
                <c:pt idx="0">
                  <c:v>% vseh javnih izdatkov</c:v>
                </c:pt>
              </c:strCache>
            </c:strRef>
          </c:tx>
          <c:spPr>
            <a:ln>
              <a:noFill/>
            </a:ln>
          </c:spPr>
          <c:marker>
            <c:symbol val="circle"/>
            <c:size val="5"/>
            <c:spPr>
              <a:solidFill>
                <a:schemeClr val="tx1"/>
              </a:solidFill>
              <a:ln>
                <a:solidFill>
                  <a:schemeClr val="tx1"/>
                </a:solidFill>
              </a:ln>
            </c:spPr>
          </c:marker>
          <c:cat>
            <c:strRef>
              <c:f>matrix!$A$72:$A$79</c:f>
              <c:strCache>
                <c:ptCount val="8"/>
                <c:pt idx="0">
                  <c:v>2008</c:v>
                </c:pt>
                <c:pt idx="1">
                  <c:v>2009</c:v>
                </c:pt>
                <c:pt idx="2">
                  <c:v>2010</c:v>
                </c:pt>
                <c:pt idx="3">
                  <c:v>2011</c:v>
                </c:pt>
                <c:pt idx="4">
                  <c:v>2012</c:v>
                </c:pt>
                <c:pt idx="5">
                  <c:v>2013</c:v>
                </c:pt>
                <c:pt idx="6">
                  <c:v>2014</c:v>
                </c:pt>
                <c:pt idx="7">
                  <c:v>2015</c:v>
                </c:pt>
              </c:strCache>
            </c:strRef>
          </c:cat>
          <c:val>
            <c:numRef>
              <c:f>matrix!$F$72:$F$79</c:f>
              <c:numCache>
                <c:formatCode>General</c:formatCode>
                <c:ptCount val="8"/>
                <c:pt idx="0">
                  <c:v>0.9</c:v>
                </c:pt>
                <c:pt idx="1">
                  <c:v>0.8</c:v>
                </c:pt>
                <c:pt idx="2">
                  <c:v>0.9</c:v>
                </c:pt>
                <c:pt idx="3">
                  <c:v>0.8</c:v>
                </c:pt>
                <c:pt idx="4">
                  <c:v>0.9</c:v>
                </c:pt>
                <c:pt idx="5">
                  <c:v>0.7</c:v>
                </c:pt>
                <c:pt idx="6">
                  <c:v>0.7</c:v>
                </c:pt>
                <c:pt idx="7">
                  <c:v>0.7</c:v>
                </c:pt>
              </c:numCache>
            </c:numRef>
          </c:val>
          <c:smooth val="0"/>
        </c:ser>
        <c:dLbls>
          <c:showLegendKey val="0"/>
          <c:showVal val="0"/>
          <c:showCatName val="0"/>
          <c:showSerName val="0"/>
          <c:showPercent val="0"/>
          <c:showBubbleSize val="0"/>
        </c:dLbls>
        <c:marker val="1"/>
        <c:smooth val="0"/>
        <c:axId val="215374080"/>
        <c:axId val="215372160"/>
      </c:lineChart>
      <c:catAx>
        <c:axId val="215363968"/>
        <c:scaling>
          <c:orientation val="minMax"/>
        </c:scaling>
        <c:delete val="0"/>
        <c:axPos val="b"/>
        <c:numFmt formatCode="General" sourceLinked="0"/>
        <c:majorTickMark val="out"/>
        <c:minorTickMark val="none"/>
        <c:tickLblPos val="nextTo"/>
        <c:spPr>
          <a:ln>
            <a:noFill/>
          </a:ln>
        </c:spPr>
        <c:crossAx val="215365888"/>
        <c:crosses val="autoZero"/>
        <c:auto val="1"/>
        <c:lblAlgn val="ctr"/>
        <c:lblOffset val="100"/>
        <c:noMultiLvlLbl val="0"/>
      </c:catAx>
      <c:valAx>
        <c:axId val="215365888"/>
        <c:scaling>
          <c:orientation val="minMax"/>
        </c:scaling>
        <c:delete val="0"/>
        <c:axPos val="l"/>
        <c:majorGridlines>
          <c:spPr>
            <a:ln>
              <a:solidFill>
                <a:sysClr val="window" lastClr="FFFFFF">
                  <a:lumMod val="85000"/>
                </a:sysClr>
              </a:solidFill>
            </a:ln>
          </c:spPr>
        </c:majorGridlines>
        <c:title>
          <c:tx>
            <c:rich>
              <a:bodyPr rot="-5400000" vert="horz"/>
              <a:lstStyle/>
              <a:p>
                <a:pPr>
                  <a:defRPr/>
                </a:pPr>
                <a:r>
                  <a:rPr lang="en-US"/>
                  <a:t>Milijoni evrov</a:t>
                </a:r>
              </a:p>
            </c:rich>
          </c:tx>
          <c:layout>
            <c:manualLayout>
              <c:xMode val="edge"/>
              <c:yMode val="edge"/>
              <c:x val="0.12709404401372901"/>
              <c:y val="0.16501057159521701"/>
            </c:manualLayout>
          </c:layout>
          <c:overlay val="0"/>
        </c:title>
        <c:numFmt formatCode="General" sourceLinked="1"/>
        <c:majorTickMark val="out"/>
        <c:minorTickMark val="none"/>
        <c:tickLblPos val="nextTo"/>
        <c:spPr>
          <a:ln>
            <a:noFill/>
          </a:ln>
        </c:spPr>
        <c:crossAx val="215363968"/>
        <c:crosses val="autoZero"/>
        <c:crossBetween val="between"/>
      </c:valAx>
      <c:valAx>
        <c:axId val="215372160"/>
        <c:scaling>
          <c:orientation val="minMax"/>
        </c:scaling>
        <c:delete val="0"/>
        <c:axPos val="r"/>
        <c:title>
          <c:tx>
            <c:rich>
              <a:bodyPr rot="-5400000" vert="horz"/>
              <a:lstStyle/>
              <a:p>
                <a:pPr>
                  <a:defRPr/>
                </a:pPr>
                <a:r>
                  <a:rPr lang="sl-SI"/>
                  <a:t>%</a:t>
                </a:r>
              </a:p>
            </c:rich>
          </c:tx>
          <c:overlay val="0"/>
        </c:title>
        <c:numFmt formatCode="General" sourceLinked="1"/>
        <c:majorTickMark val="out"/>
        <c:minorTickMark val="none"/>
        <c:tickLblPos val="nextTo"/>
        <c:spPr>
          <a:ln>
            <a:noFill/>
          </a:ln>
        </c:spPr>
        <c:crossAx val="215374080"/>
        <c:crosses val="max"/>
        <c:crossBetween val="between"/>
      </c:valAx>
      <c:catAx>
        <c:axId val="215374080"/>
        <c:scaling>
          <c:orientation val="minMax"/>
        </c:scaling>
        <c:delete val="1"/>
        <c:axPos val="b"/>
        <c:numFmt formatCode="General" sourceLinked="0"/>
        <c:majorTickMark val="out"/>
        <c:minorTickMark val="none"/>
        <c:tickLblPos val="nextTo"/>
        <c:crossAx val="215372160"/>
        <c:crosses val="autoZero"/>
        <c:auto val="1"/>
        <c:lblAlgn val="ctr"/>
        <c:lblOffset val="100"/>
        <c:noMultiLvlLbl val="0"/>
      </c:catAx>
      <c:dTable>
        <c:showHorzBorder val="1"/>
        <c:showVertBorder val="1"/>
        <c:showOutline val="1"/>
        <c:showKeys val="1"/>
        <c:spPr>
          <a:ln>
            <a:solidFill>
              <a:sysClr val="window" lastClr="FFFFFF">
                <a:lumMod val="85000"/>
              </a:sysClr>
            </a:solidFill>
          </a:ln>
        </c:spPr>
      </c:dTable>
    </c:plotArea>
    <c:plotVisOnly val="1"/>
    <c:dispBlanksAs val="gap"/>
    <c:showDLblsOverMax val="0"/>
  </c:chart>
  <c:spPr>
    <a:ln>
      <a:noFill/>
    </a:ln>
  </c:spPr>
  <c:txPr>
    <a:bodyPr/>
    <a:lstStyle/>
    <a:p>
      <a:pPr>
        <a:defRPr sz="800" baseline="0">
          <a:solidFill>
            <a:schemeClr val="bg2">
              <a:lumMod val="25000"/>
            </a:schemeClr>
          </a:solidFill>
        </a:defRPr>
      </a:pPr>
      <a:endParaRPr lang="sl-SI"/>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bar"/>
        <c:grouping val="clustered"/>
        <c:varyColors val="0"/>
        <c:ser>
          <c:idx val="0"/>
          <c:order val="0"/>
          <c:spPr>
            <a:solidFill>
              <a:srgbClr val="4F81BD"/>
            </a:solidFill>
            <a:ln w="25400">
              <a:noFill/>
            </a:ln>
          </c:spPr>
          <c:invertIfNegative val="0"/>
          <c:dLbls>
            <c:spPr>
              <a:noFill/>
              <a:ln w="25400">
                <a:noFill/>
              </a:ln>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Zbirnik!$C$35:$C$40</c:f>
              <c:strCache>
                <c:ptCount val="6"/>
                <c:pt idx="0">
                  <c:v>Zmanjšanje premosorazmerno z državnim (2016)</c:v>
                </c:pt>
                <c:pt idx="1">
                  <c:v>Povečanje premosorazmerno z državnim (2001, 2004, 2005, 2011, 2017)</c:v>
                </c:pt>
                <c:pt idx="2">
                  <c:v>Večje povečanje kot v državnem (1994, 1995, 2000, 2007, 2009, 2018)</c:v>
                </c:pt>
                <c:pt idx="3">
                  <c:v>Manjše povečanje kot v državnem (1993, 1996, 1997, 1998, 1999, 2000, 2002, 2003, 2006, 2008, 2014)</c:v>
                </c:pt>
                <c:pt idx="4">
                  <c:v>Večje zmanjšanje kot v državnem (2012)</c:v>
                </c:pt>
                <c:pt idx="5">
                  <c:v>Proračun MK se je zmanjšal, državni pa povečal  (2010, 2013, 2015)</c:v>
                </c:pt>
              </c:strCache>
            </c:strRef>
          </c:cat>
          <c:val>
            <c:numRef>
              <c:f>Zbirnik!$D$35:$D$40</c:f>
              <c:numCache>
                <c:formatCode>0\ "let"</c:formatCode>
                <c:ptCount val="6"/>
                <c:pt idx="0" formatCode="0\ &quot;leto&quot;">
                  <c:v>1</c:v>
                </c:pt>
                <c:pt idx="1">
                  <c:v>5</c:v>
                </c:pt>
                <c:pt idx="2">
                  <c:v>6</c:v>
                </c:pt>
                <c:pt idx="3">
                  <c:v>11</c:v>
                </c:pt>
                <c:pt idx="4" formatCode="0\ &quot;leto&quot;">
                  <c:v>1</c:v>
                </c:pt>
                <c:pt idx="5" formatCode="0\ &quot;leta&quot;">
                  <c:v>3</c:v>
                </c:pt>
              </c:numCache>
            </c:numRef>
          </c:val>
        </c:ser>
        <c:dLbls>
          <c:showLegendKey val="0"/>
          <c:showVal val="0"/>
          <c:showCatName val="0"/>
          <c:showSerName val="0"/>
          <c:showPercent val="0"/>
          <c:showBubbleSize val="0"/>
        </c:dLbls>
        <c:gapWidth val="182"/>
        <c:axId val="214142976"/>
        <c:axId val="214144512"/>
      </c:barChart>
      <c:catAx>
        <c:axId val="214142976"/>
        <c:scaling>
          <c:orientation val="minMax"/>
        </c:scaling>
        <c:delete val="0"/>
        <c:axPos val="l"/>
        <c:numFmt formatCode="General" sourceLinked="1"/>
        <c:majorTickMark val="none"/>
        <c:minorTickMark val="none"/>
        <c:tickLblPos val="nextTo"/>
        <c:spPr>
          <a:ln w="3175">
            <a:solidFill>
              <a:srgbClr val="C0C0C0"/>
            </a:solidFill>
            <a:prstDash val="solid"/>
          </a:ln>
        </c:spPr>
        <c:txPr>
          <a:bodyPr rot="0" vert="horz"/>
          <a:lstStyle/>
          <a:p>
            <a:pPr>
              <a:defRPr/>
            </a:pPr>
            <a:endParaRPr lang="sl-SI"/>
          </a:p>
        </c:txPr>
        <c:crossAx val="214144512"/>
        <c:crosses val="autoZero"/>
        <c:auto val="1"/>
        <c:lblAlgn val="ctr"/>
        <c:lblOffset val="100"/>
        <c:noMultiLvlLbl val="0"/>
      </c:catAx>
      <c:valAx>
        <c:axId val="214144512"/>
        <c:scaling>
          <c:orientation val="minMax"/>
        </c:scaling>
        <c:delete val="1"/>
        <c:axPos val="b"/>
        <c:majorGridlines>
          <c:spPr>
            <a:ln w="3175">
              <a:solidFill>
                <a:srgbClr val="C0C0C0"/>
              </a:solidFill>
              <a:prstDash val="solid"/>
            </a:ln>
          </c:spPr>
        </c:majorGridlines>
        <c:numFmt formatCode="0\ &quot;leto&quot;" sourceLinked="0"/>
        <c:majorTickMark val="none"/>
        <c:minorTickMark val="none"/>
        <c:tickLblPos val="nextTo"/>
        <c:crossAx val="214142976"/>
        <c:crosses val="autoZero"/>
        <c:crossBetween val="between"/>
      </c:valAx>
      <c:spPr>
        <a:noFill/>
        <a:ln w="25400">
          <a:noFill/>
        </a:ln>
      </c:spPr>
    </c:plotArea>
    <c:plotVisOnly val="1"/>
    <c:dispBlanksAs val="gap"/>
    <c:showDLblsOverMax val="0"/>
  </c:chart>
  <c:spPr>
    <a:solidFill>
      <a:srgbClr val="FFFFFF"/>
    </a:solidFill>
    <a:ln w="3175">
      <a:noFill/>
      <a:prstDash val="solid"/>
    </a:ln>
  </c:spPr>
  <c:txPr>
    <a:bodyPr/>
    <a:lstStyle/>
    <a:p>
      <a:pPr>
        <a:defRPr sz="800" b="0" i="0" u="none" strike="noStrike" baseline="0">
          <a:solidFill>
            <a:schemeClr val="bg2">
              <a:lumMod val="25000"/>
            </a:schemeClr>
          </a:solidFill>
          <a:latin typeface="Calibri"/>
          <a:ea typeface="Calibri"/>
          <a:cs typeface="Calibri"/>
        </a:defRPr>
      </a:pPr>
      <a:endParaRPr lang="sl-SI"/>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Sheet2!$A$3</c:f>
              <c:strCache>
                <c:ptCount val="1"/>
                <c:pt idx="0">
                  <c:v>1992</c:v>
                </c:pt>
              </c:strCache>
            </c:strRef>
          </c:tx>
          <c:spPr>
            <a:solidFill>
              <a:schemeClr val="accent1"/>
            </a:solidFill>
            <a:ln>
              <a:noFill/>
            </a:ln>
            <a:effectLst/>
          </c:spPr>
          <c:invertIfNegative val="0"/>
          <c:cat>
            <c:strRef>
              <c:f>Sheet2!$B$2:$T$2</c:f>
              <c:strCache>
                <c:ptCount val="19"/>
                <c:pt idx="0">
                  <c:v>Uprizoritvene umetnosti</c:v>
                </c:pt>
                <c:pt idx="1">
                  <c:v>Glasba</c:v>
                </c:pt>
                <c:pt idx="2">
                  <c:v>Vizualne umetnosti</c:v>
                </c:pt>
                <c:pt idx="3">
                  <c:v>Intermedijske umetnosti</c:v>
                </c:pt>
                <c:pt idx="4">
                  <c:v>Založništvo</c:v>
                </c:pt>
                <c:pt idx="5">
                  <c:v>Knjižničarstvo</c:v>
                </c:pt>
                <c:pt idx="6">
                  <c:v>Film</c:v>
                </c:pt>
                <c:pt idx="7">
                  <c:v>Mediji</c:v>
                </c:pt>
                <c:pt idx="8">
                  <c:v>Ljubiteljska kultura</c:v>
                </c:pt>
                <c:pt idx="9">
                  <c:v>Varstvo premične kult. ded.</c:v>
                </c:pt>
                <c:pt idx="10">
                  <c:v>Varstvo nepremične kult. ded.</c:v>
                </c:pt>
                <c:pt idx="11">
                  <c:v>Manjšinske skupnosti v RS</c:v>
                </c:pt>
                <c:pt idx="12">
                  <c:v>Slovenci zunaj RS</c:v>
                </c:pt>
                <c:pt idx="13">
                  <c:v>Mednarodno sodelovanje</c:v>
                </c:pt>
                <c:pt idx="14">
                  <c:v>Samozaposleni v kulturi</c:v>
                </c:pt>
                <c:pt idx="15">
                  <c:v>Štipendije</c:v>
                </c:pt>
                <c:pt idx="16">
                  <c:v>Investicije in inv. vzdrževanje</c:v>
                </c:pt>
                <c:pt idx="17">
                  <c:v>Ostalo</c:v>
                </c:pt>
                <c:pt idx="18">
                  <c:v>Upravni del MK</c:v>
                </c:pt>
              </c:strCache>
            </c:strRef>
          </c:cat>
          <c:val>
            <c:numRef>
              <c:f>Sheet2!$B$3:$T$3</c:f>
              <c:numCache>
                <c:formatCode>#,#00</c:formatCode>
                <c:ptCount val="19"/>
                <c:pt idx="0">
                  <c:v>16.5</c:v>
                </c:pt>
                <c:pt idx="1">
                  <c:v>21.2</c:v>
                </c:pt>
                <c:pt idx="2">
                  <c:v>4.5</c:v>
                </c:pt>
                <c:pt idx="3">
                  <c:v>0</c:v>
                </c:pt>
                <c:pt idx="4">
                  <c:v>3.7</c:v>
                </c:pt>
                <c:pt idx="5">
                  <c:v>3.3</c:v>
                </c:pt>
                <c:pt idx="6">
                  <c:v>2.2999999999999998</c:v>
                </c:pt>
                <c:pt idx="7">
                  <c:v>0</c:v>
                </c:pt>
                <c:pt idx="8">
                  <c:v>0.5</c:v>
                </c:pt>
                <c:pt idx="9">
                  <c:v>21.7</c:v>
                </c:pt>
                <c:pt idx="10">
                  <c:v>12.2</c:v>
                </c:pt>
                <c:pt idx="11">
                  <c:v>0.3</c:v>
                </c:pt>
                <c:pt idx="12">
                  <c:v>0.4</c:v>
                </c:pt>
                <c:pt idx="13">
                  <c:v>1.7</c:v>
                </c:pt>
                <c:pt idx="14">
                  <c:v>2.2999999999999998</c:v>
                </c:pt>
                <c:pt idx="15">
                  <c:v>0.6</c:v>
                </c:pt>
                <c:pt idx="16">
                  <c:v>6.7</c:v>
                </c:pt>
                <c:pt idx="17">
                  <c:v>0.8</c:v>
                </c:pt>
                <c:pt idx="18">
                  <c:v>1.1000000000000001</c:v>
                </c:pt>
              </c:numCache>
            </c:numRef>
          </c:val>
        </c:ser>
        <c:ser>
          <c:idx val="1"/>
          <c:order val="1"/>
          <c:tx>
            <c:strRef>
              <c:f>Sheet2!$A$4</c:f>
              <c:strCache>
                <c:ptCount val="1"/>
                <c:pt idx="0">
                  <c:v>2015</c:v>
                </c:pt>
              </c:strCache>
            </c:strRef>
          </c:tx>
          <c:spPr>
            <a:solidFill>
              <a:schemeClr val="accent2"/>
            </a:solidFill>
            <a:ln>
              <a:noFill/>
            </a:ln>
            <a:effectLst/>
          </c:spPr>
          <c:invertIfNegative val="0"/>
          <c:cat>
            <c:strRef>
              <c:f>Sheet2!$B$2:$T$2</c:f>
              <c:strCache>
                <c:ptCount val="19"/>
                <c:pt idx="0">
                  <c:v>Uprizoritvene umetnosti</c:v>
                </c:pt>
                <c:pt idx="1">
                  <c:v>Glasba</c:v>
                </c:pt>
                <c:pt idx="2">
                  <c:v>Vizualne umetnosti</c:v>
                </c:pt>
                <c:pt idx="3">
                  <c:v>Intermedijske umetnosti</c:v>
                </c:pt>
                <c:pt idx="4">
                  <c:v>Založništvo</c:v>
                </c:pt>
                <c:pt idx="5">
                  <c:v>Knjižničarstvo</c:v>
                </c:pt>
                <c:pt idx="6">
                  <c:v>Film</c:v>
                </c:pt>
                <c:pt idx="7">
                  <c:v>Mediji</c:v>
                </c:pt>
                <c:pt idx="8">
                  <c:v>Ljubiteljska kultura</c:v>
                </c:pt>
                <c:pt idx="9">
                  <c:v>Varstvo premične kult. ded.</c:v>
                </c:pt>
                <c:pt idx="10">
                  <c:v>Varstvo nepremične kult. ded.</c:v>
                </c:pt>
                <c:pt idx="11">
                  <c:v>Manjšinske skupnosti v RS</c:v>
                </c:pt>
                <c:pt idx="12">
                  <c:v>Slovenci zunaj RS</c:v>
                </c:pt>
                <c:pt idx="13">
                  <c:v>Mednarodno sodelovanje</c:v>
                </c:pt>
                <c:pt idx="14">
                  <c:v>Samozaposleni v kulturi</c:v>
                </c:pt>
                <c:pt idx="15">
                  <c:v>Štipendije</c:v>
                </c:pt>
                <c:pt idx="16">
                  <c:v>Investicije in inv. vzdrževanje</c:v>
                </c:pt>
                <c:pt idx="17">
                  <c:v>Ostalo</c:v>
                </c:pt>
                <c:pt idx="18">
                  <c:v>Upravni del MK</c:v>
                </c:pt>
              </c:strCache>
            </c:strRef>
          </c:cat>
          <c:val>
            <c:numRef>
              <c:f>Sheet2!$B$4:$T$4</c:f>
              <c:numCache>
                <c:formatCode>#,#00</c:formatCode>
                <c:ptCount val="19"/>
                <c:pt idx="0">
                  <c:v>15</c:v>
                </c:pt>
                <c:pt idx="1">
                  <c:v>16.399999999999999</c:v>
                </c:pt>
                <c:pt idx="2">
                  <c:v>4.5999999999999996</c:v>
                </c:pt>
                <c:pt idx="3">
                  <c:v>0.3</c:v>
                </c:pt>
                <c:pt idx="4">
                  <c:v>2.9</c:v>
                </c:pt>
                <c:pt idx="5">
                  <c:v>5.7</c:v>
                </c:pt>
                <c:pt idx="6">
                  <c:v>3.6</c:v>
                </c:pt>
                <c:pt idx="7">
                  <c:v>1.8</c:v>
                </c:pt>
                <c:pt idx="8">
                  <c:v>2.5</c:v>
                </c:pt>
                <c:pt idx="9">
                  <c:v>17</c:v>
                </c:pt>
                <c:pt idx="10">
                  <c:v>17.100000000000001</c:v>
                </c:pt>
                <c:pt idx="11">
                  <c:v>1.7</c:v>
                </c:pt>
                <c:pt idx="12">
                  <c:v>0</c:v>
                </c:pt>
                <c:pt idx="13">
                  <c:v>0.3</c:v>
                </c:pt>
                <c:pt idx="14">
                  <c:v>4.5999999999999996</c:v>
                </c:pt>
                <c:pt idx="15">
                  <c:v>0.4</c:v>
                </c:pt>
                <c:pt idx="16">
                  <c:v>0.8</c:v>
                </c:pt>
                <c:pt idx="17">
                  <c:v>1.7</c:v>
                </c:pt>
                <c:pt idx="18">
                  <c:v>3.8</c:v>
                </c:pt>
              </c:numCache>
            </c:numRef>
          </c:val>
        </c:ser>
        <c:dLbls>
          <c:showLegendKey val="0"/>
          <c:showVal val="0"/>
          <c:showCatName val="0"/>
          <c:showSerName val="0"/>
          <c:showPercent val="0"/>
          <c:showBubbleSize val="0"/>
        </c:dLbls>
        <c:gapWidth val="182"/>
        <c:axId val="215148032"/>
        <c:axId val="215149568"/>
      </c:barChart>
      <c:catAx>
        <c:axId val="215148032"/>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vert="horz"/>
          <a:lstStyle/>
          <a:p>
            <a:pPr>
              <a:defRPr/>
            </a:pPr>
            <a:endParaRPr lang="sl-SI"/>
          </a:p>
        </c:txPr>
        <c:crossAx val="215149568"/>
        <c:crosses val="autoZero"/>
        <c:auto val="1"/>
        <c:lblAlgn val="ctr"/>
        <c:lblOffset val="100"/>
        <c:noMultiLvlLbl val="0"/>
      </c:catAx>
      <c:valAx>
        <c:axId val="215149568"/>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vert="horz"/>
              <a:lstStyle/>
              <a:p>
                <a:pPr>
                  <a:defRPr/>
                </a:pPr>
                <a:r>
                  <a:rPr lang="en-US"/>
                  <a:t>%</a:t>
                </a:r>
              </a:p>
            </c:rich>
          </c:tx>
          <c:overlay val="0"/>
          <c:spPr>
            <a:noFill/>
            <a:ln>
              <a:noFill/>
            </a:ln>
            <a:effectLst/>
          </c:spPr>
        </c:title>
        <c:numFmt formatCode="#,#00" sourceLinked="1"/>
        <c:majorTickMark val="none"/>
        <c:minorTickMark val="none"/>
        <c:tickLblPos val="nextTo"/>
        <c:spPr>
          <a:noFill/>
          <a:ln>
            <a:noFill/>
          </a:ln>
          <a:effectLst/>
        </c:spPr>
        <c:txPr>
          <a:bodyPr rot="-60000000" vert="horz"/>
          <a:lstStyle/>
          <a:p>
            <a:pPr>
              <a:defRPr/>
            </a:pPr>
            <a:endParaRPr lang="sl-SI"/>
          </a:p>
        </c:txPr>
        <c:crossAx val="215148032"/>
        <c:crosses val="autoZero"/>
        <c:crossBetween val="between"/>
      </c:valAx>
      <c:spPr>
        <a:noFill/>
        <a:ln>
          <a:noFill/>
        </a:ln>
        <a:effectLst/>
      </c:spPr>
    </c:plotArea>
    <c:legend>
      <c:legendPos val="b"/>
      <c:overlay val="0"/>
      <c:spPr>
        <a:noFill/>
        <a:ln>
          <a:noFill/>
        </a:ln>
        <a:effectLst/>
      </c:spPr>
      <c:txPr>
        <a:bodyPr rot="0" vert="horz"/>
        <a:lstStyle/>
        <a:p>
          <a:pPr>
            <a:defRPr/>
          </a:pPr>
          <a:endParaRPr lang="sl-SI"/>
        </a:p>
      </c:txPr>
    </c:legend>
    <c:plotVisOnly val="1"/>
    <c:dispBlanksAs val="gap"/>
    <c:showDLblsOverMax val="0"/>
  </c:chart>
  <c:spPr>
    <a:solidFill>
      <a:schemeClr val="bg1"/>
    </a:solidFill>
    <a:ln w="9525" cap="flat" cmpd="sng" algn="ctr">
      <a:noFill/>
      <a:round/>
    </a:ln>
    <a:effectLst/>
  </c:spPr>
  <c:txPr>
    <a:bodyPr/>
    <a:lstStyle/>
    <a:p>
      <a:pPr>
        <a:defRPr sz="800" baseline="0">
          <a:solidFill>
            <a:schemeClr val="bg2">
              <a:lumMod val="25000"/>
            </a:schemeClr>
          </a:solidFill>
        </a:defRPr>
      </a:pPr>
      <a:endParaRPr lang="sl-SI"/>
    </a:p>
  </c:tx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Zbirna!$C$15</c:f>
              <c:strCache>
                <c:ptCount val="1"/>
                <c:pt idx="0">
                  <c:v>EUR</c:v>
                </c:pt>
              </c:strCache>
            </c:strRef>
          </c:tx>
          <c:invertIfNegative val="0"/>
          <c:cat>
            <c:strRef>
              <c:f>Zbirna!$A$16:$A$23</c:f>
              <c:strCache>
                <c:ptCount val="8"/>
                <c:pt idx="0">
                  <c:v>Javni zavodi</c:v>
                </c:pt>
                <c:pt idx="1">
                  <c:v>Javne agencije</c:v>
                </c:pt>
                <c:pt idx="2">
                  <c:v>Javni skladi</c:v>
                </c:pt>
                <c:pt idx="3">
                  <c:v>Neprofitne organizacije (1)</c:v>
                </c:pt>
                <c:pt idx="4">
                  <c:v>Profitne organizacije</c:v>
                </c:pt>
                <c:pt idx="5">
                  <c:v>Fizične osebe (2)</c:v>
                </c:pt>
                <c:pt idx="6">
                  <c:v>Investicijski odhodki in transferi (3)</c:v>
                </c:pt>
                <c:pt idx="7">
                  <c:v>Ostalo (delovanje MK in organov v sestavi)</c:v>
                </c:pt>
              </c:strCache>
            </c:strRef>
          </c:cat>
          <c:val>
            <c:numRef>
              <c:f>Zbirna!$C$16:$C$23</c:f>
              <c:numCache>
                <c:formatCode>#,##0</c:formatCode>
                <c:ptCount val="8"/>
                <c:pt idx="0">
                  <c:v>97739214</c:v>
                </c:pt>
                <c:pt idx="1">
                  <c:v>1230353</c:v>
                </c:pt>
                <c:pt idx="2">
                  <c:v>3416593</c:v>
                </c:pt>
                <c:pt idx="3">
                  <c:v>14309539</c:v>
                </c:pt>
                <c:pt idx="4">
                  <c:v>5768437</c:v>
                </c:pt>
                <c:pt idx="5">
                  <c:v>8093482</c:v>
                </c:pt>
                <c:pt idx="6">
                  <c:v>18956953</c:v>
                </c:pt>
                <c:pt idx="7">
                  <c:v>9925736</c:v>
                </c:pt>
              </c:numCache>
            </c:numRef>
          </c:val>
        </c:ser>
        <c:dLbls>
          <c:showLegendKey val="0"/>
          <c:showVal val="0"/>
          <c:showCatName val="0"/>
          <c:showSerName val="0"/>
          <c:showPercent val="0"/>
          <c:showBubbleSize val="0"/>
        </c:dLbls>
        <c:gapWidth val="150"/>
        <c:axId val="215145856"/>
        <c:axId val="215413888"/>
      </c:barChart>
      <c:catAx>
        <c:axId val="215145856"/>
        <c:scaling>
          <c:orientation val="minMax"/>
        </c:scaling>
        <c:delete val="0"/>
        <c:axPos val="b"/>
        <c:numFmt formatCode="General" sourceLinked="0"/>
        <c:majorTickMark val="none"/>
        <c:minorTickMark val="none"/>
        <c:tickLblPos val="nextTo"/>
        <c:crossAx val="215413888"/>
        <c:crosses val="autoZero"/>
        <c:auto val="1"/>
        <c:lblAlgn val="ctr"/>
        <c:lblOffset val="100"/>
        <c:noMultiLvlLbl val="0"/>
      </c:catAx>
      <c:valAx>
        <c:axId val="215413888"/>
        <c:scaling>
          <c:orientation val="minMax"/>
        </c:scaling>
        <c:delete val="0"/>
        <c:axPos val="l"/>
        <c:majorGridlines>
          <c:spPr>
            <a:ln>
              <a:solidFill>
                <a:sysClr val="window" lastClr="FFFFFF">
                  <a:lumMod val="85000"/>
                </a:sysClr>
              </a:solidFill>
            </a:ln>
          </c:spPr>
        </c:majorGridlines>
        <c:title>
          <c:tx>
            <c:rich>
              <a:bodyPr rot="-5400000" vert="horz"/>
              <a:lstStyle/>
              <a:p>
                <a:pPr>
                  <a:defRPr/>
                </a:pPr>
                <a:r>
                  <a:rPr lang="en-US"/>
                  <a:t>EUR</a:t>
                </a:r>
              </a:p>
            </c:rich>
          </c:tx>
          <c:overlay val="0"/>
        </c:title>
        <c:numFmt formatCode="#,##0" sourceLinked="1"/>
        <c:majorTickMark val="none"/>
        <c:minorTickMark val="none"/>
        <c:tickLblPos val="nextTo"/>
        <c:spPr>
          <a:ln>
            <a:noFill/>
          </a:ln>
        </c:spPr>
        <c:crossAx val="215145856"/>
        <c:crosses val="autoZero"/>
        <c:crossBetween val="between"/>
      </c:valAx>
      <c:dTable>
        <c:showHorzBorder val="1"/>
        <c:showVertBorder val="1"/>
        <c:showOutline val="1"/>
        <c:showKeys val="1"/>
        <c:spPr>
          <a:ln>
            <a:solidFill>
              <a:sysClr val="window" lastClr="FFFFFF">
                <a:lumMod val="85000"/>
              </a:sysClr>
            </a:solidFill>
          </a:ln>
        </c:spPr>
      </c:dTable>
    </c:plotArea>
    <c:plotVisOnly val="1"/>
    <c:dispBlanksAs val="gap"/>
    <c:showDLblsOverMax val="0"/>
  </c:chart>
  <c:spPr>
    <a:ln>
      <a:noFill/>
    </a:ln>
  </c:spPr>
  <c:txPr>
    <a:bodyPr/>
    <a:lstStyle/>
    <a:p>
      <a:pPr>
        <a:defRPr sz="800" baseline="0">
          <a:solidFill>
            <a:schemeClr val="bg2">
              <a:lumMod val="25000"/>
            </a:schemeClr>
          </a:solidFill>
        </a:defRPr>
      </a:pPr>
      <a:endParaRPr lang="sl-SI"/>
    </a:p>
  </c:txPr>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Izhodisce!$B$35</c:f>
              <c:strCache>
                <c:ptCount val="1"/>
                <c:pt idx="0">
                  <c:v>Knjige in brošure</c:v>
                </c:pt>
              </c:strCache>
            </c:strRef>
          </c:tx>
          <c:spPr>
            <a:ln w="19050" cap="rnd">
              <a:solidFill>
                <a:schemeClr val="accent1"/>
              </a:solidFill>
              <a:round/>
            </a:ln>
            <a:effectLst/>
          </c:spPr>
          <c:marker>
            <c:symbol val="circle"/>
            <c:size val="5"/>
            <c:spPr>
              <a:solidFill>
                <a:schemeClr val="accent1"/>
              </a:solidFill>
              <a:ln>
                <a:solidFill>
                  <a:schemeClr val="accent1">
                    <a:lumMod val="75000"/>
                  </a:schemeClr>
                </a:solidFill>
              </a:ln>
              <a:effectLst/>
            </c:spPr>
          </c:marker>
          <c:dLbls>
            <c:dLbl>
              <c:idx val="6"/>
              <c:layout>
                <c:manualLayout>
                  <c:x val="-6.2941754141767195E-17"/>
                  <c:y val="1.8403836692758101E-2"/>
                </c:manualLayout>
              </c:layout>
              <c:showLegendKey val="0"/>
              <c:showVal val="1"/>
              <c:showCatName val="0"/>
              <c:showSerName val="0"/>
              <c:showPercent val="0"/>
              <c:showBubbleSize val="0"/>
              <c:extLst>
                <c:ext xmlns:c15="http://schemas.microsoft.com/office/drawing/2012/chart" uri="{CE6537A1-D6FC-4f65-9D91-7224C49458BB}"/>
              </c:extLst>
            </c:dLbl>
            <c:dLbl>
              <c:idx val="7"/>
              <c:layout>
                <c:manualLayout>
                  <c:x val="0"/>
                  <c:y val="3.2206714212326598E-2"/>
                </c:manualLayout>
              </c:layout>
              <c:showLegendKey val="0"/>
              <c:showVal val="1"/>
              <c:showCatName val="0"/>
              <c:showSerName val="0"/>
              <c:showPercent val="0"/>
              <c:showBubbleSize val="0"/>
              <c:extLst>
                <c:ext xmlns:c15="http://schemas.microsoft.com/office/drawing/2012/chart" uri="{CE6537A1-D6FC-4f65-9D91-7224C49458BB}"/>
              </c:extLst>
            </c:dLbl>
            <c:dLbl>
              <c:idx val="8"/>
              <c:layout>
                <c:manualLayout>
                  <c:x val="-5.1498393750230602E-3"/>
                  <c:y val="-5.0610550905084803E-2"/>
                </c:manualLayout>
              </c:layout>
              <c:showLegendKey val="0"/>
              <c:showVal val="1"/>
              <c:showCatName val="0"/>
              <c:showSerName val="0"/>
              <c:showPercent val="0"/>
              <c:showBubbleSize val="0"/>
              <c:extLst>
                <c:ext xmlns:c15="http://schemas.microsoft.com/office/drawing/2012/chart" uri="{CE6537A1-D6FC-4f65-9D91-7224C49458BB}"/>
              </c:extLst>
            </c:dLbl>
            <c:dLbl>
              <c:idx val="9"/>
              <c:layout>
                <c:manualLayout>
                  <c:x val="-1.71661312500769E-3"/>
                  <c:y val="3.6807673385516201E-2"/>
                </c:manualLayout>
              </c:layout>
              <c:showLegendKey val="0"/>
              <c:showVal val="1"/>
              <c:showCatName val="0"/>
              <c:showSerName val="0"/>
              <c:showPercent val="0"/>
              <c:showBubbleSize val="0"/>
              <c:extLst>
                <c:ext xmlns:c15="http://schemas.microsoft.com/office/drawing/2012/chart" uri="{CE6537A1-D6FC-4f65-9D91-7224C49458BB}"/>
              </c:extLst>
            </c:dLbl>
            <c:dLbl>
              <c:idx val="10"/>
              <c:layout>
                <c:manualLayout>
                  <c:x val="-6.8664525000307498E-3"/>
                  <c:y val="-5.5211510078274302E-2"/>
                </c:manualLayout>
              </c:layout>
              <c:showLegendKey val="0"/>
              <c:showVal val="1"/>
              <c:showCatName val="0"/>
              <c:showSerName val="0"/>
              <c:showPercent val="0"/>
              <c:showBubbleSize val="0"/>
              <c:extLst>
                <c:ext xmlns:c15="http://schemas.microsoft.com/office/drawing/2012/chart" uri="{CE6537A1-D6FC-4f65-9D91-7224C49458BB}"/>
              </c:extLst>
            </c:dLbl>
            <c:dLbl>
              <c:idx val="11"/>
              <c:layout>
                <c:manualLayout>
                  <c:x val="-3.4332262500153701E-3"/>
                  <c:y val="-4.1408632558705701E-2"/>
                </c:manualLayout>
              </c:layout>
              <c:showLegendKey val="0"/>
              <c:showVal val="1"/>
              <c:showCatName val="0"/>
              <c:showSerName val="0"/>
              <c:showPercent val="0"/>
              <c:showBubbleSize val="0"/>
              <c:extLst>
                <c:ext xmlns:c15="http://schemas.microsoft.com/office/drawing/2012/chart" uri="{CE6537A1-D6FC-4f65-9D91-7224C49458BB}"/>
              </c:extLst>
            </c:dLbl>
            <c:dLbl>
              <c:idx val="12"/>
              <c:layout>
                <c:manualLayout>
                  <c:x val="-1.2588350828353399E-16"/>
                  <c:y val="-2.76057550391372E-2"/>
                </c:manualLayout>
              </c:layout>
              <c:showLegendKey val="0"/>
              <c:showVal val="1"/>
              <c:showCatName val="0"/>
              <c:showSerName val="0"/>
              <c:showPercent val="0"/>
              <c:showBubbleSize val="0"/>
              <c:extLst>
                <c:ext xmlns:c15="http://schemas.microsoft.com/office/drawing/2012/chart" uri="{CE6537A1-D6FC-4f65-9D91-7224C49458BB}"/>
              </c:extLst>
            </c:dLbl>
            <c:dLbl>
              <c:idx val="13"/>
              <c:layout>
                <c:manualLayout>
                  <c:x val="-3.4332262500153701E-3"/>
                  <c:y val="-4.60095917318952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vert="horz"/>
              <a:lstStyle/>
              <a:p>
                <a:pPr>
                  <a:defRPr/>
                </a:pPr>
                <a:endParaRPr lang="sl-SI"/>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Izhodisce!$A$36:$A$50</c:f>
              <c:numCache>
                <c:formatCode>General</c:formatCode>
                <c:ptCount val="15"/>
                <c:pt idx="0">
                  <c:v>1992</c:v>
                </c:pt>
                <c:pt idx="2">
                  <c:v>1997</c:v>
                </c:pt>
                <c:pt idx="4">
                  <c:v>2002</c:v>
                </c:pt>
                <c:pt idx="6">
                  <c:v>2007</c:v>
                </c:pt>
                <c:pt idx="7">
                  <c:v>2008</c:v>
                </c:pt>
                <c:pt idx="8">
                  <c:v>2009</c:v>
                </c:pt>
                <c:pt idx="9">
                  <c:v>2010</c:v>
                </c:pt>
                <c:pt idx="10">
                  <c:v>2011</c:v>
                </c:pt>
                <c:pt idx="11">
                  <c:v>2012</c:v>
                </c:pt>
                <c:pt idx="12">
                  <c:v>2013</c:v>
                </c:pt>
                <c:pt idx="13">
                  <c:v>2014</c:v>
                </c:pt>
                <c:pt idx="14">
                  <c:v>2015</c:v>
                </c:pt>
              </c:numCache>
            </c:numRef>
          </c:cat>
          <c:val>
            <c:numRef>
              <c:f>Izhodisce!$B$36:$B$50</c:f>
              <c:numCache>
                <c:formatCode>General</c:formatCode>
                <c:ptCount val="15"/>
                <c:pt idx="0" formatCode="#,##0">
                  <c:v>2245</c:v>
                </c:pt>
                <c:pt idx="2" formatCode="#,##0">
                  <c:v>4164</c:v>
                </c:pt>
                <c:pt idx="4" formatCode="#,##0">
                  <c:v>4613</c:v>
                </c:pt>
                <c:pt idx="6" formatCode="#,##0">
                  <c:v>5129</c:v>
                </c:pt>
                <c:pt idx="7" formatCode="#,##0">
                  <c:v>6358</c:v>
                </c:pt>
                <c:pt idx="8" formatCode="#,##0">
                  <c:v>6953</c:v>
                </c:pt>
                <c:pt idx="9" formatCode="#,##0">
                  <c:v>6443</c:v>
                </c:pt>
                <c:pt idx="10" formatCode="#,##0">
                  <c:v>6803</c:v>
                </c:pt>
                <c:pt idx="11" formatCode="#,##0">
                  <c:v>6381</c:v>
                </c:pt>
                <c:pt idx="12" formatCode="#,##0">
                  <c:v>5957</c:v>
                </c:pt>
                <c:pt idx="13" formatCode="#,##0">
                  <c:v>5554</c:v>
                </c:pt>
                <c:pt idx="14" formatCode="#,##0">
                  <c:v>5411</c:v>
                </c:pt>
              </c:numCache>
            </c:numRef>
          </c:val>
          <c:smooth val="0"/>
        </c:ser>
        <c:ser>
          <c:idx val="1"/>
          <c:order val="1"/>
          <c:tx>
            <c:strRef>
              <c:f>Izhodisce!$C$35</c:f>
              <c:strCache>
                <c:ptCount val="1"/>
                <c:pt idx="0">
                  <c:v>Serijske publikacije</c:v>
                </c:pt>
              </c:strCache>
            </c:strRef>
          </c:tx>
          <c:spPr>
            <a:ln w="19050" cap="rnd">
              <a:solidFill>
                <a:schemeClr val="accent1"/>
              </a:solidFill>
              <a:round/>
            </a:ln>
            <a:effectLst/>
          </c:spPr>
          <c:marker>
            <c:symbol val="square"/>
            <c:size val="5"/>
            <c:spPr>
              <a:solidFill>
                <a:schemeClr val="accent1"/>
              </a:solidFill>
              <a:ln>
                <a:solidFill>
                  <a:schemeClr val="accent1"/>
                </a:solidFill>
              </a:ln>
              <a:effectLst/>
            </c:spPr>
          </c:marker>
          <c:dLbls>
            <c:dLbl>
              <c:idx val="6"/>
              <c:layout>
                <c:manualLayout>
                  <c:x val="-2.0599357500092199E-2"/>
                  <c:y val="-5.9812469251463898E-2"/>
                </c:manualLayout>
              </c:layout>
              <c:showLegendKey val="0"/>
              <c:showVal val="1"/>
              <c:showCatName val="0"/>
              <c:showSerName val="0"/>
              <c:showPercent val="0"/>
              <c:showBubbleSize val="0"/>
              <c:extLst>
                <c:ext xmlns:c15="http://schemas.microsoft.com/office/drawing/2012/chart" uri="{CE6537A1-D6FC-4f65-9D91-7224C49458BB}"/>
              </c:extLst>
            </c:dLbl>
            <c:dLbl>
              <c:idx val="7"/>
              <c:layout>
                <c:manualLayout>
                  <c:x val="-3.0145239562805501E-2"/>
                  <c:y val="6.5609494465365695E-2"/>
                </c:manualLayout>
              </c:layout>
              <c:showLegendKey val="0"/>
              <c:showVal val="1"/>
              <c:showCatName val="0"/>
              <c:showSerName val="0"/>
              <c:showPercent val="0"/>
              <c:showBubbleSize val="0"/>
              <c:extLst>
                <c:ext xmlns:c15="http://schemas.microsoft.com/office/drawing/2012/chart" uri="{CE6537A1-D6FC-4f65-9D91-7224C49458BB}"/>
              </c:extLst>
            </c:dLbl>
            <c:dLbl>
              <c:idx val="8"/>
              <c:layout>
                <c:manualLayout>
                  <c:x val="-2.9182423125130599E-2"/>
                  <c:y val="-5.0610550905084699E-2"/>
                </c:manualLayout>
              </c:layout>
              <c:showLegendKey val="0"/>
              <c:showVal val="1"/>
              <c:showCatName val="0"/>
              <c:showSerName val="0"/>
              <c:showPercent val="0"/>
              <c:showBubbleSize val="0"/>
              <c:extLst>
                <c:ext xmlns:c15="http://schemas.microsoft.com/office/drawing/2012/chart" uri="{CE6537A1-D6FC-4f65-9D91-7224C49458BB}"/>
              </c:extLst>
            </c:dLbl>
            <c:dLbl>
              <c:idx val="9"/>
              <c:layout>
                <c:manualLayout>
                  <c:x val="-2.23159706250999E-2"/>
                  <c:y val="-6.4413428424653404E-2"/>
                </c:manualLayout>
              </c:layout>
              <c:showLegendKey val="0"/>
              <c:showVal val="1"/>
              <c:showCatName val="0"/>
              <c:showSerName val="0"/>
              <c:showPercent val="0"/>
              <c:showBubbleSize val="0"/>
              <c:extLst>
                <c:ext xmlns:c15="http://schemas.microsoft.com/office/drawing/2012/chart" uri="{CE6537A1-D6FC-4f65-9D91-7224C49458BB}"/>
              </c:extLst>
            </c:dLbl>
            <c:dLbl>
              <c:idx val="10"/>
              <c:layout>
                <c:manualLayout>
                  <c:x val="0"/>
                  <c:y val="-5.0610550905084699E-2"/>
                </c:manualLayout>
              </c:layout>
              <c:showLegendKey val="0"/>
              <c:showVal val="1"/>
              <c:showCatName val="0"/>
              <c:showSerName val="0"/>
              <c:showPercent val="0"/>
              <c:showBubbleSize val="0"/>
              <c:extLst>
                <c:ext xmlns:c15="http://schemas.microsoft.com/office/drawing/2012/chart" uri="{CE6537A1-D6FC-4f65-9D91-7224C49458BB}"/>
              </c:extLst>
            </c:dLbl>
            <c:dLbl>
              <c:idx val="11"/>
              <c:layout>
                <c:manualLayout>
                  <c:x val="-3.5496709597079297E-2"/>
                  <c:y val="5.98122420375789E-2"/>
                </c:manualLayout>
              </c:layout>
              <c:showLegendKey val="0"/>
              <c:showVal val="1"/>
              <c:showCatName val="0"/>
              <c:showSerName val="0"/>
              <c:showPercent val="0"/>
              <c:showBubbleSize val="0"/>
              <c:extLst>
                <c:ext xmlns:c15="http://schemas.microsoft.com/office/drawing/2012/chart" uri="{CE6537A1-D6FC-4f65-9D91-7224C49458BB}"/>
              </c:extLst>
            </c:dLbl>
            <c:dLbl>
              <c:idx val="12"/>
              <c:layout>
                <c:manualLayout>
                  <c:x val="-3.8670493056676698E-2"/>
                  <c:y val="5.98122420375789E-2"/>
                </c:manualLayout>
              </c:layout>
              <c:showLegendKey val="0"/>
              <c:showVal val="1"/>
              <c:showCatName val="0"/>
              <c:showSerName val="0"/>
              <c:showPercent val="0"/>
              <c:showBubbleSize val="0"/>
              <c:extLst>
                <c:ext xmlns:c15="http://schemas.microsoft.com/office/drawing/2012/chart" uri="{CE6537A1-D6FC-4f65-9D91-7224C49458BB}"/>
              </c:extLst>
            </c:dLbl>
            <c:dLbl>
              <c:idx val="13"/>
              <c:layout>
                <c:manualLayout>
                  <c:x val="-3.6468162713714898E-2"/>
                  <c:y val="6.0990848733339098E-2"/>
                </c:manualLayout>
              </c:layout>
              <c:showLegendKey val="0"/>
              <c:showVal val="1"/>
              <c:showCatName val="0"/>
              <c:showSerName val="0"/>
              <c:showPercent val="0"/>
              <c:showBubbleSize val="0"/>
              <c:extLst>
                <c:ext xmlns:c15="http://schemas.microsoft.com/office/drawing/2012/chart" uri="{CE6537A1-D6FC-4f65-9D91-7224C49458BB}"/>
              </c:extLst>
            </c:dLbl>
            <c:dLbl>
              <c:idx val="14"/>
              <c:layout>
                <c:manualLayout>
                  <c:x val="-8.5830656250385599E-3"/>
                  <c:y val="5.9812469251463697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vert="horz"/>
              <a:lstStyle/>
              <a:p>
                <a:pPr>
                  <a:defRPr/>
                </a:pPr>
                <a:endParaRPr lang="sl-SI"/>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Izhodisce!$A$36:$A$50</c:f>
              <c:numCache>
                <c:formatCode>General</c:formatCode>
                <c:ptCount val="15"/>
                <c:pt idx="0">
                  <c:v>1992</c:v>
                </c:pt>
                <c:pt idx="2">
                  <c:v>1997</c:v>
                </c:pt>
                <c:pt idx="4">
                  <c:v>2002</c:v>
                </c:pt>
                <c:pt idx="6">
                  <c:v>2007</c:v>
                </c:pt>
                <c:pt idx="7">
                  <c:v>2008</c:v>
                </c:pt>
                <c:pt idx="8">
                  <c:v>2009</c:v>
                </c:pt>
                <c:pt idx="9">
                  <c:v>2010</c:v>
                </c:pt>
                <c:pt idx="10">
                  <c:v>2011</c:v>
                </c:pt>
                <c:pt idx="11">
                  <c:v>2012</c:v>
                </c:pt>
                <c:pt idx="12">
                  <c:v>2013</c:v>
                </c:pt>
                <c:pt idx="13">
                  <c:v>2014</c:v>
                </c:pt>
                <c:pt idx="14">
                  <c:v>2015</c:v>
                </c:pt>
              </c:numCache>
            </c:numRef>
          </c:cat>
          <c:val>
            <c:numRef>
              <c:f>Izhodisce!$C$36:$C$50</c:f>
              <c:numCache>
                <c:formatCode>General</c:formatCode>
                <c:ptCount val="15"/>
                <c:pt idx="0" formatCode="#,##0">
                  <c:v>1375</c:v>
                </c:pt>
                <c:pt idx="2" formatCode="#,##0">
                  <c:v>1657</c:v>
                </c:pt>
                <c:pt idx="4" formatCode="#,##0">
                  <c:v>1907</c:v>
                </c:pt>
                <c:pt idx="6" formatCode="#,##0">
                  <c:v>1623</c:v>
                </c:pt>
                <c:pt idx="7" formatCode="#,##0">
                  <c:v>1554</c:v>
                </c:pt>
                <c:pt idx="8" formatCode="#,##0">
                  <c:v>1693</c:v>
                </c:pt>
                <c:pt idx="9" formatCode="#,##0">
                  <c:v>1785</c:v>
                </c:pt>
                <c:pt idx="10" formatCode="#,##0">
                  <c:v>1965</c:v>
                </c:pt>
                <c:pt idx="11" formatCode="#,##0">
                  <c:v>1906</c:v>
                </c:pt>
                <c:pt idx="12" formatCode="#,##0">
                  <c:v>1901</c:v>
                </c:pt>
                <c:pt idx="13" formatCode="#,##0">
                  <c:v>1838</c:v>
                </c:pt>
                <c:pt idx="14" formatCode="#,##0">
                  <c:v>1824</c:v>
                </c:pt>
              </c:numCache>
            </c:numRef>
          </c:val>
          <c:smooth val="0"/>
        </c:ser>
        <c:dLbls>
          <c:showLegendKey val="0"/>
          <c:showVal val="0"/>
          <c:showCatName val="0"/>
          <c:showSerName val="0"/>
          <c:showPercent val="0"/>
          <c:showBubbleSize val="0"/>
        </c:dLbls>
        <c:marker val="1"/>
        <c:smooth val="0"/>
        <c:axId val="219242496"/>
        <c:axId val="219244032"/>
      </c:lineChart>
      <c:catAx>
        <c:axId val="219242496"/>
        <c:scaling>
          <c:orientation val="minMax"/>
        </c:scaling>
        <c:delete val="0"/>
        <c:axPos val="b"/>
        <c:numFmt formatCode="General" sourceLinked="1"/>
        <c:majorTickMark val="out"/>
        <c:minorTickMark val="none"/>
        <c:tickLblPos val="nextTo"/>
        <c:spPr>
          <a:noFill/>
          <a:ln w="9525">
            <a:solidFill>
              <a:schemeClr val="tx1">
                <a:lumMod val="5000"/>
                <a:lumOff val="95000"/>
              </a:schemeClr>
            </a:solidFill>
          </a:ln>
          <a:effectLst/>
        </c:spPr>
        <c:txPr>
          <a:bodyPr rot="-60000000" vert="horz"/>
          <a:lstStyle/>
          <a:p>
            <a:pPr>
              <a:defRPr/>
            </a:pPr>
            <a:endParaRPr lang="sl-SI"/>
          </a:p>
        </c:txPr>
        <c:crossAx val="219244032"/>
        <c:crosses val="autoZero"/>
        <c:auto val="1"/>
        <c:lblAlgn val="ctr"/>
        <c:lblOffset val="100"/>
        <c:noMultiLvlLbl val="0"/>
      </c:catAx>
      <c:valAx>
        <c:axId val="219244032"/>
        <c:scaling>
          <c:orientation val="minMax"/>
        </c:scaling>
        <c:delete val="0"/>
        <c:axPos val="l"/>
        <c:majorGridlines>
          <c:spPr>
            <a:ln w="9525" cap="flat" cmpd="sng" algn="ctr">
              <a:solidFill>
                <a:schemeClr val="tx1">
                  <a:lumMod val="5000"/>
                  <a:lumOff val="95000"/>
                </a:schemeClr>
              </a:solidFill>
              <a:round/>
            </a:ln>
            <a:effectLst/>
          </c:spPr>
        </c:majorGridlines>
        <c:title>
          <c:tx>
            <c:rich>
              <a:bodyPr rot="-5400000" vert="horz"/>
              <a:lstStyle/>
              <a:p>
                <a:pPr>
                  <a:defRPr/>
                </a:pPr>
                <a:r>
                  <a:rPr lang="sl-SI"/>
                  <a:t>Število</a:t>
                </a:r>
              </a:p>
            </c:rich>
          </c:tx>
          <c:layout>
            <c:manualLayout>
              <c:xMode val="edge"/>
              <c:yMode val="edge"/>
              <c:x val="1.7642644076673299E-2"/>
              <c:y val="0.32562188771266098"/>
            </c:manualLayout>
          </c:layout>
          <c:overlay val="0"/>
        </c:title>
        <c:numFmt formatCode="#,##0" sourceLinked="1"/>
        <c:majorTickMark val="out"/>
        <c:minorTickMark val="none"/>
        <c:tickLblPos val="nextTo"/>
        <c:spPr>
          <a:noFill/>
          <a:ln w="9525">
            <a:solidFill>
              <a:schemeClr val="tx1">
                <a:lumMod val="5000"/>
                <a:lumOff val="95000"/>
              </a:schemeClr>
            </a:solidFill>
          </a:ln>
          <a:effectLst/>
        </c:spPr>
        <c:txPr>
          <a:bodyPr rot="-60000000" vert="horz"/>
          <a:lstStyle/>
          <a:p>
            <a:pPr>
              <a:defRPr/>
            </a:pPr>
            <a:endParaRPr lang="sl-SI"/>
          </a:p>
        </c:txPr>
        <c:crossAx val="219242496"/>
        <c:crosses val="autoZero"/>
        <c:crossBetween val="between"/>
      </c:valAx>
      <c:spPr>
        <a:noFill/>
        <a:ln>
          <a:noFill/>
        </a:ln>
        <a:effectLst/>
      </c:spPr>
    </c:plotArea>
    <c:legend>
      <c:legendPos val="b"/>
      <c:overlay val="0"/>
      <c:spPr>
        <a:noFill/>
        <a:ln>
          <a:noFill/>
        </a:ln>
        <a:effectLst/>
      </c:spPr>
      <c:txPr>
        <a:bodyPr rot="0" vert="horz"/>
        <a:lstStyle/>
        <a:p>
          <a:pPr>
            <a:defRPr/>
          </a:pPr>
          <a:endParaRPr lang="sl-SI"/>
        </a:p>
      </c:txPr>
    </c:legend>
    <c:plotVisOnly val="1"/>
    <c:dispBlanksAs val="gap"/>
    <c:showDLblsOverMax val="0"/>
  </c:chart>
  <c:spPr>
    <a:solidFill>
      <a:schemeClr val="bg1"/>
    </a:solidFill>
    <a:ln w="9525" cap="flat" cmpd="sng" algn="ctr">
      <a:noFill/>
      <a:round/>
    </a:ln>
    <a:effectLst/>
  </c:spPr>
  <c:txPr>
    <a:bodyPr/>
    <a:lstStyle/>
    <a:p>
      <a:pPr>
        <a:defRPr sz="800" baseline="0">
          <a:solidFill>
            <a:schemeClr val="bg2">
              <a:lumMod val="25000"/>
            </a:schemeClr>
          </a:solidFill>
        </a:defRPr>
      </a:pPr>
      <a:endParaRPr lang="sl-SI"/>
    </a:p>
  </c:txPr>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'[Grafikon v programu Microsoft Word]Knjiga'!$B$42</c:f>
              <c:strCache>
                <c:ptCount val="1"/>
                <c:pt idx="0">
                  <c:v>Število založnikov </c:v>
                </c:pt>
              </c:strCache>
            </c:strRef>
          </c:tx>
          <c:spPr>
            <a:ln w="19050">
              <a:solidFill>
                <a:schemeClr val="accent1"/>
              </a:solidFill>
            </a:ln>
          </c:spPr>
          <c:marker>
            <c:symbol val="circle"/>
            <c:size val="5"/>
            <c:spPr>
              <a:solidFill>
                <a:schemeClr val="accent1"/>
              </a:solidFill>
              <a:ln>
                <a:solidFill>
                  <a:schemeClr val="accent1"/>
                </a:solidFill>
              </a:ln>
            </c:spPr>
          </c:marker>
          <c:cat>
            <c:strRef>
              <c:f>'[Grafikon v programu Microsoft Word]Knjiga'!$A$43:$A$49</c:f>
              <c:strCache>
                <c:ptCount val="7"/>
                <c:pt idx="0">
                  <c:v>2009</c:v>
                </c:pt>
                <c:pt idx="1">
                  <c:v>2010</c:v>
                </c:pt>
                <c:pt idx="2">
                  <c:v>2011</c:v>
                </c:pt>
                <c:pt idx="3">
                  <c:v>2012</c:v>
                </c:pt>
                <c:pt idx="4">
                  <c:v>2013</c:v>
                </c:pt>
                <c:pt idx="5">
                  <c:v>2014</c:v>
                </c:pt>
                <c:pt idx="6">
                  <c:v>2015</c:v>
                </c:pt>
              </c:strCache>
            </c:strRef>
          </c:cat>
          <c:val>
            <c:numRef>
              <c:f>'[Grafikon v programu Microsoft Word]Knjiga'!$B$43:$B$49</c:f>
              <c:numCache>
                <c:formatCode>0</c:formatCode>
                <c:ptCount val="7"/>
                <c:pt idx="0">
                  <c:v>1755</c:v>
                </c:pt>
                <c:pt idx="1">
                  <c:v>1581</c:v>
                </c:pt>
                <c:pt idx="2">
                  <c:v>1470</c:v>
                </c:pt>
                <c:pt idx="3">
                  <c:v>1757</c:v>
                </c:pt>
                <c:pt idx="4">
                  <c:v>1395</c:v>
                </c:pt>
                <c:pt idx="5">
                  <c:v>1476</c:v>
                </c:pt>
                <c:pt idx="6">
                  <c:v>1394</c:v>
                </c:pt>
              </c:numCache>
            </c:numRef>
          </c:val>
          <c:smooth val="0"/>
        </c:ser>
        <c:ser>
          <c:idx val="1"/>
          <c:order val="1"/>
          <c:tx>
            <c:strRef>
              <c:f>'[Grafikon v programu Microsoft Word]Knjiga'!$C$42</c:f>
              <c:strCache>
                <c:ptCount val="1"/>
                <c:pt idx="0">
                  <c:v>Od tega samozaložnikov</c:v>
                </c:pt>
              </c:strCache>
            </c:strRef>
          </c:tx>
          <c:spPr>
            <a:ln w="19050">
              <a:solidFill>
                <a:schemeClr val="accent1"/>
              </a:solidFill>
            </a:ln>
          </c:spPr>
          <c:marker>
            <c:symbol val="square"/>
            <c:size val="5"/>
            <c:spPr>
              <a:solidFill>
                <a:schemeClr val="accent1"/>
              </a:solidFill>
              <a:ln>
                <a:solidFill>
                  <a:schemeClr val="accent1"/>
                </a:solidFill>
              </a:ln>
            </c:spPr>
          </c:marker>
          <c:cat>
            <c:strRef>
              <c:f>'[Grafikon v programu Microsoft Word]Knjiga'!$A$43:$A$49</c:f>
              <c:strCache>
                <c:ptCount val="7"/>
                <c:pt idx="0">
                  <c:v>2009</c:v>
                </c:pt>
                <c:pt idx="1">
                  <c:v>2010</c:v>
                </c:pt>
                <c:pt idx="2">
                  <c:v>2011</c:v>
                </c:pt>
                <c:pt idx="3">
                  <c:v>2012</c:v>
                </c:pt>
                <c:pt idx="4">
                  <c:v>2013</c:v>
                </c:pt>
                <c:pt idx="5">
                  <c:v>2014</c:v>
                </c:pt>
                <c:pt idx="6">
                  <c:v>2015</c:v>
                </c:pt>
              </c:strCache>
            </c:strRef>
          </c:cat>
          <c:val>
            <c:numRef>
              <c:f>'[Grafikon v programu Microsoft Word]Knjiga'!$C$43:$C$49</c:f>
              <c:numCache>
                <c:formatCode>0</c:formatCode>
                <c:ptCount val="7"/>
                <c:pt idx="0">
                  <c:v>309</c:v>
                </c:pt>
                <c:pt idx="1">
                  <c:v>270</c:v>
                </c:pt>
                <c:pt idx="2">
                  <c:v>237</c:v>
                </c:pt>
                <c:pt idx="3">
                  <c:v>253</c:v>
                </c:pt>
                <c:pt idx="4">
                  <c:v>187</c:v>
                </c:pt>
                <c:pt idx="5">
                  <c:v>233</c:v>
                </c:pt>
                <c:pt idx="6">
                  <c:v>259</c:v>
                </c:pt>
              </c:numCache>
            </c:numRef>
          </c:val>
          <c:smooth val="0"/>
        </c:ser>
        <c:dLbls>
          <c:showLegendKey val="0"/>
          <c:showVal val="0"/>
          <c:showCatName val="0"/>
          <c:showSerName val="0"/>
          <c:showPercent val="0"/>
          <c:showBubbleSize val="0"/>
        </c:dLbls>
        <c:marker val="1"/>
        <c:smooth val="0"/>
        <c:axId val="219142016"/>
        <c:axId val="222461952"/>
      </c:lineChart>
      <c:catAx>
        <c:axId val="219142016"/>
        <c:scaling>
          <c:orientation val="minMax"/>
        </c:scaling>
        <c:delete val="0"/>
        <c:axPos val="b"/>
        <c:numFmt formatCode="General" sourceLinked="0"/>
        <c:majorTickMark val="out"/>
        <c:minorTickMark val="none"/>
        <c:tickLblPos val="nextTo"/>
        <c:crossAx val="222461952"/>
        <c:crosses val="autoZero"/>
        <c:auto val="1"/>
        <c:lblAlgn val="ctr"/>
        <c:lblOffset val="100"/>
        <c:noMultiLvlLbl val="0"/>
      </c:catAx>
      <c:valAx>
        <c:axId val="222461952"/>
        <c:scaling>
          <c:orientation val="minMax"/>
        </c:scaling>
        <c:delete val="0"/>
        <c:axPos val="l"/>
        <c:majorGridlines>
          <c:spPr>
            <a:ln>
              <a:solidFill>
                <a:schemeClr val="bg1">
                  <a:lumMod val="85000"/>
                </a:schemeClr>
              </a:solidFill>
            </a:ln>
          </c:spPr>
        </c:majorGridlines>
        <c:title>
          <c:tx>
            <c:rich>
              <a:bodyPr rot="-5400000" vert="horz"/>
              <a:lstStyle/>
              <a:p>
                <a:pPr>
                  <a:defRPr/>
                </a:pPr>
                <a:r>
                  <a:rPr lang="sl-SI"/>
                  <a:t>Število</a:t>
                </a:r>
              </a:p>
            </c:rich>
          </c:tx>
          <c:layout>
            <c:manualLayout>
              <c:xMode val="edge"/>
              <c:yMode val="edge"/>
              <c:x val="0.14441341311505301"/>
              <c:y val="0.34786137737593698"/>
            </c:manualLayout>
          </c:layout>
          <c:overlay val="0"/>
        </c:title>
        <c:numFmt formatCode="0" sourceLinked="1"/>
        <c:majorTickMark val="out"/>
        <c:minorTickMark val="none"/>
        <c:tickLblPos val="nextTo"/>
        <c:spPr>
          <a:ln>
            <a:noFill/>
          </a:ln>
        </c:spPr>
        <c:crossAx val="219142016"/>
        <c:crosses val="autoZero"/>
        <c:crossBetween val="between"/>
      </c:valAx>
      <c:dTable>
        <c:showHorzBorder val="1"/>
        <c:showVertBorder val="1"/>
        <c:showOutline val="1"/>
        <c:showKeys val="1"/>
        <c:spPr>
          <a:ln>
            <a:solidFill>
              <a:schemeClr val="bg1">
                <a:lumMod val="85000"/>
              </a:schemeClr>
            </a:solidFill>
          </a:ln>
        </c:spPr>
      </c:dTable>
      <c:spPr>
        <a:ln>
          <a:noFill/>
        </a:ln>
      </c:spPr>
    </c:plotArea>
    <c:plotVisOnly val="1"/>
    <c:dispBlanksAs val="gap"/>
    <c:showDLblsOverMax val="0"/>
  </c:chart>
  <c:spPr>
    <a:ln>
      <a:noFill/>
    </a:ln>
  </c:spPr>
  <c:txPr>
    <a:bodyPr/>
    <a:lstStyle/>
    <a:p>
      <a:pPr>
        <a:defRPr sz="800" baseline="0">
          <a:solidFill>
            <a:schemeClr val="bg2">
              <a:lumMod val="25000"/>
            </a:schemeClr>
          </a:solidFill>
        </a:defRPr>
      </a:pPr>
      <a:endParaRPr lang="sl-SI"/>
    </a:p>
  </c:txPr>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1"/>
          <c:order val="1"/>
          <c:tx>
            <c:strRef>
              <c:f>Izhodisce!$A$7</c:f>
              <c:strCache>
                <c:ptCount val="1"/>
                <c:pt idx="0">
                  <c:v>Povprečno število ur na RA program</c:v>
                </c:pt>
              </c:strCache>
            </c:strRef>
          </c:tx>
          <c:spPr>
            <a:solidFill>
              <a:schemeClr val="accent1"/>
            </a:solidFill>
            <a:ln>
              <a:solidFill>
                <a:schemeClr val="accent1"/>
              </a:solidFill>
            </a:ln>
            <a:effectLst/>
          </c:spPr>
          <c:invertIfNegative val="0"/>
          <c:cat>
            <c:numRef>
              <c:f>Izhodisce!$B$5:$M$5</c:f>
              <c:numCache>
                <c:formatCode>General</c:formatCode>
                <c:ptCount val="12"/>
                <c:pt idx="0">
                  <c:v>2004</c:v>
                </c:pt>
                <c:pt idx="1">
                  <c:v>2005</c:v>
                </c:pt>
                <c:pt idx="2">
                  <c:v>2006</c:v>
                </c:pt>
                <c:pt idx="3">
                  <c:v>2007</c:v>
                </c:pt>
                <c:pt idx="4">
                  <c:v>2008</c:v>
                </c:pt>
                <c:pt idx="5">
                  <c:v>2009</c:v>
                </c:pt>
                <c:pt idx="6">
                  <c:v>2010</c:v>
                </c:pt>
                <c:pt idx="7">
                  <c:v>2011</c:v>
                </c:pt>
                <c:pt idx="8">
                  <c:v>2012</c:v>
                </c:pt>
                <c:pt idx="9">
                  <c:v>2013</c:v>
                </c:pt>
                <c:pt idx="10">
                  <c:v>2014</c:v>
                </c:pt>
                <c:pt idx="11">
                  <c:v>2015</c:v>
                </c:pt>
              </c:numCache>
            </c:numRef>
          </c:cat>
          <c:val>
            <c:numRef>
              <c:f>Izhodisce!$B$7:$M$7</c:f>
              <c:numCache>
                <c:formatCode>#,##0</c:formatCode>
                <c:ptCount val="12"/>
                <c:pt idx="0">
                  <c:v>7574</c:v>
                </c:pt>
                <c:pt idx="1">
                  <c:v>7673.9344262295081</c:v>
                </c:pt>
                <c:pt idx="2">
                  <c:v>7819.3650793650804</c:v>
                </c:pt>
                <c:pt idx="3">
                  <c:v>6781.8414634146329</c:v>
                </c:pt>
                <c:pt idx="4">
                  <c:v>7173.94186046512</c:v>
                </c:pt>
                <c:pt idx="5">
                  <c:v>6107.7052631578999</c:v>
                </c:pt>
                <c:pt idx="6">
                  <c:v>9009.2205882352991</c:v>
                </c:pt>
                <c:pt idx="7">
                  <c:v>8647.3720930232084</c:v>
                </c:pt>
                <c:pt idx="8">
                  <c:v>8105.454545454545</c:v>
                </c:pt>
                <c:pt idx="9">
                  <c:v>6772.173913043478</c:v>
                </c:pt>
                <c:pt idx="10">
                  <c:v>7112.3026315789502</c:v>
                </c:pt>
                <c:pt idx="11">
                  <c:v>6269.9186046511641</c:v>
                </c:pt>
              </c:numCache>
            </c:numRef>
          </c:val>
        </c:ser>
        <c:dLbls>
          <c:showLegendKey val="0"/>
          <c:showVal val="0"/>
          <c:showCatName val="0"/>
          <c:showSerName val="0"/>
          <c:showPercent val="0"/>
          <c:showBubbleSize val="0"/>
        </c:dLbls>
        <c:gapWidth val="150"/>
        <c:axId val="220468352"/>
        <c:axId val="220466176"/>
      </c:barChart>
      <c:lineChart>
        <c:grouping val="standard"/>
        <c:varyColors val="0"/>
        <c:ser>
          <c:idx val="0"/>
          <c:order val="0"/>
          <c:tx>
            <c:strRef>
              <c:f>Izhodisce!$A$6</c:f>
              <c:strCache>
                <c:ptCount val="1"/>
                <c:pt idx="0">
                  <c:v>Radijski programi*</c:v>
                </c:pt>
              </c:strCache>
            </c:strRef>
          </c:tx>
          <c:spPr>
            <a:ln w="19050" cap="rnd">
              <a:solidFill>
                <a:schemeClr val="accent2"/>
              </a:solidFill>
              <a:round/>
            </a:ln>
            <a:effectLst/>
          </c:spPr>
          <c:marker>
            <c:symbol val="circle"/>
            <c:size val="5"/>
            <c:spPr>
              <a:solidFill>
                <a:schemeClr val="accent2"/>
              </a:solidFill>
              <a:ln w="9525">
                <a:solidFill>
                  <a:schemeClr val="accent2"/>
                </a:solidFill>
              </a:ln>
              <a:effectLst/>
            </c:spPr>
          </c:marker>
          <c:cat>
            <c:numRef>
              <c:f>Izhodisce!$B$5:$M$5</c:f>
              <c:numCache>
                <c:formatCode>General</c:formatCode>
                <c:ptCount val="12"/>
                <c:pt idx="0">
                  <c:v>2004</c:v>
                </c:pt>
                <c:pt idx="1">
                  <c:v>2005</c:v>
                </c:pt>
                <c:pt idx="2">
                  <c:v>2006</c:v>
                </c:pt>
                <c:pt idx="3">
                  <c:v>2007</c:v>
                </c:pt>
                <c:pt idx="4">
                  <c:v>2008</c:v>
                </c:pt>
                <c:pt idx="5">
                  <c:v>2009</c:v>
                </c:pt>
                <c:pt idx="6">
                  <c:v>2010</c:v>
                </c:pt>
                <c:pt idx="7">
                  <c:v>2011</c:v>
                </c:pt>
                <c:pt idx="8">
                  <c:v>2012</c:v>
                </c:pt>
                <c:pt idx="9">
                  <c:v>2013</c:v>
                </c:pt>
                <c:pt idx="10">
                  <c:v>2014</c:v>
                </c:pt>
                <c:pt idx="11">
                  <c:v>2015</c:v>
                </c:pt>
              </c:numCache>
            </c:numRef>
          </c:cat>
          <c:val>
            <c:numRef>
              <c:f>Izhodisce!$B$6:$M$6</c:f>
              <c:numCache>
                <c:formatCode>General</c:formatCode>
                <c:ptCount val="12"/>
                <c:pt idx="0">
                  <c:v>60</c:v>
                </c:pt>
                <c:pt idx="1">
                  <c:v>61</c:v>
                </c:pt>
                <c:pt idx="2">
                  <c:v>63</c:v>
                </c:pt>
                <c:pt idx="3">
                  <c:v>82</c:v>
                </c:pt>
                <c:pt idx="4">
                  <c:v>86</c:v>
                </c:pt>
                <c:pt idx="5">
                  <c:v>95</c:v>
                </c:pt>
                <c:pt idx="6">
                  <c:v>68</c:v>
                </c:pt>
                <c:pt idx="7">
                  <c:v>86</c:v>
                </c:pt>
                <c:pt idx="8">
                  <c:v>88</c:v>
                </c:pt>
                <c:pt idx="9">
                  <c:v>92</c:v>
                </c:pt>
                <c:pt idx="10">
                  <c:v>76</c:v>
                </c:pt>
                <c:pt idx="11">
                  <c:v>86</c:v>
                </c:pt>
              </c:numCache>
            </c:numRef>
          </c:val>
          <c:smooth val="0"/>
        </c:ser>
        <c:dLbls>
          <c:showLegendKey val="0"/>
          <c:showVal val="0"/>
          <c:showCatName val="0"/>
          <c:showSerName val="0"/>
          <c:showPercent val="0"/>
          <c:showBubbleSize val="0"/>
        </c:dLbls>
        <c:marker val="1"/>
        <c:smooth val="0"/>
        <c:axId val="220463104"/>
        <c:axId val="220464256"/>
      </c:lineChart>
      <c:catAx>
        <c:axId val="220463104"/>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vert="horz"/>
          <a:lstStyle/>
          <a:p>
            <a:pPr>
              <a:defRPr/>
            </a:pPr>
            <a:endParaRPr lang="sl-SI"/>
          </a:p>
        </c:txPr>
        <c:crossAx val="220464256"/>
        <c:crosses val="autoZero"/>
        <c:auto val="1"/>
        <c:lblAlgn val="ctr"/>
        <c:lblOffset val="100"/>
        <c:noMultiLvlLbl val="0"/>
      </c:catAx>
      <c:valAx>
        <c:axId val="22046425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vert="horz"/>
              <a:lstStyle/>
              <a:p>
                <a:pPr>
                  <a:defRPr/>
                </a:pPr>
                <a:r>
                  <a:rPr lang="en-GB"/>
                  <a:t>Število radijskih programov</a:t>
                </a:r>
              </a:p>
            </c:rich>
          </c:tx>
          <c:layout>
            <c:manualLayout>
              <c:xMode val="edge"/>
              <c:yMode val="edge"/>
              <c:x val="0.27272727272727298"/>
              <c:y val="0.15221183850991901"/>
            </c:manualLayout>
          </c:layout>
          <c:overlay val="0"/>
          <c:spPr>
            <a:noFill/>
            <a:ln>
              <a:noFill/>
            </a:ln>
            <a:effectLst/>
          </c:spPr>
        </c:title>
        <c:numFmt formatCode="General" sourceLinked="0"/>
        <c:majorTickMark val="none"/>
        <c:minorTickMark val="none"/>
        <c:tickLblPos val="nextTo"/>
        <c:spPr>
          <a:noFill/>
          <a:ln>
            <a:noFill/>
          </a:ln>
          <a:effectLst/>
        </c:spPr>
        <c:txPr>
          <a:bodyPr rot="-60000000" vert="horz"/>
          <a:lstStyle/>
          <a:p>
            <a:pPr>
              <a:defRPr/>
            </a:pPr>
            <a:endParaRPr lang="sl-SI"/>
          </a:p>
        </c:txPr>
        <c:crossAx val="220463104"/>
        <c:crosses val="autoZero"/>
        <c:crossBetween val="between"/>
      </c:valAx>
      <c:valAx>
        <c:axId val="220466176"/>
        <c:scaling>
          <c:orientation val="minMax"/>
        </c:scaling>
        <c:delete val="0"/>
        <c:axPos val="r"/>
        <c:title>
          <c:tx>
            <c:rich>
              <a:bodyPr rot="-5400000" vert="horz"/>
              <a:lstStyle/>
              <a:p>
                <a:pPr>
                  <a:defRPr/>
                </a:pPr>
                <a:r>
                  <a:rPr lang="en-GB"/>
                  <a:t>Povprečno število ur na RA program</a:t>
                </a:r>
              </a:p>
            </c:rich>
          </c:tx>
          <c:layout>
            <c:manualLayout>
              <c:xMode val="edge"/>
              <c:yMode val="edge"/>
              <c:x val="0.94730589940115595"/>
              <c:y val="7.4708968617115901E-2"/>
            </c:manualLayout>
          </c:layout>
          <c:overlay val="0"/>
          <c:spPr>
            <a:noFill/>
            <a:ln>
              <a:noFill/>
            </a:ln>
            <a:effectLst/>
          </c:spPr>
        </c:title>
        <c:numFmt formatCode="#,##0" sourceLinked="1"/>
        <c:majorTickMark val="out"/>
        <c:minorTickMark val="none"/>
        <c:tickLblPos val="nextTo"/>
        <c:spPr>
          <a:noFill/>
          <a:ln>
            <a:noFill/>
          </a:ln>
          <a:effectLst/>
        </c:spPr>
        <c:txPr>
          <a:bodyPr rot="-60000000" vert="horz"/>
          <a:lstStyle/>
          <a:p>
            <a:pPr>
              <a:defRPr/>
            </a:pPr>
            <a:endParaRPr lang="sl-SI"/>
          </a:p>
        </c:txPr>
        <c:crossAx val="220468352"/>
        <c:crosses val="max"/>
        <c:crossBetween val="between"/>
      </c:valAx>
      <c:catAx>
        <c:axId val="220468352"/>
        <c:scaling>
          <c:orientation val="minMax"/>
        </c:scaling>
        <c:delete val="1"/>
        <c:axPos val="b"/>
        <c:numFmt formatCode="General" sourceLinked="1"/>
        <c:majorTickMark val="out"/>
        <c:minorTickMark val="none"/>
        <c:tickLblPos val="nextTo"/>
        <c:crossAx val="220466176"/>
        <c:crosses val="autoZero"/>
        <c:auto val="1"/>
        <c:lblAlgn val="ctr"/>
        <c:lblOffset val="100"/>
        <c:noMultiLvlLbl val="0"/>
      </c:catAx>
      <c:dTable>
        <c:showHorzBorder val="1"/>
        <c:showVertBorder val="1"/>
        <c:showOutline val="1"/>
        <c:showKeys val="1"/>
        <c:spPr>
          <a:noFill/>
          <a:ln w="9525" cap="flat" cmpd="sng" algn="ctr">
            <a:solidFill>
              <a:schemeClr val="tx1">
                <a:lumMod val="15000"/>
                <a:lumOff val="85000"/>
              </a:schemeClr>
            </a:solidFill>
            <a:round/>
          </a:ln>
          <a:effectLst/>
        </c:spPr>
      </c:dTable>
      <c:spPr>
        <a:noFill/>
        <a:ln>
          <a:noFill/>
        </a:ln>
        <a:effectLst/>
      </c:spPr>
    </c:plotArea>
    <c:plotVisOnly val="1"/>
    <c:dispBlanksAs val="zero"/>
    <c:showDLblsOverMax val="0"/>
  </c:chart>
  <c:spPr>
    <a:solidFill>
      <a:schemeClr val="bg1"/>
    </a:solidFill>
    <a:ln w="9525" cap="flat" cmpd="sng" algn="ctr">
      <a:noFill/>
      <a:round/>
    </a:ln>
    <a:effectLst/>
  </c:spPr>
  <c:txPr>
    <a:bodyPr/>
    <a:lstStyle/>
    <a:p>
      <a:pPr>
        <a:defRPr sz="800" baseline="0">
          <a:solidFill>
            <a:schemeClr val="bg2">
              <a:lumMod val="25000"/>
            </a:schemeClr>
          </a:solidFill>
        </a:defRPr>
      </a:pPr>
      <a:endParaRPr lang="sl-SI"/>
    </a:p>
  </c:txPr>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1"/>
          <c:order val="1"/>
          <c:tx>
            <c:strRef>
              <c:f>Izhodisce!$A$11</c:f>
              <c:strCache>
                <c:ptCount val="1"/>
                <c:pt idx="0">
                  <c:v>Povprečno število ur na TV program</c:v>
                </c:pt>
              </c:strCache>
            </c:strRef>
          </c:tx>
          <c:spPr>
            <a:solidFill>
              <a:schemeClr val="accent1"/>
            </a:solidFill>
            <a:ln>
              <a:solidFill>
                <a:schemeClr val="accent1"/>
              </a:solidFill>
            </a:ln>
            <a:effectLst/>
          </c:spPr>
          <c:invertIfNegative val="0"/>
          <c:cat>
            <c:strRef>
              <c:f>Izhodisce!$B$9:$M$9</c:f>
              <c:strCache>
                <c:ptCount val="12"/>
                <c:pt idx="0">
                  <c:v>2004</c:v>
                </c:pt>
                <c:pt idx="1">
                  <c:v>2005</c:v>
                </c:pt>
                <c:pt idx="2">
                  <c:v>2006</c:v>
                </c:pt>
                <c:pt idx="3">
                  <c:v>2007</c:v>
                </c:pt>
                <c:pt idx="4">
                  <c:v>2008</c:v>
                </c:pt>
                <c:pt idx="5">
                  <c:v>2009</c:v>
                </c:pt>
                <c:pt idx="6">
                  <c:v>2010</c:v>
                </c:pt>
                <c:pt idx="7">
                  <c:v>2011</c:v>
                </c:pt>
                <c:pt idx="8">
                  <c:v>2012</c:v>
                </c:pt>
                <c:pt idx="9">
                  <c:v>2013</c:v>
                </c:pt>
                <c:pt idx="10">
                  <c:v>2014</c:v>
                </c:pt>
                <c:pt idx="11">
                  <c:v>2015</c:v>
                </c:pt>
              </c:strCache>
            </c:strRef>
          </c:cat>
          <c:val>
            <c:numRef>
              <c:f>Izhodisce!$B$11:$M$11</c:f>
              <c:numCache>
                <c:formatCode>#,##0</c:formatCode>
                <c:ptCount val="12"/>
                <c:pt idx="0">
                  <c:v>5496.255319148936</c:v>
                </c:pt>
                <c:pt idx="1">
                  <c:v>5874.9</c:v>
                </c:pt>
                <c:pt idx="2">
                  <c:v>6056.4313725490083</c:v>
                </c:pt>
                <c:pt idx="3">
                  <c:v>5088.1724137931033</c:v>
                </c:pt>
                <c:pt idx="4">
                  <c:v>5035.0666666666702</c:v>
                </c:pt>
                <c:pt idx="5">
                  <c:v>5251.8703703703704</c:v>
                </c:pt>
                <c:pt idx="6">
                  <c:v>6473.1960784313796</c:v>
                </c:pt>
                <c:pt idx="7">
                  <c:v>6459.4918032786882</c:v>
                </c:pt>
                <c:pt idx="8">
                  <c:v>6468.5084745762706</c:v>
                </c:pt>
                <c:pt idx="9">
                  <c:v>6171.0983606557402</c:v>
                </c:pt>
                <c:pt idx="10">
                  <c:v>6368.8727272727274</c:v>
                </c:pt>
                <c:pt idx="11">
                  <c:v>6072.8360655737697</c:v>
                </c:pt>
              </c:numCache>
            </c:numRef>
          </c:val>
        </c:ser>
        <c:dLbls>
          <c:showLegendKey val="0"/>
          <c:showVal val="0"/>
          <c:showCatName val="0"/>
          <c:showSerName val="0"/>
          <c:showPercent val="0"/>
          <c:showBubbleSize val="0"/>
        </c:dLbls>
        <c:gapWidth val="150"/>
        <c:axId val="220521600"/>
        <c:axId val="220511232"/>
      </c:barChart>
      <c:lineChart>
        <c:grouping val="standard"/>
        <c:varyColors val="0"/>
        <c:ser>
          <c:idx val="0"/>
          <c:order val="0"/>
          <c:tx>
            <c:strRef>
              <c:f>Izhodisce!$A$10</c:f>
              <c:strCache>
                <c:ptCount val="1"/>
                <c:pt idx="0">
                  <c:v>TV programi</c:v>
                </c:pt>
              </c:strCache>
            </c:strRef>
          </c:tx>
          <c:spPr>
            <a:ln w="19050" cap="rnd">
              <a:solidFill>
                <a:schemeClr val="accent2"/>
              </a:solidFill>
              <a:round/>
            </a:ln>
            <a:effectLst/>
          </c:spPr>
          <c:marker>
            <c:symbol val="circle"/>
            <c:size val="5"/>
            <c:spPr>
              <a:solidFill>
                <a:schemeClr val="accent2"/>
              </a:solidFill>
              <a:ln w="9525">
                <a:solidFill>
                  <a:schemeClr val="accent2"/>
                </a:solidFill>
              </a:ln>
              <a:effectLst/>
            </c:spPr>
          </c:marker>
          <c:cat>
            <c:strRef>
              <c:f>Izhodisce!$B$9:$M$9</c:f>
              <c:strCache>
                <c:ptCount val="12"/>
                <c:pt idx="0">
                  <c:v>2004</c:v>
                </c:pt>
                <c:pt idx="1">
                  <c:v>2005</c:v>
                </c:pt>
                <c:pt idx="2">
                  <c:v>2006</c:v>
                </c:pt>
                <c:pt idx="3">
                  <c:v>2007</c:v>
                </c:pt>
                <c:pt idx="4">
                  <c:v>2008</c:v>
                </c:pt>
                <c:pt idx="5">
                  <c:v>2009</c:v>
                </c:pt>
                <c:pt idx="6">
                  <c:v>2010</c:v>
                </c:pt>
                <c:pt idx="7">
                  <c:v>2011</c:v>
                </c:pt>
                <c:pt idx="8">
                  <c:v>2012</c:v>
                </c:pt>
                <c:pt idx="9">
                  <c:v>2013</c:v>
                </c:pt>
                <c:pt idx="10">
                  <c:v>2014</c:v>
                </c:pt>
                <c:pt idx="11">
                  <c:v>2015</c:v>
                </c:pt>
              </c:strCache>
            </c:strRef>
          </c:cat>
          <c:val>
            <c:numRef>
              <c:f>Izhodisce!$B$10:$M$10</c:f>
              <c:numCache>
                <c:formatCode>General</c:formatCode>
                <c:ptCount val="12"/>
                <c:pt idx="0">
                  <c:v>47</c:v>
                </c:pt>
                <c:pt idx="1">
                  <c:v>50</c:v>
                </c:pt>
                <c:pt idx="2">
                  <c:v>51</c:v>
                </c:pt>
                <c:pt idx="3">
                  <c:v>58</c:v>
                </c:pt>
                <c:pt idx="4">
                  <c:v>60</c:v>
                </c:pt>
                <c:pt idx="5">
                  <c:v>54</c:v>
                </c:pt>
                <c:pt idx="6">
                  <c:v>51</c:v>
                </c:pt>
                <c:pt idx="7">
                  <c:v>61</c:v>
                </c:pt>
                <c:pt idx="8">
                  <c:v>59</c:v>
                </c:pt>
                <c:pt idx="9">
                  <c:v>61</c:v>
                </c:pt>
                <c:pt idx="10">
                  <c:v>55</c:v>
                </c:pt>
                <c:pt idx="11">
                  <c:v>61</c:v>
                </c:pt>
              </c:numCache>
            </c:numRef>
          </c:val>
          <c:smooth val="0"/>
        </c:ser>
        <c:dLbls>
          <c:showLegendKey val="0"/>
          <c:showVal val="0"/>
          <c:showCatName val="0"/>
          <c:showSerName val="0"/>
          <c:showPercent val="0"/>
          <c:showBubbleSize val="0"/>
        </c:dLbls>
        <c:marker val="1"/>
        <c:smooth val="0"/>
        <c:axId val="220503040"/>
        <c:axId val="220509312"/>
      </c:lineChart>
      <c:catAx>
        <c:axId val="2205030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vert="horz"/>
          <a:lstStyle/>
          <a:p>
            <a:pPr>
              <a:defRPr/>
            </a:pPr>
            <a:endParaRPr lang="sl-SI"/>
          </a:p>
        </c:txPr>
        <c:crossAx val="220509312"/>
        <c:crosses val="autoZero"/>
        <c:auto val="1"/>
        <c:lblAlgn val="ctr"/>
        <c:lblOffset val="100"/>
        <c:noMultiLvlLbl val="0"/>
      </c:catAx>
      <c:valAx>
        <c:axId val="22050931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vert="horz"/>
              <a:lstStyle/>
              <a:p>
                <a:pPr>
                  <a:defRPr/>
                </a:pPr>
                <a:r>
                  <a:rPr lang="en-GB"/>
                  <a:t>Število TV programov</a:t>
                </a:r>
              </a:p>
            </c:rich>
          </c:tx>
          <c:layout>
            <c:manualLayout>
              <c:xMode val="edge"/>
              <c:yMode val="edge"/>
              <c:x val="0.26385809312638597"/>
              <c:y val="0.12597077465939199"/>
            </c:manualLayout>
          </c:layout>
          <c:overlay val="0"/>
          <c:spPr>
            <a:noFill/>
            <a:ln>
              <a:noFill/>
            </a:ln>
            <a:effectLst/>
          </c:spPr>
        </c:title>
        <c:numFmt formatCode="General" sourceLinked="1"/>
        <c:majorTickMark val="none"/>
        <c:minorTickMark val="none"/>
        <c:tickLblPos val="nextTo"/>
        <c:spPr>
          <a:noFill/>
          <a:ln>
            <a:noFill/>
          </a:ln>
          <a:effectLst/>
        </c:spPr>
        <c:txPr>
          <a:bodyPr rot="-60000000" vert="horz"/>
          <a:lstStyle/>
          <a:p>
            <a:pPr>
              <a:defRPr/>
            </a:pPr>
            <a:endParaRPr lang="sl-SI"/>
          </a:p>
        </c:txPr>
        <c:crossAx val="220503040"/>
        <c:crosses val="autoZero"/>
        <c:crossBetween val="between"/>
      </c:valAx>
      <c:valAx>
        <c:axId val="220511232"/>
        <c:scaling>
          <c:orientation val="minMax"/>
        </c:scaling>
        <c:delete val="0"/>
        <c:axPos val="r"/>
        <c:title>
          <c:tx>
            <c:rich>
              <a:bodyPr rot="-5400000" vert="horz"/>
              <a:lstStyle/>
              <a:p>
                <a:pPr>
                  <a:defRPr/>
                </a:pPr>
                <a:r>
                  <a:rPr lang="en-GB"/>
                  <a:t>Povprečno število ur na TV program</a:t>
                </a:r>
              </a:p>
            </c:rich>
          </c:tx>
          <c:layout>
            <c:manualLayout>
              <c:xMode val="edge"/>
              <c:yMode val="edge"/>
              <c:x val="0.95839237390226395"/>
              <c:y val="5.1867219917012403E-2"/>
            </c:manualLayout>
          </c:layout>
          <c:overlay val="0"/>
          <c:spPr>
            <a:noFill/>
            <a:ln>
              <a:noFill/>
            </a:ln>
            <a:effectLst/>
          </c:spPr>
        </c:title>
        <c:numFmt formatCode="#,##0" sourceLinked="0"/>
        <c:majorTickMark val="out"/>
        <c:minorTickMark val="none"/>
        <c:tickLblPos val="nextTo"/>
        <c:spPr>
          <a:noFill/>
          <a:ln>
            <a:noFill/>
          </a:ln>
          <a:effectLst/>
        </c:spPr>
        <c:txPr>
          <a:bodyPr rot="-60000000" vert="horz"/>
          <a:lstStyle/>
          <a:p>
            <a:pPr>
              <a:defRPr/>
            </a:pPr>
            <a:endParaRPr lang="sl-SI"/>
          </a:p>
        </c:txPr>
        <c:crossAx val="220521600"/>
        <c:crosses val="max"/>
        <c:crossBetween val="between"/>
      </c:valAx>
      <c:catAx>
        <c:axId val="220521600"/>
        <c:scaling>
          <c:orientation val="minMax"/>
        </c:scaling>
        <c:delete val="1"/>
        <c:axPos val="b"/>
        <c:numFmt formatCode="General" sourceLinked="1"/>
        <c:majorTickMark val="out"/>
        <c:minorTickMark val="none"/>
        <c:tickLblPos val="nextTo"/>
        <c:crossAx val="220511232"/>
        <c:crosses val="autoZero"/>
        <c:auto val="1"/>
        <c:lblAlgn val="ctr"/>
        <c:lblOffset val="100"/>
        <c:noMultiLvlLbl val="0"/>
      </c:catAx>
      <c:dTable>
        <c:showHorzBorder val="1"/>
        <c:showVertBorder val="1"/>
        <c:showOutline val="1"/>
        <c:showKeys val="1"/>
        <c:spPr>
          <a:noFill/>
          <a:ln w="9525" cap="flat" cmpd="sng" algn="ctr">
            <a:solidFill>
              <a:schemeClr val="tx1">
                <a:lumMod val="15000"/>
                <a:lumOff val="85000"/>
              </a:schemeClr>
            </a:solidFill>
            <a:round/>
          </a:ln>
          <a:effectLst/>
        </c:spPr>
      </c:dTable>
      <c:spPr>
        <a:noFill/>
        <a:ln>
          <a:noFill/>
        </a:ln>
        <a:effectLst/>
      </c:spPr>
    </c:plotArea>
    <c:legend>
      <c:legendPos val="b"/>
      <c:overlay val="0"/>
      <c:spPr>
        <a:noFill/>
        <a:ln>
          <a:noFill/>
        </a:ln>
        <a:effectLst/>
      </c:spPr>
      <c:txPr>
        <a:bodyPr rot="0" vert="horz"/>
        <a:lstStyle/>
        <a:p>
          <a:pPr>
            <a:defRPr/>
          </a:pPr>
          <a:endParaRPr lang="sl-SI"/>
        </a:p>
      </c:txPr>
    </c:legend>
    <c:plotVisOnly val="1"/>
    <c:dispBlanksAs val="gap"/>
    <c:showDLblsOverMax val="0"/>
  </c:chart>
  <c:spPr>
    <a:solidFill>
      <a:schemeClr val="bg1"/>
    </a:solidFill>
    <a:ln w="9525" cap="flat" cmpd="sng" algn="ctr">
      <a:noFill/>
      <a:round/>
    </a:ln>
    <a:effectLst/>
  </c:spPr>
  <c:txPr>
    <a:bodyPr/>
    <a:lstStyle/>
    <a:p>
      <a:pPr>
        <a:defRPr sz="800" baseline="0">
          <a:solidFill>
            <a:schemeClr val="bg2">
              <a:lumMod val="25000"/>
            </a:schemeClr>
          </a:solidFill>
        </a:defRPr>
      </a:pPr>
      <a:endParaRPr lang="sl-SI"/>
    </a:p>
  </c:txPr>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1"/>
          <c:order val="1"/>
          <c:tx>
            <c:strRef>
              <c:f>'[Ure programa.xlsx]RADIO IZVEDENA'!$A$89</c:f>
              <c:strCache>
                <c:ptCount val="1"/>
                <c:pt idx="0">
                  <c:v>Zabavna in popularna glasba</c:v>
                </c:pt>
              </c:strCache>
            </c:strRef>
          </c:tx>
          <c:spPr>
            <a:solidFill>
              <a:schemeClr val="accent1"/>
            </a:solidFill>
            <a:ln w="25400">
              <a:solidFill>
                <a:schemeClr val="accent1"/>
              </a:solidFill>
            </a:ln>
            <a:effectLst/>
          </c:spPr>
          <c:invertIfNegative val="0"/>
          <c:cat>
            <c:strRef>
              <c:f>'[2]RADIO IZVEDENA'!$B$87:$M$87</c:f>
              <c:strCache>
                <c:ptCount val="12"/>
                <c:pt idx="0">
                  <c:v>2004</c:v>
                </c:pt>
                <c:pt idx="1">
                  <c:v>2005</c:v>
                </c:pt>
                <c:pt idx="2">
                  <c:v>2006</c:v>
                </c:pt>
                <c:pt idx="3">
                  <c:v>2007</c:v>
                </c:pt>
                <c:pt idx="4">
                  <c:v>2008</c:v>
                </c:pt>
                <c:pt idx="5">
                  <c:v>2009</c:v>
                </c:pt>
                <c:pt idx="6">
                  <c:v>2010</c:v>
                </c:pt>
                <c:pt idx="7">
                  <c:v>2011</c:v>
                </c:pt>
                <c:pt idx="8">
                  <c:v>2012</c:v>
                </c:pt>
                <c:pt idx="9">
                  <c:v>2013</c:v>
                </c:pt>
                <c:pt idx="10">
                  <c:v>2014</c:v>
                </c:pt>
                <c:pt idx="11">
                  <c:v>2015</c:v>
                </c:pt>
              </c:strCache>
            </c:strRef>
          </c:cat>
          <c:val>
            <c:numRef>
              <c:f>'[2]RADIO IZVEDENA'!$B$89:$M$89</c:f>
              <c:numCache>
                <c:formatCode>#,##0</c:formatCode>
                <c:ptCount val="12"/>
                <c:pt idx="0">
                  <c:v>88.331812132908496</c:v>
                </c:pt>
                <c:pt idx="1">
                  <c:v>88.735136521304881</c:v>
                </c:pt>
                <c:pt idx="2">
                  <c:v>90.479742265456252</c:v>
                </c:pt>
                <c:pt idx="3">
                  <c:v>92.994787277936283</c:v>
                </c:pt>
                <c:pt idx="4">
                  <c:v>91.839364462219166</c:v>
                </c:pt>
                <c:pt idx="5">
                  <c:v>90.936518858804646</c:v>
                </c:pt>
                <c:pt idx="6">
                  <c:v>87.859007133248383</c:v>
                </c:pt>
                <c:pt idx="7">
                  <c:v>89.086498535775149</c:v>
                </c:pt>
                <c:pt idx="8">
                  <c:v>88.973543299024243</c:v>
                </c:pt>
                <c:pt idx="9">
                  <c:v>88.489908299937696</c:v>
                </c:pt>
                <c:pt idx="10">
                  <c:v>88.249806286126514</c:v>
                </c:pt>
                <c:pt idx="11">
                  <c:v>89.088008618546183</c:v>
                </c:pt>
              </c:numCache>
            </c:numRef>
          </c:val>
        </c:ser>
        <c:dLbls>
          <c:showLegendKey val="0"/>
          <c:showVal val="0"/>
          <c:showCatName val="0"/>
          <c:showSerName val="0"/>
          <c:showPercent val="0"/>
          <c:showBubbleSize val="0"/>
        </c:dLbls>
        <c:gapWidth val="150"/>
        <c:axId val="221293184"/>
        <c:axId val="221291264"/>
      </c:barChart>
      <c:lineChart>
        <c:grouping val="standard"/>
        <c:varyColors val="0"/>
        <c:ser>
          <c:idx val="0"/>
          <c:order val="0"/>
          <c:tx>
            <c:strRef>
              <c:f>'[Ure programa.xlsx]RADIO IZVEDENA'!$A$88</c:f>
              <c:strCache>
                <c:ptCount val="1"/>
                <c:pt idx="0">
                  <c:v>Resna glasba</c:v>
                </c:pt>
              </c:strCache>
            </c:strRef>
          </c:tx>
          <c:spPr>
            <a:ln w="19050" cap="rnd">
              <a:solidFill>
                <a:schemeClr val="accent2"/>
              </a:solidFill>
              <a:round/>
            </a:ln>
            <a:effectLst/>
          </c:spPr>
          <c:marker>
            <c:symbol val="circle"/>
            <c:size val="5"/>
            <c:spPr>
              <a:solidFill>
                <a:schemeClr val="accent2"/>
              </a:solidFill>
              <a:ln w="9525">
                <a:solidFill>
                  <a:schemeClr val="accent2"/>
                </a:solidFill>
              </a:ln>
              <a:effectLst/>
            </c:spPr>
          </c:marker>
          <c:cat>
            <c:strRef>
              <c:f>'[2]RADIO IZVEDENA'!$B$87:$M$87</c:f>
              <c:strCache>
                <c:ptCount val="12"/>
                <c:pt idx="0">
                  <c:v>2004</c:v>
                </c:pt>
                <c:pt idx="1">
                  <c:v>2005</c:v>
                </c:pt>
                <c:pt idx="2">
                  <c:v>2006</c:v>
                </c:pt>
                <c:pt idx="3">
                  <c:v>2007</c:v>
                </c:pt>
                <c:pt idx="4">
                  <c:v>2008</c:v>
                </c:pt>
                <c:pt idx="5">
                  <c:v>2009</c:v>
                </c:pt>
                <c:pt idx="6">
                  <c:v>2010</c:v>
                </c:pt>
                <c:pt idx="7">
                  <c:v>2011</c:v>
                </c:pt>
                <c:pt idx="8">
                  <c:v>2012</c:v>
                </c:pt>
                <c:pt idx="9">
                  <c:v>2013</c:v>
                </c:pt>
                <c:pt idx="10">
                  <c:v>2014</c:v>
                </c:pt>
                <c:pt idx="11">
                  <c:v>2015</c:v>
                </c:pt>
              </c:strCache>
            </c:strRef>
          </c:cat>
          <c:val>
            <c:numRef>
              <c:f>'[2]RADIO IZVEDENA'!$B$88:$M$88</c:f>
              <c:numCache>
                <c:formatCode>#,##0</c:formatCode>
                <c:ptCount val="12"/>
                <c:pt idx="0">
                  <c:v>5.2342068042946703</c:v>
                </c:pt>
                <c:pt idx="1">
                  <c:v>4.8295339514920776</c:v>
                </c:pt>
                <c:pt idx="2">
                  <c:v>4.4031740460311886</c:v>
                </c:pt>
                <c:pt idx="3">
                  <c:v>2.2018956409556081</c:v>
                </c:pt>
                <c:pt idx="4">
                  <c:v>1.793138586116408</c:v>
                </c:pt>
                <c:pt idx="5">
                  <c:v>0.54129046097443401</c:v>
                </c:pt>
                <c:pt idx="6">
                  <c:v>2.3878429291873671</c:v>
                </c:pt>
                <c:pt idx="7">
                  <c:v>2.3071375497180822</c:v>
                </c:pt>
                <c:pt idx="8">
                  <c:v>2.2961409844992371</c:v>
                </c:pt>
                <c:pt idx="9">
                  <c:v>2.301496872498586</c:v>
                </c:pt>
                <c:pt idx="10">
                  <c:v>2.4899283629767508</c:v>
                </c:pt>
                <c:pt idx="11">
                  <c:v>2.1466455149226338</c:v>
                </c:pt>
              </c:numCache>
            </c:numRef>
          </c:val>
          <c:smooth val="0"/>
        </c:ser>
        <c:ser>
          <c:idx val="2"/>
          <c:order val="2"/>
          <c:tx>
            <c:strRef>
              <c:f>'[Ure programa.xlsx]RADIO IZVEDENA'!$A$90</c:f>
              <c:strCache>
                <c:ptCount val="1"/>
                <c:pt idx="0">
                  <c:v>Druga glasba</c:v>
                </c:pt>
              </c:strCache>
            </c:strRef>
          </c:tx>
          <c:spPr>
            <a:ln w="19050" cap="rnd">
              <a:solidFill>
                <a:schemeClr val="accent3"/>
              </a:solidFill>
              <a:round/>
            </a:ln>
            <a:effectLst/>
          </c:spPr>
          <c:marker>
            <c:symbol val="circle"/>
            <c:size val="5"/>
            <c:spPr>
              <a:solidFill>
                <a:schemeClr val="accent3"/>
              </a:solidFill>
              <a:ln w="9525">
                <a:solidFill>
                  <a:schemeClr val="accent3"/>
                </a:solidFill>
              </a:ln>
              <a:effectLst/>
            </c:spPr>
          </c:marker>
          <c:cat>
            <c:strRef>
              <c:f>'[2]RADIO IZVEDENA'!$B$87:$M$87</c:f>
              <c:strCache>
                <c:ptCount val="12"/>
                <c:pt idx="0">
                  <c:v>2004</c:v>
                </c:pt>
                <c:pt idx="1">
                  <c:v>2005</c:v>
                </c:pt>
                <c:pt idx="2">
                  <c:v>2006</c:v>
                </c:pt>
                <c:pt idx="3">
                  <c:v>2007</c:v>
                </c:pt>
                <c:pt idx="4">
                  <c:v>2008</c:v>
                </c:pt>
                <c:pt idx="5">
                  <c:v>2009</c:v>
                </c:pt>
                <c:pt idx="6">
                  <c:v>2010</c:v>
                </c:pt>
                <c:pt idx="7">
                  <c:v>2011</c:v>
                </c:pt>
                <c:pt idx="8">
                  <c:v>2012</c:v>
                </c:pt>
                <c:pt idx="9">
                  <c:v>2013</c:v>
                </c:pt>
                <c:pt idx="10">
                  <c:v>2014</c:v>
                </c:pt>
                <c:pt idx="11">
                  <c:v>2015</c:v>
                </c:pt>
              </c:strCache>
            </c:strRef>
          </c:cat>
          <c:val>
            <c:numRef>
              <c:f>'[2]RADIO IZVEDENA'!$B$90:$M$90</c:f>
              <c:numCache>
                <c:formatCode>#,##0</c:formatCode>
                <c:ptCount val="12"/>
                <c:pt idx="0">
                  <c:v>6.4339810627965468</c:v>
                </c:pt>
                <c:pt idx="1">
                  <c:v>6.4353295272030371</c:v>
                </c:pt>
                <c:pt idx="2">
                  <c:v>5.1170836885122464</c:v>
                </c:pt>
                <c:pt idx="3">
                  <c:v>4.8033170811080961</c:v>
                </c:pt>
                <c:pt idx="4">
                  <c:v>6.3674969516643856</c:v>
                </c:pt>
                <c:pt idx="5">
                  <c:v>8.522190680220751</c:v>
                </c:pt>
                <c:pt idx="6">
                  <c:v>9.7531499375639807</c:v>
                </c:pt>
                <c:pt idx="7">
                  <c:v>8.606363914506753</c:v>
                </c:pt>
                <c:pt idx="8">
                  <c:v>8.7303157164764613</c:v>
                </c:pt>
                <c:pt idx="9">
                  <c:v>9.2085948275637293</c:v>
                </c:pt>
                <c:pt idx="10">
                  <c:v>9.2602653508967183</c:v>
                </c:pt>
                <c:pt idx="11">
                  <c:v>8.7653458665309163</c:v>
                </c:pt>
              </c:numCache>
            </c:numRef>
          </c:val>
          <c:smooth val="0"/>
        </c:ser>
        <c:dLbls>
          <c:showLegendKey val="0"/>
          <c:showVal val="0"/>
          <c:showCatName val="0"/>
          <c:showSerName val="0"/>
          <c:showPercent val="0"/>
          <c:showBubbleSize val="0"/>
        </c:dLbls>
        <c:marker val="1"/>
        <c:smooth val="0"/>
        <c:axId val="221287168"/>
        <c:axId val="221289088"/>
      </c:lineChart>
      <c:catAx>
        <c:axId val="2212871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vert="horz"/>
          <a:lstStyle/>
          <a:p>
            <a:pPr>
              <a:defRPr/>
            </a:pPr>
            <a:endParaRPr lang="sl-SI"/>
          </a:p>
        </c:txPr>
        <c:crossAx val="221289088"/>
        <c:crosses val="autoZero"/>
        <c:auto val="1"/>
        <c:lblAlgn val="ctr"/>
        <c:lblOffset val="100"/>
        <c:noMultiLvlLbl val="0"/>
      </c:catAx>
      <c:valAx>
        <c:axId val="22128908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vert="horz"/>
              <a:lstStyle/>
              <a:p>
                <a:pPr>
                  <a:defRPr/>
                </a:pPr>
                <a:r>
                  <a:rPr lang="en-US"/>
                  <a:t>% resne in druge glasbe</a:t>
                </a:r>
              </a:p>
            </c:rich>
          </c:tx>
          <c:layout>
            <c:manualLayout>
              <c:xMode val="edge"/>
              <c:yMode val="edge"/>
              <c:x val="0.21749477964657199"/>
              <c:y val="0.28592243431479603"/>
            </c:manualLayout>
          </c:layout>
          <c:overlay val="0"/>
          <c:spPr>
            <a:noFill/>
            <a:ln>
              <a:noFill/>
            </a:ln>
            <a:effectLst/>
          </c:spPr>
        </c:title>
        <c:numFmt formatCode="#,##0" sourceLinked="0"/>
        <c:majorTickMark val="none"/>
        <c:minorTickMark val="none"/>
        <c:tickLblPos val="nextTo"/>
        <c:spPr>
          <a:noFill/>
          <a:ln>
            <a:noFill/>
          </a:ln>
          <a:effectLst/>
        </c:spPr>
        <c:txPr>
          <a:bodyPr rot="-60000000" vert="horz"/>
          <a:lstStyle/>
          <a:p>
            <a:pPr>
              <a:defRPr/>
            </a:pPr>
            <a:endParaRPr lang="sl-SI"/>
          </a:p>
        </c:txPr>
        <c:crossAx val="221287168"/>
        <c:crosses val="autoZero"/>
        <c:crossBetween val="between"/>
      </c:valAx>
      <c:valAx>
        <c:axId val="221291264"/>
        <c:scaling>
          <c:orientation val="minMax"/>
        </c:scaling>
        <c:delete val="0"/>
        <c:axPos val="r"/>
        <c:title>
          <c:tx>
            <c:rich>
              <a:bodyPr rot="-5400000" vert="horz"/>
              <a:lstStyle/>
              <a:p>
                <a:pPr>
                  <a:defRPr/>
                </a:pPr>
                <a:r>
                  <a:rPr lang="en-GB"/>
                  <a:t>% zabavne in popularne glasbe</a:t>
                </a:r>
              </a:p>
            </c:rich>
          </c:tx>
          <c:layout>
            <c:manualLayout>
              <c:xMode val="edge"/>
              <c:yMode val="edge"/>
              <c:x val="0.94976209836152903"/>
              <c:y val="0.237082383547285"/>
            </c:manualLayout>
          </c:layout>
          <c:overlay val="0"/>
          <c:spPr>
            <a:noFill/>
            <a:ln>
              <a:noFill/>
            </a:ln>
            <a:effectLst/>
          </c:spPr>
        </c:title>
        <c:numFmt formatCode="#,##0" sourceLinked="1"/>
        <c:majorTickMark val="out"/>
        <c:minorTickMark val="none"/>
        <c:tickLblPos val="nextTo"/>
        <c:spPr>
          <a:noFill/>
          <a:ln>
            <a:noFill/>
          </a:ln>
          <a:effectLst/>
        </c:spPr>
        <c:txPr>
          <a:bodyPr rot="-60000000" vert="horz"/>
          <a:lstStyle/>
          <a:p>
            <a:pPr>
              <a:defRPr/>
            </a:pPr>
            <a:endParaRPr lang="sl-SI"/>
          </a:p>
        </c:txPr>
        <c:crossAx val="221293184"/>
        <c:crosses val="max"/>
        <c:crossBetween val="between"/>
      </c:valAx>
      <c:catAx>
        <c:axId val="221293184"/>
        <c:scaling>
          <c:orientation val="minMax"/>
        </c:scaling>
        <c:delete val="1"/>
        <c:axPos val="b"/>
        <c:numFmt formatCode="General" sourceLinked="1"/>
        <c:majorTickMark val="out"/>
        <c:minorTickMark val="none"/>
        <c:tickLblPos val="nextTo"/>
        <c:crossAx val="221291264"/>
        <c:crosses val="autoZero"/>
        <c:auto val="1"/>
        <c:lblAlgn val="ctr"/>
        <c:lblOffset val="100"/>
        <c:noMultiLvlLbl val="0"/>
      </c:catAx>
      <c:dTable>
        <c:showHorzBorder val="1"/>
        <c:showVertBorder val="1"/>
        <c:showOutline val="1"/>
        <c:showKeys val="1"/>
        <c:spPr>
          <a:noFill/>
          <a:ln w="9525" cap="flat" cmpd="sng" algn="ctr">
            <a:solidFill>
              <a:schemeClr val="tx1">
                <a:lumMod val="15000"/>
                <a:lumOff val="85000"/>
              </a:schemeClr>
            </a:solidFill>
            <a:round/>
          </a:ln>
          <a:effectLst/>
        </c:spPr>
      </c:dTable>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sz="800" baseline="0">
          <a:solidFill>
            <a:schemeClr val="bg2">
              <a:lumMod val="25000"/>
            </a:schemeClr>
          </a:solidFill>
        </a:defRPr>
      </a:pPr>
      <a:endParaRPr lang="sl-SI"/>
    </a:p>
  </c:txPr>
  <c:externalData r:id="rId1">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'[Ure programa.xlsx]RADIO IZVEDENA'!$A$93</c:f>
              <c:strCache>
                <c:ptCount val="1"/>
                <c:pt idx="0">
                  <c:v>Dnevnoinformativni program</c:v>
                </c:pt>
              </c:strCache>
            </c:strRef>
          </c:tx>
          <c:spPr>
            <a:ln w="19050" cap="rnd">
              <a:solidFill>
                <a:schemeClr val="accent1"/>
              </a:solidFill>
              <a:round/>
            </a:ln>
            <a:effectLst/>
          </c:spPr>
          <c:marker>
            <c:symbol val="circle"/>
            <c:size val="5"/>
            <c:spPr>
              <a:solidFill>
                <a:schemeClr val="accent1"/>
              </a:solidFill>
              <a:ln w="9525">
                <a:solidFill>
                  <a:schemeClr val="accent1"/>
                </a:solidFill>
              </a:ln>
              <a:effectLst/>
            </c:spPr>
          </c:marker>
          <c:cat>
            <c:strRef>
              <c:f>'[2]RADIO IZVEDENA'!$B$92:$M$92</c:f>
              <c:strCache>
                <c:ptCount val="12"/>
                <c:pt idx="0">
                  <c:v>2004</c:v>
                </c:pt>
                <c:pt idx="1">
                  <c:v>2005</c:v>
                </c:pt>
                <c:pt idx="2">
                  <c:v>2006</c:v>
                </c:pt>
                <c:pt idx="3">
                  <c:v>2007</c:v>
                </c:pt>
                <c:pt idx="4">
                  <c:v>2008</c:v>
                </c:pt>
                <c:pt idx="5">
                  <c:v>2009</c:v>
                </c:pt>
                <c:pt idx="6">
                  <c:v>2010</c:v>
                </c:pt>
                <c:pt idx="7">
                  <c:v>2011</c:v>
                </c:pt>
                <c:pt idx="8">
                  <c:v>2012</c:v>
                </c:pt>
                <c:pt idx="9">
                  <c:v>2013</c:v>
                </c:pt>
                <c:pt idx="10">
                  <c:v>2014</c:v>
                </c:pt>
                <c:pt idx="11">
                  <c:v>2015</c:v>
                </c:pt>
              </c:strCache>
            </c:strRef>
          </c:cat>
          <c:val>
            <c:numRef>
              <c:f>'[2]RADIO IZVEDENA'!$B$93:$M$93</c:f>
              <c:numCache>
                <c:formatCode>0.00</c:formatCode>
                <c:ptCount val="12"/>
                <c:pt idx="0">
                  <c:v>33.289364296403043</c:v>
                </c:pt>
                <c:pt idx="1">
                  <c:v>33.769564157721298</c:v>
                </c:pt>
                <c:pt idx="2">
                  <c:v>35.307455595745793</c:v>
                </c:pt>
                <c:pt idx="3">
                  <c:v>33.878984276500198</c:v>
                </c:pt>
                <c:pt idx="4">
                  <c:v>35.2003783439229</c:v>
                </c:pt>
                <c:pt idx="5">
                  <c:v>39.129750818021662</c:v>
                </c:pt>
                <c:pt idx="6">
                  <c:v>40.860054080859307</c:v>
                </c:pt>
                <c:pt idx="7">
                  <c:v>39.73780492623294</c:v>
                </c:pt>
                <c:pt idx="8">
                  <c:v>39.288787384098242</c:v>
                </c:pt>
                <c:pt idx="9">
                  <c:v>37.652771610063127</c:v>
                </c:pt>
                <c:pt idx="10">
                  <c:v>39.677168285337203</c:v>
                </c:pt>
                <c:pt idx="11">
                  <c:v>44.595976815547218</c:v>
                </c:pt>
              </c:numCache>
            </c:numRef>
          </c:val>
          <c:smooth val="0"/>
        </c:ser>
        <c:ser>
          <c:idx val="1"/>
          <c:order val="1"/>
          <c:tx>
            <c:strRef>
              <c:f>'[Ure programa.xlsx]RADIO IZVEDENA'!$A$94</c:f>
              <c:strCache>
                <c:ptCount val="1"/>
                <c:pt idx="0">
                  <c:v>Informativni program</c:v>
                </c:pt>
              </c:strCache>
            </c:strRef>
          </c:tx>
          <c:spPr>
            <a:ln w="19050" cap="rnd">
              <a:solidFill>
                <a:schemeClr val="accent2"/>
              </a:solidFill>
              <a:round/>
            </a:ln>
            <a:effectLst/>
          </c:spPr>
          <c:marker>
            <c:symbol val="circle"/>
            <c:size val="5"/>
            <c:spPr>
              <a:solidFill>
                <a:schemeClr val="accent2"/>
              </a:solidFill>
              <a:ln w="9525">
                <a:solidFill>
                  <a:schemeClr val="accent2"/>
                </a:solidFill>
              </a:ln>
              <a:effectLst/>
            </c:spPr>
          </c:marker>
          <c:cat>
            <c:strRef>
              <c:f>'[2]RADIO IZVEDENA'!$B$92:$M$92</c:f>
              <c:strCache>
                <c:ptCount val="12"/>
                <c:pt idx="0">
                  <c:v>2004</c:v>
                </c:pt>
                <c:pt idx="1">
                  <c:v>2005</c:v>
                </c:pt>
                <c:pt idx="2">
                  <c:v>2006</c:v>
                </c:pt>
                <c:pt idx="3">
                  <c:v>2007</c:v>
                </c:pt>
                <c:pt idx="4">
                  <c:v>2008</c:v>
                </c:pt>
                <c:pt idx="5">
                  <c:v>2009</c:v>
                </c:pt>
                <c:pt idx="6">
                  <c:v>2010</c:v>
                </c:pt>
                <c:pt idx="7">
                  <c:v>2011</c:v>
                </c:pt>
                <c:pt idx="8">
                  <c:v>2012</c:v>
                </c:pt>
                <c:pt idx="9">
                  <c:v>2013</c:v>
                </c:pt>
                <c:pt idx="10">
                  <c:v>2014</c:v>
                </c:pt>
                <c:pt idx="11">
                  <c:v>2015</c:v>
                </c:pt>
              </c:strCache>
            </c:strRef>
          </c:cat>
          <c:val>
            <c:numRef>
              <c:f>'[2]RADIO IZVEDENA'!$B$94:$M$94</c:f>
              <c:numCache>
                <c:formatCode>0.00</c:formatCode>
                <c:ptCount val="12"/>
                <c:pt idx="0">
                  <c:v>30.448373330377269</c:v>
                </c:pt>
                <c:pt idx="1">
                  <c:v>29.726923036166539</c:v>
                </c:pt>
                <c:pt idx="2">
                  <c:v>27.913404956000651</c:v>
                </c:pt>
                <c:pt idx="3">
                  <c:v>27.827156120077941</c:v>
                </c:pt>
                <c:pt idx="4">
                  <c:v>28.627680792877261</c:v>
                </c:pt>
                <c:pt idx="5">
                  <c:v>26.39168554408927</c:v>
                </c:pt>
                <c:pt idx="6">
                  <c:v>28.73209390233632</c:v>
                </c:pt>
                <c:pt idx="7">
                  <c:v>28.12156748085691</c:v>
                </c:pt>
                <c:pt idx="8">
                  <c:v>27.82124791919647</c:v>
                </c:pt>
                <c:pt idx="9">
                  <c:v>26.98144536906532</c:v>
                </c:pt>
                <c:pt idx="10">
                  <c:v>27.924604920307271</c:v>
                </c:pt>
                <c:pt idx="11">
                  <c:v>23.27423570860325</c:v>
                </c:pt>
              </c:numCache>
            </c:numRef>
          </c:val>
          <c:smooth val="0"/>
        </c:ser>
        <c:ser>
          <c:idx val="2"/>
          <c:order val="2"/>
          <c:tx>
            <c:strRef>
              <c:f>'[Ure programa.xlsx]RADIO IZVEDENA'!$A$95</c:f>
              <c:strCache>
                <c:ptCount val="1"/>
                <c:pt idx="0">
                  <c:v>Igrani program / radijska drama</c:v>
                </c:pt>
              </c:strCache>
            </c:strRef>
          </c:tx>
          <c:spPr>
            <a:ln w="19050" cap="rnd">
              <a:solidFill>
                <a:schemeClr val="accent3"/>
              </a:solidFill>
              <a:round/>
            </a:ln>
            <a:effectLst/>
          </c:spPr>
          <c:marker>
            <c:symbol val="circle"/>
            <c:size val="5"/>
            <c:spPr>
              <a:solidFill>
                <a:schemeClr val="accent3"/>
              </a:solidFill>
              <a:ln w="9525">
                <a:solidFill>
                  <a:schemeClr val="accent3"/>
                </a:solidFill>
              </a:ln>
              <a:effectLst/>
            </c:spPr>
          </c:marker>
          <c:cat>
            <c:strRef>
              <c:f>'[2]RADIO IZVEDENA'!$B$92:$M$92</c:f>
              <c:strCache>
                <c:ptCount val="12"/>
                <c:pt idx="0">
                  <c:v>2004</c:v>
                </c:pt>
                <c:pt idx="1">
                  <c:v>2005</c:v>
                </c:pt>
                <c:pt idx="2">
                  <c:v>2006</c:v>
                </c:pt>
                <c:pt idx="3">
                  <c:v>2007</c:v>
                </c:pt>
                <c:pt idx="4">
                  <c:v>2008</c:v>
                </c:pt>
                <c:pt idx="5">
                  <c:v>2009</c:v>
                </c:pt>
                <c:pt idx="6">
                  <c:v>2010</c:v>
                </c:pt>
                <c:pt idx="7">
                  <c:v>2011</c:v>
                </c:pt>
                <c:pt idx="8">
                  <c:v>2012</c:v>
                </c:pt>
                <c:pt idx="9">
                  <c:v>2013</c:v>
                </c:pt>
                <c:pt idx="10">
                  <c:v>2014</c:v>
                </c:pt>
                <c:pt idx="11">
                  <c:v>2015</c:v>
                </c:pt>
              </c:strCache>
            </c:strRef>
          </c:cat>
          <c:val>
            <c:numRef>
              <c:f>'[2]RADIO IZVEDENA'!$B$95:$M$95</c:f>
              <c:numCache>
                <c:formatCode>0.00</c:formatCode>
                <c:ptCount val="12"/>
                <c:pt idx="0">
                  <c:v>0.794768054093</c:v>
                </c:pt>
                <c:pt idx="1">
                  <c:v>0.63262300119742698</c:v>
                </c:pt>
                <c:pt idx="2">
                  <c:v>0.62300923176591305</c:v>
                </c:pt>
                <c:pt idx="3">
                  <c:v>0.76377238957601801</c:v>
                </c:pt>
                <c:pt idx="4">
                  <c:v>1.1319474430941949</c:v>
                </c:pt>
                <c:pt idx="5">
                  <c:v>0.96589478983136201</c:v>
                </c:pt>
                <c:pt idx="6">
                  <c:v>0.63718105860007301</c:v>
                </c:pt>
                <c:pt idx="7">
                  <c:v>0.75703098453538997</c:v>
                </c:pt>
                <c:pt idx="8">
                  <c:v>0.43747135125572001</c:v>
                </c:pt>
                <c:pt idx="9">
                  <c:v>0.32050663217037001</c:v>
                </c:pt>
                <c:pt idx="10">
                  <c:v>0.4275095033445</c:v>
                </c:pt>
                <c:pt idx="11">
                  <c:v>0.42959427207637202</c:v>
                </c:pt>
              </c:numCache>
            </c:numRef>
          </c:val>
          <c:smooth val="0"/>
        </c:ser>
        <c:ser>
          <c:idx val="3"/>
          <c:order val="3"/>
          <c:tx>
            <c:strRef>
              <c:f>'[Ure programa.xlsx]RADIO IZVEDENA'!$A$96</c:f>
              <c:strCache>
                <c:ptCount val="1"/>
                <c:pt idx="0">
                  <c:v>Izobraževalni program</c:v>
                </c:pt>
              </c:strCache>
            </c:strRef>
          </c:tx>
          <c:spPr>
            <a:ln w="19050" cap="rnd">
              <a:solidFill>
                <a:schemeClr val="accent5"/>
              </a:solidFill>
              <a:round/>
            </a:ln>
            <a:effectLst/>
          </c:spPr>
          <c:marker>
            <c:symbol val="circle"/>
            <c:size val="5"/>
            <c:spPr>
              <a:solidFill>
                <a:schemeClr val="accent5"/>
              </a:solidFill>
              <a:ln w="9525">
                <a:solidFill>
                  <a:schemeClr val="accent5"/>
                </a:solidFill>
              </a:ln>
              <a:effectLst/>
            </c:spPr>
          </c:marker>
          <c:cat>
            <c:strRef>
              <c:f>'[2]RADIO IZVEDENA'!$B$92:$M$92</c:f>
              <c:strCache>
                <c:ptCount val="12"/>
                <c:pt idx="0">
                  <c:v>2004</c:v>
                </c:pt>
                <c:pt idx="1">
                  <c:v>2005</c:v>
                </c:pt>
                <c:pt idx="2">
                  <c:v>2006</c:v>
                </c:pt>
                <c:pt idx="3">
                  <c:v>2007</c:v>
                </c:pt>
                <c:pt idx="4">
                  <c:v>2008</c:v>
                </c:pt>
                <c:pt idx="5">
                  <c:v>2009</c:v>
                </c:pt>
                <c:pt idx="6">
                  <c:v>2010</c:v>
                </c:pt>
                <c:pt idx="7">
                  <c:v>2011</c:v>
                </c:pt>
                <c:pt idx="8">
                  <c:v>2012</c:v>
                </c:pt>
                <c:pt idx="9">
                  <c:v>2013</c:v>
                </c:pt>
                <c:pt idx="10">
                  <c:v>2014</c:v>
                </c:pt>
                <c:pt idx="11">
                  <c:v>2015</c:v>
                </c:pt>
              </c:strCache>
            </c:strRef>
          </c:cat>
          <c:val>
            <c:numRef>
              <c:f>'[2]RADIO IZVEDENA'!$B$96:$M$96</c:f>
              <c:numCache>
                <c:formatCode>0.00</c:formatCode>
                <c:ptCount val="12"/>
                <c:pt idx="0">
                  <c:v>10.075929723438451</c:v>
                </c:pt>
                <c:pt idx="1">
                  <c:v>9.5476268689929942</c:v>
                </c:pt>
                <c:pt idx="2">
                  <c:v>10.388166063812561</c:v>
                </c:pt>
                <c:pt idx="3">
                  <c:v>10.499004907732539</c:v>
                </c:pt>
                <c:pt idx="4">
                  <c:v>10.52988711368824</c:v>
                </c:pt>
                <c:pt idx="5">
                  <c:v>10.28400033559862</c:v>
                </c:pt>
                <c:pt idx="6">
                  <c:v>9.1825182218812262</c:v>
                </c:pt>
                <c:pt idx="7">
                  <c:v>9.5332169075521183</c:v>
                </c:pt>
                <c:pt idx="8">
                  <c:v>12.07388762454665</c:v>
                </c:pt>
                <c:pt idx="9">
                  <c:v>13.942038499411121</c:v>
                </c:pt>
                <c:pt idx="10">
                  <c:v>9.6522396309205565</c:v>
                </c:pt>
                <c:pt idx="11">
                  <c:v>9.1601318331628594</c:v>
                </c:pt>
              </c:numCache>
            </c:numRef>
          </c:val>
          <c:smooth val="0"/>
        </c:ser>
        <c:ser>
          <c:idx val="4"/>
          <c:order val="4"/>
          <c:tx>
            <c:strRef>
              <c:f>'[Ure programa.xlsx]RADIO IZVEDENA'!$A$97</c:f>
              <c:strCache>
                <c:ptCount val="1"/>
                <c:pt idx="0">
                  <c:v>Umetnost in kultura</c:v>
                </c:pt>
              </c:strCache>
            </c:strRef>
          </c:tx>
          <c:spPr>
            <a:ln w="19050" cap="rnd">
              <a:solidFill>
                <a:srgbClr val="AD49F9"/>
              </a:solidFill>
              <a:round/>
            </a:ln>
            <a:effectLst/>
          </c:spPr>
          <c:marker>
            <c:symbol val="circle"/>
            <c:size val="5"/>
            <c:spPr>
              <a:solidFill>
                <a:srgbClr val="AD49F9"/>
              </a:solidFill>
              <a:ln w="9525">
                <a:solidFill>
                  <a:srgbClr val="AD49F9"/>
                </a:solidFill>
              </a:ln>
              <a:effectLst/>
            </c:spPr>
          </c:marker>
          <c:cat>
            <c:strRef>
              <c:f>'[2]RADIO IZVEDENA'!$B$92:$M$92</c:f>
              <c:strCache>
                <c:ptCount val="12"/>
                <c:pt idx="0">
                  <c:v>2004</c:v>
                </c:pt>
                <c:pt idx="1">
                  <c:v>2005</c:v>
                </c:pt>
                <c:pt idx="2">
                  <c:v>2006</c:v>
                </c:pt>
                <c:pt idx="3">
                  <c:v>2007</c:v>
                </c:pt>
                <c:pt idx="4">
                  <c:v>2008</c:v>
                </c:pt>
                <c:pt idx="5">
                  <c:v>2009</c:v>
                </c:pt>
                <c:pt idx="6">
                  <c:v>2010</c:v>
                </c:pt>
                <c:pt idx="7">
                  <c:v>2011</c:v>
                </c:pt>
                <c:pt idx="8">
                  <c:v>2012</c:v>
                </c:pt>
                <c:pt idx="9">
                  <c:v>2013</c:v>
                </c:pt>
                <c:pt idx="10">
                  <c:v>2014</c:v>
                </c:pt>
                <c:pt idx="11">
                  <c:v>2015</c:v>
                </c:pt>
              </c:strCache>
            </c:strRef>
          </c:cat>
          <c:val>
            <c:numRef>
              <c:f>'[2]RADIO IZVEDENA'!$B$97:$M$97</c:f>
              <c:numCache>
                <c:formatCode>0.00</c:formatCode>
                <c:ptCount val="12"/>
                <c:pt idx="0">
                  <c:v>6.3780967688300176</c:v>
                </c:pt>
                <c:pt idx="1">
                  <c:v>6.8295732708834356</c:v>
                </c:pt>
                <c:pt idx="2">
                  <c:v>7.9987043135561198</c:v>
                </c:pt>
                <c:pt idx="3">
                  <c:v>7.1459086599076764</c:v>
                </c:pt>
                <c:pt idx="4">
                  <c:v>6.7176608475726347</c:v>
                </c:pt>
                <c:pt idx="5">
                  <c:v>8.1550465643090906</c:v>
                </c:pt>
                <c:pt idx="6">
                  <c:v>7.6536579432431662</c:v>
                </c:pt>
                <c:pt idx="7">
                  <c:v>6.739788379021233</c:v>
                </c:pt>
                <c:pt idx="8">
                  <c:v>7.4410338477374456</c:v>
                </c:pt>
                <c:pt idx="9">
                  <c:v>8.0802425038132561</c:v>
                </c:pt>
                <c:pt idx="10">
                  <c:v>9.1750984174252395</c:v>
                </c:pt>
                <c:pt idx="11">
                  <c:v>8.2463916354130848</c:v>
                </c:pt>
              </c:numCache>
            </c:numRef>
          </c:val>
          <c:smooth val="0"/>
        </c:ser>
        <c:ser>
          <c:idx val="5"/>
          <c:order val="5"/>
          <c:tx>
            <c:strRef>
              <c:f>'[Ure programa.xlsx]RADIO IZVEDENA'!$A$98</c:f>
              <c:strCache>
                <c:ptCount val="1"/>
                <c:pt idx="0">
                  <c:v>Znanost</c:v>
                </c:pt>
              </c:strCache>
            </c:strRef>
          </c:tx>
          <c:spPr>
            <a:ln w="19050" cap="rnd">
              <a:solidFill>
                <a:schemeClr val="accent6"/>
              </a:solidFill>
              <a:round/>
            </a:ln>
            <a:effectLst/>
          </c:spPr>
          <c:marker>
            <c:symbol val="circle"/>
            <c:size val="5"/>
            <c:spPr>
              <a:solidFill>
                <a:schemeClr val="accent6"/>
              </a:solidFill>
              <a:ln w="9525">
                <a:solidFill>
                  <a:schemeClr val="accent6"/>
                </a:solidFill>
              </a:ln>
              <a:effectLst/>
            </c:spPr>
          </c:marker>
          <c:cat>
            <c:strRef>
              <c:f>'[2]RADIO IZVEDENA'!$B$92:$M$92</c:f>
              <c:strCache>
                <c:ptCount val="12"/>
                <c:pt idx="0">
                  <c:v>2004</c:v>
                </c:pt>
                <c:pt idx="1">
                  <c:v>2005</c:v>
                </c:pt>
                <c:pt idx="2">
                  <c:v>2006</c:v>
                </c:pt>
                <c:pt idx="3">
                  <c:v>2007</c:v>
                </c:pt>
                <c:pt idx="4">
                  <c:v>2008</c:v>
                </c:pt>
                <c:pt idx="5">
                  <c:v>2009</c:v>
                </c:pt>
                <c:pt idx="6">
                  <c:v>2010</c:v>
                </c:pt>
                <c:pt idx="7">
                  <c:v>2011</c:v>
                </c:pt>
                <c:pt idx="8">
                  <c:v>2012</c:v>
                </c:pt>
                <c:pt idx="9">
                  <c:v>2013</c:v>
                </c:pt>
                <c:pt idx="10">
                  <c:v>2014</c:v>
                </c:pt>
                <c:pt idx="11">
                  <c:v>2015</c:v>
                </c:pt>
              </c:strCache>
            </c:strRef>
          </c:cat>
          <c:val>
            <c:numRef>
              <c:f>'[2]RADIO IZVEDENA'!$B$98:$M$98</c:f>
              <c:numCache>
                <c:formatCode>0.00</c:formatCode>
                <c:ptCount val="12"/>
                <c:pt idx="0">
                  <c:v>0.81693731641079603</c:v>
                </c:pt>
                <c:pt idx="1">
                  <c:v>0.84243766491114702</c:v>
                </c:pt>
                <c:pt idx="2">
                  <c:v>0.99012039086541104</c:v>
                </c:pt>
                <c:pt idx="3">
                  <c:v>1.21495034958477</c:v>
                </c:pt>
                <c:pt idx="4">
                  <c:v>0.89137005736845298</c:v>
                </c:pt>
                <c:pt idx="5">
                  <c:v>2.3942864334256071</c:v>
                </c:pt>
                <c:pt idx="6">
                  <c:v>2.2502502877139139</c:v>
                </c:pt>
                <c:pt idx="7">
                  <c:v>2.627482279311244</c:v>
                </c:pt>
                <c:pt idx="8">
                  <c:v>2.6224155817001868</c:v>
                </c:pt>
                <c:pt idx="9">
                  <c:v>3.8817986986658428</c:v>
                </c:pt>
                <c:pt idx="10">
                  <c:v>3.7911858594745809</c:v>
                </c:pt>
                <c:pt idx="11">
                  <c:v>4.0436413228776003</c:v>
                </c:pt>
              </c:numCache>
            </c:numRef>
          </c:val>
          <c:smooth val="0"/>
        </c:ser>
        <c:ser>
          <c:idx val="6"/>
          <c:order val="6"/>
          <c:tx>
            <c:strRef>
              <c:f>'[Ure programa.xlsx]RADIO IZVEDENA'!$A$99</c:f>
              <c:strCache>
                <c:ptCount val="1"/>
                <c:pt idx="0">
                  <c:v>Ostale pogovorne oddaje</c:v>
                </c:pt>
              </c:strCache>
            </c:strRef>
          </c:tx>
          <c:spPr>
            <a:ln w="19050" cap="rnd">
              <a:solidFill>
                <a:schemeClr val="accent1">
                  <a:lumMod val="60000"/>
                </a:schemeClr>
              </a:solidFill>
              <a:round/>
            </a:ln>
            <a:effectLst/>
          </c:spPr>
          <c:marker>
            <c:symbol val="circle"/>
            <c:size val="5"/>
            <c:spPr>
              <a:solidFill>
                <a:schemeClr val="accent1">
                  <a:lumMod val="60000"/>
                </a:schemeClr>
              </a:solidFill>
              <a:ln w="9525">
                <a:solidFill>
                  <a:schemeClr val="accent1">
                    <a:lumMod val="60000"/>
                  </a:schemeClr>
                </a:solidFill>
              </a:ln>
              <a:effectLst/>
            </c:spPr>
          </c:marker>
          <c:cat>
            <c:strRef>
              <c:f>'[2]RADIO IZVEDENA'!$B$92:$M$92</c:f>
              <c:strCache>
                <c:ptCount val="12"/>
                <c:pt idx="0">
                  <c:v>2004</c:v>
                </c:pt>
                <c:pt idx="1">
                  <c:v>2005</c:v>
                </c:pt>
                <c:pt idx="2">
                  <c:v>2006</c:v>
                </c:pt>
                <c:pt idx="3">
                  <c:v>2007</c:v>
                </c:pt>
                <c:pt idx="4">
                  <c:v>2008</c:v>
                </c:pt>
                <c:pt idx="5">
                  <c:v>2009</c:v>
                </c:pt>
                <c:pt idx="6">
                  <c:v>2010</c:v>
                </c:pt>
                <c:pt idx="7">
                  <c:v>2011</c:v>
                </c:pt>
                <c:pt idx="8">
                  <c:v>2012</c:v>
                </c:pt>
                <c:pt idx="9">
                  <c:v>2013</c:v>
                </c:pt>
                <c:pt idx="10">
                  <c:v>2014</c:v>
                </c:pt>
                <c:pt idx="11">
                  <c:v>2015</c:v>
                </c:pt>
              </c:strCache>
            </c:strRef>
          </c:cat>
          <c:val>
            <c:numRef>
              <c:f>'[2]RADIO IZVEDENA'!$B$99:$M$99</c:f>
              <c:numCache>
                <c:formatCode>0.00</c:formatCode>
                <c:ptCount val="12"/>
                <c:pt idx="0">
                  <c:v>18.196530510447261</c:v>
                </c:pt>
                <c:pt idx="1">
                  <c:v>18.651252000127151</c:v>
                </c:pt>
                <c:pt idx="2">
                  <c:v>16.77913944825352</c:v>
                </c:pt>
                <c:pt idx="3">
                  <c:v>18.670223296620851</c:v>
                </c:pt>
                <c:pt idx="4">
                  <c:v>16.901075401476369</c:v>
                </c:pt>
                <c:pt idx="5">
                  <c:v>12.6793355147244</c:v>
                </c:pt>
                <c:pt idx="6">
                  <c:v>10.68424450536598</c:v>
                </c:pt>
                <c:pt idx="7">
                  <c:v>12.48231882225576</c:v>
                </c:pt>
                <c:pt idx="8">
                  <c:v>10.315960466743331</c:v>
                </c:pt>
                <c:pt idx="9">
                  <c:v>9.1421620682331479</c:v>
                </c:pt>
                <c:pt idx="10">
                  <c:v>9.3533213766031604</c:v>
                </c:pt>
                <c:pt idx="11">
                  <c:v>10.251164905102851</c:v>
                </c:pt>
              </c:numCache>
            </c:numRef>
          </c:val>
          <c:smooth val="0"/>
        </c:ser>
        <c:dLbls>
          <c:showLegendKey val="0"/>
          <c:showVal val="0"/>
          <c:showCatName val="0"/>
          <c:showSerName val="0"/>
          <c:showPercent val="0"/>
          <c:showBubbleSize val="0"/>
        </c:dLbls>
        <c:marker val="1"/>
        <c:smooth val="0"/>
        <c:axId val="223698944"/>
        <c:axId val="223700864"/>
      </c:lineChart>
      <c:catAx>
        <c:axId val="2236989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vert="horz"/>
          <a:lstStyle/>
          <a:p>
            <a:pPr>
              <a:defRPr/>
            </a:pPr>
            <a:endParaRPr lang="sl-SI"/>
          </a:p>
        </c:txPr>
        <c:crossAx val="223700864"/>
        <c:crosses val="autoZero"/>
        <c:auto val="1"/>
        <c:lblAlgn val="ctr"/>
        <c:lblOffset val="100"/>
        <c:noMultiLvlLbl val="0"/>
      </c:catAx>
      <c:valAx>
        <c:axId val="223700864"/>
        <c:scaling>
          <c:orientation val="minMax"/>
          <c:max val="46"/>
          <c:min val="0"/>
        </c:scaling>
        <c:delete val="0"/>
        <c:axPos val="l"/>
        <c:majorGridlines>
          <c:spPr>
            <a:ln w="9525" cap="flat" cmpd="sng" algn="ctr">
              <a:solidFill>
                <a:schemeClr val="tx1">
                  <a:lumMod val="15000"/>
                  <a:lumOff val="85000"/>
                </a:schemeClr>
              </a:solidFill>
              <a:round/>
            </a:ln>
            <a:effectLst/>
          </c:spPr>
        </c:majorGridlines>
        <c:title>
          <c:tx>
            <c:rich>
              <a:bodyPr rot="-5400000" vert="horz"/>
              <a:lstStyle/>
              <a:p>
                <a:pPr>
                  <a:defRPr/>
                </a:pPr>
                <a:r>
                  <a:rPr lang="en-US"/>
                  <a:t>%</a:t>
                </a:r>
              </a:p>
            </c:rich>
          </c:tx>
          <c:layout>
            <c:manualLayout>
              <c:xMode val="edge"/>
              <c:yMode val="edge"/>
              <c:x val="0.23195042796521201"/>
              <c:y val="0.24521333229068301"/>
            </c:manualLayout>
          </c:layout>
          <c:overlay val="0"/>
          <c:spPr>
            <a:noFill/>
            <a:ln>
              <a:noFill/>
            </a:ln>
            <a:effectLst/>
          </c:spPr>
        </c:title>
        <c:numFmt formatCode="0.00" sourceLinked="0"/>
        <c:majorTickMark val="none"/>
        <c:minorTickMark val="none"/>
        <c:tickLblPos val="nextTo"/>
        <c:spPr>
          <a:noFill/>
          <a:ln>
            <a:noFill/>
          </a:ln>
          <a:effectLst/>
        </c:spPr>
        <c:txPr>
          <a:bodyPr rot="-60000000" vert="horz"/>
          <a:lstStyle/>
          <a:p>
            <a:pPr>
              <a:defRPr/>
            </a:pPr>
            <a:endParaRPr lang="sl-SI"/>
          </a:p>
        </c:txPr>
        <c:crossAx val="223698944"/>
        <c:crosses val="autoZero"/>
        <c:crossBetween val="between"/>
        <c:majorUnit val="5"/>
      </c:valAx>
      <c:dTable>
        <c:showHorzBorder val="1"/>
        <c:showVertBorder val="1"/>
        <c:showOutline val="1"/>
        <c:showKeys val="1"/>
        <c:spPr>
          <a:noFill/>
          <a:ln w="9525" cap="flat" cmpd="sng" algn="ctr">
            <a:solidFill>
              <a:schemeClr val="tx1">
                <a:lumMod val="15000"/>
                <a:lumOff val="85000"/>
              </a:schemeClr>
            </a:solidFill>
            <a:round/>
          </a:ln>
          <a:effectLst/>
        </c:spPr>
      </c:dTable>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sz="800" baseline="0">
          <a:solidFill>
            <a:schemeClr val="bg2">
              <a:lumMod val="25000"/>
            </a:schemeClr>
          </a:solidFill>
        </a:defRPr>
      </a:pPr>
      <a:endParaRPr lang="sl-SI"/>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spPr>
            <a:solidFill>
              <a:schemeClr val="accent1"/>
            </a:solidFill>
          </c:spPr>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List1!$B$96:$B$104</c:f>
              <c:strCache>
                <c:ptCount val="9"/>
                <c:pt idx="0">
                  <c:v>Do 5 milijonov €</c:v>
                </c:pt>
                <c:pt idx="1">
                  <c:v>Od 6 do 10 milijonov €</c:v>
                </c:pt>
                <c:pt idx="2">
                  <c:v>Od 11 do 30 milijonov €</c:v>
                </c:pt>
                <c:pt idx="3">
                  <c:v>Od 31 do 50 milijonov €</c:v>
                </c:pt>
                <c:pt idx="4">
                  <c:v>Od 51 do 100 milijonov €</c:v>
                </c:pt>
                <c:pt idx="5">
                  <c:v>101 milijon ali več €</c:v>
                </c:pt>
                <c:pt idx="6">
                  <c:v>Preveč</c:v>
                </c:pt>
                <c:pt idx="7">
                  <c:v>Premalo</c:v>
                </c:pt>
                <c:pt idx="8">
                  <c:v>Brez odgovora</c:v>
                </c:pt>
              </c:strCache>
            </c:strRef>
          </c:cat>
          <c:val>
            <c:numRef>
              <c:f>List1!$C$96:$C$104</c:f>
              <c:numCache>
                <c:formatCode>General</c:formatCode>
                <c:ptCount val="9"/>
                <c:pt idx="0">
                  <c:v>46</c:v>
                </c:pt>
                <c:pt idx="1">
                  <c:v>13</c:v>
                </c:pt>
                <c:pt idx="2">
                  <c:v>8</c:v>
                </c:pt>
                <c:pt idx="3">
                  <c:v>5</c:v>
                </c:pt>
                <c:pt idx="4">
                  <c:v>4</c:v>
                </c:pt>
                <c:pt idx="5">
                  <c:v>5</c:v>
                </c:pt>
                <c:pt idx="6">
                  <c:v>2</c:v>
                </c:pt>
                <c:pt idx="7">
                  <c:v>1</c:v>
                </c:pt>
                <c:pt idx="8">
                  <c:v>16</c:v>
                </c:pt>
              </c:numCache>
            </c:numRef>
          </c:val>
        </c:ser>
        <c:dLbls>
          <c:showLegendKey val="0"/>
          <c:showVal val="0"/>
          <c:showCatName val="0"/>
          <c:showSerName val="0"/>
          <c:showPercent val="0"/>
          <c:showBubbleSize val="0"/>
        </c:dLbls>
        <c:gapWidth val="150"/>
        <c:axId val="210763776"/>
        <c:axId val="210765312"/>
      </c:barChart>
      <c:catAx>
        <c:axId val="210763776"/>
        <c:scaling>
          <c:orientation val="minMax"/>
        </c:scaling>
        <c:delete val="0"/>
        <c:axPos val="b"/>
        <c:numFmt formatCode="General" sourceLinked="0"/>
        <c:majorTickMark val="out"/>
        <c:minorTickMark val="none"/>
        <c:tickLblPos val="nextTo"/>
        <c:crossAx val="210765312"/>
        <c:crosses val="autoZero"/>
        <c:auto val="1"/>
        <c:lblAlgn val="ctr"/>
        <c:lblOffset val="100"/>
        <c:noMultiLvlLbl val="0"/>
      </c:catAx>
      <c:valAx>
        <c:axId val="210765312"/>
        <c:scaling>
          <c:orientation val="minMax"/>
        </c:scaling>
        <c:delete val="0"/>
        <c:axPos val="l"/>
        <c:majorGridlines>
          <c:spPr>
            <a:ln>
              <a:solidFill>
                <a:schemeClr val="bg1">
                  <a:lumMod val="85000"/>
                </a:schemeClr>
              </a:solidFill>
            </a:ln>
          </c:spPr>
        </c:majorGridlines>
        <c:title>
          <c:tx>
            <c:rich>
              <a:bodyPr rot="-5400000" vert="horz"/>
              <a:lstStyle/>
              <a:p>
                <a:pPr>
                  <a:defRPr/>
                </a:pPr>
                <a:r>
                  <a:rPr lang="en-US"/>
                  <a:t>%</a:t>
                </a:r>
              </a:p>
            </c:rich>
          </c:tx>
          <c:overlay val="0"/>
        </c:title>
        <c:numFmt formatCode="General" sourceLinked="1"/>
        <c:majorTickMark val="out"/>
        <c:minorTickMark val="none"/>
        <c:tickLblPos val="nextTo"/>
        <c:spPr>
          <a:ln>
            <a:noFill/>
          </a:ln>
        </c:spPr>
        <c:crossAx val="210763776"/>
        <c:crosses val="autoZero"/>
        <c:crossBetween val="between"/>
      </c:valAx>
    </c:plotArea>
    <c:plotVisOnly val="1"/>
    <c:dispBlanksAs val="gap"/>
    <c:showDLblsOverMax val="0"/>
  </c:chart>
  <c:spPr>
    <a:ln>
      <a:noFill/>
    </a:ln>
  </c:spPr>
  <c:txPr>
    <a:bodyPr/>
    <a:lstStyle/>
    <a:p>
      <a:pPr>
        <a:defRPr sz="800" baseline="0">
          <a:solidFill>
            <a:schemeClr val="bg2">
              <a:lumMod val="25000"/>
            </a:schemeClr>
          </a:solidFill>
        </a:defRPr>
      </a:pPr>
      <a:endParaRPr lang="sl-SI"/>
    </a:p>
  </c:txPr>
  <c:externalData r:id="rId1">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1"/>
          <c:order val="0"/>
          <c:tx>
            <c:strRef>
              <c:f>'TV izvedena'!$C$74</c:f>
              <c:strCache>
                <c:ptCount val="1"/>
                <c:pt idx="0">
                  <c:v>2015</c:v>
                </c:pt>
              </c:strCache>
            </c:strRef>
          </c:tx>
          <c:spPr>
            <a:solidFill>
              <a:schemeClr val="accent2"/>
            </a:solidFill>
            <a:ln>
              <a:noFill/>
            </a:ln>
            <a:effectLst/>
          </c:spPr>
          <c:invertIfNegative val="0"/>
          <c:dLbls>
            <c:spPr>
              <a:noFill/>
              <a:ln>
                <a:noFill/>
              </a:ln>
              <a:effectLst/>
            </c:spPr>
            <c:txPr>
              <a:bodyPr rot="0" vert="horz"/>
              <a:lstStyle/>
              <a:p>
                <a:pPr>
                  <a:defRPr/>
                </a:pPr>
                <a:endParaRPr lang="sl-SI"/>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'TV izvedena'!$A$75:$A$87</c:f>
              <c:strCache>
                <c:ptCount val="13"/>
                <c:pt idx="0">
                  <c:v>Oddaje za Slovence zunaj RS</c:v>
                </c:pt>
                <c:pt idx="1">
                  <c:v>Prog. za italij. in madž. narodno skup.</c:v>
                </c:pt>
                <c:pt idx="2">
                  <c:v>Znanost</c:v>
                </c:pt>
                <c:pt idx="3">
                  <c:v>Umetnost in kultura</c:v>
                </c:pt>
                <c:pt idx="4">
                  <c:v>Drug program</c:v>
                </c:pt>
                <c:pt idx="5">
                  <c:v>Verski prog.</c:v>
                </c:pt>
                <c:pt idx="6">
                  <c:v>Dnevnoinformat. prog.</c:v>
                </c:pt>
                <c:pt idx="7">
                  <c:v>Razvedril. prog.</c:v>
                </c:pt>
                <c:pt idx="8">
                  <c:v>Izobraž. prog.</c:v>
                </c:pt>
                <c:pt idx="9">
                  <c:v>Šport</c:v>
                </c:pt>
                <c:pt idx="10">
                  <c:v>Informativni prog.</c:v>
                </c:pt>
                <c:pt idx="11">
                  <c:v>Igrani prog.</c:v>
                </c:pt>
                <c:pt idx="12">
                  <c:v>Glasba</c:v>
                </c:pt>
              </c:strCache>
            </c:strRef>
          </c:cat>
          <c:val>
            <c:numRef>
              <c:f>'TV izvedena'!$C$75:$C$87</c:f>
              <c:numCache>
                <c:formatCode>0.00</c:formatCode>
                <c:ptCount val="13"/>
                <c:pt idx="0">
                  <c:v>0.107886751047879</c:v>
                </c:pt>
                <c:pt idx="1">
                  <c:v>0.148286896121127</c:v>
                </c:pt>
                <c:pt idx="2">
                  <c:v>0.27729190482093102</c:v>
                </c:pt>
                <c:pt idx="3">
                  <c:v>2.3014309915021971</c:v>
                </c:pt>
                <c:pt idx="4">
                  <c:v>2.6829369069098021</c:v>
                </c:pt>
                <c:pt idx="5">
                  <c:v>4.562920930488775</c:v>
                </c:pt>
                <c:pt idx="6">
                  <c:v>5.5169152652866256</c:v>
                </c:pt>
                <c:pt idx="7">
                  <c:v>5.6615294209465556</c:v>
                </c:pt>
                <c:pt idx="8">
                  <c:v>7.7210186345669056</c:v>
                </c:pt>
                <c:pt idx="9">
                  <c:v>10.253373182567341</c:v>
                </c:pt>
                <c:pt idx="10">
                  <c:v>12.01491132627249</c:v>
                </c:pt>
                <c:pt idx="11">
                  <c:v>22.878877610515051</c:v>
                </c:pt>
                <c:pt idx="12">
                  <c:v>25.87216108639663</c:v>
                </c:pt>
              </c:numCache>
            </c:numRef>
          </c:val>
        </c:ser>
        <c:ser>
          <c:idx val="0"/>
          <c:order val="1"/>
          <c:tx>
            <c:strRef>
              <c:f>'TV izvedena'!$B$74</c:f>
              <c:strCache>
                <c:ptCount val="1"/>
                <c:pt idx="0">
                  <c:v>2004</c:v>
                </c:pt>
              </c:strCache>
            </c:strRef>
          </c:tx>
          <c:spPr>
            <a:solidFill>
              <a:schemeClr val="accent1"/>
            </a:solidFill>
            <a:ln>
              <a:noFill/>
            </a:ln>
            <a:effectLst/>
          </c:spPr>
          <c:invertIfNegative val="0"/>
          <c:dLbls>
            <c:spPr>
              <a:noFill/>
              <a:ln>
                <a:noFill/>
              </a:ln>
              <a:effectLst/>
            </c:spPr>
            <c:txPr>
              <a:bodyPr rot="0" vert="horz"/>
              <a:lstStyle/>
              <a:p>
                <a:pPr>
                  <a:defRPr/>
                </a:pPr>
                <a:endParaRPr lang="sl-SI"/>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'TV izvedena'!$A$75:$A$87</c:f>
              <c:strCache>
                <c:ptCount val="13"/>
                <c:pt idx="0">
                  <c:v>Oddaje za Slovence zunaj RS</c:v>
                </c:pt>
                <c:pt idx="1">
                  <c:v>Prog. za italij. in madž. narodno skup.</c:v>
                </c:pt>
                <c:pt idx="2">
                  <c:v>Znanost</c:v>
                </c:pt>
                <c:pt idx="3">
                  <c:v>Umetnost in kultura</c:v>
                </c:pt>
                <c:pt idx="4">
                  <c:v>Drug program</c:v>
                </c:pt>
                <c:pt idx="5">
                  <c:v>Verski prog.</c:v>
                </c:pt>
                <c:pt idx="6">
                  <c:v>Dnevnoinformat. prog.</c:v>
                </c:pt>
                <c:pt idx="7">
                  <c:v>Razvedril. prog.</c:v>
                </c:pt>
                <c:pt idx="8">
                  <c:v>Izobraž. prog.</c:v>
                </c:pt>
                <c:pt idx="9">
                  <c:v>Šport</c:v>
                </c:pt>
                <c:pt idx="10">
                  <c:v>Informativni prog.</c:v>
                </c:pt>
                <c:pt idx="11">
                  <c:v>Igrani prog.</c:v>
                </c:pt>
                <c:pt idx="12">
                  <c:v>Glasba</c:v>
                </c:pt>
              </c:strCache>
            </c:strRef>
          </c:cat>
          <c:val>
            <c:numRef>
              <c:f>'TV izvedena'!$B$75:$B$87</c:f>
              <c:numCache>
                <c:formatCode>0.00</c:formatCode>
                <c:ptCount val="13"/>
                <c:pt idx="0">
                  <c:v>1.349532445451969</c:v>
                </c:pt>
                <c:pt idx="1">
                  <c:v>0</c:v>
                </c:pt>
                <c:pt idx="2">
                  <c:v>0.484379427599887</c:v>
                </c:pt>
                <c:pt idx="3">
                  <c:v>3.256942476622271</c:v>
                </c:pt>
                <c:pt idx="4">
                  <c:v>3.1887574383678099</c:v>
                </c:pt>
                <c:pt idx="5">
                  <c:v>0.89260413714933395</c:v>
                </c:pt>
                <c:pt idx="6">
                  <c:v>6.5448781524511199</c:v>
                </c:pt>
                <c:pt idx="7">
                  <c:v>11.785385378294141</c:v>
                </c:pt>
                <c:pt idx="8">
                  <c:v>6.6661943893454003</c:v>
                </c:pt>
                <c:pt idx="9">
                  <c:v>6.7148979880986106</c:v>
                </c:pt>
                <c:pt idx="10">
                  <c:v>15.27699064890904</c:v>
                </c:pt>
                <c:pt idx="11">
                  <c:v>18.358600170019841</c:v>
                </c:pt>
                <c:pt idx="12">
                  <c:v>25.480837347690571</c:v>
                </c:pt>
              </c:numCache>
            </c:numRef>
          </c:val>
        </c:ser>
        <c:dLbls>
          <c:dLblPos val="outEnd"/>
          <c:showLegendKey val="0"/>
          <c:showVal val="1"/>
          <c:showCatName val="0"/>
          <c:showSerName val="0"/>
          <c:showPercent val="0"/>
          <c:showBubbleSize val="0"/>
        </c:dLbls>
        <c:gapWidth val="182"/>
        <c:axId val="223732096"/>
        <c:axId val="223734016"/>
      </c:barChart>
      <c:catAx>
        <c:axId val="223732096"/>
        <c:scaling>
          <c:orientation val="minMax"/>
        </c:scaling>
        <c:delete val="0"/>
        <c:axPos val="l"/>
        <c:title>
          <c:tx>
            <c:rich>
              <a:bodyPr rot="-5400000" vert="horz"/>
              <a:lstStyle/>
              <a:p>
                <a:pPr>
                  <a:defRPr/>
                </a:pPr>
                <a:r>
                  <a:rPr lang="en-US"/>
                  <a:t>%</a:t>
                </a:r>
              </a:p>
            </c:rich>
          </c:tx>
          <c:layout>
            <c:manualLayout>
              <c:xMode val="edge"/>
              <c:yMode val="edge"/>
              <c:x val="0.10377935804310801"/>
              <c:y val="0.45455935025706201"/>
            </c:manualLayout>
          </c:layout>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vert="horz"/>
          <a:lstStyle/>
          <a:p>
            <a:pPr>
              <a:defRPr/>
            </a:pPr>
            <a:endParaRPr lang="sl-SI"/>
          </a:p>
        </c:txPr>
        <c:crossAx val="223734016"/>
        <c:crosses val="autoZero"/>
        <c:auto val="1"/>
        <c:lblAlgn val="ctr"/>
        <c:lblOffset val="100"/>
        <c:noMultiLvlLbl val="0"/>
      </c:catAx>
      <c:valAx>
        <c:axId val="223734016"/>
        <c:scaling>
          <c:orientation val="minMax"/>
        </c:scaling>
        <c:delete val="0"/>
        <c:axPos val="b"/>
        <c:majorGridlines>
          <c:spPr>
            <a:ln w="9525" cap="flat" cmpd="sng" algn="ctr">
              <a:solidFill>
                <a:schemeClr val="tx1">
                  <a:lumMod val="15000"/>
                  <a:lumOff val="85000"/>
                </a:schemeClr>
              </a:solidFill>
              <a:round/>
            </a:ln>
            <a:effectLst/>
          </c:spPr>
        </c:majorGridlines>
        <c:title>
          <c:tx>
            <c:rich>
              <a:bodyPr/>
              <a:lstStyle/>
              <a:p>
                <a:pPr>
                  <a:defRPr/>
                </a:pPr>
                <a:r>
                  <a:rPr lang="sl-SI" b="1"/>
                  <a:t>%</a:t>
                </a:r>
              </a:p>
            </c:rich>
          </c:tx>
          <c:overlay val="0"/>
        </c:title>
        <c:numFmt formatCode="0.00" sourceLinked="0"/>
        <c:majorTickMark val="none"/>
        <c:minorTickMark val="none"/>
        <c:tickLblPos val="nextTo"/>
        <c:spPr>
          <a:noFill/>
          <a:ln>
            <a:noFill/>
          </a:ln>
          <a:effectLst/>
        </c:spPr>
        <c:txPr>
          <a:bodyPr rot="-60000000" vert="horz"/>
          <a:lstStyle/>
          <a:p>
            <a:pPr>
              <a:defRPr/>
            </a:pPr>
            <a:endParaRPr lang="sl-SI"/>
          </a:p>
        </c:txPr>
        <c:crossAx val="223732096"/>
        <c:crosses val="autoZero"/>
        <c:crossBetween val="between"/>
      </c:valAx>
      <c:spPr>
        <a:noFill/>
        <a:ln>
          <a:noFill/>
        </a:ln>
        <a:effectLst/>
      </c:spPr>
    </c:plotArea>
    <c:legend>
      <c:legendPos val="b"/>
      <c:overlay val="0"/>
      <c:spPr>
        <a:noFill/>
        <a:ln>
          <a:noFill/>
        </a:ln>
        <a:effectLst/>
      </c:spPr>
      <c:txPr>
        <a:bodyPr rot="0" vert="horz"/>
        <a:lstStyle/>
        <a:p>
          <a:pPr>
            <a:defRPr/>
          </a:pPr>
          <a:endParaRPr lang="sl-SI"/>
        </a:p>
      </c:txPr>
    </c:legend>
    <c:plotVisOnly val="1"/>
    <c:dispBlanksAs val="gap"/>
    <c:showDLblsOverMax val="0"/>
  </c:chart>
  <c:spPr>
    <a:solidFill>
      <a:schemeClr val="bg1"/>
    </a:solidFill>
    <a:ln w="9525" cap="flat" cmpd="sng" algn="ctr">
      <a:noFill/>
      <a:round/>
    </a:ln>
    <a:effectLst/>
  </c:spPr>
  <c:txPr>
    <a:bodyPr/>
    <a:lstStyle/>
    <a:p>
      <a:pPr>
        <a:defRPr sz="800" baseline="0">
          <a:solidFill>
            <a:schemeClr val="bg2">
              <a:lumMod val="25000"/>
            </a:schemeClr>
          </a:solidFill>
        </a:defRPr>
      </a:pPr>
      <a:endParaRPr lang="sl-SI"/>
    </a:p>
  </c:txPr>
  <c:externalData r:id="rId1">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1"/>
          <c:order val="1"/>
          <c:tx>
            <c:strRef>
              <c:f>Izhodisce!$A$16</c:f>
              <c:strCache>
                <c:ptCount val="1"/>
                <c:pt idx="0">
                  <c:v>Gledalci</c:v>
                </c:pt>
              </c:strCache>
            </c:strRef>
          </c:tx>
          <c:spPr>
            <a:solidFill>
              <a:schemeClr val="accent1"/>
            </a:solidFill>
            <a:ln>
              <a:noFill/>
            </a:ln>
            <a:effectLst/>
          </c:spPr>
          <c:invertIfNegative val="0"/>
          <c:cat>
            <c:numRef>
              <c:f>Izhodisce!$B$14:$M$14</c:f>
              <c:numCache>
                <c:formatCode>General</c:formatCode>
                <c:ptCount val="12"/>
                <c:pt idx="0">
                  <c:v>2004</c:v>
                </c:pt>
                <c:pt idx="1">
                  <c:v>2005</c:v>
                </c:pt>
                <c:pt idx="2">
                  <c:v>2006</c:v>
                </c:pt>
                <c:pt idx="3">
                  <c:v>2007</c:v>
                </c:pt>
                <c:pt idx="4">
                  <c:v>2008</c:v>
                </c:pt>
                <c:pt idx="5">
                  <c:v>2009</c:v>
                </c:pt>
                <c:pt idx="6">
                  <c:v>2010</c:v>
                </c:pt>
                <c:pt idx="7">
                  <c:v>2011</c:v>
                </c:pt>
                <c:pt idx="8">
                  <c:v>2012</c:v>
                </c:pt>
                <c:pt idx="9">
                  <c:v>2013</c:v>
                </c:pt>
                <c:pt idx="10">
                  <c:v>2014</c:v>
                </c:pt>
                <c:pt idx="11">
                  <c:v>2015</c:v>
                </c:pt>
              </c:numCache>
            </c:numRef>
          </c:cat>
          <c:val>
            <c:numRef>
              <c:f>Izhodisce!$B$16:$M$16</c:f>
              <c:numCache>
                <c:formatCode>#,##0.00</c:formatCode>
                <c:ptCount val="12"/>
                <c:pt idx="0">
                  <c:v>3.0035159999999999</c:v>
                </c:pt>
                <c:pt idx="1">
                  <c:v>2.4437760000000002</c:v>
                </c:pt>
                <c:pt idx="2">
                  <c:v>2.6852339999999999</c:v>
                </c:pt>
                <c:pt idx="3">
                  <c:v>2.406568</c:v>
                </c:pt>
                <c:pt idx="4">
                  <c:v>2.4179940000000002</c:v>
                </c:pt>
                <c:pt idx="5">
                  <c:v>2.7720729999999971</c:v>
                </c:pt>
                <c:pt idx="6">
                  <c:v>2.8883909999999999</c:v>
                </c:pt>
                <c:pt idx="7">
                  <c:v>2.8672240000000002</c:v>
                </c:pt>
                <c:pt idx="8">
                  <c:v>2.6378300000000001</c:v>
                </c:pt>
                <c:pt idx="9">
                  <c:v>2.2775949999999998</c:v>
                </c:pt>
                <c:pt idx="10">
                  <c:v>1.9291609999999999</c:v>
                </c:pt>
                <c:pt idx="11">
                  <c:v>2.1015000000000001</c:v>
                </c:pt>
              </c:numCache>
            </c:numRef>
          </c:val>
        </c:ser>
        <c:dLbls>
          <c:showLegendKey val="0"/>
          <c:showVal val="0"/>
          <c:showCatName val="0"/>
          <c:showSerName val="0"/>
          <c:showPercent val="0"/>
          <c:showBubbleSize val="0"/>
        </c:dLbls>
        <c:gapWidth val="150"/>
        <c:axId val="223986432"/>
        <c:axId val="223988352"/>
      </c:barChart>
      <c:lineChart>
        <c:grouping val="standard"/>
        <c:varyColors val="0"/>
        <c:ser>
          <c:idx val="0"/>
          <c:order val="0"/>
          <c:tx>
            <c:strRef>
              <c:f>Izhodisce!$A$15</c:f>
              <c:strCache>
                <c:ptCount val="1"/>
                <c:pt idx="0">
                  <c:v>Kinemat. z dolgometraž. filmi</c:v>
                </c:pt>
              </c:strCache>
            </c:strRef>
          </c:tx>
          <c:spPr>
            <a:ln w="19050" cap="rnd">
              <a:solidFill>
                <a:schemeClr val="accent2"/>
              </a:solidFill>
              <a:round/>
            </a:ln>
            <a:effectLst/>
          </c:spPr>
          <c:marker>
            <c:symbol val="circle"/>
            <c:size val="5"/>
            <c:spPr>
              <a:solidFill>
                <a:schemeClr val="accent2"/>
              </a:solidFill>
              <a:ln w="9525">
                <a:solidFill>
                  <a:schemeClr val="accent2"/>
                </a:solidFill>
              </a:ln>
              <a:effectLst/>
            </c:spPr>
          </c:marker>
          <c:cat>
            <c:numRef>
              <c:f>Izhodisce!$B$14:$M$14</c:f>
              <c:numCache>
                <c:formatCode>General</c:formatCode>
                <c:ptCount val="12"/>
                <c:pt idx="0">
                  <c:v>2004</c:v>
                </c:pt>
                <c:pt idx="1">
                  <c:v>2005</c:v>
                </c:pt>
                <c:pt idx="2">
                  <c:v>2006</c:v>
                </c:pt>
                <c:pt idx="3">
                  <c:v>2007</c:v>
                </c:pt>
                <c:pt idx="4">
                  <c:v>2008</c:v>
                </c:pt>
                <c:pt idx="5">
                  <c:v>2009</c:v>
                </c:pt>
                <c:pt idx="6">
                  <c:v>2010</c:v>
                </c:pt>
                <c:pt idx="7">
                  <c:v>2011</c:v>
                </c:pt>
                <c:pt idx="8">
                  <c:v>2012</c:v>
                </c:pt>
                <c:pt idx="9">
                  <c:v>2013</c:v>
                </c:pt>
                <c:pt idx="10">
                  <c:v>2014</c:v>
                </c:pt>
                <c:pt idx="11">
                  <c:v>2015</c:v>
                </c:pt>
              </c:numCache>
            </c:numRef>
          </c:cat>
          <c:val>
            <c:numRef>
              <c:f>Izhodisce!$B$15:$M$15</c:f>
              <c:numCache>
                <c:formatCode>General</c:formatCode>
                <c:ptCount val="12"/>
                <c:pt idx="0">
                  <c:v>64</c:v>
                </c:pt>
                <c:pt idx="1">
                  <c:v>61</c:v>
                </c:pt>
                <c:pt idx="2">
                  <c:v>57</c:v>
                </c:pt>
                <c:pt idx="3">
                  <c:v>54</c:v>
                </c:pt>
                <c:pt idx="4">
                  <c:v>57</c:v>
                </c:pt>
                <c:pt idx="5">
                  <c:v>48</c:v>
                </c:pt>
                <c:pt idx="6">
                  <c:v>49</c:v>
                </c:pt>
                <c:pt idx="7">
                  <c:v>52</c:v>
                </c:pt>
                <c:pt idx="8">
                  <c:v>52</c:v>
                </c:pt>
                <c:pt idx="9">
                  <c:v>55</c:v>
                </c:pt>
                <c:pt idx="10">
                  <c:v>48</c:v>
                </c:pt>
                <c:pt idx="11">
                  <c:v>58</c:v>
                </c:pt>
              </c:numCache>
            </c:numRef>
          </c:val>
          <c:smooth val="0"/>
        </c:ser>
        <c:dLbls>
          <c:showLegendKey val="0"/>
          <c:showVal val="0"/>
          <c:showCatName val="0"/>
          <c:showSerName val="0"/>
          <c:showPercent val="0"/>
          <c:showBubbleSize val="0"/>
        </c:dLbls>
        <c:marker val="1"/>
        <c:smooth val="0"/>
        <c:axId val="223992448"/>
        <c:axId val="223990528"/>
      </c:lineChart>
      <c:catAx>
        <c:axId val="2239864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vert="horz"/>
          <a:lstStyle/>
          <a:p>
            <a:pPr>
              <a:defRPr/>
            </a:pPr>
            <a:endParaRPr lang="sl-SI"/>
          </a:p>
        </c:txPr>
        <c:crossAx val="223988352"/>
        <c:crosses val="autoZero"/>
        <c:auto val="1"/>
        <c:lblAlgn val="ctr"/>
        <c:lblOffset val="100"/>
        <c:noMultiLvlLbl val="0"/>
      </c:catAx>
      <c:valAx>
        <c:axId val="22398835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vert="horz"/>
              <a:lstStyle/>
              <a:p>
                <a:pPr>
                  <a:defRPr/>
                </a:pPr>
                <a:r>
                  <a:rPr lang="sl-SI"/>
                  <a:t>Število gledalcev </a:t>
                </a:r>
                <a:r>
                  <a:rPr lang="en-US"/>
                  <a:t>(v milijonih)</a:t>
                </a:r>
              </a:p>
            </c:rich>
          </c:tx>
          <c:layout>
            <c:manualLayout>
              <c:xMode val="edge"/>
              <c:yMode val="edge"/>
              <c:x val="0.22736077041552"/>
              <c:y val="0.101058886044152"/>
            </c:manualLayout>
          </c:layout>
          <c:overlay val="0"/>
          <c:spPr>
            <a:noFill/>
            <a:ln>
              <a:noFill/>
            </a:ln>
            <a:effectLst/>
          </c:spPr>
        </c:title>
        <c:numFmt formatCode="General" sourceLinked="0"/>
        <c:majorTickMark val="none"/>
        <c:minorTickMark val="none"/>
        <c:tickLblPos val="nextTo"/>
        <c:spPr>
          <a:noFill/>
          <a:ln>
            <a:noFill/>
          </a:ln>
          <a:effectLst/>
        </c:spPr>
        <c:txPr>
          <a:bodyPr rot="-60000000" vert="horz"/>
          <a:lstStyle/>
          <a:p>
            <a:pPr>
              <a:defRPr/>
            </a:pPr>
            <a:endParaRPr lang="sl-SI"/>
          </a:p>
        </c:txPr>
        <c:crossAx val="223986432"/>
        <c:crosses val="autoZero"/>
        <c:crossBetween val="between"/>
      </c:valAx>
      <c:valAx>
        <c:axId val="223990528"/>
        <c:scaling>
          <c:orientation val="minMax"/>
        </c:scaling>
        <c:delete val="0"/>
        <c:axPos val="r"/>
        <c:title>
          <c:tx>
            <c:rich>
              <a:bodyPr rot="-5400000" vert="horz"/>
              <a:lstStyle/>
              <a:p>
                <a:pPr>
                  <a:defRPr/>
                </a:pPr>
                <a:r>
                  <a:rPr lang="sl-SI"/>
                  <a:t>Število</a:t>
                </a:r>
                <a:r>
                  <a:rPr lang="sl-SI" baseline="0"/>
                  <a:t> ki</a:t>
                </a:r>
                <a:r>
                  <a:rPr lang="en-US"/>
                  <a:t>nematograf</a:t>
                </a:r>
                <a:r>
                  <a:rPr lang="sl-SI"/>
                  <a:t>ov</a:t>
                </a:r>
                <a:endParaRPr lang="en-US"/>
              </a:p>
            </c:rich>
          </c:tx>
          <c:layout>
            <c:manualLayout>
              <c:xMode val="edge"/>
              <c:yMode val="edge"/>
              <c:x val="0.95445805610460799"/>
              <c:y val="0.14955122940920701"/>
            </c:manualLayout>
          </c:layout>
          <c:overlay val="0"/>
          <c:spPr>
            <a:noFill/>
            <a:ln>
              <a:noFill/>
            </a:ln>
            <a:effectLst/>
          </c:spPr>
        </c:title>
        <c:numFmt formatCode="General" sourceLinked="0"/>
        <c:majorTickMark val="out"/>
        <c:minorTickMark val="none"/>
        <c:tickLblPos val="nextTo"/>
        <c:spPr>
          <a:noFill/>
          <a:ln>
            <a:noFill/>
          </a:ln>
          <a:effectLst/>
        </c:spPr>
        <c:txPr>
          <a:bodyPr rot="-60000000" vert="horz"/>
          <a:lstStyle/>
          <a:p>
            <a:pPr>
              <a:defRPr/>
            </a:pPr>
            <a:endParaRPr lang="sl-SI"/>
          </a:p>
        </c:txPr>
        <c:crossAx val="223992448"/>
        <c:crosses val="max"/>
        <c:crossBetween val="between"/>
      </c:valAx>
      <c:catAx>
        <c:axId val="223992448"/>
        <c:scaling>
          <c:orientation val="minMax"/>
        </c:scaling>
        <c:delete val="1"/>
        <c:axPos val="b"/>
        <c:numFmt formatCode="General" sourceLinked="1"/>
        <c:majorTickMark val="out"/>
        <c:minorTickMark val="none"/>
        <c:tickLblPos val="nextTo"/>
        <c:crossAx val="223990528"/>
        <c:crosses val="autoZero"/>
        <c:auto val="1"/>
        <c:lblAlgn val="ctr"/>
        <c:lblOffset val="100"/>
        <c:noMultiLvlLbl val="0"/>
      </c:catAx>
      <c:dTable>
        <c:showHorzBorder val="1"/>
        <c:showVertBorder val="1"/>
        <c:showOutline val="1"/>
        <c:showKeys val="1"/>
        <c:spPr>
          <a:noFill/>
          <a:ln w="9525" cap="flat" cmpd="sng" algn="ctr">
            <a:solidFill>
              <a:schemeClr val="tx1">
                <a:lumMod val="15000"/>
                <a:lumOff val="85000"/>
              </a:schemeClr>
            </a:solidFill>
            <a:round/>
          </a:ln>
          <a:effectLst/>
        </c:spPr>
      </c:dTable>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sz="800" baseline="0">
          <a:solidFill>
            <a:schemeClr val="bg2">
              <a:lumMod val="25000"/>
            </a:schemeClr>
          </a:solidFill>
        </a:defRPr>
      </a:pPr>
      <a:endParaRPr lang="sl-SI"/>
    </a:p>
  </c:txPr>
  <c:externalData r:id="rId1">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1"/>
          <c:order val="1"/>
          <c:tx>
            <c:strRef>
              <c:f>'Poklicni orkestri'!$A$15</c:f>
              <c:strCache>
                <c:ptCount val="1"/>
                <c:pt idx="0">
                  <c:v>Koncerti poklicnih orkestrov in zborov v matični hiši</c:v>
                </c:pt>
              </c:strCache>
            </c:strRef>
          </c:tx>
          <c:spPr>
            <a:solidFill>
              <a:schemeClr val="accent1"/>
            </a:solidFill>
            <a:ln>
              <a:noFill/>
            </a:ln>
            <a:effectLst/>
          </c:spPr>
          <c:invertIfNegative val="0"/>
          <c:cat>
            <c:numRef>
              <c:f>'Poklicni orkestri'!$B$13:$G$13</c:f>
              <c:numCache>
                <c:formatCode>General</c:formatCode>
                <c:ptCount val="6"/>
                <c:pt idx="0">
                  <c:v>2010</c:v>
                </c:pt>
                <c:pt idx="1">
                  <c:v>2011</c:v>
                </c:pt>
                <c:pt idx="2">
                  <c:v>2012</c:v>
                </c:pt>
                <c:pt idx="3">
                  <c:v>2013</c:v>
                </c:pt>
                <c:pt idx="4">
                  <c:v>2014</c:v>
                </c:pt>
                <c:pt idx="5">
                  <c:v>2015</c:v>
                </c:pt>
              </c:numCache>
            </c:numRef>
          </c:cat>
          <c:val>
            <c:numRef>
              <c:f>'Poklicni orkestri'!$B$15:$G$15</c:f>
              <c:numCache>
                <c:formatCode>General</c:formatCode>
                <c:ptCount val="6"/>
                <c:pt idx="0">
                  <c:v>111</c:v>
                </c:pt>
                <c:pt idx="1">
                  <c:v>139</c:v>
                </c:pt>
                <c:pt idx="2">
                  <c:v>124</c:v>
                </c:pt>
                <c:pt idx="3">
                  <c:v>217</c:v>
                </c:pt>
                <c:pt idx="4">
                  <c:v>120</c:v>
                </c:pt>
                <c:pt idx="5">
                  <c:v>170</c:v>
                </c:pt>
              </c:numCache>
            </c:numRef>
          </c:val>
        </c:ser>
        <c:dLbls>
          <c:showLegendKey val="0"/>
          <c:showVal val="0"/>
          <c:showCatName val="0"/>
          <c:showSerName val="0"/>
          <c:showPercent val="0"/>
          <c:showBubbleSize val="0"/>
        </c:dLbls>
        <c:gapWidth val="150"/>
        <c:axId val="224669056"/>
        <c:axId val="224667136"/>
      </c:barChart>
      <c:lineChart>
        <c:grouping val="standard"/>
        <c:varyColors val="0"/>
        <c:ser>
          <c:idx val="0"/>
          <c:order val="0"/>
          <c:tx>
            <c:strRef>
              <c:f>'Poklicni orkestri'!$A$14</c:f>
              <c:strCache>
                <c:ptCount val="1"/>
                <c:pt idx="0">
                  <c:v>Poklicni orkestri in zbori</c:v>
                </c:pt>
              </c:strCache>
            </c:strRef>
          </c:tx>
          <c:spPr>
            <a:ln w="19050" cap="rnd">
              <a:solidFill>
                <a:schemeClr val="accent2"/>
              </a:solidFill>
              <a:round/>
            </a:ln>
            <a:effectLst/>
          </c:spPr>
          <c:marker>
            <c:symbol val="circle"/>
            <c:size val="5"/>
            <c:spPr>
              <a:solidFill>
                <a:schemeClr val="accent2"/>
              </a:solidFill>
              <a:ln w="9525">
                <a:solidFill>
                  <a:schemeClr val="accent2"/>
                </a:solidFill>
              </a:ln>
              <a:effectLst/>
            </c:spPr>
          </c:marker>
          <c:cat>
            <c:numRef>
              <c:f>'Poklicni orkestri'!$B$13:$G$13</c:f>
              <c:numCache>
                <c:formatCode>General</c:formatCode>
                <c:ptCount val="6"/>
                <c:pt idx="0">
                  <c:v>2010</c:v>
                </c:pt>
                <c:pt idx="1">
                  <c:v>2011</c:v>
                </c:pt>
                <c:pt idx="2">
                  <c:v>2012</c:v>
                </c:pt>
                <c:pt idx="3">
                  <c:v>2013</c:v>
                </c:pt>
                <c:pt idx="4">
                  <c:v>2014</c:v>
                </c:pt>
                <c:pt idx="5">
                  <c:v>2015</c:v>
                </c:pt>
              </c:numCache>
            </c:numRef>
          </c:cat>
          <c:val>
            <c:numRef>
              <c:f>'Poklicni orkestri'!$B$14:$G$14</c:f>
              <c:numCache>
                <c:formatCode>General</c:formatCode>
                <c:ptCount val="6"/>
                <c:pt idx="0">
                  <c:v>15</c:v>
                </c:pt>
                <c:pt idx="1">
                  <c:v>17</c:v>
                </c:pt>
                <c:pt idx="2">
                  <c:v>14</c:v>
                </c:pt>
                <c:pt idx="3">
                  <c:v>14</c:v>
                </c:pt>
                <c:pt idx="4">
                  <c:v>9</c:v>
                </c:pt>
                <c:pt idx="5">
                  <c:v>12</c:v>
                </c:pt>
              </c:numCache>
            </c:numRef>
          </c:val>
          <c:smooth val="0"/>
        </c:ser>
        <c:ser>
          <c:idx val="2"/>
          <c:order val="2"/>
          <c:tx>
            <c:strRef>
              <c:f>'Poklicni orkestri'!$A$16</c:f>
              <c:strCache>
                <c:ptCount val="1"/>
                <c:pt idx="0">
                  <c:v>Povpr. št. koncertov na poklicni orkester/zbor</c:v>
                </c:pt>
              </c:strCache>
            </c:strRef>
          </c:tx>
          <c:spPr>
            <a:ln w="19050" cap="rnd">
              <a:solidFill>
                <a:schemeClr val="accent3"/>
              </a:solidFill>
              <a:round/>
            </a:ln>
            <a:effectLst/>
          </c:spPr>
          <c:marker>
            <c:symbol val="circle"/>
            <c:size val="5"/>
            <c:spPr>
              <a:solidFill>
                <a:schemeClr val="accent3"/>
              </a:solidFill>
              <a:ln w="9525">
                <a:solidFill>
                  <a:schemeClr val="accent3"/>
                </a:solidFill>
              </a:ln>
              <a:effectLst/>
            </c:spPr>
          </c:marker>
          <c:cat>
            <c:numRef>
              <c:f>'Poklicni orkestri'!$B$13:$G$13</c:f>
              <c:numCache>
                <c:formatCode>General</c:formatCode>
                <c:ptCount val="6"/>
                <c:pt idx="0">
                  <c:v>2010</c:v>
                </c:pt>
                <c:pt idx="1">
                  <c:v>2011</c:v>
                </c:pt>
                <c:pt idx="2">
                  <c:v>2012</c:v>
                </c:pt>
                <c:pt idx="3">
                  <c:v>2013</c:v>
                </c:pt>
                <c:pt idx="4">
                  <c:v>2014</c:v>
                </c:pt>
                <c:pt idx="5">
                  <c:v>2015</c:v>
                </c:pt>
              </c:numCache>
            </c:numRef>
          </c:cat>
          <c:val>
            <c:numRef>
              <c:f>'Poklicni orkestri'!$B$16:$G$16</c:f>
              <c:numCache>
                <c:formatCode>#,##0</c:formatCode>
                <c:ptCount val="6"/>
                <c:pt idx="0">
                  <c:v>7.4</c:v>
                </c:pt>
                <c:pt idx="1">
                  <c:v>8.176470588235297</c:v>
                </c:pt>
                <c:pt idx="2">
                  <c:v>8.8571428571428594</c:v>
                </c:pt>
                <c:pt idx="3">
                  <c:v>15.5</c:v>
                </c:pt>
                <c:pt idx="4">
                  <c:v>13.33333333333333</c:v>
                </c:pt>
                <c:pt idx="5">
                  <c:v>14.16666666666667</c:v>
                </c:pt>
              </c:numCache>
            </c:numRef>
          </c:val>
          <c:smooth val="0"/>
        </c:ser>
        <c:dLbls>
          <c:showLegendKey val="0"/>
          <c:showVal val="0"/>
          <c:showCatName val="0"/>
          <c:showSerName val="0"/>
          <c:showPercent val="0"/>
          <c:showBubbleSize val="0"/>
        </c:dLbls>
        <c:marker val="1"/>
        <c:smooth val="0"/>
        <c:axId val="219129344"/>
        <c:axId val="219131264"/>
      </c:lineChart>
      <c:catAx>
        <c:axId val="2191293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vert="horz"/>
          <a:lstStyle/>
          <a:p>
            <a:pPr>
              <a:defRPr/>
            </a:pPr>
            <a:endParaRPr lang="sl-SI"/>
          </a:p>
        </c:txPr>
        <c:crossAx val="219131264"/>
        <c:crosses val="autoZero"/>
        <c:auto val="1"/>
        <c:lblAlgn val="ctr"/>
        <c:lblOffset val="100"/>
        <c:noMultiLvlLbl val="0"/>
      </c:catAx>
      <c:valAx>
        <c:axId val="21913126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vert="horz"/>
              <a:lstStyle/>
              <a:p>
                <a:pPr>
                  <a:defRPr/>
                </a:pPr>
                <a:r>
                  <a:rPr lang="en-US"/>
                  <a:t>Št. orkestrov in zborov ter </a:t>
                </a:r>
              </a:p>
              <a:p>
                <a:pPr>
                  <a:defRPr/>
                </a:pPr>
                <a:r>
                  <a:rPr lang="en-US"/>
                  <a:t>povpr. št. koncertov</a:t>
                </a:r>
              </a:p>
            </c:rich>
          </c:tx>
          <c:layout>
            <c:manualLayout>
              <c:xMode val="edge"/>
              <c:yMode val="edge"/>
              <c:x val="0.21697884465466599"/>
              <c:y val="6.7924871609419707E-2"/>
            </c:manualLayout>
          </c:layout>
          <c:overlay val="0"/>
          <c:spPr>
            <a:noFill/>
            <a:ln>
              <a:noFill/>
            </a:ln>
            <a:effectLst/>
          </c:spPr>
        </c:title>
        <c:numFmt formatCode="General" sourceLinked="1"/>
        <c:majorTickMark val="none"/>
        <c:minorTickMark val="none"/>
        <c:tickLblPos val="nextTo"/>
        <c:spPr>
          <a:noFill/>
          <a:ln>
            <a:noFill/>
          </a:ln>
          <a:effectLst/>
        </c:spPr>
        <c:txPr>
          <a:bodyPr rot="-60000000" vert="horz"/>
          <a:lstStyle/>
          <a:p>
            <a:pPr>
              <a:defRPr/>
            </a:pPr>
            <a:endParaRPr lang="sl-SI"/>
          </a:p>
        </c:txPr>
        <c:crossAx val="219129344"/>
        <c:crosses val="autoZero"/>
        <c:crossBetween val="between"/>
      </c:valAx>
      <c:valAx>
        <c:axId val="224667136"/>
        <c:scaling>
          <c:orientation val="minMax"/>
        </c:scaling>
        <c:delete val="0"/>
        <c:axPos val="r"/>
        <c:title>
          <c:tx>
            <c:rich>
              <a:bodyPr rot="-5400000" vert="horz"/>
              <a:lstStyle/>
              <a:p>
                <a:pPr>
                  <a:defRPr/>
                </a:pPr>
                <a:r>
                  <a:rPr lang="sl-SI"/>
                  <a:t>Število koncertov</a:t>
                </a:r>
                <a:r>
                  <a:rPr lang="en-US"/>
                  <a:t> </a:t>
                </a:r>
              </a:p>
            </c:rich>
          </c:tx>
          <c:overlay val="0"/>
          <c:spPr>
            <a:noFill/>
            <a:ln>
              <a:noFill/>
            </a:ln>
            <a:effectLst/>
          </c:spPr>
        </c:title>
        <c:numFmt formatCode="General" sourceLinked="1"/>
        <c:majorTickMark val="out"/>
        <c:minorTickMark val="none"/>
        <c:tickLblPos val="nextTo"/>
        <c:spPr>
          <a:noFill/>
          <a:ln>
            <a:noFill/>
          </a:ln>
          <a:effectLst/>
        </c:spPr>
        <c:txPr>
          <a:bodyPr rot="-60000000" vert="horz"/>
          <a:lstStyle/>
          <a:p>
            <a:pPr>
              <a:defRPr/>
            </a:pPr>
            <a:endParaRPr lang="sl-SI"/>
          </a:p>
        </c:txPr>
        <c:crossAx val="224669056"/>
        <c:crosses val="max"/>
        <c:crossBetween val="between"/>
      </c:valAx>
      <c:catAx>
        <c:axId val="224669056"/>
        <c:scaling>
          <c:orientation val="minMax"/>
        </c:scaling>
        <c:delete val="1"/>
        <c:axPos val="b"/>
        <c:numFmt formatCode="General" sourceLinked="1"/>
        <c:majorTickMark val="out"/>
        <c:minorTickMark val="none"/>
        <c:tickLblPos val="nextTo"/>
        <c:crossAx val="224667136"/>
        <c:crosses val="autoZero"/>
        <c:auto val="1"/>
        <c:lblAlgn val="ctr"/>
        <c:lblOffset val="100"/>
        <c:noMultiLvlLbl val="0"/>
      </c:catAx>
      <c:dTable>
        <c:showHorzBorder val="1"/>
        <c:showVertBorder val="1"/>
        <c:showOutline val="1"/>
        <c:showKeys val="1"/>
        <c:spPr>
          <a:noFill/>
          <a:ln w="9525" cap="flat" cmpd="sng" algn="ctr">
            <a:solidFill>
              <a:schemeClr val="tx1">
                <a:lumMod val="15000"/>
                <a:lumOff val="85000"/>
              </a:schemeClr>
            </a:solidFill>
            <a:round/>
          </a:ln>
          <a:effectLst/>
        </c:spPr>
      </c:dTable>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sz="800" baseline="0">
          <a:solidFill>
            <a:schemeClr val="bg2">
              <a:lumMod val="25000"/>
            </a:schemeClr>
          </a:solidFill>
        </a:defRPr>
      </a:pPr>
      <a:endParaRPr lang="sl-SI"/>
    </a:p>
  </c:txPr>
  <c:externalData r:id="rId1">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'Poklicni orkestri'!$A$18</c:f>
              <c:strCache>
                <c:ptCount val="1"/>
                <c:pt idx="0">
                  <c:v>Poslušalci koncertov v matični hiši (abs. št.)</c:v>
                </c:pt>
              </c:strCache>
            </c:strRef>
          </c:tx>
          <c:spPr>
            <a:solidFill>
              <a:schemeClr val="accent1"/>
            </a:solidFill>
            <a:ln>
              <a:solidFill>
                <a:schemeClr val="accent1"/>
              </a:solidFill>
            </a:ln>
            <a:effectLst/>
          </c:spPr>
          <c:invertIfNegative val="0"/>
          <c:cat>
            <c:numRef>
              <c:f>'Poklicni orkestri'!$B$17:$G$17</c:f>
              <c:numCache>
                <c:formatCode>General</c:formatCode>
                <c:ptCount val="6"/>
                <c:pt idx="0">
                  <c:v>2010</c:v>
                </c:pt>
                <c:pt idx="1">
                  <c:v>2011</c:v>
                </c:pt>
                <c:pt idx="2">
                  <c:v>2012</c:v>
                </c:pt>
                <c:pt idx="3">
                  <c:v>2013</c:v>
                </c:pt>
                <c:pt idx="4">
                  <c:v>2014</c:v>
                </c:pt>
                <c:pt idx="5">
                  <c:v>2015</c:v>
                </c:pt>
              </c:numCache>
            </c:numRef>
          </c:cat>
          <c:val>
            <c:numRef>
              <c:f>'Poklicni orkestri'!$B$18:$G$18</c:f>
              <c:numCache>
                <c:formatCode>#,##0</c:formatCode>
                <c:ptCount val="6"/>
                <c:pt idx="0">
                  <c:v>94010</c:v>
                </c:pt>
                <c:pt idx="1">
                  <c:v>83012</c:v>
                </c:pt>
                <c:pt idx="2">
                  <c:v>59064</c:v>
                </c:pt>
                <c:pt idx="3">
                  <c:v>148698</c:v>
                </c:pt>
                <c:pt idx="4">
                  <c:v>83646</c:v>
                </c:pt>
                <c:pt idx="5">
                  <c:v>101083</c:v>
                </c:pt>
              </c:numCache>
            </c:numRef>
          </c:val>
        </c:ser>
        <c:dLbls>
          <c:showLegendKey val="0"/>
          <c:showVal val="0"/>
          <c:showCatName val="0"/>
          <c:showSerName val="0"/>
          <c:showPercent val="0"/>
          <c:showBubbleSize val="0"/>
        </c:dLbls>
        <c:gapWidth val="219"/>
        <c:axId val="224776576"/>
        <c:axId val="224774400"/>
      </c:barChart>
      <c:lineChart>
        <c:grouping val="standard"/>
        <c:varyColors val="0"/>
        <c:ser>
          <c:idx val="1"/>
          <c:order val="1"/>
          <c:tx>
            <c:strRef>
              <c:f>'Poklicni orkestri'!$A$19</c:f>
              <c:strCache>
                <c:ptCount val="1"/>
                <c:pt idx="0">
                  <c:v>Povpr. št. poslušalcev na koncert v matični hiši</c:v>
                </c:pt>
              </c:strCache>
            </c:strRef>
          </c:tx>
          <c:spPr>
            <a:ln w="19050" cap="rnd">
              <a:solidFill>
                <a:schemeClr val="accent6"/>
              </a:solidFill>
              <a:round/>
            </a:ln>
            <a:effectLst/>
          </c:spPr>
          <c:marker>
            <c:symbol val="circle"/>
            <c:size val="5"/>
            <c:spPr>
              <a:solidFill>
                <a:schemeClr val="accent6"/>
              </a:solidFill>
              <a:ln w="9525">
                <a:solidFill>
                  <a:schemeClr val="accent6"/>
                </a:solidFill>
              </a:ln>
              <a:effectLst/>
            </c:spPr>
          </c:marker>
          <c:cat>
            <c:numRef>
              <c:f>'Poklicni orkestri'!$B$17:$G$17</c:f>
              <c:numCache>
                <c:formatCode>General</c:formatCode>
                <c:ptCount val="6"/>
                <c:pt idx="0">
                  <c:v>2010</c:v>
                </c:pt>
                <c:pt idx="1">
                  <c:v>2011</c:v>
                </c:pt>
                <c:pt idx="2">
                  <c:v>2012</c:v>
                </c:pt>
                <c:pt idx="3">
                  <c:v>2013</c:v>
                </c:pt>
                <c:pt idx="4">
                  <c:v>2014</c:v>
                </c:pt>
                <c:pt idx="5">
                  <c:v>2015</c:v>
                </c:pt>
              </c:numCache>
            </c:numRef>
          </c:cat>
          <c:val>
            <c:numRef>
              <c:f>'Poklicni orkestri'!$B$19:$G$19</c:f>
              <c:numCache>
                <c:formatCode>#,##0</c:formatCode>
                <c:ptCount val="6"/>
                <c:pt idx="0">
                  <c:v>846.93693693693695</c:v>
                </c:pt>
                <c:pt idx="1">
                  <c:v>597.20863309352524</c:v>
                </c:pt>
                <c:pt idx="2">
                  <c:v>476.32258064516122</c:v>
                </c:pt>
                <c:pt idx="3">
                  <c:v>685.24423963133654</c:v>
                </c:pt>
                <c:pt idx="4">
                  <c:v>697.05</c:v>
                </c:pt>
                <c:pt idx="5">
                  <c:v>594.60588235294108</c:v>
                </c:pt>
              </c:numCache>
            </c:numRef>
          </c:val>
          <c:smooth val="0"/>
        </c:ser>
        <c:dLbls>
          <c:showLegendKey val="0"/>
          <c:showVal val="0"/>
          <c:showCatName val="0"/>
          <c:showSerName val="0"/>
          <c:showPercent val="0"/>
          <c:showBubbleSize val="0"/>
        </c:dLbls>
        <c:marker val="1"/>
        <c:smooth val="0"/>
        <c:axId val="224766208"/>
        <c:axId val="224772480"/>
      </c:lineChart>
      <c:catAx>
        <c:axId val="2247662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vert="horz"/>
          <a:lstStyle/>
          <a:p>
            <a:pPr>
              <a:defRPr/>
            </a:pPr>
            <a:endParaRPr lang="sl-SI"/>
          </a:p>
        </c:txPr>
        <c:crossAx val="224772480"/>
        <c:crosses val="autoZero"/>
        <c:auto val="1"/>
        <c:lblAlgn val="ctr"/>
        <c:lblOffset val="100"/>
        <c:noMultiLvlLbl val="0"/>
      </c:catAx>
      <c:valAx>
        <c:axId val="22477248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vert="horz"/>
              <a:lstStyle/>
              <a:p>
                <a:pPr>
                  <a:defRPr/>
                </a:pPr>
                <a:r>
                  <a:rPr lang="en-US"/>
                  <a:t>Poslušalci (povpr. št. na koncert)</a:t>
                </a:r>
              </a:p>
            </c:rich>
          </c:tx>
          <c:layout>
            <c:manualLayout>
              <c:xMode val="edge"/>
              <c:yMode val="edge"/>
              <c:x val="0.25689640122929203"/>
              <c:y val="0.120814377369495"/>
            </c:manualLayout>
          </c:layout>
          <c:overlay val="0"/>
          <c:spPr>
            <a:noFill/>
            <a:ln>
              <a:noFill/>
            </a:ln>
            <a:effectLst/>
          </c:spPr>
        </c:title>
        <c:numFmt formatCode="#,##0" sourceLinked="1"/>
        <c:majorTickMark val="none"/>
        <c:minorTickMark val="none"/>
        <c:tickLblPos val="nextTo"/>
        <c:spPr>
          <a:noFill/>
          <a:ln>
            <a:noFill/>
          </a:ln>
          <a:effectLst/>
        </c:spPr>
        <c:txPr>
          <a:bodyPr rot="-60000000" vert="horz"/>
          <a:lstStyle/>
          <a:p>
            <a:pPr>
              <a:defRPr/>
            </a:pPr>
            <a:endParaRPr lang="sl-SI"/>
          </a:p>
        </c:txPr>
        <c:crossAx val="224766208"/>
        <c:crosses val="autoZero"/>
        <c:crossBetween val="between"/>
      </c:valAx>
      <c:valAx>
        <c:axId val="224774400"/>
        <c:scaling>
          <c:orientation val="minMax"/>
        </c:scaling>
        <c:delete val="0"/>
        <c:axPos val="r"/>
        <c:title>
          <c:tx>
            <c:rich>
              <a:bodyPr rot="-5400000" vert="horz"/>
              <a:lstStyle/>
              <a:p>
                <a:pPr>
                  <a:defRPr/>
                </a:pPr>
                <a:r>
                  <a:rPr lang="sl-SI"/>
                  <a:t>Število p</a:t>
                </a:r>
                <a:r>
                  <a:rPr lang="en-US"/>
                  <a:t>oslušalci</a:t>
                </a:r>
                <a:r>
                  <a:rPr lang="sl-SI"/>
                  <a:t>ev</a:t>
                </a:r>
                <a:endParaRPr lang="en-US"/>
              </a:p>
            </c:rich>
          </c:tx>
          <c:overlay val="0"/>
          <c:spPr>
            <a:noFill/>
            <a:ln>
              <a:noFill/>
            </a:ln>
            <a:effectLst/>
          </c:spPr>
        </c:title>
        <c:numFmt formatCode="#,##0" sourceLinked="1"/>
        <c:majorTickMark val="out"/>
        <c:minorTickMark val="none"/>
        <c:tickLblPos val="nextTo"/>
        <c:spPr>
          <a:noFill/>
          <a:ln>
            <a:noFill/>
          </a:ln>
          <a:effectLst/>
        </c:spPr>
        <c:txPr>
          <a:bodyPr rot="-60000000" vert="horz"/>
          <a:lstStyle/>
          <a:p>
            <a:pPr>
              <a:defRPr/>
            </a:pPr>
            <a:endParaRPr lang="sl-SI"/>
          </a:p>
        </c:txPr>
        <c:crossAx val="224776576"/>
        <c:crosses val="max"/>
        <c:crossBetween val="between"/>
      </c:valAx>
      <c:catAx>
        <c:axId val="224776576"/>
        <c:scaling>
          <c:orientation val="minMax"/>
        </c:scaling>
        <c:delete val="1"/>
        <c:axPos val="b"/>
        <c:numFmt formatCode="General" sourceLinked="1"/>
        <c:majorTickMark val="out"/>
        <c:minorTickMark val="none"/>
        <c:tickLblPos val="nextTo"/>
        <c:crossAx val="224774400"/>
        <c:crosses val="autoZero"/>
        <c:auto val="1"/>
        <c:lblAlgn val="ctr"/>
        <c:lblOffset val="100"/>
        <c:noMultiLvlLbl val="0"/>
      </c:catAx>
      <c:dTable>
        <c:showHorzBorder val="1"/>
        <c:showVertBorder val="1"/>
        <c:showOutline val="1"/>
        <c:showKeys val="1"/>
        <c:spPr>
          <a:noFill/>
          <a:ln w="9525" cap="flat" cmpd="sng" algn="ctr">
            <a:solidFill>
              <a:schemeClr val="tx1">
                <a:lumMod val="15000"/>
                <a:lumOff val="85000"/>
              </a:schemeClr>
            </a:solidFill>
            <a:round/>
          </a:ln>
          <a:effectLst/>
        </c:spPr>
      </c:dTable>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sz="800" baseline="0">
          <a:solidFill>
            <a:schemeClr val="bg2">
              <a:lumMod val="25000"/>
            </a:schemeClr>
          </a:solidFill>
        </a:defRPr>
      </a:pPr>
      <a:endParaRPr lang="sl-SI"/>
    </a:p>
  </c:txPr>
  <c:externalData r:id="rId1">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1"/>
          <c:order val="1"/>
          <c:tx>
            <c:strRef>
              <c:f>Izhodisce!$A$23</c:f>
              <c:strCache>
                <c:ptCount val="1"/>
                <c:pt idx="0">
                  <c:v>Obiskovalci (abs. št. v milijonih)</c:v>
                </c:pt>
              </c:strCache>
            </c:strRef>
          </c:tx>
          <c:spPr>
            <a:solidFill>
              <a:schemeClr val="accent1"/>
            </a:solidFill>
            <a:ln>
              <a:solidFill>
                <a:schemeClr val="accent1"/>
              </a:solidFill>
            </a:ln>
            <a:effectLst/>
          </c:spPr>
          <c:invertIfNegative val="0"/>
          <c:cat>
            <c:numRef>
              <c:f>Izhodisce!$B$21:$M$21</c:f>
              <c:numCache>
                <c:formatCode>General</c:formatCode>
                <c:ptCount val="12"/>
                <c:pt idx="0">
                  <c:v>2004</c:v>
                </c:pt>
                <c:pt idx="1">
                  <c:v>2005</c:v>
                </c:pt>
                <c:pt idx="2">
                  <c:v>2006</c:v>
                </c:pt>
                <c:pt idx="3">
                  <c:v>2007</c:v>
                </c:pt>
                <c:pt idx="4">
                  <c:v>2008</c:v>
                </c:pt>
                <c:pt idx="5">
                  <c:v>2009</c:v>
                </c:pt>
                <c:pt idx="6">
                  <c:v>2010</c:v>
                </c:pt>
                <c:pt idx="7">
                  <c:v>2011</c:v>
                </c:pt>
                <c:pt idx="8">
                  <c:v>2012</c:v>
                </c:pt>
                <c:pt idx="9">
                  <c:v>2013</c:v>
                </c:pt>
                <c:pt idx="10">
                  <c:v>2014</c:v>
                </c:pt>
                <c:pt idx="11">
                  <c:v>2015</c:v>
                </c:pt>
              </c:numCache>
            </c:numRef>
          </c:cat>
          <c:val>
            <c:numRef>
              <c:f>Izhodisce!$B$23:$M$23</c:f>
              <c:numCache>
                <c:formatCode>#,##0.00</c:formatCode>
                <c:ptCount val="12"/>
                <c:pt idx="0">
                  <c:v>2.455840999999984</c:v>
                </c:pt>
                <c:pt idx="1">
                  <c:v>2.2827500000000001</c:v>
                </c:pt>
                <c:pt idx="2">
                  <c:v>2.3471920000000002</c:v>
                </c:pt>
                <c:pt idx="3">
                  <c:v>2.501147</c:v>
                </c:pt>
                <c:pt idx="4">
                  <c:v>2.454877999999999</c:v>
                </c:pt>
                <c:pt idx="5">
                  <c:v>2.6008819999999999</c:v>
                </c:pt>
                <c:pt idx="6">
                  <c:v>2.8824399999999981</c:v>
                </c:pt>
                <c:pt idx="7">
                  <c:v>3.020194</c:v>
                </c:pt>
                <c:pt idx="8">
                  <c:v>3.548276</c:v>
                </c:pt>
                <c:pt idx="9">
                  <c:v>3.558551</c:v>
                </c:pt>
                <c:pt idx="10">
                  <c:v>3.094946999999999</c:v>
                </c:pt>
                <c:pt idx="11">
                  <c:v>2.6538200000000001</c:v>
                </c:pt>
              </c:numCache>
            </c:numRef>
          </c:val>
        </c:ser>
        <c:dLbls>
          <c:showLegendKey val="0"/>
          <c:showVal val="0"/>
          <c:showCatName val="0"/>
          <c:showSerName val="0"/>
          <c:showPercent val="0"/>
          <c:showBubbleSize val="0"/>
        </c:dLbls>
        <c:gapWidth val="150"/>
        <c:axId val="227087872"/>
        <c:axId val="227057024"/>
      </c:barChart>
      <c:lineChart>
        <c:grouping val="standard"/>
        <c:varyColors val="0"/>
        <c:ser>
          <c:idx val="0"/>
          <c:order val="0"/>
          <c:tx>
            <c:strRef>
              <c:f>Izhodisce!$A$22</c:f>
              <c:strCache>
                <c:ptCount val="1"/>
                <c:pt idx="0">
                  <c:v>Muzejske in galerijske razstave</c:v>
                </c:pt>
              </c:strCache>
            </c:strRef>
          </c:tx>
          <c:spPr>
            <a:ln w="19050" cap="rnd">
              <a:solidFill>
                <a:schemeClr val="accent2"/>
              </a:solidFill>
              <a:round/>
            </a:ln>
            <a:effectLst/>
          </c:spPr>
          <c:marker>
            <c:symbol val="circle"/>
            <c:size val="5"/>
            <c:spPr>
              <a:solidFill>
                <a:schemeClr val="accent2"/>
              </a:solidFill>
              <a:ln w="9525">
                <a:solidFill>
                  <a:schemeClr val="accent2"/>
                </a:solidFill>
              </a:ln>
              <a:effectLst/>
            </c:spPr>
          </c:marker>
          <c:cat>
            <c:numRef>
              <c:f>Izhodisce!$B$21:$M$21</c:f>
              <c:numCache>
                <c:formatCode>General</c:formatCode>
                <c:ptCount val="12"/>
                <c:pt idx="0">
                  <c:v>2004</c:v>
                </c:pt>
                <c:pt idx="1">
                  <c:v>2005</c:v>
                </c:pt>
                <c:pt idx="2">
                  <c:v>2006</c:v>
                </c:pt>
                <c:pt idx="3">
                  <c:v>2007</c:v>
                </c:pt>
                <c:pt idx="4">
                  <c:v>2008</c:v>
                </c:pt>
                <c:pt idx="5">
                  <c:v>2009</c:v>
                </c:pt>
                <c:pt idx="6">
                  <c:v>2010</c:v>
                </c:pt>
                <c:pt idx="7">
                  <c:v>2011</c:v>
                </c:pt>
                <c:pt idx="8">
                  <c:v>2012</c:v>
                </c:pt>
                <c:pt idx="9">
                  <c:v>2013</c:v>
                </c:pt>
                <c:pt idx="10">
                  <c:v>2014</c:v>
                </c:pt>
                <c:pt idx="11">
                  <c:v>2015</c:v>
                </c:pt>
              </c:numCache>
            </c:numRef>
          </c:cat>
          <c:val>
            <c:numRef>
              <c:f>Izhodisce!$B$22:$M$22</c:f>
              <c:numCache>
                <c:formatCode>#,##0</c:formatCode>
                <c:ptCount val="12"/>
                <c:pt idx="0">
                  <c:v>2420</c:v>
                </c:pt>
                <c:pt idx="1">
                  <c:v>1798</c:v>
                </c:pt>
                <c:pt idx="2">
                  <c:v>1882</c:v>
                </c:pt>
                <c:pt idx="3">
                  <c:v>1819</c:v>
                </c:pt>
                <c:pt idx="4">
                  <c:v>2119</c:v>
                </c:pt>
                <c:pt idx="5">
                  <c:v>2169</c:v>
                </c:pt>
                <c:pt idx="6">
                  <c:v>2039</c:v>
                </c:pt>
                <c:pt idx="7">
                  <c:v>2381</c:v>
                </c:pt>
                <c:pt idx="8">
                  <c:v>2503</c:v>
                </c:pt>
                <c:pt idx="9">
                  <c:v>3028</c:v>
                </c:pt>
                <c:pt idx="10">
                  <c:v>2776</c:v>
                </c:pt>
                <c:pt idx="11">
                  <c:v>3502</c:v>
                </c:pt>
              </c:numCache>
            </c:numRef>
          </c:val>
          <c:smooth val="0"/>
        </c:ser>
        <c:ser>
          <c:idx val="2"/>
          <c:order val="2"/>
          <c:tx>
            <c:strRef>
              <c:f>Izhodisce!$A$24</c:f>
              <c:strCache>
                <c:ptCount val="1"/>
                <c:pt idx="0">
                  <c:v>Povprečno št. obiskovalcev na razstavo</c:v>
                </c:pt>
              </c:strCache>
            </c:strRef>
          </c:tx>
          <c:spPr>
            <a:ln w="19050" cap="rnd">
              <a:solidFill>
                <a:schemeClr val="accent3"/>
              </a:solidFill>
              <a:round/>
            </a:ln>
            <a:effectLst/>
          </c:spPr>
          <c:marker>
            <c:symbol val="circle"/>
            <c:size val="5"/>
            <c:spPr>
              <a:solidFill>
                <a:schemeClr val="accent3"/>
              </a:solidFill>
              <a:ln w="9525">
                <a:solidFill>
                  <a:schemeClr val="accent3"/>
                </a:solidFill>
              </a:ln>
              <a:effectLst/>
            </c:spPr>
          </c:marker>
          <c:cat>
            <c:numRef>
              <c:f>Izhodisce!$B$21:$M$21</c:f>
              <c:numCache>
                <c:formatCode>General</c:formatCode>
                <c:ptCount val="12"/>
                <c:pt idx="0">
                  <c:v>2004</c:v>
                </c:pt>
                <c:pt idx="1">
                  <c:v>2005</c:v>
                </c:pt>
                <c:pt idx="2">
                  <c:v>2006</c:v>
                </c:pt>
                <c:pt idx="3">
                  <c:v>2007</c:v>
                </c:pt>
                <c:pt idx="4">
                  <c:v>2008</c:v>
                </c:pt>
                <c:pt idx="5">
                  <c:v>2009</c:v>
                </c:pt>
                <c:pt idx="6">
                  <c:v>2010</c:v>
                </c:pt>
                <c:pt idx="7">
                  <c:v>2011</c:v>
                </c:pt>
                <c:pt idx="8">
                  <c:v>2012</c:v>
                </c:pt>
                <c:pt idx="9">
                  <c:v>2013</c:v>
                </c:pt>
                <c:pt idx="10">
                  <c:v>2014</c:v>
                </c:pt>
                <c:pt idx="11">
                  <c:v>2015</c:v>
                </c:pt>
              </c:numCache>
            </c:numRef>
          </c:cat>
          <c:val>
            <c:numRef>
              <c:f>Izhodisce!$B$24:$M$24</c:f>
              <c:numCache>
                <c:formatCode>#,##0</c:formatCode>
                <c:ptCount val="12"/>
                <c:pt idx="0">
                  <c:v>1014.810330578512</c:v>
                </c:pt>
                <c:pt idx="1">
                  <c:v>1269.6051167964411</c:v>
                </c:pt>
                <c:pt idx="2">
                  <c:v>1247.179596174283</c:v>
                </c:pt>
                <c:pt idx="3">
                  <c:v>1375.012094557449</c:v>
                </c:pt>
                <c:pt idx="4">
                  <c:v>1158.5077866918359</c:v>
                </c:pt>
                <c:pt idx="5">
                  <c:v>1199.11572153066</c:v>
                </c:pt>
                <c:pt idx="6">
                  <c:v>1413.6537518391369</c:v>
                </c:pt>
                <c:pt idx="7">
                  <c:v>1268.456110877783</c:v>
                </c:pt>
                <c:pt idx="8">
                  <c:v>1417.609268877346</c:v>
                </c:pt>
                <c:pt idx="9">
                  <c:v>1175.21499339498</c:v>
                </c:pt>
                <c:pt idx="10">
                  <c:v>1114.894452449568</c:v>
                </c:pt>
                <c:pt idx="11">
                  <c:v>757.80125642489759</c:v>
                </c:pt>
              </c:numCache>
            </c:numRef>
          </c:val>
          <c:smooth val="0"/>
        </c:ser>
        <c:dLbls>
          <c:showLegendKey val="0"/>
          <c:showVal val="0"/>
          <c:showCatName val="0"/>
          <c:showSerName val="0"/>
          <c:showPercent val="0"/>
          <c:showBubbleSize val="0"/>
        </c:dLbls>
        <c:marker val="1"/>
        <c:smooth val="0"/>
        <c:axId val="227044736"/>
        <c:axId val="227055104"/>
      </c:lineChart>
      <c:catAx>
        <c:axId val="2270447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vert="horz"/>
          <a:lstStyle/>
          <a:p>
            <a:pPr>
              <a:defRPr/>
            </a:pPr>
            <a:endParaRPr lang="sl-SI"/>
          </a:p>
        </c:txPr>
        <c:crossAx val="227055104"/>
        <c:crosses val="autoZero"/>
        <c:auto val="1"/>
        <c:lblAlgn val="ctr"/>
        <c:lblOffset val="100"/>
        <c:noMultiLvlLbl val="0"/>
      </c:catAx>
      <c:valAx>
        <c:axId val="22705510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vert="horz"/>
              <a:lstStyle/>
              <a:p>
                <a:pPr>
                  <a:defRPr/>
                </a:pPr>
                <a:r>
                  <a:rPr lang="en-US"/>
                  <a:t>Število razstav in</a:t>
                </a:r>
              </a:p>
              <a:p>
                <a:pPr>
                  <a:defRPr/>
                </a:pPr>
                <a:r>
                  <a:rPr lang="en-US"/>
                  <a:t> povpr. št. obiskovalcev na razstavo</a:t>
                </a:r>
              </a:p>
            </c:rich>
          </c:tx>
          <c:layout>
            <c:manualLayout>
              <c:xMode val="edge"/>
              <c:yMode val="edge"/>
              <c:x val="0.183365930382171"/>
              <c:y val="4.8414008009954899E-2"/>
            </c:manualLayout>
          </c:layout>
          <c:overlay val="0"/>
          <c:spPr>
            <a:noFill/>
            <a:ln>
              <a:noFill/>
            </a:ln>
            <a:effectLst/>
          </c:spPr>
        </c:title>
        <c:numFmt formatCode="#,##0" sourceLinked="1"/>
        <c:majorTickMark val="none"/>
        <c:minorTickMark val="none"/>
        <c:tickLblPos val="nextTo"/>
        <c:spPr>
          <a:noFill/>
          <a:ln>
            <a:noFill/>
          </a:ln>
          <a:effectLst/>
        </c:spPr>
        <c:txPr>
          <a:bodyPr rot="-60000000" vert="horz"/>
          <a:lstStyle/>
          <a:p>
            <a:pPr>
              <a:defRPr/>
            </a:pPr>
            <a:endParaRPr lang="sl-SI"/>
          </a:p>
        </c:txPr>
        <c:crossAx val="227044736"/>
        <c:crosses val="autoZero"/>
        <c:crossBetween val="between"/>
      </c:valAx>
      <c:valAx>
        <c:axId val="227057024"/>
        <c:scaling>
          <c:orientation val="minMax"/>
        </c:scaling>
        <c:delete val="0"/>
        <c:axPos val="r"/>
        <c:title>
          <c:tx>
            <c:rich>
              <a:bodyPr rot="-5400000" vert="horz"/>
              <a:lstStyle/>
              <a:p>
                <a:pPr>
                  <a:defRPr/>
                </a:pPr>
                <a:r>
                  <a:rPr lang="en-US"/>
                  <a:t>Število obiskovalcev v milijonih</a:t>
                </a:r>
              </a:p>
            </c:rich>
          </c:tx>
          <c:layout>
            <c:manualLayout>
              <c:xMode val="edge"/>
              <c:yMode val="edge"/>
              <c:x val="0.95622172797876404"/>
              <c:y val="8.3769907247649794E-2"/>
            </c:manualLayout>
          </c:layout>
          <c:overlay val="0"/>
          <c:spPr>
            <a:noFill/>
            <a:ln>
              <a:noFill/>
            </a:ln>
            <a:effectLst/>
          </c:spPr>
        </c:title>
        <c:numFmt formatCode="#,##0.00" sourceLinked="0"/>
        <c:majorTickMark val="out"/>
        <c:minorTickMark val="none"/>
        <c:tickLblPos val="nextTo"/>
        <c:spPr>
          <a:noFill/>
          <a:ln>
            <a:noFill/>
          </a:ln>
          <a:effectLst/>
        </c:spPr>
        <c:txPr>
          <a:bodyPr rot="-60000000" vert="horz"/>
          <a:lstStyle/>
          <a:p>
            <a:pPr>
              <a:defRPr/>
            </a:pPr>
            <a:endParaRPr lang="sl-SI"/>
          </a:p>
        </c:txPr>
        <c:crossAx val="227087872"/>
        <c:crosses val="max"/>
        <c:crossBetween val="between"/>
      </c:valAx>
      <c:catAx>
        <c:axId val="227087872"/>
        <c:scaling>
          <c:orientation val="minMax"/>
        </c:scaling>
        <c:delete val="1"/>
        <c:axPos val="b"/>
        <c:numFmt formatCode="General" sourceLinked="1"/>
        <c:majorTickMark val="out"/>
        <c:minorTickMark val="none"/>
        <c:tickLblPos val="nextTo"/>
        <c:crossAx val="227057024"/>
        <c:crosses val="autoZero"/>
        <c:auto val="1"/>
        <c:lblAlgn val="ctr"/>
        <c:lblOffset val="100"/>
        <c:noMultiLvlLbl val="0"/>
      </c:catAx>
      <c:dTable>
        <c:showHorzBorder val="1"/>
        <c:showVertBorder val="1"/>
        <c:showOutline val="1"/>
        <c:showKeys val="1"/>
        <c:spPr>
          <a:noFill/>
          <a:ln w="9525" cap="flat" cmpd="sng" algn="ctr">
            <a:solidFill>
              <a:schemeClr val="tx1">
                <a:lumMod val="15000"/>
                <a:lumOff val="85000"/>
              </a:schemeClr>
            </a:solidFill>
            <a:round/>
          </a:ln>
          <a:effectLst/>
        </c:spPr>
      </c:dTable>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sz="800" baseline="0">
          <a:solidFill>
            <a:schemeClr val="bg2">
              <a:lumMod val="25000"/>
            </a:schemeClr>
          </a:solidFill>
        </a:defRPr>
      </a:pPr>
      <a:endParaRPr lang="sl-SI"/>
    </a:p>
  </c:txPr>
  <c:externalData r:id="rId1">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1"/>
          <c:order val="1"/>
          <c:tx>
            <c:strRef>
              <c:f>Gledalisca!$A$26</c:f>
              <c:strCache>
                <c:ptCount val="1"/>
                <c:pt idx="0">
                  <c:v>Gledalci v matični hiši</c:v>
                </c:pt>
              </c:strCache>
            </c:strRef>
          </c:tx>
          <c:spPr>
            <a:solidFill>
              <a:schemeClr val="accent1"/>
            </a:solidFill>
            <a:ln>
              <a:solidFill>
                <a:schemeClr val="accent1"/>
              </a:solidFill>
            </a:ln>
            <a:effectLst/>
          </c:spPr>
          <c:invertIfNegative val="0"/>
          <c:dPt>
            <c:idx val="0"/>
            <c:invertIfNegative val="0"/>
            <c:bubble3D val="0"/>
            <c:spPr>
              <a:solidFill>
                <a:schemeClr val="accent1"/>
              </a:solidFill>
              <a:ln>
                <a:solidFill>
                  <a:schemeClr val="accent1"/>
                </a:solidFill>
              </a:ln>
              <a:effectLst/>
            </c:spPr>
          </c:dPt>
          <c:cat>
            <c:numRef>
              <c:f>Gledalisca!$B$24:$M$24</c:f>
              <c:numCache>
                <c:formatCode>General</c:formatCode>
                <c:ptCount val="12"/>
                <c:pt idx="0">
                  <c:v>2004</c:v>
                </c:pt>
                <c:pt idx="1">
                  <c:v>2005</c:v>
                </c:pt>
                <c:pt idx="2">
                  <c:v>2006</c:v>
                </c:pt>
                <c:pt idx="3">
                  <c:v>2007</c:v>
                </c:pt>
                <c:pt idx="4">
                  <c:v>2008</c:v>
                </c:pt>
                <c:pt idx="5">
                  <c:v>2009</c:v>
                </c:pt>
                <c:pt idx="6">
                  <c:v>2010</c:v>
                </c:pt>
                <c:pt idx="7">
                  <c:v>2011</c:v>
                </c:pt>
                <c:pt idx="8">
                  <c:v>2012</c:v>
                </c:pt>
                <c:pt idx="9">
                  <c:v>2013</c:v>
                </c:pt>
                <c:pt idx="10">
                  <c:v>2014</c:v>
                </c:pt>
                <c:pt idx="11">
                  <c:v>2015</c:v>
                </c:pt>
              </c:numCache>
            </c:numRef>
          </c:cat>
          <c:val>
            <c:numRef>
              <c:f>Gledalisca!$B$26:$M$26</c:f>
              <c:numCache>
                <c:formatCode>#,##0</c:formatCode>
                <c:ptCount val="12"/>
                <c:pt idx="0">
                  <c:v>719450</c:v>
                </c:pt>
                <c:pt idx="1">
                  <c:v>928629</c:v>
                </c:pt>
                <c:pt idx="2">
                  <c:v>842256</c:v>
                </c:pt>
                <c:pt idx="3">
                  <c:v>822351</c:v>
                </c:pt>
                <c:pt idx="4">
                  <c:v>867220</c:v>
                </c:pt>
                <c:pt idx="5">
                  <c:v>782491</c:v>
                </c:pt>
                <c:pt idx="6">
                  <c:v>864482</c:v>
                </c:pt>
                <c:pt idx="7">
                  <c:v>948618</c:v>
                </c:pt>
                <c:pt idx="8">
                  <c:v>955031</c:v>
                </c:pt>
                <c:pt idx="9">
                  <c:v>881252</c:v>
                </c:pt>
                <c:pt idx="10">
                  <c:v>745434</c:v>
                </c:pt>
                <c:pt idx="11">
                  <c:v>850367</c:v>
                </c:pt>
              </c:numCache>
            </c:numRef>
          </c:val>
        </c:ser>
        <c:dLbls>
          <c:showLegendKey val="0"/>
          <c:showVal val="0"/>
          <c:showCatName val="0"/>
          <c:showSerName val="0"/>
          <c:showPercent val="0"/>
          <c:showBubbleSize val="0"/>
        </c:dLbls>
        <c:gapWidth val="219"/>
        <c:axId val="227137792"/>
        <c:axId val="227135872"/>
      </c:barChart>
      <c:lineChart>
        <c:grouping val="standard"/>
        <c:varyColors val="0"/>
        <c:ser>
          <c:idx val="0"/>
          <c:order val="0"/>
          <c:tx>
            <c:strRef>
              <c:f>Gledalisca!$A$25</c:f>
              <c:strCache>
                <c:ptCount val="1"/>
                <c:pt idx="0">
                  <c:v>Gledališke predstave v matični hiši</c:v>
                </c:pt>
              </c:strCache>
            </c:strRef>
          </c:tx>
          <c:spPr>
            <a:ln w="19050" cap="rnd">
              <a:solidFill>
                <a:schemeClr val="accent2"/>
              </a:solidFill>
              <a:round/>
            </a:ln>
            <a:effectLst/>
          </c:spPr>
          <c:marker>
            <c:symbol val="circle"/>
            <c:size val="5"/>
            <c:spPr>
              <a:solidFill>
                <a:schemeClr val="accent2"/>
              </a:solidFill>
              <a:ln w="9525">
                <a:solidFill>
                  <a:schemeClr val="accent2"/>
                </a:solidFill>
              </a:ln>
              <a:effectLst/>
            </c:spPr>
          </c:marker>
          <c:cat>
            <c:numRef>
              <c:f>Gledalisca!$B$24:$M$24</c:f>
              <c:numCache>
                <c:formatCode>General</c:formatCode>
                <c:ptCount val="12"/>
                <c:pt idx="0">
                  <c:v>2004</c:v>
                </c:pt>
                <c:pt idx="1">
                  <c:v>2005</c:v>
                </c:pt>
                <c:pt idx="2">
                  <c:v>2006</c:v>
                </c:pt>
                <c:pt idx="3">
                  <c:v>2007</c:v>
                </c:pt>
                <c:pt idx="4">
                  <c:v>2008</c:v>
                </c:pt>
                <c:pt idx="5">
                  <c:v>2009</c:v>
                </c:pt>
                <c:pt idx="6">
                  <c:v>2010</c:v>
                </c:pt>
                <c:pt idx="7">
                  <c:v>2011</c:v>
                </c:pt>
                <c:pt idx="8">
                  <c:v>2012</c:v>
                </c:pt>
                <c:pt idx="9">
                  <c:v>2013</c:v>
                </c:pt>
                <c:pt idx="10">
                  <c:v>2014</c:v>
                </c:pt>
                <c:pt idx="11">
                  <c:v>2015</c:v>
                </c:pt>
              </c:numCache>
            </c:numRef>
          </c:cat>
          <c:val>
            <c:numRef>
              <c:f>Gledalisca!$B$25:$M$25</c:f>
              <c:numCache>
                <c:formatCode>#,##0</c:formatCode>
                <c:ptCount val="12"/>
                <c:pt idx="0">
                  <c:v>6124</c:v>
                </c:pt>
                <c:pt idx="1">
                  <c:v>5226</c:v>
                </c:pt>
                <c:pt idx="2">
                  <c:v>4264</c:v>
                </c:pt>
                <c:pt idx="3">
                  <c:v>3864</c:v>
                </c:pt>
                <c:pt idx="4">
                  <c:v>4160</c:v>
                </c:pt>
                <c:pt idx="5">
                  <c:v>3776</c:v>
                </c:pt>
                <c:pt idx="6">
                  <c:v>4650</c:v>
                </c:pt>
                <c:pt idx="7">
                  <c:v>5848</c:v>
                </c:pt>
                <c:pt idx="8">
                  <c:v>5610</c:v>
                </c:pt>
                <c:pt idx="9">
                  <c:v>4746</c:v>
                </c:pt>
                <c:pt idx="10">
                  <c:v>4748</c:v>
                </c:pt>
                <c:pt idx="11">
                  <c:v>6544</c:v>
                </c:pt>
              </c:numCache>
            </c:numRef>
          </c:val>
          <c:smooth val="0"/>
        </c:ser>
        <c:dLbls>
          <c:showLegendKey val="0"/>
          <c:showVal val="0"/>
          <c:showCatName val="0"/>
          <c:showSerName val="0"/>
          <c:showPercent val="0"/>
          <c:showBubbleSize val="0"/>
        </c:dLbls>
        <c:marker val="1"/>
        <c:smooth val="0"/>
        <c:axId val="227127680"/>
        <c:axId val="227129600"/>
      </c:lineChart>
      <c:catAx>
        <c:axId val="2271276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vert="horz"/>
          <a:lstStyle/>
          <a:p>
            <a:pPr>
              <a:defRPr/>
            </a:pPr>
            <a:endParaRPr lang="sl-SI"/>
          </a:p>
        </c:txPr>
        <c:crossAx val="227129600"/>
        <c:crosses val="autoZero"/>
        <c:auto val="1"/>
        <c:lblAlgn val="ctr"/>
        <c:lblOffset val="100"/>
        <c:noMultiLvlLbl val="0"/>
      </c:catAx>
      <c:valAx>
        <c:axId val="22712960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vert="horz"/>
              <a:lstStyle/>
              <a:p>
                <a:pPr>
                  <a:defRPr/>
                </a:pPr>
                <a:r>
                  <a:rPr lang="en-US"/>
                  <a:t>Predstave</a:t>
                </a:r>
              </a:p>
            </c:rich>
          </c:tx>
          <c:layout>
            <c:manualLayout>
              <c:xMode val="edge"/>
              <c:yMode val="edge"/>
              <c:x val="1.4492810681273499E-2"/>
              <c:y val="0.25778953238667601"/>
            </c:manualLayout>
          </c:layout>
          <c:overlay val="0"/>
          <c:spPr>
            <a:noFill/>
            <a:ln>
              <a:noFill/>
            </a:ln>
            <a:effectLst/>
          </c:spPr>
        </c:title>
        <c:numFmt formatCode="#,##0" sourceLinked="0"/>
        <c:majorTickMark val="none"/>
        <c:minorTickMark val="none"/>
        <c:tickLblPos val="nextTo"/>
        <c:spPr>
          <a:noFill/>
          <a:ln>
            <a:noFill/>
          </a:ln>
          <a:effectLst/>
        </c:spPr>
        <c:txPr>
          <a:bodyPr rot="-60000000" vert="horz"/>
          <a:lstStyle/>
          <a:p>
            <a:pPr>
              <a:defRPr/>
            </a:pPr>
            <a:endParaRPr lang="sl-SI"/>
          </a:p>
        </c:txPr>
        <c:crossAx val="227127680"/>
        <c:crosses val="autoZero"/>
        <c:crossBetween val="between"/>
      </c:valAx>
      <c:valAx>
        <c:axId val="227135872"/>
        <c:scaling>
          <c:orientation val="minMax"/>
        </c:scaling>
        <c:delete val="0"/>
        <c:axPos val="r"/>
        <c:title>
          <c:tx>
            <c:rich>
              <a:bodyPr rot="-5400000" vert="horz"/>
              <a:lstStyle/>
              <a:p>
                <a:pPr>
                  <a:defRPr/>
                </a:pPr>
                <a:r>
                  <a:rPr lang="en-US"/>
                  <a:t>Gledalci</a:t>
                </a:r>
              </a:p>
            </c:rich>
          </c:tx>
          <c:overlay val="0"/>
          <c:spPr>
            <a:noFill/>
            <a:ln>
              <a:noFill/>
            </a:ln>
            <a:effectLst/>
          </c:spPr>
        </c:title>
        <c:numFmt formatCode="#,##0" sourceLinked="1"/>
        <c:majorTickMark val="out"/>
        <c:minorTickMark val="none"/>
        <c:tickLblPos val="nextTo"/>
        <c:spPr>
          <a:noFill/>
          <a:ln>
            <a:noFill/>
          </a:ln>
          <a:effectLst/>
        </c:spPr>
        <c:txPr>
          <a:bodyPr rot="-60000000" vert="horz"/>
          <a:lstStyle/>
          <a:p>
            <a:pPr>
              <a:defRPr/>
            </a:pPr>
            <a:endParaRPr lang="sl-SI"/>
          </a:p>
        </c:txPr>
        <c:crossAx val="227137792"/>
        <c:crosses val="max"/>
        <c:crossBetween val="between"/>
      </c:valAx>
      <c:catAx>
        <c:axId val="227137792"/>
        <c:scaling>
          <c:orientation val="minMax"/>
        </c:scaling>
        <c:delete val="1"/>
        <c:axPos val="b"/>
        <c:numFmt formatCode="General" sourceLinked="1"/>
        <c:majorTickMark val="out"/>
        <c:minorTickMark val="none"/>
        <c:tickLblPos val="nextTo"/>
        <c:crossAx val="227135872"/>
        <c:crosses val="autoZero"/>
        <c:auto val="1"/>
        <c:lblAlgn val="ctr"/>
        <c:lblOffset val="100"/>
        <c:noMultiLvlLbl val="0"/>
      </c:catAx>
      <c:spPr>
        <a:noFill/>
        <a:ln>
          <a:noFill/>
        </a:ln>
        <a:effectLst/>
      </c:spPr>
    </c:plotArea>
    <c:legend>
      <c:legendPos val="b"/>
      <c:overlay val="0"/>
      <c:spPr>
        <a:noFill/>
        <a:ln>
          <a:noFill/>
        </a:ln>
        <a:effectLst/>
      </c:spPr>
      <c:txPr>
        <a:bodyPr rot="0" vert="horz"/>
        <a:lstStyle/>
        <a:p>
          <a:pPr>
            <a:defRPr/>
          </a:pPr>
          <a:endParaRPr lang="sl-SI"/>
        </a:p>
      </c:txPr>
    </c:legend>
    <c:plotVisOnly val="1"/>
    <c:dispBlanksAs val="gap"/>
    <c:showDLblsOverMax val="0"/>
  </c:chart>
  <c:spPr>
    <a:solidFill>
      <a:schemeClr val="bg1"/>
    </a:solidFill>
    <a:ln w="9525" cap="flat" cmpd="sng" algn="ctr">
      <a:noFill/>
      <a:round/>
    </a:ln>
    <a:effectLst/>
  </c:spPr>
  <c:txPr>
    <a:bodyPr/>
    <a:lstStyle/>
    <a:p>
      <a:pPr>
        <a:defRPr sz="800" baseline="0">
          <a:solidFill>
            <a:schemeClr val="bg2">
              <a:lumMod val="25000"/>
            </a:schemeClr>
          </a:solidFill>
        </a:defRPr>
      </a:pPr>
      <a:endParaRPr lang="sl-SI"/>
    </a:p>
  </c:txPr>
  <c:externalData r:id="rId1">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percentStacked"/>
        <c:varyColors val="0"/>
        <c:ser>
          <c:idx val="6"/>
          <c:order val="0"/>
          <c:tx>
            <c:strRef>
              <c:f>Gledalisca!$A$126</c:f>
              <c:strCache>
                <c:ptCount val="1"/>
                <c:pt idx="0">
                  <c:v>Druge</c:v>
                </c:pt>
              </c:strCache>
            </c:strRef>
          </c:tx>
          <c:spPr>
            <a:solidFill>
              <a:schemeClr val="tx2"/>
            </a:solidFill>
            <a:ln>
              <a:noFill/>
            </a:ln>
            <a:effectLst/>
          </c:spPr>
          <c:invertIfNegative val="0"/>
          <c:cat>
            <c:strRef>
              <c:f>Gledalisca!$B$119:$C$119</c:f>
              <c:strCache>
                <c:ptCount val="2"/>
                <c:pt idx="0">
                  <c:v>Struktura vseh predstav v matični hiši</c:v>
                </c:pt>
                <c:pt idx="1">
                  <c:v>Struktura celotnega obiska v matični hiši</c:v>
                </c:pt>
              </c:strCache>
            </c:strRef>
          </c:cat>
          <c:val>
            <c:numRef>
              <c:f>Gledalisca!$B$126:$C$126</c:f>
              <c:numCache>
                <c:formatCode>General</c:formatCode>
                <c:ptCount val="2"/>
                <c:pt idx="0">
                  <c:v>6</c:v>
                </c:pt>
                <c:pt idx="1">
                  <c:v>10</c:v>
                </c:pt>
              </c:numCache>
            </c:numRef>
          </c:val>
        </c:ser>
        <c:ser>
          <c:idx val="1"/>
          <c:order val="1"/>
          <c:tx>
            <c:strRef>
              <c:f>Gledalisca!$A$122</c:f>
              <c:strCache>
                <c:ptCount val="1"/>
                <c:pt idx="0">
                  <c:v>Plesne</c:v>
                </c:pt>
              </c:strCache>
            </c:strRef>
          </c:tx>
          <c:spPr>
            <a:solidFill>
              <a:schemeClr val="accent2"/>
            </a:solidFill>
            <a:ln>
              <a:noFill/>
            </a:ln>
            <a:effectLst/>
          </c:spPr>
          <c:invertIfNegative val="0"/>
          <c:cat>
            <c:strRef>
              <c:f>Gledalisca!$B$119:$C$119</c:f>
              <c:strCache>
                <c:ptCount val="2"/>
                <c:pt idx="0">
                  <c:v>Struktura vseh predstav v matični hiši</c:v>
                </c:pt>
                <c:pt idx="1">
                  <c:v>Struktura celotnega obiska v matični hiši</c:v>
                </c:pt>
              </c:strCache>
            </c:strRef>
          </c:cat>
          <c:val>
            <c:numRef>
              <c:f>Gledalisca!$B$122:$C$122</c:f>
              <c:numCache>
                <c:formatCode>General</c:formatCode>
                <c:ptCount val="2"/>
                <c:pt idx="0">
                  <c:v>6</c:v>
                </c:pt>
                <c:pt idx="1">
                  <c:v>6</c:v>
                </c:pt>
              </c:numCache>
            </c:numRef>
          </c:val>
        </c:ser>
        <c:ser>
          <c:idx val="4"/>
          <c:order val="2"/>
          <c:tx>
            <c:strRef>
              <c:f>Gledalisca!$A$125</c:f>
              <c:strCache>
                <c:ptCount val="1"/>
                <c:pt idx="0">
                  <c:v>Baletne</c:v>
                </c:pt>
              </c:strCache>
            </c:strRef>
          </c:tx>
          <c:spPr>
            <a:solidFill>
              <a:schemeClr val="tx1"/>
            </a:solidFill>
            <a:ln>
              <a:noFill/>
            </a:ln>
            <a:effectLst/>
          </c:spPr>
          <c:invertIfNegative val="0"/>
          <c:cat>
            <c:strRef>
              <c:f>Gledalisca!$B$119:$C$119</c:f>
              <c:strCache>
                <c:ptCount val="2"/>
                <c:pt idx="0">
                  <c:v>Struktura vseh predstav v matični hiši</c:v>
                </c:pt>
                <c:pt idx="1">
                  <c:v>Struktura celotnega obiska v matični hiši</c:v>
                </c:pt>
              </c:strCache>
            </c:strRef>
          </c:cat>
          <c:val>
            <c:numRef>
              <c:f>Gledalisca!$B$125:$C$125</c:f>
              <c:numCache>
                <c:formatCode>General</c:formatCode>
                <c:ptCount val="2"/>
                <c:pt idx="0">
                  <c:v>2</c:v>
                </c:pt>
                <c:pt idx="1">
                  <c:v>9</c:v>
                </c:pt>
              </c:numCache>
            </c:numRef>
          </c:val>
        </c:ser>
        <c:ser>
          <c:idx val="2"/>
          <c:order val="3"/>
          <c:tx>
            <c:strRef>
              <c:f>Gledalisca!$A$124</c:f>
              <c:strCache>
                <c:ptCount val="1"/>
                <c:pt idx="0">
                  <c:v>Operne</c:v>
                </c:pt>
              </c:strCache>
            </c:strRef>
          </c:tx>
          <c:spPr>
            <a:solidFill>
              <a:schemeClr val="accent4"/>
            </a:solidFill>
            <a:ln>
              <a:noFill/>
            </a:ln>
            <a:effectLst/>
          </c:spPr>
          <c:invertIfNegative val="0"/>
          <c:cat>
            <c:strRef>
              <c:f>Gledalisca!$B$119:$C$119</c:f>
              <c:strCache>
                <c:ptCount val="2"/>
                <c:pt idx="0">
                  <c:v>Struktura vseh predstav v matični hiši</c:v>
                </c:pt>
                <c:pt idx="1">
                  <c:v>Struktura celotnega obiska v matični hiši</c:v>
                </c:pt>
              </c:strCache>
            </c:strRef>
          </c:cat>
          <c:val>
            <c:numRef>
              <c:f>Gledalisca!$B$124:$C$124</c:f>
              <c:numCache>
                <c:formatCode>General</c:formatCode>
                <c:ptCount val="2"/>
                <c:pt idx="0">
                  <c:v>3</c:v>
                </c:pt>
                <c:pt idx="1">
                  <c:v>10</c:v>
                </c:pt>
              </c:numCache>
            </c:numRef>
          </c:val>
        </c:ser>
        <c:ser>
          <c:idx val="5"/>
          <c:order val="4"/>
          <c:tx>
            <c:strRef>
              <c:f>Gledalisca!$A$121</c:f>
              <c:strCache>
                <c:ptCount val="1"/>
                <c:pt idx="0">
                  <c:v>Lutkovne</c:v>
                </c:pt>
              </c:strCache>
            </c:strRef>
          </c:tx>
          <c:spPr>
            <a:solidFill>
              <a:schemeClr val="accent3"/>
            </a:solidFill>
            <a:ln>
              <a:noFill/>
            </a:ln>
            <a:effectLst/>
          </c:spPr>
          <c:invertIfNegative val="0"/>
          <c:cat>
            <c:strRef>
              <c:f>Gledalisca!$B$119:$C$119</c:f>
              <c:strCache>
                <c:ptCount val="2"/>
                <c:pt idx="0">
                  <c:v>Struktura vseh predstav v matični hiši</c:v>
                </c:pt>
                <c:pt idx="1">
                  <c:v>Struktura celotnega obiska v matični hiši</c:v>
                </c:pt>
              </c:strCache>
            </c:strRef>
          </c:cat>
          <c:val>
            <c:numRef>
              <c:f>Gledalisca!$B$121:$C$121</c:f>
              <c:numCache>
                <c:formatCode>General</c:formatCode>
                <c:ptCount val="2"/>
                <c:pt idx="0">
                  <c:v>15</c:v>
                </c:pt>
                <c:pt idx="1">
                  <c:v>13</c:v>
                </c:pt>
              </c:numCache>
            </c:numRef>
          </c:val>
        </c:ser>
        <c:ser>
          <c:idx val="3"/>
          <c:order val="5"/>
          <c:tx>
            <c:strRef>
              <c:f>Gledalisca!$A$123</c:f>
              <c:strCache>
                <c:ptCount val="1"/>
                <c:pt idx="0">
                  <c:v>Eksperimentalne</c:v>
                </c:pt>
              </c:strCache>
            </c:strRef>
          </c:tx>
          <c:spPr>
            <a:solidFill>
              <a:schemeClr val="accent5"/>
            </a:solidFill>
            <a:ln>
              <a:noFill/>
            </a:ln>
            <a:effectLst/>
          </c:spPr>
          <c:invertIfNegative val="0"/>
          <c:cat>
            <c:strRef>
              <c:f>Gledalisca!$B$119:$C$119</c:f>
              <c:strCache>
                <c:ptCount val="2"/>
                <c:pt idx="0">
                  <c:v>Struktura vseh predstav v matični hiši</c:v>
                </c:pt>
                <c:pt idx="1">
                  <c:v>Struktura celotnega obiska v matični hiši</c:v>
                </c:pt>
              </c:strCache>
            </c:strRef>
          </c:cat>
          <c:val>
            <c:numRef>
              <c:f>Gledalisca!$B$123:$C$123</c:f>
              <c:numCache>
                <c:formatCode>General</c:formatCode>
                <c:ptCount val="2"/>
                <c:pt idx="0">
                  <c:v>4</c:v>
                </c:pt>
                <c:pt idx="1">
                  <c:v>3</c:v>
                </c:pt>
              </c:numCache>
            </c:numRef>
          </c:val>
        </c:ser>
        <c:ser>
          <c:idx val="0"/>
          <c:order val="6"/>
          <c:tx>
            <c:strRef>
              <c:f>Gledalisca!$A$120</c:f>
              <c:strCache>
                <c:ptCount val="1"/>
                <c:pt idx="0">
                  <c:v>Dramske</c:v>
                </c:pt>
              </c:strCache>
            </c:strRef>
          </c:tx>
          <c:spPr>
            <a:solidFill>
              <a:schemeClr val="tx2"/>
            </a:solidFill>
            <a:ln>
              <a:noFill/>
            </a:ln>
            <a:effectLst/>
          </c:spPr>
          <c:invertIfNegative val="0"/>
          <c:dPt>
            <c:idx val="0"/>
            <c:invertIfNegative val="0"/>
            <c:bubble3D val="0"/>
            <c:spPr>
              <a:solidFill>
                <a:schemeClr val="accent6"/>
              </a:solidFill>
              <a:ln>
                <a:noFill/>
              </a:ln>
              <a:effectLst/>
            </c:spPr>
          </c:dPt>
          <c:dPt>
            <c:idx val="1"/>
            <c:invertIfNegative val="0"/>
            <c:bubble3D val="0"/>
            <c:spPr>
              <a:solidFill>
                <a:schemeClr val="accent6"/>
              </a:solidFill>
              <a:ln>
                <a:noFill/>
              </a:ln>
              <a:effectLst/>
            </c:spPr>
          </c:dPt>
          <c:cat>
            <c:strRef>
              <c:f>Gledalisca!$B$119:$C$119</c:f>
              <c:strCache>
                <c:ptCount val="2"/>
                <c:pt idx="0">
                  <c:v>Struktura vseh predstav v matični hiši</c:v>
                </c:pt>
                <c:pt idx="1">
                  <c:v>Struktura celotnega obiska v matični hiši</c:v>
                </c:pt>
              </c:strCache>
            </c:strRef>
          </c:cat>
          <c:val>
            <c:numRef>
              <c:f>Gledalisca!$B$120:$C$120</c:f>
              <c:numCache>
                <c:formatCode>General</c:formatCode>
                <c:ptCount val="2"/>
                <c:pt idx="0">
                  <c:v>64</c:v>
                </c:pt>
                <c:pt idx="1">
                  <c:v>49</c:v>
                </c:pt>
              </c:numCache>
            </c:numRef>
          </c:val>
        </c:ser>
        <c:dLbls>
          <c:showLegendKey val="0"/>
          <c:showVal val="0"/>
          <c:showCatName val="0"/>
          <c:showSerName val="0"/>
          <c:showPercent val="0"/>
          <c:showBubbleSize val="0"/>
        </c:dLbls>
        <c:gapWidth val="156"/>
        <c:overlap val="100"/>
        <c:axId val="224750592"/>
        <c:axId val="233452288"/>
      </c:barChart>
      <c:catAx>
        <c:axId val="2247505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vert="horz"/>
          <a:lstStyle/>
          <a:p>
            <a:pPr>
              <a:defRPr/>
            </a:pPr>
            <a:endParaRPr lang="sl-SI"/>
          </a:p>
        </c:txPr>
        <c:crossAx val="233452288"/>
        <c:crosses val="autoZero"/>
        <c:auto val="1"/>
        <c:lblAlgn val="ctr"/>
        <c:lblOffset val="100"/>
        <c:noMultiLvlLbl val="0"/>
      </c:catAx>
      <c:valAx>
        <c:axId val="23345228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vert="horz"/>
          <a:lstStyle/>
          <a:p>
            <a:pPr>
              <a:defRPr/>
            </a:pPr>
            <a:endParaRPr lang="sl-SI"/>
          </a:p>
        </c:txPr>
        <c:crossAx val="224750592"/>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dTable>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sz="800" baseline="0">
          <a:solidFill>
            <a:schemeClr val="bg2">
              <a:lumMod val="25000"/>
            </a:schemeClr>
          </a:solidFill>
        </a:defRPr>
      </a:pPr>
      <a:endParaRPr lang="sl-SI"/>
    </a:p>
  </c:txPr>
  <c:externalData r:id="rId1">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percentStacked"/>
        <c:varyColors val="0"/>
        <c:ser>
          <c:idx val="0"/>
          <c:order val="0"/>
          <c:tx>
            <c:strRef>
              <c:f>'/Users/BT/Desktop/Analize MK/00 NPK - SKUPNO/delo na NPK 2018-2025/01_analiza/Razna gradiva za analizo/SURS Kulturne prireditve in obiskovalci/[SURS Struktura gledaliških predstav.xlsx]gostovanja'!$B$48</c:f>
              <c:strCache>
                <c:ptCount val="1"/>
                <c:pt idx="0">
                  <c:v>Lastne predstave v matični hiši</c:v>
                </c:pt>
              </c:strCache>
            </c:strRef>
          </c:tx>
          <c:spPr>
            <a:solidFill>
              <a:schemeClr val="accent1"/>
            </a:solidFill>
            <a:ln>
              <a:noFill/>
            </a:ln>
            <a:effectLst/>
          </c:spPr>
          <c:invertIfNegative val="0"/>
          <c:cat>
            <c:strRef>
              <c:f>[2]gostovanja!$C$47:$N$47</c:f>
              <c:strCache>
                <c:ptCount val="12"/>
                <c:pt idx="0">
                  <c:v>2004</c:v>
                </c:pt>
                <c:pt idx="1">
                  <c:v>2005</c:v>
                </c:pt>
                <c:pt idx="2">
                  <c:v>2006</c:v>
                </c:pt>
                <c:pt idx="3">
                  <c:v>2007</c:v>
                </c:pt>
                <c:pt idx="4">
                  <c:v>2008</c:v>
                </c:pt>
                <c:pt idx="5">
                  <c:v>2009</c:v>
                </c:pt>
                <c:pt idx="6">
                  <c:v>2010</c:v>
                </c:pt>
                <c:pt idx="7">
                  <c:v>2011</c:v>
                </c:pt>
                <c:pt idx="8">
                  <c:v>2012</c:v>
                </c:pt>
                <c:pt idx="9">
                  <c:v>2013</c:v>
                </c:pt>
                <c:pt idx="10">
                  <c:v>2014</c:v>
                </c:pt>
                <c:pt idx="11">
                  <c:v>2015</c:v>
                </c:pt>
              </c:strCache>
            </c:strRef>
          </c:cat>
          <c:val>
            <c:numRef>
              <c:f>[2]gostovanja!$C$48:$N$48</c:f>
              <c:numCache>
                <c:formatCode>General</c:formatCode>
                <c:ptCount val="12"/>
                <c:pt idx="0">
                  <c:v>5331</c:v>
                </c:pt>
                <c:pt idx="1">
                  <c:v>4396</c:v>
                </c:pt>
                <c:pt idx="2">
                  <c:v>3523</c:v>
                </c:pt>
                <c:pt idx="3">
                  <c:v>3127</c:v>
                </c:pt>
                <c:pt idx="4">
                  <c:v>3360</c:v>
                </c:pt>
                <c:pt idx="5">
                  <c:v>2918</c:v>
                </c:pt>
                <c:pt idx="6">
                  <c:v>3639</c:v>
                </c:pt>
                <c:pt idx="7">
                  <c:v>4674</c:v>
                </c:pt>
                <c:pt idx="8">
                  <c:v>4343</c:v>
                </c:pt>
                <c:pt idx="9">
                  <c:v>3809</c:v>
                </c:pt>
                <c:pt idx="10">
                  <c:v>3854</c:v>
                </c:pt>
                <c:pt idx="11">
                  <c:v>5465</c:v>
                </c:pt>
              </c:numCache>
            </c:numRef>
          </c:val>
        </c:ser>
        <c:ser>
          <c:idx val="1"/>
          <c:order val="1"/>
          <c:tx>
            <c:strRef>
              <c:f>'/Users/BT/Desktop/Analize MK/00 NPK - SKUPNO/delo na NPK 2018-2025/01_analiza/Razna gradiva za analizo/SURS Kulturne prireditve in obiskovalci/[SURS Struktura gledaliških predstav.xlsx]gostovanja'!$B$49</c:f>
              <c:strCache>
                <c:ptCount val="1"/>
                <c:pt idx="0">
                  <c:v>Predstave gostujočih skupin</c:v>
                </c:pt>
              </c:strCache>
            </c:strRef>
          </c:tx>
          <c:spPr>
            <a:solidFill>
              <a:schemeClr val="accent2"/>
            </a:solidFill>
            <a:ln>
              <a:noFill/>
            </a:ln>
            <a:effectLst/>
          </c:spPr>
          <c:invertIfNegative val="0"/>
          <c:cat>
            <c:strRef>
              <c:f>[2]gostovanja!$C$47:$N$47</c:f>
              <c:strCache>
                <c:ptCount val="12"/>
                <c:pt idx="0">
                  <c:v>2004</c:v>
                </c:pt>
                <c:pt idx="1">
                  <c:v>2005</c:v>
                </c:pt>
                <c:pt idx="2">
                  <c:v>2006</c:v>
                </c:pt>
                <c:pt idx="3">
                  <c:v>2007</c:v>
                </c:pt>
                <c:pt idx="4">
                  <c:v>2008</c:v>
                </c:pt>
                <c:pt idx="5">
                  <c:v>2009</c:v>
                </c:pt>
                <c:pt idx="6">
                  <c:v>2010</c:v>
                </c:pt>
                <c:pt idx="7">
                  <c:v>2011</c:v>
                </c:pt>
                <c:pt idx="8">
                  <c:v>2012</c:v>
                </c:pt>
                <c:pt idx="9">
                  <c:v>2013</c:v>
                </c:pt>
                <c:pt idx="10">
                  <c:v>2014</c:v>
                </c:pt>
                <c:pt idx="11">
                  <c:v>2015</c:v>
                </c:pt>
              </c:strCache>
            </c:strRef>
          </c:cat>
          <c:val>
            <c:numRef>
              <c:f>[2]gostovanja!$C$49:$N$49</c:f>
              <c:numCache>
                <c:formatCode>General</c:formatCode>
                <c:ptCount val="12"/>
                <c:pt idx="0">
                  <c:v>793</c:v>
                </c:pt>
                <c:pt idx="1">
                  <c:v>830</c:v>
                </c:pt>
                <c:pt idx="2">
                  <c:v>741</c:v>
                </c:pt>
                <c:pt idx="3">
                  <c:v>737</c:v>
                </c:pt>
                <c:pt idx="4">
                  <c:v>800</c:v>
                </c:pt>
                <c:pt idx="5">
                  <c:v>858</c:v>
                </c:pt>
                <c:pt idx="6">
                  <c:v>1011</c:v>
                </c:pt>
                <c:pt idx="7">
                  <c:v>1174</c:v>
                </c:pt>
                <c:pt idx="8">
                  <c:v>1267</c:v>
                </c:pt>
                <c:pt idx="9">
                  <c:v>937</c:v>
                </c:pt>
                <c:pt idx="10">
                  <c:v>894</c:v>
                </c:pt>
                <c:pt idx="11">
                  <c:v>1079</c:v>
                </c:pt>
              </c:numCache>
            </c:numRef>
          </c:val>
        </c:ser>
        <c:dLbls>
          <c:showLegendKey val="0"/>
          <c:showVal val="0"/>
          <c:showCatName val="0"/>
          <c:showSerName val="0"/>
          <c:showPercent val="0"/>
          <c:showBubbleSize val="0"/>
        </c:dLbls>
        <c:gapWidth val="150"/>
        <c:overlap val="100"/>
        <c:axId val="233687680"/>
        <c:axId val="233689472"/>
      </c:barChart>
      <c:catAx>
        <c:axId val="2336876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vert="horz"/>
          <a:lstStyle/>
          <a:p>
            <a:pPr>
              <a:defRPr/>
            </a:pPr>
            <a:endParaRPr lang="sl-SI"/>
          </a:p>
        </c:txPr>
        <c:crossAx val="233689472"/>
        <c:crosses val="autoZero"/>
        <c:auto val="1"/>
        <c:lblAlgn val="ctr"/>
        <c:lblOffset val="100"/>
        <c:noMultiLvlLbl val="0"/>
      </c:catAx>
      <c:valAx>
        <c:axId val="23368947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vert="horz"/>
          <a:lstStyle/>
          <a:p>
            <a:pPr>
              <a:defRPr/>
            </a:pPr>
            <a:endParaRPr lang="sl-SI"/>
          </a:p>
        </c:txPr>
        <c:crossAx val="233687680"/>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dTable>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sz="800" baseline="0">
          <a:solidFill>
            <a:schemeClr val="bg2">
              <a:lumMod val="25000"/>
            </a:schemeClr>
          </a:solidFill>
        </a:defRPr>
      </a:pPr>
      <a:endParaRPr lang="sl-SI"/>
    </a:p>
  </c:txPr>
  <c:externalData r:id="rId1">
    <c:autoUpdate val="0"/>
  </c:externalData>
</c:chartSpace>
</file>

<file path=word/charts/chart28.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'[Grafikon v programu Microsoft Word]izvedena'!$B$39</c:f>
              <c:strCache>
                <c:ptCount val="1"/>
                <c:pt idx="0">
                  <c:v>Predstave na gostovanju zunaj matične hiše</c:v>
                </c:pt>
              </c:strCache>
            </c:strRef>
          </c:tx>
          <c:invertIfNegative val="0"/>
          <c:cat>
            <c:strRef>
              <c:f>'[Grafikon v programu Microsoft Word]izvedena'!$C$38:$N$38</c:f>
              <c:strCache>
                <c:ptCount val="12"/>
                <c:pt idx="0">
                  <c:v>2004</c:v>
                </c:pt>
                <c:pt idx="1">
                  <c:v>2005</c:v>
                </c:pt>
                <c:pt idx="2">
                  <c:v>2006</c:v>
                </c:pt>
                <c:pt idx="3">
                  <c:v>2007</c:v>
                </c:pt>
                <c:pt idx="4">
                  <c:v>2008</c:v>
                </c:pt>
                <c:pt idx="5">
                  <c:v>2009</c:v>
                </c:pt>
                <c:pt idx="6">
                  <c:v>2010</c:v>
                </c:pt>
                <c:pt idx="7">
                  <c:v>2011</c:v>
                </c:pt>
                <c:pt idx="8">
                  <c:v>2012</c:v>
                </c:pt>
                <c:pt idx="9">
                  <c:v>2013</c:v>
                </c:pt>
                <c:pt idx="10">
                  <c:v>2014</c:v>
                </c:pt>
                <c:pt idx="11">
                  <c:v>2015</c:v>
                </c:pt>
              </c:strCache>
            </c:strRef>
          </c:cat>
          <c:val>
            <c:numRef>
              <c:f>'[Grafikon v programu Microsoft Word]izvedena'!$C$39:$N$39</c:f>
              <c:numCache>
                <c:formatCode>#,##0</c:formatCode>
                <c:ptCount val="12"/>
                <c:pt idx="0">
                  <c:v>2014</c:v>
                </c:pt>
                <c:pt idx="1">
                  <c:v>2059</c:v>
                </c:pt>
                <c:pt idx="2">
                  <c:v>2699</c:v>
                </c:pt>
                <c:pt idx="3">
                  <c:v>2058</c:v>
                </c:pt>
                <c:pt idx="4">
                  <c:v>1840</c:v>
                </c:pt>
                <c:pt idx="5">
                  <c:v>1891</c:v>
                </c:pt>
                <c:pt idx="6">
                  <c:v>2190</c:v>
                </c:pt>
                <c:pt idx="7">
                  <c:v>2649</c:v>
                </c:pt>
                <c:pt idx="8">
                  <c:v>2744</c:v>
                </c:pt>
                <c:pt idx="9">
                  <c:v>2219</c:v>
                </c:pt>
                <c:pt idx="10">
                  <c:v>2089</c:v>
                </c:pt>
                <c:pt idx="11">
                  <c:v>2196</c:v>
                </c:pt>
              </c:numCache>
            </c:numRef>
          </c:val>
        </c:ser>
        <c:ser>
          <c:idx val="1"/>
          <c:order val="1"/>
          <c:tx>
            <c:strRef>
              <c:f>'[Grafikon v programu Microsoft Word]izvedena'!$B$40</c:f>
              <c:strCache>
                <c:ptCount val="1"/>
                <c:pt idx="0">
                  <c:v>Predstave na gostovanju v matični hiši</c:v>
                </c:pt>
              </c:strCache>
            </c:strRef>
          </c:tx>
          <c:invertIfNegative val="0"/>
          <c:cat>
            <c:strRef>
              <c:f>'[Grafikon v programu Microsoft Word]izvedena'!$C$38:$N$38</c:f>
              <c:strCache>
                <c:ptCount val="12"/>
                <c:pt idx="0">
                  <c:v>2004</c:v>
                </c:pt>
                <c:pt idx="1">
                  <c:v>2005</c:v>
                </c:pt>
                <c:pt idx="2">
                  <c:v>2006</c:v>
                </c:pt>
                <c:pt idx="3">
                  <c:v>2007</c:v>
                </c:pt>
                <c:pt idx="4">
                  <c:v>2008</c:v>
                </c:pt>
                <c:pt idx="5">
                  <c:v>2009</c:v>
                </c:pt>
                <c:pt idx="6">
                  <c:v>2010</c:v>
                </c:pt>
                <c:pt idx="7">
                  <c:v>2011</c:v>
                </c:pt>
                <c:pt idx="8">
                  <c:v>2012</c:v>
                </c:pt>
                <c:pt idx="9">
                  <c:v>2013</c:v>
                </c:pt>
                <c:pt idx="10">
                  <c:v>2014</c:v>
                </c:pt>
                <c:pt idx="11">
                  <c:v>2015</c:v>
                </c:pt>
              </c:strCache>
            </c:strRef>
          </c:cat>
          <c:val>
            <c:numRef>
              <c:f>'[Grafikon v programu Microsoft Word]izvedena'!$C$40:$N$40</c:f>
              <c:numCache>
                <c:formatCode>#,##0</c:formatCode>
                <c:ptCount val="12"/>
                <c:pt idx="0">
                  <c:v>703</c:v>
                </c:pt>
                <c:pt idx="1">
                  <c:v>665</c:v>
                </c:pt>
                <c:pt idx="2">
                  <c:v>726</c:v>
                </c:pt>
                <c:pt idx="3">
                  <c:v>732</c:v>
                </c:pt>
                <c:pt idx="4">
                  <c:v>818</c:v>
                </c:pt>
                <c:pt idx="5">
                  <c:v>825</c:v>
                </c:pt>
                <c:pt idx="6">
                  <c:v>1036</c:v>
                </c:pt>
                <c:pt idx="7">
                  <c:v>1230</c:v>
                </c:pt>
                <c:pt idx="8">
                  <c:v>1257</c:v>
                </c:pt>
                <c:pt idx="9">
                  <c:v>957</c:v>
                </c:pt>
                <c:pt idx="10">
                  <c:v>1606</c:v>
                </c:pt>
                <c:pt idx="11">
                  <c:v>1064</c:v>
                </c:pt>
              </c:numCache>
            </c:numRef>
          </c:val>
        </c:ser>
        <c:dLbls>
          <c:showLegendKey val="0"/>
          <c:showVal val="0"/>
          <c:showCatName val="0"/>
          <c:showSerName val="0"/>
          <c:showPercent val="0"/>
          <c:showBubbleSize val="0"/>
        </c:dLbls>
        <c:gapWidth val="150"/>
        <c:axId val="234067456"/>
        <c:axId val="234068992"/>
      </c:barChart>
      <c:catAx>
        <c:axId val="234067456"/>
        <c:scaling>
          <c:orientation val="minMax"/>
        </c:scaling>
        <c:delete val="0"/>
        <c:axPos val="b"/>
        <c:numFmt formatCode="General" sourceLinked="0"/>
        <c:majorTickMark val="out"/>
        <c:minorTickMark val="none"/>
        <c:tickLblPos val="nextTo"/>
        <c:crossAx val="234068992"/>
        <c:crosses val="autoZero"/>
        <c:auto val="1"/>
        <c:lblAlgn val="ctr"/>
        <c:lblOffset val="100"/>
        <c:noMultiLvlLbl val="0"/>
      </c:catAx>
      <c:valAx>
        <c:axId val="234068992"/>
        <c:scaling>
          <c:orientation val="minMax"/>
        </c:scaling>
        <c:delete val="0"/>
        <c:axPos val="l"/>
        <c:majorGridlines>
          <c:spPr>
            <a:ln>
              <a:solidFill>
                <a:schemeClr val="bg1">
                  <a:lumMod val="85000"/>
                </a:schemeClr>
              </a:solidFill>
            </a:ln>
          </c:spPr>
        </c:majorGridlines>
        <c:title>
          <c:tx>
            <c:rich>
              <a:bodyPr rot="-5400000" vert="horz"/>
              <a:lstStyle/>
              <a:p>
                <a:pPr>
                  <a:defRPr/>
                </a:pPr>
                <a:r>
                  <a:rPr lang="sl-SI"/>
                  <a:t>Število</a:t>
                </a:r>
              </a:p>
            </c:rich>
          </c:tx>
          <c:layout>
            <c:manualLayout>
              <c:xMode val="edge"/>
              <c:yMode val="edge"/>
              <c:x val="0.234028575407112"/>
              <c:y val="0.30655005363577598"/>
            </c:manualLayout>
          </c:layout>
          <c:overlay val="0"/>
        </c:title>
        <c:numFmt formatCode="#,##0" sourceLinked="1"/>
        <c:majorTickMark val="out"/>
        <c:minorTickMark val="none"/>
        <c:tickLblPos val="nextTo"/>
        <c:spPr>
          <a:ln>
            <a:noFill/>
          </a:ln>
        </c:spPr>
        <c:crossAx val="234067456"/>
        <c:crosses val="autoZero"/>
        <c:crossBetween val="between"/>
      </c:valAx>
      <c:dTable>
        <c:showHorzBorder val="1"/>
        <c:showVertBorder val="1"/>
        <c:showOutline val="1"/>
        <c:showKeys val="1"/>
        <c:spPr>
          <a:ln>
            <a:solidFill>
              <a:schemeClr val="bg1">
                <a:lumMod val="85000"/>
              </a:schemeClr>
            </a:solidFill>
          </a:ln>
        </c:spPr>
      </c:dTable>
    </c:plotArea>
    <c:plotVisOnly val="1"/>
    <c:dispBlanksAs val="gap"/>
    <c:showDLblsOverMax val="0"/>
  </c:chart>
  <c:spPr>
    <a:ln>
      <a:noFill/>
    </a:ln>
  </c:spPr>
  <c:txPr>
    <a:bodyPr/>
    <a:lstStyle/>
    <a:p>
      <a:pPr>
        <a:defRPr sz="800" baseline="0">
          <a:solidFill>
            <a:schemeClr val="bg2">
              <a:lumMod val="25000"/>
            </a:schemeClr>
          </a:solidFill>
        </a:defRPr>
      </a:pPr>
      <a:endParaRPr lang="sl-SI"/>
    </a:p>
  </c:txPr>
  <c:externalData r:id="rId1">
    <c:autoUpdate val="0"/>
  </c:externalData>
</c:chartSpace>
</file>

<file path=word/charts/chart29.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6"/>
          <c:order val="0"/>
          <c:tx>
            <c:strRef>
              <c:f>Gledalisca!$A$86</c:f>
              <c:strCache>
                <c:ptCount val="1"/>
                <c:pt idx="0">
                  <c:v>Druge</c:v>
                </c:pt>
              </c:strCache>
            </c:strRef>
          </c:tx>
          <c:spPr>
            <a:solidFill>
              <a:schemeClr val="tx2"/>
            </a:solidFill>
            <a:ln>
              <a:solidFill>
                <a:schemeClr val="tx2"/>
              </a:solidFill>
            </a:ln>
            <a:effectLst/>
          </c:spPr>
          <c:invertIfNegative val="0"/>
          <c:cat>
            <c:strRef>
              <c:f>Gledalisca!$B$79:$M$79</c:f>
              <c:strCache>
                <c:ptCount val="12"/>
                <c:pt idx="0">
                  <c:v>2004</c:v>
                </c:pt>
                <c:pt idx="1">
                  <c:v>2005</c:v>
                </c:pt>
                <c:pt idx="2">
                  <c:v>2006</c:v>
                </c:pt>
                <c:pt idx="3">
                  <c:v>2007</c:v>
                </c:pt>
                <c:pt idx="4">
                  <c:v>2008</c:v>
                </c:pt>
                <c:pt idx="5">
                  <c:v>2009</c:v>
                </c:pt>
                <c:pt idx="6">
                  <c:v>2010</c:v>
                </c:pt>
                <c:pt idx="7">
                  <c:v>2011</c:v>
                </c:pt>
                <c:pt idx="8">
                  <c:v>2012</c:v>
                </c:pt>
                <c:pt idx="9">
                  <c:v>2013</c:v>
                </c:pt>
                <c:pt idx="10">
                  <c:v>2014</c:v>
                </c:pt>
                <c:pt idx="11">
                  <c:v>2015</c:v>
                </c:pt>
              </c:strCache>
            </c:strRef>
          </c:cat>
          <c:val>
            <c:numRef>
              <c:f>Gledalisca!$B$86:$M$86</c:f>
              <c:numCache>
                <c:formatCode>0.00</c:formatCode>
                <c:ptCount val="12"/>
                <c:pt idx="0">
                  <c:v>3.4454604833442031</c:v>
                </c:pt>
                <c:pt idx="1">
                  <c:v>6.8694986605434369</c:v>
                </c:pt>
                <c:pt idx="2">
                  <c:v>7.5281425891181986</c:v>
                </c:pt>
                <c:pt idx="3">
                  <c:v>6.8581780538302271</c:v>
                </c:pt>
                <c:pt idx="4">
                  <c:v>9.3269230769230749</c:v>
                </c:pt>
                <c:pt idx="5">
                  <c:v>9.5074152542372907</c:v>
                </c:pt>
                <c:pt idx="6">
                  <c:v>7.956989247311828</c:v>
                </c:pt>
                <c:pt idx="7">
                  <c:v>9.0629274965800271</c:v>
                </c:pt>
                <c:pt idx="8">
                  <c:v>11.94295900178253</c:v>
                </c:pt>
                <c:pt idx="9">
                  <c:v>20.227560050568901</c:v>
                </c:pt>
                <c:pt idx="10">
                  <c:v>7.9612468407750629</c:v>
                </c:pt>
                <c:pt idx="11">
                  <c:v>6.3111246943765282</c:v>
                </c:pt>
              </c:numCache>
            </c:numRef>
          </c:val>
        </c:ser>
        <c:ser>
          <c:idx val="3"/>
          <c:order val="1"/>
          <c:tx>
            <c:strRef>
              <c:f>Gledalisca!$A$83</c:f>
              <c:strCache>
                <c:ptCount val="1"/>
                <c:pt idx="0">
                  <c:v>Plesne</c:v>
                </c:pt>
              </c:strCache>
            </c:strRef>
          </c:tx>
          <c:spPr>
            <a:solidFill>
              <a:schemeClr val="accent2"/>
            </a:solidFill>
            <a:ln>
              <a:solidFill>
                <a:schemeClr val="accent2"/>
              </a:solidFill>
            </a:ln>
            <a:effectLst/>
          </c:spPr>
          <c:invertIfNegative val="0"/>
          <c:cat>
            <c:strRef>
              <c:f>Gledalisca!$B$79:$M$79</c:f>
              <c:strCache>
                <c:ptCount val="12"/>
                <c:pt idx="0">
                  <c:v>2004</c:v>
                </c:pt>
                <c:pt idx="1">
                  <c:v>2005</c:v>
                </c:pt>
                <c:pt idx="2">
                  <c:v>2006</c:v>
                </c:pt>
                <c:pt idx="3">
                  <c:v>2007</c:v>
                </c:pt>
                <c:pt idx="4">
                  <c:v>2008</c:v>
                </c:pt>
                <c:pt idx="5">
                  <c:v>2009</c:v>
                </c:pt>
                <c:pt idx="6">
                  <c:v>2010</c:v>
                </c:pt>
                <c:pt idx="7">
                  <c:v>2011</c:v>
                </c:pt>
                <c:pt idx="8">
                  <c:v>2012</c:v>
                </c:pt>
                <c:pt idx="9">
                  <c:v>2013</c:v>
                </c:pt>
                <c:pt idx="10">
                  <c:v>2014</c:v>
                </c:pt>
                <c:pt idx="11">
                  <c:v>2015</c:v>
                </c:pt>
              </c:strCache>
            </c:strRef>
          </c:cat>
          <c:val>
            <c:numRef>
              <c:f>Gledalisca!$B$83:$M$83</c:f>
              <c:numCache>
                <c:formatCode>0.00</c:formatCode>
                <c:ptCount val="12"/>
                <c:pt idx="0">
                  <c:v>4.1966035271064666</c:v>
                </c:pt>
                <c:pt idx="1">
                  <c:v>5.1090700344431701</c:v>
                </c:pt>
                <c:pt idx="2">
                  <c:v>3.4943714821763598</c:v>
                </c:pt>
                <c:pt idx="3">
                  <c:v>4.2443064182194616</c:v>
                </c:pt>
                <c:pt idx="4">
                  <c:v>2.115384615384615</c:v>
                </c:pt>
                <c:pt idx="5">
                  <c:v>5.5349576271186356</c:v>
                </c:pt>
                <c:pt idx="6">
                  <c:v>3.8279569892473111</c:v>
                </c:pt>
                <c:pt idx="7">
                  <c:v>6.703146374829001</c:v>
                </c:pt>
                <c:pt idx="8">
                  <c:v>6.0962566844919781</c:v>
                </c:pt>
                <c:pt idx="9">
                  <c:v>4.4247787610619467</c:v>
                </c:pt>
                <c:pt idx="10">
                  <c:v>7.2030328559393428</c:v>
                </c:pt>
                <c:pt idx="11">
                  <c:v>6.3875305623471679</c:v>
                </c:pt>
              </c:numCache>
            </c:numRef>
          </c:val>
        </c:ser>
        <c:ser>
          <c:idx val="2"/>
          <c:order val="2"/>
          <c:tx>
            <c:strRef>
              <c:f>Gledalisca!$A$82</c:f>
              <c:strCache>
                <c:ptCount val="1"/>
                <c:pt idx="0">
                  <c:v>Baletne</c:v>
                </c:pt>
              </c:strCache>
            </c:strRef>
          </c:tx>
          <c:spPr>
            <a:solidFill>
              <a:schemeClr val="tx1"/>
            </a:solidFill>
            <a:ln>
              <a:solidFill>
                <a:schemeClr val="tx1"/>
              </a:solidFill>
            </a:ln>
            <a:effectLst/>
          </c:spPr>
          <c:invertIfNegative val="0"/>
          <c:cat>
            <c:strRef>
              <c:f>Gledalisca!$B$79:$M$79</c:f>
              <c:strCache>
                <c:ptCount val="12"/>
                <c:pt idx="0">
                  <c:v>2004</c:v>
                </c:pt>
                <c:pt idx="1">
                  <c:v>2005</c:v>
                </c:pt>
                <c:pt idx="2">
                  <c:v>2006</c:v>
                </c:pt>
                <c:pt idx="3">
                  <c:v>2007</c:v>
                </c:pt>
                <c:pt idx="4">
                  <c:v>2008</c:v>
                </c:pt>
                <c:pt idx="5">
                  <c:v>2009</c:v>
                </c:pt>
                <c:pt idx="6">
                  <c:v>2010</c:v>
                </c:pt>
                <c:pt idx="7">
                  <c:v>2011</c:v>
                </c:pt>
                <c:pt idx="8">
                  <c:v>2012</c:v>
                </c:pt>
                <c:pt idx="9">
                  <c:v>2013</c:v>
                </c:pt>
                <c:pt idx="10">
                  <c:v>2014</c:v>
                </c:pt>
                <c:pt idx="11">
                  <c:v>2015</c:v>
                </c:pt>
              </c:strCache>
            </c:strRef>
          </c:cat>
          <c:val>
            <c:numRef>
              <c:f>Gledalisca!$B$82:$M$82</c:f>
              <c:numCache>
                <c:formatCode>0.00</c:formatCode>
                <c:ptCount val="12"/>
                <c:pt idx="0">
                  <c:v>0.60418027433050303</c:v>
                </c:pt>
                <c:pt idx="1">
                  <c:v>0.86107921928817399</c:v>
                </c:pt>
                <c:pt idx="2">
                  <c:v>1.7823639774859279</c:v>
                </c:pt>
                <c:pt idx="3">
                  <c:v>1.8892339544513459</c:v>
                </c:pt>
                <c:pt idx="4">
                  <c:v>1.466346153846154</c:v>
                </c:pt>
                <c:pt idx="5">
                  <c:v>3.0455508474576272</c:v>
                </c:pt>
                <c:pt idx="6">
                  <c:v>2.5806451612903221</c:v>
                </c:pt>
                <c:pt idx="7">
                  <c:v>1.9493844049247611</c:v>
                </c:pt>
                <c:pt idx="8">
                  <c:v>1.8894830659536539</c:v>
                </c:pt>
                <c:pt idx="9">
                  <c:v>2.1913190054782969</c:v>
                </c:pt>
                <c:pt idx="10">
                  <c:v>2.3588879528222408</c:v>
                </c:pt>
                <c:pt idx="11">
                  <c:v>1.6350855745721271</c:v>
                </c:pt>
              </c:numCache>
            </c:numRef>
          </c:val>
        </c:ser>
        <c:ser>
          <c:idx val="1"/>
          <c:order val="3"/>
          <c:tx>
            <c:strRef>
              <c:f>Gledalisca!$A$81</c:f>
              <c:strCache>
                <c:ptCount val="1"/>
                <c:pt idx="0">
                  <c:v>Operne</c:v>
                </c:pt>
              </c:strCache>
            </c:strRef>
          </c:tx>
          <c:spPr>
            <a:solidFill>
              <a:schemeClr val="accent4"/>
            </a:solidFill>
            <a:ln>
              <a:solidFill>
                <a:schemeClr val="accent4"/>
              </a:solidFill>
            </a:ln>
            <a:effectLst/>
          </c:spPr>
          <c:invertIfNegative val="0"/>
          <c:cat>
            <c:strRef>
              <c:f>Gledalisca!$B$79:$M$79</c:f>
              <c:strCache>
                <c:ptCount val="12"/>
                <c:pt idx="0">
                  <c:v>2004</c:v>
                </c:pt>
                <c:pt idx="1">
                  <c:v>2005</c:v>
                </c:pt>
                <c:pt idx="2">
                  <c:v>2006</c:v>
                </c:pt>
                <c:pt idx="3">
                  <c:v>2007</c:v>
                </c:pt>
                <c:pt idx="4">
                  <c:v>2008</c:v>
                </c:pt>
                <c:pt idx="5">
                  <c:v>2009</c:v>
                </c:pt>
                <c:pt idx="6">
                  <c:v>2010</c:v>
                </c:pt>
                <c:pt idx="7">
                  <c:v>2011</c:v>
                </c:pt>
                <c:pt idx="8">
                  <c:v>2012</c:v>
                </c:pt>
                <c:pt idx="9">
                  <c:v>2013</c:v>
                </c:pt>
                <c:pt idx="10">
                  <c:v>2014</c:v>
                </c:pt>
                <c:pt idx="11">
                  <c:v>2015</c:v>
                </c:pt>
              </c:strCache>
            </c:strRef>
          </c:cat>
          <c:val>
            <c:numRef>
              <c:f>Gledalisca!$B$81:$M$81</c:f>
              <c:numCache>
                <c:formatCode>0.00</c:formatCode>
                <c:ptCount val="12"/>
                <c:pt idx="0">
                  <c:v>0.93076420640104496</c:v>
                </c:pt>
                <c:pt idx="1">
                  <c:v>0.99502487562189101</c:v>
                </c:pt>
                <c:pt idx="2">
                  <c:v>2.74390243902439</c:v>
                </c:pt>
                <c:pt idx="3">
                  <c:v>2.5879917184265002</c:v>
                </c:pt>
                <c:pt idx="4">
                  <c:v>2.3557692307692171</c:v>
                </c:pt>
                <c:pt idx="5">
                  <c:v>2.277542372881356</c:v>
                </c:pt>
                <c:pt idx="6">
                  <c:v>2.344086021505376</c:v>
                </c:pt>
                <c:pt idx="7">
                  <c:v>1.880984952120383</c:v>
                </c:pt>
                <c:pt idx="8">
                  <c:v>2.3172905525846699</c:v>
                </c:pt>
                <c:pt idx="9">
                  <c:v>3.308048883270116</c:v>
                </c:pt>
                <c:pt idx="10">
                  <c:v>2.5905644481887111</c:v>
                </c:pt>
                <c:pt idx="11">
                  <c:v>2.5213936430317849</c:v>
                </c:pt>
              </c:numCache>
            </c:numRef>
          </c:val>
        </c:ser>
        <c:ser>
          <c:idx val="4"/>
          <c:order val="4"/>
          <c:tx>
            <c:strRef>
              <c:f>Gledalisca!$A$84</c:f>
              <c:strCache>
                <c:ptCount val="1"/>
                <c:pt idx="0">
                  <c:v>Lutkovne</c:v>
                </c:pt>
              </c:strCache>
            </c:strRef>
          </c:tx>
          <c:spPr>
            <a:solidFill>
              <a:schemeClr val="accent3"/>
            </a:solidFill>
            <a:ln>
              <a:solidFill>
                <a:schemeClr val="accent3"/>
              </a:solidFill>
            </a:ln>
            <a:effectLst/>
          </c:spPr>
          <c:invertIfNegative val="0"/>
          <c:cat>
            <c:strRef>
              <c:f>Gledalisca!$B$79:$M$79</c:f>
              <c:strCache>
                <c:ptCount val="12"/>
                <c:pt idx="0">
                  <c:v>2004</c:v>
                </c:pt>
                <c:pt idx="1">
                  <c:v>2005</c:v>
                </c:pt>
                <c:pt idx="2">
                  <c:v>2006</c:v>
                </c:pt>
                <c:pt idx="3">
                  <c:v>2007</c:v>
                </c:pt>
                <c:pt idx="4">
                  <c:v>2008</c:v>
                </c:pt>
                <c:pt idx="5">
                  <c:v>2009</c:v>
                </c:pt>
                <c:pt idx="6">
                  <c:v>2010</c:v>
                </c:pt>
                <c:pt idx="7">
                  <c:v>2011</c:v>
                </c:pt>
                <c:pt idx="8">
                  <c:v>2012</c:v>
                </c:pt>
                <c:pt idx="9">
                  <c:v>2013</c:v>
                </c:pt>
                <c:pt idx="10">
                  <c:v>2014</c:v>
                </c:pt>
                <c:pt idx="11">
                  <c:v>2015</c:v>
                </c:pt>
              </c:strCache>
            </c:strRef>
          </c:cat>
          <c:val>
            <c:numRef>
              <c:f>Gledalisca!$B$84:$M$84</c:f>
              <c:numCache>
                <c:formatCode>0.00</c:formatCode>
                <c:ptCount val="12"/>
                <c:pt idx="0">
                  <c:v>11.49575440888308</c:v>
                </c:pt>
                <c:pt idx="1">
                  <c:v>13.184079601990049</c:v>
                </c:pt>
                <c:pt idx="2">
                  <c:v>29.99530956848028</c:v>
                </c:pt>
                <c:pt idx="3">
                  <c:v>29.166666666666671</c:v>
                </c:pt>
                <c:pt idx="4">
                  <c:v>33.125</c:v>
                </c:pt>
                <c:pt idx="5">
                  <c:v>13.63877118644068</c:v>
                </c:pt>
                <c:pt idx="6">
                  <c:v>21.333333333333279</c:v>
                </c:pt>
                <c:pt idx="7">
                  <c:v>24.059507523939811</c:v>
                </c:pt>
                <c:pt idx="8">
                  <c:v>28.859180035650621</c:v>
                </c:pt>
                <c:pt idx="9">
                  <c:v>20.459334176148339</c:v>
                </c:pt>
                <c:pt idx="10">
                  <c:v>22.788542544228989</c:v>
                </c:pt>
                <c:pt idx="11">
                  <c:v>14.822738386308069</c:v>
                </c:pt>
              </c:numCache>
            </c:numRef>
          </c:val>
        </c:ser>
        <c:ser>
          <c:idx val="5"/>
          <c:order val="5"/>
          <c:tx>
            <c:strRef>
              <c:f>Gledalisca!$A$85</c:f>
              <c:strCache>
                <c:ptCount val="1"/>
                <c:pt idx="0">
                  <c:v>Eksperimentalne</c:v>
                </c:pt>
              </c:strCache>
            </c:strRef>
          </c:tx>
          <c:spPr>
            <a:solidFill>
              <a:schemeClr val="accent5"/>
            </a:solidFill>
            <a:ln>
              <a:solidFill>
                <a:schemeClr val="accent5"/>
              </a:solidFill>
            </a:ln>
            <a:effectLst/>
          </c:spPr>
          <c:invertIfNegative val="0"/>
          <c:cat>
            <c:strRef>
              <c:f>Gledalisca!$B$79:$M$79</c:f>
              <c:strCache>
                <c:ptCount val="12"/>
                <c:pt idx="0">
                  <c:v>2004</c:v>
                </c:pt>
                <c:pt idx="1">
                  <c:v>2005</c:v>
                </c:pt>
                <c:pt idx="2">
                  <c:v>2006</c:v>
                </c:pt>
                <c:pt idx="3">
                  <c:v>2007</c:v>
                </c:pt>
                <c:pt idx="4">
                  <c:v>2008</c:v>
                </c:pt>
                <c:pt idx="5">
                  <c:v>2009</c:v>
                </c:pt>
                <c:pt idx="6">
                  <c:v>2010</c:v>
                </c:pt>
                <c:pt idx="7">
                  <c:v>2011</c:v>
                </c:pt>
                <c:pt idx="8">
                  <c:v>2012</c:v>
                </c:pt>
                <c:pt idx="9">
                  <c:v>2013</c:v>
                </c:pt>
                <c:pt idx="10">
                  <c:v>2014</c:v>
                </c:pt>
                <c:pt idx="11">
                  <c:v>2015</c:v>
                </c:pt>
              </c:strCache>
            </c:strRef>
          </c:cat>
          <c:val>
            <c:numRef>
              <c:f>Gledalisca!$B$85:$M$85</c:f>
              <c:numCache>
                <c:formatCode>0.00</c:formatCode>
                <c:ptCount val="12"/>
                <c:pt idx="0">
                  <c:v>35.287393860222053</c:v>
                </c:pt>
                <c:pt idx="1">
                  <c:v>21.48871029468042</c:v>
                </c:pt>
                <c:pt idx="2">
                  <c:v>0.35178236397748602</c:v>
                </c:pt>
                <c:pt idx="3">
                  <c:v>1.3716356107660459</c:v>
                </c:pt>
                <c:pt idx="4">
                  <c:v>2.0432692307692308</c:v>
                </c:pt>
                <c:pt idx="5">
                  <c:v>2.8336864406779658</c:v>
                </c:pt>
                <c:pt idx="6">
                  <c:v>10.43010752688172</c:v>
                </c:pt>
                <c:pt idx="7">
                  <c:v>5.3864569083447336</c:v>
                </c:pt>
                <c:pt idx="8">
                  <c:v>5.3832442067736181</c:v>
                </c:pt>
                <c:pt idx="9">
                  <c:v>3.455541508638853</c:v>
                </c:pt>
                <c:pt idx="10">
                  <c:v>4.9494524010109524</c:v>
                </c:pt>
                <c:pt idx="11">
                  <c:v>4.4773838630806839</c:v>
                </c:pt>
              </c:numCache>
            </c:numRef>
          </c:val>
        </c:ser>
        <c:ser>
          <c:idx val="0"/>
          <c:order val="6"/>
          <c:tx>
            <c:strRef>
              <c:f>Gledalisca!$A$80</c:f>
              <c:strCache>
                <c:ptCount val="1"/>
                <c:pt idx="0">
                  <c:v>Dramske</c:v>
                </c:pt>
              </c:strCache>
            </c:strRef>
          </c:tx>
          <c:spPr>
            <a:solidFill>
              <a:schemeClr val="accent6"/>
            </a:solidFill>
            <a:ln>
              <a:solidFill>
                <a:schemeClr val="accent6"/>
              </a:solidFill>
            </a:ln>
            <a:effectLst/>
          </c:spPr>
          <c:invertIfNegative val="0"/>
          <c:cat>
            <c:strRef>
              <c:f>Gledalisca!$B$79:$M$79</c:f>
              <c:strCache>
                <c:ptCount val="12"/>
                <c:pt idx="0">
                  <c:v>2004</c:v>
                </c:pt>
                <c:pt idx="1">
                  <c:v>2005</c:v>
                </c:pt>
                <c:pt idx="2">
                  <c:v>2006</c:v>
                </c:pt>
                <c:pt idx="3">
                  <c:v>2007</c:v>
                </c:pt>
                <c:pt idx="4">
                  <c:v>2008</c:v>
                </c:pt>
                <c:pt idx="5">
                  <c:v>2009</c:v>
                </c:pt>
                <c:pt idx="6">
                  <c:v>2010</c:v>
                </c:pt>
                <c:pt idx="7">
                  <c:v>2011</c:v>
                </c:pt>
                <c:pt idx="8">
                  <c:v>2012</c:v>
                </c:pt>
                <c:pt idx="9">
                  <c:v>2013</c:v>
                </c:pt>
                <c:pt idx="10">
                  <c:v>2014</c:v>
                </c:pt>
                <c:pt idx="11">
                  <c:v>2015</c:v>
                </c:pt>
              </c:strCache>
            </c:strRef>
          </c:cat>
          <c:val>
            <c:numRef>
              <c:f>Gledalisca!$B$80:$M$80</c:f>
              <c:numCache>
                <c:formatCode>0.00</c:formatCode>
                <c:ptCount val="12"/>
                <c:pt idx="0">
                  <c:v>44.039843239712432</c:v>
                </c:pt>
                <c:pt idx="1">
                  <c:v>51.492537313432841</c:v>
                </c:pt>
                <c:pt idx="2">
                  <c:v>54.104127579737138</c:v>
                </c:pt>
                <c:pt idx="3">
                  <c:v>53.881987577639428</c:v>
                </c:pt>
                <c:pt idx="4">
                  <c:v>49.567307692307693</c:v>
                </c:pt>
                <c:pt idx="5">
                  <c:v>63.162076271186443</c:v>
                </c:pt>
                <c:pt idx="6">
                  <c:v>51.526881720430097</c:v>
                </c:pt>
                <c:pt idx="7">
                  <c:v>50.957592339261282</c:v>
                </c:pt>
                <c:pt idx="8">
                  <c:v>43.493761140819963</c:v>
                </c:pt>
                <c:pt idx="9">
                  <c:v>45.954487989885962</c:v>
                </c:pt>
                <c:pt idx="10">
                  <c:v>52.127211457455772</c:v>
                </c:pt>
                <c:pt idx="11">
                  <c:v>63.84474327628341</c:v>
                </c:pt>
              </c:numCache>
            </c:numRef>
          </c:val>
        </c:ser>
        <c:dLbls>
          <c:showLegendKey val="0"/>
          <c:showVal val="0"/>
          <c:showCatName val="0"/>
          <c:showSerName val="0"/>
          <c:showPercent val="0"/>
          <c:showBubbleSize val="0"/>
        </c:dLbls>
        <c:gapWidth val="150"/>
        <c:overlap val="100"/>
        <c:axId val="236512768"/>
        <c:axId val="236514304"/>
      </c:barChart>
      <c:catAx>
        <c:axId val="2365127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vert="horz"/>
          <a:lstStyle/>
          <a:p>
            <a:pPr>
              <a:defRPr/>
            </a:pPr>
            <a:endParaRPr lang="sl-SI"/>
          </a:p>
        </c:txPr>
        <c:crossAx val="236514304"/>
        <c:crosses val="autoZero"/>
        <c:auto val="1"/>
        <c:lblAlgn val="ctr"/>
        <c:lblOffset val="100"/>
        <c:noMultiLvlLbl val="0"/>
      </c:catAx>
      <c:valAx>
        <c:axId val="23651430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vert="horz"/>
              <a:lstStyle/>
              <a:p>
                <a:pPr>
                  <a:defRPr/>
                </a:pPr>
                <a:r>
                  <a:rPr lang="sl-SI"/>
                  <a:t>%</a:t>
                </a:r>
              </a:p>
            </c:rich>
          </c:tx>
          <c:layout>
            <c:manualLayout>
              <c:xMode val="edge"/>
              <c:yMode val="edge"/>
              <c:x val="7.3038076668773599E-2"/>
              <c:y val="0.25211524454109002"/>
            </c:manualLayout>
          </c:layout>
          <c:overlay val="0"/>
        </c:title>
        <c:numFmt formatCode="0.00" sourceLinked="1"/>
        <c:majorTickMark val="none"/>
        <c:minorTickMark val="none"/>
        <c:tickLblPos val="nextTo"/>
        <c:spPr>
          <a:noFill/>
          <a:ln>
            <a:noFill/>
          </a:ln>
          <a:effectLst/>
        </c:spPr>
        <c:txPr>
          <a:bodyPr rot="-60000000" vert="horz"/>
          <a:lstStyle/>
          <a:p>
            <a:pPr>
              <a:defRPr/>
            </a:pPr>
            <a:endParaRPr lang="sl-SI"/>
          </a:p>
        </c:txPr>
        <c:crossAx val="236512768"/>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dTable>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sz="800" baseline="0">
          <a:solidFill>
            <a:schemeClr val="bg2">
              <a:lumMod val="25000"/>
            </a:schemeClr>
          </a:solidFill>
        </a:defRPr>
      </a:pPr>
      <a:endParaRPr lang="sl-SI"/>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bar"/>
        <c:grouping val="clustered"/>
        <c:varyColors val="0"/>
        <c:ser>
          <c:idx val="0"/>
          <c:order val="0"/>
          <c:spPr>
            <a:solidFill>
              <a:schemeClr val="accent1"/>
            </a:solidFill>
          </c:spPr>
          <c:invertIfNegative val="0"/>
          <c:dLbls>
            <c:numFmt formatCode="#,##0\ [$€-424]" sourceLinked="0"/>
            <c:spPr>
              <a:noFill/>
              <a:ln>
                <a:noFill/>
              </a:ln>
              <a:effectLst/>
            </c:spPr>
            <c:dLblPos val="outEnd"/>
            <c:showLegendKey val="0"/>
            <c:showVal val="1"/>
            <c:showCatName val="0"/>
            <c:showSerName val="0"/>
            <c:showPercent val="0"/>
            <c:showBubbleSize val="0"/>
            <c:separator>. </c:separator>
            <c:showLeaderLines val="0"/>
            <c:extLst>
              <c:ext xmlns:c15="http://schemas.microsoft.com/office/drawing/2012/chart" uri="{CE6537A1-D6FC-4f65-9D91-7224C49458BB}">
                <c15:showLeaderLines val="0"/>
              </c:ext>
            </c:extLst>
          </c:dLbls>
          <c:cat>
            <c:strRef>
              <c:f>List1!$B$108:$B$110</c:f>
              <c:strCache>
                <c:ptCount val="3"/>
                <c:pt idx="0">
                  <c:v>Tovrstno razmišljanje mi (sploh) ni blizu</c:v>
                </c:pt>
                <c:pt idx="1">
                  <c:v>Niti niti</c:v>
                </c:pt>
                <c:pt idx="2">
                  <c:v>Tovrstno razmišljanje mi je (zelo) blizu</c:v>
                </c:pt>
              </c:strCache>
            </c:strRef>
          </c:cat>
          <c:val>
            <c:numRef>
              <c:f>List1!$C$108:$C$110</c:f>
              <c:numCache>
                <c:formatCode>#.##0\ "€"</c:formatCode>
                <c:ptCount val="3"/>
                <c:pt idx="0">
                  <c:v>33730000</c:v>
                </c:pt>
                <c:pt idx="1">
                  <c:v>32008000</c:v>
                </c:pt>
                <c:pt idx="2">
                  <c:v>28135000</c:v>
                </c:pt>
              </c:numCache>
            </c:numRef>
          </c:val>
        </c:ser>
        <c:dLbls>
          <c:showLegendKey val="0"/>
          <c:showVal val="0"/>
          <c:showCatName val="0"/>
          <c:showSerName val="0"/>
          <c:showPercent val="0"/>
          <c:showBubbleSize val="0"/>
        </c:dLbls>
        <c:gapWidth val="150"/>
        <c:axId val="210793984"/>
        <c:axId val="210795904"/>
      </c:barChart>
      <c:catAx>
        <c:axId val="210793984"/>
        <c:scaling>
          <c:orientation val="minMax"/>
        </c:scaling>
        <c:delete val="0"/>
        <c:axPos val="l"/>
        <c:title>
          <c:tx>
            <c:rich>
              <a:bodyPr rot="-5400000" vert="horz"/>
              <a:lstStyle/>
              <a:p>
                <a:pPr>
                  <a:defRPr/>
                </a:pPr>
                <a:r>
                  <a:rPr lang="en-US"/>
                  <a:t>Država bi morala v večji meri finančno </a:t>
                </a:r>
              </a:p>
              <a:p>
                <a:pPr>
                  <a:defRPr/>
                </a:pPr>
                <a:r>
                  <a:rPr lang="en-US"/>
                  <a:t>podpirati slovensko umetnost in kulturo</a:t>
                </a:r>
              </a:p>
            </c:rich>
          </c:tx>
          <c:overlay val="0"/>
        </c:title>
        <c:numFmt formatCode="General" sourceLinked="0"/>
        <c:majorTickMark val="out"/>
        <c:minorTickMark val="none"/>
        <c:tickLblPos val="nextTo"/>
        <c:spPr>
          <a:ln>
            <a:solidFill>
              <a:schemeClr val="bg1">
                <a:lumMod val="85000"/>
              </a:schemeClr>
            </a:solidFill>
          </a:ln>
        </c:spPr>
        <c:crossAx val="210795904"/>
        <c:crosses val="autoZero"/>
        <c:auto val="1"/>
        <c:lblAlgn val="ctr"/>
        <c:lblOffset val="100"/>
        <c:noMultiLvlLbl val="0"/>
      </c:catAx>
      <c:valAx>
        <c:axId val="210795904"/>
        <c:scaling>
          <c:orientation val="minMax"/>
        </c:scaling>
        <c:delete val="1"/>
        <c:axPos val="b"/>
        <c:majorGridlines>
          <c:spPr>
            <a:ln>
              <a:noFill/>
            </a:ln>
          </c:spPr>
        </c:majorGridlines>
        <c:title>
          <c:tx>
            <c:rich>
              <a:bodyPr/>
              <a:lstStyle/>
              <a:p>
                <a:pPr>
                  <a:defRPr/>
                </a:pPr>
                <a:r>
                  <a:rPr lang="en-US"/>
                  <a:t>Koliko milijonov evrov po vašem</a:t>
                </a:r>
                <a:r>
                  <a:rPr lang="sl-SI"/>
                  <a:t> </a:t>
                </a:r>
                <a:r>
                  <a:rPr lang="en-US"/>
                  <a:t> mnenju država letno nameni za kulturo in umetnost?</a:t>
                </a:r>
              </a:p>
            </c:rich>
          </c:tx>
          <c:overlay val="0"/>
        </c:title>
        <c:numFmt formatCode="#.##0\ &quot;€&quot;" sourceLinked="1"/>
        <c:majorTickMark val="out"/>
        <c:minorTickMark val="none"/>
        <c:tickLblPos val="nextTo"/>
        <c:crossAx val="210793984"/>
        <c:crosses val="autoZero"/>
        <c:crossBetween val="between"/>
      </c:valAx>
    </c:plotArea>
    <c:plotVisOnly val="1"/>
    <c:dispBlanksAs val="gap"/>
    <c:showDLblsOverMax val="0"/>
  </c:chart>
  <c:spPr>
    <a:ln>
      <a:noFill/>
    </a:ln>
  </c:spPr>
  <c:txPr>
    <a:bodyPr/>
    <a:lstStyle/>
    <a:p>
      <a:pPr>
        <a:defRPr sz="800" baseline="0">
          <a:solidFill>
            <a:schemeClr val="bg2">
              <a:lumMod val="25000"/>
            </a:schemeClr>
          </a:solidFill>
        </a:defRPr>
      </a:pPr>
      <a:endParaRPr lang="sl-SI"/>
    </a:p>
  </c:txPr>
  <c:externalData r:id="rId1">
    <c:autoUpdate val="0"/>
  </c:externalData>
</c:chartSpace>
</file>

<file path=word/charts/chart30.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Sheet1!$B$11</c:f>
              <c:strCache>
                <c:ptCount val="1"/>
                <c:pt idx="0">
                  <c:v>Novi festivali v tem letu</c:v>
                </c:pt>
              </c:strCache>
            </c:strRef>
          </c:tx>
          <c:spPr>
            <a:solidFill>
              <a:schemeClr val="accent1"/>
            </a:solidFill>
            <a:ln>
              <a:noFill/>
            </a:ln>
            <a:effectLst/>
          </c:spPr>
          <c:invertIfNegative val="0"/>
          <c:dLbls>
            <c:spPr>
              <a:noFill/>
              <a:ln>
                <a:noFill/>
              </a:ln>
              <a:effectLst/>
            </c:spPr>
            <c:txPr>
              <a:bodyPr rot="0" vert="horz"/>
              <a:lstStyle/>
              <a:p>
                <a:pPr>
                  <a:defRPr/>
                </a:pPr>
                <a:endParaRPr lang="sl-SI"/>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Sheet1!$A$12:$A$37</c:f>
              <c:strCache>
                <c:ptCount val="26"/>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pt idx="20">
                  <c:v>2011</c:v>
                </c:pt>
                <c:pt idx="21">
                  <c:v>2012</c:v>
                </c:pt>
                <c:pt idx="22">
                  <c:v>2013</c:v>
                </c:pt>
                <c:pt idx="23">
                  <c:v>2014</c:v>
                </c:pt>
                <c:pt idx="24">
                  <c:v>2015</c:v>
                </c:pt>
                <c:pt idx="25">
                  <c:v>2016</c:v>
                </c:pt>
              </c:strCache>
            </c:strRef>
          </c:cat>
          <c:val>
            <c:numRef>
              <c:f>Sheet1!$B$12:$B$37</c:f>
              <c:numCache>
                <c:formatCode>General</c:formatCode>
                <c:ptCount val="26"/>
                <c:pt idx="0">
                  <c:v>3</c:v>
                </c:pt>
                <c:pt idx="1">
                  <c:v>5</c:v>
                </c:pt>
                <c:pt idx="2">
                  <c:v>6</c:v>
                </c:pt>
                <c:pt idx="3">
                  <c:v>2</c:v>
                </c:pt>
                <c:pt idx="4">
                  <c:v>8</c:v>
                </c:pt>
                <c:pt idx="5">
                  <c:v>6</c:v>
                </c:pt>
                <c:pt idx="6">
                  <c:v>2</c:v>
                </c:pt>
                <c:pt idx="7">
                  <c:v>8</c:v>
                </c:pt>
                <c:pt idx="8">
                  <c:v>7</c:v>
                </c:pt>
                <c:pt idx="9">
                  <c:v>8</c:v>
                </c:pt>
                <c:pt idx="10">
                  <c:v>4</c:v>
                </c:pt>
                <c:pt idx="11">
                  <c:v>7</c:v>
                </c:pt>
                <c:pt idx="12">
                  <c:v>16</c:v>
                </c:pt>
                <c:pt idx="13">
                  <c:v>7</c:v>
                </c:pt>
                <c:pt idx="14">
                  <c:v>7</c:v>
                </c:pt>
                <c:pt idx="15">
                  <c:v>4</c:v>
                </c:pt>
                <c:pt idx="16">
                  <c:v>7</c:v>
                </c:pt>
                <c:pt idx="17">
                  <c:v>18</c:v>
                </c:pt>
                <c:pt idx="18">
                  <c:v>13</c:v>
                </c:pt>
                <c:pt idx="19">
                  <c:v>7</c:v>
                </c:pt>
                <c:pt idx="20">
                  <c:v>4</c:v>
                </c:pt>
                <c:pt idx="21">
                  <c:v>5</c:v>
                </c:pt>
                <c:pt idx="22">
                  <c:v>6</c:v>
                </c:pt>
                <c:pt idx="23">
                  <c:v>7</c:v>
                </c:pt>
                <c:pt idx="24">
                  <c:v>7</c:v>
                </c:pt>
                <c:pt idx="25">
                  <c:v>1</c:v>
                </c:pt>
              </c:numCache>
            </c:numRef>
          </c:val>
        </c:ser>
        <c:dLbls>
          <c:showLegendKey val="0"/>
          <c:showVal val="0"/>
          <c:showCatName val="0"/>
          <c:showSerName val="0"/>
          <c:showPercent val="0"/>
          <c:showBubbleSize val="0"/>
        </c:dLbls>
        <c:gapWidth val="182"/>
        <c:axId val="236602112"/>
        <c:axId val="236603648"/>
      </c:barChart>
      <c:catAx>
        <c:axId val="2366021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vert="horz"/>
          <a:lstStyle/>
          <a:p>
            <a:pPr>
              <a:defRPr/>
            </a:pPr>
            <a:endParaRPr lang="sl-SI"/>
          </a:p>
        </c:txPr>
        <c:crossAx val="236603648"/>
        <c:crosses val="autoZero"/>
        <c:auto val="1"/>
        <c:lblAlgn val="ctr"/>
        <c:lblOffset val="100"/>
        <c:noMultiLvlLbl val="0"/>
      </c:catAx>
      <c:valAx>
        <c:axId val="23660364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vert="horz"/>
              <a:lstStyle/>
              <a:p>
                <a:pPr>
                  <a:defRPr/>
                </a:pPr>
                <a:r>
                  <a:rPr lang="sl-SI"/>
                  <a:t>Število</a:t>
                </a:r>
              </a:p>
            </c:rich>
          </c:tx>
          <c:overlay val="0"/>
        </c:title>
        <c:numFmt formatCode="General" sourceLinked="1"/>
        <c:majorTickMark val="none"/>
        <c:minorTickMark val="none"/>
        <c:tickLblPos val="nextTo"/>
        <c:spPr>
          <a:noFill/>
          <a:ln>
            <a:noFill/>
          </a:ln>
          <a:effectLst/>
        </c:spPr>
        <c:txPr>
          <a:bodyPr rot="-60000000" vert="horz"/>
          <a:lstStyle/>
          <a:p>
            <a:pPr>
              <a:defRPr/>
            </a:pPr>
            <a:endParaRPr lang="sl-SI"/>
          </a:p>
        </c:txPr>
        <c:crossAx val="236602112"/>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sz="800" baseline="0">
          <a:solidFill>
            <a:schemeClr val="bg2">
              <a:lumMod val="25000"/>
            </a:schemeClr>
          </a:solidFill>
        </a:defRPr>
      </a:pPr>
      <a:endParaRPr lang="sl-SI"/>
    </a:p>
  </c:txPr>
  <c:externalData r:id="rId1">
    <c:autoUpdate val="0"/>
  </c:externalData>
</c:chartSpace>
</file>

<file path=word/charts/chart31.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'[delakt_spol_na enem listu.xls]Grafi'!$C$2</c:f>
              <c:strCache>
                <c:ptCount val="1"/>
                <c:pt idx="0">
                  <c:v>% od skupnega števila delovno aktivnih oseb l. 2008</c:v>
                </c:pt>
              </c:strCache>
            </c:strRef>
          </c:tx>
          <c:invertIfNegative val="0"/>
          <c:cat>
            <c:strRef>
              <c:f>'[delakt_spol_na enem listu.xls]Grafi'!$B$3:$B$36</c:f>
              <c:strCache>
                <c:ptCount val="34"/>
                <c:pt idx="0">
                  <c:v>Islandija</c:v>
                </c:pt>
                <c:pt idx="1">
                  <c:v>Luksemburg</c:v>
                </c:pt>
                <c:pt idx="2">
                  <c:v>Švica</c:v>
                </c:pt>
                <c:pt idx="3">
                  <c:v>Estonija</c:v>
                </c:pt>
                <c:pt idx="4">
                  <c:v>Švedska</c:v>
                </c:pt>
                <c:pt idx="5">
                  <c:v>Finska</c:v>
                </c:pt>
                <c:pt idx="6">
                  <c:v>Danska</c:v>
                </c:pt>
                <c:pt idx="7">
                  <c:v>Nizozemska</c:v>
                </c:pt>
                <c:pt idx="8">
                  <c:v>Združeno kraljestvo</c:v>
                </c:pt>
                <c:pt idx="9">
                  <c:v>Slovenija</c:v>
                </c:pt>
                <c:pt idx="10">
                  <c:v>Latvija</c:v>
                </c:pt>
                <c:pt idx="11">
                  <c:v>Litva</c:v>
                </c:pt>
                <c:pt idx="12">
                  <c:v>Norveška</c:v>
                </c:pt>
                <c:pt idx="13">
                  <c:v>Belgija</c:v>
                </c:pt>
                <c:pt idx="14">
                  <c:v>Avstrija</c:v>
                </c:pt>
                <c:pt idx="15">
                  <c:v>Nemčija</c:v>
                </c:pt>
                <c:pt idx="16">
                  <c:v>EU (28 držav)</c:v>
                </c:pt>
                <c:pt idx="17">
                  <c:v>Češka</c:v>
                </c:pt>
                <c:pt idx="18">
                  <c:v>Malta</c:v>
                </c:pt>
                <c:pt idx="19">
                  <c:v>Madžarska</c:v>
                </c:pt>
                <c:pt idx="20">
                  <c:v>Francija</c:v>
                </c:pt>
                <c:pt idx="21">
                  <c:v>Italija</c:v>
                </c:pt>
                <c:pt idx="22">
                  <c:v>Ciper</c:v>
                </c:pt>
                <c:pt idx="23">
                  <c:v>Irska</c:v>
                </c:pt>
                <c:pt idx="24">
                  <c:v>Hrvaška</c:v>
                </c:pt>
                <c:pt idx="25">
                  <c:v>Poljska</c:v>
                </c:pt>
                <c:pt idx="26">
                  <c:v>Španija</c:v>
                </c:pt>
                <c:pt idx="27">
                  <c:v>Bolgarija</c:v>
                </c:pt>
                <c:pt idx="28">
                  <c:v>Portugalska</c:v>
                </c:pt>
                <c:pt idx="29">
                  <c:v>Grčija</c:v>
                </c:pt>
                <c:pt idx="30">
                  <c:v>Makedonija</c:v>
                </c:pt>
                <c:pt idx="31">
                  <c:v>Slovaška</c:v>
                </c:pt>
                <c:pt idx="32">
                  <c:v>Turčija</c:v>
                </c:pt>
                <c:pt idx="33">
                  <c:v>Romunija</c:v>
                </c:pt>
              </c:strCache>
            </c:strRef>
          </c:cat>
          <c:val>
            <c:numRef>
              <c:f>'[delakt_spol_na enem listu.xls]Grafi'!$C$3:$C$36</c:f>
              <c:numCache>
                <c:formatCode>#,##0.0</c:formatCode>
                <c:ptCount val="34"/>
                <c:pt idx="0">
                  <c:v>4.3</c:v>
                </c:pt>
                <c:pt idx="1">
                  <c:v>3.3</c:v>
                </c:pt>
                <c:pt idx="2">
                  <c:v>3.7</c:v>
                </c:pt>
                <c:pt idx="3">
                  <c:v>2.9</c:v>
                </c:pt>
                <c:pt idx="4">
                  <c:v>3.3</c:v>
                </c:pt>
                <c:pt idx="5">
                  <c:v>3.5</c:v>
                </c:pt>
                <c:pt idx="6">
                  <c:v>2.9</c:v>
                </c:pt>
                <c:pt idx="7">
                  <c:v>3</c:v>
                </c:pt>
                <c:pt idx="8">
                  <c:v>2.8</c:v>
                </c:pt>
                <c:pt idx="9">
                  <c:v>2.8</c:v>
                </c:pt>
                <c:pt idx="10">
                  <c:v>3</c:v>
                </c:pt>
                <c:pt idx="11">
                  <c:v>3.1</c:v>
                </c:pt>
                <c:pt idx="12">
                  <c:v>2.8</c:v>
                </c:pt>
                <c:pt idx="13">
                  <c:v>2.2000000000000002</c:v>
                </c:pt>
                <c:pt idx="14">
                  <c:v>2.8</c:v>
                </c:pt>
                <c:pt idx="15">
                  <c:v>2.6</c:v>
                </c:pt>
                <c:pt idx="16">
                  <c:v>2.4</c:v>
                </c:pt>
                <c:pt idx="17">
                  <c:v>2.7</c:v>
                </c:pt>
                <c:pt idx="18">
                  <c:v>2.4</c:v>
                </c:pt>
                <c:pt idx="19">
                  <c:v>2.6</c:v>
                </c:pt>
                <c:pt idx="20">
                  <c:v>2</c:v>
                </c:pt>
                <c:pt idx="21">
                  <c:v>2.2999999999999998</c:v>
                </c:pt>
                <c:pt idx="22">
                  <c:v>2.5</c:v>
                </c:pt>
                <c:pt idx="23">
                  <c:v>2.5</c:v>
                </c:pt>
                <c:pt idx="24">
                  <c:v>2</c:v>
                </c:pt>
                <c:pt idx="25">
                  <c:v>2</c:v>
                </c:pt>
                <c:pt idx="26">
                  <c:v>2.2000000000000002</c:v>
                </c:pt>
                <c:pt idx="27">
                  <c:v>2.4</c:v>
                </c:pt>
                <c:pt idx="28">
                  <c:v>1.6</c:v>
                </c:pt>
                <c:pt idx="29">
                  <c:v>2.2000000000000002</c:v>
                </c:pt>
                <c:pt idx="30" formatCode="General">
                  <c:v>0</c:v>
                </c:pt>
                <c:pt idx="31">
                  <c:v>2.1</c:v>
                </c:pt>
                <c:pt idx="32" formatCode="General">
                  <c:v>0</c:v>
                </c:pt>
                <c:pt idx="33">
                  <c:v>1.2</c:v>
                </c:pt>
              </c:numCache>
            </c:numRef>
          </c:val>
        </c:ser>
        <c:ser>
          <c:idx val="1"/>
          <c:order val="1"/>
          <c:tx>
            <c:strRef>
              <c:f>'[delakt_spol_na enem listu.xls]Grafi'!$D$2</c:f>
              <c:strCache>
                <c:ptCount val="1"/>
                <c:pt idx="0">
                  <c:v>% od skupnega števila delovno aktivnih oseb l. 2015</c:v>
                </c:pt>
              </c:strCache>
            </c:strRef>
          </c:tx>
          <c:invertIfNegative val="0"/>
          <c:dLbls>
            <c:dLbl>
              <c:idx val="9"/>
              <c:showLegendKey val="0"/>
              <c:showVal val="1"/>
              <c:showCatName val="0"/>
              <c:showSerName val="0"/>
              <c:showPercent val="0"/>
              <c:showBubbleSize val="0"/>
              <c:extLst>
                <c:ext xmlns:c15="http://schemas.microsoft.com/office/drawing/2012/chart" uri="{CE6537A1-D6FC-4f65-9D91-7224C49458BB}"/>
              </c:extLst>
            </c:dLbl>
            <c:dLbl>
              <c:idx val="16"/>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0"/>
            <c:showCatName val="0"/>
            <c:showSerName val="0"/>
            <c:showPercent val="0"/>
            <c:showBubbleSize val="0"/>
            <c:extLst>
              <c:ext xmlns:c15="http://schemas.microsoft.com/office/drawing/2012/chart" uri="{CE6537A1-D6FC-4f65-9D91-7224C49458BB}">
                <c15:showLeaderLines val="0"/>
              </c:ext>
            </c:extLst>
          </c:dLbls>
          <c:cat>
            <c:strRef>
              <c:f>'[delakt_spol_na enem listu.xls]Grafi'!$B$3:$B$36</c:f>
              <c:strCache>
                <c:ptCount val="34"/>
                <c:pt idx="0">
                  <c:v>Islandija</c:v>
                </c:pt>
                <c:pt idx="1">
                  <c:v>Luksemburg</c:v>
                </c:pt>
                <c:pt idx="2">
                  <c:v>Švica</c:v>
                </c:pt>
                <c:pt idx="3">
                  <c:v>Estonija</c:v>
                </c:pt>
                <c:pt idx="4">
                  <c:v>Švedska</c:v>
                </c:pt>
                <c:pt idx="5">
                  <c:v>Finska</c:v>
                </c:pt>
                <c:pt idx="6">
                  <c:v>Danska</c:v>
                </c:pt>
                <c:pt idx="7">
                  <c:v>Nizozemska</c:v>
                </c:pt>
                <c:pt idx="8">
                  <c:v>Združeno kraljestvo</c:v>
                </c:pt>
                <c:pt idx="9">
                  <c:v>Slovenija</c:v>
                </c:pt>
                <c:pt idx="10">
                  <c:v>Latvija</c:v>
                </c:pt>
                <c:pt idx="11">
                  <c:v>Litva</c:v>
                </c:pt>
                <c:pt idx="12">
                  <c:v>Norveška</c:v>
                </c:pt>
                <c:pt idx="13">
                  <c:v>Belgija</c:v>
                </c:pt>
                <c:pt idx="14">
                  <c:v>Avstrija</c:v>
                </c:pt>
                <c:pt idx="15">
                  <c:v>Nemčija</c:v>
                </c:pt>
                <c:pt idx="16">
                  <c:v>EU (28 držav)</c:v>
                </c:pt>
                <c:pt idx="17">
                  <c:v>Češka</c:v>
                </c:pt>
                <c:pt idx="18">
                  <c:v>Malta</c:v>
                </c:pt>
                <c:pt idx="19">
                  <c:v>Madžarska</c:v>
                </c:pt>
                <c:pt idx="20">
                  <c:v>Francija</c:v>
                </c:pt>
                <c:pt idx="21">
                  <c:v>Italija</c:v>
                </c:pt>
                <c:pt idx="22">
                  <c:v>Ciper</c:v>
                </c:pt>
                <c:pt idx="23">
                  <c:v>Irska</c:v>
                </c:pt>
                <c:pt idx="24">
                  <c:v>Hrvaška</c:v>
                </c:pt>
                <c:pt idx="25">
                  <c:v>Poljska</c:v>
                </c:pt>
                <c:pt idx="26">
                  <c:v>Španija</c:v>
                </c:pt>
                <c:pt idx="27">
                  <c:v>Bolgarija</c:v>
                </c:pt>
                <c:pt idx="28">
                  <c:v>Portugalska</c:v>
                </c:pt>
                <c:pt idx="29">
                  <c:v>Grčija</c:v>
                </c:pt>
                <c:pt idx="30">
                  <c:v>Makedonija</c:v>
                </c:pt>
                <c:pt idx="31">
                  <c:v>Slovaška</c:v>
                </c:pt>
                <c:pt idx="32">
                  <c:v>Turčija</c:v>
                </c:pt>
                <c:pt idx="33">
                  <c:v>Romunija</c:v>
                </c:pt>
              </c:strCache>
            </c:strRef>
          </c:cat>
          <c:val>
            <c:numRef>
              <c:f>'[delakt_spol_na enem listu.xls]Grafi'!$D$3:$D$36</c:f>
              <c:numCache>
                <c:formatCode>#,##0.0</c:formatCode>
                <c:ptCount val="34"/>
                <c:pt idx="0">
                  <c:v>5.0999999999999996</c:v>
                </c:pt>
                <c:pt idx="1">
                  <c:v>4.4000000000000004</c:v>
                </c:pt>
                <c:pt idx="2">
                  <c:v>4.2</c:v>
                </c:pt>
                <c:pt idx="3">
                  <c:v>4.0999999999999996</c:v>
                </c:pt>
                <c:pt idx="4">
                  <c:v>4.0999999999999996</c:v>
                </c:pt>
                <c:pt idx="5">
                  <c:v>4</c:v>
                </c:pt>
                <c:pt idx="6">
                  <c:v>3.9</c:v>
                </c:pt>
                <c:pt idx="7">
                  <c:v>3.8</c:v>
                </c:pt>
                <c:pt idx="8">
                  <c:v>3.6</c:v>
                </c:pt>
                <c:pt idx="9">
                  <c:v>3.5</c:v>
                </c:pt>
                <c:pt idx="10">
                  <c:v>3.4</c:v>
                </c:pt>
                <c:pt idx="11">
                  <c:v>3.4</c:v>
                </c:pt>
                <c:pt idx="12">
                  <c:v>3.3</c:v>
                </c:pt>
                <c:pt idx="13">
                  <c:v>3.2</c:v>
                </c:pt>
                <c:pt idx="14">
                  <c:v>3.2</c:v>
                </c:pt>
                <c:pt idx="15">
                  <c:v>3</c:v>
                </c:pt>
                <c:pt idx="16">
                  <c:v>2.9</c:v>
                </c:pt>
                <c:pt idx="17">
                  <c:v>2.9</c:v>
                </c:pt>
                <c:pt idx="18">
                  <c:v>2.9</c:v>
                </c:pt>
                <c:pt idx="19">
                  <c:v>2.8</c:v>
                </c:pt>
                <c:pt idx="20">
                  <c:v>2.7</c:v>
                </c:pt>
                <c:pt idx="21">
                  <c:v>2.7</c:v>
                </c:pt>
                <c:pt idx="22">
                  <c:v>2.7</c:v>
                </c:pt>
                <c:pt idx="23">
                  <c:v>2.6</c:v>
                </c:pt>
                <c:pt idx="24">
                  <c:v>2.6</c:v>
                </c:pt>
                <c:pt idx="25">
                  <c:v>2.6</c:v>
                </c:pt>
                <c:pt idx="26">
                  <c:v>2.5</c:v>
                </c:pt>
                <c:pt idx="27">
                  <c:v>2.2999999999999998</c:v>
                </c:pt>
                <c:pt idx="28">
                  <c:v>2.2999999999999998</c:v>
                </c:pt>
                <c:pt idx="29">
                  <c:v>2.1</c:v>
                </c:pt>
                <c:pt idx="30">
                  <c:v>2.1</c:v>
                </c:pt>
                <c:pt idx="31">
                  <c:v>2</c:v>
                </c:pt>
                <c:pt idx="32">
                  <c:v>1.8</c:v>
                </c:pt>
                <c:pt idx="33">
                  <c:v>1.2</c:v>
                </c:pt>
              </c:numCache>
            </c:numRef>
          </c:val>
        </c:ser>
        <c:dLbls>
          <c:showLegendKey val="0"/>
          <c:showVal val="0"/>
          <c:showCatName val="0"/>
          <c:showSerName val="0"/>
          <c:showPercent val="0"/>
          <c:showBubbleSize val="0"/>
        </c:dLbls>
        <c:gapWidth val="150"/>
        <c:axId val="236645376"/>
        <c:axId val="236647168"/>
      </c:barChart>
      <c:catAx>
        <c:axId val="236645376"/>
        <c:scaling>
          <c:orientation val="minMax"/>
        </c:scaling>
        <c:delete val="0"/>
        <c:axPos val="b"/>
        <c:numFmt formatCode="General" sourceLinked="0"/>
        <c:majorTickMark val="out"/>
        <c:minorTickMark val="none"/>
        <c:tickLblPos val="nextTo"/>
        <c:txPr>
          <a:bodyPr rot="-5400000" vert="horz"/>
          <a:lstStyle/>
          <a:p>
            <a:pPr>
              <a:defRPr/>
            </a:pPr>
            <a:endParaRPr lang="sl-SI"/>
          </a:p>
        </c:txPr>
        <c:crossAx val="236647168"/>
        <c:crosses val="autoZero"/>
        <c:auto val="1"/>
        <c:lblAlgn val="ctr"/>
        <c:lblOffset val="100"/>
        <c:tickLblSkip val="1"/>
        <c:noMultiLvlLbl val="0"/>
      </c:catAx>
      <c:valAx>
        <c:axId val="236647168"/>
        <c:scaling>
          <c:orientation val="minMax"/>
        </c:scaling>
        <c:delete val="0"/>
        <c:axPos val="l"/>
        <c:majorGridlines>
          <c:spPr>
            <a:ln>
              <a:solidFill>
                <a:sysClr val="window" lastClr="FFFFFF">
                  <a:lumMod val="85000"/>
                </a:sysClr>
              </a:solidFill>
            </a:ln>
          </c:spPr>
        </c:majorGridlines>
        <c:title>
          <c:tx>
            <c:rich>
              <a:bodyPr rot="-5400000" vert="horz"/>
              <a:lstStyle/>
              <a:p>
                <a:pPr>
                  <a:defRPr/>
                </a:pPr>
                <a:r>
                  <a:rPr lang="sl-SI"/>
                  <a:t>%</a:t>
                </a:r>
              </a:p>
            </c:rich>
          </c:tx>
          <c:overlay val="0"/>
        </c:title>
        <c:numFmt formatCode="#,##0.0" sourceLinked="1"/>
        <c:majorTickMark val="out"/>
        <c:minorTickMark val="none"/>
        <c:tickLblPos val="nextTo"/>
        <c:spPr>
          <a:ln>
            <a:noFill/>
          </a:ln>
        </c:spPr>
        <c:crossAx val="236645376"/>
        <c:crosses val="autoZero"/>
        <c:crossBetween val="between"/>
      </c:valAx>
    </c:plotArea>
    <c:legend>
      <c:legendPos val="b"/>
      <c:overlay val="0"/>
    </c:legend>
    <c:plotVisOnly val="1"/>
    <c:dispBlanksAs val="gap"/>
    <c:showDLblsOverMax val="0"/>
  </c:chart>
  <c:spPr>
    <a:ln>
      <a:noFill/>
    </a:ln>
  </c:spPr>
  <c:txPr>
    <a:bodyPr/>
    <a:lstStyle/>
    <a:p>
      <a:pPr>
        <a:defRPr sz="800" baseline="0">
          <a:solidFill>
            <a:schemeClr val="bg2">
              <a:lumMod val="25000"/>
            </a:schemeClr>
          </a:solidFill>
        </a:defRPr>
      </a:pPr>
      <a:endParaRPr lang="sl-SI"/>
    </a:p>
  </c:txPr>
  <c:externalData r:id="rId2">
    <c:autoUpdate val="0"/>
  </c:externalData>
</c:chartSpace>
</file>

<file path=word/charts/chart32.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'[delakt_starost_na enem listu.xls]List2'!$B$32</c:f>
              <c:strCache>
                <c:ptCount val="1"/>
                <c:pt idx="0">
                  <c:v>Slovenija (%)</c:v>
                </c:pt>
              </c:strCache>
            </c:strRef>
          </c:tx>
          <c:spPr>
            <a:solidFill>
              <a:schemeClr val="accent3"/>
            </a:solidFill>
          </c:spPr>
          <c:invertIfNegative val="0"/>
          <c:dLbls>
            <c:dLbl>
              <c:idx val="1"/>
              <c:layout>
                <c:manualLayout>
                  <c:x val="0"/>
                  <c:y val="1.38888888888889E-2"/>
                </c:manualLayout>
              </c:layout>
              <c:showLegendKey val="0"/>
              <c:showVal val="1"/>
              <c:showCatName val="0"/>
              <c:showSerName val="0"/>
              <c:showPercent val="0"/>
              <c:showBubbleSize val="0"/>
              <c:extLst>
                <c:ext xmlns:c15="http://schemas.microsoft.com/office/drawing/2012/chart" uri="{CE6537A1-D6FC-4f65-9D91-7224C49458BB}"/>
              </c:extLst>
            </c:dLbl>
            <c:dLbl>
              <c:idx val="3"/>
              <c:layout>
                <c:manualLayout>
                  <c:x val="-1.1111111111111099E-2"/>
                  <c:y val="4.2437781360066697E-17"/>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'[delakt_starost_na enem listu.xls]List2'!$A$33:$A$36</c:f>
              <c:strCache>
                <c:ptCount val="4"/>
                <c:pt idx="0">
                  <c:v>15-29 let</c:v>
                </c:pt>
                <c:pt idx="1">
                  <c:v>30-39 let</c:v>
                </c:pt>
                <c:pt idx="2">
                  <c:v>40-49 let</c:v>
                </c:pt>
                <c:pt idx="3">
                  <c:v>50 let in več</c:v>
                </c:pt>
              </c:strCache>
            </c:strRef>
          </c:cat>
          <c:val>
            <c:numRef>
              <c:f>'[delakt_starost_na enem listu.xls]List2'!$B$33:$B$36</c:f>
              <c:numCache>
                <c:formatCode>0.00</c:formatCode>
                <c:ptCount val="4"/>
                <c:pt idx="0">
                  <c:v>20</c:v>
                </c:pt>
                <c:pt idx="1">
                  <c:v>32.9</c:v>
                </c:pt>
                <c:pt idx="2">
                  <c:v>26.7</c:v>
                </c:pt>
                <c:pt idx="3">
                  <c:v>20.399999999999999</c:v>
                </c:pt>
              </c:numCache>
            </c:numRef>
          </c:val>
        </c:ser>
        <c:ser>
          <c:idx val="1"/>
          <c:order val="1"/>
          <c:tx>
            <c:strRef>
              <c:f>'[delakt_starost_na enem listu.xls]List2'!$C$32</c:f>
              <c:strCache>
                <c:ptCount val="1"/>
                <c:pt idx="0">
                  <c:v>EU-28 (%)</c:v>
                </c:pt>
              </c:strCache>
            </c:strRef>
          </c:tx>
          <c:spPr>
            <a:solidFill>
              <a:schemeClr val="accent4"/>
            </a:solidFill>
          </c:spPr>
          <c:invertIfNegative val="0"/>
          <c:dLbls>
            <c:dLbl>
              <c:idx val="0"/>
              <c:layout>
                <c:manualLayout>
                  <c:x val="1.38888888888889E-2"/>
                  <c:y val="1.38888888888889E-2"/>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1.6666666666666701E-2"/>
                  <c:y val="1.85185185185185E-2"/>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2.7777777777777801E-3"/>
                  <c:y val="9.2592592592592605E-3"/>
                </c:manualLayout>
              </c:layout>
              <c:showLegendKey val="0"/>
              <c:showVal val="1"/>
              <c:showCatName val="0"/>
              <c:showSerName val="0"/>
              <c:showPercent val="0"/>
              <c:showBubbleSize val="0"/>
              <c:extLst>
                <c:ext xmlns:c15="http://schemas.microsoft.com/office/drawing/2012/chart" uri="{CE6537A1-D6FC-4f65-9D91-7224C49458BB}"/>
              </c:extLst>
            </c:dLbl>
            <c:dLbl>
              <c:idx val="3"/>
              <c:layout>
                <c:manualLayout>
                  <c:x val="0"/>
                  <c:y val="-1.38888888888889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'[delakt_starost_na enem listu.xls]List2'!$A$33:$A$36</c:f>
              <c:strCache>
                <c:ptCount val="4"/>
                <c:pt idx="0">
                  <c:v>15-29 let</c:v>
                </c:pt>
                <c:pt idx="1">
                  <c:v>30-39 let</c:v>
                </c:pt>
                <c:pt idx="2">
                  <c:v>40-49 let</c:v>
                </c:pt>
                <c:pt idx="3">
                  <c:v>50 let in več</c:v>
                </c:pt>
              </c:strCache>
            </c:strRef>
          </c:cat>
          <c:val>
            <c:numRef>
              <c:f>'[delakt_starost_na enem listu.xls]List2'!$C$33:$C$36</c:f>
              <c:numCache>
                <c:formatCode>0.00</c:formatCode>
                <c:ptCount val="4"/>
                <c:pt idx="0">
                  <c:v>18</c:v>
                </c:pt>
                <c:pt idx="1">
                  <c:v>27.9</c:v>
                </c:pt>
                <c:pt idx="2">
                  <c:v>25.6</c:v>
                </c:pt>
                <c:pt idx="3">
                  <c:v>28.500000000000011</c:v>
                </c:pt>
              </c:numCache>
            </c:numRef>
          </c:val>
        </c:ser>
        <c:dLbls>
          <c:showLegendKey val="0"/>
          <c:showVal val="0"/>
          <c:showCatName val="0"/>
          <c:showSerName val="0"/>
          <c:showPercent val="0"/>
          <c:showBubbleSize val="0"/>
        </c:dLbls>
        <c:gapWidth val="150"/>
        <c:axId val="238139648"/>
        <c:axId val="238153728"/>
      </c:barChart>
      <c:catAx>
        <c:axId val="238139648"/>
        <c:scaling>
          <c:orientation val="minMax"/>
        </c:scaling>
        <c:delete val="0"/>
        <c:axPos val="b"/>
        <c:numFmt formatCode="General" sourceLinked="0"/>
        <c:majorTickMark val="out"/>
        <c:minorTickMark val="none"/>
        <c:tickLblPos val="nextTo"/>
        <c:crossAx val="238153728"/>
        <c:crosses val="autoZero"/>
        <c:auto val="1"/>
        <c:lblAlgn val="ctr"/>
        <c:lblOffset val="100"/>
        <c:noMultiLvlLbl val="0"/>
      </c:catAx>
      <c:valAx>
        <c:axId val="238153728"/>
        <c:scaling>
          <c:orientation val="minMax"/>
        </c:scaling>
        <c:delete val="0"/>
        <c:axPos val="l"/>
        <c:majorGridlines>
          <c:spPr>
            <a:ln>
              <a:solidFill>
                <a:sysClr val="window" lastClr="FFFFFF">
                  <a:lumMod val="85000"/>
                </a:sysClr>
              </a:solidFill>
            </a:ln>
          </c:spPr>
        </c:majorGridlines>
        <c:title>
          <c:tx>
            <c:rich>
              <a:bodyPr rot="-5400000" vert="horz"/>
              <a:lstStyle/>
              <a:p>
                <a:pPr>
                  <a:defRPr/>
                </a:pPr>
                <a:r>
                  <a:rPr lang="sl-SI"/>
                  <a:t>%</a:t>
                </a:r>
              </a:p>
            </c:rich>
          </c:tx>
          <c:overlay val="0"/>
        </c:title>
        <c:numFmt formatCode="0.00" sourceLinked="1"/>
        <c:majorTickMark val="out"/>
        <c:minorTickMark val="none"/>
        <c:tickLblPos val="nextTo"/>
        <c:spPr>
          <a:ln>
            <a:noFill/>
          </a:ln>
        </c:spPr>
        <c:crossAx val="238139648"/>
        <c:crosses val="autoZero"/>
        <c:crossBetween val="between"/>
      </c:valAx>
    </c:plotArea>
    <c:legend>
      <c:legendPos val="r"/>
      <c:overlay val="0"/>
    </c:legend>
    <c:plotVisOnly val="1"/>
    <c:dispBlanksAs val="gap"/>
    <c:showDLblsOverMax val="0"/>
  </c:chart>
  <c:spPr>
    <a:ln>
      <a:noFill/>
    </a:ln>
  </c:spPr>
  <c:txPr>
    <a:bodyPr/>
    <a:lstStyle/>
    <a:p>
      <a:pPr>
        <a:defRPr sz="800" baseline="0">
          <a:solidFill>
            <a:schemeClr val="bg2">
              <a:lumMod val="25000"/>
            </a:schemeClr>
          </a:solidFill>
        </a:defRPr>
      </a:pPr>
      <a:endParaRPr lang="sl-SI"/>
    </a:p>
  </c:txPr>
  <c:externalData r:id="rId2">
    <c:autoUpdate val="0"/>
  </c:externalData>
</c:chartSpace>
</file>

<file path=word/charts/chart33.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'[delakt_starost_na enem listu.xls]List2'!$B$17:$B$18</c:f>
              <c:strCache>
                <c:ptCount val="1"/>
                <c:pt idx="0">
                  <c:v>% v l. 2008</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'[delakt_starost_na enem listu.xls]List2'!$A$19:$A$22</c:f>
              <c:strCache>
                <c:ptCount val="4"/>
                <c:pt idx="0">
                  <c:v>15-29 let</c:v>
                </c:pt>
                <c:pt idx="1">
                  <c:v>30-39 let</c:v>
                </c:pt>
                <c:pt idx="2">
                  <c:v>40-49 let</c:v>
                </c:pt>
                <c:pt idx="3">
                  <c:v>50 let in več</c:v>
                </c:pt>
              </c:strCache>
            </c:strRef>
          </c:cat>
          <c:val>
            <c:numRef>
              <c:f>'[delakt_starost_na enem listu.xls]List2'!$B$19:$B$22</c:f>
              <c:numCache>
                <c:formatCode>#,##0.00</c:formatCode>
                <c:ptCount val="4"/>
                <c:pt idx="0">
                  <c:v>25.09090909090909</c:v>
                </c:pt>
                <c:pt idx="1">
                  <c:v>29.09090909090909</c:v>
                </c:pt>
                <c:pt idx="2">
                  <c:v>26.181818181818201</c:v>
                </c:pt>
                <c:pt idx="3">
                  <c:v>19.63636363636363</c:v>
                </c:pt>
              </c:numCache>
            </c:numRef>
          </c:val>
        </c:ser>
        <c:ser>
          <c:idx val="1"/>
          <c:order val="1"/>
          <c:tx>
            <c:strRef>
              <c:f>'[delakt_starost_na enem listu.xls]List2'!$C$17:$C$18</c:f>
              <c:strCache>
                <c:ptCount val="1"/>
                <c:pt idx="0">
                  <c:v>% v l. 2015</c:v>
                </c:pt>
              </c:strCache>
            </c:strRef>
          </c:tx>
          <c:invertIfNegative val="0"/>
          <c:dLbls>
            <c:dLbl>
              <c:idx val="0"/>
              <c:layout>
                <c:manualLayout>
                  <c:x val="1.1111111111111099E-2"/>
                  <c:y val="4.2437781360066697E-17"/>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2.7777777777777801E-3"/>
                  <c:y val="1.85185185185185E-2"/>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1.94444444444444E-2"/>
                  <c:y val="4.6296296296296302E-3"/>
                </c:manualLayout>
              </c:layout>
              <c:showLegendKey val="0"/>
              <c:showVal val="1"/>
              <c:showCatName val="0"/>
              <c:showSerName val="0"/>
              <c:showPercent val="0"/>
              <c:showBubbleSize val="0"/>
              <c:extLst>
                <c:ext xmlns:c15="http://schemas.microsoft.com/office/drawing/2012/chart" uri="{CE6537A1-D6FC-4f65-9D91-7224C49458BB}"/>
              </c:extLst>
            </c:dLbl>
            <c:dLbl>
              <c:idx val="3"/>
              <c:layout>
                <c:manualLayout>
                  <c:x val="1.94444444444444E-2"/>
                  <c:y val="4.2437781360066697E-17"/>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'[delakt_starost_na enem listu.xls]List2'!$A$19:$A$22</c:f>
              <c:strCache>
                <c:ptCount val="4"/>
                <c:pt idx="0">
                  <c:v>15-29 let</c:v>
                </c:pt>
                <c:pt idx="1">
                  <c:v>30-39 let</c:v>
                </c:pt>
                <c:pt idx="2">
                  <c:v>40-49 let</c:v>
                </c:pt>
                <c:pt idx="3">
                  <c:v>50 let in več</c:v>
                </c:pt>
              </c:strCache>
            </c:strRef>
          </c:cat>
          <c:val>
            <c:numRef>
              <c:f>'[delakt_starost_na enem listu.xls]List2'!$C$19:$C$22</c:f>
              <c:numCache>
                <c:formatCode>#,##0.00</c:formatCode>
                <c:ptCount val="4"/>
                <c:pt idx="0">
                  <c:v>20.186335403726709</c:v>
                </c:pt>
                <c:pt idx="1">
                  <c:v>32.919254658385093</c:v>
                </c:pt>
                <c:pt idx="2">
                  <c:v>26.708074534161479</c:v>
                </c:pt>
                <c:pt idx="3">
                  <c:v>20.186335403726709</c:v>
                </c:pt>
              </c:numCache>
            </c:numRef>
          </c:val>
        </c:ser>
        <c:dLbls>
          <c:showLegendKey val="0"/>
          <c:showVal val="0"/>
          <c:showCatName val="0"/>
          <c:showSerName val="0"/>
          <c:showPercent val="0"/>
          <c:showBubbleSize val="0"/>
        </c:dLbls>
        <c:gapWidth val="150"/>
        <c:axId val="238253568"/>
        <c:axId val="238255104"/>
      </c:barChart>
      <c:catAx>
        <c:axId val="238253568"/>
        <c:scaling>
          <c:orientation val="minMax"/>
        </c:scaling>
        <c:delete val="0"/>
        <c:axPos val="b"/>
        <c:numFmt formatCode="General" sourceLinked="0"/>
        <c:majorTickMark val="out"/>
        <c:minorTickMark val="none"/>
        <c:tickLblPos val="nextTo"/>
        <c:crossAx val="238255104"/>
        <c:crosses val="autoZero"/>
        <c:auto val="1"/>
        <c:lblAlgn val="ctr"/>
        <c:lblOffset val="100"/>
        <c:noMultiLvlLbl val="0"/>
      </c:catAx>
      <c:valAx>
        <c:axId val="238255104"/>
        <c:scaling>
          <c:orientation val="minMax"/>
        </c:scaling>
        <c:delete val="0"/>
        <c:axPos val="l"/>
        <c:majorGridlines>
          <c:spPr>
            <a:ln>
              <a:solidFill>
                <a:sysClr val="window" lastClr="FFFFFF">
                  <a:lumMod val="85000"/>
                </a:sysClr>
              </a:solidFill>
            </a:ln>
          </c:spPr>
        </c:majorGridlines>
        <c:title>
          <c:tx>
            <c:rich>
              <a:bodyPr rot="-5400000" vert="horz"/>
              <a:lstStyle/>
              <a:p>
                <a:pPr>
                  <a:defRPr/>
                </a:pPr>
                <a:r>
                  <a:rPr lang="sl-SI"/>
                  <a:t>%</a:t>
                </a:r>
              </a:p>
            </c:rich>
          </c:tx>
          <c:overlay val="0"/>
        </c:title>
        <c:numFmt formatCode="#,##0.00" sourceLinked="1"/>
        <c:majorTickMark val="out"/>
        <c:minorTickMark val="none"/>
        <c:tickLblPos val="nextTo"/>
        <c:spPr>
          <a:ln>
            <a:noFill/>
          </a:ln>
        </c:spPr>
        <c:crossAx val="238253568"/>
        <c:crosses val="autoZero"/>
        <c:crossBetween val="between"/>
      </c:valAx>
    </c:plotArea>
    <c:legend>
      <c:legendPos val="r"/>
      <c:overlay val="0"/>
    </c:legend>
    <c:plotVisOnly val="1"/>
    <c:dispBlanksAs val="gap"/>
    <c:showDLblsOverMax val="0"/>
  </c:chart>
  <c:spPr>
    <a:ln>
      <a:noFill/>
    </a:ln>
  </c:spPr>
  <c:txPr>
    <a:bodyPr/>
    <a:lstStyle/>
    <a:p>
      <a:pPr>
        <a:defRPr sz="800" baseline="0">
          <a:solidFill>
            <a:schemeClr val="bg2">
              <a:lumMod val="25000"/>
            </a:schemeClr>
          </a:solidFill>
        </a:defRPr>
      </a:pPr>
      <a:endParaRPr lang="sl-SI"/>
    </a:p>
  </c:txPr>
  <c:externalData r:id="rId2">
    <c:autoUpdate val="0"/>
  </c:externalData>
</c:chartSpace>
</file>

<file path=word/charts/chart34.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lineChart>
        <c:grouping val="standard"/>
        <c:varyColors val="0"/>
        <c:ser>
          <c:idx val="1"/>
          <c:order val="1"/>
          <c:tx>
            <c:strRef>
              <c:f>'[EUROSTAT cult_emp_artpc.xls]Data'!$A$11</c:f>
              <c:strCache>
                <c:ptCount val="1"/>
                <c:pt idx="0">
                  <c:v>Slovenija</c:v>
                </c:pt>
              </c:strCache>
            </c:strRef>
          </c:tx>
          <c:spPr>
            <a:ln w="19050"/>
          </c:spPr>
          <c:marker>
            <c:symbol val="circle"/>
            <c:size val="5"/>
          </c:marker>
          <c:cat>
            <c:strRef>
              <c:f>'[EUROSTAT cult_emp_artpc.xls]Data'!$B$9:$F$9</c:f>
              <c:strCache>
                <c:ptCount val="5"/>
                <c:pt idx="0">
                  <c:v>2011</c:v>
                </c:pt>
                <c:pt idx="1">
                  <c:v>2012</c:v>
                </c:pt>
                <c:pt idx="2">
                  <c:v>2013</c:v>
                </c:pt>
                <c:pt idx="3">
                  <c:v>2014</c:v>
                </c:pt>
                <c:pt idx="4">
                  <c:v>2015</c:v>
                </c:pt>
              </c:strCache>
            </c:strRef>
          </c:cat>
          <c:val>
            <c:numRef>
              <c:f>'[EUROSTAT cult_emp_artpc.xls]Data'!$B$11:$F$11</c:f>
              <c:numCache>
                <c:formatCode>#,##0.0</c:formatCode>
                <c:ptCount val="5"/>
                <c:pt idx="0">
                  <c:v>9300</c:v>
                </c:pt>
                <c:pt idx="1">
                  <c:v>10500</c:v>
                </c:pt>
                <c:pt idx="2">
                  <c:v>10500</c:v>
                </c:pt>
                <c:pt idx="3">
                  <c:v>9800</c:v>
                </c:pt>
                <c:pt idx="4" formatCode="#,##0">
                  <c:v>9000</c:v>
                </c:pt>
              </c:numCache>
            </c:numRef>
          </c:val>
          <c:smooth val="0"/>
        </c:ser>
        <c:dLbls>
          <c:showLegendKey val="0"/>
          <c:showVal val="0"/>
          <c:showCatName val="0"/>
          <c:showSerName val="0"/>
          <c:showPercent val="0"/>
          <c:showBubbleSize val="0"/>
        </c:dLbls>
        <c:marker val="1"/>
        <c:smooth val="0"/>
        <c:axId val="238924928"/>
        <c:axId val="238926464"/>
      </c:lineChart>
      <c:lineChart>
        <c:grouping val="standard"/>
        <c:varyColors val="0"/>
        <c:ser>
          <c:idx val="0"/>
          <c:order val="0"/>
          <c:tx>
            <c:strRef>
              <c:f>'[EUROSTAT cult_emp_artpc.xls]Data'!$A$10</c:f>
              <c:strCache>
                <c:ptCount val="1"/>
                <c:pt idx="0">
                  <c:v>EU-28</c:v>
                </c:pt>
              </c:strCache>
            </c:strRef>
          </c:tx>
          <c:spPr>
            <a:ln w="19050"/>
          </c:spPr>
          <c:marker>
            <c:symbol val="circle"/>
            <c:size val="5"/>
          </c:marker>
          <c:cat>
            <c:strRef>
              <c:f>'[EUROSTAT cult_emp_artpc.xls]Data'!$B$9:$F$9</c:f>
              <c:strCache>
                <c:ptCount val="5"/>
                <c:pt idx="0">
                  <c:v>2011</c:v>
                </c:pt>
                <c:pt idx="1">
                  <c:v>2012</c:v>
                </c:pt>
                <c:pt idx="2">
                  <c:v>2013</c:v>
                </c:pt>
                <c:pt idx="3">
                  <c:v>2014</c:v>
                </c:pt>
                <c:pt idx="4">
                  <c:v>2015</c:v>
                </c:pt>
              </c:strCache>
            </c:strRef>
          </c:cat>
          <c:val>
            <c:numRef>
              <c:f>'[EUROSTAT cult_emp_artpc.xls]Data'!$B$10:$F$10</c:f>
              <c:numCache>
                <c:formatCode>#,##0.0</c:formatCode>
                <c:ptCount val="5"/>
                <c:pt idx="0">
                  <c:v>1774600</c:v>
                </c:pt>
                <c:pt idx="1">
                  <c:v>1817700</c:v>
                </c:pt>
                <c:pt idx="2">
                  <c:v>1851400</c:v>
                </c:pt>
                <c:pt idx="3">
                  <c:v>1879200</c:v>
                </c:pt>
                <c:pt idx="4">
                  <c:v>1950900</c:v>
                </c:pt>
              </c:numCache>
            </c:numRef>
          </c:val>
          <c:smooth val="0"/>
        </c:ser>
        <c:dLbls>
          <c:showLegendKey val="0"/>
          <c:showVal val="0"/>
          <c:showCatName val="0"/>
          <c:showSerName val="0"/>
          <c:showPercent val="0"/>
          <c:showBubbleSize val="0"/>
        </c:dLbls>
        <c:marker val="1"/>
        <c:smooth val="0"/>
        <c:axId val="238934656"/>
        <c:axId val="238932736"/>
      </c:lineChart>
      <c:catAx>
        <c:axId val="238924928"/>
        <c:scaling>
          <c:orientation val="minMax"/>
        </c:scaling>
        <c:delete val="0"/>
        <c:axPos val="b"/>
        <c:numFmt formatCode="General" sourceLinked="0"/>
        <c:majorTickMark val="out"/>
        <c:minorTickMark val="none"/>
        <c:tickLblPos val="nextTo"/>
        <c:crossAx val="238926464"/>
        <c:crosses val="autoZero"/>
        <c:auto val="1"/>
        <c:lblAlgn val="ctr"/>
        <c:lblOffset val="100"/>
        <c:noMultiLvlLbl val="0"/>
      </c:catAx>
      <c:valAx>
        <c:axId val="238926464"/>
        <c:scaling>
          <c:orientation val="minMax"/>
        </c:scaling>
        <c:delete val="0"/>
        <c:axPos val="l"/>
        <c:majorGridlines>
          <c:spPr>
            <a:ln>
              <a:solidFill>
                <a:sysClr val="window" lastClr="FFFFFF">
                  <a:lumMod val="85000"/>
                </a:sysClr>
              </a:solidFill>
            </a:ln>
          </c:spPr>
        </c:majorGridlines>
        <c:title>
          <c:tx>
            <c:rich>
              <a:bodyPr rot="-5400000" vert="horz"/>
              <a:lstStyle/>
              <a:p>
                <a:pPr>
                  <a:defRPr/>
                </a:pPr>
                <a:r>
                  <a:rPr lang="sl-SI"/>
                  <a:t>Število oseb v</a:t>
                </a:r>
                <a:r>
                  <a:rPr lang="sl-SI" sz="800" b="1" i="0" u="none" strike="noStrike" kern="1200" baseline="0">
                    <a:solidFill>
                      <a:srgbClr val="EEECE1">
                        <a:lumMod val="25000"/>
                      </a:srgbClr>
                    </a:solidFill>
                    <a:latin typeface="+mn-lt"/>
                    <a:ea typeface="+mn-ea"/>
                    <a:cs typeface="+mn-cs"/>
                  </a:rPr>
                  <a:t> </a:t>
                </a:r>
                <a:r>
                  <a:rPr lang="sl-SI"/>
                  <a:t>Sloveniji</a:t>
                </a:r>
              </a:p>
            </c:rich>
          </c:tx>
          <c:layout>
            <c:manualLayout>
              <c:xMode val="edge"/>
              <c:yMode val="edge"/>
              <c:x val="4.80510765401711E-2"/>
              <c:y val="0.29479617782152201"/>
            </c:manualLayout>
          </c:layout>
          <c:overlay val="0"/>
        </c:title>
        <c:numFmt formatCode="#,##0" sourceLinked="0"/>
        <c:majorTickMark val="out"/>
        <c:minorTickMark val="none"/>
        <c:tickLblPos val="nextTo"/>
        <c:spPr>
          <a:ln>
            <a:noFill/>
          </a:ln>
        </c:spPr>
        <c:crossAx val="238924928"/>
        <c:crosses val="autoZero"/>
        <c:crossBetween val="between"/>
      </c:valAx>
      <c:valAx>
        <c:axId val="238932736"/>
        <c:scaling>
          <c:orientation val="minMax"/>
        </c:scaling>
        <c:delete val="0"/>
        <c:axPos val="r"/>
        <c:title>
          <c:tx>
            <c:rich>
              <a:bodyPr rot="-5400000" vert="horz"/>
              <a:lstStyle/>
              <a:p>
                <a:pPr>
                  <a:defRPr/>
                </a:pPr>
                <a:r>
                  <a:rPr lang="sl-SI"/>
                  <a:t>Število oseb v EU-28</a:t>
                </a:r>
              </a:p>
              <a:p>
                <a:pPr>
                  <a:defRPr/>
                </a:pPr>
                <a:endParaRPr lang="sl-SI"/>
              </a:p>
              <a:p>
                <a:pPr>
                  <a:defRPr/>
                </a:pPr>
                <a:endParaRPr lang="sl-SI"/>
              </a:p>
            </c:rich>
          </c:tx>
          <c:layout>
            <c:manualLayout>
              <c:xMode val="edge"/>
              <c:yMode val="edge"/>
              <c:x val="0.935524017467249"/>
              <c:y val="0.29479617782152201"/>
            </c:manualLayout>
          </c:layout>
          <c:overlay val="0"/>
        </c:title>
        <c:numFmt formatCode="#,##0" sourceLinked="0"/>
        <c:majorTickMark val="out"/>
        <c:minorTickMark val="none"/>
        <c:tickLblPos val="nextTo"/>
        <c:spPr>
          <a:ln>
            <a:noFill/>
          </a:ln>
        </c:spPr>
        <c:crossAx val="238934656"/>
        <c:crosses val="max"/>
        <c:crossBetween val="between"/>
      </c:valAx>
      <c:catAx>
        <c:axId val="238934656"/>
        <c:scaling>
          <c:orientation val="minMax"/>
        </c:scaling>
        <c:delete val="1"/>
        <c:axPos val="b"/>
        <c:numFmt formatCode="General" sourceLinked="0"/>
        <c:majorTickMark val="out"/>
        <c:minorTickMark val="none"/>
        <c:tickLblPos val="nextTo"/>
        <c:crossAx val="238932736"/>
        <c:crosses val="autoZero"/>
        <c:auto val="1"/>
        <c:lblAlgn val="ctr"/>
        <c:lblOffset val="100"/>
        <c:noMultiLvlLbl val="0"/>
      </c:catAx>
      <c:dTable>
        <c:showHorzBorder val="1"/>
        <c:showVertBorder val="1"/>
        <c:showOutline val="1"/>
        <c:showKeys val="1"/>
        <c:spPr>
          <a:ln>
            <a:solidFill>
              <a:sysClr val="window" lastClr="FFFFFF">
                <a:lumMod val="85000"/>
              </a:sysClr>
            </a:solidFill>
          </a:ln>
        </c:spPr>
      </c:dTable>
    </c:plotArea>
    <c:plotVisOnly val="1"/>
    <c:dispBlanksAs val="gap"/>
    <c:showDLblsOverMax val="0"/>
  </c:chart>
  <c:spPr>
    <a:ln>
      <a:noFill/>
    </a:ln>
  </c:spPr>
  <c:txPr>
    <a:bodyPr/>
    <a:lstStyle/>
    <a:p>
      <a:pPr>
        <a:defRPr sz="800" baseline="0">
          <a:solidFill>
            <a:schemeClr val="bg2">
              <a:lumMod val="25000"/>
            </a:schemeClr>
          </a:solidFill>
        </a:defRPr>
      </a:pPr>
      <a:endParaRPr lang="sl-SI"/>
    </a:p>
  </c:txPr>
  <c:externalData r:id="rId2">
    <c:autoUpdate val="0"/>
  </c:externalData>
</c:chartSpace>
</file>

<file path=word/charts/chart35.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percentStacked"/>
        <c:varyColors val="0"/>
        <c:ser>
          <c:idx val="0"/>
          <c:order val="0"/>
          <c:tx>
            <c:strRef>
              <c:f>'31.12.'!$B$75</c:f>
              <c:strCache>
                <c:ptCount val="1"/>
                <c:pt idx="0">
                  <c:v>Zaposlene osebe - Skupaj</c:v>
                </c:pt>
              </c:strCache>
            </c:strRef>
          </c:tx>
          <c:invertIfNegative val="0"/>
          <c:cat>
            <c:strRef>
              <c:f>'31.12.'!$A$76:$A$84</c:f>
              <c:strCache>
                <c:ptCount val="9"/>
                <c:pt idx="0">
                  <c:v>Dediščina
Arhivi
Knjižnice</c:v>
                </c:pt>
                <c:pt idx="1">
                  <c:v>Knjige in tisk</c:v>
                </c:pt>
                <c:pt idx="2">
                  <c:v>Vizualne umetnosti</c:v>
                </c:pt>
                <c:pt idx="3">
                  <c:v>Zvok, slika in multimedija</c:v>
                </c:pt>
                <c:pt idx="4">
                  <c:v>Oglaševanje</c:v>
                </c:pt>
                <c:pt idx="5">
                  <c:v>Usposabljanje</c:v>
                </c:pt>
                <c:pt idx="6">
                  <c:v>Uprizoritvene umetnosti</c:v>
                </c:pt>
                <c:pt idx="7">
                  <c:v>Arhitektura</c:v>
                </c:pt>
                <c:pt idx="8">
                  <c:v>Vse dejavnosti skupaj</c:v>
                </c:pt>
              </c:strCache>
            </c:strRef>
          </c:cat>
          <c:val>
            <c:numRef>
              <c:f>'31.12.'!$B$76:$B$84</c:f>
              <c:numCache>
                <c:formatCode>0.00</c:formatCode>
                <c:ptCount val="9"/>
                <c:pt idx="0">
                  <c:v>99.295323510570142</c:v>
                </c:pt>
                <c:pt idx="1">
                  <c:v>77.643297556519357</c:v>
                </c:pt>
                <c:pt idx="2">
                  <c:v>27.8575890068707</c:v>
                </c:pt>
                <c:pt idx="3">
                  <c:v>78.956834532373847</c:v>
                </c:pt>
                <c:pt idx="4">
                  <c:v>69.130187606594006</c:v>
                </c:pt>
                <c:pt idx="5">
                  <c:v>89.782403027435919</c:v>
                </c:pt>
                <c:pt idx="6">
                  <c:v>70.939265536723155</c:v>
                </c:pt>
                <c:pt idx="7">
                  <c:v>55.606887862242253</c:v>
                </c:pt>
                <c:pt idx="8">
                  <c:v>88.91</c:v>
                </c:pt>
              </c:numCache>
            </c:numRef>
          </c:val>
        </c:ser>
        <c:ser>
          <c:idx val="1"/>
          <c:order val="1"/>
          <c:tx>
            <c:strRef>
              <c:f>'31.12.'!$C$75</c:f>
              <c:strCache>
                <c:ptCount val="1"/>
                <c:pt idx="0">
                  <c:v>Samozaposlene osebe - Skupaj</c:v>
                </c:pt>
              </c:strCache>
            </c:strRef>
          </c:tx>
          <c:invertIfNegative val="0"/>
          <c:cat>
            <c:strRef>
              <c:f>'31.12.'!$A$76:$A$84</c:f>
              <c:strCache>
                <c:ptCount val="9"/>
                <c:pt idx="0">
                  <c:v>Dediščina
Arhivi
Knjižnice</c:v>
                </c:pt>
                <c:pt idx="1">
                  <c:v>Knjige in tisk</c:v>
                </c:pt>
                <c:pt idx="2">
                  <c:v>Vizualne umetnosti</c:v>
                </c:pt>
                <c:pt idx="3">
                  <c:v>Zvok, slika in multimedija</c:v>
                </c:pt>
                <c:pt idx="4">
                  <c:v>Oglaševanje</c:v>
                </c:pt>
                <c:pt idx="5">
                  <c:v>Usposabljanje</c:v>
                </c:pt>
                <c:pt idx="6">
                  <c:v>Uprizoritvene umetnosti</c:v>
                </c:pt>
                <c:pt idx="7">
                  <c:v>Arhitektura</c:v>
                </c:pt>
                <c:pt idx="8">
                  <c:v>Vse dejavnosti skupaj</c:v>
                </c:pt>
              </c:strCache>
            </c:strRef>
          </c:cat>
          <c:val>
            <c:numRef>
              <c:f>'31.12.'!$C$76:$C$84</c:f>
              <c:numCache>
                <c:formatCode>0.00</c:formatCode>
                <c:ptCount val="9"/>
                <c:pt idx="0">
                  <c:v>0.70467648942985295</c:v>
                </c:pt>
                <c:pt idx="1">
                  <c:v>22.356702443480241</c:v>
                </c:pt>
                <c:pt idx="2">
                  <c:v>72.142410993129047</c:v>
                </c:pt>
                <c:pt idx="3">
                  <c:v>21.043165467625901</c:v>
                </c:pt>
                <c:pt idx="4">
                  <c:v>30.86981239340534</c:v>
                </c:pt>
                <c:pt idx="5">
                  <c:v>10.217596972563859</c:v>
                </c:pt>
                <c:pt idx="6">
                  <c:v>29.06073446327683</c:v>
                </c:pt>
                <c:pt idx="7">
                  <c:v>44.393112137757242</c:v>
                </c:pt>
                <c:pt idx="8">
                  <c:v>11.09</c:v>
                </c:pt>
              </c:numCache>
            </c:numRef>
          </c:val>
        </c:ser>
        <c:dLbls>
          <c:showLegendKey val="0"/>
          <c:showVal val="0"/>
          <c:showCatName val="0"/>
          <c:showSerName val="0"/>
          <c:showPercent val="0"/>
          <c:showBubbleSize val="0"/>
        </c:dLbls>
        <c:gapWidth val="150"/>
        <c:overlap val="100"/>
        <c:axId val="238375296"/>
        <c:axId val="238376832"/>
      </c:barChart>
      <c:catAx>
        <c:axId val="238375296"/>
        <c:scaling>
          <c:orientation val="minMax"/>
        </c:scaling>
        <c:delete val="0"/>
        <c:axPos val="b"/>
        <c:numFmt formatCode="#,##0.00" sourceLinked="0"/>
        <c:majorTickMark val="out"/>
        <c:minorTickMark val="none"/>
        <c:tickLblPos val="nextTo"/>
        <c:txPr>
          <a:bodyPr rot="-5400000" vert="horz"/>
          <a:lstStyle/>
          <a:p>
            <a:pPr>
              <a:defRPr/>
            </a:pPr>
            <a:endParaRPr lang="sl-SI"/>
          </a:p>
        </c:txPr>
        <c:crossAx val="238376832"/>
        <c:crosses val="autoZero"/>
        <c:auto val="1"/>
        <c:lblAlgn val="ctr"/>
        <c:lblOffset val="100"/>
        <c:tickLblSkip val="1"/>
        <c:noMultiLvlLbl val="0"/>
      </c:catAx>
      <c:valAx>
        <c:axId val="238376832"/>
        <c:scaling>
          <c:orientation val="minMax"/>
        </c:scaling>
        <c:delete val="0"/>
        <c:axPos val="l"/>
        <c:majorGridlines>
          <c:spPr>
            <a:ln>
              <a:solidFill>
                <a:sysClr val="window" lastClr="FFFFFF">
                  <a:lumMod val="85000"/>
                </a:sysClr>
              </a:solidFill>
            </a:ln>
          </c:spPr>
        </c:majorGridlines>
        <c:numFmt formatCode="0%" sourceLinked="1"/>
        <c:majorTickMark val="out"/>
        <c:minorTickMark val="none"/>
        <c:tickLblPos val="nextTo"/>
        <c:spPr>
          <a:noFill/>
          <a:ln>
            <a:noFill/>
          </a:ln>
        </c:spPr>
        <c:txPr>
          <a:bodyPr/>
          <a:lstStyle/>
          <a:p>
            <a:pPr>
              <a:defRPr sz="700" baseline="0"/>
            </a:pPr>
            <a:endParaRPr lang="sl-SI"/>
          </a:p>
        </c:txPr>
        <c:crossAx val="238375296"/>
        <c:crosses val="autoZero"/>
        <c:crossBetween val="between"/>
      </c:valAx>
      <c:dTable>
        <c:showHorzBorder val="1"/>
        <c:showVertBorder val="1"/>
        <c:showOutline val="1"/>
        <c:showKeys val="1"/>
        <c:txPr>
          <a:bodyPr/>
          <a:lstStyle/>
          <a:p>
            <a:pPr rtl="0">
              <a:defRPr sz="600" baseline="0"/>
            </a:pPr>
            <a:endParaRPr lang="sl-SI"/>
          </a:p>
        </c:txPr>
      </c:dTable>
    </c:plotArea>
    <c:plotVisOnly val="1"/>
    <c:dispBlanksAs val="gap"/>
    <c:showDLblsOverMax val="0"/>
  </c:chart>
  <c:spPr>
    <a:ln>
      <a:noFill/>
    </a:ln>
  </c:spPr>
  <c:txPr>
    <a:bodyPr/>
    <a:lstStyle/>
    <a:p>
      <a:pPr>
        <a:defRPr sz="700" baseline="0">
          <a:solidFill>
            <a:schemeClr val="bg2">
              <a:lumMod val="25000"/>
            </a:schemeClr>
          </a:solidFill>
        </a:defRPr>
      </a:pPr>
      <a:endParaRPr lang="sl-SI"/>
    </a:p>
  </c:txPr>
  <c:externalData r:id="rId2">
    <c:autoUpdate val="0"/>
  </c:externalData>
</c:chartSpace>
</file>

<file path=word/charts/chart36.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List1!$B$3</c:f>
              <c:strCache>
                <c:ptCount val="1"/>
                <c:pt idx="0">
                  <c:v>Število zaposlenih v JZ na področju kulture</c:v>
                </c:pt>
              </c:strCache>
            </c:strRef>
          </c:tx>
          <c:invertIfNegative val="0"/>
          <c:cat>
            <c:strRef>
              <c:f>List1!$A$4:$A$11</c:f>
              <c:strCache>
                <c:ptCount val="8"/>
                <c:pt idx="0">
                  <c:v>2008</c:v>
                </c:pt>
                <c:pt idx="1">
                  <c:v>2009</c:v>
                </c:pt>
                <c:pt idx="2">
                  <c:v>2010</c:v>
                </c:pt>
                <c:pt idx="3">
                  <c:v>2011</c:v>
                </c:pt>
                <c:pt idx="4">
                  <c:v>2012</c:v>
                </c:pt>
                <c:pt idx="5">
                  <c:v>2013</c:v>
                </c:pt>
                <c:pt idx="6">
                  <c:v>2014</c:v>
                </c:pt>
                <c:pt idx="7">
                  <c:v>2015</c:v>
                </c:pt>
              </c:strCache>
            </c:strRef>
          </c:cat>
          <c:val>
            <c:numRef>
              <c:f>List1!$B$4:$B$11</c:f>
              <c:numCache>
                <c:formatCode>#,##0</c:formatCode>
                <c:ptCount val="8"/>
                <c:pt idx="0">
                  <c:v>6180.54</c:v>
                </c:pt>
                <c:pt idx="1">
                  <c:v>6199.98</c:v>
                </c:pt>
                <c:pt idx="2">
                  <c:v>6262.29</c:v>
                </c:pt>
                <c:pt idx="3">
                  <c:v>6344.03</c:v>
                </c:pt>
                <c:pt idx="4">
                  <c:v>6240.21</c:v>
                </c:pt>
                <c:pt idx="5">
                  <c:v>6236.8</c:v>
                </c:pt>
                <c:pt idx="6">
                  <c:v>6212.82</c:v>
                </c:pt>
                <c:pt idx="7">
                  <c:v>6166.54</c:v>
                </c:pt>
              </c:numCache>
            </c:numRef>
          </c:val>
        </c:ser>
        <c:dLbls>
          <c:showLegendKey val="0"/>
          <c:showVal val="0"/>
          <c:showCatName val="0"/>
          <c:showSerName val="0"/>
          <c:showPercent val="0"/>
          <c:showBubbleSize val="0"/>
        </c:dLbls>
        <c:gapWidth val="150"/>
        <c:axId val="238332544"/>
        <c:axId val="238334336"/>
      </c:barChart>
      <c:catAx>
        <c:axId val="238332544"/>
        <c:scaling>
          <c:orientation val="minMax"/>
        </c:scaling>
        <c:delete val="0"/>
        <c:axPos val="b"/>
        <c:numFmt formatCode="General" sourceLinked="0"/>
        <c:majorTickMark val="out"/>
        <c:minorTickMark val="none"/>
        <c:tickLblPos val="nextTo"/>
        <c:crossAx val="238334336"/>
        <c:crosses val="autoZero"/>
        <c:auto val="1"/>
        <c:lblAlgn val="ctr"/>
        <c:lblOffset val="100"/>
        <c:noMultiLvlLbl val="0"/>
      </c:catAx>
      <c:valAx>
        <c:axId val="238334336"/>
        <c:scaling>
          <c:orientation val="minMax"/>
        </c:scaling>
        <c:delete val="0"/>
        <c:axPos val="l"/>
        <c:majorGridlines>
          <c:spPr>
            <a:ln>
              <a:solidFill>
                <a:schemeClr val="bg2">
                  <a:lumMod val="25000"/>
                  <a:alpha val="20000"/>
                </a:schemeClr>
              </a:solidFill>
            </a:ln>
          </c:spPr>
        </c:majorGridlines>
        <c:numFmt formatCode="#,##0" sourceLinked="1"/>
        <c:majorTickMark val="out"/>
        <c:minorTickMark val="none"/>
        <c:tickLblPos val="nextTo"/>
        <c:spPr>
          <a:ln>
            <a:noFill/>
          </a:ln>
        </c:spPr>
        <c:crossAx val="238332544"/>
        <c:crosses val="autoZero"/>
        <c:crossBetween val="between"/>
      </c:valAx>
      <c:dTable>
        <c:showHorzBorder val="1"/>
        <c:showVertBorder val="1"/>
        <c:showOutline val="1"/>
        <c:showKeys val="0"/>
      </c:dTable>
    </c:plotArea>
    <c:plotVisOnly val="1"/>
    <c:dispBlanksAs val="gap"/>
    <c:showDLblsOverMax val="0"/>
  </c:chart>
  <c:spPr>
    <a:ln>
      <a:noFill/>
    </a:ln>
  </c:spPr>
  <c:txPr>
    <a:bodyPr/>
    <a:lstStyle/>
    <a:p>
      <a:pPr>
        <a:defRPr sz="800" baseline="0">
          <a:solidFill>
            <a:schemeClr val="bg2">
              <a:lumMod val="25000"/>
            </a:schemeClr>
          </a:solidFill>
        </a:defRPr>
      </a:pPr>
      <a:endParaRPr lang="sl-SI"/>
    </a:p>
  </c:txPr>
  <c:externalData r:id="rId1">
    <c:autoUpdate val="0"/>
  </c:externalData>
</c:chartSpace>
</file>

<file path=word/charts/chart37.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Zbirnik!$B$1</c:f>
              <c:strCache>
                <c:ptCount val="1"/>
                <c:pt idx="0">
                  <c:v>2008</c:v>
                </c:pt>
              </c:strCache>
            </c:strRef>
          </c:tx>
          <c:invertIfNegative val="0"/>
          <c:cat>
            <c:strRef>
              <c:f>Zbirnik!$A$2:$A$6</c:f>
              <c:strCache>
                <c:ptCount val="5"/>
                <c:pt idx="0">
                  <c:v>Gospodarske družbe</c:v>
                </c:pt>
                <c:pt idx="1">
                  <c:v>Samostojni podjetniki</c:v>
                </c:pt>
                <c:pt idx="2">
                  <c:v>Društva</c:v>
                </c:pt>
                <c:pt idx="3">
                  <c:v>Nepridobitne organizacije - pravne osebe zasebnega prava</c:v>
                </c:pt>
                <c:pt idx="4">
                  <c:v>Pravne osebe javnega prava</c:v>
                </c:pt>
              </c:strCache>
            </c:strRef>
          </c:cat>
          <c:val>
            <c:numRef>
              <c:f>Zbirnik!$B$2:$B$6</c:f>
              <c:numCache>
                <c:formatCode>#,##0</c:formatCode>
                <c:ptCount val="5"/>
                <c:pt idx="0">
                  <c:v>2541</c:v>
                </c:pt>
                <c:pt idx="1">
                  <c:v>3307</c:v>
                </c:pt>
                <c:pt idx="2">
                  <c:v>583</c:v>
                </c:pt>
                <c:pt idx="3">
                  <c:v>307</c:v>
                </c:pt>
                <c:pt idx="4">
                  <c:v>251</c:v>
                </c:pt>
              </c:numCache>
            </c:numRef>
          </c:val>
        </c:ser>
        <c:ser>
          <c:idx val="1"/>
          <c:order val="1"/>
          <c:tx>
            <c:strRef>
              <c:f>Zbirnik!$C$1</c:f>
              <c:strCache>
                <c:ptCount val="1"/>
                <c:pt idx="0">
                  <c:v>2015</c:v>
                </c:pt>
              </c:strCache>
            </c:strRef>
          </c:tx>
          <c:invertIfNegative val="0"/>
          <c:cat>
            <c:strRef>
              <c:f>Zbirnik!$A$2:$A$6</c:f>
              <c:strCache>
                <c:ptCount val="5"/>
                <c:pt idx="0">
                  <c:v>Gospodarske družbe</c:v>
                </c:pt>
                <c:pt idx="1">
                  <c:v>Samostojni podjetniki</c:v>
                </c:pt>
                <c:pt idx="2">
                  <c:v>Društva</c:v>
                </c:pt>
                <c:pt idx="3">
                  <c:v>Nepridobitne organizacije - pravne osebe zasebnega prava</c:v>
                </c:pt>
                <c:pt idx="4">
                  <c:v>Pravne osebe javnega prava</c:v>
                </c:pt>
              </c:strCache>
            </c:strRef>
          </c:cat>
          <c:val>
            <c:numRef>
              <c:f>Zbirnik!$C$2:$C$6</c:f>
              <c:numCache>
                <c:formatCode>#,##0</c:formatCode>
                <c:ptCount val="5"/>
                <c:pt idx="0">
                  <c:v>2958</c:v>
                </c:pt>
                <c:pt idx="1">
                  <c:v>4458</c:v>
                </c:pt>
                <c:pt idx="2">
                  <c:v>598</c:v>
                </c:pt>
                <c:pt idx="3">
                  <c:v>634</c:v>
                </c:pt>
                <c:pt idx="4">
                  <c:v>255</c:v>
                </c:pt>
              </c:numCache>
            </c:numRef>
          </c:val>
        </c:ser>
        <c:dLbls>
          <c:showLegendKey val="0"/>
          <c:showVal val="0"/>
          <c:showCatName val="0"/>
          <c:showSerName val="0"/>
          <c:showPercent val="0"/>
          <c:showBubbleSize val="0"/>
        </c:dLbls>
        <c:gapWidth val="150"/>
        <c:axId val="233667968"/>
        <c:axId val="238278144"/>
      </c:barChart>
      <c:lineChart>
        <c:grouping val="standard"/>
        <c:varyColors val="0"/>
        <c:ser>
          <c:idx val="2"/>
          <c:order val="2"/>
          <c:tx>
            <c:strRef>
              <c:f>Zbirnik!$D$1</c:f>
              <c:strCache>
                <c:ptCount val="1"/>
                <c:pt idx="0">
                  <c:v>Indeks 2015-2008</c:v>
                </c:pt>
              </c:strCache>
            </c:strRef>
          </c:tx>
          <c:spPr>
            <a:ln>
              <a:noFill/>
            </a:ln>
          </c:spPr>
          <c:marker>
            <c:symbol val="square"/>
            <c:size val="5"/>
            <c:spPr>
              <a:solidFill>
                <a:schemeClr val="tx1"/>
              </a:solidFill>
              <a:ln>
                <a:solidFill>
                  <a:schemeClr val="tx1"/>
                </a:solidFill>
              </a:ln>
            </c:spPr>
          </c:marker>
          <c:cat>
            <c:strRef>
              <c:f>Zbirnik!$A$2:$A$6</c:f>
              <c:strCache>
                <c:ptCount val="5"/>
                <c:pt idx="0">
                  <c:v>Gospodarske družbe</c:v>
                </c:pt>
                <c:pt idx="1">
                  <c:v>Samostojni podjetniki</c:v>
                </c:pt>
                <c:pt idx="2">
                  <c:v>Društva</c:v>
                </c:pt>
                <c:pt idx="3">
                  <c:v>Nepridobitne organizacije - pravne osebe zasebnega prava</c:v>
                </c:pt>
                <c:pt idx="4">
                  <c:v>Pravne osebe javnega prava</c:v>
                </c:pt>
              </c:strCache>
            </c:strRef>
          </c:cat>
          <c:val>
            <c:numRef>
              <c:f>Zbirnik!$D$2:$D$6</c:f>
              <c:numCache>
                <c:formatCode>0</c:formatCode>
                <c:ptCount val="5"/>
                <c:pt idx="0">
                  <c:v>116.4108618654073</c:v>
                </c:pt>
                <c:pt idx="1">
                  <c:v>134.80495917750221</c:v>
                </c:pt>
                <c:pt idx="2">
                  <c:v>102.5728987993139</c:v>
                </c:pt>
                <c:pt idx="3">
                  <c:v>206.51465798045601</c:v>
                </c:pt>
                <c:pt idx="4">
                  <c:v>101.593625498008</c:v>
                </c:pt>
              </c:numCache>
            </c:numRef>
          </c:val>
          <c:smooth val="0"/>
        </c:ser>
        <c:dLbls>
          <c:showLegendKey val="0"/>
          <c:showVal val="0"/>
          <c:showCatName val="0"/>
          <c:showSerName val="0"/>
          <c:showPercent val="0"/>
          <c:showBubbleSize val="0"/>
        </c:dLbls>
        <c:marker val="1"/>
        <c:smooth val="0"/>
        <c:axId val="238351872"/>
        <c:axId val="238280064"/>
      </c:lineChart>
      <c:catAx>
        <c:axId val="233667968"/>
        <c:scaling>
          <c:orientation val="minMax"/>
        </c:scaling>
        <c:delete val="0"/>
        <c:axPos val="b"/>
        <c:numFmt formatCode="General" sourceLinked="0"/>
        <c:majorTickMark val="out"/>
        <c:minorTickMark val="none"/>
        <c:tickLblPos val="nextTo"/>
        <c:crossAx val="238278144"/>
        <c:crosses val="autoZero"/>
        <c:auto val="1"/>
        <c:lblAlgn val="ctr"/>
        <c:lblOffset val="100"/>
        <c:noMultiLvlLbl val="0"/>
      </c:catAx>
      <c:valAx>
        <c:axId val="238278144"/>
        <c:scaling>
          <c:orientation val="minMax"/>
        </c:scaling>
        <c:delete val="0"/>
        <c:axPos val="l"/>
        <c:majorGridlines>
          <c:spPr>
            <a:ln>
              <a:solidFill>
                <a:schemeClr val="bg1">
                  <a:lumMod val="85000"/>
                </a:schemeClr>
              </a:solidFill>
            </a:ln>
          </c:spPr>
        </c:majorGridlines>
        <c:title>
          <c:tx>
            <c:rich>
              <a:bodyPr rot="-5400000" vert="horz"/>
              <a:lstStyle/>
              <a:p>
                <a:pPr>
                  <a:defRPr/>
                </a:pPr>
                <a:r>
                  <a:rPr lang="en-US"/>
                  <a:t>Število</a:t>
                </a:r>
              </a:p>
            </c:rich>
          </c:tx>
          <c:layout>
            <c:manualLayout>
              <c:xMode val="edge"/>
              <c:yMode val="edge"/>
              <c:x val="8.8888888888888906E-2"/>
              <c:y val="0.26015419947506602"/>
            </c:manualLayout>
          </c:layout>
          <c:overlay val="0"/>
        </c:title>
        <c:numFmt formatCode="#,##0" sourceLinked="1"/>
        <c:majorTickMark val="out"/>
        <c:minorTickMark val="none"/>
        <c:tickLblPos val="nextTo"/>
        <c:spPr>
          <a:ln>
            <a:noFill/>
          </a:ln>
        </c:spPr>
        <c:crossAx val="233667968"/>
        <c:crosses val="autoZero"/>
        <c:crossBetween val="between"/>
      </c:valAx>
      <c:valAx>
        <c:axId val="238280064"/>
        <c:scaling>
          <c:orientation val="minMax"/>
        </c:scaling>
        <c:delete val="0"/>
        <c:axPos val="r"/>
        <c:title>
          <c:tx>
            <c:rich>
              <a:bodyPr rot="-5400000" vert="horz"/>
              <a:lstStyle/>
              <a:p>
                <a:pPr>
                  <a:defRPr/>
                </a:pPr>
                <a:r>
                  <a:rPr lang="en-US"/>
                  <a:t>Indeks 2015-2008</a:t>
                </a:r>
              </a:p>
            </c:rich>
          </c:tx>
          <c:overlay val="0"/>
        </c:title>
        <c:numFmt formatCode="0" sourceLinked="1"/>
        <c:majorTickMark val="out"/>
        <c:minorTickMark val="none"/>
        <c:tickLblPos val="nextTo"/>
        <c:spPr>
          <a:ln>
            <a:noFill/>
          </a:ln>
        </c:spPr>
        <c:crossAx val="238351872"/>
        <c:crosses val="max"/>
        <c:crossBetween val="between"/>
      </c:valAx>
      <c:catAx>
        <c:axId val="238351872"/>
        <c:scaling>
          <c:orientation val="minMax"/>
        </c:scaling>
        <c:delete val="1"/>
        <c:axPos val="b"/>
        <c:numFmt formatCode="General" sourceLinked="0"/>
        <c:majorTickMark val="out"/>
        <c:minorTickMark val="none"/>
        <c:tickLblPos val="nextTo"/>
        <c:crossAx val="238280064"/>
        <c:crosses val="autoZero"/>
        <c:auto val="1"/>
        <c:lblAlgn val="ctr"/>
        <c:lblOffset val="100"/>
        <c:noMultiLvlLbl val="0"/>
      </c:catAx>
      <c:dTable>
        <c:showHorzBorder val="1"/>
        <c:showVertBorder val="1"/>
        <c:showOutline val="1"/>
        <c:showKeys val="1"/>
        <c:spPr>
          <a:ln>
            <a:solidFill>
              <a:schemeClr val="bg1">
                <a:lumMod val="85000"/>
              </a:schemeClr>
            </a:solidFill>
          </a:ln>
        </c:spPr>
      </c:dTable>
    </c:plotArea>
    <c:plotVisOnly val="1"/>
    <c:dispBlanksAs val="gap"/>
    <c:showDLblsOverMax val="0"/>
  </c:chart>
  <c:spPr>
    <a:ln>
      <a:noFill/>
    </a:ln>
  </c:spPr>
  <c:txPr>
    <a:bodyPr/>
    <a:lstStyle/>
    <a:p>
      <a:pPr>
        <a:defRPr sz="800" baseline="0">
          <a:solidFill>
            <a:schemeClr val="bg2">
              <a:lumMod val="25000"/>
            </a:schemeClr>
          </a:solidFill>
        </a:defRPr>
      </a:pPr>
      <a:endParaRPr lang="sl-SI"/>
    </a:p>
  </c:txPr>
  <c:externalData r:id="rId1">
    <c:autoUpdate val="0"/>
  </c:externalData>
</c:chartSpace>
</file>

<file path=word/charts/chart38.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Zbirnik!$F$9</c:f>
              <c:strCache>
                <c:ptCount val="1"/>
                <c:pt idx="0">
                  <c:v>2008</c:v>
                </c:pt>
              </c:strCache>
            </c:strRef>
          </c:tx>
          <c:invertIfNegative val="0"/>
          <c:cat>
            <c:strRef>
              <c:f>Zbirnik!$E$10:$E$14</c:f>
              <c:strCache>
                <c:ptCount val="5"/>
                <c:pt idx="0">
                  <c:v>Gospodarske družbe</c:v>
                </c:pt>
                <c:pt idx="1">
                  <c:v>Samostojni podjetniki</c:v>
                </c:pt>
                <c:pt idx="2">
                  <c:v>Društva</c:v>
                </c:pt>
                <c:pt idx="3">
                  <c:v>Pravne osebe zasebnega prava</c:v>
                </c:pt>
                <c:pt idx="4">
                  <c:v>Pravne osebe javnega prava</c:v>
                </c:pt>
              </c:strCache>
            </c:strRef>
          </c:cat>
          <c:val>
            <c:numRef>
              <c:f>Zbirnik!$F$10:$F$14</c:f>
              <c:numCache>
                <c:formatCode>_(* #,##0.00_);_(* \(#,##0.00\);_(* "-"??_);_(@_)</c:formatCode>
                <c:ptCount val="5"/>
                <c:pt idx="0">
                  <c:v>1324.796149</c:v>
                </c:pt>
                <c:pt idx="1">
                  <c:v>119.216713</c:v>
                </c:pt>
                <c:pt idx="2">
                  <c:v>9.8795040000000007</c:v>
                </c:pt>
                <c:pt idx="3">
                  <c:v>20.047349000000001</c:v>
                </c:pt>
                <c:pt idx="4">
                  <c:v>374.15706699999998</c:v>
                </c:pt>
              </c:numCache>
            </c:numRef>
          </c:val>
        </c:ser>
        <c:ser>
          <c:idx val="1"/>
          <c:order val="1"/>
          <c:tx>
            <c:strRef>
              <c:f>Zbirnik!$G$9</c:f>
              <c:strCache>
                <c:ptCount val="1"/>
                <c:pt idx="0">
                  <c:v>2015</c:v>
                </c:pt>
              </c:strCache>
            </c:strRef>
          </c:tx>
          <c:invertIfNegative val="0"/>
          <c:cat>
            <c:strRef>
              <c:f>Zbirnik!$E$10:$E$14</c:f>
              <c:strCache>
                <c:ptCount val="5"/>
                <c:pt idx="0">
                  <c:v>Gospodarske družbe</c:v>
                </c:pt>
                <c:pt idx="1">
                  <c:v>Samostojni podjetniki</c:v>
                </c:pt>
                <c:pt idx="2">
                  <c:v>Društva</c:v>
                </c:pt>
                <c:pt idx="3">
                  <c:v>Pravne osebe zasebnega prava</c:v>
                </c:pt>
                <c:pt idx="4">
                  <c:v>Pravne osebe javnega prava</c:v>
                </c:pt>
              </c:strCache>
            </c:strRef>
          </c:cat>
          <c:val>
            <c:numRef>
              <c:f>Zbirnik!$G$10:$G$14</c:f>
              <c:numCache>
                <c:formatCode>_(* #,##0.00_);_(* \(#,##0.00\);_(* "-"??_);_(@_)</c:formatCode>
                <c:ptCount val="5"/>
                <c:pt idx="0">
                  <c:v>1000.067407</c:v>
                </c:pt>
                <c:pt idx="1">
                  <c:v>124.095967</c:v>
                </c:pt>
                <c:pt idx="2">
                  <c:v>9.2680159999999994</c:v>
                </c:pt>
                <c:pt idx="3">
                  <c:v>28.801053</c:v>
                </c:pt>
                <c:pt idx="4">
                  <c:v>389.59080299999999</c:v>
                </c:pt>
              </c:numCache>
            </c:numRef>
          </c:val>
        </c:ser>
        <c:dLbls>
          <c:showLegendKey val="0"/>
          <c:showVal val="0"/>
          <c:showCatName val="0"/>
          <c:showSerName val="0"/>
          <c:showPercent val="0"/>
          <c:showBubbleSize val="0"/>
        </c:dLbls>
        <c:gapWidth val="150"/>
        <c:axId val="238433024"/>
        <c:axId val="238434944"/>
      </c:barChart>
      <c:lineChart>
        <c:grouping val="standard"/>
        <c:varyColors val="0"/>
        <c:ser>
          <c:idx val="2"/>
          <c:order val="2"/>
          <c:tx>
            <c:strRef>
              <c:f>Zbirnik!$H$9</c:f>
              <c:strCache>
                <c:ptCount val="1"/>
                <c:pt idx="0">
                  <c:v>Indeks 2015-2008</c:v>
                </c:pt>
              </c:strCache>
            </c:strRef>
          </c:tx>
          <c:spPr>
            <a:ln>
              <a:noFill/>
            </a:ln>
          </c:spPr>
          <c:marker>
            <c:symbol val="square"/>
            <c:size val="5"/>
            <c:spPr>
              <a:solidFill>
                <a:schemeClr val="tx1"/>
              </a:solidFill>
              <a:ln>
                <a:solidFill>
                  <a:schemeClr val="tx1"/>
                </a:solidFill>
              </a:ln>
            </c:spPr>
          </c:marker>
          <c:cat>
            <c:strRef>
              <c:f>Zbirnik!$E$10:$E$14</c:f>
              <c:strCache>
                <c:ptCount val="5"/>
                <c:pt idx="0">
                  <c:v>Gospodarske družbe</c:v>
                </c:pt>
                <c:pt idx="1">
                  <c:v>Samostojni podjetniki</c:v>
                </c:pt>
                <c:pt idx="2">
                  <c:v>Društva</c:v>
                </c:pt>
                <c:pt idx="3">
                  <c:v>Pravne osebe zasebnega prava</c:v>
                </c:pt>
                <c:pt idx="4">
                  <c:v>Pravne osebe javnega prava</c:v>
                </c:pt>
              </c:strCache>
            </c:strRef>
          </c:cat>
          <c:val>
            <c:numRef>
              <c:f>Zbirnik!$H$10:$H$14</c:f>
              <c:numCache>
                <c:formatCode>0</c:formatCode>
                <c:ptCount val="5"/>
                <c:pt idx="0">
                  <c:v>75.488399309952982</c:v>
                </c:pt>
                <c:pt idx="1">
                  <c:v>104.0927600478299</c:v>
                </c:pt>
                <c:pt idx="2">
                  <c:v>93.810539476475711</c:v>
                </c:pt>
                <c:pt idx="3">
                  <c:v>143.66514495258201</c:v>
                </c:pt>
                <c:pt idx="4">
                  <c:v>104.1249350503381</c:v>
                </c:pt>
              </c:numCache>
            </c:numRef>
          </c:val>
          <c:smooth val="0"/>
        </c:ser>
        <c:dLbls>
          <c:showLegendKey val="0"/>
          <c:showVal val="0"/>
          <c:showCatName val="0"/>
          <c:showSerName val="0"/>
          <c:showPercent val="0"/>
          <c:showBubbleSize val="0"/>
        </c:dLbls>
        <c:marker val="1"/>
        <c:smooth val="0"/>
        <c:axId val="238439040"/>
        <c:axId val="238437120"/>
      </c:lineChart>
      <c:catAx>
        <c:axId val="238433024"/>
        <c:scaling>
          <c:orientation val="minMax"/>
        </c:scaling>
        <c:delete val="0"/>
        <c:axPos val="b"/>
        <c:numFmt formatCode="General" sourceLinked="0"/>
        <c:majorTickMark val="out"/>
        <c:minorTickMark val="none"/>
        <c:tickLblPos val="nextTo"/>
        <c:crossAx val="238434944"/>
        <c:crosses val="autoZero"/>
        <c:auto val="1"/>
        <c:lblAlgn val="ctr"/>
        <c:lblOffset val="100"/>
        <c:noMultiLvlLbl val="0"/>
      </c:catAx>
      <c:valAx>
        <c:axId val="238434944"/>
        <c:scaling>
          <c:orientation val="minMax"/>
        </c:scaling>
        <c:delete val="0"/>
        <c:axPos val="l"/>
        <c:majorGridlines>
          <c:spPr>
            <a:ln>
              <a:solidFill>
                <a:schemeClr val="bg1">
                  <a:lumMod val="85000"/>
                </a:schemeClr>
              </a:solidFill>
            </a:ln>
          </c:spPr>
        </c:majorGridlines>
        <c:title>
          <c:tx>
            <c:rich>
              <a:bodyPr rot="-5400000" vert="horz"/>
              <a:lstStyle/>
              <a:p>
                <a:pPr>
                  <a:defRPr/>
                </a:pPr>
                <a:r>
                  <a:rPr lang="en-US"/>
                  <a:t>Milijoni evrov</a:t>
                </a:r>
              </a:p>
            </c:rich>
          </c:tx>
          <c:layout>
            <c:manualLayout>
              <c:xMode val="edge"/>
              <c:yMode val="edge"/>
              <c:x val="5.2164912319134303E-2"/>
              <c:y val="0.23732566541765099"/>
            </c:manualLayout>
          </c:layout>
          <c:overlay val="0"/>
        </c:title>
        <c:numFmt formatCode="_(* #,##0.00_);_(* \(#,##0.00\);_(* &quot;-&quot;??_);_(@_)" sourceLinked="1"/>
        <c:majorTickMark val="out"/>
        <c:minorTickMark val="none"/>
        <c:tickLblPos val="nextTo"/>
        <c:spPr>
          <a:ln>
            <a:noFill/>
          </a:ln>
        </c:spPr>
        <c:crossAx val="238433024"/>
        <c:crosses val="autoZero"/>
        <c:crossBetween val="between"/>
      </c:valAx>
      <c:valAx>
        <c:axId val="238437120"/>
        <c:scaling>
          <c:orientation val="minMax"/>
        </c:scaling>
        <c:delete val="0"/>
        <c:axPos val="r"/>
        <c:title>
          <c:tx>
            <c:rich>
              <a:bodyPr rot="-5400000" vert="horz"/>
              <a:lstStyle/>
              <a:p>
                <a:pPr>
                  <a:defRPr/>
                </a:pPr>
                <a:r>
                  <a:rPr lang="en-US"/>
                  <a:t>Indeks 2015-2008</a:t>
                </a:r>
              </a:p>
            </c:rich>
          </c:tx>
          <c:overlay val="0"/>
        </c:title>
        <c:numFmt formatCode="0" sourceLinked="1"/>
        <c:majorTickMark val="out"/>
        <c:minorTickMark val="none"/>
        <c:tickLblPos val="nextTo"/>
        <c:spPr>
          <a:ln>
            <a:noFill/>
          </a:ln>
        </c:spPr>
        <c:crossAx val="238439040"/>
        <c:crosses val="max"/>
        <c:crossBetween val="between"/>
      </c:valAx>
      <c:catAx>
        <c:axId val="238439040"/>
        <c:scaling>
          <c:orientation val="minMax"/>
        </c:scaling>
        <c:delete val="1"/>
        <c:axPos val="b"/>
        <c:numFmt formatCode="General" sourceLinked="0"/>
        <c:majorTickMark val="out"/>
        <c:minorTickMark val="none"/>
        <c:tickLblPos val="nextTo"/>
        <c:crossAx val="238437120"/>
        <c:crosses val="autoZero"/>
        <c:auto val="1"/>
        <c:lblAlgn val="ctr"/>
        <c:lblOffset val="100"/>
        <c:noMultiLvlLbl val="0"/>
      </c:catAx>
      <c:dTable>
        <c:showHorzBorder val="1"/>
        <c:showVertBorder val="1"/>
        <c:showOutline val="1"/>
        <c:showKeys val="1"/>
        <c:spPr>
          <a:ln>
            <a:solidFill>
              <a:schemeClr val="bg1">
                <a:lumMod val="85000"/>
              </a:schemeClr>
            </a:solidFill>
          </a:ln>
        </c:spPr>
      </c:dTable>
    </c:plotArea>
    <c:plotVisOnly val="1"/>
    <c:dispBlanksAs val="gap"/>
    <c:showDLblsOverMax val="0"/>
  </c:chart>
  <c:spPr>
    <a:ln>
      <a:noFill/>
    </a:ln>
  </c:spPr>
  <c:txPr>
    <a:bodyPr/>
    <a:lstStyle/>
    <a:p>
      <a:pPr>
        <a:defRPr sz="800" baseline="0">
          <a:solidFill>
            <a:schemeClr val="bg2">
              <a:lumMod val="25000"/>
            </a:schemeClr>
          </a:solidFill>
        </a:defRPr>
      </a:pPr>
      <a:endParaRPr lang="sl-SI"/>
    </a:p>
  </c:txPr>
  <c:externalData r:id="rId1">
    <c:autoUpdate val="0"/>
  </c:externalData>
</c:chartSpace>
</file>

<file path=word/charts/chart39.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Zbirnik!$B$22</c:f>
              <c:strCache>
                <c:ptCount val="1"/>
                <c:pt idx="0">
                  <c:v>2008</c:v>
                </c:pt>
              </c:strCache>
            </c:strRef>
          </c:tx>
          <c:invertIfNegative val="0"/>
          <c:cat>
            <c:strRef>
              <c:f>Zbirnik!$A$23:$A$27</c:f>
              <c:strCache>
                <c:ptCount val="5"/>
                <c:pt idx="0">
                  <c:v>Gospodarske družbe</c:v>
                </c:pt>
                <c:pt idx="1">
                  <c:v>Samostojni podjetniki</c:v>
                </c:pt>
                <c:pt idx="2">
                  <c:v>Društva</c:v>
                </c:pt>
                <c:pt idx="3">
                  <c:v>Pravne osebe zasebnega prava</c:v>
                </c:pt>
                <c:pt idx="4">
                  <c:v>Pravne osebe javnega prava</c:v>
                </c:pt>
              </c:strCache>
            </c:strRef>
          </c:cat>
          <c:val>
            <c:numRef>
              <c:f>Zbirnik!$B$23:$B$27</c:f>
              <c:numCache>
                <c:formatCode>#,##0\ "€"</c:formatCode>
                <c:ptCount val="5"/>
                <c:pt idx="0">
                  <c:v>1296</c:v>
                </c:pt>
                <c:pt idx="1">
                  <c:v>847</c:v>
                </c:pt>
                <c:pt idx="2">
                  <c:v>1317</c:v>
                </c:pt>
                <c:pt idx="3">
                  <c:v>1039</c:v>
                </c:pt>
                <c:pt idx="4">
                  <c:v>1582</c:v>
                </c:pt>
              </c:numCache>
            </c:numRef>
          </c:val>
        </c:ser>
        <c:ser>
          <c:idx val="1"/>
          <c:order val="1"/>
          <c:tx>
            <c:strRef>
              <c:f>Zbirnik!$C$22</c:f>
              <c:strCache>
                <c:ptCount val="1"/>
                <c:pt idx="0">
                  <c:v>2015</c:v>
                </c:pt>
              </c:strCache>
            </c:strRef>
          </c:tx>
          <c:invertIfNegative val="0"/>
          <c:cat>
            <c:strRef>
              <c:f>Zbirnik!$A$23:$A$27</c:f>
              <c:strCache>
                <c:ptCount val="5"/>
                <c:pt idx="0">
                  <c:v>Gospodarske družbe</c:v>
                </c:pt>
                <c:pt idx="1">
                  <c:v>Samostojni podjetniki</c:v>
                </c:pt>
                <c:pt idx="2">
                  <c:v>Društva</c:v>
                </c:pt>
                <c:pt idx="3">
                  <c:v>Pravne osebe zasebnega prava</c:v>
                </c:pt>
                <c:pt idx="4">
                  <c:v>Pravne osebe javnega prava</c:v>
                </c:pt>
              </c:strCache>
            </c:strRef>
          </c:cat>
          <c:val>
            <c:numRef>
              <c:f>Zbirnik!$C$23:$C$27</c:f>
              <c:numCache>
                <c:formatCode>#,##0\ "€"</c:formatCode>
                <c:ptCount val="5"/>
                <c:pt idx="0">
                  <c:v>1349</c:v>
                </c:pt>
                <c:pt idx="1">
                  <c:v>896</c:v>
                </c:pt>
                <c:pt idx="2">
                  <c:v>1471</c:v>
                </c:pt>
                <c:pt idx="3">
                  <c:v>1264</c:v>
                </c:pt>
                <c:pt idx="4">
                  <c:v>1769</c:v>
                </c:pt>
              </c:numCache>
            </c:numRef>
          </c:val>
        </c:ser>
        <c:dLbls>
          <c:showLegendKey val="0"/>
          <c:showVal val="0"/>
          <c:showCatName val="0"/>
          <c:showSerName val="0"/>
          <c:showPercent val="0"/>
          <c:showBubbleSize val="0"/>
        </c:dLbls>
        <c:gapWidth val="150"/>
        <c:axId val="239126400"/>
        <c:axId val="239140864"/>
      </c:barChart>
      <c:lineChart>
        <c:grouping val="standard"/>
        <c:varyColors val="0"/>
        <c:ser>
          <c:idx val="2"/>
          <c:order val="2"/>
          <c:tx>
            <c:strRef>
              <c:f>Zbirnik!$D$22</c:f>
              <c:strCache>
                <c:ptCount val="1"/>
                <c:pt idx="0">
                  <c:v>Indeks 2015-2008</c:v>
                </c:pt>
              </c:strCache>
            </c:strRef>
          </c:tx>
          <c:spPr>
            <a:ln>
              <a:noFill/>
            </a:ln>
          </c:spPr>
          <c:marker>
            <c:symbol val="square"/>
            <c:size val="5"/>
            <c:spPr>
              <a:solidFill>
                <a:schemeClr val="tx1"/>
              </a:solidFill>
              <a:ln>
                <a:solidFill>
                  <a:schemeClr val="tx1"/>
                </a:solidFill>
              </a:ln>
            </c:spPr>
          </c:marker>
          <c:cat>
            <c:strRef>
              <c:f>Zbirnik!$A$23:$A$27</c:f>
              <c:strCache>
                <c:ptCount val="5"/>
                <c:pt idx="0">
                  <c:v>Gospodarske družbe</c:v>
                </c:pt>
                <c:pt idx="1">
                  <c:v>Samostojni podjetniki</c:v>
                </c:pt>
                <c:pt idx="2">
                  <c:v>Društva</c:v>
                </c:pt>
                <c:pt idx="3">
                  <c:v>Pravne osebe zasebnega prava</c:v>
                </c:pt>
                <c:pt idx="4">
                  <c:v>Pravne osebe javnega prava</c:v>
                </c:pt>
              </c:strCache>
            </c:strRef>
          </c:cat>
          <c:val>
            <c:numRef>
              <c:f>Zbirnik!$D$23:$D$27</c:f>
              <c:numCache>
                <c:formatCode>0</c:formatCode>
                <c:ptCount val="5"/>
                <c:pt idx="0">
                  <c:v>104.08950617283951</c:v>
                </c:pt>
                <c:pt idx="1">
                  <c:v>105.78512396694219</c:v>
                </c:pt>
                <c:pt idx="2">
                  <c:v>111.6932422171602</c:v>
                </c:pt>
                <c:pt idx="3">
                  <c:v>121.6554379210779</c:v>
                </c:pt>
                <c:pt idx="4">
                  <c:v>111.8204804045512</c:v>
                </c:pt>
              </c:numCache>
            </c:numRef>
          </c:val>
          <c:smooth val="0"/>
        </c:ser>
        <c:dLbls>
          <c:showLegendKey val="0"/>
          <c:showVal val="0"/>
          <c:showCatName val="0"/>
          <c:showSerName val="0"/>
          <c:showPercent val="0"/>
          <c:showBubbleSize val="0"/>
        </c:dLbls>
        <c:marker val="1"/>
        <c:smooth val="0"/>
        <c:axId val="239149056"/>
        <c:axId val="239142784"/>
      </c:lineChart>
      <c:catAx>
        <c:axId val="239126400"/>
        <c:scaling>
          <c:orientation val="minMax"/>
        </c:scaling>
        <c:delete val="0"/>
        <c:axPos val="b"/>
        <c:numFmt formatCode="General" sourceLinked="0"/>
        <c:majorTickMark val="out"/>
        <c:minorTickMark val="none"/>
        <c:tickLblPos val="nextTo"/>
        <c:crossAx val="239140864"/>
        <c:crosses val="autoZero"/>
        <c:auto val="1"/>
        <c:lblAlgn val="ctr"/>
        <c:lblOffset val="100"/>
        <c:noMultiLvlLbl val="0"/>
      </c:catAx>
      <c:valAx>
        <c:axId val="239140864"/>
        <c:scaling>
          <c:orientation val="minMax"/>
        </c:scaling>
        <c:delete val="0"/>
        <c:axPos val="l"/>
        <c:majorGridlines>
          <c:spPr>
            <a:ln>
              <a:solidFill>
                <a:schemeClr val="bg1">
                  <a:lumMod val="85000"/>
                </a:schemeClr>
              </a:solidFill>
            </a:ln>
          </c:spPr>
        </c:majorGridlines>
        <c:title>
          <c:tx>
            <c:rich>
              <a:bodyPr rot="-5400000" vert="horz"/>
              <a:lstStyle/>
              <a:p>
                <a:pPr>
                  <a:defRPr/>
                </a:pPr>
                <a:r>
                  <a:rPr lang="en-US"/>
                  <a:t>EUR</a:t>
                </a:r>
                <a:r>
                  <a:rPr lang="sl-SI"/>
                  <a:t> (bruto znesek)</a:t>
                </a:r>
                <a:endParaRPr lang="en-US"/>
              </a:p>
            </c:rich>
          </c:tx>
          <c:layout>
            <c:manualLayout>
              <c:xMode val="edge"/>
              <c:yMode val="edge"/>
              <c:x val="7.7333905468900899E-2"/>
              <c:y val="0.26599955589848301"/>
            </c:manualLayout>
          </c:layout>
          <c:overlay val="0"/>
        </c:title>
        <c:numFmt formatCode="#,##0\ &quot;€&quot;" sourceLinked="1"/>
        <c:majorTickMark val="out"/>
        <c:minorTickMark val="none"/>
        <c:tickLblPos val="nextTo"/>
        <c:spPr>
          <a:ln>
            <a:noFill/>
          </a:ln>
        </c:spPr>
        <c:crossAx val="239126400"/>
        <c:crosses val="autoZero"/>
        <c:crossBetween val="between"/>
      </c:valAx>
      <c:valAx>
        <c:axId val="239142784"/>
        <c:scaling>
          <c:orientation val="minMax"/>
        </c:scaling>
        <c:delete val="0"/>
        <c:axPos val="r"/>
        <c:title>
          <c:tx>
            <c:rich>
              <a:bodyPr rot="-5400000" vert="horz"/>
              <a:lstStyle/>
              <a:p>
                <a:pPr>
                  <a:defRPr/>
                </a:pPr>
                <a:r>
                  <a:rPr lang="en-US"/>
                  <a:t>Indeks 2015-2008</a:t>
                </a:r>
              </a:p>
            </c:rich>
          </c:tx>
          <c:overlay val="0"/>
        </c:title>
        <c:numFmt formatCode="0" sourceLinked="1"/>
        <c:majorTickMark val="out"/>
        <c:minorTickMark val="none"/>
        <c:tickLblPos val="nextTo"/>
        <c:spPr>
          <a:ln>
            <a:noFill/>
          </a:ln>
        </c:spPr>
        <c:crossAx val="239149056"/>
        <c:crosses val="max"/>
        <c:crossBetween val="between"/>
      </c:valAx>
      <c:catAx>
        <c:axId val="239149056"/>
        <c:scaling>
          <c:orientation val="minMax"/>
        </c:scaling>
        <c:delete val="1"/>
        <c:axPos val="b"/>
        <c:numFmt formatCode="General" sourceLinked="0"/>
        <c:majorTickMark val="out"/>
        <c:minorTickMark val="none"/>
        <c:tickLblPos val="nextTo"/>
        <c:crossAx val="239142784"/>
        <c:crosses val="autoZero"/>
        <c:auto val="1"/>
        <c:lblAlgn val="ctr"/>
        <c:lblOffset val="100"/>
        <c:noMultiLvlLbl val="0"/>
      </c:catAx>
      <c:dTable>
        <c:showHorzBorder val="1"/>
        <c:showVertBorder val="1"/>
        <c:showOutline val="1"/>
        <c:showKeys val="1"/>
        <c:spPr>
          <a:ln>
            <a:solidFill>
              <a:schemeClr val="bg1">
                <a:lumMod val="85000"/>
              </a:schemeClr>
            </a:solidFill>
          </a:ln>
        </c:spPr>
      </c:dTable>
    </c:plotArea>
    <c:plotVisOnly val="1"/>
    <c:dispBlanksAs val="gap"/>
    <c:showDLblsOverMax val="0"/>
  </c:chart>
  <c:spPr>
    <a:ln>
      <a:noFill/>
    </a:ln>
  </c:spPr>
  <c:txPr>
    <a:bodyPr/>
    <a:lstStyle/>
    <a:p>
      <a:pPr>
        <a:defRPr sz="800" baseline="0">
          <a:solidFill>
            <a:schemeClr val="bg2">
              <a:lumMod val="25000"/>
            </a:schemeClr>
          </a:solidFill>
        </a:defRPr>
      </a:pPr>
      <a:endParaRPr lang="sl-SI"/>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bar"/>
        <c:grouping val="percentStacked"/>
        <c:varyColors val="0"/>
        <c:ser>
          <c:idx val="0"/>
          <c:order val="0"/>
          <c:tx>
            <c:strRef>
              <c:f>List1!$C$11</c:f>
              <c:strCache>
                <c:ptCount val="1"/>
                <c:pt idx="0">
                  <c:v>več kot 5-krat</c:v>
                </c:pt>
              </c:strCache>
            </c:strRef>
          </c:tx>
          <c:spPr>
            <a:solidFill>
              <a:schemeClr val="accent1"/>
            </a:solidFill>
          </c:spPr>
          <c:invertIfNegative val="0"/>
          <c:dLbls>
            <c:spPr>
              <a:noFill/>
              <a:ln>
                <a:noFill/>
              </a:ln>
              <a:effectLst/>
            </c:spPr>
            <c:txPr>
              <a:bodyPr/>
              <a:lstStyle/>
              <a:p>
                <a:pPr>
                  <a:defRPr baseline="0">
                    <a:solidFill>
                      <a:schemeClr val="bg1"/>
                    </a:solidFill>
                  </a:defRPr>
                </a:pPr>
                <a:endParaRPr lang="sl-SI"/>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List1!$B$12:$B$25</c:f>
              <c:strCache>
                <c:ptCount val="14"/>
                <c:pt idx="0">
                  <c:v>Brali knjigo</c:v>
                </c:pt>
                <c:pt idx="1">
                  <c:v>Obiskali kulturni spomenik ali drugo kulturno znamenitost (gradovi, palače, cerkve, vrtovi …)</c:v>
                </c:pt>
                <c:pt idx="2">
                  <c:v>Gledali ali poslušali kulturni program na TV ali radiu</c:v>
                </c:pt>
                <c:pt idx="3">
                  <c:v>Obiskali javno knjižnico</c:v>
                </c:pt>
                <c:pt idx="4">
                  <c:v>Bili v kinu oz. si ogledali kino predstavo</c:v>
                </c:pt>
                <c:pt idx="5">
                  <c:v>Bili na koncertu</c:v>
                </c:pt>
                <c:pt idx="6">
                  <c:v>Obiskali muzej ali galerijo</c:v>
                </c:pt>
                <c:pt idx="7">
                  <c:v>Bili v gledališču oz. si ogledali gledališko predstavo</c:v>
                </c:pt>
                <c:pt idx="8">
                  <c:v>Si ogledovali arhitekturne znamenitosti, se udeležili dogodka na temo arhitekture</c:v>
                </c:pt>
                <c:pt idx="9">
                  <c:v>Se udeležili dogodka, razstave na temo kulturne dediščine</c:v>
                </c:pt>
                <c:pt idx="10">
                  <c:v>Obiskali literarni dogodek</c:v>
                </c:pt>
                <c:pt idx="11">
                  <c:v>Se udeležili dogodka, razstave na temo oblikovanja</c:v>
                </c:pt>
                <c:pt idx="12">
                  <c:v>Gledali balet, plesno predstavo ali opero</c:v>
                </c:pt>
                <c:pt idx="13">
                  <c:v>Se udeležili okrogle mize, predavanja, druge javne razprave na temo kulture</c:v>
                </c:pt>
              </c:strCache>
            </c:strRef>
          </c:cat>
          <c:val>
            <c:numRef>
              <c:f>List1!$C$12:$C$25</c:f>
              <c:numCache>
                <c:formatCode>General</c:formatCode>
                <c:ptCount val="14"/>
                <c:pt idx="0">
                  <c:v>46</c:v>
                </c:pt>
                <c:pt idx="1">
                  <c:v>17</c:v>
                </c:pt>
                <c:pt idx="2">
                  <c:v>26</c:v>
                </c:pt>
                <c:pt idx="3">
                  <c:v>36</c:v>
                </c:pt>
                <c:pt idx="4">
                  <c:v>12</c:v>
                </c:pt>
                <c:pt idx="5">
                  <c:v>10</c:v>
                </c:pt>
                <c:pt idx="6">
                  <c:v>5</c:v>
                </c:pt>
                <c:pt idx="7">
                  <c:v>4</c:v>
                </c:pt>
                <c:pt idx="8">
                  <c:v>5</c:v>
                </c:pt>
                <c:pt idx="9">
                  <c:v>2</c:v>
                </c:pt>
                <c:pt idx="10">
                  <c:v>2</c:v>
                </c:pt>
                <c:pt idx="11">
                  <c:v>1</c:v>
                </c:pt>
                <c:pt idx="12">
                  <c:v>2</c:v>
                </c:pt>
                <c:pt idx="13">
                  <c:v>1</c:v>
                </c:pt>
              </c:numCache>
            </c:numRef>
          </c:val>
        </c:ser>
        <c:ser>
          <c:idx val="1"/>
          <c:order val="1"/>
          <c:tx>
            <c:strRef>
              <c:f>List1!$D$11</c:f>
              <c:strCache>
                <c:ptCount val="1"/>
                <c:pt idx="0">
                  <c:v>3-5-krat</c:v>
                </c:pt>
              </c:strCache>
            </c:strRef>
          </c:tx>
          <c:spPr>
            <a:solidFill>
              <a:schemeClr val="accent2"/>
            </a:solidFill>
          </c:spPr>
          <c:invertIfNegative val="0"/>
          <c:dLbls>
            <c:spPr>
              <a:noFill/>
              <a:ln>
                <a:noFill/>
              </a:ln>
              <a:effectLst/>
            </c:spPr>
            <c:txPr>
              <a:bodyPr/>
              <a:lstStyle/>
              <a:p>
                <a:pPr>
                  <a:defRPr baseline="0">
                    <a:solidFill>
                      <a:schemeClr val="bg1"/>
                    </a:solidFill>
                  </a:defRPr>
                </a:pPr>
                <a:endParaRPr lang="sl-SI"/>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List1!$B$12:$B$25</c:f>
              <c:strCache>
                <c:ptCount val="14"/>
                <c:pt idx="0">
                  <c:v>Brali knjigo</c:v>
                </c:pt>
                <c:pt idx="1">
                  <c:v>Obiskali kulturni spomenik ali drugo kulturno znamenitost (gradovi, palače, cerkve, vrtovi …)</c:v>
                </c:pt>
                <c:pt idx="2">
                  <c:v>Gledali ali poslušali kulturni program na TV ali radiu</c:v>
                </c:pt>
                <c:pt idx="3">
                  <c:v>Obiskali javno knjižnico</c:v>
                </c:pt>
                <c:pt idx="4">
                  <c:v>Bili v kinu oz. si ogledali kino predstavo</c:v>
                </c:pt>
                <c:pt idx="5">
                  <c:v>Bili na koncertu</c:v>
                </c:pt>
                <c:pt idx="6">
                  <c:v>Obiskali muzej ali galerijo</c:v>
                </c:pt>
                <c:pt idx="7">
                  <c:v>Bili v gledališču oz. si ogledali gledališko predstavo</c:v>
                </c:pt>
                <c:pt idx="8">
                  <c:v>Si ogledovali arhitekturne znamenitosti, se udeležili dogodka na temo arhitekture</c:v>
                </c:pt>
                <c:pt idx="9">
                  <c:v>Se udeležili dogodka, razstave na temo kulturne dediščine</c:v>
                </c:pt>
                <c:pt idx="10">
                  <c:v>Obiskali literarni dogodek</c:v>
                </c:pt>
                <c:pt idx="11">
                  <c:v>Se udeležili dogodka, razstave na temo oblikovanja</c:v>
                </c:pt>
                <c:pt idx="12">
                  <c:v>Gledali balet, plesno predstavo ali opero</c:v>
                </c:pt>
                <c:pt idx="13">
                  <c:v>Se udeležili okrogle mize, predavanja, druge javne razprave na temo kulture</c:v>
                </c:pt>
              </c:strCache>
            </c:strRef>
          </c:cat>
          <c:val>
            <c:numRef>
              <c:f>List1!$D$12:$D$25</c:f>
              <c:numCache>
                <c:formatCode>General</c:formatCode>
                <c:ptCount val="14"/>
                <c:pt idx="0">
                  <c:v>14</c:v>
                </c:pt>
                <c:pt idx="1">
                  <c:v>20</c:v>
                </c:pt>
                <c:pt idx="2">
                  <c:v>12</c:v>
                </c:pt>
                <c:pt idx="3">
                  <c:v>12</c:v>
                </c:pt>
                <c:pt idx="4">
                  <c:v>16</c:v>
                </c:pt>
                <c:pt idx="5">
                  <c:v>13</c:v>
                </c:pt>
                <c:pt idx="6">
                  <c:v>10</c:v>
                </c:pt>
                <c:pt idx="7">
                  <c:v>11</c:v>
                </c:pt>
                <c:pt idx="8">
                  <c:v>6</c:v>
                </c:pt>
                <c:pt idx="9">
                  <c:v>3</c:v>
                </c:pt>
                <c:pt idx="10">
                  <c:v>4</c:v>
                </c:pt>
                <c:pt idx="11">
                  <c:v>2</c:v>
                </c:pt>
                <c:pt idx="12">
                  <c:v>2</c:v>
                </c:pt>
                <c:pt idx="13">
                  <c:v>2</c:v>
                </c:pt>
              </c:numCache>
            </c:numRef>
          </c:val>
        </c:ser>
        <c:ser>
          <c:idx val="2"/>
          <c:order val="2"/>
          <c:tx>
            <c:strRef>
              <c:f>List1!$E$11</c:f>
              <c:strCache>
                <c:ptCount val="1"/>
                <c:pt idx="0">
                  <c:v>1-2-krat</c:v>
                </c:pt>
              </c:strCache>
            </c:strRef>
          </c:tx>
          <c:spPr>
            <a:solidFill>
              <a:schemeClr val="accent3"/>
            </a:solidFill>
          </c:spPr>
          <c:invertIfNegative val="0"/>
          <c:dLbls>
            <c:spPr>
              <a:noFill/>
              <a:ln>
                <a:noFill/>
              </a:ln>
              <a:effectLst/>
            </c:spPr>
            <c:txPr>
              <a:bodyPr/>
              <a:lstStyle/>
              <a:p>
                <a:pPr>
                  <a:defRPr baseline="0">
                    <a:solidFill>
                      <a:schemeClr val="bg1"/>
                    </a:solidFill>
                  </a:defRPr>
                </a:pPr>
                <a:endParaRPr lang="sl-SI"/>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List1!$B$12:$B$25</c:f>
              <c:strCache>
                <c:ptCount val="14"/>
                <c:pt idx="0">
                  <c:v>Brali knjigo</c:v>
                </c:pt>
                <c:pt idx="1">
                  <c:v>Obiskali kulturni spomenik ali drugo kulturno znamenitost (gradovi, palače, cerkve, vrtovi …)</c:v>
                </c:pt>
                <c:pt idx="2">
                  <c:v>Gledali ali poslušali kulturni program na TV ali radiu</c:v>
                </c:pt>
                <c:pt idx="3">
                  <c:v>Obiskali javno knjižnico</c:v>
                </c:pt>
                <c:pt idx="4">
                  <c:v>Bili v kinu oz. si ogledali kino predstavo</c:v>
                </c:pt>
                <c:pt idx="5">
                  <c:v>Bili na koncertu</c:v>
                </c:pt>
                <c:pt idx="6">
                  <c:v>Obiskali muzej ali galerijo</c:v>
                </c:pt>
                <c:pt idx="7">
                  <c:v>Bili v gledališču oz. si ogledali gledališko predstavo</c:v>
                </c:pt>
                <c:pt idx="8">
                  <c:v>Si ogledovali arhitekturne znamenitosti, se udeležili dogodka na temo arhitekture</c:v>
                </c:pt>
                <c:pt idx="9">
                  <c:v>Se udeležili dogodka, razstave na temo kulturne dediščine</c:v>
                </c:pt>
                <c:pt idx="10">
                  <c:v>Obiskali literarni dogodek</c:v>
                </c:pt>
                <c:pt idx="11">
                  <c:v>Se udeležili dogodka, razstave na temo oblikovanja</c:v>
                </c:pt>
                <c:pt idx="12">
                  <c:v>Gledali balet, plesno predstavo ali opero</c:v>
                </c:pt>
                <c:pt idx="13">
                  <c:v>Se udeležili okrogle mize, predavanja, druge javne razprave na temo kulture</c:v>
                </c:pt>
              </c:strCache>
            </c:strRef>
          </c:cat>
          <c:val>
            <c:numRef>
              <c:f>List1!$E$12:$E$25</c:f>
              <c:numCache>
                <c:formatCode>General</c:formatCode>
                <c:ptCount val="14"/>
                <c:pt idx="0">
                  <c:v>19</c:v>
                </c:pt>
                <c:pt idx="1">
                  <c:v>28</c:v>
                </c:pt>
                <c:pt idx="2">
                  <c:v>13</c:v>
                </c:pt>
                <c:pt idx="3">
                  <c:v>17</c:v>
                </c:pt>
                <c:pt idx="4">
                  <c:v>24</c:v>
                </c:pt>
                <c:pt idx="5">
                  <c:v>33</c:v>
                </c:pt>
                <c:pt idx="6">
                  <c:v>30</c:v>
                </c:pt>
                <c:pt idx="7">
                  <c:v>20</c:v>
                </c:pt>
                <c:pt idx="8">
                  <c:v>16</c:v>
                </c:pt>
                <c:pt idx="9">
                  <c:v>13</c:v>
                </c:pt>
                <c:pt idx="10">
                  <c:v>11</c:v>
                </c:pt>
                <c:pt idx="11">
                  <c:v>8</c:v>
                </c:pt>
                <c:pt idx="12">
                  <c:v>11</c:v>
                </c:pt>
                <c:pt idx="13">
                  <c:v>3</c:v>
                </c:pt>
              </c:numCache>
            </c:numRef>
          </c:val>
        </c:ser>
        <c:ser>
          <c:idx val="3"/>
          <c:order val="3"/>
          <c:tx>
            <c:strRef>
              <c:f>List1!$F$11</c:f>
              <c:strCache>
                <c:ptCount val="1"/>
                <c:pt idx="0">
                  <c:v>Brez točne navedbe</c:v>
                </c:pt>
              </c:strCache>
            </c:strRef>
          </c:tx>
          <c:spPr>
            <a:solidFill>
              <a:schemeClr val="accent4"/>
            </a:solidFill>
          </c:spPr>
          <c:invertIfNegative val="0"/>
          <c:dLbls>
            <c:spPr>
              <a:noFill/>
              <a:ln>
                <a:noFill/>
              </a:ln>
              <a:effectLst/>
            </c:spPr>
            <c:txPr>
              <a:bodyPr/>
              <a:lstStyle/>
              <a:p>
                <a:pPr>
                  <a:defRPr baseline="0">
                    <a:solidFill>
                      <a:schemeClr val="bg1"/>
                    </a:solidFill>
                  </a:defRPr>
                </a:pPr>
                <a:endParaRPr lang="sl-SI"/>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List1!$B$12:$B$25</c:f>
              <c:strCache>
                <c:ptCount val="14"/>
                <c:pt idx="0">
                  <c:v>Brali knjigo</c:v>
                </c:pt>
                <c:pt idx="1">
                  <c:v>Obiskali kulturni spomenik ali drugo kulturno znamenitost (gradovi, palače, cerkve, vrtovi …)</c:v>
                </c:pt>
                <c:pt idx="2">
                  <c:v>Gledali ali poslušali kulturni program na TV ali radiu</c:v>
                </c:pt>
                <c:pt idx="3">
                  <c:v>Obiskali javno knjižnico</c:v>
                </c:pt>
                <c:pt idx="4">
                  <c:v>Bili v kinu oz. si ogledali kino predstavo</c:v>
                </c:pt>
                <c:pt idx="5">
                  <c:v>Bili na koncertu</c:v>
                </c:pt>
                <c:pt idx="6">
                  <c:v>Obiskali muzej ali galerijo</c:v>
                </c:pt>
                <c:pt idx="7">
                  <c:v>Bili v gledališču oz. si ogledali gledališko predstavo</c:v>
                </c:pt>
                <c:pt idx="8">
                  <c:v>Si ogledovali arhitekturne znamenitosti, se udeležili dogodka na temo arhitekture</c:v>
                </c:pt>
                <c:pt idx="9">
                  <c:v>Se udeležili dogodka, razstave na temo kulturne dediščine</c:v>
                </c:pt>
                <c:pt idx="10">
                  <c:v>Obiskali literarni dogodek</c:v>
                </c:pt>
                <c:pt idx="11">
                  <c:v>Se udeležili dogodka, razstave na temo oblikovanja</c:v>
                </c:pt>
                <c:pt idx="12">
                  <c:v>Gledali balet, plesno predstavo ali opero</c:v>
                </c:pt>
                <c:pt idx="13">
                  <c:v>Se udeležili okrogle mize, predavanja, druge javne razprave na temo kulture</c:v>
                </c:pt>
              </c:strCache>
            </c:strRef>
          </c:cat>
          <c:val>
            <c:numRef>
              <c:f>List1!$F$12:$F$25</c:f>
              <c:numCache>
                <c:formatCode>General</c:formatCode>
                <c:ptCount val="14"/>
                <c:pt idx="0">
                  <c:v>4</c:v>
                </c:pt>
                <c:pt idx="1">
                  <c:v>8</c:v>
                </c:pt>
                <c:pt idx="2">
                  <c:v>18</c:v>
                </c:pt>
                <c:pt idx="3">
                  <c:v>2</c:v>
                </c:pt>
                <c:pt idx="4">
                  <c:v>10</c:v>
                </c:pt>
                <c:pt idx="5">
                  <c:v>5</c:v>
                </c:pt>
                <c:pt idx="6">
                  <c:v>3</c:v>
                </c:pt>
                <c:pt idx="7">
                  <c:v>12</c:v>
                </c:pt>
                <c:pt idx="8">
                  <c:v>13</c:v>
                </c:pt>
                <c:pt idx="9">
                  <c:v>17</c:v>
                </c:pt>
                <c:pt idx="10">
                  <c:v>14</c:v>
                </c:pt>
                <c:pt idx="11">
                  <c:v>15</c:v>
                </c:pt>
                <c:pt idx="12">
                  <c:v>6</c:v>
                </c:pt>
                <c:pt idx="13">
                  <c:v>10</c:v>
                </c:pt>
              </c:numCache>
            </c:numRef>
          </c:val>
        </c:ser>
        <c:ser>
          <c:idx val="4"/>
          <c:order val="4"/>
          <c:tx>
            <c:strRef>
              <c:f>List1!$G$11</c:f>
              <c:strCache>
                <c:ptCount val="1"/>
                <c:pt idx="0">
                  <c:v>Nisem v zadnjih 12 mesecih</c:v>
                </c:pt>
              </c:strCache>
            </c:strRef>
          </c:tx>
          <c:spPr>
            <a:solidFill>
              <a:schemeClr val="accent6"/>
            </a:solidFill>
          </c:spPr>
          <c:invertIfNegative val="0"/>
          <c:dLbls>
            <c:spPr>
              <a:noFill/>
              <a:ln>
                <a:noFill/>
              </a:ln>
              <a:effectLst/>
            </c:spPr>
            <c:txPr>
              <a:bodyPr/>
              <a:lstStyle/>
              <a:p>
                <a:pPr>
                  <a:defRPr baseline="0">
                    <a:solidFill>
                      <a:schemeClr val="bg1"/>
                    </a:solidFill>
                  </a:defRPr>
                </a:pPr>
                <a:endParaRPr lang="sl-SI"/>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List1!$B$12:$B$25</c:f>
              <c:strCache>
                <c:ptCount val="14"/>
                <c:pt idx="0">
                  <c:v>Brali knjigo</c:v>
                </c:pt>
                <c:pt idx="1">
                  <c:v>Obiskali kulturni spomenik ali drugo kulturno znamenitost (gradovi, palače, cerkve, vrtovi …)</c:v>
                </c:pt>
                <c:pt idx="2">
                  <c:v>Gledali ali poslušali kulturni program na TV ali radiu</c:v>
                </c:pt>
                <c:pt idx="3">
                  <c:v>Obiskali javno knjižnico</c:v>
                </c:pt>
                <c:pt idx="4">
                  <c:v>Bili v kinu oz. si ogledali kino predstavo</c:v>
                </c:pt>
                <c:pt idx="5">
                  <c:v>Bili na koncertu</c:v>
                </c:pt>
                <c:pt idx="6">
                  <c:v>Obiskali muzej ali galerijo</c:v>
                </c:pt>
                <c:pt idx="7">
                  <c:v>Bili v gledališču oz. si ogledali gledališko predstavo</c:v>
                </c:pt>
                <c:pt idx="8">
                  <c:v>Si ogledovali arhitekturne znamenitosti, se udeležili dogodka na temo arhitekture</c:v>
                </c:pt>
                <c:pt idx="9">
                  <c:v>Se udeležili dogodka, razstave na temo kulturne dediščine</c:v>
                </c:pt>
                <c:pt idx="10">
                  <c:v>Obiskali literarni dogodek</c:v>
                </c:pt>
                <c:pt idx="11">
                  <c:v>Se udeležili dogodka, razstave na temo oblikovanja</c:v>
                </c:pt>
                <c:pt idx="12">
                  <c:v>Gledali balet, plesno predstavo ali opero</c:v>
                </c:pt>
                <c:pt idx="13">
                  <c:v>Se udeležili okrogle mize, predavanja, druge javne razprave na temo kulture</c:v>
                </c:pt>
              </c:strCache>
            </c:strRef>
          </c:cat>
          <c:val>
            <c:numRef>
              <c:f>List1!$G$12:$G$25</c:f>
              <c:numCache>
                <c:formatCode>General</c:formatCode>
                <c:ptCount val="14"/>
                <c:pt idx="0">
                  <c:v>17</c:v>
                </c:pt>
                <c:pt idx="1">
                  <c:v>27</c:v>
                </c:pt>
                <c:pt idx="2">
                  <c:v>31</c:v>
                </c:pt>
                <c:pt idx="3">
                  <c:v>33</c:v>
                </c:pt>
                <c:pt idx="4">
                  <c:v>39</c:v>
                </c:pt>
                <c:pt idx="5">
                  <c:v>40</c:v>
                </c:pt>
                <c:pt idx="6">
                  <c:v>51</c:v>
                </c:pt>
                <c:pt idx="7">
                  <c:v>53</c:v>
                </c:pt>
                <c:pt idx="8">
                  <c:v>59</c:v>
                </c:pt>
                <c:pt idx="9">
                  <c:v>65</c:v>
                </c:pt>
                <c:pt idx="10">
                  <c:v>70</c:v>
                </c:pt>
                <c:pt idx="11">
                  <c:v>75</c:v>
                </c:pt>
                <c:pt idx="12">
                  <c:v>79</c:v>
                </c:pt>
                <c:pt idx="13">
                  <c:v>84</c:v>
                </c:pt>
              </c:numCache>
            </c:numRef>
          </c:val>
        </c:ser>
        <c:dLbls>
          <c:showLegendKey val="0"/>
          <c:showVal val="1"/>
          <c:showCatName val="0"/>
          <c:showSerName val="0"/>
          <c:showPercent val="0"/>
          <c:showBubbleSize val="0"/>
        </c:dLbls>
        <c:gapWidth val="75"/>
        <c:overlap val="100"/>
        <c:axId val="214053248"/>
        <c:axId val="214054784"/>
      </c:barChart>
      <c:catAx>
        <c:axId val="214053248"/>
        <c:scaling>
          <c:orientation val="minMax"/>
        </c:scaling>
        <c:delete val="0"/>
        <c:axPos val="l"/>
        <c:numFmt formatCode="General" sourceLinked="0"/>
        <c:majorTickMark val="none"/>
        <c:minorTickMark val="none"/>
        <c:tickLblPos val="nextTo"/>
        <c:crossAx val="214054784"/>
        <c:crosses val="autoZero"/>
        <c:auto val="1"/>
        <c:lblAlgn val="ctr"/>
        <c:lblOffset val="100"/>
        <c:noMultiLvlLbl val="0"/>
      </c:catAx>
      <c:valAx>
        <c:axId val="214054784"/>
        <c:scaling>
          <c:orientation val="minMax"/>
        </c:scaling>
        <c:delete val="0"/>
        <c:axPos val="b"/>
        <c:numFmt formatCode="0%" sourceLinked="1"/>
        <c:majorTickMark val="none"/>
        <c:minorTickMark val="none"/>
        <c:tickLblPos val="nextTo"/>
        <c:crossAx val="214053248"/>
        <c:crosses val="autoZero"/>
        <c:crossBetween val="between"/>
      </c:valAx>
    </c:plotArea>
    <c:legend>
      <c:legendPos val="b"/>
      <c:overlay val="0"/>
      <c:txPr>
        <a:bodyPr/>
        <a:lstStyle/>
        <a:p>
          <a:pPr>
            <a:defRPr sz="700" baseline="0"/>
          </a:pPr>
          <a:endParaRPr lang="sl-SI"/>
        </a:p>
      </c:txPr>
    </c:legend>
    <c:plotVisOnly val="1"/>
    <c:dispBlanksAs val="gap"/>
    <c:showDLblsOverMax val="0"/>
  </c:chart>
  <c:spPr>
    <a:ln>
      <a:noFill/>
    </a:ln>
  </c:spPr>
  <c:txPr>
    <a:bodyPr/>
    <a:lstStyle/>
    <a:p>
      <a:pPr>
        <a:defRPr sz="800" baseline="0">
          <a:solidFill>
            <a:schemeClr val="bg2">
              <a:lumMod val="25000"/>
            </a:schemeClr>
          </a:solidFill>
        </a:defRPr>
      </a:pPr>
      <a:endParaRPr lang="sl-SI"/>
    </a:p>
  </c:txPr>
  <c:externalData r:id="rId1">
    <c:autoUpdate val="0"/>
  </c:externalData>
</c:chartSpace>
</file>

<file path=word/charts/chart40.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'Osnovni zbirnik'!$B$15</c:f>
              <c:strCache>
                <c:ptCount val="1"/>
                <c:pt idx="0">
                  <c:v>2002</c:v>
                </c:pt>
              </c:strCache>
            </c:strRef>
          </c:tx>
          <c:invertIfNegative val="0"/>
          <c:cat>
            <c:strRef>
              <c:f>'Osnovni zbirnik'!$A$16:$A$24</c:f>
              <c:strCache>
                <c:ptCount val="9"/>
                <c:pt idx="0">
                  <c:v>Glasba</c:v>
                </c:pt>
                <c:pt idx="1">
                  <c:v>Ples in gledališče</c:v>
                </c:pt>
                <c:pt idx="2">
                  <c:v>Večpodročni</c:v>
                </c:pt>
                <c:pt idx="3">
                  <c:v>Film</c:v>
                </c:pt>
                <c:pt idx="4">
                  <c:v>Novi mediji in vizualne umetnosti</c:v>
                </c:pt>
                <c:pt idx="5">
                  <c:v>Knjiga</c:v>
                </c:pt>
                <c:pt idx="6">
                  <c:v>Arhitektura in oblikovanje</c:v>
                </c:pt>
                <c:pt idx="7">
                  <c:v>Kulturna dediščina</c:v>
                </c:pt>
                <c:pt idx="8">
                  <c:v>Manjšinske etnične skupnosti</c:v>
                </c:pt>
              </c:strCache>
            </c:strRef>
          </c:cat>
          <c:val>
            <c:numRef>
              <c:f>'Osnovni zbirnik'!$B$16:$B$24</c:f>
              <c:numCache>
                <c:formatCode>General</c:formatCode>
                <c:ptCount val="9"/>
                <c:pt idx="0">
                  <c:v>20</c:v>
                </c:pt>
                <c:pt idx="1">
                  <c:v>14</c:v>
                </c:pt>
                <c:pt idx="2">
                  <c:v>6</c:v>
                </c:pt>
                <c:pt idx="3">
                  <c:v>4</c:v>
                </c:pt>
                <c:pt idx="4">
                  <c:v>5</c:v>
                </c:pt>
                <c:pt idx="5">
                  <c:v>3</c:v>
                </c:pt>
                <c:pt idx="6">
                  <c:v>3</c:v>
                </c:pt>
                <c:pt idx="7">
                  <c:v>0</c:v>
                </c:pt>
                <c:pt idx="8">
                  <c:v>3</c:v>
                </c:pt>
              </c:numCache>
            </c:numRef>
          </c:val>
        </c:ser>
        <c:ser>
          <c:idx val="1"/>
          <c:order val="1"/>
          <c:tx>
            <c:strRef>
              <c:f>'Osnovni zbirnik'!$C$15</c:f>
              <c:strCache>
                <c:ptCount val="1"/>
                <c:pt idx="0">
                  <c:v>2015</c:v>
                </c:pt>
              </c:strCache>
            </c:strRef>
          </c:tx>
          <c:invertIfNegative val="0"/>
          <c:cat>
            <c:strRef>
              <c:f>'Osnovni zbirnik'!$A$16:$A$24</c:f>
              <c:strCache>
                <c:ptCount val="9"/>
                <c:pt idx="0">
                  <c:v>Glasba</c:v>
                </c:pt>
                <c:pt idx="1">
                  <c:v>Ples in gledališče</c:v>
                </c:pt>
                <c:pt idx="2">
                  <c:v>Večpodročni</c:v>
                </c:pt>
                <c:pt idx="3">
                  <c:v>Film</c:v>
                </c:pt>
                <c:pt idx="4">
                  <c:v>Novi mediji in vizualne umetnosti</c:v>
                </c:pt>
                <c:pt idx="5">
                  <c:v>Knjiga</c:v>
                </c:pt>
                <c:pt idx="6">
                  <c:v>Arhitektura in oblikovanje</c:v>
                </c:pt>
                <c:pt idx="7">
                  <c:v>Kulturna dediščina</c:v>
                </c:pt>
                <c:pt idx="8">
                  <c:v>Manjšinske etnične skupnosti</c:v>
                </c:pt>
              </c:strCache>
            </c:strRef>
          </c:cat>
          <c:val>
            <c:numRef>
              <c:f>'Osnovni zbirnik'!$C$16:$C$24</c:f>
              <c:numCache>
                <c:formatCode>General</c:formatCode>
                <c:ptCount val="9"/>
                <c:pt idx="0">
                  <c:v>40</c:v>
                </c:pt>
                <c:pt idx="1">
                  <c:v>21</c:v>
                </c:pt>
                <c:pt idx="2">
                  <c:v>3</c:v>
                </c:pt>
                <c:pt idx="3">
                  <c:v>15</c:v>
                </c:pt>
                <c:pt idx="4">
                  <c:v>16</c:v>
                </c:pt>
                <c:pt idx="5">
                  <c:v>15</c:v>
                </c:pt>
                <c:pt idx="6">
                  <c:v>6</c:v>
                </c:pt>
                <c:pt idx="7">
                  <c:v>0</c:v>
                </c:pt>
                <c:pt idx="8">
                  <c:v>8</c:v>
                </c:pt>
              </c:numCache>
            </c:numRef>
          </c:val>
        </c:ser>
        <c:dLbls>
          <c:showLegendKey val="0"/>
          <c:showVal val="0"/>
          <c:showCatName val="0"/>
          <c:showSerName val="0"/>
          <c:showPercent val="0"/>
          <c:showBubbleSize val="0"/>
        </c:dLbls>
        <c:gapWidth val="150"/>
        <c:axId val="238813568"/>
        <c:axId val="239361408"/>
      </c:barChart>
      <c:lineChart>
        <c:grouping val="standard"/>
        <c:varyColors val="0"/>
        <c:ser>
          <c:idx val="2"/>
          <c:order val="2"/>
          <c:tx>
            <c:strRef>
              <c:f>'Osnovni zbirnik'!$D$15</c:f>
              <c:strCache>
                <c:ptCount val="1"/>
                <c:pt idx="0">
                  <c:v>Indeks 2015-2002</c:v>
                </c:pt>
              </c:strCache>
            </c:strRef>
          </c:tx>
          <c:spPr>
            <a:ln>
              <a:noFill/>
            </a:ln>
          </c:spPr>
          <c:marker>
            <c:symbol val="square"/>
            <c:size val="5"/>
            <c:spPr>
              <a:solidFill>
                <a:schemeClr val="tx1"/>
              </a:solidFill>
              <a:ln>
                <a:solidFill>
                  <a:schemeClr val="tx1"/>
                </a:solidFill>
              </a:ln>
            </c:spPr>
          </c:marker>
          <c:cat>
            <c:strRef>
              <c:f>'Osnovni zbirnik'!$A$16:$A$24</c:f>
              <c:strCache>
                <c:ptCount val="9"/>
                <c:pt idx="0">
                  <c:v>Glasba</c:v>
                </c:pt>
                <c:pt idx="1">
                  <c:v>Ples in gledališče</c:v>
                </c:pt>
                <c:pt idx="2">
                  <c:v>Večpodročni</c:v>
                </c:pt>
                <c:pt idx="3">
                  <c:v>Film</c:v>
                </c:pt>
                <c:pt idx="4">
                  <c:v>Novi mediji in vizualne umetnosti</c:v>
                </c:pt>
                <c:pt idx="5">
                  <c:v>Knjiga</c:v>
                </c:pt>
                <c:pt idx="6">
                  <c:v>Arhitektura in oblikovanje</c:v>
                </c:pt>
                <c:pt idx="7">
                  <c:v>Kulturna dediščina</c:v>
                </c:pt>
                <c:pt idx="8">
                  <c:v>Manjšinske etnične skupnosti</c:v>
                </c:pt>
              </c:strCache>
            </c:strRef>
          </c:cat>
          <c:val>
            <c:numRef>
              <c:f>'Osnovni zbirnik'!$D$16:$D$24</c:f>
              <c:numCache>
                <c:formatCode>0</c:formatCode>
                <c:ptCount val="9"/>
                <c:pt idx="0">
                  <c:v>200</c:v>
                </c:pt>
                <c:pt idx="1">
                  <c:v>150</c:v>
                </c:pt>
                <c:pt idx="2">
                  <c:v>50</c:v>
                </c:pt>
                <c:pt idx="3">
                  <c:v>375</c:v>
                </c:pt>
                <c:pt idx="4">
                  <c:v>320</c:v>
                </c:pt>
                <c:pt idx="5">
                  <c:v>500</c:v>
                </c:pt>
                <c:pt idx="6">
                  <c:v>200</c:v>
                </c:pt>
                <c:pt idx="8">
                  <c:v>266.66666666666669</c:v>
                </c:pt>
              </c:numCache>
            </c:numRef>
          </c:val>
          <c:smooth val="0"/>
        </c:ser>
        <c:dLbls>
          <c:showLegendKey val="0"/>
          <c:showVal val="0"/>
          <c:showCatName val="0"/>
          <c:showSerName val="0"/>
          <c:showPercent val="0"/>
          <c:showBubbleSize val="0"/>
        </c:dLbls>
        <c:marker val="1"/>
        <c:smooth val="0"/>
        <c:axId val="238827008"/>
        <c:axId val="238816640"/>
      </c:lineChart>
      <c:catAx>
        <c:axId val="238813568"/>
        <c:scaling>
          <c:orientation val="minMax"/>
        </c:scaling>
        <c:delete val="0"/>
        <c:axPos val="b"/>
        <c:numFmt formatCode="General" sourceLinked="0"/>
        <c:majorTickMark val="out"/>
        <c:minorTickMark val="none"/>
        <c:tickLblPos val="nextTo"/>
        <c:crossAx val="239361408"/>
        <c:crosses val="autoZero"/>
        <c:auto val="1"/>
        <c:lblAlgn val="ctr"/>
        <c:lblOffset val="100"/>
        <c:noMultiLvlLbl val="0"/>
      </c:catAx>
      <c:valAx>
        <c:axId val="239361408"/>
        <c:scaling>
          <c:orientation val="minMax"/>
        </c:scaling>
        <c:delete val="0"/>
        <c:axPos val="l"/>
        <c:majorGridlines>
          <c:spPr>
            <a:ln>
              <a:solidFill>
                <a:schemeClr val="bg1">
                  <a:lumMod val="75000"/>
                </a:schemeClr>
              </a:solidFill>
            </a:ln>
          </c:spPr>
        </c:majorGridlines>
        <c:title>
          <c:tx>
            <c:rich>
              <a:bodyPr rot="-5400000" vert="horz"/>
              <a:lstStyle/>
              <a:p>
                <a:pPr>
                  <a:defRPr/>
                </a:pPr>
                <a:r>
                  <a:rPr lang="en-US"/>
                  <a:t>Število festivalov</a:t>
                </a:r>
              </a:p>
            </c:rich>
          </c:tx>
          <c:layout>
            <c:manualLayout>
              <c:xMode val="edge"/>
              <c:yMode val="edge"/>
              <c:x val="8.8985760514231196E-2"/>
              <c:y val="0.113452537182852"/>
            </c:manualLayout>
          </c:layout>
          <c:overlay val="0"/>
        </c:title>
        <c:numFmt formatCode="General" sourceLinked="1"/>
        <c:majorTickMark val="out"/>
        <c:minorTickMark val="none"/>
        <c:tickLblPos val="nextTo"/>
        <c:spPr>
          <a:ln>
            <a:noFill/>
          </a:ln>
        </c:spPr>
        <c:crossAx val="238813568"/>
        <c:crosses val="autoZero"/>
        <c:crossBetween val="between"/>
      </c:valAx>
      <c:valAx>
        <c:axId val="238816640"/>
        <c:scaling>
          <c:orientation val="minMax"/>
        </c:scaling>
        <c:delete val="0"/>
        <c:axPos val="r"/>
        <c:title>
          <c:tx>
            <c:rich>
              <a:bodyPr rot="-5400000" vert="horz"/>
              <a:lstStyle/>
              <a:p>
                <a:pPr>
                  <a:defRPr/>
                </a:pPr>
                <a:r>
                  <a:rPr lang="sl-SI"/>
                  <a:t>Indeks 2015-2002</a:t>
                </a:r>
              </a:p>
            </c:rich>
          </c:tx>
          <c:layout>
            <c:manualLayout>
              <c:xMode val="edge"/>
              <c:yMode val="edge"/>
              <c:x val="0.94787489063867003"/>
              <c:y val="0.109274569845436"/>
            </c:manualLayout>
          </c:layout>
          <c:overlay val="0"/>
        </c:title>
        <c:numFmt formatCode="0" sourceLinked="1"/>
        <c:majorTickMark val="out"/>
        <c:minorTickMark val="none"/>
        <c:tickLblPos val="nextTo"/>
        <c:spPr>
          <a:ln>
            <a:noFill/>
          </a:ln>
        </c:spPr>
        <c:crossAx val="238827008"/>
        <c:crosses val="max"/>
        <c:crossBetween val="between"/>
      </c:valAx>
      <c:catAx>
        <c:axId val="238827008"/>
        <c:scaling>
          <c:orientation val="minMax"/>
        </c:scaling>
        <c:delete val="1"/>
        <c:axPos val="b"/>
        <c:numFmt formatCode="General" sourceLinked="0"/>
        <c:majorTickMark val="out"/>
        <c:minorTickMark val="none"/>
        <c:tickLblPos val="nextTo"/>
        <c:crossAx val="238816640"/>
        <c:crosses val="autoZero"/>
        <c:auto val="1"/>
        <c:lblAlgn val="ctr"/>
        <c:lblOffset val="100"/>
        <c:noMultiLvlLbl val="0"/>
      </c:catAx>
      <c:dTable>
        <c:showHorzBorder val="1"/>
        <c:showVertBorder val="1"/>
        <c:showOutline val="1"/>
        <c:showKeys val="1"/>
        <c:spPr>
          <a:ln>
            <a:solidFill>
              <a:schemeClr val="bg1">
                <a:lumMod val="75000"/>
              </a:schemeClr>
            </a:solidFill>
          </a:ln>
        </c:spPr>
        <c:txPr>
          <a:bodyPr/>
          <a:lstStyle/>
          <a:p>
            <a:pPr rtl="0">
              <a:defRPr sz="700" baseline="0"/>
            </a:pPr>
            <a:endParaRPr lang="sl-SI"/>
          </a:p>
        </c:txPr>
      </c:dTable>
    </c:plotArea>
    <c:plotVisOnly val="1"/>
    <c:dispBlanksAs val="gap"/>
    <c:showDLblsOverMax val="0"/>
  </c:chart>
  <c:spPr>
    <a:ln>
      <a:noFill/>
    </a:ln>
  </c:spPr>
  <c:txPr>
    <a:bodyPr/>
    <a:lstStyle/>
    <a:p>
      <a:pPr>
        <a:defRPr sz="800" baseline="0">
          <a:solidFill>
            <a:schemeClr val="bg2">
              <a:lumMod val="25000"/>
            </a:schemeClr>
          </a:solidFill>
        </a:defRPr>
      </a:pPr>
      <a:endParaRPr lang="sl-SI"/>
    </a:p>
  </c:txPr>
  <c:externalData r:id="rId1">
    <c:autoUpdate val="0"/>
  </c:externalData>
</c:chartSpace>
</file>

<file path=word/charts/chart41.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strRef>
              <c:f>SAMOZAPOSLENI!$A$6</c:f>
              <c:strCache>
                <c:ptCount val="1"/>
                <c:pt idx="0">
                  <c:v>Število samozaposlenih</c:v>
                </c:pt>
              </c:strCache>
            </c:strRef>
          </c:tx>
          <c:spPr>
            <a:ln w="19050"/>
          </c:spPr>
          <c:marker>
            <c:symbol val="square"/>
            <c:size val="5"/>
          </c:marker>
          <c:dLbls>
            <c:delete val="1"/>
          </c:dLbls>
          <c:cat>
            <c:strRef>
              <c:f>SAMOZAPOSLENI!$B$5:$J$5</c:f>
              <c:strCache>
                <c:ptCount val="9"/>
                <c:pt idx="0">
                  <c:v>2008</c:v>
                </c:pt>
                <c:pt idx="1">
                  <c:v>2009</c:v>
                </c:pt>
                <c:pt idx="2">
                  <c:v>2010</c:v>
                </c:pt>
                <c:pt idx="3">
                  <c:v>2011</c:v>
                </c:pt>
                <c:pt idx="4">
                  <c:v>2012</c:v>
                </c:pt>
                <c:pt idx="5">
                  <c:v>2013</c:v>
                </c:pt>
                <c:pt idx="6">
                  <c:v>2014</c:v>
                </c:pt>
                <c:pt idx="7">
                  <c:v>2015</c:v>
                </c:pt>
                <c:pt idx="8">
                  <c:v>2016</c:v>
                </c:pt>
              </c:strCache>
            </c:strRef>
          </c:cat>
          <c:val>
            <c:numRef>
              <c:f>SAMOZAPOSLENI!$B$6:$J$6</c:f>
              <c:numCache>
                <c:formatCode>General</c:formatCode>
                <c:ptCount val="9"/>
                <c:pt idx="0">
                  <c:v>2405</c:v>
                </c:pt>
                <c:pt idx="1">
                  <c:v>2334</c:v>
                </c:pt>
                <c:pt idx="2">
                  <c:v>2368</c:v>
                </c:pt>
                <c:pt idx="3">
                  <c:v>2393</c:v>
                </c:pt>
                <c:pt idx="4">
                  <c:v>2316</c:v>
                </c:pt>
                <c:pt idx="5">
                  <c:v>2252</c:v>
                </c:pt>
                <c:pt idx="6">
                  <c:v>2296</c:v>
                </c:pt>
                <c:pt idx="7">
                  <c:v>2464</c:v>
                </c:pt>
                <c:pt idx="8">
                  <c:v>2635</c:v>
                </c:pt>
              </c:numCache>
            </c:numRef>
          </c:val>
          <c:smooth val="0"/>
        </c:ser>
        <c:ser>
          <c:idx val="1"/>
          <c:order val="1"/>
          <c:tx>
            <c:strRef>
              <c:f>SAMOZAPOSLENI!$A$7</c:f>
              <c:strCache>
                <c:ptCount val="1"/>
                <c:pt idx="0">
                  <c:v>Število samozaposlenih s pravico do plačila socialnih prispevkov</c:v>
                </c:pt>
              </c:strCache>
            </c:strRef>
          </c:tx>
          <c:spPr>
            <a:ln w="19050"/>
          </c:spPr>
          <c:marker>
            <c:symbol val="square"/>
            <c:size val="5"/>
          </c:marker>
          <c:dLbls>
            <c:delete val="1"/>
          </c:dLbls>
          <c:cat>
            <c:strRef>
              <c:f>SAMOZAPOSLENI!$B$5:$J$5</c:f>
              <c:strCache>
                <c:ptCount val="9"/>
                <c:pt idx="0">
                  <c:v>2008</c:v>
                </c:pt>
                <c:pt idx="1">
                  <c:v>2009</c:v>
                </c:pt>
                <c:pt idx="2">
                  <c:v>2010</c:v>
                </c:pt>
                <c:pt idx="3">
                  <c:v>2011</c:v>
                </c:pt>
                <c:pt idx="4">
                  <c:v>2012</c:v>
                </c:pt>
                <c:pt idx="5">
                  <c:v>2013</c:v>
                </c:pt>
                <c:pt idx="6">
                  <c:v>2014</c:v>
                </c:pt>
                <c:pt idx="7">
                  <c:v>2015</c:v>
                </c:pt>
                <c:pt idx="8">
                  <c:v>2016</c:v>
                </c:pt>
              </c:strCache>
            </c:strRef>
          </c:cat>
          <c:val>
            <c:numRef>
              <c:f>SAMOZAPOSLENI!$B$7:$J$7</c:f>
              <c:numCache>
                <c:formatCode>General</c:formatCode>
                <c:ptCount val="9"/>
                <c:pt idx="0">
                  <c:v>1470</c:v>
                </c:pt>
                <c:pt idx="1">
                  <c:v>1218</c:v>
                </c:pt>
                <c:pt idx="2">
                  <c:v>1262</c:v>
                </c:pt>
                <c:pt idx="3">
                  <c:v>1382</c:v>
                </c:pt>
                <c:pt idx="4">
                  <c:v>1407</c:v>
                </c:pt>
                <c:pt idx="5">
                  <c:v>1389</c:v>
                </c:pt>
                <c:pt idx="6">
                  <c:v>1478</c:v>
                </c:pt>
                <c:pt idx="7">
                  <c:v>1693</c:v>
                </c:pt>
                <c:pt idx="8">
                  <c:v>1910</c:v>
                </c:pt>
              </c:numCache>
            </c:numRef>
          </c:val>
          <c:smooth val="0"/>
        </c:ser>
        <c:dLbls>
          <c:showLegendKey val="0"/>
          <c:showVal val="1"/>
          <c:showCatName val="0"/>
          <c:showSerName val="0"/>
          <c:showPercent val="0"/>
          <c:showBubbleSize val="0"/>
        </c:dLbls>
        <c:marker val="1"/>
        <c:smooth val="0"/>
        <c:axId val="239371776"/>
        <c:axId val="239373312"/>
      </c:lineChart>
      <c:lineChart>
        <c:grouping val="standard"/>
        <c:varyColors val="0"/>
        <c:ser>
          <c:idx val="2"/>
          <c:order val="2"/>
          <c:tx>
            <c:strRef>
              <c:f>SAMOZAPOSLENI!$A$8</c:f>
              <c:strCache>
                <c:ptCount val="1"/>
                <c:pt idx="0">
                  <c:v>Sredstva za socialne prispevke</c:v>
                </c:pt>
              </c:strCache>
            </c:strRef>
          </c:tx>
          <c:spPr>
            <a:ln w="19050"/>
          </c:spPr>
          <c:marker>
            <c:symbol val="circle"/>
            <c:size val="5"/>
          </c:marker>
          <c:dLbls>
            <c:delete val="1"/>
          </c:dLbls>
          <c:cat>
            <c:strRef>
              <c:f>SAMOZAPOSLENI!$B$5:$J$5</c:f>
              <c:strCache>
                <c:ptCount val="9"/>
                <c:pt idx="0">
                  <c:v>2008</c:v>
                </c:pt>
                <c:pt idx="1">
                  <c:v>2009</c:v>
                </c:pt>
                <c:pt idx="2">
                  <c:v>2010</c:v>
                </c:pt>
                <c:pt idx="3">
                  <c:v>2011</c:v>
                </c:pt>
                <c:pt idx="4">
                  <c:v>2012</c:v>
                </c:pt>
                <c:pt idx="5">
                  <c:v>2013</c:v>
                </c:pt>
                <c:pt idx="6">
                  <c:v>2014</c:v>
                </c:pt>
                <c:pt idx="7">
                  <c:v>2015</c:v>
                </c:pt>
                <c:pt idx="8">
                  <c:v>2016</c:v>
                </c:pt>
              </c:strCache>
            </c:strRef>
          </c:cat>
          <c:val>
            <c:numRef>
              <c:f>SAMOZAPOSLENI!$B$8:$J$8</c:f>
              <c:numCache>
                <c:formatCode>#,##0.00</c:formatCode>
                <c:ptCount val="9"/>
                <c:pt idx="0">
                  <c:v>4.79</c:v>
                </c:pt>
                <c:pt idx="1">
                  <c:v>4.55</c:v>
                </c:pt>
                <c:pt idx="2">
                  <c:v>4.87</c:v>
                </c:pt>
                <c:pt idx="3">
                  <c:v>5.47</c:v>
                </c:pt>
                <c:pt idx="4">
                  <c:v>5.77</c:v>
                </c:pt>
                <c:pt idx="5">
                  <c:v>5.6199999999999957</c:v>
                </c:pt>
                <c:pt idx="6">
                  <c:v>5.9</c:v>
                </c:pt>
                <c:pt idx="7">
                  <c:v>6.6</c:v>
                </c:pt>
                <c:pt idx="8">
                  <c:v>7.45</c:v>
                </c:pt>
              </c:numCache>
            </c:numRef>
          </c:val>
          <c:smooth val="0"/>
        </c:ser>
        <c:dLbls>
          <c:showLegendKey val="0"/>
          <c:showVal val="1"/>
          <c:showCatName val="0"/>
          <c:showSerName val="0"/>
          <c:showPercent val="0"/>
          <c:showBubbleSize val="0"/>
        </c:dLbls>
        <c:marker val="1"/>
        <c:smooth val="0"/>
        <c:axId val="239868928"/>
        <c:axId val="239867008"/>
      </c:lineChart>
      <c:catAx>
        <c:axId val="239371776"/>
        <c:scaling>
          <c:orientation val="minMax"/>
        </c:scaling>
        <c:delete val="0"/>
        <c:axPos val="b"/>
        <c:numFmt formatCode="General" sourceLinked="0"/>
        <c:majorTickMark val="none"/>
        <c:minorTickMark val="none"/>
        <c:tickLblPos val="nextTo"/>
        <c:crossAx val="239373312"/>
        <c:crosses val="autoZero"/>
        <c:auto val="1"/>
        <c:lblAlgn val="ctr"/>
        <c:lblOffset val="100"/>
        <c:noMultiLvlLbl val="0"/>
      </c:catAx>
      <c:valAx>
        <c:axId val="239373312"/>
        <c:scaling>
          <c:orientation val="minMax"/>
        </c:scaling>
        <c:delete val="0"/>
        <c:axPos val="l"/>
        <c:majorGridlines>
          <c:spPr>
            <a:ln>
              <a:solidFill>
                <a:sysClr val="window" lastClr="FFFFFF">
                  <a:lumMod val="85000"/>
                </a:sysClr>
              </a:solidFill>
            </a:ln>
          </c:spPr>
        </c:majorGridlines>
        <c:title>
          <c:tx>
            <c:rich>
              <a:bodyPr/>
              <a:lstStyle/>
              <a:p>
                <a:pPr>
                  <a:defRPr/>
                </a:pPr>
                <a:r>
                  <a:rPr lang="sl-SI"/>
                  <a:t>Število </a:t>
                </a:r>
              </a:p>
            </c:rich>
          </c:tx>
          <c:layout>
            <c:manualLayout>
              <c:xMode val="edge"/>
              <c:yMode val="edge"/>
              <c:x val="0.22997539438172199"/>
              <c:y val="0.37924718025111698"/>
            </c:manualLayout>
          </c:layout>
          <c:overlay val="0"/>
        </c:title>
        <c:numFmt formatCode="#,##0" sourceLinked="0"/>
        <c:majorTickMark val="none"/>
        <c:minorTickMark val="none"/>
        <c:tickLblPos val="nextTo"/>
        <c:spPr>
          <a:ln w="9525">
            <a:noFill/>
            <a:prstDash val="solid"/>
            <a:headEnd type="none" w="sm" len="sm"/>
          </a:ln>
        </c:spPr>
        <c:crossAx val="239371776"/>
        <c:crosses val="autoZero"/>
        <c:crossBetween val="between"/>
      </c:valAx>
      <c:valAx>
        <c:axId val="239867008"/>
        <c:scaling>
          <c:orientation val="minMax"/>
        </c:scaling>
        <c:delete val="0"/>
        <c:axPos val="r"/>
        <c:title>
          <c:tx>
            <c:rich>
              <a:bodyPr rot="-5400000" vert="horz"/>
              <a:lstStyle/>
              <a:p>
                <a:pPr>
                  <a:defRPr/>
                </a:pPr>
                <a:r>
                  <a:rPr lang="sl-SI"/>
                  <a:t>Milijoni EUR</a:t>
                </a:r>
              </a:p>
            </c:rich>
          </c:tx>
          <c:overlay val="0"/>
        </c:title>
        <c:numFmt formatCode="0.00" sourceLinked="0"/>
        <c:majorTickMark val="out"/>
        <c:minorTickMark val="none"/>
        <c:tickLblPos val="nextTo"/>
        <c:spPr>
          <a:ln>
            <a:noFill/>
          </a:ln>
        </c:spPr>
        <c:crossAx val="239868928"/>
        <c:crosses val="max"/>
        <c:crossBetween val="between"/>
      </c:valAx>
      <c:catAx>
        <c:axId val="239868928"/>
        <c:scaling>
          <c:orientation val="minMax"/>
        </c:scaling>
        <c:delete val="1"/>
        <c:axPos val="b"/>
        <c:numFmt formatCode="General" sourceLinked="0"/>
        <c:majorTickMark val="out"/>
        <c:minorTickMark val="none"/>
        <c:tickLblPos val="nextTo"/>
        <c:crossAx val="239867008"/>
        <c:crosses val="autoZero"/>
        <c:auto val="1"/>
        <c:lblAlgn val="ctr"/>
        <c:lblOffset val="100"/>
        <c:noMultiLvlLbl val="0"/>
      </c:catAx>
      <c:dTable>
        <c:showHorzBorder val="1"/>
        <c:showVertBorder val="1"/>
        <c:showOutline val="1"/>
        <c:showKeys val="1"/>
        <c:spPr>
          <a:ln>
            <a:solidFill>
              <a:sysClr val="window" lastClr="FFFFFF">
                <a:lumMod val="85000"/>
              </a:sysClr>
            </a:solidFill>
          </a:ln>
        </c:spPr>
      </c:dTable>
    </c:plotArea>
    <c:plotVisOnly val="1"/>
    <c:dispBlanksAs val="gap"/>
    <c:showDLblsOverMax val="0"/>
  </c:chart>
  <c:spPr>
    <a:ln>
      <a:noFill/>
    </a:ln>
  </c:spPr>
  <c:txPr>
    <a:bodyPr/>
    <a:lstStyle/>
    <a:p>
      <a:pPr>
        <a:defRPr sz="800" baseline="0">
          <a:solidFill>
            <a:schemeClr val="bg2">
              <a:lumMod val="25000"/>
            </a:schemeClr>
          </a:solidFill>
        </a:defRPr>
      </a:pPr>
      <a:endParaRPr lang="sl-SI"/>
    </a:p>
  </c:txPr>
  <c:externalData r:id="rId2">
    <c:autoUpdate val="0"/>
  </c:externalData>
</c:chartSpace>
</file>

<file path=word/charts/chart42.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'[Grafikon v programu Microsoft Word]Graf'!$B$54</c:f>
              <c:strCache>
                <c:ptCount val="1"/>
                <c:pt idx="0">
                  <c:v>Sredstva za plačilo socialnih prispevkov (skupaj, 7,45 milj. EUR)</c:v>
                </c:pt>
              </c:strCache>
            </c:strRef>
          </c:tx>
          <c:invertIfNegative val="0"/>
          <c:cat>
            <c:strRef>
              <c:f>'[Grafikon v programu Microsoft Word]Graf'!$A$55:$A$63</c:f>
              <c:strCache>
                <c:ptCount val="9"/>
                <c:pt idx="0">
                  <c:v>Arhit. in oblik.</c:v>
                </c:pt>
                <c:pt idx="1">
                  <c:v>Upriz. umet.</c:v>
                </c:pt>
                <c:pt idx="2">
                  <c:v>Viz. umet.</c:v>
                </c:pt>
                <c:pt idx="3">
                  <c:v>Glasba</c:v>
                </c:pt>
                <c:pt idx="4">
                  <c:v>Knjiga</c:v>
                </c:pt>
                <c:pt idx="5">
                  <c:v>AV in mediji</c:v>
                </c:pt>
                <c:pt idx="6">
                  <c:v>Več kot 1 področ.</c:v>
                </c:pt>
                <c:pt idx="7">
                  <c:v>Intermed. umet.</c:v>
                </c:pt>
                <c:pt idx="8">
                  <c:v>Kult. Ded.</c:v>
                </c:pt>
              </c:strCache>
            </c:strRef>
          </c:cat>
          <c:val>
            <c:numRef>
              <c:f>'[Grafikon v programu Microsoft Word]Graf'!$B$55:$B$63</c:f>
              <c:numCache>
                <c:formatCode>0.00</c:formatCode>
                <c:ptCount val="9"/>
                <c:pt idx="0">
                  <c:v>1.74516074750831</c:v>
                </c:pt>
                <c:pt idx="1">
                  <c:v>1.34909589700997</c:v>
                </c:pt>
                <c:pt idx="2">
                  <c:v>1.3408445459579199</c:v>
                </c:pt>
                <c:pt idx="3">
                  <c:v>1.16344049833887</c:v>
                </c:pt>
                <c:pt idx="4">
                  <c:v>0.70136483942414196</c:v>
                </c:pt>
                <c:pt idx="5">
                  <c:v>0.58584592469546004</c:v>
                </c:pt>
                <c:pt idx="6">
                  <c:v>0.34655674418604698</c:v>
                </c:pt>
                <c:pt idx="7">
                  <c:v>0.14027296788482799</c:v>
                </c:pt>
                <c:pt idx="8">
                  <c:v>7.8387834994462904E-2</c:v>
                </c:pt>
              </c:numCache>
            </c:numRef>
          </c:val>
        </c:ser>
        <c:dLbls>
          <c:showLegendKey val="0"/>
          <c:showVal val="0"/>
          <c:showCatName val="0"/>
          <c:showSerName val="0"/>
          <c:showPercent val="0"/>
          <c:showBubbleSize val="0"/>
        </c:dLbls>
        <c:gapWidth val="150"/>
        <c:axId val="239925120"/>
        <c:axId val="239926656"/>
      </c:barChart>
      <c:lineChart>
        <c:grouping val="standard"/>
        <c:varyColors val="0"/>
        <c:ser>
          <c:idx val="1"/>
          <c:order val="1"/>
          <c:tx>
            <c:strRef>
              <c:f>'[Grafikon v programu Microsoft Word]Graf'!$C$54</c:f>
              <c:strCache>
                <c:ptCount val="1"/>
                <c:pt idx="0">
                  <c:v>Odstotek, ki ga predstavlja področje v skupnem št. samozaposlenih s pravico do plačila socialnih prispevkov iz proračuna</c:v>
                </c:pt>
              </c:strCache>
            </c:strRef>
          </c:tx>
          <c:spPr>
            <a:ln>
              <a:noFill/>
            </a:ln>
          </c:spPr>
          <c:marker>
            <c:symbol val="circle"/>
            <c:size val="5"/>
          </c:marker>
          <c:cat>
            <c:strRef>
              <c:f>'[Grafikon v programu Microsoft Word]Graf'!$A$55:$A$63</c:f>
              <c:strCache>
                <c:ptCount val="9"/>
                <c:pt idx="0">
                  <c:v>Arhit. in oblik.</c:v>
                </c:pt>
                <c:pt idx="1">
                  <c:v>Upriz. umet.</c:v>
                </c:pt>
                <c:pt idx="2">
                  <c:v>Viz. umet.</c:v>
                </c:pt>
                <c:pt idx="3">
                  <c:v>Glasba</c:v>
                </c:pt>
                <c:pt idx="4">
                  <c:v>Knjiga</c:v>
                </c:pt>
                <c:pt idx="5">
                  <c:v>AV in mediji</c:v>
                </c:pt>
                <c:pt idx="6">
                  <c:v>Več kot 1 področ.</c:v>
                </c:pt>
                <c:pt idx="7">
                  <c:v>Intermed. umet.</c:v>
                </c:pt>
                <c:pt idx="8">
                  <c:v>Kult. Ded.</c:v>
                </c:pt>
              </c:strCache>
            </c:strRef>
          </c:cat>
          <c:val>
            <c:numRef>
              <c:f>'[Grafikon v programu Microsoft Word]Graf'!$C$55:$C$63</c:f>
              <c:numCache>
                <c:formatCode>0</c:formatCode>
                <c:ptCount val="9"/>
                <c:pt idx="0">
                  <c:v>23</c:v>
                </c:pt>
                <c:pt idx="1">
                  <c:v>18</c:v>
                </c:pt>
                <c:pt idx="2">
                  <c:v>18</c:v>
                </c:pt>
                <c:pt idx="3">
                  <c:v>16</c:v>
                </c:pt>
                <c:pt idx="4">
                  <c:v>9</c:v>
                </c:pt>
                <c:pt idx="5">
                  <c:v>8</c:v>
                </c:pt>
                <c:pt idx="6">
                  <c:v>5</c:v>
                </c:pt>
                <c:pt idx="7">
                  <c:v>2</c:v>
                </c:pt>
                <c:pt idx="8">
                  <c:v>1</c:v>
                </c:pt>
              </c:numCache>
            </c:numRef>
          </c:val>
          <c:smooth val="0"/>
        </c:ser>
        <c:dLbls>
          <c:showLegendKey val="0"/>
          <c:showVal val="0"/>
          <c:showCatName val="0"/>
          <c:showSerName val="0"/>
          <c:showPercent val="0"/>
          <c:showBubbleSize val="0"/>
        </c:dLbls>
        <c:marker val="1"/>
        <c:smooth val="0"/>
        <c:axId val="239803776"/>
        <c:axId val="239801856"/>
      </c:lineChart>
      <c:catAx>
        <c:axId val="239925120"/>
        <c:scaling>
          <c:orientation val="minMax"/>
        </c:scaling>
        <c:delete val="0"/>
        <c:axPos val="b"/>
        <c:numFmt formatCode="General" sourceLinked="0"/>
        <c:majorTickMark val="out"/>
        <c:minorTickMark val="none"/>
        <c:tickLblPos val="nextTo"/>
        <c:crossAx val="239926656"/>
        <c:crosses val="autoZero"/>
        <c:auto val="1"/>
        <c:lblAlgn val="ctr"/>
        <c:lblOffset val="100"/>
        <c:noMultiLvlLbl val="0"/>
      </c:catAx>
      <c:valAx>
        <c:axId val="239926656"/>
        <c:scaling>
          <c:orientation val="minMax"/>
        </c:scaling>
        <c:delete val="0"/>
        <c:axPos val="l"/>
        <c:majorGridlines>
          <c:spPr>
            <a:ln>
              <a:solidFill>
                <a:sysClr val="window" lastClr="FFFFFF">
                  <a:lumMod val="85000"/>
                </a:sysClr>
              </a:solidFill>
            </a:ln>
          </c:spPr>
        </c:majorGridlines>
        <c:title>
          <c:tx>
            <c:rich>
              <a:bodyPr rot="-5400000" vert="horz"/>
              <a:lstStyle/>
              <a:p>
                <a:pPr>
                  <a:defRPr/>
                </a:pPr>
                <a:r>
                  <a:rPr lang="en-US"/>
                  <a:t>Milijoni EUR</a:t>
                </a:r>
              </a:p>
            </c:rich>
          </c:tx>
          <c:layout>
            <c:manualLayout>
              <c:xMode val="edge"/>
              <c:yMode val="edge"/>
              <c:x val="0.25047188826830202"/>
              <c:y val="0.24520207721833401"/>
            </c:manualLayout>
          </c:layout>
          <c:overlay val="0"/>
        </c:title>
        <c:numFmt formatCode="0.00" sourceLinked="1"/>
        <c:majorTickMark val="out"/>
        <c:minorTickMark val="none"/>
        <c:tickLblPos val="nextTo"/>
        <c:spPr>
          <a:ln>
            <a:noFill/>
          </a:ln>
        </c:spPr>
        <c:crossAx val="239925120"/>
        <c:crosses val="autoZero"/>
        <c:crossBetween val="between"/>
      </c:valAx>
      <c:valAx>
        <c:axId val="239801856"/>
        <c:scaling>
          <c:orientation val="minMax"/>
        </c:scaling>
        <c:delete val="0"/>
        <c:axPos val="r"/>
        <c:title>
          <c:tx>
            <c:rich>
              <a:bodyPr rot="-5400000" vert="horz"/>
              <a:lstStyle/>
              <a:p>
                <a:pPr>
                  <a:defRPr/>
                </a:pPr>
                <a:r>
                  <a:rPr lang="sl-SI"/>
                  <a:t>%</a:t>
                </a:r>
              </a:p>
            </c:rich>
          </c:tx>
          <c:layout>
            <c:manualLayout>
              <c:xMode val="edge"/>
              <c:yMode val="edge"/>
              <c:x val="0.94947187943368805"/>
              <c:y val="0.21120516185476801"/>
            </c:manualLayout>
          </c:layout>
          <c:overlay val="0"/>
        </c:title>
        <c:numFmt formatCode="0" sourceLinked="1"/>
        <c:majorTickMark val="out"/>
        <c:minorTickMark val="none"/>
        <c:tickLblPos val="nextTo"/>
        <c:spPr>
          <a:ln>
            <a:noFill/>
          </a:ln>
        </c:spPr>
        <c:crossAx val="239803776"/>
        <c:crosses val="max"/>
        <c:crossBetween val="between"/>
      </c:valAx>
      <c:catAx>
        <c:axId val="239803776"/>
        <c:scaling>
          <c:orientation val="minMax"/>
        </c:scaling>
        <c:delete val="1"/>
        <c:axPos val="b"/>
        <c:numFmt formatCode="General" sourceLinked="0"/>
        <c:majorTickMark val="out"/>
        <c:minorTickMark val="none"/>
        <c:tickLblPos val="nextTo"/>
        <c:crossAx val="239801856"/>
        <c:crosses val="autoZero"/>
        <c:auto val="1"/>
        <c:lblAlgn val="ctr"/>
        <c:lblOffset val="100"/>
        <c:noMultiLvlLbl val="0"/>
      </c:catAx>
      <c:dTable>
        <c:showHorzBorder val="1"/>
        <c:showVertBorder val="1"/>
        <c:showOutline val="1"/>
        <c:showKeys val="1"/>
        <c:spPr>
          <a:ln>
            <a:solidFill>
              <a:sysClr val="window" lastClr="FFFFFF">
                <a:lumMod val="85000"/>
              </a:sysClr>
            </a:solidFill>
          </a:ln>
        </c:spPr>
      </c:dTable>
    </c:plotArea>
    <c:plotVisOnly val="1"/>
    <c:dispBlanksAs val="gap"/>
    <c:showDLblsOverMax val="0"/>
  </c:chart>
  <c:spPr>
    <a:ln>
      <a:noFill/>
    </a:ln>
  </c:spPr>
  <c:txPr>
    <a:bodyPr/>
    <a:lstStyle/>
    <a:p>
      <a:pPr>
        <a:defRPr sz="800" baseline="0">
          <a:solidFill>
            <a:schemeClr val="bg2">
              <a:lumMod val="25000"/>
            </a:schemeClr>
          </a:solidFill>
        </a:defRPr>
      </a:pPr>
      <a:endParaRPr lang="sl-SI"/>
    </a:p>
  </c:txPr>
  <c:externalData r:id="rId2">
    <c:autoUpdate val="0"/>
  </c:externalData>
</c:chartSpace>
</file>

<file path=word/charts/chart43.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1"/>
          <c:order val="1"/>
          <c:tx>
            <c:strRef>
              <c:f>List1!$A$5</c:f>
              <c:strCache>
                <c:ptCount val="1"/>
                <c:pt idx="0">
                  <c:v>sredstva za izplačana nadomestila</c:v>
                </c:pt>
              </c:strCache>
            </c:strRef>
          </c:tx>
          <c:spPr>
            <a:solidFill>
              <a:schemeClr val="accent1"/>
            </a:solidFill>
            <a:ln>
              <a:solidFill>
                <a:schemeClr val="accent1"/>
              </a:solidFill>
            </a:ln>
          </c:spPr>
          <c:invertIfNegative val="0"/>
          <c:cat>
            <c:numRef>
              <c:f>List1!$B$3:$D$3</c:f>
              <c:numCache>
                <c:formatCode>General</c:formatCode>
                <c:ptCount val="3"/>
                <c:pt idx="0">
                  <c:v>2014</c:v>
                </c:pt>
                <c:pt idx="1">
                  <c:v>2015</c:v>
                </c:pt>
                <c:pt idx="2">
                  <c:v>2016</c:v>
                </c:pt>
              </c:numCache>
            </c:numRef>
          </c:cat>
          <c:val>
            <c:numRef>
              <c:f>List1!$B$5:$D$5</c:f>
              <c:numCache>
                <c:formatCode>#,##0.00</c:formatCode>
                <c:ptCount val="3"/>
                <c:pt idx="0">
                  <c:v>15900</c:v>
                </c:pt>
                <c:pt idx="1">
                  <c:v>13920</c:v>
                </c:pt>
                <c:pt idx="2">
                  <c:v>15590</c:v>
                </c:pt>
              </c:numCache>
            </c:numRef>
          </c:val>
        </c:ser>
        <c:dLbls>
          <c:showLegendKey val="0"/>
          <c:showVal val="0"/>
          <c:showCatName val="0"/>
          <c:showSerName val="0"/>
          <c:showPercent val="0"/>
          <c:showBubbleSize val="0"/>
        </c:dLbls>
        <c:gapWidth val="150"/>
        <c:axId val="239845376"/>
        <c:axId val="239843200"/>
      </c:barChart>
      <c:lineChart>
        <c:grouping val="standard"/>
        <c:varyColors val="0"/>
        <c:ser>
          <c:idx val="0"/>
          <c:order val="0"/>
          <c:tx>
            <c:strRef>
              <c:f>List1!$A$4</c:f>
              <c:strCache>
                <c:ptCount val="1"/>
                <c:pt idx="0">
                  <c:v>število izplačanih nadomestil</c:v>
                </c:pt>
              </c:strCache>
            </c:strRef>
          </c:tx>
          <c:spPr>
            <a:ln w="19050">
              <a:solidFill>
                <a:schemeClr val="accent2"/>
              </a:solidFill>
            </a:ln>
          </c:spPr>
          <c:marker>
            <c:symbol val="none"/>
          </c:marker>
          <c:cat>
            <c:numRef>
              <c:f>List1!$B$3:$D$3</c:f>
              <c:numCache>
                <c:formatCode>General</c:formatCode>
                <c:ptCount val="3"/>
                <c:pt idx="0">
                  <c:v>2014</c:v>
                </c:pt>
                <c:pt idx="1">
                  <c:v>2015</c:v>
                </c:pt>
                <c:pt idx="2">
                  <c:v>2016</c:v>
                </c:pt>
              </c:numCache>
            </c:numRef>
          </c:cat>
          <c:val>
            <c:numRef>
              <c:f>List1!$B$4:$D$4</c:f>
              <c:numCache>
                <c:formatCode>General</c:formatCode>
                <c:ptCount val="3"/>
                <c:pt idx="0">
                  <c:v>33</c:v>
                </c:pt>
                <c:pt idx="1">
                  <c:v>20</c:v>
                </c:pt>
                <c:pt idx="2">
                  <c:v>30</c:v>
                </c:pt>
              </c:numCache>
            </c:numRef>
          </c:val>
          <c:smooth val="0"/>
        </c:ser>
        <c:dLbls>
          <c:showLegendKey val="0"/>
          <c:showVal val="0"/>
          <c:showCatName val="0"/>
          <c:showSerName val="0"/>
          <c:showPercent val="0"/>
          <c:showBubbleSize val="0"/>
        </c:dLbls>
        <c:marker val="1"/>
        <c:smooth val="0"/>
        <c:axId val="239841664"/>
        <c:axId val="239835392"/>
      </c:lineChart>
      <c:valAx>
        <c:axId val="239835392"/>
        <c:scaling>
          <c:orientation val="minMax"/>
        </c:scaling>
        <c:delete val="0"/>
        <c:axPos val="r"/>
        <c:majorGridlines>
          <c:spPr>
            <a:ln>
              <a:solidFill>
                <a:sysClr val="window" lastClr="FFFFFF">
                  <a:lumMod val="85000"/>
                </a:sysClr>
              </a:solidFill>
            </a:ln>
          </c:spPr>
        </c:majorGridlines>
        <c:title>
          <c:tx>
            <c:rich>
              <a:bodyPr/>
              <a:lstStyle/>
              <a:p>
                <a:pPr>
                  <a:defRPr/>
                </a:pPr>
                <a:r>
                  <a:rPr lang="sl-SI"/>
                  <a:t>število nadomestil</a:t>
                </a:r>
              </a:p>
            </c:rich>
          </c:tx>
          <c:layout>
            <c:manualLayout>
              <c:xMode val="edge"/>
              <c:yMode val="edge"/>
              <c:x val="0.95501072933180298"/>
              <c:y val="0.26172280548264798"/>
            </c:manualLayout>
          </c:layout>
          <c:overlay val="0"/>
        </c:title>
        <c:numFmt formatCode="General" sourceLinked="1"/>
        <c:majorTickMark val="none"/>
        <c:minorTickMark val="none"/>
        <c:tickLblPos val="nextTo"/>
        <c:spPr>
          <a:ln>
            <a:noFill/>
          </a:ln>
        </c:spPr>
        <c:crossAx val="239841664"/>
        <c:crosses val="max"/>
        <c:crossBetween val="between"/>
      </c:valAx>
      <c:catAx>
        <c:axId val="239841664"/>
        <c:scaling>
          <c:orientation val="minMax"/>
        </c:scaling>
        <c:delete val="0"/>
        <c:axPos val="b"/>
        <c:numFmt formatCode="General" sourceLinked="1"/>
        <c:majorTickMark val="none"/>
        <c:minorTickMark val="none"/>
        <c:tickLblPos val="nextTo"/>
        <c:crossAx val="239835392"/>
        <c:crosses val="autoZero"/>
        <c:auto val="1"/>
        <c:lblAlgn val="ctr"/>
        <c:lblOffset val="100"/>
        <c:noMultiLvlLbl val="0"/>
      </c:catAx>
      <c:valAx>
        <c:axId val="239843200"/>
        <c:scaling>
          <c:orientation val="minMax"/>
        </c:scaling>
        <c:delete val="0"/>
        <c:axPos val="l"/>
        <c:title>
          <c:tx>
            <c:rich>
              <a:bodyPr rot="-5400000" vert="horz"/>
              <a:lstStyle/>
              <a:p>
                <a:pPr>
                  <a:defRPr/>
                </a:pPr>
                <a:r>
                  <a:rPr lang="sl-SI"/>
                  <a:t>EUR</a:t>
                </a:r>
              </a:p>
              <a:p>
                <a:pPr>
                  <a:defRPr/>
                </a:pPr>
                <a:endParaRPr lang="sl-SI"/>
              </a:p>
            </c:rich>
          </c:tx>
          <c:layout>
            <c:manualLayout>
              <c:xMode val="edge"/>
              <c:yMode val="edge"/>
              <c:x val="0.184649610678532"/>
              <c:y val="0.36987678623505399"/>
            </c:manualLayout>
          </c:layout>
          <c:overlay val="0"/>
        </c:title>
        <c:numFmt formatCode="#,##0.00" sourceLinked="1"/>
        <c:majorTickMark val="out"/>
        <c:minorTickMark val="none"/>
        <c:tickLblPos val="nextTo"/>
        <c:spPr>
          <a:ln>
            <a:noFill/>
          </a:ln>
        </c:spPr>
        <c:crossAx val="239845376"/>
        <c:crosses val="autoZero"/>
        <c:crossBetween val="between"/>
      </c:valAx>
      <c:catAx>
        <c:axId val="239845376"/>
        <c:scaling>
          <c:orientation val="minMax"/>
        </c:scaling>
        <c:delete val="1"/>
        <c:axPos val="b"/>
        <c:numFmt formatCode="General" sourceLinked="1"/>
        <c:majorTickMark val="out"/>
        <c:minorTickMark val="none"/>
        <c:tickLblPos val="nextTo"/>
        <c:crossAx val="239843200"/>
        <c:crosses val="autoZero"/>
        <c:auto val="1"/>
        <c:lblAlgn val="ctr"/>
        <c:lblOffset val="100"/>
        <c:noMultiLvlLbl val="0"/>
      </c:catAx>
      <c:dTable>
        <c:showHorzBorder val="1"/>
        <c:showVertBorder val="1"/>
        <c:showOutline val="1"/>
        <c:showKeys val="1"/>
        <c:spPr>
          <a:ln>
            <a:solidFill>
              <a:sysClr val="window" lastClr="FFFFFF">
                <a:lumMod val="85000"/>
              </a:sysClr>
            </a:solidFill>
          </a:ln>
        </c:spPr>
      </c:dTable>
    </c:plotArea>
    <c:plotVisOnly val="1"/>
    <c:dispBlanksAs val="gap"/>
    <c:showDLblsOverMax val="0"/>
  </c:chart>
  <c:spPr>
    <a:ln>
      <a:noFill/>
    </a:ln>
  </c:spPr>
  <c:txPr>
    <a:bodyPr/>
    <a:lstStyle/>
    <a:p>
      <a:pPr>
        <a:defRPr sz="800" baseline="0">
          <a:solidFill>
            <a:schemeClr val="bg2">
              <a:lumMod val="25000"/>
            </a:schemeClr>
          </a:solidFill>
        </a:defRPr>
      </a:pPr>
      <a:endParaRPr lang="sl-SI"/>
    </a:p>
  </c:txPr>
  <c:externalData r:id="rId1">
    <c:autoUpdate val="0"/>
  </c:externalData>
</c:chartSpace>
</file>

<file path=word/charts/chart44.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List1!$B$1</c:f>
              <c:strCache>
                <c:ptCount val="1"/>
                <c:pt idx="0">
                  <c:v>Vsota</c:v>
                </c:pt>
              </c:strCache>
            </c:strRef>
          </c:tx>
          <c:invertIfNegative val="0"/>
          <c:cat>
            <c:strRef>
              <c:f>List1!$A$2:$A$10</c:f>
              <c:strCache>
                <c:ptCount val="9"/>
                <c:pt idx="0">
                  <c:v>2008</c:v>
                </c:pt>
                <c:pt idx="1">
                  <c:v>2009</c:v>
                </c:pt>
                <c:pt idx="2">
                  <c:v>2010</c:v>
                </c:pt>
                <c:pt idx="3">
                  <c:v>2011</c:v>
                </c:pt>
                <c:pt idx="4">
                  <c:v>2012</c:v>
                </c:pt>
                <c:pt idx="5">
                  <c:v>2013</c:v>
                </c:pt>
                <c:pt idx="6">
                  <c:v>2014</c:v>
                </c:pt>
                <c:pt idx="7">
                  <c:v>2015</c:v>
                </c:pt>
                <c:pt idx="8">
                  <c:v>2016</c:v>
                </c:pt>
              </c:strCache>
            </c:strRef>
          </c:cat>
          <c:val>
            <c:numRef>
              <c:f>List1!$B$2:$B$10</c:f>
              <c:numCache>
                <c:formatCode>#,##0\ _€</c:formatCode>
                <c:ptCount val="9"/>
                <c:pt idx="0">
                  <c:v>340282</c:v>
                </c:pt>
                <c:pt idx="1">
                  <c:v>340547</c:v>
                </c:pt>
                <c:pt idx="2">
                  <c:v>415281</c:v>
                </c:pt>
                <c:pt idx="3">
                  <c:v>400000</c:v>
                </c:pt>
                <c:pt idx="4">
                  <c:v>518507</c:v>
                </c:pt>
                <c:pt idx="5">
                  <c:v>559668</c:v>
                </c:pt>
                <c:pt idx="6">
                  <c:v>590000</c:v>
                </c:pt>
                <c:pt idx="7">
                  <c:v>627018</c:v>
                </c:pt>
                <c:pt idx="8">
                  <c:v>653739</c:v>
                </c:pt>
              </c:numCache>
            </c:numRef>
          </c:val>
        </c:ser>
        <c:dLbls>
          <c:showLegendKey val="0"/>
          <c:showVal val="0"/>
          <c:showCatName val="0"/>
          <c:showSerName val="0"/>
          <c:showPercent val="0"/>
          <c:showBubbleSize val="0"/>
        </c:dLbls>
        <c:gapWidth val="150"/>
        <c:axId val="239938176"/>
        <c:axId val="239939968"/>
      </c:barChart>
      <c:lineChart>
        <c:grouping val="standard"/>
        <c:varyColors val="0"/>
        <c:ser>
          <c:idx val="1"/>
          <c:order val="1"/>
          <c:tx>
            <c:strRef>
              <c:f>List1!$C$1</c:f>
              <c:strCache>
                <c:ptCount val="1"/>
                <c:pt idx="0">
                  <c:v>Število prejemnikov</c:v>
                </c:pt>
              </c:strCache>
            </c:strRef>
          </c:tx>
          <c:marker>
            <c:symbol val="none"/>
          </c:marker>
          <c:cat>
            <c:strRef>
              <c:f>List1!$A$2:$A$10</c:f>
              <c:strCache>
                <c:ptCount val="9"/>
                <c:pt idx="0">
                  <c:v>2008</c:v>
                </c:pt>
                <c:pt idx="1">
                  <c:v>2009</c:v>
                </c:pt>
                <c:pt idx="2">
                  <c:v>2010</c:v>
                </c:pt>
                <c:pt idx="3">
                  <c:v>2011</c:v>
                </c:pt>
                <c:pt idx="4">
                  <c:v>2012</c:v>
                </c:pt>
                <c:pt idx="5">
                  <c:v>2013</c:v>
                </c:pt>
                <c:pt idx="6">
                  <c:v>2014</c:v>
                </c:pt>
                <c:pt idx="7">
                  <c:v>2015</c:v>
                </c:pt>
                <c:pt idx="8">
                  <c:v>2016</c:v>
                </c:pt>
              </c:strCache>
            </c:strRef>
          </c:cat>
          <c:val>
            <c:numRef>
              <c:f>List1!$C$2:$C$10</c:f>
              <c:numCache>
                <c:formatCode>General</c:formatCode>
                <c:ptCount val="9"/>
                <c:pt idx="0">
                  <c:v>83</c:v>
                </c:pt>
                <c:pt idx="1">
                  <c:v>97</c:v>
                </c:pt>
                <c:pt idx="2">
                  <c:v>109</c:v>
                </c:pt>
                <c:pt idx="3">
                  <c:v>124</c:v>
                </c:pt>
                <c:pt idx="4">
                  <c:v>139</c:v>
                </c:pt>
                <c:pt idx="5">
                  <c:v>151</c:v>
                </c:pt>
                <c:pt idx="6">
                  <c:v>162</c:v>
                </c:pt>
                <c:pt idx="7">
                  <c:v>167</c:v>
                </c:pt>
                <c:pt idx="8">
                  <c:v>177</c:v>
                </c:pt>
              </c:numCache>
            </c:numRef>
          </c:val>
          <c:smooth val="0"/>
        </c:ser>
        <c:dLbls>
          <c:showLegendKey val="0"/>
          <c:showVal val="0"/>
          <c:showCatName val="0"/>
          <c:showSerName val="0"/>
          <c:showPercent val="0"/>
          <c:showBubbleSize val="0"/>
        </c:dLbls>
        <c:marker val="1"/>
        <c:smooth val="0"/>
        <c:axId val="239944064"/>
        <c:axId val="239941888"/>
      </c:lineChart>
      <c:catAx>
        <c:axId val="239938176"/>
        <c:scaling>
          <c:orientation val="minMax"/>
        </c:scaling>
        <c:delete val="0"/>
        <c:axPos val="b"/>
        <c:numFmt formatCode="General" sourceLinked="0"/>
        <c:majorTickMark val="none"/>
        <c:minorTickMark val="none"/>
        <c:tickLblPos val="nextTo"/>
        <c:crossAx val="239939968"/>
        <c:crosses val="autoZero"/>
        <c:auto val="1"/>
        <c:lblAlgn val="ctr"/>
        <c:lblOffset val="100"/>
        <c:noMultiLvlLbl val="0"/>
      </c:catAx>
      <c:valAx>
        <c:axId val="239939968"/>
        <c:scaling>
          <c:orientation val="minMax"/>
        </c:scaling>
        <c:delete val="0"/>
        <c:axPos val="l"/>
        <c:majorGridlines>
          <c:spPr>
            <a:ln>
              <a:solidFill>
                <a:sysClr val="window" lastClr="FFFFFF">
                  <a:lumMod val="85000"/>
                </a:sysClr>
              </a:solidFill>
            </a:ln>
          </c:spPr>
        </c:majorGridlines>
        <c:title>
          <c:tx>
            <c:rich>
              <a:bodyPr/>
              <a:lstStyle/>
              <a:p>
                <a:pPr>
                  <a:defRPr/>
                </a:pPr>
                <a:r>
                  <a:rPr lang="sl-SI"/>
                  <a:t>EUR</a:t>
                </a:r>
              </a:p>
            </c:rich>
          </c:tx>
          <c:layout>
            <c:manualLayout>
              <c:xMode val="edge"/>
              <c:yMode val="edge"/>
              <c:x val="8.0576759966072997E-2"/>
              <c:y val="0.407712511805435"/>
            </c:manualLayout>
          </c:layout>
          <c:overlay val="0"/>
        </c:title>
        <c:numFmt formatCode="#,##0\ _€" sourceLinked="1"/>
        <c:majorTickMark val="none"/>
        <c:minorTickMark val="none"/>
        <c:tickLblPos val="nextTo"/>
        <c:spPr>
          <a:ln>
            <a:noFill/>
          </a:ln>
        </c:spPr>
        <c:crossAx val="239938176"/>
        <c:crosses val="autoZero"/>
        <c:crossBetween val="between"/>
      </c:valAx>
      <c:valAx>
        <c:axId val="239941888"/>
        <c:scaling>
          <c:orientation val="minMax"/>
        </c:scaling>
        <c:delete val="0"/>
        <c:axPos val="r"/>
        <c:title>
          <c:tx>
            <c:rich>
              <a:bodyPr rot="-5400000" vert="horz"/>
              <a:lstStyle/>
              <a:p>
                <a:pPr>
                  <a:defRPr/>
                </a:pPr>
                <a:r>
                  <a:rPr lang="en-US"/>
                  <a:t>Število prejemnikov</a:t>
                </a:r>
              </a:p>
            </c:rich>
          </c:tx>
          <c:overlay val="0"/>
        </c:title>
        <c:numFmt formatCode="General" sourceLinked="1"/>
        <c:majorTickMark val="out"/>
        <c:minorTickMark val="none"/>
        <c:tickLblPos val="nextTo"/>
        <c:spPr>
          <a:ln>
            <a:noFill/>
          </a:ln>
        </c:spPr>
        <c:crossAx val="239944064"/>
        <c:crosses val="max"/>
        <c:crossBetween val="between"/>
      </c:valAx>
      <c:catAx>
        <c:axId val="239944064"/>
        <c:scaling>
          <c:orientation val="minMax"/>
        </c:scaling>
        <c:delete val="1"/>
        <c:axPos val="b"/>
        <c:numFmt formatCode="General" sourceLinked="0"/>
        <c:majorTickMark val="out"/>
        <c:minorTickMark val="none"/>
        <c:tickLblPos val="nextTo"/>
        <c:crossAx val="239941888"/>
        <c:crosses val="autoZero"/>
        <c:auto val="1"/>
        <c:lblAlgn val="ctr"/>
        <c:lblOffset val="100"/>
        <c:noMultiLvlLbl val="0"/>
      </c:catAx>
      <c:dTable>
        <c:showHorzBorder val="1"/>
        <c:showVertBorder val="1"/>
        <c:showOutline val="1"/>
        <c:showKeys val="1"/>
        <c:spPr>
          <a:ln>
            <a:solidFill>
              <a:schemeClr val="bg1">
                <a:lumMod val="75000"/>
              </a:schemeClr>
            </a:solidFill>
          </a:ln>
        </c:spPr>
      </c:dTable>
    </c:plotArea>
    <c:plotVisOnly val="1"/>
    <c:dispBlanksAs val="gap"/>
    <c:showDLblsOverMax val="0"/>
  </c:chart>
  <c:spPr>
    <a:ln>
      <a:noFill/>
    </a:ln>
  </c:spPr>
  <c:txPr>
    <a:bodyPr/>
    <a:lstStyle/>
    <a:p>
      <a:pPr>
        <a:defRPr sz="800" baseline="0">
          <a:solidFill>
            <a:schemeClr val="bg2">
              <a:lumMod val="25000"/>
            </a:schemeClr>
          </a:solidFill>
        </a:defRPr>
      </a:pPr>
      <a:endParaRPr lang="sl-SI"/>
    </a:p>
  </c:txPr>
  <c:externalData r:id="rId1">
    <c:autoUpdate val="0"/>
  </c:externalData>
</c:chartSpace>
</file>

<file path=word/charts/chart45.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Izvedena!$A$25</c:f>
              <c:strCache>
                <c:ptCount val="1"/>
                <c:pt idx="0">
                  <c:v>Število</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Izvedena!$B$24:$G$24</c:f>
              <c:strCache>
                <c:ptCount val="6"/>
                <c:pt idx="0">
                  <c:v>1989</c:v>
                </c:pt>
                <c:pt idx="1">
                  <c:v>1994</c:v>
                </c:pt>
                <c:pt idx="2">
                  <c:v>1999</c:v>
                </c:pt>
                <c:pt idx="3">
                  <c:v>2004</c:v>
                </c:pt>
                <c:pt idx="4">
                  <c:v>2009</c:v>
                </c:pt>
                <c:pt idx="5">
                  <c:v>2015</c:v>
                </c:pt>
              </c:strCache>
            </c:strRef>
          </c:cat>
          <c:val>
            <c:numRef>
              <c:f>Izvedena!$B$25:$G$25</c:f>
              <c:numCache>
                <c:formatCode>General</c:formatCode>
                <c:ptCount val="6"/>
                <c:pt idx="0">
                  <c:v>68</c:v>
                </c:pt>
                <c:pt idx="1">
                  <c:v>68</c:v>
                </c:pt>
                <c:pt idx="2">
                  <c:v>62</c:v>
                </c:pt>
                <c:pt idx="3">
                  <c:v>65</c:v>
                </c:pt>
                <c:pt idx="4">
                  <c:v>67</c:v>
                </c:pt>
                <c:pt idx="5">
                  <c:v>72</c:v>
                </c:pt>
              </c:numCache>
            </c:numRef>
          </c:val>
        </c:ser>
        <c:dLbls>
          <c:showLegendKey val="0"/>
          <c:showVal val="0"/>
          <c:showCatName val="0"/>
          <c:showSerName val="0"/>
          <c:showPercent val="0"/>
          <c:showBubbleSize val="0"/>
        </c:dLbls>
        <c:gapWidth val="150"/>
        <c:axId val="240072192"/>
        <c:axId val="240073728"/>
      </c:barChart>
      <c:catAx>
        <c:axId val="240072192"/>
        <c:scaling>
          <c:orientation val="minMax"/>
        </c:scaling>
        <c:delete val="0"/>
        <c:axPos val="b"/>
        <c:numFmt formatCode="General" sourceLinked="0"/>
        <c:majorTickMark val="out"/>
        <c:minorTickMark val="none"/>
        <c:tickLblPos val="nextTo"/>
        <c:crossAx val="240073728"/>
        <c:crosses val="autoZero"/>
        <c:auto val="1"/>
        <c:lblAlgn val="ctr"/>
        <c:lblOffset val="100"/>
        <c:noMultiLvlLbl val="0"/>
      </c:catAx>
      <c:valAx>
        <c:axId val="240073728"/>
        <c:scaling>
          <c:orientation val="minMax"/>
        </c:scaling>
        <c:delete val="0"/>
        <c:axPos val="l"/>
        <c:majorGridlines>
          <c:spPr>
            <a:ln>
              <a:solidFill>
                <a:sysClr val="window" lastClr="FFFFFF">
                  <a:lumMod val="85000"/>
                </a:sysClr>
              </a:solidFill>
            </a:ln>
          </c:spPr>
        </c:majorGridlines>
        <c:title>
          <c:tx>
            <c:rich>
              <a:bodyPr rot="-5400000" vert="horz"/>
              <a:lstStyle/>
              <a:p>
                <a:pPr>
                  <a:defRPr/>
                </a:pPr>
                <a:r>
                  <a:rPr lang="en-US"/>
                  <a:t>Število</a:t>
                </a:r>
              </a:p>
            </c:rich>
          </c:tx>
          <c:overlay val="0"/>
        </c:title>
        <c:numFmt formatCode="General" sourceLinked="1"/>
        <c:majorTickMark val="out"/>
        <c:minorTickMark val="none"/>
        <c:tickLblPos val="nextTo"/>
        <c:spPr>
          <a:ln>
            <a:noFill/>
          </a:ln>
        </c:spPr>
        <c:crossAx val="240072192"/>
        <c:crosses val="autoZero"/>
        <c:crossBetween val="between"/>
      </c:valAx>
    </c:plotArea>
    <c:plotVisOnly val="1"/>
    <c:dispBlanksAs val="gap"/>
    <c:showDLblsOverMax val="0"/>
  </c:chart>
  <c:spPr>
    <a:ln>
      <a:noFill/>
    </a:ln>
  </c:spPr>
  <c:txPr>
    <a:bodyPr/>
    <a:lstStyle/>
    <a:p>
      <a:pPr>
        <a:defRPr sz="800" baseline="0">
          <a:solidFill>
            <a:schemeClr val="bg2">
              <a:lumMod val="25000"/>
            </a:schemeClr>
          </a:solidFill>
        </a:defRPr>
      </a:pPr>
      <a:endParaRPr lang="sl-SI"/>
    </a:p>
  </c:txPr>
  <c:externalData r:id="rId1">
    <c:autoUpdate val="0"/>
  </c:externalData>
</c:chartSpace>
</file>

<file path=word/charts/chart46.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explosion val="25"/>
          <c:dLbls>
            <c:dLbl>
              <c:idx val="6"/>
              <c:numFmt formatCode="#,##0.00" sourceLinked="0"/>
              <c:spPr/>
              <c:txPr>
                <a:bodyPr/>
                <a:lstStyle/>
                <a:p>
                  <a:pPr>
                    <a:defRPr/>
                  </a:pPr>
                  <a:endParaRPr lang="sl-SI"/>
                </a:p>
              </c:txPr>
              <c:showLegendKey val="0"/>
              <c:showVal val="0"/>
              <c:showCatName val="1"/>
              <c:showSerName val="0"/>
              <c:showPercent val="1"/>
              <c:showBubbleSize val="0"/>
            </c:dLbl>
            <c:showLegendKey val="0"/>
            <c:showVal val="0"/>
            <c:showCatName val="1"/>
            <c:showSerName val="0"/>
            <c:showPercent val="1"/>
            <c:showBubbleSize val="0"/>
            <c:showLeaderLines val="1"/>
          </c:dLbls>
          <c:cat>
            <c:strRef>
              <c:f>'[Grafikon v programu Microsoft Word]Področja'!$A$83:$A$89</c:f>
              <c:strCache>
                <c:ptCount val="7"/>
                <c:pt idx="0">
                  <c:v>Nepremična dediščina</c:v>
                </c:pt>
                <c:pt idx="1">
                  <c:v>Muzeji, galerije, Kinoteka</c:v>
                </c:pt>
                <c:pt idx="2">
                  <c:v>Arhivi</c:v>
                </c:pt>
                <c:pt idx="3">
                  <c:v>NUK</c:v>
                </c:pt>
                <c:pt idx="4">
                  <c:v>Gledališča in glasba</c:v>
                </c:pt>
                <c:pt idx="5">
                  <c:v>Cankarjev dom</c:v>
                </c:pt>
                <c:pt idx="6">
                  <c:v>FS Viba</c:v>
                </c:pt>
              </c:strCache>
            </c:strRef>
          </c:cat>
          <c:val>
            <c:numRef>
              <c:f>'[Grafikon v programu Microsoft Word]Področja'!$B$83:$B$89</c:f>
              <c:numCache>
                <c:formatCode>#,##0.00\ _€</c:formatCode>
                <c:ptCount val="7"/>
                <c:pt idx="0">
                  <c:v>9391506.1300000008</c:v>
                </c:pt>
                <c:pt idx="1">
                  <c:v>26464989.399999999</c:v>
                </c:pt>
                <c:pt idx="2">
                  <c:v>3862841.08</c:v>
                </c:pt>
                <c:pt idx="3">
                  <c:v>6192988.5999999996</c:v>
                </c:pt>
                <c:pt idx="4">
                  <c:v>43188395.719999999</c:v>
                </c:pt>
                <c:pt idx="5">
                  <c:v>5163834.1399999997</c:v>
                </c:pt>
                <c:pt idx="6">
                  <c:v>500007.72</c:v>
                </c:pt>
              </c:numCache>
            </c:numRef>
          </c:val>
        </c:ser>
        <c:dLbls>
          <c:showLegendKey val="0"/>
          <c:showVal val="0"/>
          <c:showCatName val="0"/>
          <c:showSerName val="0"/>
          <c:showPercent val="1"/>
          <c:showBubbleSize val="0"/>
          <c:showLeaderLines val="1"/>
        </c:dLbls>
        <c:firstSliceAng val="0"/>
      </c:pieChart>
    </c:plotArea>
    <c:plotVisOnly val="1"/>
    <c:dispBlanksAs val="gap"/>
    <c:showDLblsOverMax val="0"/>
  </c:chart>
  <c:spPr>
    <a:ln>
      <a:noFill/>
    </a:ln>
  </c:spPr>
  <c:externalData r:id="rId2">
    <c:autoUpdate val="0"/>
  </c:externalData>
</c:chartSpace>
</file>

<file path=word/charts/chart47.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Lbls>
            <c:spPr>
              <a:noFill/>
              <a:ln>
                <a:noFill/>
              </a:ln>
              <a:effectLst/>
            </c:spPr>
            <c:txPr>
              <a:bodyPr/>
              <a:lstStyle/>
              <a:p>
                <a:pPr>
                  <a:defRPr b="1" i="0" baseline="0"/>
                </a:pPr>
                <a:endParaRPr lang="sl-SI"/>
              </a:p>
            </c:txPr>
            <c:showLegendKey val="0"/>
            <c:showVal val="0"/>
            <c:showCatName val="1"/>
            <c:showSerName val="0"/>
            <c:showPercent val="1"/>
            <c:showBubbleSize val="0"/>
            <c:showLeaderLines val="1"/>
            <c:extLst>
              <c:ext xmlns:c15="http://schemas.microsoft.com/office/drawing/2012/chart" uri="{CE6537A1-D6FC-4f65-9D91-7224C49458BB}"/>
            </c:extLst>
          </c:dLbls>
          <c:cat>
            <c:strRef>
              <c:f>'Vrste stroškov'!$A$15:$A$17</c:f>
              <c:strCache>
                <c:ptCount val="3"/>
                <c:pt idx="0">
                  <c:v>Plače</c:v>
                </c:pt>
                <c:pt idx="1">
                  <c:v>Materialni stroški</c:v>
                </c:pt>
                <c:pt idx="2">
                  <c:v>Investicijsko vzdrževanje in nakup opreme</c:v>
                </c:pt>
              </c:strCache>
            </c:strRef>
          </c:cat>
          <c:val>
            <c:numRef>
              <c:f>'Vrste stroškov'!$I$15:$I$17</c:f>
              <c:numCache>
                <c:formatCode>0.00</c:formatCode>
                <c:ptCount val="3"/>
                <c:pt idx="0">
                  <c:v>69.566990169195094</c:v>
                </c:pt>
                <c:pt idx="1">
                  <c:v>27.656269557300831</c:v>
                </c:pt>
                <c:pt idx="2">
                  <c:v>2.776740273504088</c:v>
                </c:pt>
              </c:numCache>
            </c:numRef>
          </c:val>
        </c:ser>
        <c:dLbls>
          <c:showLegendKey val="0"/>
          <c:showVal val="0"/>
          <c:showCatName val="1"/>
          <c:showSerName val="0"/>
          <c:showPercent val="1"/>
          <c:showBubbleSize val="0"/>
          <c:showLeaderLines val="1"/>
        </c:dLbls>
        <c:firstSliceAng val="0"/>
      </c:pieChart>
    </c:plotArea>
    <c:plotVisOnly val="1"/>
    <c:dispBlanksAs val="gap"/>
    <c:showDLblsOverMax val="0"/>
  </c:chart>
  <c:spPr>
    <a:ln>
      <a:noFill/>
    </a:ln>
  </c:spPr>
  <c:txPr>
    <a:bodyPr/>
    <a:lstStyle/>
    <a:p>
      <a:pPr>
        <a:defRPr sz="800" baseline="0"/>
      </a:pPr>
      <a:endParaRPr lang="sl-SI"/>
    </a:p>
  </c:txPr>
  <c:externalData r:id="rId1">
    <c:autoUpdate val="0"/>
  </c:externalData>
</c:chartSpace>
</file>

<file path=word/charts/chart48.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pieChart>
        <c:varyColors val="1"/>
        <c:ser>
          <c:idx val="0"/>
          <c:order val="0"/>
          <c:dLbls>
            <c:dLbl>
              <c:idx val="0"/>
              <c:layout>
                <c:manualLayout>
                  <c:x val="-0.1723371609798775"/>
                  <c:y val="-0.24579031787693206"/>
                </c:manualLayout>
              </c:layout>
              <c:showLegendKey val="0"/>
              <c:showVal val="1"/>
              <c:showCatName val="1"/>
              <c:showSerName val="0"/>
              <c:showPercent val="0"/>
              <c:showBubbleSize val="0"/>
            </c:dLbl>
            <c:dLbl>
              <c:idx val="1"/>
              <c:layout>
                <c:manualLayout>
                  <c:x val="-5.4809164479440071E-2"/>
                  <c:y val="8.8920239136774576E-2"/>
                </c:manualLayout>
              </c:layout>
              <c:tx>
                <c:rich>
                  <a:bodyPr/>
                  <a:lstStyle/>
                  <a:p>
                    <a:r>
                      <a:rPr lang="en-US"/>
                      <a:t>Lokalne skupnosti; 0</a:t>
                    </a:r>
                    <a:r>
                      <a:rPr lang="sl-SI"/>
                      <a:t>,3</a:t>
                    </a:r>
                    <a:r>
                      <a:rPr lang="en-US"/>
                      <a:t>%</a:t>
                    </a:r>
                  </a:p>
                </c:rich>
              </c:tx>
              <c:showLegendKey val="0"/>
              <c:showVal val="1"/>
              <c:showCatName val="1"/>
              <c:showSerName val="0"/>
              <c:showPercent val="0"/>
              <c:showBubbleSize val="0"/>
            </c:dLbl>
            <c:numFmt formatCode="0%" sourceLinked="0"/>
            <c:txPr>
              <a:bodyPr/>
              <a:lstStyle/>
              <a:p>
                <a:pPr>
                  <a:defRPr sz="800" b="1" i="0" baseline="0"/>
                </a:pPr>
                <a:endParaRPr lang="sl-SI"/>
              </a:p>
            </c:txPr>
            <c:showLegendKey val="0"/>
            <c:showVal val="1"/>
            <c:showCatName val="1"/>
            <c:showSerName val="0"/>
            <c:showPercent val="0"/>
            <c:showBubbleSize val="0"/>
            <c:showLeaderLines val="1"/>
          </c:dLbls>
          <c:cat>
            <c:strRef>
              <c:f>'[Grafikon v programu Microsoft Word]Viri prihodkov JZ'!$A$31:$A$35</c:f>
              <c:strCache>
                <c:ptCount val="5"/>
                <c:pt idx="0">
                  <c:v>Ministrstvo za kulturo</c:v>
                </c:pt>
                <c:pt idx="1">
                  <c:v>Lokalne skupnosti</c:v>
                </c:pt>
                <c:pt idx="2">
                  <c:v>Drugi prihodki javnih financ</c:v>
                </c:pt>
                <c:pt idx="3">
                  <c:v>Lastni prihodki iz opravljanja javne službe</c:v>
                </c:pt>
                <c:pt idx="4">
                  <c:v>Prihodki iz tržne dejavnosti</c:v>
                </c:pt>
              </c:strCache>
            </c:strRef>
          </c:cat>
          <c:val>
            <c:numRef>
              <c:f>'[Grafikon v programu Microsoft Word]Viri prihodkov JZ'!$C$31:$C$35</c:f>
              <c:numCache>
                <c:formatCode>0.0%</c:formatCode>
                <c:ptCount val="5"/>
                <c:pt idx="0">
                  <c:v>0.77251205363230557</c:v>
                </c:pt>
                <c:pt idx="1">
                  <c:v>2.7613659591781687E-3</c:v>
                </c:pt>
                <c:pt idx="2">
                  <c:v>2.8941937045436818E-2</c:v>
                </c:pt>
                <c:pt idx="3">
                  <c:v>0.1288109927192064</c:v>
                </c:pt>
                <c:pt idx="4">
                  <c:v>6.6973650643873076E-2</c:v>
                </c:pt>
              </c:numCache>
            </c:numRef>
          </c:val>
        </c:ser>
        <c:dLbls>
          <c:showLegendKey val="0"/>
          <c:showVal val="0"/>
          <c:showCatName val="0"/>
          <c:showSerName val="0"/>
          <c:showPercent val="0"/>
          <c:showBubbleSize val="0"/>
          <c:showLeaderLines val="1"/>
        </c:dLbls>
        <c:firstSliceAng val="0"/>
      </c:pieChart>
    </c:plotArea>
    <c:plotVisOnly val="1"/>
    <c:dispBlanksAs val="gap"/>
    <c:showDLblsOverMax val="0"/>
  </c:chart>
  <c:spPr>
    <a:ln>
      <a:noFill/>
    </a:ln>
  </c:spPr>
  <c:externalData r:id="rId2">
    <c:autoUpdate val="0"/>
  </c:externalData>
</c:chartSpace>
</file>

<file path=word/charts/chart49.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31274211793441198"/>
          <c:y val="0.113425925925926"/>
          <c:w val="0.43497757847533602"/>
          <c:h val="0.88657407407407396"/>
        </c:manualLayout>
      </c:layout>
      <c:pieChart>
        <c:varyColors val="1"/>
        <c:ser>
          <c:idx val="0"/>
          <c:order val="0"/>
          <c:dLbls>
            <c:dLbl>
              <c:idx val="0"/>
              <c:layout>
                <c:manualLayout>
                  <c:x val="2.6477797925566701E-2"/>
                  <c:y val="-6.3577573636628706E-2"/>
                </c:manualLayout>
              </c:layout>
              <c:showLegendKey val="0"/>
              <c:showVal val="0"/>
              <c:showCatName val="1"/>
              <c:showSerName val="0"/>
              <c:showPercent val="1"/>
              <c:showBubbleSize val="0"/>
              <c:extLst>
                <c:ext xmlns:c15="http://schemas.microsoft.com/office/drawing/2012/chart" uri="{CE6537A1-D6FC-4f65-9D91-7224C49458BB}"/>
              </c:extLst>
            </c:dLbl>
            <c:dLbl>
              <c:idx val="1"/>
              <c:layout>
                <c:manualLayout>
                  <c:x val="-6.0023178081630497E-2"/>
                  <c:y val="-1.3404053659959199E-2"/>
                </c:manualLayout>
              </c:layout>
              <c:showLegendKey val="0"/>
              <c:showVal val="0"/>
              <c:showCatName val="1"/>
              <c:showSerName val="0"/>
              <c:showPercent val="1"/>
              <c:showBubbleSize val="0"/>
              <c:extLst>
                <c:ext xmlns:c15="http://schemas.microsoft.com/office/drawing/2012/chart" uri="{CE6537A1-D6FC-4f65-9D91-7224C49458BB}"/>
              </c:extLst>
            </c:dLbl>
            <c:dLbl>
              <c:idx val="2"/>
              <c:layout>
                <c:manualLayout>
                  <c:x val="-6.7406202415083993E-2"/>
                  <c:y val="5.7489792942548898E-2"/>
                </c:manualLayout>
              </c:layout>
              <c:showLegendKey val="0"/>
              <c:showVal val="0"/>
              <c:showCatName val="1"/>
              <c:showSerName val="0"/>
              <c:showPercent val="1"/>
              <c:showBubbleSize val="0"/>
              <c:extLst>
                <c:ext xmlns:c15="http://schemas.microsoft.com/office/drawing/2012/chart" uri="{CE6537A1-D6FC-4f65-9D91-7224C49458BB}"/>
              </c:extLst>
            </c:dLbl>
            <c:dLbl>
              <c:idx val="3"/>
              <c:layout>
                <c:manualLayout>
                  <c:x val="-9.9434305750756902E-2"/>
                  <c:y val="2.03889617964421E-2"/>
                </c:manualLayout>
              </c:layout>
              <c:showLegendKey val="0"/>
              <c:showVal val="0"/>
              <c:showCatName val="1"/>
              <c:showSerName val="0"/>
              <c:showPercent val="1"/>
              <c:showBubbleSize val="0"/>
              <c:extLst>
                <c:ext xmlns:c15="http://schemas.microsoft.com/office/drawing/2012/chart" uri="{CE6537A1-D6FC-4f65-9D91-7224C49458BB}"/>
              </c:extLst>
            </c:dLbl>
            <c:spPr>
              <a:noFill/>
              <a:ln>
                <a:noFill/>
              </a:ln>
              <a:effectLst/>
            </c:spPr>
            <c:txPr>
              <a:bodyPr/>
              <a:lstStyle/>
              <a:p>
                <a:pPr>
                  <a:defRPr b="1" i="0" baseline="0"/>
                </a:pPr>
                <a:endParaRPr lang="sl-SI"/>
              </a:p>
            </c:txPr>
            <c:showLegendKey val="0"/>
            <c:showVal val="0"/>
            <c:showCatName val="1"/>
            <c:showSerName val="0"/>
            <c:showPercent val="1"/>
            <c:showBubbleSize val="0"/>
            <c:showLeaderLines val="1"/>
            <c:extLst>
              <c:ext xmlns:c15="http://schemas.microsoft.com/office/drawing/2012/chart" uri="{CE6537A1-D6FC-4f65-9D91-7224C49458BB}"/>
            </c:extLst>
          </c:dLbls>
          <c:cat>
            <c:strRef>
              <c:f>'Viri prihodkov JZ'!$A$21:$A$25</c:f>
              <c:strCache>
                <c:ptCount val="5"/>
                <c:pt idx="0">
                  <c:v>Ministrstvo za kulturo</c:v>
                </c:pt>
                <c:pt idx="1">
                  <c:v>Lokalne skupnosti</c:v>
                </c:pt>
                <c:pt idx="2">
                  <c:v>Drugi prihodki javnih financ</c:v>
                </c:pt>
                <c:pt idx="3">
                  <c:v>Lastni prihodki iz opravljanja javne službe</c:v>
                </c:pt>
                <c:pt idx="4">
                  <c:v>Prihodki iz tržne dejavnosti</c:v>
                </c:pt>
              </c:strCache>
            </c:strRef>
          </c:cat>
          <c:val>
            <c:numRef>
              <c:f>'Viri prihodkov JZ'!$B$21:$B$25</c:f>
              <c:numCache>
                <c:formatCode>#,##0.00\ _€</c:formatCode>
                <c:ptCount val="5"/>
                <c:pt idx="0">
                  <c:v>24875814</c:v>
                </c:pt>
                <c:pt idx="1">
                  <c:v>10457630</c:v>
                </c:pt>
                <c:pt idx="2">
                  <c:v>1034078</c:v>
                </c:pt>
                <c:pt idx="3">
                  <c:v>6186998</c:v>
                </c:pt>
                <c:pt idx="4">
                  <c:v>587611</c:v>
                </c:pt>
              </c:numCache>
            </c:numRef>
          </c:val>
        </c:ser>
        <c:dLbls>
          <c:showLegendKey val="0"/>
          <c:showVal val="0"/>
          <c:showCatName val="0"/>
          <c:showSerName val="0"/>
          <c:showPercent val="1"/>
          <c:showBubbleSize val="0"/>
          <c:showLeaderLines val="1"/>
        </c:dLbls>
        <c:firstSliceAng val="0"/>
      </c:pieChart>
    </c:plotArea>
    <c:plotVisOnly val="1"/>
    <c:dispBlanksAs val="gap"/>
    <c:showDLblsOverMax val="0"/>
  </c:chart>
  <c:spPr>
    <a:ln>
      <a:noFill/>
    </a:ln>
  </c:spPr>
  <c:txPr>
    <a:bodyPr/>
    <a:lstStyle/>
    <a:p>
      <a:pPr>
        <a:defRPr sz="800" baseline="0"/>
      </a:pPr>
      <a:endParaRPr lang="sl-SI"/>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percentStacked"/>
        <c:varyColors val="0"/>
        <c:ser>
          <c:idx val="0"/>
          <c:order val="0"/>
          <c:tx>
            <c:strRef>
              <c:f>List1!$B$62</c:f>
              <c:strCache>
                <c:ptCount val="1"/>
                <c:pt idx="0">
                  <c:v>Vsak dan</c:v>
                </c:pt>
              </c:strCache>
            </c:strRef>
          </c:tx>
          <c:spPr>
            <a:solidFill>
              <a:schemeClr val="accent1"/>
            </a:solidFill>
          </c:spPr>
          <c:invertIfNegative val="0"/>
          <c:dLbls>
            <c:spPr>
              <a:noFill/>
              <a:ln>
                <a:noFill/>
              </a:ln>
              <a:effectLst/>
            </c:spPr>
            <c:txPr>
              <a:bodyPr/>
              <a:lstStyle/>
              <a:p>
                <a:pPr>
                  <a:defRPr baseline="0">
                    <a:solidFill>
                      <a:schemeClr val="bg1"/>
                    </a:solidFill>
                  </a:defRPr>
                </a:pPr>
                <a:endParaRPr lang="sl-SI"/>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List1!$C$62</c:f>
              <c:numCache>
                <c:formatCode>General</c:formatCode>
                <c:ptCount val="1"/>
                <c:pt idx="0">
                  <c:v>10</c:v>
                </c:pt>
              </c:numCache>
            </c:numRef>
          </c:val>
        </c:ser>
        <c:ser>
          <c:idx val="1"/>
          <c:order val="1"/>
          <c:tx>
            <c:strRef>
              <c:f>List1!$B$63</c:f>
              <c:strCache>
                <c:ptCount val="1"/>
                <c:pt idx="0">
                  <c:v>Večkrat na teden</c:v>
                </c:pt>
              </c:strCache>
            </c:strRef>
          </c:tx>
          <c:spPr>
            <a:solidFill>
              <a:schemeClr val="accent2"/>
            </a:solidFill>
          </c:spPr>
          <c:invertIfNegative val="0"/>
          <c:dLbls>
            <c:spPr>
              <a:noFill/>
              <a:ln>
                <a:noFill/>
              </a:ln>
              <a:effectLst/>
            </c:spPr>
            <c:txPr>
              <a:bodyPr/>
              <a:lstStyle/>
              <a:p>
                <a:pPr>
                  <a:defRPr baseline="0">
                    <a:solidFill>
                      <a:schemeClr val="bg1"/>
                    </a:solidFill>
                  </a:defRPr>
                </a:pPr>
                <a:endParaRPr lang="sl-SI"/>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List1!$C$63</c:f>
              <c:numCache>
                <c:formatCode>General</c:formatCode>
                <c:ptCount val="1"/>
                <c:pt idx="0">
                  <c:v>13</c:v>
                </c:pt>
              </c:numCache>
            </c:numRef>
          </c:val>
        </c:ser>
        <c:ser>
          <c:idx val="2"/>
          <c:order val="2"/>
          <c:tx>
            <c:strRef>
              <c:f>List1!$B$64</c:f>
              <c:strCache>
                <c:ptCount val="1"/>
                <c:pt idx="0">
                  <c:v>Enkrat na teden</c:v>
                </c:pt>
              </c:strCache>
            </c:strRef>
          </c:tx>
          <c:spPr>
            <a:solidFill>
              <a:schemeClr val="accent3"/>
            </a:solidFill>
          </c:spPr>
          <c:invertIfNegative val="0"/>
          <c:dLbls>
            <c:spPr>
              <a:noFill/>
              <a:ln>
                <a:noFill/>
              </a:ln>
              <a:effectLst/>
            </c:spPr>
            <c:txPr>
              <a:bodyPr/>
              <a:lstStyle/>
              <a:p>
                <a:pPr>
                  <a:defRPr baseline="0">
                    <a:solidFill>
                      <a:schemeClr val="bg1"/>
                    </a:solidFill>
                  </a:defRPr>
                </a:pPr>
                <a:endParaRPr lang="sl-SI"/>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List1!$C$64</c:f>
              <c:numCache>
                <c:formatCode>General</c:formatCode>
                <c:ptCount val="1"/>
                <c:pt idx="0">
                  <c:v>12</c:v>
                </c:pt>
              </c:numCache>
            </c:numRef>
          </c:val>
        </c:ser>
        <c:ser>
          <c:idx val="3"/>
          <c:order val="3"/>
          <c:tx>
            <c:strRef>
              <c:f>List1!$B$65</c:f>
              <c:strCache>
                <c:ptCount val="1"/>
                <c:pt idx="0">
                  <c:v>1-3-krat na mesec</c:v>
                </c:pt>
              </c:strCache>
            </c:strRef>
          </c:tx>
          <c:spPr>
            <a:solidFill>
              <a:schemeClr val="accent4"/>
            </a:solidFill>
          </c:spPr>
          <c:invertIfNegative val="0"/>
          <c:dLbls>
            <c:spPr>
              <a:noFill/>
              <a:ln>
                <a:noFill/>
              </a:ln>
              <a:effectLst/>
            </c:spPr>
            <c:txPr>
              <a:bodyPr/>
              <a:lstStyle/>
              <a:p>
                <a:pPr>
                  <a:defRPr baseline="0">
                    <a:solidFill>
                      <a:schemeClr val="bg1"/>
                    </a:solidFill>
                  </a:defRPr>
                </a:pPr>
                <a:endParaRPr lang="sl-SI"/>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List1!$C$65</c:f>
              <c:numCache>
                <c:formatCode>General</c:formatCode>
                <c:ptCount val="1"/>
                <c:pt idx="0">
                  <c:v>18</c:v>
                </c:pt>
              </c:numCache>
            </c:numRef>
          </c:val>
        </c:ser>
        <c:ser>
          <c:idx val="4"/>
          <c:order val="4"/>
          <c:tx>
            <c:strRef>
              <c:f>List1!$B$66</c:f>
              <c:strCache>
                <c:ptCount val="1"/>
                <c:pt idx="0">
                  <c:v>Manj pogosto</c:v>
                </c:pt>
              </c:strCache>
            </c:strRef>
          </c:tx>
          <c:spPr>
            <a:solidFill>
              <a:schemeClr val="accent5"/>
            </a:solidFill>
          </c:spPr>
          <c:invertIfNegative val="0"/>
          <c:dLbls>
            <c:spPr>
              <a:noFill/>
              <a:ln>
                <a:noFill/>
              </a:ln>
              <a:effectLst/>
            </c:spPr>
            <c:txPr>
              <a:bodyPr/>
              <a:lstStyle/>
              <a:p>
                <a:pPr>
                  <a:defRPr baseline="0">
                    <a:solidFill>
                      <a:schemeClr val="bg1"/>
                    </a:solidFill>
                  </a:defRPr>
                </a:pPr>
                <a:endParaRPr lang="sl-SI"/>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List1!$C$66</c:f>
              <c:numCache>
                <c:formatCode>General</c:formatCode>
                <c:ptCount val="1"/>
                <c:pt idx="0">
                  <c:v>36</c:v>
                </c:pt>
              </c:numCache>
            </c:numRef>
          </c:val>
        </c:ser>
        <c:ser>
          <c:idx val="5"/>
          <c:order val="5"/>
          <c:tx>
            <c:strRef>
              <c:f>List1!$B$67</c:f>
              <c:strCache>
                <c:ptCount val="1"/>
                <c:pt idx="0">
                  <c:v>Nikoli</c:v>
                </c:pt>
              </c:strCache>
            </c:strRef>
          </c:tx>
          <c:spPr>
            <a:solidFill>
              <a:schemeClr val="accent6"/>
            </a:solidFill>
          </c:spPr>
          <c:invertIfNegative val="0"/>
          <c:dLbls>
            <c:spPr>
              <a:noFill/>
              <a:ln>
                <a:noFill/>
              </a:ln>
              <a:effectLst/>
            </c:spPr>
            <c:txPr>
              <a:bodyPr/>
              <a:lstStyle/>
              <a:p>
                <a:pPr>
                  <a:defRPr baseline="0">
                    <a:solidFill>
                      <a:schemeClr val="bg1"/>
                    </a:solidFill>
                  </a:defRPr>
                </a:pPr>
                <a:endParaRPr lang="sl-SI"/>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List1!$C$67</c:f>
              <c:numCache>
                <c:formatCode>General</c:formatCode>
                <c:ptCount val="1"/>
                <c:pt idx="0">
                  <c:v>9</c:v>
                </c:pt>
              </c:numCache>
            </c:numRef>
          </c:val>
        </c:ser>
        <c:dLbls>
          <c:showLegendKey val="0"/>
          <c:showVal val="0"/>
          <c:showCatName val="0"/>
          <c:showSerName val="0"/>
          <c:showPercent val="0"/>
          <c:showBubbleSize val="0"/>
        </c:dLbls>
        <c:gapWidth val="150"/>
        <c:overlap val="100"/>
        <c:axId val="215023616"/>
        <c:axId val="215025152"/>
      </c:barChart>
      <c:catAx>
        <c:axId val="215023616"/>
        <c:scaling>
          <c:orientation val="minMax"/>
        </c:scaling>
        <c:delete val="1"/>
        <c:axPos val="b"/>
        <c:majorTickMark val="out"/>
        <c:minorTickMark val="none"/>
        <c:tickLblPos val="nextTo"/>
        <c:crossAx val="215025152"/>
        <c:crosses val="autoZero"/>
        <c:auto val="1"/>
        <c:lblAlgn val="ctr"/>
        <c:lblOffset val="100"/>
        <c:noMultiLvlLbl val="0"/>
      </c:catAx>
      <c:valAx>
        <c:axId val="215025152"/>
        <c:scaling>
          <c:orientation val="minMax"/>
        </c:scaling>
        <c:delete val="0"/>
        <c:axPos val="l"/>
        <c:majorGridlines>
          <c:spPr>
            <a:ln>
              <a:solidFill>
                <a:schemeClr val="bg1">
                  <a:lumMod val="85000"/>
                </a:schemeClr>
              </a:solidFill>
            </a:ln>
          </c:spPr>
        </c:majorGridlines>
        <c:numFmt formatCode="0%" sourceLinked="1"/>
        <c:majorTickMark val="out"/>
        <c:minorTickMark val="none"/>
        <c:tickLblPos val="nextTo"/>
        <c:spPr>
          <a:ln>
            <a:noFill/>
          </a:ln>
        </c:spPr>
        <c:crossAx val="215023616"/>
        <c:crosses val="autoZero"/>
        <c:crossBetween val="between"/>
      </c:valAx>
    </c:plotArea>
    <c:legend>
      <c:legendPos val="r"/>
      <c:overlay val="0"/>
    </c:legend>
    <c:plotVisOnly val="1"/>
    <c:dispBlanksAs val="gap"/>
    <c:showDLblsOverMax val="0"/>
  </c:chart>
  <c:spPr>
    <a:ln>
      <a:noFill/>
    </a:ln>
  </c:spPr>
  <c:txPr>
    <a:bodyPr/>
    <a:lstStyle/>
    <a:p>
      <a:pPr>
        <a:defRPr sz="800" baseline="0">
          <a:solidFill>
            <a:schemeClr val="bg2">
              <a:lumMod val="25000"/>
            </a:schemeClr>
          </a:solidFill>
        </a:defRPr>
      </a:pPr>
      <a:endParaRPr lang="sl-SI"/>
    </a:p>
  </c:txPr>
  <c:externalData r:id="rId1">
    <c:autoUpdate val="0"/>
  </c:externalData>
</c:chartSpace>
</file>

<file path=word/charts/chart50.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9.8041036469795007E-2"/>
          <c:y val="0.12101063829787199"/>
          <c:w val="0.88469337132535297"/>
          <c:h val="0.83244680851063801"/>
        </c:manualLayout>
      </c:layout>
      <c:ofPieChart>
        <c:ofPieType val="pie"/>
        <c:varyColors val="1"/>
        <c:ser>
          <c:idx val="0"/>
          <c:order val="0"/>
          <c:dLbls>
            <c:dLbl>
              <c:idx val="0"/>
              <c:tx>
                <c:rich>
                  <a:bodyPr/>
                  <a:lstStyle/>
                  <a:p>
                    <a:r>
                      <a:rPr lang="en-US" b="1" i="0" baseline="0"/>
                      <a:t>Preostali stroški
40%</a:t>
                    </a:r>
                    <a:endParaRPr lang="en-US"/>
                  </a:p>
                </c:rich>
              </c:tx>
              <c:showLegendKey val="0"/>
              <c:showVal val="0"/>
              <c:showCatName val="1"/>
              <c:showSerName val="0"/>
              <c:showPercent val="1"/>
              <c:showBubbleSize val="0"/>
              <c:extLst>
                <c:ext xmlns:c15="http://schemas.microsoft.com/office/drawing/2012/chart" uri="{CE6537A1-D6FC-4f65-9D91-7224C49458BB}"/>
              </c:extLst>
            </c:dLbl>
            <c:dLbl>
              <c:idx val="1"/>
              <c:tx>
                <c:rich>
                  <a:bodyPr/>
                  <a:lstStyle/>
                  <a:p>
                    <a:r>
                      <a:rPr lang="sk-SK" b="1" i="0" baseline="0"/>
                      <a:t>Plače; 86%</a:t>
                    </a:r>
                    <a:endParaRPr lang="sk-SK"/>
                  </a:p>
                </c:rich>
              </c:tx>
              <c:showLegendKey val="0"/>
              <c:showVal val="0"/>
              <c:showCatName val="1"/>
              <c:showSerName val="0"/>
              <c:showPercent val="0"/>
              <c:showBubbleSize val="0"/>
              <c:extLst>
                <c:ext xmlns:c15="http://schemas.microsoft.com/office/drawing/2012/chart" uri="{CE6537A1-D6FC-4f65-9D91-7224C49458BB}"/>
              </c:extLst>
            </c:dLbl>
            <c:dLbl>
              <c:idx val="2"/>
              <c:layout>
                <c:manualLayout>
                  <c:x val="8.3344165725684205E-3"/>
                  <c:y val="-1.31710445033347E-2"/>
                </c:manualLayout>
              </c:layout>
              <c:tx>
                <c:rich>
                  <a:bodyPr/>
                  <a:lstStyle/>
                  <a:p>
                    <a:r>
                      <a:rPr lang="en-US" b="1" i="0" baseline="0"/>
                      <a:t>Avtorski honorarji
9%</a:t>
                    </a:r>
                    <a:endParaRPr lang="en-US"/>
                  </a:p>
                </c:rich>
              </c:tx>
              <c:showLegendKey val="0"/>
              <c:showVal val="0"/>
              <c:showCatName val="1"/>
              <c:showSerName val="0"/>
              <c:showPercent val="1"/>
              <c:showBubbleSize val="0"/>
              <c:extLst>
                <c:ext xmlns:c15="http://schemas.microsoft.com/office/drawing/2012/chart" uri="{CE6537A1-D6FC-4f65-9D91-7224C49458BB}"/>
              </c:extLst>
            </c:dLbl>
            <c:dLbl>
              <c:idx val="3"/>
              <c:layout>
                <c:manualLayout>
                  <c:x val="5.1556967159840702E-3"/>
                  <c:y val="1.5618964861418E-2"/>
                </c:manualLayout>
              </c:layout>
              <c:tx>
                <c:rich>
                  <a:bodyPr/>
                  <a:lstStyle/>
                  <a:p>
                    <a:r>
                      <a:rPr lang="en-US" b="1" i="0" baseline="0"/>
                      <a:t>Pogodbe o delu
2%</a:t>
                    </a:r>
                    <a:endParaRPr lang="en-US"/>
                  </a:p>
                </c:rich>
              </c:tx>
              <c:showLegendKey val="0"/>
              <c:showVal val="0"/>
              <c:showCatName val="1"/>
              <c:showSerName val="0"/>
              <c:showPercent val="1"/>
              <c:showBubbleSize val="0"/>
              <c:extLst>
                <c:ext xmlns:c15="http://schemas.microsoft.com/office/drawing/2012/chart" uri="{CE6537A1-D6FC-4f65-9D91-7224C49458BB}"/>
              </c:extLst>
            </c:dLbl>
            <c:dLbl>
              <c:idx val="4"/>
              <c:layout>
                <c:manualLayout>
                  <c:x val="-8.2880939566039494E-2"/>
                  <c:y val="-7.4075906919474493E-2"/>
                </c:manualLayout>
              </c:layout>
              <c:tx>
                <c:rich>
                  <a:bodyPr/>
                  <a:lstStyle/>
                  <a:p>
                    <a:r>
                      <a:rPr lang="en-US" b="1" i="0" baseline="0"/>
                      <a:t>Študentski servis
3%</a:t>
                    </a:r>
                    <a:endParaRPr lang="en-US"/>
                  </a:p>
                </c:rich>
              </c:tx>
              <c:showLegendKey val="0"/>
              <c:showVal val="0"/>
              <c:showCatName val="1"/>
              <c:showSerName val="0"/>
              <c:showPercent val="1"/>
              <c:showBubbleSize val="0"/>
              <c:extLst>
                <c:ext xmlns:c15="http://schemas.microsoft.com/office/drawing/2012/chart" uri="{CE6537A1-D6FC-4f65-9D91-7224C49458BB}"/>
              </c:extLst>
            </c:dLbl>
            <c:dLbl>
              <c:idx val="5"/>
              <c:tx>
                <c:rich>
                  <a:bodyPr/>
                  <a:lstStyle/>
                  <a:p>
                    <a:r>
                      <a:rPr lang="en-US" b="1" i="0" baseline="0"/>
                      <a:t>Stroški dela
60%</a:t>
                    </a:r>
                    <a:endParaRPr lang="en-US"/>
                  </a:p>
                </c:rich>
              </c:tx>
              <c:showLegendKey val="0"/>
              <c:showVal val="0"/>
              <c:showCatName val="1"/>
              <c:showSerName val="0"/>
              <c:showPercent val="1"/>
              <c:showBubbleSize val="0"/>
              <c:extLst>
                <c:ext xmlns:c15="http://schemas.microsoft.com/office/drawing/2012/chart" uri="{CE6537A1-D6FC-4f65-9D91-7224C49458BB}"/>
              </c:extLst>
            </c:dLbl>
            <c:spPr>
              <a:noFill/>
              <a:ln>
                <a:noFill/>
              </a:ln>
              <a:effectLst/>
            </c:spPr>
            <c:txPr>
              <a:bodyPr/>
              <a:lstStyle/>
              <a:p>
                <a:pPr>
                  <a:defRPr sz="800" b="1" i="0" baseline="0"/>
                </a:pPr>
                <a:endParaRPr lang="sl-SI"/>
              </a:p>
            </c:txPr>
            <c:showLegendKey val="0"/>
            <c:showVal val="0"/>
            <c:showCatName val="1"/>
            <c:showSerName val="0"/>
            <c:showPercent val="1"/>
            <c:showBubbleSize val="0"/>
            <c:showLeaderLines val="1"/>
            <c:extLst>
              <c:ext xmlns:c15="http://schemas.microsoft.com/office/drawing/2012/chart" uri="{CE6537A1-D6FC-4f65-9D91-7224C49458BB}"/>
            </c:extLst>
          </c:dLbls>
          <c:cat>
            <c:strRef>
              <c:f>Sheet1!$B$13:$B$17</c:f>
              <c:strCache>
                <c:ptCount val="5"/>
                <c:pt idx="0">
                  <c:v>Preostali stroški</c:v>
                </c:pt>
                <c:pt idx="1">
                  <c:v>Plače</c:v>
                </c:pt>
                <c:pt idx="2">
                  <c:v>Avtorski honorarji</c:v>
                </c:pt>
                <c:pt idx="3">
                  <c:v>Pogodbe o delu</c:v>
                </c:pt>
                <c:pt idx="4">
                  <c:v>Študentski servis</c:v>
                </c:pt>
              </c:strCache>
            </c:strRef>
          </c:cat>
          <c:val>
            <c:numRef>
              <c:f>Sheet1!$C$13:$C$17</c:f>
              <c:numCache>
                <c:formatCode>#,##0.00\ "€"</c:formatCode>
                <c:ptCount val="5"/>
                <c:pt idx="0">
                  <c:v>53889626.291043498</c:v>
                </c:pt>
                <c:pt idx="1">
                  <c:v>67891757</c:v>
                </c:pt>
                <c:pt idx="2">
                  <c:v>7017638</c:v>
                </c:pt>
                <c:pt idx="3">
                  <c:v>1384910</c:v>
                </c:pt>
                <c:pt idx="4">
                  <c:v>2909737</c:v>
                </c:pt>
              </c:numCache>
            </c:numRef>
          </c:val>
        </c:ser>
        <c:dLbls>
          <c:showLegendKey val="0"/>
          <c:showVal val="0"/>
          <c:showCatName val="0"/>
          <c:showSerName val="0"/>
          <c:showPercent val="0"/>
          <c:showBubbleSize val="0"/>
          <c:showLeaderLines val="1"/>
        </c:dLbls>
        <c:gapWidth val="100"/>
        <c:splitType val="pos"/>
        <c:splitPos val="4"/>
        <c:secondPieSize val="75"/>
        <c:serLines/>
      </c:ofPieChart>
    </c:plotArea>
    <c:plotVisOnly val="1"/>
    <c:dispBlanksAs val="gap"/>
    <c:showDLblsOverMax val="0"/>
  </c:chart>
  <c:spPr>
    <a:ln>
      <a:noFill/>
    </a:ln>
  </c:sp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spPr>
            <a:solidFill>
              <a:schemeClr val="accent1"/>
            </a:solidFill>
          </c:spPr>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List1!$B$69:$B$81</c:f>
              <c:strCache>
                <c:ptCount val="13"/>
                <c:pt idx="0">
                  <c:v>Branje časopisov in člankov</c:v>
                </c:pt>
                <c:pt idx="1">
                  <c:v>Poslušanje radia ali glasbe</c:v>
                </c:pt>
                <c:pt idx="2">
                  <c:v>Gledanje filmov, filmov na zahtevo ali TV-programov</c:v>
                </c:pt>
                <c:pt idx="3">
                  <c:v>Prenašanje glasbe</c:v>
                </c:pt>
                <c:pt idx="4">
                  <c:v>Iskanje informacij o kulturnih dogodkih in kulturnih proizvodih</c:v>
                </c:pt>
                <c:pt idx="5">
                  <c:v>Nalaganje filmov, radijskih programov ali TV programov</c:v>
                </c:pt>
                <c:pt idx="6">
                  <c:v>Igranje računalniških igric</c:v>
                </c:pt>
                <c:pt idx="7">
                  <c:v>Kupovanje kulturnih proizvodov, kot so knjige, CD-ji ali vstopnice za gledališče</c:v>
                </c:pt>
                <c:pt idx="8">
                  <c:v>Za obiskovanje muzejskih ali knjižničnih strani ali drugi specializiranih strani - za povečanje znanja</c:v>
                </c:pt>
                <c:pt idx="9">
                  <c:v>Branje ali gledanje kulturnih blogov</c:v>
                </c:pt>
                <c:pt idx="10">
                  <c:v>Objavljanje lastnih kulturnih vsebin na spletu - npr. na socialnem omrežju</c:v>
                </c:pt>
                <c:pt idx="11">
                  <c:v>ustvarjanje lastne spletne strani ali bloga s kulturno tematiko. </c:v>
                </c:pt>
                <c:pt idx="12">
                  <c:v>drugo</c:v>
                </c:pt>
              </c:strCache>
            </c:strRef>
          </c:cat>
          <c:val>
            <c:numRef>
              <c:f>List1!$C$69:$C$81</c:f>
              <c:numCache>
                <c:formatCode>General</c:formatCode>
                <c:ptCount val="13"/>
                <c:pt idx="0">
                  <c:v>67</c:v>
                </c:pt>
                <c:pt idx="1">
                  <c:v>52</c:v>
                </c:pt>
                <c:pt idx="2">
                  <c:v>40</c:v>
                </c:pt>
                <c:pt idx="3">
                  <c:v>37</c:v>
                </c:pt>
                <c:pt idx="4">
                  <c:v>31</c:v>
                </c:pt>
                <c:pt idx="5">
                  <c:v>29</c:v>
                </c:pt>
                <c:pt idx="6">
                  <c:v>27</c:v>
                </c:pt>
                <c:pt idx="7">
                  <c:v>19</c:v>
                </c:pt>
                <c:pt idx="8">
                  <c:v>16</c:v>
                </c:pt>
                <c:pt idx="9">
                  <c:v>15</c:v>
                </c:pt>
                <c:pt idx="10">
                  <c:v>10</c:v>
                </c:pt>
                <c:pt idx="11">
                  <c:v>5</c:v>
                </c:pt>
                <c:pt idx="12">
                  <c:v>4</c:v>
                </c:pt>
              </c:numCache>
            </c:numRef>
          </c:val>
        </c:ser>
        <c:dLbls>
          <c:showLegendKey val="0"/>
          <c:showVal val="0"/>
          <c:showCatName val="0"/>
          <c:showSerName val="0"/>
          <c:showPercent val="0"/>
          <c:showBubbleSize val="0"/>
        </c:dLbls>
        <c:gapWidth val="150"/>
        <c:axId val="215045632"/>
        <c:axId val="215047168"/>
      </c:barChart>
      <c:catAx>
        <c:axId val="215045632"/>
        <c:scaling>
          <c:orientation val="minMax"/>
        </c:scaling>
        <c:delete val="0"/>
        <c:axPos val="b"/>
        <c:numFmt formatCode="General" sourceLinked="0"/>
        <c:majorTickMark val="out"/>
        <c:minorTickMark val="none"/>
        <c:tickLblPos val="nextTo"/>
        <c:txPr>
          <a:bodyPr rot="-5400000" vert="horz"/>
          <a:lstStyle/>
          <a:p>
            <a:pPr>
              <a:defRPr/>
            </a:pPr>
            <a:endParaRPr lang="sl-SI"/>
          </a:p>
        </c:txPr>
        <c:crossAx val="215047168"/>
        <c:crosses val="autoZero"/>
        <c:auto val="1"/>
        <c:lblAlgn val="ctr"/>
        <c:lblOffset val="100"/>
        <c:noMultiLvlLbl val="0"/>
      </c:catAx>
      <c:valAx>
        <c:axId val="215047168"/>
        <c:scaling>
          <c:orientation val="minMax"/>
        </c:scaling>
        <c:delete val="0"/>
        <c:axPos val="l"/>
        <c:majorGridlines>
          <c:spPr>
            <a:ln>
              <a:solidFill>
                <a:schemeClr val="bg1">
                  <a:lumMod val="85000"/>
                </a:schemeClr>
              </a:solidFill>
            </a:ln>
          </c:spPr>
        </c:majorGridlines>
        <c:title>
          <c:tx>
            <c:rich>
              <a:bodyPr rot="-5400000" vert="horz"/>
              <a:lstStyle/>
              <a:p>
                <a:pPr>
                  <a:defRPr/>
                </a:pPr>
                <a:r>
                  <a:rPr lang="en-US"/>
                  <a:t>%</a:t>
                </a:r>
              </a:p>
            </c:rich>
          </c:tx>
          <c:overlay val="0"/>
        </c:title>
        <c:numFmt formatCode="General" sourceLinked="1"/>
        <c:majorTickMark val="out"/>
        <c:minorTickMark val="none"/>
        <c:tickLblPos val="nextTo"/>
        <c:spPr>
          <a:ln>
            <a:noFill/>
          </a:ln>
        </c:spPr>
        <c:crossAx val="215045632"/>
        <c:crosses val="autoZero"/>
        <c:crossBetween val="between"/>
      </c:valAx>
    </c:plotArea>
    <c:plotVisOnly val="1"/>
    <c:dispBlanksAs val="gap"/>
    <c:showDLblsOverMax val="0"/>
  </c:chart>
  <c:spPr>
    <a:ln>
      <a:noFill/>
    </a:ln>
  </c:spPr>
  <c:txPr>
    <a:bodyPr/>
    <a:lstStyle/>
    <a:p>
      <a:pPr>
        <a:defRPr sz="800" baseline="0">
          <a:solidFill>
            <a:schemeClr val="bg2">
              <a:lumMod val="25000"/>
            </a:schemeClr>
          </a:solidFill>
        </a:defRPr>
      </a:pPr>
      <a:endParaRPr lang="sl-SI"/>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List1!$C$83</c:f>
              <c:strCache>
                <c:ptCount val="1"/>
                <c:pt idx="0">
                  <c:v>Najpogosteje</c:v>
                </c:pt>
              </c:strCache>
            </c:strRef>
          </c:tx>
          <c:spPr>
            <a:solidFill>
              <a:schemeClr val="accent1"/>
            </a:solidFill>
          </c:spPr>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List1!$B$84:$B$93</c:f>
              <c:strCache>
                <c:ptCount val="10"/>
                <c:pt idx="0">
                  <c:v>TV</c:v>
                </c:pt>
                <c:pt idx="1">
                  <c:v>Facebook</c:v>
                </c:pt>
                <c:pt idx="2">
                  <c:v>Od prijateljev, znancev, sorodnikov</c:v>
                </c:pt>
                <c:pt idx="3">
                  <c:v>Radio </c:v>
                </c:pt>
                <c:pt idx="4">
                  <c:v>Plakati </c:v>
                </c:pt>
                <c:pt idx="5">
                  <c:v>Časopisi, revije</c:v>
                </c:pt>
                <c:pt idx="6">
                  <c:v>Na različnih spletnih straneh </c:v>
                </c:pt>
                <c:pt idx="7">
                  <c:v>Razne novice po elektronski pošti </c:v>
                </c:pt>
                <c:pt idx="8">
                  <c:v>Twitter </c:v>
                </c:pt>
                <c:pt idx="9">
                  <c:v>Drugje</c:v>
                </c:pt>
              </c:strCache>
            </c:strRef>
          </c:cat>
          <c:val>
            <c:numRef>
              <c:f>List1!$C$84:$C$93</c:f>
              <c:numCache>
                <c:formatCode>General</c:formatCode>
                <c:ptCount val="10"/>
                <c:pt idx="0">
                  <c:v>11</c:v>
                </c:pt>
                <c:pt idx="1">
                  <c:v>24</c:v>
                </c:pt>
                <c:pt idx="2">
                  <c:v>11</c:v>
                </c:pt>
                <c:pt idx="3">
                  <c:v>10</c:v>
                </c:pt>
                <c:pt idx="4">
                  <c:v>7</c:v>
                </c:pt>
                <c:pt idx="5">
                  <c:v>8</c:v>
                </c:pt>
                <c:pt idx="6">
                  <c:v>18</c:v>
                </c:pt>
                <c:pt idx="7">
                  <c:v>8</c:v>
                </c:pt>
                <c:pt idx="8">
                  <c:v>1</c:v>
                </c:pt>
                <c:pt idx="9">
                  <c:v>2</c:v>
                </c:pt>
              </c:numCache>
            </c:numRef>
          </c:val>
        </c:ser>
        <c:ser>
          <c:idx val="1"/>
          <c:order val="1"/>
          <c:tx>
            <c:strRef>
              <c:f>List1!$D$83</c:f>
              <c:strCache>
                <c:ptCount val="1"/>
                <c:pt idx="0">
                  <c:v>Kje še?</c:v>
                </c:pt>
              </c:strCache>
            </c:strRef>
          </c:tx>
          <c:spPr>
            <a:solidFill>
              <a:schemeClr val="accent2"/>
            </a:solidFill>
          </c:spPr>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List1!$B$84:$B$93</c:f>
              <c:strCache>
                <c:ptCount val="10"/>
                <c:pt idx="0">
                  <c:v>TV</c:v>
                </c:pt>
                <c:pt idx="1">
                  <c:v>Facebook</c:v>
                </c:pt>
                <c:pt idx="2">
                  <c:v>Od prijateljev, znancev, sorodnikov</c:v>
                </c:pt>
                <c:pt idx="3">
                  <c:v>Radio </c:v>
                </c:pt>
                <c:pt idx="4">
                  <c:v>Plakati </c:v>
                </c:pt>
                <c:pt idx="5">
                  <c:v>Časopisi, revije</c:v>
                </c:pt>
                <c:pt idx="6">
                  <c:v>Na različnih spletnih straneh </c:v>
                </c:pt>
                <c:pt idx="7">
                  <c:v>Razne novice po elektronski pošti </c:v>
                </c:pt>
                <c:pt idx="8">
                  <c:v>Twitter </c:v>
                </c:pt>
                <c:pt idx="9">
                  <c:v>Drugje</c:v>
                </c:pt>
              </c:strCache>
            </c:strRef>
          </c:cat>
          <c:val>
            <c:numRef>
              <c:f>List1!$D$84:$D$93</c:f>
              <c:numCache>
                <c:formatCode>General</c:formatCode>
                <c:ptCount val="10"/>
                <c:pt idx="0">
                  <c:v>40</c:v>
                </c:pt>
                <c:pt idx="1">
                  <c:v>25</c:v>
                </c:pt>
                <c:pt idx="2">
                  <c:v>32</c:v>
                </c:pt>
                <c:pt idx="3">
                  <c:v>33</c:v>
                </c:pt>
                <c:pt idx="4">
                  <c:v>34</c:v>
                </c:pt>
                <c:pt idx="5">
                  <c:v>33</c:v>
                </c:pt>
                <c:pt idx="6">
                  <c:v>23</c:v>
                </c:pt>
                <c:pt idx="7">
                  <c:v>22</c:v>
                </c:pt>
                <c:pt idx="8">
                  <c:v>1</c:v>
                </c:pt>
                <c:pt idx="9">
                  <c:v>1</c:v>
                </c:pt>
              </c:numCache>
            </c:numRef>
          </c:val>
        </c:ser>
        <c:dLbls>
          <c:showLegendKey val="0"/>
          <c:showVal val="0"/>
          <c:showCatName val="0"/>
          <c:showSerName val="0"/>
          <c:showPercent val="0"/>
          <c:showBubbleSize val="0"/>
        </c:dLbls>
        <c:gapWidth val="75"/>
        <c:overlap val="-25"/>
        <c:axId val="215073152"/>
        <c:axId val="215074688"/>
      </c:barChart>
      <c:catAx>
        <c:axId val="215073152"/>
        <c:scaling>
          <c:orientation val="minMax"/>
        </c:scaling>
        <c:delete val="0"/>
        <c:axPos val="b"/>
        <c:numFmt formatCode="General" sourceLinked="0"/>
        <c:majorTickMark val="none"/>
        <c:minorTickMark val="none"/>
        <c:tickLblPos val="nextTo"/>
        <c:crossAx val="215074688"/>
        <c:crosses val="autoZero"/>
        <c:auto val="1"/>
        <c:lblAlgn val="ctr"/>
        <c:lblOffset val="100"/>
        <c:noMultiLvlLbl val="0"/>
      </c:catAx>
      <c:valAx>
        <c:axId val="215074688"/>
        <c:scaling>
          <c:orientation val="minMax"/>
        </c:scaling>
        <c:delete val="0"/>
        <c:axPos val="l"/>
        <c:majorGridlines>
          <c:spPr>
            <a:ln>
              <a:solidFill>
                <a:schemeClr val="bg1">
                  <a:lumMod val="85000"/>
                </a:schemeClr>
              </a:solidFill>
            </a:ln>
          </c:spPr>
        </c:majorGridlines>
        <c:title>
          <c:tx>
            <c:rich>
              <a:bodyPr rot="-5400000" vert="horz"/>
              <a:lstStyle/>
              <a:p>
                <a:pPr>
                  <a:defRPr/>
                </a:pPr>
                <a:r>
                  <a:rPr lang="en-US"/>
                  <a:t>%</a:t>
                </a:r>
              </a:p>
            </c:rich>
          </c:tx>
          <c:overlay val="0"/>
        </c:title>
        <c:numFmt formatCode="General" sourceLinked="1"/>
        <c:majorTickMark val="none"/>
        <c:minorTickMark val="none"/>
        <c:tickLblPos val="nextTo"/>
        <c:spPr>
          <a:ln w="9525">
            <a:noFill/>
          </a:ln>
        </c:spPr>
        <c:crossAx val="215073152"/>
        <c:crosses val="autoZero"/>
        <c:crossBetween val="between"/>
      </c:valAx>
    </c:plotArea>
    <c:legend>
      <c:legendPos val="b"/>
      <c:overlay val="0"/>
    </c:legend>
    <c:plotVisOnly val="1"/>
    <c:dispBlanksAs val="gap"/>
    <c:showDLblsOverMax val="0"/>
  </c:chart>
  <c:spPr>
    <a:ln>
      <a:noFill/>
    </a:ln>
  </c:spPr>
  <c:txPr>
    <a:bodyPr/>
    <a:lstStyle/>
    <a:p>
      <a:pPr>
        <a:defRPr sz="800" baseline="0">
          <a:solidFill>
            <a:schemeClr val="tx1">
              <a:lumMod val="85000"/>
              <a:lumOff val="15000"/>
            </a:schemeClr>
          </a:solidFill>
        </a:defRPr>
      </a:pPr>
      <a:endParaRPr lang="sl-SI"/>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List1!$C$55</c:f>
              <c:strCache>
                <c:ptCount val="1"/>
                <c:pt idx="0">
                  <c:v>%</c:v>
                </c:pt>
              </c:strCache>
            </c:strRef>
          </c:tx>
          <c:invertIfNegative val="0"/>
          <c:dLbls>
            <c:spPr>
              <a:noFill/>
              <a:ln>
                <a:noFill/>
              </a:ln>
              <a:effectLst/>
            </c:spPr>
            <c:txPr>
              <a:bodyPr/>
              <a:lstStyle/>
              <a:p>
                <a:pPr>
                  <a:defRPr baseline="0"/>
                </a:pPr>
                <a:endParaRPr lang="sl-SI"/>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List1!$B$56:$B$59</c:f>
              <c:strCache>
                <c:ptCount val="4"/>
                <c:pt idx="0">
                  <c:v>Le v organizirani dejavnosti</c:v>
                </c:pt>
                <c:pt idx="1">
                  <c:v>Le individualno</c:v>
                </c:pt>
                <c:pt idx="2">
                  <c:v>Tako v organizirani dejavnosti kot individualno</c:v>
                </c:pt>
                <c:pt idx="3">
                  <c:v>Se niso udejstvovali na noben način</c:v>
                </c:pt>
              </c:strCache>
            </c:strRef>
          </c:cat>
          <c:val>
            <c:numRef>
              <c:f>List1!$C$56:$C$59</c:f>
              <c:numCache>
                <c:formatCode>#,#00</c:formatCode>
                <c:ptCount val="4"/>
                <c:pt idx="0">
                  <c:v>3.9</c:v>
                </c:pt>
                <c:pt idx="1">
                  <c:v>42.3</c:v>
                </c:pt>
                <c:pt idx="2">
                  <c:v>27.3</c:v>
                </c:pt>
                <c:pt idx="3">
                  <c:v>26.4</c:v>
                </c:pt>
              </c:numCache>
            </c:numRef>
          </c:val>
        </c:ser>
        <c:dLbls>
          <c:showLegendKey val="0"/>
          <c:showVal val="0"/>
          <c:showCatName val="0"/>
          <c:showSerName val="0"/>
          <c:showPercent val="0"/>
          <c:showBubbleSize val="0"/>
        </c:dLbls>
        <c:gapWidth val="150"/>
        <c:axId val="215120128"/>
        <c:axId val="215126016"/>
      </c:barChart>
      <c:catAx>
        <c:axId val="215120128"/>
        <c:scaling>
          <c:orientation val="minMax"/>
        </c:scaling>
        <c:delete val="0"/>
        <c:axPos val="b"/>
        <c:numFmt formatCode="General" sourceLinked="0"/>
        <c:majorTickMark val="out"/>
        <c:minorTickMark val="none"/>
        <c:tickLblPos val="nextTo"/>
        <c:crossAx val="215126016"/>
        <c:crosses val="autoZero"/>
        <c:auto val="1"/>
        <c:lblAlgn val="ctr"/>
        <c:lblOffset val="100"/>
        <c:noMultiLvlLbl val="0"/>
      </c:catAx>
      <c:valAx>
        <c:axId val="215126016"/>
        <c:scaling>
          <c:orientation val="minMax"/>
        </c:scaling>
        <c:delete val="0"/>
        <c:axPos val="l"/>
        <c:majorGridlines>
          <c:spPr>
            <a:ln>
              <a:solidFill>
                <a:schemeClr val="bg1">
                  <a:lumMod val="85000"/>
                </a:schemeClr>
              </a:solidFill>
            </a:ln>
          </c:spPr>
        </c:majorGridlines>
        <c:title>
          <c:tx>
            <c:rich>
              <a:bodyPr rot="-5400000" vert="horz"/>
              <a:lstStyle/>
              <a:p>
                <a:pPr>
                  <a:defRPr/>
                </a:pPr>
                <a:r>
                  <a:rPr lang="en-US"/>
                  <a:t>%</a:t>
                </a:r>
              </a:p>
            </c:rich>
          </c:tx>
          <c:overlay val="0"/>
        </c:title>
        <c:numFmt formatCode="0" sourceLinked="0"/>
        <c:majorTickMark val="out"/>
        <c:minorTickMark val="none"/>
        <c:tickLblPos val="nextTo"/>
        <c:spPr>
          <a:ln>
            <a:noFill/>
          </a:ln>
        </c:spPr>
        <c:crossAx val="215120128"/>
        <c:crosses val="autoZero"/>
        <c:crossBetween val="between"/>
      </c:valAx>
    </c:plotArea>
    <c:plotVisOnly val="1"/>
    <c:dispBlanksAs val="gap"/>
    <c:showDLblsOverMax val="0"/>
  </c:chart>
  <c:spPr>
    <a:ln>
      <a:noFill/>
    </a:ln>
  </c:spPr>
  <c:txPr>
    <a:bodyPr/>
    <a:lstStyle/>
    <a:p>
      <a:pPr>
        <a:defRPr sz="800" baseline="0"/>
      </a:pPr>
      <a:endParaRPr lang="sl-SI"/>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1"/>
          <c:order val="1"/>
          <c:tx>
            <c:strRef>
              <c:f>'[Grafikon v programu Microsoft Word]List1'!$C$17</c:f>
              <c:strCache>
                <c:ptCount val="1"/>
                <c:pt idx="0">
                  <c:v>Centralna država</c:v>
                </c:pt>
              </c:strCache>
            </c:strRef>
          </c:tx>
          <c:invertIfNegative val="0"/>
          <c:cat>
            <c:strRef>
              <c:f>'[Grafikon v programu Microsoft Word]List1'!$A$18:$A$25</c:f>
              <c:strCache>
                <c:ptCount val="8"/>
                <c:pt idx="0">
                  <c:v>2008</c:v>
                </c:pt>
                <c:pt idx="1">
                  <c:v>2009</c:v>
                </c:pt>
                <c:pt idx="2">
                  <c:v>2010</c:v>
                </c:pt>
                <c:pt idx="3">
                  <c:v>2011</c:v>
                </c:pt>
                <c:pt idx="4">
                  <c:v>2012</c:v>
                </c:pt>
                <c:pt idx="5">
                  <c:v>2013</c:v>
                </c:pt>
                <c:pt idx="6">
                  <c:v>2014</c:v>
                </c:pt>
                <c:pt idx="7">
                  <c:v>2015</c:v>
                </c:pt>
              </c:strCache>
            </c:strRef>
          </c:cat>
          <c:val>
            <c:numRef>
              <c:f>'[Grafikon v programu Microsoft Word]List1'!$C$18:$C$25</c:f>
              <c:numCache>
                <c:formatCode>General</c:formatCode>
                <c:ptCount val="8"/>
                <c:pt idx="0">
                  <c:v>164.3</c:v>
                </c:pt>
                <c:pt idx="1">
                  <c:v>179.7</c:v>
                </c:pt>
                <c:pt idx="2">
                  <c:v>173</c:v>
                </c:pt>
                <c:pt idx="3">
                  <c:v>172.8</c:v>
                </c:pt>
                <c:pt idx="4">
                  <c:v>157.5</c:v>
                </c:pt>
                <c:pt idx="5">
                  <c:v>152.69999999999999</c:v>
                </c:pt>
                <c:pt idx="6">
                  <c:v>154.19999999999999</c:v>
                </c:pt>
                <c:pt idx="7">
                  <c:v>153</c:v>
                </c:pt>
              </c:numCache>
            </c:numRef>
          </c:val>
        </c:ser>
        <c:ser>
          <c:idx val="2"/>
          <c:order val="2"/>
          <c:tx>
            <c:strRef>
              <c:f>'[Grafikon v programu Microsoft Word]List1'!$D$17</c:f>
              <c:strCache>
                <c:ptCount val="1"/>
                <c:pt idx="0">
                  <c:v>Lokalna država</c:v>
                </c:pt>
              </c:strCache>
            </c:strRef>
          </c:tx>
          <c:invertIfNegative val="0"/>
          <c:cat>
            <c:strRef>
              <c:f>'[Grafikon v programu Microsoft Word]List1'!$A$18:$A$25</c:f>
              <c:strCache>
                <c:ptCount val="8"/>
                <c:pt idx="0">
                  <c:v>2008</c:v>
                </c:pt>
                <c:pt idx="1">
                  <c:v>2009</c:v>
                </c:pt>
                <c:pt idx="2">
                  <c:v>2010</c:v>
                </c:pt>
                <c:pt idx="3">
                  <c:v>2011</c:v>
                </c:pt>
                <c:pt idx="4">
                  <c:v>2012</c:v>
                </c:pt>
                <c:pt idx="5">
                  <c:v>2013</c:v>
                </c:pt>
                <c:pt idx="6">
                  <c:v>2014</c:v>
                </c:pt>
                <c:pt idx="7">
                  <c:v>2015</c:v>
                </c:pt>
              </c:strCache>
            </c:strRef>
          </c:cat>
          <c:val>
            <c:numRef>
              <c:f>'[Grafikon v programu Microsoft Word]List1'!$D$18:$D$25</c:f>
              <c:numCache>
                <c:formatCode>General</c:formatCode>
                <c:ptCount val="8"/>
                <c:pt idx="0">
                  <c:v>164.8</c:v>
                </c:pt>
                <c:pt idx="1">
                  <c:v>171.3</c:v>
                </c:pt>
                <c:pt idx="2">
                  <c:v>175.5</c:v>
                </c:pt>
                <c:pt idx="3">
                  <c:v>165</c:v>
                </c:pt>
                <c:pt idx="4">
                  <c:v>161.80000000000001</c:v>
                </c:pt>
                <c:pt idx="5">
                  <c:v>158.5</c:v>
                </c:pt>
                <c:pt idx="6">
                  <c:v>164.6</c:v>
                </c:pt>
                <c:pt idx="7">
                  <c:v>154.80000000000001</c:v>
                </c:pt>
              </c:numCache>
            </c:numRef>
          </c:val>
        </c:ser>
        <c:dLbls>
          <c:showLegendKey val="0"/>
          <c:showVal val="0"/>
          <c:showCatName val="0"/>
          <c:showSerName val="0"/>
          <c:showPercent val="0"/>
          <c:showBubbleSize val="0"/>
        </c:dLbls>
        <c:gapWidth val="150"/>
        <c:axId val="220558848"/>
        <c:axId val="220560384"/>
      </c:barChart>
      <c:lineChart>
        <c:grouping val="standard"/>
        <c:varyColors val="0"/>
        <c:ser>
          <c:idx val="0"/>
          <c:order val="0"/>
          <c:tx>
            <c:strRef>
              <c:f>'[Grafikon v programu Microsoft Word]List1'!$B$17</c:f>
              <c:strCache>
                <c:ptCount val="1"/>
                <c:pt idx="0">
                  <c:v>Država*</c:v>
                </c:pt>
              </c:strCache>
            </c:strRef>
          </c:tx>
          <c:spPr>
            <a:ln w="19050"/>
          </c:spPr>
          <c:marker>
            <c:symbol val="circle"/>
            <c:size val="5"/>
          </c:marker>
          <c:cat>
            <c:strRef>
              <c:f>'[Grafikon v programu Microsoft Word]List1'!$A$18:$A$25</c:f>
              <c:strCache>
                <c:ptCount val="8"/>
                <c:pt idx="0">
                  <c:v>2008</c:v>
                </c:pt>
                <c:pt idx="1">
                  <c:v>2009</c:v>
                </c:pt>
                <c:pt idx="2">
                  <c:v>2010</c:v>
                </c:pt>
                <c:pt idx="3">
                  <c:v>2011</c:v>
                </c:pt>
                <c:pt idx="4">
                  <c:v>2012</c:v>
                </c:pt>
                <c:pt idx="5">
                  <c:v>2013</c:v>
                </c:pt>
                <c:pt idx="6">
                  <c:v>2014</c:v>
                </c:pt>
                <c:pt idx="7">
                  <c:v>2015</c:v>
                </c:pt>
              </c:strCache>
            </c:strRef>
          </c:cat>
          <c:val>
            <c:numRef>
              <c:f>'[Grafikon v programu Microsoft Word]List1'!$B$18:$B$25</c:f>
              <c:numCache>
                <c:formatCode>General</c:formatCode>
                <c:ptCount val="8"/>
                <c:pt idx="0">
                  <c:v>301.3</c:v>
                </c:pt>
                <c:pt idx="1">
                  <c:v>317.10000000000002</c:v>
                </c:pt>
                <c:pt idx="2">
                  <c:v>319.8</c:v>
                </c:pt>
                <c:pt idx="3">
                  <c:v>308.3</c:v>
                </c:pt>
                <c:pt idx="4">
                  <c:v>286.10000000000002</c:v>
                </c:pt>
                <c:pt idx="5">
                  <c:v>284.60000000000002</c:v>
                </c:pt>
                <c:pt idx="6">
                  <c:v>286.39999999999992</c:v>
                </c:pt>
                <c:pt idx="7">
                  <c:v>275.3</c:v>
                </c:pt>
              </c:numCache>
            </c:numRef>
          </c:val>
          <c:smooth val="0"/>
        </c:ser>
        <c:dLbls>
          <c:showLegendKey val="0"/>
          <c:showVal val="0"/>
          <c:showCatName val="0"/>
          <c:showSerName val="0"/>
          <c:showPercent val="0"/>
          <c:showBubbleSize val="0"/>
        </c:dLbls>
        <c:marker val="1"/>
        <c:smooth val="0"/>
        <c:axId val="220558848"/>
        <c:axId val="220560384"/>
      </c:lineChart>
      <c:catAx>
        <c:axId val="220558848"/>
        <c:scaling>
          <c:orientation val="minMax"/>
        </c:scaling>
        <c:delete val="0"/>
        <c:axPos val="b"/>
        <c:numFmt formatCode="General" sourceLinked="0"/>
        <c:majorTickMark val="none"/>
        <c:minorTickMark val="none"/>
        <c:tickLblPos val="nextTo"/>
        <c:crossAx val="220560384"/>
        <c:crosses val="autoZero"/>
        <c:auto val="1"/>
        <c:lblAlgn val="ctr"/>
        <c:lblOffset val="100"/>
        <c:noMultiLvlLbl val="0"/>
      </c:catAx>
      <c:valAx>
        <c:axId val="220560384"/>
        <c:scaling>
          <c:orientation val="minMax"/>
        </c:scaling>
        <c:delete val="0"/>
        <c:axPos val="l"/>
        <c:majorGridlines>
          <c:spPr>
            <a:ln>
              <a:solidFill>
                <a:sysClr val="window" lastClr="FFFFFF">
                  <a:lumMod val="85000"/>
                </a:sysClr>
              </a:solidFill>
            </a:ln>
          </c:spPr>
        </c:majorGridlines>
        <c:title>
          <c:tx>
            <c:rich>
              <a:bodyPr/>
              <a:lstStyle/>
              <a:p>
                <a:pPr>
                  <a:defRPr/>
                </a:pPr>
                <a:r>
                  <a:rPr lang="sl-SI"/>
                  <a:t>Milijoni evrov</a:t>
                </a:r>
              </a:p>
            </c:rich>
          </c:tx>
          <c:layout>
            <c:manualLayout>
              <c:xMode val="edge"/>
              <c:yMode val="edge"/>
              <c:x val="0.12741781678698499"/>
              <c:y val="0.33627734033245799"/>
            </c:manualLayout>
          </c:layout>
          <c:overlay val="0"/>
        </c:title>
        <c:numFmt formatCode="General" sourceLinked="1"/>
        <c:majorTickMark val="none"/>
        <c:minorTickMark val="none"/>
        <c:tickLblPos val="nextTo"/>
        <c:spPr>
          <a:ln>
            <a:noFill/>
          </a:ln>
        </c:spPr>
        <c:crossAx val="220558848"/>
        <c:crosses val="autoZero"/>
        <c:crossBetween val="between"/>
      </c:valAx>
      <c:dTable>
        <c:showHorzBorder val="1"/>
        <c:showVertBorder val="1"/>
        <c:showOutline val="1"/>
        <c:showKeys val="1"/>
        <c:spPr>
          <a:ln>
            <a:solidFill>
              <a:sysClr val="window" lastClr="FFFFFF">
                <a:lumMod val="85000"/>
              </a:sysClr>
            </a:solidFill>
          </a:ln>
        </c:spPr>
      </c:dTable>
    </c:plotArea>
    <c:plotVisOnly val="1"/>
    <c:dispBlanksAs val="gap"/>
    <c:showDLblsOverMax val="0"/>
  </c:chart>
  <c:spPr>
    <a:ln>
      <a:noFill/>
    </a:ln>
  </c:spPr>
  <c:txPr>
    <a:bodyPr/>
    <a:lstStyle/>
    <a:p>
      <a:pPr>
        <a:defRPr sz="800" baseline="0">
          <a:solidFill>
            <a:schemeClr val="bg2">
              <a:lumMod val="25000"/>
            </a:schemeClr>
          </a:solidFill>
        </a:defRPr>
      </a:pPr>
      <a:endParaRPr lang="sl-SI"/>
    </a:p>
  </c:txPr>
  <c:externalData r:id="rId2">
    <c:autoUpdate val="0"/>
  </c:externalData>
</c:chartSpace>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D47198F-7C80-41F1-BC88-346565725B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TotalTime>
  <Pages>52</Pages>
  <Words>31191</Words>
  <Characters>177789</Characters>
  <Application>Microsoft Office Word</Application>
  <DocSecurity>0</DocSecurity>
  <Lines>1481</Lines>
  <Paragraphs>417</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208563</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Kdo Bi Vedel</dc:creator>
  <cp:lastModifiedBy>Boštjan Tadel</cp:lastModifiedBy>
  <cp:revision>12</cp:revision>
  <cp:lastPrinted>2017-08-14T15:29:00Z</cp:lastPrinted>
  <dcterms:created xsi:type="dcterms:W3CDTF">2018-02-06T08:29:00Z</dcterms:created>
  <dcterms:modified xsi:type="dcterms:W3CDTF">2018-02-12T16:38:00Z</dcterms:modified>
</cp:coreProperties>
</file>